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CC37" w14:textId="09466079" w:rsidR="00C8170A" w:rsidRPr="000E6D47" w:rsidRDefault="4C505B77" w:rsidP="630AD551">
      <w:pPr>
        <w:spacing w:after="0" w:line="360" w:lineRule="auto"/>
        <w:rPr>
          <w:rFonts w:eastAsia="Aptos" w:cs="Aptos"/>
          <w:b/>
          <w:bCs/>
          <w:color w:val="242424"/>
          <w:sz w:val="32"/>
          <w:szCs w:val="32"/>
          <w:lang w:val="en-AU"/>
        </w:rPr>
      </w:pPr>
      <w:r w:rsidRPr="1DBF4028">
        <w:rPr>
          <w:rFonts w:eastAsia="Aptos" w:cs="Aptos"/>
          <w:b/>
          <w:bCs/>
          <w:color w:val="242424"/>
          <w:sz w:val="32"/>
          <w:szCs w:val="32"/>
          <w:lang w:val="en-AU"/>
        </w:rPr>
        <w:t>S</w:t>
      </w:r>
      <w:r w:rsidR="438F3141" w:rsidRPr="1DBF4028">
        <w:rPr>
          <w:rFonts w:eastAsia="Aptos" w:cs="Aptos"/>
          <w:b/>
          <w:bCs/>
          <w:color w:val="242424"/>
          <w:sz w:val="32"/>
          <w:szCs w:val="32"/>
          <w:lang w:val="en-AU"/>
        </w:rPr>
        <w:t>u</w:t>
      </w:r>
      <w:r w:rsidRPr="1DBF4028">
        <w:rPr>
          <w:rFonts w:eastAsia="Aptos" w:cs="Aptos"/>
          <w:b/>
          <w:bCs/>
          <w:color w:val="242424"/>
          <w:sz w:val="32"/>
          <w:szCs w:val="32"/>
          <w:lang w:val="en-AU"/>
        </w:rPr>
        <w:t>mmary points</w:t>
      </w:r>
    </w:p>
    <w:p w14:paraId="1DA3E025" w14:textId="3DE65480" w:rsidR="00C8170A" w:rsidRPr="007666D1" w:rsidRDefault="20622664" w:rsidP="1DBF4028">
      <w:pPr>
        <w:spacing w:after="0" w:line="360" w:lineRule="auto"/>
        <w:rPr>
          <w:b/>
          <w:bCs/>
          <w:lang w:val="en-AU"/>
        </w:rPr>
      </w:pPr>
      <w:r w:rsidRPr="007666D1">
        <w:rPr>
          <w:b/>
          <w:bCs/>
          <w:lang w:val="en-AU"/>
        </w:rPr>
        <w:t>Tourism is an important contributor to the</w:t>
      </w:r>
      <w:r w:rsidR="32E98819" w:rsidRPr="007666D1">
        <w:rPr>
          <w:b/>
          <w:bCs/>
          <w:lang w:val="en-AU"/>
        </w:rPr>
        <w:t xml:space="preserve"> economy</w:t>
      </w:r>
    </w:p>
    <w:p w14:paraId="1B030F51" w14:textId="136A7807" w:rsidR="00C8170A" w:rsidRPr="007666D1" w:rsidRDefault="6B98A5CD" w:rsidP="000E6D47">
      <w:pPr>
        <w:pStyle w:val="ListParagraph"/>
        <w:numPr>
          <w:ilvl w:val="0"/>
          <w:numId w:val="1"/>
        </w:numPr>
        <w:spacing w:after="0" w:line="360" w:lineRule="auto"/>
        <w:rPr>
          <w:lang w:val="en-AU"/>
        </w:rPr>
      </w:pPr>
      <w:r w:rsidRPr="007666D1">
        <w:rPr>
          <w:lang w:val="en-AU"/>
        </w:rPr>
        <w:t xml:space="preserve">In the 2024–25 financial year, tourism in Australia contributed a record $81.1 billion to the national GDP in direct terms, accounting for 2.9% of the total economy. </w:t>
      </w:r>
    </w:p>
    <w:p w14:paraId="579AB7CB" w14:textId="0D041EE8" w:rsidR="00C8170A" w:rsidRPr="007666D1" w:rsidRDefault="6B98A5CD" w:rsidP="000E6D47">
      <w:pPr>
        <w:pStyle w:val="ListParagraph"/>
        <w:numPr>
          <w:ilvl w:val="0"/>
          <w:numId w:val="1"/>
        </w:numPr>
        <w:spacing w:after="0" w:line="360" w:lineRule="auto"/>
        <w:rPr>
          <w:lang w:val="en-AU"/>
        </w:rPr>
      </w:pPr>
      <w:r w:rsidRPr="007666D1">
        <w:rPr>
          <w:lang w:val="en-AU"/>
        </w:rPr>
        <w:t xml:space="preserve">Including indirect effects, the total economic contribution is significantly higher, with tourism consumption </w:t>
      </w:r>
      <w:r w:rsidR="40C41B22" w:rsidRPr="007666D1">
        <w:rPr>
          <w:lang w:val="en-AU"/>
        </w:rPr>
        <w:t>totalling</w:t>
      </w:r>
      <w:r w:rsidRPr="007666D1">
        <w:rPr>
          <w:lang w:val="en-AU"/>
        </w:rPr>
        <w:t xml:space="preserve"> $211.1 billion and employing nearly 700,000 people directly</w:t>
      </w:r>
      <w:r w:rsidR="000E6D47" w:rsidRPr="007666D1">
        <w:rPr>
          <w:lang w:val="en-AU"/>
        </w:rPr>
        <w:t>.</w:t>
      </w:r>
    </w:p>
    <w:p w14:paraId="08CDCA80" w14:textId="3C1CE90C" w:rsidR="00C8170A" w:rsidRPr="007666D1" w:rsidRDefault="4AFAC3D2" w:rsidP="41C04A3E">
      <w:pPr>
        <w:shd w:val="clear" w:color="auto" w:fill="FFFFFF" w:themeFill="background1"/>
        <w:spacing w:after="0" w:line="360" w:lineRule="auto"/>
        <w:rPr>
          <w:b/>
          <w:bCs/>
          <w:lang w:val="en-AU"/>
        </w:rPr>
      </w:pPr>
      <w:r w:rsidRPr="007666D1">
        <w:rPr>
          <w:b/>
          <w:bCs/>
          <w:lang w:val="en-AU"/>
        </w:rPr>
        <w:t xml:space="preserve">Aviation is </w:t>
      </w:r>
      <w:r w:rsidR="10021CB1" w:rsidRPr="007666D1">
        <w:rPr>
          <w:b/>
          <w:bCs/>
          <w:lang w:val="en-AU"/>
        </w:rPr>
        <w:t>critical</w:t>
      </w:r>
      <w:r w:rsidRPr="007666D1">
        <w:rPr>
          <w:b/>
          <w:bCs/>
          <w:lang w:val="en-AU"/>
        </w:rPr>
        <w:t xml:space="preserve"> to regional tourism</w:t>
      </w:r>
    </w:p>
    <w:p w14:paraId="30ABDB3E" w14:textId="1B2065CF" w:rsidR="00C8170A" w:rsidRPr="007666D1" w:rsidRDefault="4AFAC3D2" w:rsidP="000E6D47">
      <w:pPr>
        <w:pStyle w:val="ListParagraph"/>
        <w:numPr>
          <w:ilvl w:val="0"/>
          <w:numId w:val="1"/>
        </w:numPr>
        <w:shd w:val="clear" w:color="auto" w:fill="FFFFFF" w:themeFill="background1"/>
        <w:spacing w:after="0" w:line="360" w:lineRule="auto"/>
        <w:rPr>
          <w:lang w:val="en-AU"/>
        </w:rPr>
      </w:pPr>
      <w:r w:rsidRPr="007666D1">
        <w:rPr>
          <w:lang w:val="en-AU"/>
        </w:rPr>
        <w:t>44 cents of every tourism dollar spent outside our major cities, highlighting how travel supports local jobs and communities nationwide. For the year ending September 2025, 2.4 million international visitors spent at least one night in regional Australia.</w:t>
      </w:r>
    </w:p>
    <w:p w14:paraId="4BBE62F7" w14:textId="6146A9A8" w:rsidR="00C8170A" w:rsidRPr="007666D1" w:rsidRDefault="203488AD" w:rsidP="000E6D47">
      <w:pPr>
        <w:pStyle w:val="ListParagraph"/>
        <w:numPr>
          <w:ilvl w:val="0"/>
          <w:numId w:val="1"/>
        </w:numPr>
        <w:shd w:val="clear" w:color="auto" w:fill="FFFFFF" w:themeFill="background1"/>
        <w:spacing w:after="0" w:line="360" w:lineRule="auto"/>
        <w:rPr>
          <w:lang w:val="en-AU"/>
        </w:rPr>
      </w:pPr>
      <w:r w:rsidRPr="007666D1">
        <w:rPr>
          <w:lang w:val="en-AU"/>
        </w:rPr>
        <w:t>In many regional communities, tourism employment sometimes comprises six in ten jobs.</w:t>
      </w:r>
    </w:p>
    <w:p w14:paraId="5526F03F" w14:textId="16CA0DD8" w:rsidR="00C8170A" w:rsidRPr="007666D1" w:rsidRDefault="4F79706D" w:rsidP="000E6D47">
      <w:pPr>
        <w:pStyle w:val="ListParagraph"/>
        <w:numPr>
          <w:ilvl w:val="0"/>
          <w:numId w:val="1"/>
        </w:numPr>
        <w:shd w:val="clear" w:color="auto" w:fill="FFFFFF" w:themeFill="background1"/>
        <w:spacing w:after="0" w:line="360" w:lineRule="auto"/>
        <w:rPr>
          <w:lang w:val="en-AU"/>
        </w:rPr>
      </w:pPr>
      <w:r w:rsidRPr="007666D1">
        <w:rPr>
          <w:lang w:val="en-AU"/>
        </w:rPr>
        <w:t>Since the 1990 deregulation of the aviation sector, 12 airlines (mostly low-cost and regional carriers) have exited the Australia market.</w:t>
      </w:r>
    </w:p>
    <w:p w14:paraId="0BA5E873" w14:textId="078139E4" w:rsidR="00C8170A" w:rsidRPr="007666D1" w:rsidRDefault="0D2EFFE5" w:rsidP="000E6D47">
      <w:pPr>
        <w:pStyle w:val="ListParagraph"/>
        <w:shd w:val="clear" w:color="auto" w:fill="FFFFFF" w:themeFill="background1"/>
        <w:spacing w:after="0" w:line="360" w:lineRule="auto"/>
        <w:ind w:left="360" w:hanging="360"/>
        <w:rPr>
          <w:b/>
          <w:bCs/>
          <w:lang w:val="en-AU"/>
        </w:rPr>
      </w:pPr>
      <w:r w:rsidRPr="007666D1">
        <w:rPr>
          <w:b/>
          <w:bCs/>
          <w:lang w:val="en-AU"/>
        </w:rPr>
        <w:t>Cost is a</w:t>
      </w:r>
      <w:r w:rsidR="1B681B33" w:rsidRPr="007666D1">
        <w:rPr>
          <w:b/>
          <w:bCs/>
          <w:lang w:val="en-AU"/>
        </w:rPr>
        <w:t xml:space="preserve"> factor</w:t>
      </w:r>
    </w:p>
    <w:p w14:paraId="6C269FEA" w14:textId="7B7703CC" w:rsidR="00C8170A" w:rsidRPr="007666D1" w:rsidRDefault="23E5CBA1" w:rsidP="000E6D47">
      <w:pPr>
        <w:pStyle w:val="ListParagraph"/>
        <w:numPr>
          <w:ilvl w:val="0"/>
          <w:numId w:val="1"/>
        </w:numPr>
        <w:shd w:val="clear" w:color="auto" w:fill="FFFFFF" w:themeFill="background1"/>
        <w:spacing w:after="0" w:line="360" w:lineRule="auto"/>
        <w:rPr>
          <w:lang w:val="en-AU"/>
        </w:rPr>
      </w:pPr>
      <w:r w:rsidRPr="007666D1">
        <w:rPr>
          <w:lang w:val="en-AU"/>
        </w:rPr>
        <w:t>W</w:t>
      </w:r>
      <w:r w:rsidR="11B4AAF8" w:rsidRPr="007666D1">
        <w:rPr>
          <w:lang w:val="en-AU"/>
        </w:rPr>
        <w:t xml:space="preserve">hile international aviation capacity into major gateways (Sydney, Melbourne, Brisbane, Perth) has largely recovered to near 2019 levels, the cost of regional aviation in Australia has affected the ability of international visitors to disperse into regional Australia. </w:t>
      </w:r>
    </w:p>
    <w:p w14:paraId="353D10B3" w14:textId="3FB8F1A2" w:rsidR="000D4DED" w:rsidRPr="007666D1" w:rsidRDefault="000D4DED" w:rsidP="1DBF4028">
      <w:pPr>
        <w:pStyle w:val="ListParagraph"/>
        <w:numPr>
          <w:ilvl w:val="0"/>
          <w:numId w:val="1"/>
        </w:numPr>
        <w:spacing w:after="0" w:line="360" w:lineRule="auto"/>
        <w:rPr>
          <w:lang w:val="en-AU"/>
        </w:rPr>
      </w:pPr>
      <w:r w:rsidRPr="007666D1">
        <w:rPr>
          <w:lang w:val="en-AU"/>
        </w:rPr>
        <w:t xml:space="preserve">BITRE’s best discount fares index increased 6 percentage points in the year to February 2026, indicating that the price of the cheapest available seats </w:t>
      </w:r>
      <w:r w:rsidR="00CC30C2">
        <w:rPr>
          <w:lang w:val="en-AU"/>
        </w:rPr>
        <w:t xml:space="preserve">increased at twice </w:t>
      </w:r>
      <w:r w:rsidRPr="007666D1">
        <w:rPr>
          <w:lang w:val="en-AU"/>
        </w:rPr>
        <w:t>the rate of inflation in the same period.</w:t>
      </w:r>
    </w:p>
    <w:p w14:paraId="439D0815" w14:textId="590B615C" w:rsidR="00C8170A" w:rsidRPr="000E6D47" w:rsidRDefault="000E6D47" w:rsidP="000E6D47">
      <w:pPr>
        <w:rPr>
          <w:rFonts w:eastAsiaTheme="minorEastAsia"/>
          <w:sz w:val="22"/>
          <w:szCs w:val="22"/>
          <w:lang w:val="en-AU"/>
        </w:rPr>
      </w:pPr>
      <w:r>
        <w:rPr>
          <w:rFonts w:eastAsiaTheme="minorEastAsia"/>
          <w:sz w:val="22"/>
          <w:szCs w:val="22"/>
          <w:lang w:val="en-AU"/>
        </w:rPr>
        <w:br w:type="page"/>
      </w:r>
    </w:p>
    <w:p w14:paraId="7C47F79A" w14:textId="4A46C26C" w:rsidR="00C8170A" w:rsidRPr="007C40DC" w:rsidRDefault="1BF0C317" w:rsidP="630AD551">
      <w:pPr>
        <w:spacing w:after="0" w:line="360" w:lineRule="auto"/>
        <w:rPr>
          <w:b/>
          <w:bCs/>
          <w:sz w:val="32"/>
          <w:szCs w:val="32"/>
          <w:lang w:val="en-AU"/>
        </w:rPr>
      </w:pPr>
      <w:r w:rsidRPr="41C04A3E">
        <w:rPr>
          <w:b/>
          <w:bCs/>
          <w:sz w:val="32"/>
          <w:szCs w:val="32"/>
          <w:lang w:val="en-AU"/>
        </w:rPr>
        <w:lastRenderedPageBreak/>
        <w:t xml:space="preserve">Introduction </w:t>
      </w:r>
      <w:r w:rsidR="00C8170A">
        <w:br/>
      </w:r>
      <w:r w:rsidRPr="41C04A3E">
        <w:rPr>
          <w:lang w:val="en-AU"/>
        </w:rPr>
        <w:t xml:space="preserve">Tourism Australia (TA) welcomes the opportunity to provide a submission into the Productivity Commission inquiry into the determinants of regional airfares. TA is the national agency responsible for promoting Australia as an international destination for leisure and business events. Aviation is fundamental to this mission. </w:t>
      </w:r>
    </w:p>
    <w:p w14:paraId="336AB28D" w14:textId="2CDC67FA" w:rsidR="41C04A3E" w:rsidRDefault="41C04A3E" w:rsidP="41C04A3E">
      <w:pPr>
        <w:spacing w:after="0" w:line="360" w:lineRule="auto"/>
        <w:rPr>
          <w:lang w:val="en-AU"/>
        </w:rPr>
      </w:pPr>
    </w:p>
    <w:p w14:paraId="45240BFE" w14:textId="5A30205C" w:rsidR="00C8170A" w:rsidRPr="007C40DC" w:rsidRDefault="1BF0C317" w:rsidP="630AD551">
      <w:pPr>
        <w:spacing w:after="0" w:line="360" w:lineRule="auto"/>
        <w:rPr>
          <w:lang w:val="en-AU"/>
        </w:rPr>
      </w:pPr>
      <w:r w:rsidRPr="41C04A3E">
        <w:rPr>
          <w:lang w:val="en-AU"/>
        </w:rPr>
        <w:t xml:space="preserve">Tourism Australia’s primary focus is attracting international visitors to choose Australia as a holiday or business events destination. </w:t>
      </w:r>
      <w:r w:rsidRPr="00CF2014">
        <w:rPr>
          <w:lang w:val="en-AU"/>
        </w:rPr>
        <w:t>Our</w:t>
      </w:r>
      <w:r w:rsidRPr="41C04A3E">
        <w:rPr>
          <w:lang w:val="en-AU"/>
        </w:rPr>
        <w:t xml:space="preserve"> campaigns are </w:t>
      </w:r>
      <w:r w:rsidR="00CF2014">
        <w:rPr>
          <w:lang w:val="en-AU"/>
        </w:rPr>
        <w:t>the</w:t>
      </w:r>
      <w:r w:rsidRPr="41C04A3E">
        <w:rPr>
          <w:lang w:val="en-AU"/>
        </w:rPr>
        <w:t xml:space="preserve"> most visible way that we do this. The second chapter of our global </w:t>
      </w:r>
      <w:r w:rsidRPr="41C04A3E">
        <w:rPr>
          <w:i/>
          <w:iCs/>
          <w:lang w:val="en-AU"/>
        </w:rPr>
        <w:t xml:space="preserve">Come and Say G’Day </w:t>
      </w:r>
      <w:r w:rsidRPr="41C04A3E">
        <w:rPr>
          <w:lang w:val="en-AU"/>
        </w:rPr>
        <w:t>campaign is rolling out across 16 markets</w:t>
      </w:r>
      <w:r w:rsidR="002D417E">
        <w:rPr>
          <w:lang w:val="en-AU"/>
        </w:rPr>
        <w:t xml:space="preserve"> that supports regional dispersal</w:t>
      </w:r>
      <w:r w:rsidRPr="41C04A3E">
        <w:rPr>
          <w:lang w:val="en-AU"/>
        </w:rPr>
        <w:t xml:space="preserve">. Initial market research shows the campaign can affect traveller choice, with 83 per cent considering travel to Australia after seeing the campaign. </w:t>
      </w:r>
    </w:p>
    <w:p w14:paraId="71E8B66E" w14:textId="4CFD735B" w:rsidR="41C04A3E" w:rsidRDefault="41C04A3E" w:rsidP="41C04A3E">
      <w:pPr>
        <w:spacing w:after="0" w:line="360" w:lineRule="auto"/>
        <w:rPr>
          <w:lang w:val="en-AU"/>
        </w:rPr>
      </w:pPr>
    </w:p>
    <w:p w14:paraId="49B1D00C" w14:textId="6413F155" w:rsidR="41C04A3E" w:rsidRPr="00B84696" w:rsidRDefault="1BF0C317" w:rsidP="009D4B9F">
      <w:pPr>
        <w:spacing w:after="0" w:line="360" w:lineRule="auto"/>
        <w:rPr>
          <w:lang w:val="en-AU"/>
        </w:rPr>
      </w:pPr>
      <w:r w:rsidRPr="41C04A3E">
        <w:rPr>
          <w:lang w:val="en-AU"/>
        </w:rPr>
        <w:t>Beyond our campaigns, we work closely with stakeholders in the travel distribution chain, including airlines in Australia and overseas. Another essential part of our job is staying connected with the Australian tourism industry – across the year we’ve met with over 1,000 operators one-on-one and have engaged thousands more through our events.</w:t>
      </w:r>
      <w:r w:rsidR="00254C4B">
        <w:br/>
      </w:r>
    </w:p>
    <w:p w14:paraId="0BD76CA8" w14:textId="19BA409B" w:rsidR="00E20DC3" w:rsidRDefault="35AEDFD6" w:rsidP="007C40DC">
      <w:pPr>
        <w:shd w:val="clear" w:color="auto" w:fill="FFFFFF" w:themeFill="background1"/>
        <w:spacing w:after="0" w:line="360" w:lineRule="auto"/>
        <w:rPr>
          <w:rFonts w:ascii="Aptos" w:eastAsia="Aptos" w:hAnsi="Aptos" w:cs="Aptos"/>
          <w:b/>
          <w:bCs/>
          <w:color w:val="242424"/>
          <w:sz w:val="32"/>
          <w:szCs w:val="32"/>
        </w:rPr>
      </w:pPr>
      <w:r w:rsidRPr="007C40DC">
        <w:rPr>
          <w:rFonts w:ascii="Aptos" w:eastAsia="Aptos" w:hAnsi="Aptos" w:cs="Aptos"/>
          <w:b/>
          <w:bCs/>
          <w:color w:val="242424"/>
          <w:sz w:val="32"/>
          <w:szCs w:val="32"/>
        </w:rPr>
        <w:t xml:space="preserve">Aviation Development </w:t>
      </w:r>
    </w:p>
    <w:p w14:paraId="294509F1" w14:textId="5C332F61" w:rsidR="009D4B9F" w:rsidRPr="009D4B9F" w:rsidRDefault="009D4B9F" w:rsidP="007C40DC">
      <w:pPr>
        <w:shd w:val="clear" w:color="auto" w:fill="FFFFFF" w:themeFill="background1"/>
        <w:spacing w:after="0" w:line="360" w:lineRule="auto"/>
        <w:rPr>
          <w:rFonts w:ascii="Aptos" w:eastAsia="Aptos" w:hAnsi="Aptos" w:cs="Aptos"/>
          <w:b/>
          <w:bCs/>
          <w:color w:val="242424"/>
          <w:sz w:val="32"/>
          <w:szCs w:val="32"/>
        </w:rPr>
      </w:pPr>
      <w:r w:rsidRPr="6CB31B8B">
        <w:rPr>
          <w:lang w:val="en-AU"/>
        </w:rPr>
        <w:t xml:space="preserve">Our </w:t>
      </w:r>
      <w:r w:rsidR="006E7EFC" w:rsidRPr="6CB31B8B">
        <w:rPr>
          <w:lang w:val="en-AU"/>
        </w:rPr>
        <w:t xml:space="preserve">destination marketing </w:t>
      </w:r>
      <w:r w:rsidRPr="6CB31B8B">
        <w:rPr>
          <w:lang w:val="en-AU"/>
        </w:rPr>
        <w:t xml:space="preserve">strategy </w:t>
      </w:r>
      <w:r w:rsidR="006E7EFC" w:rsidRPr="6CB31B8B">
        <w:rPr>
          <w:lang w:val="en-AU"/>
        </w:rPr>
        <w:t xml:space="preserve">involves </w:t>
      </w:r>
      <w:r w:rsidRPr="6CB31B8B">
        <w:rPr>
          <w:lang w:val="en-AU"/>
        </w:rPr>
        <w:t xml:space="preserve">working with commercial partners that enable us to engage and convert target customers to book a trip to Australia. In 2024/25, Tourism Australia worked with 200 commercial partners, including 24 airlines across our 16 key international markets. These partners collaborated with us on </w:t>
      </w:r>
      <w:r w:rsidR="002D417E" w:rsidRPr="6CB31B8B">
        <w:rPr>
          <w:lang w:val="en-AU"/>
        </w:rPr>
        <w:t xml:space="preserve">both </w:t>
      </w:r>
      <w:r w:rsidRPr="6CB31B8B">
        <w:rPr>
          <w:lang w:val="en-AU"/>
        </w:rPr>
        <w:t>campaign activity</w:t>
      </w:r>
      <w:r w:rsidR="002D417E" w:rsidRPr="6CB31B8B">
        <w:rPr>
          <w:lang w:val="en-AU"/>
        </w:rPr>
        <w:t xml:space="preserve"> and trade related events</w:t>
      </w:r>
      <w:r w:rsidRPr="6CB31B8B">
        <w:rPr>
          <w:lang w:val="en-AU"/>
        </w:rPr>
        <w:t xml:space="preserve"> that </w:t>
      </w:r>
      <w:r w:rsidR="002D417E" w:rsidRPr="6CB31B8B">
        <w:rPr>
          <w:lang w:val="en-AU"/>
        </w:rPr>
        <w:t>aims</w:t>
      </w:r>
      <w:r w:rsidRPr="6CB31B8B">
        <w:rPr>
          <w:lang w:val="en-AU"/>
        </w:rPr>
        <w:t xml:space="preserve"> to increase customer reach and conversion through joint marketing efforts.</w:t>
      </w:r>
    </w:p>
    <w:p w14:paraId="60CF96D8" w14:textId="54BF468A" w:rsidR="00E20DC3" w:rsidRPr="00FE046C" w:rsidRDefault="35AEDFD6" w:rsidP="007C40DC">
      <w:pPr>
        <w:shd w:val="clear" w:color="auto" w:fill="FFFFFF" w:themeFill="background1"/>
        <w:spacing w:after="0" w:line="360" w:lineRule="auto"/>
      </w:pPr>
      <w:r w:rsidRPr="593601C7">
        <w:rPr>
          <w:rFonts w:ascii="Aptos" w:eastAsia="Aptos" w:hAnsi="Aptos" w:cs="Aptos"/>
          <w:color w:val="242424"/>
        </w:rPr>
        <w:lastRenderedPageBreak/>
        <w:t xml:space="preserve">In addition to TA’s partnership work with airlines, TA’s aviation development function works with Australia’s airports, airlines, and </w:t>
      </w:r>
      <w:r w:rsidR="00C7546C">
        <w:rPr>
          <w:rFonts w:ascii="Aptos" w:eastAsia="Aptos" w:hAnsi="Aptos" w:cs="Aptos"/>
          <w:color w:val="242424"/>
        </w:rPr>
        <w:t>State and Territory G</w:t>
      </w:r>
      <w:r w:rsidR="00C7546C" w:rsidRPr="593601C7">
        <w:rPr>
          <w:rFonts w:ascii="Aptos" w:eastAsia="Aptos" w:hAnsi="Aptos" w:cs="Aptos"/>
          <w:color w:val="242424"/>
        </w:rPr>
        <w:t>overnment</w:t>
      </w:r>
      <w:r w:rsidR="00C7546C">
        <w:rPr>
          <w:rFonts w:ascii="Aptos" w:eastAsia="Aptos" w:hAnsi="Aptos" w:cs="Aptos"/>
          <w:color w:val="242424"/>
        </w:rPr>
        <w:t>s</w:t>
      </w:r>
      <w:r w:rsidR="00C7546C" w:rsidRPr="593601C7">
        <w:rPr>
          <w:rFonts w:ascii="Aptos" w:eastAsia="Aptos" w:hAnsi="Aptos" w:cs="Aptos"/>
          <w:color w:val="242424"/>
        </w:rPr>
        <w:t xml:space="preserve"> </w:t>
      </w:r>
      <w:r w:rsidRPr="593601C7">
        <w:rPr>
          <w:rFonts w:ascii="Aptos" w:eastAsia="Aptos" w:hAnsi="Aptos" w:cs="Aptos"/>
          <w:color w:val="242424"/>
        </w:rPr>
        <w:t>to support and develop sustainable new inbound air capacity. Th</w:t>
      </w:r>
      <w:r w:rsidR="00C7546C">
        <w:rPr>
          <w:rFonts w:ascii="Aptos" w:eastAsia="Aptos" w:hAnsi="Aptos" w:cs="Aptos"/>
          <w:color w:val="242424"/>
        </w:rPr>
        <w:t>is</w:t>
      </w:r>
      <w:r w:rsidRPr="593601C7">
        <w:rPr>
          <w:rFonts w:ascii="Aptos" w:eastAsia="Aptos" w:hAnsi="Aptos" w:cs="Aptos"/>
          <w:color w:val="242424"/>
        </w:rPr>
        <w:t xml:space="preserve"> strategy is focused on three functions:</w:t>
      </w:r>
    </w:p>
    <w:p w14:paraId="7AB28F1A" w14:textId="29B422EB" w:rsidR="00E20DC3" w:rsidRPr="00FE046C" w:rsidRDefault="35AEDFD6" w:rsidP="007C40DC">
      <w:pPr>
        <w:pStyle w:val="ListParagraph"/>
        <w:numPr>
          <w:ilvl w:val="0"/>
          <w:numId w:val="2"/>
        </w:numPr>
        <w:shd w:val="clear" w:color="auto" w:fill="FFFFFF" w:themeFill="background1"/>
        <w:spacing w:after="0" w:line="360" w:lineRule="auto"/>
        <w:rPr>
          <w:rFonts w:ascii="Aptos" w:eastAsia="Aptos" w:hAnsi="Aptos" w:cs="Aptos"/>
          <w:color w:val="242424"/>
        </w:rPr>
      </w:pPr>
      <w:bookmarkStart w:id="0" w:name="_Ref223433276"/>
      <w:r w:rsidRPr="593601C7">
        <w:rPr>
          <w:rFonts w:ascii="Aptos" w:eastAsia="Aptos" w:hAnsi="Aptos" w:cs="Aptos"/>
          <w:color w:val="242424"/>
        </w:rPr>
        <w:t>Conducting analysis of international routes into Australia, sharing insights with industry</w:t>
      </w:r>
      <w:r w:rsidR="00B64CD2">
        <w:rPr>
          <w:rFonts w:ascii="Aptos" w:eastAsia="Aptos" w:hAnsi="Aptos" w:cs="Aptos"/>
          <w:color w:val="242424"/>
        </w:rPr>
        <w:t xml:space="preserve"> to help them address</w:t>
      </w:r>
      <w:r w:rsidRPr="593601C7">
        <w:rPr>
          <w:rFonts w:ascii="Aptos" w:eastAsia="Aptos" w:hAnsi="Aptos" w:cs="Aptos"/>
          <w:color w:val="242424"/>
        </w:rPr>
        <w:t xml:space="preserve"> capacity issues and opportunities with partners.</w:t>
      </w:r>
      <w:bookmarkEnd w:id="0"/>
    </w:p>
    <w:p w14:paraId="01B41BBA" w14:textId="30A7CEB7" w:rsidR="00E20DC3" w:rsidRPr="00FE046C" w:rsidRDefault="35AEDFD6" w:rsidP="007C40DC">
      <w:pPr>
        <w:pStyle w:val="ListParagraph"/>
        <w:numPr>
          <w:ilvl w:val="0"/>
          <w:numId w:val="2"/>
        </w:numPr>
        <w:shd w:val="clear" w:color="auto" w:fill="FFFFFF" w:themeFill="background1"/>
        <w:spacing w:after="0" w:line="360" w:lineRule="auto"/>
        <w:rPr>
          <w:rFonts w:ascii="Aptos" w:eastAsia="Aptos" w:hAnsi="Aptos" w:cs="Aptos"/>
          <w:color w:val="242424"/>
        </w:rPr>
      </w:pPr>
      <w:r w:rsidRPr="593601C7">
        <w:rPr>
          <w:rFonts w:ascii="Aptos" w:eastAsia="Aptos" w:hAnsi="Aptos" w:cs="Aptos"/>
          <w:color w:val="242424"/>
        </w:rPr>
        <w:t xml:space="preserve">Prioritising potential new routes into Australia from key markets </w:t>
      </w:r>
      <w:r w:rsidR="00D63FB9">
        <w:rPr>
          <w:rFonts w:ascii="Aptos" w:eastAsia="Aptos" w:hAnsi="Aptos" w:cs="Aptos"/>
          <w:color w:val="242424"/>
        </w:rPr>
        <w:t xml:space="preserve">and </w:t>
      </w:r>
      <w:r w:rsidRPr="593601C7">
        <w:rPr>
          <w:rFonts w:ascii="Aptos" w:eastAsia="Aptos" w:hAnsi="Aptos" w:cs="Aptos"/>
          <w:color w:val="242424"/>
        </w:rPr>
        <w:t xml:space="preserve">working in a ‘Team Australia’ approach </w:t>
      </w:r>
      <w:r w:rsidR="00B64CD2">
        <w:rPr>
          <w:rFonts w:ascii="Aptos" w:eastAsia="Aptos" w:hAnsi="Aptos" w:cs="Aptos"/>
          <w:color w:val="242424"/>
        </w:rPr>
        <w:t xml:space="preserve">to support these with </w:t>
      </w:r>
      <w:r w:rsidRPr="593601C7">
        <w:rPr>
          <w:rFonts w:ascii="Aptos" w:eastAsia="Aptos" w:hAnsi="Aptos" w:cs="Aptos"/>
          <w:color w:val="242424"/>
        </w:rPr>
        <w:t>airline marketing partnerships.</w:t>
      </w:r>
    </w:p>
    <w:p w14:paraId="66CB9158" w14:textId="384671E1" w:rsidR="630AD551" w:rsidRPr="00F13974" w:rsidRDefault="35AEDFD6" w:rsidP="630AD551">
      <w:pPr>
        <w:pStyle w:val="ListParagraph"/>
        <w:numPr>
          <w:ilvl w:val="0"/>
          <w:numId w:val="2"/>
        </w:numPr>
        <w:shd w:val="clear" w:color="auto" w:fill="FFFFFF" w:themeFill="background1"/>
        <w:spacing w:after="0" w:line="360" w:lineRule="auto"/>
        <w:rPr>
          <w:rFonts w:ascii="Aptos" w:eastAsia="Aptos" w:hAnsi="Aptos" w:cs="Aptos"/>
          <w:color w:val="242424"/>
        </w:rPr>
      </w:pPr>
      <w:r w:rsidRPr="630AD551">
        <w:rPr>
          <w:rFonts w:ascii="Aptos" w:eastAsia="Aptos" w:hAnsi="Aptos" w:cs="Aptos"/>
          <w:color w:val="242424"/>
        </w:rPr>
        <w:t xml:space="preserve">Leveraging international aviation events </w:t>
      </w:r>
      <w:r w:rsidR="00B54C8F" w:rsidRPr="630AD551">
        <w:rPr>
          <w:rFonts w:ascii="Aptos" w:eastAsia="Aptos" w:hAnsi="Aptos" w:cs="Aptos"/>
          <w:color w:val="242424"/>
        </w:rPr>
        <w:t xml:space="preserve">where decision makers meet </w:t>
      </w:r>
      <w:r w:rsidR="00C87BCF" w:rsidRPr="630AD551">
        <w:rPr>
          <w:rFonts w:ascii="Aptos" w:eastAsia="Aptos" w:hAnsi="Aptos" w:cs="Aptos"/>
          <w:color w:val="242424"/>
        </w:rPr>
        <w:t>to discuss</w:t>
      </w:r>
      <w:r w:rsidR="007149BB" w:rsidRPr="630AD551">
        <w:rPr>
          <w:rFonts w:ascii="Aptos" w:eastAsia="Aptos" w:hAnsi="Aptos" w:cs="Aptos"/>
          <w:color w:val="242424"/>
        </w:rPr>
        <w:t xml:space="preserve"> new aviation routes, </w:t>
      </w:r>
      <w:r w:rsidR="00B64CD2">
        <w:rPr>
          <w:rFonts w:ascii="Aptos" w:eastAsia="Aptos" w:hAnsi="Aptos" w:cs="Aptos"/>
          <w:color w:val="242424"/>
        </w:rPr>
        <w:t xml:space="preserve">including </w:t>
      </w:r>
      <w:r w:rsidRPr="630AD551">
        <w:rPr>
          <w:rFonts w:ascii="Aptos" w:eastAsia="Aptos" w:hAnsi="Aptos" w:cs="Aptos"/>
          <w:color w:val="242424"/>
        </w:rPr>
        <w:t xml:space="preserve">through our ‘Team Australia’ stands at trade shows including Routes and </w:t>
      </w:r>
      <w:r w:rsidR="00FD0891" w:rsidRPr="630AD551">
        <w:rPr>
          <w:rFonts w:ascii="Aptos" w:eastAsia="Aptos" w:hAnsi="Aptos" w:cs="Aptos"/>
          <w:color w:val="242424"/>
        </w:rPr>
        <w:t>the Australian Tourism Exchange (ATE)</w:t>
      </w:r>
      <w:r w:rsidRPr="630AD551">
        <w:rPr>
          <w:rFonts w:ascii="Aptos" w:eastAsia="Aptos" w:hAnsi="Aptos" w:cs="Aptos"/>
          <w:color w:val="242424"/>
        </w:rPr>
        <w:t>.</w:t>
      </w:r>
    </w:p>
    <w:p w14:paraId="2B75FAD5" w14:textId="44B082A5" w:rsidR="007C40DC" w:rsidRPr="00C87BCF" w:rsidRDefault="5F918B59" w:rsidP="007C40DC">
      <w:pPr>
        <w:spacing w:line="360" w:lineRule="auto"/>
        <w:rPr>
          <w:lang w:val="en-AU"/>
        </w:rPr>
      </w:pPr>
      <w:r w:rsidRPr="593601C7">
        <w:rPr>
          <w:lang w:val="en-AU"/>
        </w:rPr>
        <w:t xml:space="preserve">Through these activities, </w:t>
      </w:r>
      <w:r w:rsidR="7B053822" w:rsidRPr="593601C7">
        <w:rPr>
          <w:lang w:val="en-AU"/>
        </w:rPr>
        <w:t xml:space="preserve">which recognise that aviation is essential to tourism growth, </w:t>
      </w:r>
      <w:r w:rsidRPr="593601C7">
        <w:rPr>
          <w:lang w:val="en-AU"/>
        </w:rPr>
        <w:t xml:space="preserve">TA </w:t>
      </w:r>
      <w:r w:rsidR="118DE7AD" w:rsidRPr="593601C7">
        <w:rPr>
          <w:lang w:val="en-AU"/>
        </w:rPr>
        <w:t xml:space="preserve">contributes to </w:t>
      </w:r>
      <w:r w:rsidR="5835ED03" w:rsidRPr="593601C7">
        <w:rPr>
          <w:lang w:val="en-AU"/>
        </w:rPr>
        <w:t>the competitiveness</w:t>
      </w:r>
      <w:r w:rsidRPr="593601C7">
        <w:rPr>
          <w:lang w:val="en-AU"/>
        </w:rPr>
        <w:t xml:space="preserve"> </w:t>
      </w:r>
      <w:r w:rsidR="118DE7AD" w:rsidRPr="593601C7">
        <w:rPr>
          <w:lang w:val="en-AU"/>
        </w:rPr>
        <w:t xml:space="preserve">of Australia </w:t>
      </w:r>
      <w:r w:rsidRPr="593601C7">
        <w:rPr>
          <w:lang w:val="en-AU"/>
        </w:rPr>
        <w:t>as a long-haul destination</w:t>
      </w:r>
      <w:r w:rsidR="088D9FA6" w:rsidRPr="593601C7">
        <w:rPr>
          <w:lang w:val="en-AU"/>
        </w:rPr>
        <w:t>.</w:t>
      </w:r>
      <w:r w:rsidR="00C87BCF">
        <w:rPr>
          <w:lang w:val="en-AU"/>
        </w:rPr>
        <w:t xml:space="preserve"> </w:t>
      </w:r>
      <w:r w:rsidR="46FA0037" w:rsidRPr="593601C7">
        <w:rPr>
          <w:lang w:val="en-AU"/>
        </w:rPr>
        <w:t xml:space="preserve">TA’s partnership programs with airlines and distribution partners </w:t>
      </w:r>
      <w:r w:rsidR="009F2E5C">
        <w:rPr>
          <w:lang w:val="en-AU"/>
        </w:rPr>
        <w:t xml:space="preserve">do two things: they help underpin the commercial viability of routes to Australia, and they also </w:t>
      </w:r>
      <w:r w:rsidR="00B01CDC" w:rsidRPr="593601C7">
        <w:rPr>
          <w:lang w:val="en-AU"/>
        </w:rPr>
        <w:t xml:space="preserve">support </w:t>
      </w:r>
      <w:r w:rsidR="02928BAF" w:rsidRPr="593601C7">
        <w:rPr>
          <w:lang w:val="en-AU"/>
        </w:rPr>
        <w:t xml:space="preserve">the promotion of the </w:t>
      </w:r>
      <w:r w:rsidR="6EABEF28" w:rsidRPr="593601C7">
        <w:rPr>
          <w:lang w:val="en-AU"/>
        </w:rPr>
        <w:t>breadth and depth of Australia</w:t>
      </w:r>
      <w:r w:rsidR="009F2E5C">
        <w:rPr>
          <w:lang w:val="en-AU"/>
        </w:rPr>
        <w:t>’s tourism experiences</w:t>
      </w:r>
      <w:r w:rsidR="6EABEF28" w:rsidRPr="593601C7">
        <w:rPr>
          <w:lang w:val="en-AU"/>
        </w:rPr>
        <w:t>.</w:t>
      </w:r>
      <w:r w:rsidR="46FA0037" w:rsidRPr="593601C7">
        <w:rPr>
          <w:lang w:val="en-AU"/>
        </w:rPr>
        <w:t xml:space="preserve"> </w:t>
      </w:r>
    </w:p>
    <w:p w14:paraId="15FAD240" w14:textId="06DCF0C0" w:rsidR="00E20DC3" w:rsidRPr="007C40DC" w:rsidRDefault="00E20DC3" w:rsidP="007C40DC">
      <w:pPr>
        <w:spacing w:line="360" w:lineRule="auto"/>
        <w:rPr>
          <w:b/>
          <w:bCs/>
          <w:sz w:val="32"/>
          <w:szCs w:val="32"/>
          <w:lang w:val="en-AU"/>
        </w:rPr>
      </w:pPr>
      <w:r w:rsidRPr="007C40DC">
        <w:rPr>
          <w:b/>
          <w:bCs/>
          <w:sz w:val="32"/>
          <w:szCs w:val="32"/>
          <w:lang w:val="en-AU"/>
        </w:rPr>
        <w:t>The Importance of International Tourism to the Australian Economy</w:t>
      </w:r>
      <w:r w:rsidR="007C40DC">
        <w:rPr>
          <w:b/>
          <w:bCs/>
          <w:sz w:val="32"/>
          <w:szCs w:val="32"/>
          <w:lang w:val="en-AU"/>
        </w:rPr>
        <w:br/>
      </w:r>
      <w:r w:rsidRPr="00C7012A">
        <w:rPr>
          <w:lang w:val="en-AU"/>
        </w:rPr>
        <w:t xml:space="preserve">International tourism is a </w:t>
      </w:r>
      <w:r w:rsidR="00A32B48" w:rsidRPr="00C7012A">
        <w:rPr>
          <w:lang w:val="en-AU"/>
        </w:rPr>
        <w:t xml:space="preserve">key segment of </w:t>
      </w:r>
      <w:r w:rsidRPr="00C7012A">
        <w:rPr>
          <w:lang w:val="en-AU"/>
        </w:rPr>
        <w:t xml:space="preserve">Australia’s visitor economy, contributing billions annually and supporting hundreds of thousands of jobs across hospitality, transport, and regional communities. </w:t>
      </w:r>
      <w:r w:rsidR="00BF1C2E" w:rsidRPr="00C7012A">
        <w:rPr>
          <w:lang w:val="en-AU"/>
        </w:rPr>
        <w:t xml:space="preserve">Australia's </w:t>
      </w:r>
      <w:r w:rsidR="00047E28">
        <w:rPr>
          <w:lang w:val="en-AU"/>
        </w:rPr>
        <w:t xml:space="preserve">international </w:t>
      </w:r>
      <w:r w:rsidR="00BF1C2E" w:rsidRPr="00C7012A">
        <w:rPr>
          <w:lang w:val="en-AU"/>
        </w:rPr>
        <w:t xml:space="preserve">visitor economy is </w:t>
      </w:r>
      <w:r w:rsidR="007305D2" w:rsidRPr="00C7012A">
        <w:rPr>
          <w:lang w:val="en-AU"/>
        </w:rPr>
        <w:t>economically significant</w:t>
      </w:r>
      <w:r w:rsidR="00BF1C2E" w:rsidRPr="00C7012A">
        <w:rPr>
          <w:lang w:val="en-AU"/>
        </w:rPr>
        <w:t>, welcoming 8.</w:t>
      </w:r>
      <w:r w:rsidR="00A8652D">
        <w:rPr>
          <w:lang w:val="en-AU"/>
        </w:rPr>
        <w:t>9</w:t>
      </w:r>
      <w:r w:rsidR="00047E28">
        <w:rPr>
          <w:lang w:val="en-AU"/>
        </w:rPr>
        <w:t> </w:t>
      </w:r>
      <w:r w:rsidR="00BF1C2E" w:rsidRPr="00C7012A">
        <w:rPr>
          <w:lang w:val="en-AU"/>
        </w:rPr>
        <w:t>million international visitors last year, a five-year high.</w:t>
      </w:r>
      <w:r w:rsidR="00504800">
        <w:rPr>
          <w:rStyle w:val="FootnoteReference"/>
          <w:lang w:val="en-AU"/>
        </w:rPr>
        <w:footnoteReference w:id="1"/>
      </w:r>
      <w:r w:rsidR="00BF1C2E" w:rsidRPr="00C7012A">
        <w:rPr>
          <w:lang w:val="en-AU"/>
        </w:rPr>
        <w:t xml:space="preserve"> Total international trip </w:t>
      </w:r>
      <w:proofErr w:type="gramStart"/>
      <w:r w:rsidR="00BF1C2E" w:rsidRPr="00C7012A">
        <w:rPr>
          <w:lang w:val="en-AU"/>
        </w:rPr>
        <w:t>spend</w:t>
      </w:r>
      <w:proofErr w:type="gramEnd"/>
      <w:r w:rsidR="00BF1C2E" w:rsidRPr="00C7012A">
        <w:rPr>
          <w:lang w:val="en-AU"/>
        </w:rPr>
        <w:t xml:space="preserve"> exceeded $5</w:t>
      </w:r>
      <w:r w:rsidR="00AB5575">
        <w:rPr>
          <w:lang w:val="en-AU"/>
        </w:rPr>
        <w:t>3</w:t>
      </w:r>
      <w:r w:rsidR="00BF1C2E" w:rsidRPr="00C7012A">
        <w:rPr>
          <w:lang w:val="en-AU"/>
        </w:rPr>
        <w:t xml:space="preserve"> billion (up 1</w:t>
      </w:r>
      <w:r w:rsidR="009B1698">
        <w:rPr>
          <w:lang w:val="en-AU"/>
        </w:rPr>
        <w:t>0</w:t>
      </w:r>
      <w:r w:rsidR="00BF1C2E" w:rsidRPr="00C7012A">
        <w:rPr>
          <w:lang w:val="en-AU"/>
        </w:rPr>
        <w:t xml:space="preserve"> per cent</w:t>
      </w:r>
      <w:r w:rsidR="00047E28" w:rsidRPr="00C7012A">
        <w:rPr>
          <w:lang w:val="en-AU"/>
        </w:rPr>
        <w:t>)</w:t>
      </w:r>
      <w:r w:rsidR="00047E28" w:rsidRPr="00317280">
        <w:rPr>
          <w:lang w:val="en-AU"/>
        </w:rPr>
        <w:t xml:space="preserve"> and</w:t>
      </w:r>
      <w:r w:rsidR="00BF1C2E" w:rsidRPr="00317280">
        <w:rPr>
          <w:lang w:val="en-AU"/>
        </w:rPr>
        <w:t xml:space="preserve"> combined international and domestic </w:t>
      </w:r>
      <w:r w:rsidR="00BF1C2E" w:rsidRPr="00317280">
        <w:rPr>
          <w:lang w:val="en-AU"/>
        </w:rPr>
        <w:lastRenderedPageBreak/>
        <w:t>overnight spend was over $150 billion. This supports over 700,000 jobs and 360,000 businesses, many in regional areas.</w:t>
      </w:r>
    </w:p>
    <w:p w14:paraId="361EF571" w14:textId="5C2E8C89" w:rsidR="00280F02" w:rsidRDefault="00E20DC3" w:rsidP="007C40DC">
      <w:pPr>
        <w:spacing w:line="360" w:lineRule="auto"/>
        <w:rPr>
          <w:b/>
          <w:bCs/>
          <w:sz w:val="32"/>
          <w:szCs w:val="32"/>
          <w:lang w:val="en-AU"/>
        </w:rPr>
      </w:pPr>
      <w:r w:rsidRPr="007C40DC">
        <w:rPr>
          <w:b/>
          <w:bCs/>
          <w:sz w:val="32"/>
          <w:szCs w:val="32"/>
          <w:lang w:val="en-AU"/>
        </w:rPr>
        <w:t>The Importance of Regional Tourism</w:t>
      </w:r>
      <w:r w:rsidR="007C40DC">
        <w:rPr>
          <w:b/>
          <w:bCs/>
          <w:sz w:val="32"/>
          <w:szCs w:val="32"/>
          <w:lang w:val="en-AU"/>
        </w:rPr>
        <w:br/>
      </w:r>
      <w:r w:rsidR="0ECEA67E" w:rsidRPr="60A397B7">
        <w:rPr>
          <w:lang w:val="en-AU"/>
        </w:rPr>
        <w:t xml:space="preserve">Regional tourism delivers significant economic, social and environmental benefits across the entire country. </w:t>
      </w:r>
    </w:p>
    <w:p w14:paraId="6F5AFF46" w14:textId="77777777" w:rsidR="00470247" w:rsidRPr="00512170" w:rsidRDefault="00470247" w:rsidP="00470247">
      <w:pPr>
        <w:spacing w:line="360" w:lineRule="auto"/>
        <w:rPr>
          <w:rFonts w:eastAsiaTheme="minorEastAsia"/>
          <w:lang w:val="en-AU"/>
        </w:rPr>
      </w:pPr>
      <w:r>
        <w:rPr>
          <w:rFonts w:eastAsiaTheme="minorEastAsia"/>
          <w:lang w:val="en-AU"/>
        </w:rPr>
        <w:t>A</w:t>
      </w:r>
      <w:r w:rsidRPr="60A397B7">
        <w:rPr>
          <w:rFonts w:eastAsiaTheme="minorEastAsia"/>
          <w:lang w:val="en-AU"/>
        </w:rPr>
        <w:t xml:space="preserve"> significant share of domestic and international visitor nights</w:t>
      </w:r>
      <w:r>
        <w:rPr>
          <w:rFonts w:eastAsiaTheme="minorEastAsia"/>
          <w:lang w:val="en-AU"/>
        </w:rPr>
        <w:t xml:space="preserve"> </w:t>
      </w:r>
      <w:proofErr w:type="gramStart"/>
      <w:r>
        <w:rPr>
          <w:rFonts w:eastAsiaTheme="minorEastAsia"/>
          <w:lang w:val="en-AU"/>
        </w:rPr>
        <w:t>are</w:t>
      </w:r>
      <w:proofErr w:type="gramEnd"/>
      <w:r>
        <w:rPr>
          <w:rFonts w:eastAsiaTheme="minorEastAsia"/>
          <w:lang w:val="en-AU"/>
        </w:rPr>
        <w:t xml:space="preserve"> spent in regional destinations</w:t>
      </w:r>
      <w:r w:rsidRPr="60A397B7">
        <w:rPr>
          <w:rFonts w:eastAsiaTheme="minorEastAsia"/>
          <w:lang w:val="en-AU"/>
        </w:rPr>
        <w:t xml:space="preserve">, supporting local employment and infrastructure. In many regional communities, tourism employment sometimes comprises as many as six in ten jobs. </w:t>
      </w:r>
      <w:r w:rsidRPr="60A397B7">
        <w:rPr>
          <w:lang w:val="en-AU"/>
        </w:rPr>
        <w:t>Regional tourism is also a cultural and social asset as well as a vital economic imperative for balanced national growth.</w:t>
      </w:r>
    </w:p>
    <w:p w14:paraId="2D79C88C" w14:textId="21078801" w:rsidR="00312498" w:rsidRPr="00280F02" w:rsidRDefault="5E1DB2CA" w:rsidP="1F914484">
      <w:pPr>
        <w:spacing w:line="360" w:lineRule="auto"/>
        <w:rPr>
          <w:b/>
          <w:bCs/>
          <w:sz w:val="32"/>
          <w:szCs w:val="32"/>
        </w:rPr>
      </w:pPr>
      <w:r w:rsidRPr="1F914484">
        <w:t>Currently, 25</w:t>
      </w:r>
      <w:r w:rsidR="00861391" w:rsidRPr="1F914484">
        <w:t xml:space="preserve"> per cent</w:t>
      </w:r>
      <w:r w:rsidRPr="1F914484">
        <w:t xml:space="preserve"> of all international inbound visitors contribute to regional economies by</w:t>
      </w:r>
      <w:r w:rsidRPr="630AD551">
        <w:rPr>
          <w:rFonts w:eastAsiaTheme="minorEastAsia"/>
        </w:rPr>
        <w:t xml:space="preserve"> staying at least one night outside of capital cities. The highest rates of regional dispersal are demonstrated by visitors from key long-haul markets: Germany (42</w:t>
      </w:r>
      <w:r w:rsidR="00861391" w:rsidRPr="630AD551">
        <w:rPr>
          <w:rFonts w:eastAsiaTheme="minorEastAsia"/>
        </w:rPr>
        <w:t> per cent</w:t>
      </w:r>
      <w:r w:rsidRPr="630AD551">
        <w:rPr>
          <w:rFonts w:eastAsiaTheme="minorEastAsia"/>
        </w:rPr>
        <w:t>), Italy (39</w:t>
      </w:r>
      <w:r w:rsidR="008C163E">
        <w:rPr>
          <w:rFonts w:eastAsiaTheme="minorEastAsia"/>
        </w:rPr>
        <w:t> </w:t>
      </w:r>
      <w:r w:rsidR="00861391" w:rsidRPr="630AD551">
        <w:rPr>
          <w:rFonts w:eastAsiaTheme="minorEastAsia"/>
        </w:rPr>
        <w:t>per</w:t>
      </w:r>
      <w:r w:rsidR="008C163E">
        <w:rPr>
          <w:rFonts w:eastAsiaTheme="minorEastAsia"/>
        </w:rPr>
        <w:t> </w:t>
      </w:r>
      <w:r w:rsidR="00861391" w:rsidRPr="630AD551">
        <w:rPr>
          <w:rFonts w:eastAsiaTheme="minorEastAsia"/>
        </w:rPr>
        <w:t>cent</w:t>
      </w:r>
      <w:r w:rsidRPr="630AD551">
        <w:rPr>
          <w:rFonts w:eastAsiaTheme="minorEastAsia"/>
        </w:rPr>
        <w:t>), France (37</w:t>
      </w:r>
      <w:r w:rsidR="00861391" w:rsidRPr="630AD551">
        <w:rPr>
          <w:rFonts w:eastAsiaTheme="minorEastAsia"/>
        </w:rPr>
        <w:t> per cent</w:t>
      </w:r>
      <w:r w:rsidRPr="630AD551">
        <w:rPr>
          <w:rFonts w:eastAsiaTheme="minorEastAsia"/>
        </w:rPr>
        <w:t>), the UK (37</w:t>
      </w:r>
      <w:r w:rsidR="00861391" w:rsidRPr="630AD551">
        <w:rPr>
          <w:rFonts w:eastAsiaTheme="minorEastAsia"/>
        </w:rPr>
        <w:t xml:space="preserve"> per cent</w:t>
      </w:r>
      <w:r w:rsidRPr="630AD551">
        <w:rPr>
          <w:rFonts w:eastAsiaTheme="minorEastAsia"/>
        </w:rPr>
        <w:t>), and Canada (36</w:t>
      </w:r>
      <w:r w:rsidR="00861391" w:rsidRPr="630AD551">
        <w:rPr>
          <w:rFonts w:eastAsiaTheme="minorEastAsia"/>
        </w:rPr>
        <w:t xml:space="preserve"> per cent</w:t>
      </w:r>
      <w:r w:rsidRPr="630AD551">
        <w:rPr>
          <w:rFonts w:eastAsiaTheme="minorEastAsia"/>
        </w:rPr>
        <w:t>)</w:t>
      </w:r>
      <w:r w:rsidR="00907F80" w:rsidRPr="630AD551">
        <w:rPr>
          <w:rFonts w:eastAsiaTheme="minorEastAsia"/>
        </w:rPr>
        <w:t>.</w:t>
      </w:r>
      <w:r w:rsidR="00907F80" w:rsidRPr="006D42EA">
        <w:rPr>
          <w:rFonts w:eastAsiaTheme="minorEastAsia"/>
          <w:vertAlign w:val="superscript"/>
        </w:rPr>
        <w:footnoteReference w:id="2"/>
      </w:r>
    </w:p>
    <w:p w14:paraId="7AC125CE" w14:textId="4D6998BC" w:rsidR="00312498" w:rsidRPr="00317280" w:rsidRDefault="73CFAEF5" w:rsidP="007C40DC">
      <w:pPr>
        <w:spacing w:line="360" w:lineRule="auto"/>
        <w:rPr>
          <w:rFonts w:ascii="Book Antiqua" w:eastAsia="Book Antiqua" w:hAnsi="Book Antiqua" w:cs="Book Antiqua"/>
          <w:sz w:val="22"/>
          <w:szCs w:val="22"/>
          <w:lang w:val="en-AU"/>
        </w:rPr>
      </w:pPr>
      <w:r w:rsidRPr="60A397B7">
        <w:rPr>
          <w:rFonts w:eastAsiaTheme="minorEastAsia"/>
          <w:lang w:val="en-AU"/>
        </w:rPr>
        <w:t xml:space="preserve">Visitors to regional areas typically stay longer and spend more, creating multiplier effects for local economies. </w:t>
      </w:r>
      <w:r w:rsidR="00C70A0A">
        <w:rPr>
          <w:rFonts w:eastAsiaTheme="minorEastAsia"/>
          <w:lang w:val="en-AU"/>
        </w:rPr>
        <w:t>Forty-four</w:t>
      </w:r>
      <w:r w:rsidR="00C70A0A" w:rsidRPr="60A397B7">
        <w:rPr>
          <w:rFonts w:eastAsiaTheme="minorEastAsia"/>
          <w:lang w:val="en-AU"/>
        </w:rPr>
        <w:t xml:space="preserve"> </w:t>
      </w:r>
      <w:r w:rsidR="233FAEFD" w:rsidRPr="60A397B7">
        <w:rPr>
          <w:rFonts w:eastAsiaTheme="minorEastAsia"/>
          <w:lang w:val="en-AU"/>
        </w:rPr>
        <w:t>cents of every tourism dollar is spent in regional areas directly injecting funds into local economies and creating opportunities that might not otherwise exist.  </w:t>
      </w:r>
      <w:r w:rsidR="513BCBEC" w:rsidRPr="60A397B7">
        <w:rPr>
          <w:rFonts w:eastAsiaTheme="minorEastAsia"/>
          <w:lang w:val="en-AU"/>
        </w:rPr>
        <w:t xml:space="preserve">This is </w:t>
      </w:r>
      <w:r w:rsidR="00C70A0A">
        <w:rPr>
          <w:rFonts w:eastAsiaTheme="minorEastAsia"/>
          <w:lang w:val="en-AU"/>
        </w:rPr>
        <w:t>particularly</w:t>
      </w:r>
      <w:r w:rsidR="00C70A0A" w:rsidRPr="60A397B7">
        <w:rPr>
          <w:rFonts w:eastAsiaTheme="minorEastAsia"/>
          <w:lang w:val="en-AU"/>
        </w:rPr>
        <w:t xml:space="preserve"> </w:t>
      </w:r>
      <w:r w:rsidR="513BCBEC" w:rsidRPr="60A397B7">
        <w:rPr>
          <w:rFonts w:eastAsiaTheme="minorEastAsia"/>
          <w:lang w:val="en-AU"/>
        </w:rPr>
        <w:t>important for our Indigenous communities</w:t>
      </w:r>
      <w:r w:rsidR="00C70A0A">
        <w:rPr>
          <w:rFonts w:eastAsiaTheme="minorEastAsia"/>
          <w:lang w:val="en-AU"/>
        </w:rPr>
        <w:t>, many of which may</w:t>
      </w:r>
      <w:r w:rsidR="513BCBEC" w:rsidRPr="60A397B7">
        <w:rPr>
          <w:rFonts w:eastAsiaTheme="minorEastAsia"/>
          <w:lang w:val="en-AU"/>
        </w:rPr>
        <w:t xml:space="preserve"> have limited economic opportunities on country.</w:t>
      </w:r>
    </w:p>
    <w:p w14:paraId="520AE995" w14:textId="5174F935" w:rsidR="41C04A3E" w:rsidRPr="00F13974" w:rsidRDefault="00E20DC3" w:rsidP="41C04A3E">
      <w:pPr>
        <w:spacing w:line="360" w:lineRule="auto"/>
        <w:rPr>
          <w:b/>
          <w:bCs/>
          <w:sz w:val="32"/>
          <w:szCs w:val="32"/>
          <w:lang w:val="en-AU"/>
        </w:rPr>
      </w:pPr>
      <w:r w:rsidRPr="41C04A3E">
        <w:rPr>
          <w:b/>
          <w:bCs/>
          <w:sz w:val="32"/>
          <w:szCs w:val="32"/>
          <w:lang w:val="en-AU"/>
        </w:rPr>
        <w:t>The Importance of Aviation to Regional Dispersal</w:t>
      </w:r>
      <w:r>
        <w:br/>
      </w:r>
      <w:r w:rsidR="73CFAEF5" w:rsidRPr="41C04A3E">
        <w:rPr>
          <w:lang w:val="en-AU"/>
        </w:rPr>
        <w:t xml:space="preserve">Australia’s vast geography makes aviation essential for connecting international visitors to </w:t>
      </w:r>
      <w:r w:rsidR="73CFAEF5" w:rsidRPr="41C04A3E">
        <w:rPr>
          <w:lang w:val="en-AU"/>
        </w:rPr>
        <w:lastRenderedPageBreak/>
        <w:t xml:space="preserve">regional destinations. Affordable and reliable air services enable itineraries that include iconic regional experiences such as the Great Barrier Reef, the Kimberley, and the Red Centre. </w:t>
      </w:r>
    </w:p>
    <w:p w14:paraId="1F7F7B2B" w14:textId="78497A96" w:rsidR="00BF65B6" w:rsidRPr="00317280" w:rsidRDefault="00D90F20" w:rsidP="007C40DC">
      <w:pPr>
        <w:spacing w:line="360" w:lineRule="auto"/>
        <w:rPr>
          <w:lang w:val="en-AU"/>
        </w:rPr>
      </w:pPr>
      <w:r w:rsidRPr="3A4A40CF">
        <w:rPr>
          <w:lang w:val="en-AU"/>
        </w:rPr>
        <w:t>When imagining a future holiday in Australia, 60 per cent of travellers said they would use internal flights to get around Australia. We know that Australia’s aviation landscapes influence how international travellers book</w:t>
      </w:r>
      <w:r w:rsidR="00F03B15">
        <w:rPr>
          <w:lang w:val="en-AU"/>
        </w:rPr>
        <w:t xml:space="preserve"> a</w:t>
      </w:r>
      <w:r w:rsidRPr="3A4A40CF">
        <w:rPr>
          <w:lang w:val="en-AU"/>
        </w:rPr>
        <w:t xml:space="preserve"> holiday. According to our Consumer Demand Project Research, travellers say that cost/value for money, and convenience are the biggest influences when it comes to travel at a destination (CDP Feb 2025).</w:t>
      </w:r>
      <w:r w:rsidR="00AD516C">
        <w:rPr>
          <w:lang w:val="en-AU"/>
        </w:rPr>
        <w:t xml:space="preserve"> </w:t>
      </w:r>
      <w:r w:rsidR="00E20DC3" w:rsidRPr="00317280">
        <w:rPr>
          <w:lang w:val="en-AU"/>
        </w:rPr>
        <w:t>Without strong aviation links</w:t>
      </w:r>
      <w:r w:rsidR="00702725" w:rsidRPr="00317280">
        <w:rPr>
          <w:lang w:val="en-AU"/>
        </w:rPr>
        <w:t xml:space="preserve">, </w:t>
      </w:r>
      <w:r w:rsidR="00E3692C" w:rsidRPr="3A4A40CF">
        <w:rPr>
          <w:lang w:val="en-AU"/>
        </w:rPr>
        <w:t xml:space="preserve">regional </w:t>
      </w:r>
      <w:r w:rsidR="00613187" w:rsidRPr="3A4A40CF">
        <w:rPr>
          <w:lang w:val="en-AU"/>
        </w:rPr>
        <w:t>Australia</w:t>
      </w:r>
      <w:r w:rsidR="00E3692C" w:rsidRPr="3A4A40CF">
        <w:rPr>
          <w:lang w:val="en-AU"/>
        </w:rPr>
        <w:t xml:space="preserve"> </w:t>
      </w:r>
      <w:r w:rsidR="004A491E" w:rsidRPr="3A4A40CF">
        <w:rPr>
          <w:lang w:val="en-AU"/>
        </w:rPr>
        <w:t xml:space="preserve">is unable to </w:t>
      </w:r>
      <w:r w:rsidR="00613187" w:rsidRPr="3A4A40CF">
        <w:rPr>
          <w:lang w:val="en-AU"/>
        </w:rPr>
        <w:t>take advantage of all</w:t>
      </w:r>
      <w:r w:rsidR="00E3692C" w:rsidRPr="3A4A40CF">
        <w:rPr>
          <w:lang w:val="en-AU"/>
        </w:rPr>
        <w:t xml:space="preserve"> economic benefits </w:t>
      </w:r>
      <w:r w:rsidR="004A491E" w:rsidRPr="3A4A40CF">
        <w:rPr>
          <w:lang w:val="en-AU"/>
        </w:rPr>
        <w:t xml:space="preserve">tourism </w:t>
      </w:r>
      <w:r w:rsidR="00613187" w:rsidRPr="3A4A40CF">
        <w:rPr>
          <w:lang w:val="en-AU"/>
        </w:rPr>
        <w:t>has to offer</w:t>
      </w:r>
      <w:r w:rsidR="00E20DC3" w:rsidRPr="00317280">
        <w:rPr>
          <w:lang w:val="en-AU"/>
        </w:rPr>
        <w:t>.</w:t>
      </w:r>
      <w:r w:rsidR="00702725" w:rsidRPr="00317280">
        <w:rPr>
          <w:lang w:val="en-AU"/>
        </w:rPr>
        <w:t xml:space="preserve"> </w:t>
      </w:r>
    </w:p>
    <w:p w14:paraId="2FF29A2F" w14:textId="69A2EBDC" w:rsidR="0067241B" w:rsidRDefault="0067241B" w:rsidP="007C40DC">
      <w:pPr>
        <w:spacing w:line="360" w:lineRule="auto"/>
        <w:rPr>
          <w:b/>
          <w:bCs/>
          <w:sz w:val="32"/>
          <w:szCs w:val="32"/>
          <w:lang w:val="en-AU"/>
        </w:rPr>
      </w:pPr>
      <w:r w:rsidRPr="55800C59">
        <w:rPr>
          <w:b/>
          <w:bCs/>
          <w:sz w:val="32"/>
          <w:szCs w:val="32"/>
          <w:lang w:val="en-AU"/>
        </w:rPr>
        <w:t>Market conditions impacting airfares</w:t>
      </w:r>
    </w:p>
    <w:p w14:paraId="40FA3351" w14:textId="7287ABFD" w:rsidR="003824EC" w:rsidRDefault="003824EC" w:rsidP="00E53083">
      <w:pPr>
        <w:spacing w:line="360" w:lineRule="auto"/>
        <w:rPr>
          <w:lang w:val="en-AU"/>
        </w:rPr>
      </w:pPr>
      <w:r w:rsidRPr="55800C59">
        <w:rPr>
          <w:lang w:val="en-AU"/>
        </w:rPr>
        <w:t>Aviation pricing is impacted by a complex interplay of factors, however the fundament</w:t>
      </w:r>
      <w:r w:rsidR="01D047A1" w:rsidRPr="55800C59">
        <w:rPr>
          <w:lang w:val="en-AU"/>
        </w:rPr>
        <w:t>al</w:t>
      </w:r>
      <w:r w:rsidRPr="55800C59">
        <w:rPr>
          <w:lang w:val="en-AU"/>
        </w:rPr>
        <w:t xml:space="preserve"> drivers of price relate to levels of supply and demand, operational input costs including jet fuel prices, as well as the existence of competition in the market. </w:t>
      </w:r>
    </w:p>
    <w:p w14:paraId="44068C82" w14:textId="59F2E453" w:rsidR="00305A5E" w:rsidRDefault="002F450A" w:rsidP="007C40DC">
      <w:pPr>
        <w:spacing w:line="360" w:lineRule="auto"/>
        <w:rPr>
          <w:lang w:val="en-AU"/>
        </w:rPr>
      </w:pPr>
      <w:r>
        <w:rPr>
          <w:lang w:val="en-AU"/>
        </w:rPr>
        <w:t>Market competition in Australia has</w:t>
      </w:r>
      <w:r w:rsidR="00E57804">
        <w:rPr>
          <w:lang w:val="en-AU"/>
        </w:rPr>
        <w:t xml:space="preserve"> </w:t>
      </w:r>
      <w:r w:rsidR="00BC5A79">
        <w:rPr>
          <w:lang w:val="en-AU"/>
        </w:rPr>
        <w:t xml:space="preserve">affected </w:t>
      </w:r>
      <w:r w:rsidR="00E57804">
        <w:rPr>
          <w:lang w:val="en-AU"/>
        </w:rPr>
        <w:t xml:space="preserve">airfares across Australia. </w:t>
      </w:r>
      <w:r w:rsidR="00947555" w:rsidRPr="00E53083">
        <w:rPr>
          <w:lang w:val="en-AU"/>
        </w:rPr>
        <w:t>Since the 1990 deregulation of the aviation sector, 12 airlines (mostly low-cost and regional carriers) have exited the Australia marke</w:t>
      </w:r>
      <w:r w:rsidR="0084119B" w:rsidRPr="00E53083">
        <w:rPr>
          <w:lang w:val="en-AU"/>
        </w:rPr>
        <w:t xml:space="preserve">t. </w:t>
      </w:r>
      <w:r w:rsidR="00D85CFE" w:rsidRPr="00E53083">
        <w:rPr>
          <w:lang w:val="en-AU"/>
        </w:rPr>
        <w:t>There is a strong link between the degree of competition and airfares, with increases in the number of airlines on a route resulting in significant reduction in airfares</w:t>
      </w:r>
      <w:r w:rsidR="00AD516C">
        <w:rPr>
          <w:lang w:val="en-AU"/>
        </w:rPr>
        <w:t>, a recent Treasury study noted that</w:t>
      </w:r>
      <w:r w:rsidR="0000456B" w:rsidRPr="00597FCF">
        <w:rPr>
          <w:i/>
          <w:iCs/>
          <w:lang w:val="en-AU"/>
        </w:rPr>
        <w:t xml:space="preserve"> “…</w:t>
      </w:r>
      <w:r w:rsidR="009E3758" w:rsidRPr="00597FCF">
        <w:rPr>
          <w:i/>
          <w:iCs/>
          <w:lang w:val="en-AU"/>
        </w:rPr>
        <w:t>increasing competition lowers price growth, and that even the mere threat of competition can lower airfares”</w:t>
      </w:r>
      <w:r w:rsidR="00D85CFE" w:rsidRPr="00E53083">
        <w:rPr>
          <w:lang w:val="en-AU"/>
        </w:rPr>
        <w:t>.</w:t>
      </w:r>
      <w:r w:rsidR="00EE6DF1" w:rsidRPr="00E53083">
        <w:rPr>
          <w:sz w:val="16"/>
          <w:szCs w:val="16"/>
          <w:lang w:val="en-AU"/>
        </w:rPr>
        <w:footnoteReference w:id="3"/>
      </w:r>
    </w:p>
    <w:p w14:paraId="31FF6919" w14:textId="25AA1282" w:rsidR="00AC0ABA" w:rsidRDefault="00E53083" w:rsidP="007C40DC">
      <w:pPr>
        <w:spacing w:line="360" w:lineRule="auto"/>
        <w:rPr>
          <w:lang w:val="en-AU"/>
        </w:rPr>
      </w:pPr>
      <w:r w:rsidRPr="00E53083">
        <w:rPr>
          <w:lang w:val="en-AU"/>
        </w:rPr>
        <w:lastRenderedPageBreak/>
        <w:t xml:space="preserve">While the latest headline indices show the trend in average revenue per passenger (ACCC airline data) and average real air fares (BITRE online advertised fare data) </w:t>
      </w:r>
      <w:r w:rsidR="002E45C8">
        <w:rPr>
          <w:lang w:val="en-AU"/>
        </w:rPr>
        <w:t xml:space="preserve">were </w:t>
      </w:r>
      <w:r w:rsidRPr="00E53083">
        <w:rPr>
          <w:lang w:val="en-AU"/>
        </w:rPr>
        <w:t xml:space="preserve">at relatively subdued levels in 2025, averages often mask variability in airfares that consumers themselves see at the time of booking. </w:t>
      </w:r>
    </w:p>
    <w:p w14:paraId="104033A0" w14:textId="11C7B7E5" w:rsidR="00AC0ABA" w:rsidRDefault="00AC0ABA" w:rsidP="007C40DC">
      <w:pPr>
        <w:spacing w:line="360" w:lineRule="auto"/>
        <w:rPr>
          <w:lang w:val="en-AU"/>
        </w:rPr>
      </w:pPr>
      <w:r w:rsidRPr="323A98FD">
        <w:rPr>
          <w:lang w:val="en-AU"/>
        </w:rPr>
        <w:t>The relatively recent advent of dynamic pricing models also adjusts fares in real-time based on levels of demand and other data, which can surge airfares in periods of high demand.</w:t>
      </w:r>
    </w:p>
    <w:p w14:paraId="10AF1478" w14:textId="4853612F" w:rsidR="00BE009E" w:rsidRDefault="00E53083" w:rsidP="007C40DC">
      <w:pPr>
        <w:spacing w:line="360" w:lineRule="auto"/>
        <w:rPr>
          <w:lang w:val="en-AU"/>
        </w:rPr>
      </w:pPr>
      <w:r w:rsidRPr="00E53083">
        <w:rPr>
          <w:lang w:val="en-AU"/>
        </w:rPr>
        <w:t>Seasonally, ‘regional’ airfares appear to have been at elevated levels in recent history, as has the availability of the cheapest or ‘best discount’ airfares</w:t>
      </w:r>
      <w:r w:rsidR="002E45C8">
        <w:rPr>
          <w:lang w:val="en-AU"/>
        </w:rPr>
        <w:t>,</w:t>
      </w:r>
      <w:r w:rsidRPr="00E53083">
        <w:rPr>
          <w:lang w:val="en-AU"/>
        </w:rPr>
        <w:t xml:space="preserve"> which are important considerations for leisure travellers. BITRE’s best discount fares index increased </w:t>
      </w:r>
      <w:r w:rsidR="00CF2CE2">
        <w:rPr>
          <w:lang w:val="en-AU"/>
        </w:rPr>
        <w:t>6</w:t>
      </w:r>
      <w:r w:rsidR="000F7C6E">
        <w:rPr>
          <w:lang w:val="en-AU"/>
        </w:rPr>
        <w:t> </w:t>
      </w:r>
      <w:r w:rsidRPr="00E53083">
        <w:rPr>
          <w:lang w:val="en-AU"/>
        </w:rPr>
        <w:t xml:space="preserve">percentage points in the year to </w:t>
      </w:r>
      <w:r w:rsidR="00CF2CE2">
        <w:rPr>
          <w:lang w:val="en-AU"/>
        </w:rPr>
        <w:t>February 2026</w:t>
      </w:r>
      <w:r w:rsidRPr="00E53083">
        <w:rPr>
          <w:lang w:val="en-AU"/>
        </w:rPr>
        <w:t xml:space="preserve">, </w:t>
      </w:r>
      <w:r w:rsidR="000519C6">
        <w:rPr>
          <w:lang w:val="en-AU"/>
        </w:rPr>
        <w:t>suggesting</w:t>
      </w:r>
      <w:r w:rsidR="000519C6" w:rsidRPr="00E53083">
        <w:rPr>
          <w:lang w:val="en-AU"/>
        </w:rPr>
        <w:t xml:space="preserve"> </w:t>
      </w:r>
      <w:r w:rsidRPr="00E53083">
        <w:rPr>
          <w:lang w:val="en-AU"/>
        </w:rPr>
        <w:t>that the price of the cheapest available seats</w:t>
      </w:r>
      <w:r w:rsidR="00CF2CE2">
        <w:rPr>
          <w:lang w:val="en-AU"/>
        </w:rPr>
        <w:t xml:space="preserve"> almost </w:t>
      </w:r>
      <w:r w:rsidR="000519C6">
        <w:rPr>
          <w:lang w:val="en-AU"/>
        </w:rPr>
        <w:t xml:space="preserve">increased faster than </w:t>
      </w:r>
      <w:r w:rsidR="00CF2CE2">
        <w:rPr>
          <w:lang w:val="en-AU"/>
        </w:rPr>
        <w:t>inflation in the same period.</w:t>
      </w:r>
      <w:r w:rsidRPr="00E53083">
        <w:rPr>
          <w:lang w:val="en-AU"/>
        </w:rPr>
        <w:t xml:space="preserve"> </w:t>
      </w:r>
    </w:p>
    <w:p w14:paraId="65C10B9F" w14:textId="2DAA1164" w:rsidR="00D503B7" w:rsidRDefault="00D503B7" w:rsidP="007C40DC">
      <w:pPr>
        <w:spacing w:line="360" w:lineRule="auto"/>
        <w:rPr>
          <w:lang w:val="en-AU"/>
        </w:rPr>
      </w:pPr>
      <w:r>
        <w:rPr>
          <w:lang w:val="en-AU"/>
        </w:rPr>
        <w:t>However, the</w:t>
      </w:r>
      <w:r w:rsidRPr="323A98FD">
        <w:rPr>
          <w:lang w:val="en-AU"/>
        </w:rPr>
        <w:t xml:space="preserve"> BITRE data reveals the real cost of airfares has decreased over the past thirty years, likely due to growth in the sector, improvements in aircraft efficiency, larger numbers of passengers per flight, and gains from economies of scale.</w:t>
      </w:r>
    </w:p>
    <w:p w14:paraId="08A1E955" w14:textId="2DA0DEF3" w:rsidR="00815555" w:rsidRPr="002D417E" w:rsidRDefault="00DA7B2D" w:rsidP="002D417E">
      <w:pPr>
        <w:spacing w:line="360" w:lineRule="auto"/>
        <w:rPr>
          <w:lang w:val="en-AU"/>
        </w:rPr>
      </w:pPr>
      <w:r>
        <w:rPr>
          <w:lang w:val="en-AU"/>
        </w:rPr>
        <w:t xml:space="preserve">Treasury’s </w:t>
      </w:r>
      <w:r w:rsidR="00E53083" w:rsidRPr="00E53083">
        <w:rPr>
          <w:lang w:val="en-AU"/>
        </w:rPr>
        <w:t>2024 econometric analysis on detailed flight data found that the presence of an additional airline on a route reduces airfares by between 5 to 10</w:t>
      </w:r>
      <w:r w:rsidR="005C59A3">
        <w:rPr>
          <w:lang w:val="en-AU"/>
        </w:rPr>
        <w:t xml:space="preserve"> per cent</w:t>
      </w:r>
      <w:r>
        <w:rPr>
          <w:lang w:val="en-AU"/>
        </w:rPr>
        <w:t xml:space="preserve"> and that </w:t>
      </w:r>
      <w:r w:rsidR="00E53083" w:rsidRPr="002D417E">
        <w:rPr>
          <w:i/>
          <w:iCs/>
          <w:lang w:val="en-AU"/>
        </w:rPr>
        <w:t>“</w:t>
      </w:r>
      <w:r w:rsidRPr="002D417E">
        <w:rPr>
          <w:i/>
          <w:iCs/>
          <w:lang w:val="en-AU"/>
        </w:rPr>
        <w:t>t</w:t>
      </w:r>
      <w:r w:rsidR="00E53083" w:rsidRPr="002D417E">
        <w:rPr>
          <w:i/>
          <w:iCs/>
          <w:lang w:val="en-AU"/>
        </w:rPr>
        <w:t>he impact of increased competition is likely to be particularly strong for tourism and there are likely to be large spillover effects. ...Australians mostly travel for tourism or to visit family and friends and they spend more on each of accommodation, food, and retail than transport. More airline competition will flow on to these other sectors.”</w:t>
      </w:r>
      <w:r w:rsidRPr="00710A20">
        <w:rPr>
          <w:sz w:val="16"/>
          <w:szCs w:val="16"/>
        </w:rPr>
        <w:footnoteReference w:id="4"/>
      </w:r>
      <w:r w:rsidRPr="00710A20">
        <w:rPr>
          <w:sz w:val="16"/>
          <w:szCs w:val="16"/>
          <w:lang w:val="en-AU"/>
        </w:rPr>
        <w:t xml:space="preserve"> </w:t>
      </w:r>
      <w:r w:rsidR="00CC376D">
        <w:rPr>
          <w:lang w:val="en-AU"/>
        </w:rPr>
        <w:t>In addition, other micro-trends observed</w:t>
      </w:r>
      <w:r w:rsidR="00BA12F2">
        <w:rPr>
          <w:lang w:val="en-AU"/>
        </w:rPr>
        <w:t xml:space="preserve"> by TA</w:t>
      </w:r>
      <w:r w:rsidR="00CC376D">
        <w:rPr>
          <w:lang w:val="en-AU"/>
        </w:rPr>
        <w:t xml:space="preserve"> </w:t>
      </w:r>
      <w:r w:rsidR="00BA12F2">
        <w:rPr>
          <w:lang w:val="en-AU"/>
        </w:rPr>
        <w:t>using</w:t>
      </w:r>
      <w:r w:rsidR="00CC376D">
        <w:rPr>
          <w:lang w:val="en-AU"/>
        </w:rPr>
        <w:t xml:space="preserve"> </w:t>
      </w:r>
      <w:r w:rsidR="008872E6" w:rsidRPr="002D417E">
        <w:rPr>
          <w:lang w:val="en-AU"/>
        </w:rPr>
        <w:t>International Air Transport Association (</w:t>
      </w:r>
      <w:r w:rsidR="00395840" w:rsidRPr="002D417E">
        <w:rPr>
          <w:lang w:val="en-AU"/>
        </w:rPr>
        <w:t>IATA</w:t>
      </w:r>
      <w:r w:rsidR="008872E6" w:rsidRPr="002D417E">
        <w:rPr>
          <w:lang w:val="en-AU"/>
        </w:rPr>
        <w:t>)</w:t>
      </w:r>
      <w:r w:rsidR="00395840" w:rsidRPr="002D417E">
        <w:rPr>
          <w:lang w:val="en-AU"/>
        </w:rPr>
        <w:t xml:space="preserve"> data include</w:t>
      </w:r>
      <w:r w:rsidR="00815555" w:rsidRPr="002D417E">
        <w:rPr>
          <w:lang w:val="en-AU"/>
        </w:rPr>
        <w:t>d</w:t>
      </w:r>
      <w:r w:rsidR="00395840" w:rsidRPr="002D417E">
        <w:rPr>
          <w:lang w:val="en-AU"/>
        </w:rPr>
        <w:t xml:space="preserve"> spikes in </w:t>
      </w:r>
      <w:r w:rsidR="00395840" w:rsidRPr="002D417E">
        <w:rPr>
          <w:lang w:val="en-AU"/>
        </w:rPr>
        <w:lastRenderedPageBreak/>
        <w:t xml:space="preserve">airfares during school holidays, public holidays, sporting and special events, as well as generally higher airfares for routes with limited frequencies or only one carrier. </w:t>
      </w:r>
    </w:p>
    <w:p w14:paraId="28AA97CB" w14:textId="34B115E6" w:rsidR="00395840" w:rsidRPr="002D417E" w:rsidRDefault="00395840" w:rsidP="6CB31B8B">
      <w:pPr>
        <w:spacing w:line="360" w:lineRule="auto"/>
      </w:pPr>
      <w:r w:rsidRPr="6CB31B8B">
        <w:t xml:space="preserve">Treasury’s </w:t>
      </w:r>
      <w:r w:rsidR="19694AD0" w:rsidRPr="6CB31B8B">
        <w:t>2025 price elasticities report notes that</w:t>
      </w:r>
      <w:r w:rsidRPr="6CB31B8B">
        <w:t xml:space="preserve"> </w:t>
      </w:r>
      <w:r w:rsidR="19694AD0" w:rsidRPr="6CB31B8B">
        <w:t>“</w:t>
      </w:r>
      <w:r w:rsidRPr="6CB31B8B">
        <w:rPr>
          <w:i/>
          <w:iCs/>
        </w:rPr>
        <w:t>routes serving major leisure destinations, such as Cairns (CNS), Coffs Harbour (CFS) and Hamilton Island (HTI), exhibit more elastic demand, suggesting that discretionary travel is particularly sensitive to price changes. Conversely, routes dominated by business travel, such as Sydney (SYD) to Canberra (CBR) for Qantas and routes between Australia’s major business cities</w:t>
      </w:r>
      <w:r w:rsidR="19694AD0" w:rsidRPr="6CB31B8B">
        <w:rPr>
          <w:i/>
          <w:iCs/>
        </w:rPr>
        <w:t>…</w:t>
      </w:r>
      <w:r w:rsidRPr="6CB31B8B">
        <w:rPr>
          <w:i/>
          <w:iCs/>
        </w:rPr>
        <w:t>show lower price sensitivity, reinforcing the expectation that business travellers have more inelastic demand</w:t>
      </w:r>
      <w:r w:rsidR="19694AD0" w:rsidRPr="6CB31B8B">
        <w:rPr>
          <w:i/>
          <w:iCs/>
        </w:rPr>
        <w:t>.”</w:t>
      </w:r>
      <w:r w:rsidR="004C6495" w:rsidRPr="6CB31B8B">
        <w:rPr>
          <w:sz w:val="16"/>
          <w:szCs w:val="16"/>
        </w:rPr>
        <w:footnoteReference w:id="5"/>
      </w:r>
      <w:r w:rsidR="335BCC80" w:rsidRPr="6CB31B8B">
        <w:rPr>
          <w:sz w:val="16"/>
          <w:szCs w:val="16"/>
        </w:rPr>
        <w:t xml:space="preserve"> </w:t>
      </w:r>
    </w:p>
    <w:p w14:paraId="35CDC9D3" w14:textId="44B4E984" w:rsidR="41C04A3E" w:rsidRPr="00F13974" w:rsidRDefault="00597FCF" w:rsidP="41C04A3E">
      <w:pPr>
        <w:spacing w:line="360" w:lineRule="auto"/>
        <w:rPr>
          <w:lang w:val="en-AU"/>
        </w:rPr>
      </w:pPr>
      <w:r w:rsidRPr="323A98FD">
        <w:rPr>
          <w:lang w:val="en-AU"/>
        </w:rPr>
        <w:t xml:space="preserve">Other influencing factors can include route popularity, </w:t>
      </w:r>
      <w:r w:rsidR="00602D2E">
        <w:rPr>
          <w:lang w:val="en-AU"/>
        </w:rPr>
        <w:t>inflation</w:t>
      </w:r>
      <w:r w:rsidR="00444388">
        <w:rPr>
          <w:lang w:val="en-AU"/>
        </w:rPr>
        <w:t xml:space="preserve">, staff shortages, airport and aircraft shortages, </w:t>
      </w:r>
      <w:r w:rsidRPr="323A98FD">
        <w:rPr>
          <w:lang w:val="en-AU"/>
        </w:rPr>
        <w:t xml:space="preserve">seasonality, aircraft type, and booking classes. </w:t>
      </w:r>
    </w:p>
    <w:p w14:paraId="60F57085" w14:textId="493159EA" w:rsidR="00996E70" w:rsidRDefault="00996E70" w:rsidP="007C40DC">
      <w:pPr>
        <w:spacing w:line="360" w:lineRule="auto"/>
        <w:rPr>
          <w:b/>
          <w:bCs/>
          <w:sz w:val="32"/>
          <w:szCs w:val="32"/>
          <w:lang w:val="en-AU"/>
        </w:rPr>
      </w:pPr>
      <w:r>
        <w:rPr>
          <w:b/>
          <w:bCs/>
          <w:sz w:val="32"/>
          <w:szCs w:val="32"/>
          <w:lang w:val="en-AU"/>
        </w:rPr>
        <w:t xml:space="preserve">Tourism Australia’s </w:t>
      </w:r>
      <w:r w:rsidR="00AB282D">
        <w:rPr>
          <w:b/>
          <w:bCs/>
          <w:sz w:val="32"/>
          <w:szCs w:val="32"/>
          <w:lang w:val="en-AU"/>
        </w:rPr>
        <w:t>remit</w:t>
      </w:r>
      <w:r w:rsidR="00A552D1">
        <w:rPr>
          <w:b/>
          <w:bCs/>
          <w:sz w:val="32"/>
          <w:szCs w:val="32"/>
          <w:lang w:val="en-AU"/>
        </w:rPr>
        <w:t xml:space="preserve"> </w:t>
      </w:r>
    </w:p>
    <w:p w14:paraId="15AA52DF" w14:textId="0BE2246D" w:rsidR="00AB282D" w:rsidRDefault="00252E78" w:rsidP="007C40DC">
      <w:pPr>
        <w:spacing w:line="360" w:lineRule="auto"/>
        <w:rPr>
          <w:lang w:val="en-AU"/>
        </w:rPr>
      </w:pPr>
      <w:r w:rsidRPr="55800C59">
        <w:rPr>
          <w:lang w:val="en-AU"/>
        </w:rPr>
        <w:t>Tourism Australia works with partners globally to promote Australia but also encourage dispersal</w:t>
      </w:r>
      <w:r w:rsidR="00A6162A" w:rsidRPr="55800C59">
        <w:rPr>
          <w:lang w:val="en-AU"/>
        </w:rPr>
        <w:t xml:space="preserve"> around Australia. </w:t>
      </w:r>
      <w:r w:rsidR="00FF5C16">
        <w:rPr>
          <w:lang w:val="en-AU"/>
        </w:rPr>
        <w:t>T</w:t>
      </w:r>
      <w:r w:rsidR="00AB282D" w:rsidRPr="55800C59">
        <w:rPr>
          <w:lang w:val="en-AU"/>
        </w:rPr>
        <w:t xml:space="preserve">wo Tourism Australia initiatives </w:t>
      </w:r>
      <w:r w:rsidR="002560E8" w:rsidRPr="55800C59">
        <w:rPr>
          <w:lang w:val="en-AU"/>
        </w:rPr>
        <w:t>aim</w:t>
      </w:r>
      <w:r w:rsidR="00796CE1">
        <w:rPr>
          <w:lang w:val="en-AU"/>
        </w:rPr>
        <w:t xml:space="preserve"> to assist consumers access lower airfares.</w:t>
      </w:r>
    </w:p>
    <w:p w14:paraId="7F0CB991" w14:textId="41B683C7" w:rsidR="00651297" w:rsidRDefault="0046589B" w:rsidP="00651297">
      <w:pPr>
        <w:spacing w:line="360" w:lineRule="auto"/>
      </w:pPr>
      <w:r w:rsidRPr="55800C59">
        <w:rPr>
          <w:lang w:val="en-AU"/>
        </w:rPr>
        <w:t xml:space="preserve">The first relates to air pass products </w:t>
      </w:r>
      <w:r w:rsidR="00651297">
        <w:t>that connect international flight itineraries with domestic flights</w:t>
      </w:r>
      <w:r w:rsidR="00796CE1">
        <w:t>. These air pass products are an</w:t>
      </w:r>
      <w:r w:rsidR="00651297">
        <w:t xml:space="preserve"> important product to help visitors disperse across the country at a discounted rate. </w:t>
      </w:r>
      <w:r w:rsidR="004D0348">
        <w:t>I</w:t>
      </w:r>
      <w:r w:rsidR="00651297">
        <w:t xml:space="preserve">n </w:t>
      </w:r>
      <w:r w:rsidR="00B43FD9">
        <w:t>2025/26</w:t>
      </w:r>
      <w:r w:rsidR="00651297">
        <w:t xml:space="preserve">, </w:t>
      </w:r>
      <w:r w:rsidR="004D0348">
        <w:t>TA</w:t>
      </w:r>
      <w:r w:rsidR="00651297">
        <w:t xml:space="preserve"> partnered with Qantas on a joint campaign to promote the</w:t>
      </w:r>
      <w:r w:rsidR="005F0408">
        <w:t>ir</w:t>
      </w:r>
      <w:r w:rsidR="00651297">
        <w:t xml:space="preserve"> Explorer Pass in India, UK, USA, Canada</w:t>
      </w:r>
      <w:r w:rsidR="00263A3E">
        <w:t>,</w:t>
      </w:r>
      <w:r w:rsidR="00651297">
        <w:t xml:space="preserve"> and Japan, where visitors can save up to 30</w:t>
      </w:r>
      <w:r w:rsidR="00263A3E">
        <w:t xml:space="preserve"> per cent</w:t>
      </w:r>
      <w:r w:rsidR="00651297">
        <w:t xml:space="preserve"> off their domestic flights when purchased in conjunction with an international flight.</w:t>
      </w:r>
      <w:r w:rsidR="008971F9">
        <w:t xml:space="preserve"> </w:t>
      </w:r>
      <w:r w:rsidR="00996EB5">
        <w:t>TA</w:t>
      </w:r>
      <w:r w:rsidR="00F6560A">
        <w:t xml:space="preserve"> will continue to</w:t>
      </w:r>
      <w:r w:rsidR="00F129C9">
        <w:t xml:space="preserve"> explore opportunities with other carries </w:t>
      </w:r>
      <w:r w:rsidR="00E80693">
        <w:t xml:space="preserve">to </w:t>
      </w:r>
      <w:r w:rsidR="00E80693">
        <w:lastRenderedPageBreak/>
        <w:t xml:space="preserve">encourage the uptick of air pass products with carries such as </w:t>
      </w:r>
      <w:r w:rsidR="00284781">
        <w:t xml:space="preserve">Qatar </w:t>
      </w:r>
      <w:r w:rsidR="00BF4AD6">
        <w:t>Airways</w:t>
      </w:r>
      <w:r w:rsidR="00284781">
        <w:t xml:space="preserve">, </w:t>
      </w:r>
      <w:r w:rsidR="00E80693">
        <w:t>Virgin Australia, Singapore Airlines</w:t>
      </w:r>
      <w:r w:rsidR="00CD1B4E">
        <w:t>,</w:t>
      </w:r>
      <w:r w:rsidR="00E80693">
        <w:t xml:space="preserve"> and United Airlines.</w:t>
      </w:r>
      <w:r w:rsidR="00F6560A">
        <w:t xml:space="preserve"> </w:t>
      </w:r>
    </w:p>
    <w:p w14:paraId="6772504A" w14:textId="466DEE0D" w:rsidR="41C04A3E" w:rsidRPr="00F13974" w:rsidRDefault="00F6560A" w:rsidP="41C04A3E">
      <w:pPr>
        <w:spacing w:line="360" w:lineRule="auto"/>
      </w:pPr>
      <w:r>
        <w:t>The second relates to our successful Aussie Specialist Program</w:t>
      </w:r>
      <w:r w:rsidR="007867BC">
        <w:t xml:space="preserve"> (ASP)</w:t>
      </w:r>
      <w:r>
        <w:t xml:space="preserve">. Tourism Australia’s ASP </w:t>
      </w:r>
      <w:r w:rsidR="003357C1">
        <w:t xml:space="preserve">is a global online training platform that assists </w:t>
      </w:r>
      <w:r w:rsidR="7722594A">
        <w:t>international</w:t>
      </w:r>
      <w:r w:rsidR="005F0408">
        <w:t xml:space="preserve"> travel</w:t>
      </w:r>
      <w:r w:rsidR="7722594A">
        <w:t xml:space="preserve"> </w:t>
      </w:r>
      <w:r w:rsidR="009E3BE8">
        <w:t>agents</w:t>
      </w:r>
      <w:r w:rsidR="005F0408">
        <w:t xml:space="preserve"> to</w:t>
      </w:r>
      <w:r w:rsidR="009E3BE8">
        <w:t xml:space="preserve"> sell Australia</w:t>
      </w:r>
      <w:r w:rsidR="00212E54">
        <w:t>. The ASP has</w:t>
      </w:r>
      <w:r w:rsidR="009E3BE8">
        <w:t xml:space="preserve"> been running for over 30 years and has a total of 37,000 </w:t>
      </w:r>
      <w:r w:rsidR="00212E54">
        <w:t>travel</w:t>
      </w:r>
      <w:r w:rsidR="009E3BE8">
        <w:t xml:space="preserve"> agents</w:t>
      </w:r>
      <w:r w:rsidR="3532F607">
        <w:t xml:space="preserve"> across the world</w:t>
      </w:r>
      <w:r w:rsidR="009E3BE8">
        <w:t xml:space="preserve">. </w:t>
      </w:r>
      <w:r w:rsidR="00212E54">
        <w:t>TA educates</w:t>
      </w:r>
      <w:r w:rsidR="004C6A19">
        <w:t xml:space="preserve"> our agents </w:t>
      </w:r>
      <w:r w:rsidR="00F03C2A">
        <w:t xml:space="preserve">via </w:t>
      </w:r>
      <w:r w:rsidR="009B7AA9">
        <w:t xml:space="preserve">face to face and online </w:t>
      </w:r>
      <w:r w:rsidR="00F03C2A">
        <w:t xml:space="preserve">communication channels </w:t>
      </w:r>
      <w:r w:rsidR="009B7AA9">
        <w:t>on a variety of matters including</w:t>
      </w:r>
      <w:r w:rsidR="00D01384" w:rsidRPr="41C04A3E">
        <w:rPr>
          <w:lang w:val="en-AU"/>
        </w:rPr>
        <w:t xml:space="preserve"> airline campaigns, new routes and air passes. New aviation training materials are being developed and will provide an overview of aviation access into Australi</w:t>
      </w:r>
      <w:r w:rsidR="009B7AA9" w:rsidRPr="41C04A3E">
        <w:rPr>
          <w:lang w:val="en-AU"/>
        </w:rPr>
        <w:t>a as well as around A</w:t>
      </w:r>
      <w:r w:rsidR="00F456A3" w:rsidRPr="41C04A3E">
        <w:rPr>
          <w:lang w:val="en-AU"/>
        </w:rPr>
        <w:t>u</w:t>
      </w:r>
      <w:r w:rsidR="009B7AA9" w:rsidRPr="41C04A3E">
        <w:rPr>
          <w:lang w:val="en-AU"/>
        </w:rPr>
        <w:t>stralia</w:t>
      </w:r>
      <w:r w:rsidR="00D01384" w:rsidRPr="41C04A3E">
        <w:rPr>
          <w:lang w:val="en-AU"/>
        </w:rPr>
        <w:t xml:space="preserve">. These materials will be made region specific </w:t>
      </w:r>
      <w:r w:rsidR="00F456A3" w:rsidRPr="41C04A3E">
        <w:rPr>
          <w:lang w:val="en-AU"/>
        </w:rPr>
        <w:t>for agents based in</w:t>
      </w:r>
      <w:r w:rsidR="00D01384" w:rsidRPr="41C04A3E">
        <w:rPr>
          <w:lang w:val="en-AU"/>
        </w:rPr>
        <w:t xml:space="preserve"> Asia, UK/Europe and North America/New Zealand and are planned to be released in </w:t>
      </w:r>
      <w:r w:rsidR="00F456A3" w:rsidRPr="41C04A3E">
        <w:rPr>
          <w:lang w:val="en-AU"/>
        </w:rPr>
        <w:t>2026</w:t>
      </w:r>
      <w:r w:rsidR="00D01384" w:rsidRPr="41C04A3E">
        <w:rPr>
          <w:lang w:val="en-AU"/>
        </w:rPr>
        <w:t>.</w:t>
      </w:r>
    </w:p>
    <w:p w14:paraId="5D1A8FF5" w14:textId="562B94B9" w:rsidR="00EF4B96" w:rsidRPr="007C40DC" w:rsidRDefault="00EF4B96" w:rsidP="007C40DC">
      <w:pPr>
        <w:spacing w:line="360" w:lineRule="auto"/>
        <w:rPr>
          <w:b/>
          <w:bCs/>
          <w:sz w:val="32"/>
          <w:szCs w:val="32"/>
          <w:lang w:val="en-AU"/>
        </w:rPr>
      </w:pPr>
      <w:r w:rsidRPr="007C40DC">
        <w:rPr>
          <w:b/>
          <w:bCs/>
          <w:sz w:val="32"/>
          <w:szCs w:val="32"/>
          <w:lang w:val="en-AU"/>
        </w:rPr>
        <w:t>Industry feedback</w:t>
      </w:r>
      <w:r w:rsidR="007C40DC">
        <w:rPr>
          <w:b/>
          <w:bCs/>
          <w:sz w:val="32"/>
          <w:szCs w:val="32"/>
          <w:lang w:val="en-AU"/>
        </w:rPr>
        <w:br/>
      </w:r>
      <w:r w:rsidRPr="22EA1F97">
        <w:rPr>
          <w:lang w:val="en-AU"/>
        </w:rPr>
        <w:t xml:space="preserve">Through our industry engagement program in Australia, as well as our networks </w:t>
      </w:r>
      <w:r w:rsidR="00966D7E" w:rsidRPr="22EA1F97">
        <w:rPr>
          <w:lang w:val="en-AU"/>
        </w:rPr>
        <w:t>throughout the travel distribution system offshore, we receive feedback on</w:t>
      </w:r>
      <w:r w:rsidRPr="22EA1F97">
        <w:rPr>
          <w:lang w:val="en-AU"/>
        </w:rPr>
        <w:t xml:space="preserve"> </w:t>
      </w:r>
      <w:r w:rsidR="00B74B1D" w:rsidRPr="22EA1F97">
        <w:rPr>
          <w:lang w:val="en-AU"/>
        </w:rPr>
        <w:t xml:space="preserve">how </w:t>
      </w:r>
      <w:r w:rsidR="003F1DA3" w:rsidRPr="22EA1F97">
        <w:rPr>
          <w:lang w:val="en-AU"/>
        </w:rPr>
        <w:t xml:space="preserve">the dynamics of Australia’s aviation sector affects </w:t>
      </w:r>
      <w:r w:rsidR="00C61FE8" w:rsidRPr="22EA1F97">
        <w:rPr>
          <w:lang w:val="en-AU"/>
        </w:rPr>
        <w:t xml:space="preserve">the booking and travel behaviour of international visitors. </w:t>
      </w:r>
    </w:p>
    <w:p w14:paraId="53805947" w14:textId="7F737691" w:rsidR="00A835BA" w:rsidRDefault="10BCC2AC" w:rsidP="007C40DC">
      <w:pPr>
        <w:spacing w:line="360" w:lineRule="auto"/>
        <w:rPr>
          <w:lang w:val="en-AU"/>
        </w:rPr>
      </w:pPr>
      <w:r w:rsidRPr="60A397B7">
        <w:rPr>
          <w:lang w:val="en-AU"/>
        </w:rPr>
        <w:t xml:space="preserve">Generally speaking, while international aviation capacity into major gateways (Sydney, Melbourne, Brisbane, Perth) has largely recovered to near 2019 levels, </w:t>
      </w:r>
      <w:r w:rsidR="5863BFF8" w:rsidRPr="60A397B7">
        <w:rPr>
          <w:lang w:val="en-AU"/>
        </w:rPr>
        <w:t xml:space="preserve">the </w:t>
      </w:r>
      <w:r w:rsidR="78B0DB5B" w:rsidRPr="60A397B7">
        <w:rPr>
          <w:lang w:val="en-AU"/>
        </w:rPr>
        <w:t>cost</w:t>
      </w:r>
      <w:r w:rsidR="5863BFF8" w:rsidRPr="60A397B7">
        <w:rPr>
          <w:lang w:val="en-AU"/>
        </w:rPr>
        <w:t xml:space="preserve"> of regional aviation in Australia </w:t>
      </w:r>
      <w:r w:rsidR="78B0DB5B" w:rsidRPr="60A397B7">
        <w:rPr>
          <w:lang w:val="en-AU"/>
        </w:rPr>
        <w:t xml:space="preserve">has affected the ability of international visitors to disperse into </w:t>
      </w:r>
      <w:r w:rsidRPr="60A397B7">
        <w:rPr>
          <w:lang w:val="en-AU"/>
        </w:rPr>
        <w:t xml:space="preserve">regional </w:t>
      </w:r>
      <w:r w:rsidR="003A109C" w:rsidRPr="60A397B7">
        <w:rPr>
          <w:lang w:val="en-AU"/>
        </w:rPr>
        <w:t>Australia</w:t>
      </w:r>
      <w:r w:rsidR="78B0DB5B" w:rsidRPr="60A397B7">
        <w:rPr>
          <w:lang w:val="en-AU"/>
        </w:rPr>
        <w:t xml:space="preserve">. </w:t>
      </w:r>
    </w:p>
    <w:p w14:paraId="3E19D8D7" w14:textId="195697C7" w:rsidR="003A109C" w:rsidRDefault="00F37DCE" w:rsidP="007C40DC">
      <w:pPr>
        <w:spacing w:line="360" w:lineRule="auto"/>
        <w:rPr>
          <w:lang w:val="en-AU"/>
        </w:rPr>
      </w:pPr>
      <w:r w:rsidRPr="5FDCD79F">
        <w:rPr>
          <w:lang w:val="en-AU"/>
        </w:rPr>
        <w:t>Our partners report</w:t>
      </w:r>
      <w:r w:rsidR="003A109C" w:rsidRPr="5FDCD79F">
        <w:rPr>
          <w:lang w:val="en-AU"/>
        </w:rPr>
        <w:t xml:space="preserve"> that it is often cheaper for an international visitor to fly from Sydney to New Zealand or</w:t>
      </w:r>
      <w:r w:rsidRPr="5FDCD79F">
        <w:rPr>
          <w:lang w:val="en-AU"/>
        </w:rPr>
        <w:t xml:space="preserve"> </w:t>
      </w:r>
      <w:r w:rsidR="003A109C" w:rsidRPr="5FDCD79F">
        <w:rPr>
          <w:lang w:val="en-AU"/>
        </w:rPr>
        <w:t xml:space="preserve">Bali than to fly to a regional Australian </w:t>
      </w:r>
      <w:r w:rsidR="30245B3C" w:rsidRPr="5FDCD79F">
        <w:rPr>
          <w:lang w:val="en-AU"/>
        </w:rPr>
        <w:t xml:space="preserve">destination </w:t>
      </w:r>
      <w:r w:rsidR="003A109C" w:rsidRPr="5FDCD79F">
        <w:rPr>
          <w:lang w:val="en-AU"/>
        </w:rPr>
        <w:t>like Broome</w:t>
      </w:r>
      <w:r w:rsidR="4C8CF1CA" w:rsidRPr="5FDCD79F">
        <w:rPr>
          <w:lang w:val="en-AU"/>
        </w:rPr>
        <w:t>, Uluru</w:t>
      </w:r>
      <w:r w:rsidR="00524301">
        <w:rPr>
          <w:lang w:val="en-AU"/>
        </w:rPr>
        <w:t>,</w:t>
      </w:r>
      <w:r w:rsidR="003A109C" w:rsidRPr="5FDCD79F">
        <w:rPr>
          <w:lang w:val="en-AU"/>
        </w:rPr>
        <w:t xml:space="preserve"> or the Whitsundays. </w:t>
      </w:r>
      <w:r w:rsidR="00500645" w:rsidRPr="5FDCD79F">
        <w:rPr>
          <w:lang w:val="en-AU"/>
        </w:rPr>
        <w:t>O</w:t>
      </w:r>
      <w:r w:rsidR="00CC125C">
        <w:t xml:space="preserve">ther regional locations that are </w:t>
      </w:r>
      <w:r w:rsidR="00614676">
        <w:t xml:space="preserve">perceived to be </w:t>
      </w:r>
      <w:r w:rsidR="00CC125C">
        <w:t xml:space="preserve">expensive </w:t>
      </w:r>
      <w:r w:rsidR="00614676">
        <w:t xml:space="preserve">by </w:t>
      </w:r>
      <w:r w:rsidR="00524301">
        <w:t xml:space="preserve">the travel </w:t>
      </w:r>
      <w:r w:rsidR="00614676">
        <w:t xml:space="preserve">industry are </w:t>
      </w:r>
      <w:r w:rsidR="00CC125C">
        <w:t xml:space="preserve">Alice Springs, </w:t>
      </w:r>
      <w:r w:rsidR="00284781">
        <w:t xml:space="preserve">Broome, </w:t>
      </w:r>
      <w:r w:rsidR="005D5985">
        <w:t>Canberra, Hobart,</w:t>
      </w:r>
      <w:r w:rsidR="00833BF2">
        <w:t xml:space="preserve"> Uluru, Kangaroo Island,</w:t>
      </w:r>
      <w:r w:rsidR="00280F02">
        <w:t xml:space="preserve"> </w:t>
      </w:r>
      <w:r w:rsidR="00CC125C">
        <w:t xml:space="preserve">and Darwin. </w:t>
      </w:r>
      <w:r w:rsidR="002E76FD">
        <w:rPr>
          <w:lang w:val="en-AU"/>
        </w:rPr>
        <w:t>I</w:t>
      </w:r>
      <w:r w:rsidR="00D50EDB" w:rsidRPr="22EA1F97">
        <w:rPr>
          <w:lang w:val="en-AU"/>
        </w:rPr>
        <w:t xml:space="preserve">n </w:t>
      </w:r>
      <w:r w:rsidR="00D50EDB" w:rsidRPr="22EA1F97">
        <w:rPr>
          <w:lang w:val="en-AU"/>
        </w:rPr>
        <w:lastRenderedPageBreak/>
        <w:t>some regions, demand from the resources sector competes with tourism for seats, pricing leisure travellers out of the market during peak seasons.</w:t>
      </w:r>
    </w:p>
    <w:p w14:paraId="65DAFE4E" w14:textId="42FF50B9" w:rsidR="006B57DB" w:rsidRDefault="00F4343E" w:rsidP="007C40DC">
      <w:pPr>
        <w:spacing w:line="360" w:lineRule="auto"/>
        <w:rPr>
          <w:lang w:val="en-AU"/>
        </w:rPr>
      </w:pPr>
      <w:r w:rsidRPr="22EA1F97">
        <w:rPr>
          <w:lang w:val="en-AU"/>
        </w:rPr>
        <w:t xml:space="preserve">To ensure a destination is offered by travel agents or tour operators, our partners tell us that they need to have confidence </w:t>
      </w:r>
      <w:r w:rsidR="008D32B8" w:rsidRPr="22EA1F97">
        <w:rPr>
          <w:lang w:val="en-AU"/>
        </w:rPr>
        <w:t>about the reliability</w:t>
      </w:r>
      <w:r w:rsidRPr="22EA1F97">
        <w:rPr>
          <w:lang w:val="en-AU"/>
        </w:rPr>
        <w:t xml:space="preserve"> of </w:t>
      </w:r>
      <w:r w:rsidR="008D32B8" w:rsidRPr="22EA1F97">
        <w:rPr>
          <w:lang w:val="en-AU"/>
        </w:rPr>
        <w:t>air services, especially</w:t>
      </w:r>
      <w:r w:rsidRPr="22EA1F97">
        <w:rPr>
          <w:lang w:val="en-AU"/>
        </w:rPr>
        <w:t xml:space="preserve"> where whole itineraries are planned around </w:t>
      </w:r>
      <w:r w:rsidR="008D32B8" w:rsidRPr="22EA1F97">
        <w:rPr>
          <w:lang w:val="en-AU"/>
        </w:rPr>
        <w:t>a</w:t>
      </w:r>
      <w:r w:rsidRPr="22EA1F97">
        <w:rPr>
          <w:lang w:val="en-AU"/>
        </w:rPr>
        <w:t xml:space="preserve"> single flight on a </w:t>
      </w:r>
      <w:r w:rsidR="008D32B8" w:rsidRPr="22EA1F97">
        <w:rPr>
          <w:lang w:val="en-AU"/>
        </w:rPr>
        <w:t>specific</w:t>
      </w:r>
      <w:r w:rsidRPr="22EA1F97">
        <w:rPr>
          <w:lang w:val="en-AU"/>
        </w:rPr>
        <w:t xml:space="preserve"> day</w:t>
      </w:r>
      <w:r w:rsidR="008D32B8" w:rsidRPr="22EA1F97">
        <w:rPr>
          <w:lang w:val="en-AU"/>
        </w:rPr>
        <w:t xml:space="preserve">. </w:t>
      </w:r>
      <w:r w:rsidR="006E1A3B" w:rsidRPr="22EA1F97">
        <w:rPr>
          <w:lang w:val="en-AU"/>
        </w:rPr>
        <w:t xml:space="preserve">Unreliable air services </w:t>
      </w:r>
      <w:r w:rsidR="00BF4AD6">
        <w:rPr>
          <w:lang w:val="en-AU"/>
        </w:rPr>
        <w:t xml:space="preserve">can </w:t>
      </w:r>
      <w:r w:rsidR="006E1A3B" w:rsidRPr="22EA1F97">
        <w:rPr>
          <w:lang w:val="en-AU"/>
        </w:rPr>
        <w:t>lead our partners to opt</w:t>
      </w:r>
      <w:r w:rsidR="00BF4AD6">
        <w:rPr>
          <w:lang w:val="en-AU"/>
        </w:rPr>
        <w:t>ing</w:t>
      </w:r>
      <w:r w:rsidR="006E1A3B" w:rsidRPr="22EA1F97">
        <w:rPr>
          <w:lang w:val="en-AU"/>
        </w:rPr>
        <w:t xml:space="preserve"> out of selling particular regional destinations.</w:t>
      </w:r>
    </w:p>
    <w:p w14:paraId="0420C909" w14:textId="477D92E1" w:rsidR="00830668" w:rsidRPr="002560E8" w:rsidRDefault="49258CD0" w:rsidP="007C40DC">
      <w:pPr>
        <w:spacing w:line="360" w:lineRule="auto"/>
      </w:pPr>
      <w:r>
        <w:t xml:space="preserve">In terms of the </w:t>
      </w:r>
      <w:r w:rsidR="4C298D8A">
        <w:t>b</w:t>
      </w:r>
      <w:r>
        <w:t xml:space="preserve">usiness </w:t>
      </w:r>
      <w:r w:rsidR="4C298D8A">
        <w:t>e</w:t>
      </w:r>
      <w:r>
        <w:t>vents segment, many large incentive and association groups avoid locations where there may be aviation capacity and pricing risks</w:t>
      </w:r>
      <w:r w:rsidR="4C298D8A">
        <w:t xml:space="preserve"> which </w:t>
      </w:r>
      <w:r w:rsidR="00BF4AD6">
        <w:t>can</w:t>
      </w:r>
      <w:r w:rsidR="4C298D8A">
        <w:t xml:space="preserve"> prevent </w:t>
      </w:r>
      <w:r>
        <w:t xml:space="preserve">big groups </w:t>
      </w:r>
      <w:r w:rsidR="00465B96">
        <w:t>from getting seats</w:t>
      </w:r>
      <w:r w:rsidR="4C298D8A">
        <w:t xml:space="preserve"> </w:t>
      </w:r>
      <w:r>
        <w:t xml:space="preserve">on flights. </w:t>
      </w:r>
      <w:r w:rsidR="4C298D8A">
        <w:t xml:space="preserve">Relatedly, business events </w:t>
      </w:r>
      <w:r>
        <w:t xml:space="preserve">groups </w:t>
      </w:r>
      <w:r w:rsidR="00465B96">
        <w:t>often seek</w:t>
      </w:r>
      <w:r>
        <w:t xml:space="preserve"> to secure seats a few years out, and Australian airlines </w:t>
      </w:r>
      <w:r w:rsidR="00AD3049">
        <w:t>can</w:t>
      </w:r>
      <w:r w:rsidR="79521560">
        <w:t xml:space="preserve"> not </w:t>
      </w:r>
      <w:r>
        <w:t xml:space="preserve">commit to capacity and pricing </w:t>
      </w:r>
      <w:r w:rsidR="00AD3049">
        <w:t>that far in advance</w:t>
      </w:r>
      <w:r>
        <w:t xml:space="preserve">. </w:t>
      </w:r>
    </w:p>
    <w:p w14:paraId="7DD57B6D" w14:textId="77777777" w:rsidR="004E1803" w:rsidRPr="00317280" w:rsidRDefault="00E20DC3" w:rsidP="004E1803">
      <w:pPr>
        <w:spacing w:line="360" w:lineRule="auto"/>
        <w:rPr>
          <w:lang w:val="en-AU"/>
        </w:rPr>
      </w:pPr>
      <w:r w:rsidRPr="007C40DC">
        <w:rPr>
          <w:b/>
          <w:bCs/>
          <w:sz w:val="32"/>
          <w:szCs w:val="32"/>
          <w:lang w:val="en-AU"/>
        </w:rPr>
        <w:t>Conclusion</w:t>
      </w:r>
      <w:r w:rsidR="007C40DC">
        <w:rPr>
          <w:b/>
          <w:bCs/>
          <w:sz w:val="32"/>
          <w:szCs w:val="32"/>
          <w:lang w:val="en-AU"/>
        </w:rPr>
        <w:br/>
      </w:r>
      <w:r w:rsidR="004E1803">
        <w:rPr>
          <w:lang w:val="en-AU"/>
        </w:rPr>
        <w:t>Reliable and affordable regional aviation is essential to ensure</w:t>
      </w:r>
      <w:r w:rsidR="004E1803" w:rsidRPr="00317280">
        <w:rPr>
          <w:lang w:val="en-AU"/>
        </w:rPr>
        <w:t xml:space="preserve"> Australia </w:t>
      </w:r>
      <w:r w:rsidR="004E1803">
        <w:rPr>
          <w:lang w:val="en-AU"/>
        </w:rPr>
        <w:t xml:space="preserve">and more specifically regional Australia </w:t>
      </w:r>
      <w:r w:rsidR="004E1803" w:rsidRPr="00317280">
        <w:rPr>
          <w:lang w:val="en-AU"/>
        </w:rPr>
        <w:t xml:space="preserve">remains competitive as a destination and that </w:t>
      </w:r>
      <w:r w:rsidR="004E1803">
        <w:rPr>
          <w:lang w:val="en-AU"/>
        </w:rPr>
        <w:t>tourism benefits continue to flow to regional communities.</w:t>
      </w:r>
    </w:p>
    <w:p w14:paraId="3FF4A85C" w14:textId="01ECFA8A" w:rsidR="00CB520E" w:rsidRPr="007C40DC" w:rsidRDefault="00E20DC3" w:rsidP="007C40DC">
      <w:pPr>
        <w:spacing w:line="360" w:lineRule="auto"/>
        <w:rPr>
          <w:b/>
          <w:bCs/>
          <w:sz w:val="32"/>
          <w:szCs w:val="32"/>
          <w:lang w:val="en-AU"/>
        </w:rPr>
      </w:pPr>
      <w:r w:rsidRPr="00317280">
        <w:rPr>
          <w:lang w:val="en-AU"/>
        </w:rPr>
        <w:t xml:space="preserve">Tourism Australia welcomes the opportunity to contribute to this inquiry. Aviation is a </w:t>
      </w:r>
      <w:r w:rsidR="005E2F0F" w:rsidRPr="00317280">
        <w:rPr>
          <w:lang w:val="en-AU"/>
        </w:rPr>
        <w:t xml:space="preserve">vital </w:t>
      </w:r>
      <w:r w:rsidRPr="00317280">
        <w:rPr>
          <w:lang w:val="en-AU"/>
        </w:rPr>
        <w:t xml:space="preserve">enabler of tourism growth, regional development, and economic resilience. </w:t>
      </w:r>
    </w:p>
    <w:p w14:paraId="6B7D1030" w14:textId="0CD8F87B" w:rsidR="00CB520E" w:rsidRPr="00317280" w:rsidRDefault="00CB520E" w:rsidP="007C40DC">
      <w:pPr>
        <w:spacing w:line="360" w:lineRule="auto"/>
        <w:rPr>
          <w:lang w:val="en-AU"/>
        </w:rPr>
      </w:pPr>
    </w:p>
    <w:sectPr w:rsidR="00CB520E" w:rsidRPr="00317280">
      <w:headerReference w:type="default" r:id="rId11"/>
      <w:footerReference w:type="default" r:id="rId12"/>
      <w:pgSz w:w="12240" w:h="15840"/>
      <w:pgMar w:top="1170" w:right="144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7AC3" w14:textId="77777777" w:rsidR="00554088" w:rsidRDefault="00554088" w:rsidP="002A0210">
      <w:pPr>
        <w:spacing w:after="0" w:line="240" w:lineRule="auto"/>
      </w:pPr>
      <w:r>
        <w:separator/>
      </w:r>
    </w:p>
  </w:endnote>
  <w:endnote w:type="continuationSeparator" w:id="0">
    <w:p w14:paraId="6E581BDB" w14:textId="77777777" w:rsidR="00554088" w:rsidRDefault="00554088" w:rsidP="002A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949274"/>
      <w:docPartObj>
        <w:docPartGallery w:val="Page Numbers (Bottom of Page)"/>
        <w:docPartUnique/>
      </w:docPartObj>
    </w:sdtPr>
    <w:sdtContent>
      <w:p w14:paraId="71031A0D" w14:textId="39CAC0DF" w:rsidR="007C40DC" w:rsidRDefault="007C40DC">
        <w:pPr>
          <w:pStyle w:val="Footer"/>
          <w:jc w:val="right"/>
        </w:pPr>
        <w:r>
          <w:fldChar w:fldCharType="begin"/>
        </w:r>
        <w:r>
          <w:instrText>PAGE   \* MERGEFORMAT</w:instrText>
        </w:r>
        <w:r>
          <w:fldChar w:fldCharType="separate"/>
        </w:r>
        <w:r>
          <w:rPr>
            <w:lang w:val="en-GB"/>
          </w:rPr>
          <w:t>2</w:t>
        </w:r>
        <w:r>
          <w:fldChar w:fldCharType="end"/>
        </w:r>
      </w:p>
    </w:sdtContent>
  </w:sdt>
  <w:p w14:paraId="3DFD5907" w14:textId="77777777" w:rsidR="007C40DC" w:rsidRDefault="007C4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8BC0" w14:textId="77777777" w:rsidR="00554088" w:rsidRDefault="00554088" w:rsidP="002A0210">
      <w:pPr>
        <w:spacing w:after="0" w:line="240" w:lineRule="auto"/>
      </w:pPr>
      <w:r>
        <w:separator/>
      </w:r>
    </w:p>
  </w:footnote>
  <w:footnote w:type="continuationSeparator" w:id="0">
    <w:p w14:paraId="34F0A542" w14:textId="77777777" w:rsidR="00554088" w:rsidRDefault="00554088" w:rsidP="002A0210">
      <w:pPr>
        <w:spacing w:after="0" w:line="240" w:lineRule="auto"/>
      </w:pPr>
      <w:r>
        <w:continuationSeparator/>
      </w:r>
    </w:p>
  </w:footnote>
  <w:footnote w:id="1">
    <w:p w14:paraId="29C9EFCF" w14:textId="63AF495C" w:rsidR="00504800" w:rsidRPr="00504800" w:rsidRDefault="00504800">
      <w:pPr>
        <w:pStyle w:val="FootnoteText"/>
      </w:pPr>
      <w:r>
        <w:rPr>
          <w:rStyle w:val="FootnoteReference"/>
        </w:rPr>
        <w:footnoteRef/>
      </w:r>
      <w:r>
        <w:t xml:space="preserve"> </w:t>
      </w:r>
      <w:r w:rsidR="00C87BCF">
        <w:rPr>
          <w:lang w:val="en-AU"/>
        </w:rPr>
        <w:t>ABS, Overseas Arrivals and Departures, December 2025.</w:t>
      </w:r>
    </w:p>
  </w:footnote>
  <w:footnote w:id="2">
    <w:p w14:paraId="36F0A130" w14:textId="1F387A92" w:rsidR="00907F80" w:rsidRPr="00907F80" w:rsidRDefault="00907F80">
      <w:pPr>
        <w:pStyle w:val="FootnoteText"/>
      </w:pPr>
      <w:r>
        <w:rPr>
          <w:rStyle w:val="FootnoteReference"/>
        </w:rPr>
        <w:footnoteRef/>
      </w:r>
      <w:r>
        <w:t xml:space="preserve"> </w:t>
      </w:r>
      <w:r>
        <w:rPr>
          <w:lang w:val="en-AU"/>
        </w:rPr>
        <w:t>T</w:t>
      </w:r>
      <w:r w:rsidRPr="00317280">
        <w:rPr>
          <w:lang w:val="en-AU"/>
        </w:rPr>
        <w:t xml:space="preserve">ourism Research Australia (TRA), International Visitor Summary (IVS), Year ended </w:t>
      </w:r>
      <w:r w:rsidR="009219DE">
        <w:rPr>
          <w:lang w:val="en-AU"/>
        </w:rPr>
        <w:t>September</w:t>
      </w:r>
      <w:r w:rsidRPr="00317280">
        <w:rPr>
          <w:lang w:val="en-AU"/>
        </w:rPr>
        <w:t xml:space="preserve"> 2025</w:t>
      </w:r>
    </w:p>
  </w:footnote>
  <w:footnote w:id="3">
    <w:p w14:paraId="1D83D736" w14:textId="4D3618D0" w:rsidR="00EE6DF1" w:rsidRPr="00EE6DF1" w:rsidRDefault="00EE6DF1">
      <w:pPr>
        <w:pStyle w:val="FootnoteText"/>
        <w:rPr>
          <w:lang w:val="en-AU"/>
        </w:rPr>
      </w:pPr>
      <w:r>
        <w:rPr>
          <w:rStyle w:val="FootnoteReference"/>
        </w:rPr>
        <w:footnoteRef/>
      </w:r>
      <w:r>
        <w:t xml:space="preserve"> </w:t>
      </w:r>
      <w:r w:rsidR="007E6D25">
        <w:t>T</w:t>
      </w:r>
      <w:r w:rsidR="00A45318">
        <w:t xml:space="preserve">reasury (Australian Government), </w:t>
      </w:r>
      <w:r w:rsidR="00A45318" w:rsidRPr="00A45318">
        <w:t>How competition impacts prices: The Australian aviation sector</w:t>
      </w:r>
      <w:r w:rsidR="00266376">
        <w:t>, 26 August 2024.</w:t>
      </w:r>
    </w:p>
  </w:footnote>
  <w:footnote w:id="4">
    <w:p w14:paraId="0D5B9FC6" w14:textId="2E9EC52D" w:rsidR="00DA7B2D" w:rsidRPr="00DA7B2D" w:rsidRDefault="00DA7B2D">
      <w:pPr>
        <w:pStyle w:val="FootnoteText"/>
        <w:rPr>
          <w:lang w:val="en-AU"/>
        </w:rPr>
      </w:pPr>
      <w:r>
        <w:rPr>
          <w:rStyle w:val="FootnoteReference"/>
        </w:rPr>
        <w:footnoteRef/>
      </w:r>
      <w:r>
        <w:t xml:space="preserve"> Treasury (Australian Government), </w:t>
      </w:r>
      <w:r w:rsidRPr="00A45318">
        <w:t>How competition impacts prices: The Australian aviation sector</w:t>
      </w:r>
      <w:r>
        <w:t>, 26 August 2024.</w:t>
      </w:r>
    </w:p>
  </w:footnote>
  <w:footnote w:id="5">
    <w:p w14:paraId="0A95F439" w14:textId="45380DCA" w:rsidR="004C6495" w:rsidRPr="000C5A7E" w:rsidRDefault="004C6495">
      <w:pPr>
        <w:pStyle w:val="FootnoteText"/>
        <w:rPr>
          <w:b/>
          <w:bCs/>
          <w:lang w:val="en-AU"/>
        </w:rPr>
      </w:pPr>
      <w:r>
        <w:rPr>
          <w:rStyle w:val="FootnoteReference"/>
        </w:rPr>
        <w:footnoteRef/>
      </w:r>
      <w:r>
        <w:t xml:space="preserve"> Treasury (Australian Government), </w:t>
      </w:r>
      <w:r w:rsidR="000C5A7E" w:rsidRPr="000C5A7E">
        <w:rPr>
          <w:lang w:val="en-AU"/>
        </w:rPr>
        <w:t>Asymmetries and habit formation in price elasticities in the Australian aviation sector</w:t>
      </w:r>
      <w:r w:rsidR="000C5A7E" w:rsidRPr="000C5A7E">
        <w:t>, 12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5DB5" w14:textId="308774DD" w:rsidR="00B94D72" w:rsidRDefault="41C04A3E" w:rsidP="41C04A3E">
    <w:pPr>
      <w:spacing w:line="360" w:lineRule="auto"/>
      <w:rPr>
        <w:b/>
        <w:bCs/>
        <w:sz w:val="36"/>
        <w:szCs w:val="36"/>
        <w:lang w:val="en-AU"/>
      </w:rPr>
    </w:pPr>
    <w:r w:rsidRPr="41C04A3E">
      <w:rPr>
        <w:b/>
        <w:bCs/>
        <w:sz w:val="36"/>
        <w:szCs w:val="36"/>
        <w:lang w:val="en-AU"/>
      </w:rPr>
      <w:t>TOURISM AUSTRALIA’S SUBMISSION</w:t>
    </w:r>
    <w:r w:rsidR="630AD551">
      <w:rPr>
        <w:noProof/>
      </w:rPr>
      <w:drawing>
        <wp:anchor distT="0" distB="0" distL="114300" distR="114300" simplePos="0" relativeHeight="251658240" behindDoc="0" locked="0" layoutInCell="1" allowOverlap="1" wp14:anchorId="1CCB4594" wp14:editId="323BE30C">
          <wp:simplePos x="0" y="0"/>
          <wp:positionH relativeFrom="column">
            <wp:align>left</wp:align>
          </wp:positionH>
          <wp:positionV relativeFrom="paragraph">
            <wp:posOffset>0</wp:posOffset>
          </wp:positionV>
          <wp:extent cx="5943600" cy="978710"/>
          <wp:effectExtent l="0" t="0" r="0" b="0"/>
          <wp:wrapSquare wrapText="bothSides"/>
          <wp:docPr id="1190612412" name="Picture 1073741825" descr="Art Room:*JOBS DEPARTMENT:Consumer Marketing:TACM7358 Letterhead New Logo:TACM7358 Letterhead header.jpg"/>
          <wp:cNvGraphicFramePr/>
          <a:graphic xmlns:a="http://schemas.openxmlformats.org/drawingml/2006/main">
            <a:graphicData uri="http://schemas.openxmlformats.org/drawingml/2006/picture">
              <pic:pic xmlns:pic="http://schemas.openxmlformats.org/drawingml/2006/picture">
                <pic:nvPicPr>
                  <pic:cNvPr id="1073741825" name="image1.jpeg" descr="Art Room:*JOBS DEPARTMENT:Consumer Marketing:TACM7358 Letterhead New Logo:TACM7358 Letterhead header.jpg"/>
                  <pic:cNvPicPr>
                    <a:picLocks noChangeAspect="1"/>
                  </pic:cNvPicPr>
                </pic:nvPicPr>
                <pic:blipFill>
                  <a:blip r:embed="rId1"/>
                  <a:stretch>
                    <a:fillRect/>
                  </a:stretch>
                </pic:blipFill>
                <pic:spPr>
                  <a:xfrm>
                    <a:off x="0" y="0"/>
                    <a:ext cx="5943600" cy="97871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0CF9B6D4" w14:textId="54991FA9" w:rsidR="00B94D72" w:rsidRDefault="00B94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DF77"/>
    <w:multiLevelType w:val="hybridMultilevel"/>
    <w:tmpl w:val="AD0410D6"/>
    <w:lvl w:ilvl="0" w:tplc="25407606">
      <w:start w:val="1"/>
      <w:numFmt w:val="decimal"/>
      <w:lvlText w:val="%1."/>
      <w:lvlJc w:val="left"/>
      <w:pPr>
        <w:ind w:left="720" w:hanging="360"/>
      </w:pPr>
    </w:lvl>
    <w:lvl w:ilvl="1" w:tplc="549C5EEA">
      <w:start w:val="1"/>
      <w:numFmt w:val="lowerLetter"/>
      <w:lvlText w:val="%2."/>
      <w:lvlJc w:val="left"/>
      <w:pPr>
        <w:ind w:left="1440" w:hanging="360"/>
      </w:pPr>
    </w:lvl>
    <w:lvl w:ilvl="2" w:tplc="933E3DD6">
      <w:start w:val="1"/>
      <w:numFmt w:val="lowerRoman"/>
      <w:lvlText w:val="%3."/>
      <w:lvlJc w:val="right"/>
      <w:pPr>
        <w:ind w:left="2160" w:hanging="180"/>
      </w:pPr>
    </w:lvl>
    <w:lvl w:ilvl="3" w:tplc="CE122A9A">
      <w:start w:val="1"/>
      <w:numFmt w:val="decimal"/>
      <w:lvlText w:val="%4."/>
      <w:lvlJc w:val="left"/>
      <w:pPr>
        <w:ind w:left="2880" w:hanging="360"/>
      </w:pPr>
    </w:lvl>
    <w:lvl w:ilvl="4" w:tplc="C6202B56">
      <w:start w:val="1"/>
      <w:numFmt w:val="lowerLetter"/>
      <w:lvlText w:val="%5."/>
      <w:lvlJc w:val="left"/>
      <w:pPr>
        <w:ind w:left="3600" w:hanging="360"/>
      </w:pPr>
    </w:lvl>
    <w:lvl w:ilvl="5" w:tplc="F95E389A">
      <w:start w:val="1"/>
      <w:numFmt w:val="lowerRoman"/>
      <w:lvlText w:val="%6."/>
      <w:lvlJc w:val="right"/>
      <w:pPr>
        <w:ind w:left="4320" w:hanging="180"/>
      </w:pPr>
    </w:lvl>
    <w:lvl w:ilvl="6" w:tplc="E2C8C586">
      <w:start w:val="1"/>
      <w:numFmt w:val="decimal"/>
      <w:lvlText w:val="%7."/>
      <w:lvlJc w:val="left"/>
      <w:pPr>
        <w:ind w:left="5040" w:hanging="360"/>
      </w:pPr>
    </w:lvl>
    <w:lvl w:ilvl="7" w:tplc="3886F006">
      <w:start w:val="1"/>
      <w:numFmt w:val="lowerLetter"/>
      <w:lvlText w:val="%8."/>
      <w:lvlJc w:val="left"/>
      <w:pPr>
        <w:ind w:left="5760" w:hanging="360"/>
      </w:pPr>
    </w:lvl>
    <w:lvl w:ilvl="8" w:tplc="9F80707C">
      <w:start w:val="1"/>
      <w:numFmt w:val="lowerRoman"/>
      <w:lvlText w:val="%9."/>
      <w:lvlJc w:val="right"/>
      <w:pPr>
        <w:ind w:left="6480" w:hanging="180"/>
      </w:pPr>
    </w:lvl>
  </w:abstractNum>
  <w:abstractNum w:abstractNumId="1" w15:restartNumberingAfterBreak="0">
    <w:nsid w:val="3019931B"/>
    <w:multiLevelType w:val="hybridMultilevel"/>
    <w:tmpl w:val="5BD8C988"/>
    <w:lvl w:ilvl="0" w:tplc="FB487B8E">
      <w:start w:val="1"/>
      <w:numFmt w:val="bullet"/>
      <w:lvlText w:val=""/>
      <w:lvlJc w:val="left"/>
      <w:pPr>
        <w:ind w:left="720" w:hanging="360"/>
      </w:pPr>
      <w:rPr>
        <w:rFonts w:ascii="Symbol" w:hAnsi="Symbol" w:hint="default"/>
      </w:rPr>
    </w:lvl>
    <w:lvl w:ilvl="1" w:tplc="80DE22F0">
      <w:start w:val="1"/>
      <w:numFmt w:val="bullet"/>
      <w:lvlText w:val="o"/>
      <w:lvlJc w:val="left"/>
      <w:pPr>
        <w:ind w:left="1440" w:hanging="360"/>
      </w:pPr>
      <w:rPr>
        <w:rFonts w:ascii="&quot;Courier New&quot;" w:hAnsi="&quot;Courier New&quot;" w:hint="default"/>
      </w:rPr>
    </w:lvl>
    <w:lvl w:ilvl="2" w:tplc="DC600F5C">
      <w:start w:val="1"/>
      <w:numFmt w:val="bullet"/>
      <w:lvlText w:val=""/>
      <w:lvlJc w:val="left"/>
      <w:pPr>
        <w:ind w:left="2160" w:hanging="360"/>
      </w:pPr>
      <w:rPr>
        <w:rFonts w:ascii="Wingdings" w:hAnsi="Wingdings" w:hint="default"/>
      </w:rPr>
    </w:lvl>
    <w:lvl w:ilvl="3" w:tplc="93E2AF8C">
      <w:start w:val="1"/>
      <w:numFmt w:val="bullet"/>
      <w:lvlText w:val=""/>
      <w:lvlJc w:val="left"/>
      <w:pPr>
        <w:ind w:left="2880" w:hanging="360"/>
      </w:pPr>
      <w:rPr>
        <w:rFonts w:ascii="Symbol" w:hAnsi="Symbol" w:hint="default"/>
      </w:rPr>
    </w:lvl>
    <w:lvl w:ilvl="4" w:tplc="0BB6C47C">
      <w:start w:val="1"/>
      <w:numFmt w:val="bullet"/>
      <w:lvlText w:val="o"/>
      <w:lvlJc w:val="left"/>
      <w:pPr>
        <w:ind w:left="3600" w:hanging="360"/>
      </w:pPr>
      <w:rPr>
        <w:rFonts w:ascii="Courier New" w:hAnsi="Courier New" w:hint="default"/>
      </w:rPr>
    </w:lvl>
    <w:lvl w:ilvl="5" w:tplc="7F8A647C">
      <w:start w:val="1"/>
      <w:numFmt w:val="bullet"/>
      <w:lvlText w:val=""/>
      <w:lvlJc w:val="left"/>
      <w:pPr>
        <w:ind w:left="4320" w:hanging="360"/>
      </w:pPr>
      <w:rPr>
        <w:rFonts w:ascii="Wingdings" w:hAnsi="Wingdings" w:hint="default"/>
      </w:rPr>
    </w:lvl>
    <w:lvl w:ilvl="6" w:tplc="4620B34E">
      <w:start w:val="1"/>
      <w:numFmt w:val="bullet"/>
      <w:lvlText w:val=""/>
      <w:lvlJc w:val="left"/>
      <w:pPr>
        <w:ind w:left="5040" w:hanging="360"/>
      </w:pPr>
      <w:rPr>
        <w:rFonts w:ascii="Symbol" w:hAnsi="Symbol" w:hint="default"/>
      </w:rPr>
    </w:lvl>
    <w:lvl w:ilvl="7" w:tplc="2ECCB0B0">
      <w:start w:val="1"/>
      <w:numFmt w:val="bullet"/>
      <w:lvlText w:val="o"/>
      <w:lvlJc w:val="left"/>
      <w:pPr>
        <w:ind w:left="5760" w:hanging="360"/>
      </w:pPr>
      <w:rPr>
        <w:rFonts w:ascii="Courier New" w:hAnsi="Courier New" w:hint="default"/>
      </w:rPr>
    </w:lvl>
    <w:lvl w:ilvl="8" w:tplc="E9CCFA34">
      <w:start w:val="1"/>
      <w:numFmt w:val="bullet"/>
      <w:lvlText w:val=""/>
      <w:lvlJc w:val="left"/>
      <w:pPr>
        <w:ind w:left="6480" w:hanging="360"/>
      </w:pPr>
      <w:rPr>
        <w:rFonts w:ascii="Wingdings" w:hAnsi="Wingdings" w:hint="default"/>
      </w:rPr>
    </w:lvl>
  </w:abstractNum>
  <w:abstractNum w:abstractNumId="2" w15:restartNumberingAfterBreak="0">
    <w:nsid w:val="40A82286"/>
    <w:multiLevelType w:val="multilevel"/>
    <w:tmpl w:val="6674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1764FD"/>
    <w:multiLevelType w:val="multilevel"/>
    <w:tmpl w:val="35EE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246688"/>
    <w:multiLevelType w:val="hybridMultilevel"/>
    <w:tmpl w:val="1D14CF18"/>
    <w:lvl w:ilvl="0" w:tplc="4504FCF4">
      <w:start w:val="1"/>
      <w:numFmt w:val="bullet"/>
      <w:lvlText w:val=""/>
      <w:lvlJc w:val="left"/>
      <w:pPr>
        <w:ind w:left="360" w:hanging="360"/>
      </w:pPr>
      <w:rPr>
        <w:rFonts w:ascii="Symbol" w:hAnsi="Symbol" w:hint="default"/>
      </w:rPr>
    </w:lvl>
    <w:lvl w:ilvl="1" w:tplc="C11279B4">
      <w:start w:val="1"/>
      <w:numFmt w:val="bullet"/>
      <w:lvlText w:val="o"/>
      <w:lvlJc w:val="left"/>
      <w:pPr>
        <w:ind w:left="1080" w:hanging="360"/>
      </w:pPr>
      <w:rPr>
        <w:rFonts w:ascii="Courier New" w:hAnsi="Courier New" w:hint="default"/>
      </w:rPr>
    </w:lvl>
    <w:lvl w:ilvl="2" w:tplc="70EEB772">
      <w:start w:val="1"/>
      <w:numFmt w:val="bullet"/>
      <w:lvlText w:val=""/>
      <w:lvlJc w:val="left"/>
      <w:pPr>
        <w:ind w:left="1800" w:hanging="360"/>
      </w:pPr>
      <w:rPr>
        <w:rFonts w:ascii="Wingdings" w:hAnsi="Wingdings" w:hint="default"/>
      </w:rPr>
    </w:lvl>
    <w:lvl w:ilvl="3" w:tplc="247C2994">
      <w:start w:val="1"/>
      <w:numFmt w:val="bullet"/>
      <w:lvlText w:val=""/>
      <w:lvlJc w:val="left"/>
      <w:pPr>
        <w:ind w:left="2520" w:hanging="360"/>
      </w:pPr>
      <w:rPr>
        <w:rFonts w:ascii="Symbol" w:hAnsi="Symbol" w:hint="default"/>
      </w:rPr>
    </w:lvl>
    <w:lvl w:ilvl="4" w:tplc="98CAED98">
      <w:start w:val="1"/>
      <w:numFmt w:val="bullet"/>
      <w:lvlText w:val="o"/>
      <w:lvlJc w:val="left"/>
      <w:pPr>
        <w:ind w:left="3240" w:hanging="360"/>
      </w:pPr>
      <w:rPr>
        <w:rFonts w:ascii="Courier New" w:hAnsi="Courier New" w:hint="default"/>
      </w:rPr>
    </w:lvl>
    <w:lvl w:ilvl="5" w:tplc="8946DE14">
      <w:start w:val="1"/>
      <w:numFmt w:val="bullet"/>
      <w:lvlText w:val=""/>
      <w:lvlJc w:val="left"/>
      <w:pPr>
        <w:ind w:left="3960" w:hanging="360"/>
      </w:pPr>
      <w:rPr>
        <w:rFonts w:ascii="Wingdings" w:hAnsi="Wingdings" w:hint="default"/>
      </w:rPr>
    </w:lvl>
    <w:lvl w:ilvl="6" w:tplc="210E76FE">
      <w:start w:val="1"/>
      <w:numFmt w:val="bullet"/>
      <w:lvlText w:val=""/>
      <w:lvlJc w:val="left"/>
      <w:pPr>
        <w:ind w:left="4680" w:hanging="360"/>
      </w:pPr>
      <w:rPr>
        <w:rFonts w:ascii="Symbol" w:hAnsi="Symbol" w:hint="default"/>
      </w:rPr>
    </w:lvl>
    <w:lvl w:ilvl="7" w:tplc="8F900814">
      <w:start w:val="1"/>
      <w:numFmt w:val="bullet"/>
      <w:lvlText w:val="o"/>
      <w:lvlJc w:val="left"/>
      <w:pPr>
        <w:ind w:left="5400" w:hanging="360"/>
      </w:pPr>
      <w:rPr>
        <w:rFonts w:ascii="Courier New" w:hAnsi="Courier New" w:hint="default"/>
      </w:rPr>
    </w:lvl>
    <w:lvl w:ilvl="8" w:tplc="3C3E8C60">
      <w:start w:val="1"/>
      <w:numFmt w:val="bullet"/>
      <w:lvlText w:val=""/>
      <w:lvlJc w:val="left"/>
      <w:pPr>
        <w:ind w:left="6120" w:hanging="360"/>
      </w:pPr>
      <w:rPr>
        <w:rFonts w:ascii="Wingdings" w:hAnsi="Wingdings" w:hint="default"/>
      </w:rPr>
    </w:lvl>
  </w:abstractNum>
  <w:abstractNum w:abstractNumId="5" w15:restartNumberingAfterBreak="0">
    <w:nsid w:val="6B3F1A84"/>
    <w:multiLevelType w:val="hybridMultilevel"/>
    <w:tmpl w:val="F5765C52"/>
    <w:lvl w:ilvl="0" w:tplc="3B7EDACE">
      <w:start w:val="1"/>
      <w:numFmt w:val="decimal"/>
      <w:lvlText w:val="%1."/>
      <w:lvlJc w:val="left"/>
      <w:pPr>
        <w:ind w:left="1020" w:hanging="360"/>
      </w:pPr>
    </w:lvl>
    <w:lvl w:ilvl="1" w:tplc="9822FCDC">
      <w:start w:val="1"/>
      <w:numFmt w:val="decimal"/>
      <w:lvlText w:val="%2."/>
      <w:lvlJc w:val="left"/>
      <w:pPr>
        <w:ind w:left="1020" w:hanging="360"/>
      </w:pPr>
    </w:lvl>
    <w:lvl w:ilvl="2" w:tplc="4E1865CA">
      <w:start w:val="1"/>
      <w:numFmt w:val="decimal"/>
      <w:lvlText w:val="%3."/>
      <w:lvlJc w:val="left"/>
      <w:pPr>
        <w:ind w:left="1020" w:hanging="360"/>
      </w:pPr>
    </w:lvl>
    <w:lvl w:ilvl="3" w:tplc="65083D94">
      <w:start w:val="1"/>
      <w:numFmt w:val="decimal"/>
      <w:lvlText w:val="%4."/>
      <w:lvlJc w:val="left"/>
      <w:pPr>
        <w:ind w:left="1020" w:hanging="360"/>
      </w:pPr>
    </w:lvl>
    <w:lvl w:ilvl="4" w:tplc="E7A8B6C0">
      <w:start w:val="1"/>
      <w:numFmt w:val="decimal"/>
      <w:lvlText w:val="%5."/>
      <w:lvlJc w:val="left"/>
      <w:pPr>
        <w:ind w:left="1020" w:hanging="360"/>
      </w:pPr>
    </w:lvl>
    <w:lvl w:ilvl="5" w:tplc="80DC2088">
      <w:start w:val="1"/>
      <w:numFmt w:val="decimal"/>
      <w:lvlText w:val="%6."/>
      <w:lvlJc w:val="left"/>
      <w:pPr>
        <w:ind w:left="1020" w:hanging="360"/>
      </w:pPr>
    </w:lvl>
    <w:lvl w:ilvl="6" w:tplc="4DA87528">
      <w:start w:val="1"/>
      <w:numFmt w:val="decimal"/>
      <w:lvlText w:val="%7."/>
      <w:lvlJc w:val="left"/>
      <w:pPr>
        <w:ind w:left="1020" w:hanging="360"/>
      </w:pPr>
    </w:lvl>
    <w:lvl w:ilvl="7" w:tplc="0A4419C2">
      <w:start w:val="1"/>
      <w:numFmt w:val="decimal"/>
      <w:lvlText w:val="%8."/>
      <w:lvlJc w:val="left"/>
      <w:pPr>
        <w:ind w:left="1020" w:hanging="360"/>
      </w:pPr>
    </w:lvl>
    <w:lvl w:ilvl="8" w:tplc="85CA1352">
      <w:start w:val="1"/>
      <w:numFmt w:val="decimal"/>
      <w:lvlText w:val="%9."/>
      <w:lvlJc w:val="left"/>
      <w:pPr>
        <w:ind w:left="1020" w:hanging="360"/>
      </w:pPr>
    </w:lvl>
  </w:abstractNum>
  <w:num w:numId="1" w16cid:durableId="883636749">
    <w:abstractNumId w:val="4"/>
  </w:num>
  <w:num w:numId="2" w16cid:durableId="1534004071">
    <w:abstractNumId w:val="0"/>
  </w:num>
  <w:num w:numId="3" w16cid:durableId="392510380">
    <w:abstractNumId w:val="1"/>
  </w:num>
  <w:num w:numId="4" w16cid:durableId="171069817">
    <w:abstractNumId w:val="3"/>
  </w:num>
  <w:num w:numId="5" w16cid:durableId="1552576571">
    <w:abstractNumId w:val="5"/>
  </w:num>
  <w:num w:numId="6" w16cid:durableId="172505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22"/>
    <w:rsid w:val="000007FA"/>
    <w:rsid w:val="00000AC4"/>
    <w:rsid w:val="0000456B"/>
    <w:rsid w:val="000139B7"/>
    <w:rsid w:val="00016F66"/>
    <w:rsid w:val="00023D47"/>
    <w:rsid w:val="0002491C"/>
    <w:rsid w:val="00030539"/>
    <w:rsid w:val="00031E47"/>
    <w:rsid w:val="000328BE"/>
    <w:rsid w:val="00032AD5"/>
    <w:rsid w:val="00035C2D"/>
    <w:rsid w:val="00035DC8"/>
    <w:rsid w:val="00036A71"/>
    <w:rsid w:val="00036F87"/>
    <w:rsid w:val="0004377A"/>
    <w:rsid w:val="00045C09"/>
    <w:rsid w:val="00047835"/>
    <w:rsid w:val="00047E28"/>
    <w:rsid w:val="00050540"/>
    <w:rsid w:val="00051296"/>
    <w:rsid w:val="000519C6"/>
    <w:rsid w:val="0006206E"/>
    <w:rsid w:val="00063AC3"/>
    <w:rsid w:val="00065E90"/>
    <w:rsid w:val="00073421"/>
    <w:rsid w:val="000741A9"/>
    <w:rsid w:val="00074279"/>
    <w:rsid w:val="000748B5"/>
    <w:rsid w:val="00075437"/>
    <w:rsid w:val="0007706D"/>
    <w:rsid w:val="00077EE7"/>
    <w:rsid w:val="00084653"/>
    <w:rsid w:val="0008579E"/>
    <w:rsid w:val="00090A84"/>
    <w:rsid w:val="00091891"/>
    <w:rsid w:val="000925B2"/>
    <w:rsid w:val="00096940"/>
    <w:rsid w:val="00096FB2"/>
    <w:rsid w:val="00097BFC"/>
    <w:rsid w:val="000A122C"/>
    <w:rsid w:val="000A324E"/>
    <w:rsid w:val="000A3FA5"/>
    <w:rsid w:val="000A462B"/>
    <w:rsid w:val="000A65C2"/>
    <w:rsid w:val="000A65F3"/>
    <w:rsid w:val="000A6B2E"/>
    <w:rsid w:val="000A6CC6"/>
    <w:rsid w:val="000B0352"/>
    <w:rsid w:val="000B2FF4"/>
    <w:rsid w:val="000B3B84"/>
    <w:rsid w:val="000B54EE"/>
    <w:rsid w:val="000C354C"/>
    <w:rsid w:val="000C42C7"/>
    <w:rsid w:val="000C5A7E"/>
    <w:rsid w:val="000C6339"/>
    <w:rsid w:val="000D227C"/>
    <w:rsid w:val="000D3705"/>
    <w:rsid w:val="000D4DED"/>
    <w:rsid w:val="000D7058"/>
    <w:rsid w:val="000E3497"/>
    <w:rsid w:val="000E5899"/>
    <w:rsid w:val="000E5E53"/>
    <w:rsid w:val="000E6D47"/>
    <w:rsid w:val="000F0C7F"/>
    <w:rsid w:val="000F7C6E"/>
    <w:rsid w:val="001004DE"/>
    <w:rsid w:val="0010074C"/>
    <w:rsid w:val="00100E11"/>
    <w:rsid w:val="001134D3"/>
    <w:rsid w:val="00115E34"/>
    <w:rsid w:val="00122F42"/>
    <w:rsid w:val="00123899"/>
    <w:rsid w:val="00124533"/>
    <w:rsid w:val="00127504"/>
    <w:rsid w:val="0013076B"/>
    <w:rsid w:val="001433CF"/>
    <w:rsid w:val="00143FF5"/>
    <w:rsid w:val="0015009C"/>
    <w:rsid w:val="001573A4"/>
    <w:rsid w:val="00165AFF"/>
    <w:rsid w:val="0016665B"/>
    <w:rsid w:val="001678D6"/>
    <w:rsid w:val="00167BAC"/>
    <w:rsid w:val="00170A26"/>
    <w:rsid w:val="0017123B"/>
    <w:rsid w:val="00172B1F"/>
    <w:rsid w:val="00173530"/>
    <w:rsid w:val="00174DFD"/>
    <w:rsid w:val="001920A1"/>
    <w:rsid w:val="0019273C"/>
    <w:rsid w:val="00192835"/>
    <w:rsid w:val="00194E99"/>
    <w:rsid w:val="00195518"/>
    <w:rsid w:val="00197020"/>
    <w:rsid w:val="001A1221"/>
    <w:rsid w:val="001A294D"/>
    <w:rsid w:val="001B13A7"/>
    <w:rsid w:val="001B231C"/>
    <w:rsid w:val="001B2451"/>
    <w:rsid w:val="001B26B6"/>
    <w:rsid w:val="001B7366"/>
    <w:rsid w:val="001C3D3D"/>
    <w:rsid w:val="001C414A"/>
    <w:rsid w:val="001C6010"/>
    <w:rsid w:val="001D11B8"/>
    <w:rsid w:val="001D1491"/>
    <w:rsid w:val="001D2703"/>
    <w:rsid w:val="001D3FCC"/>
    <w:rsid w:val="001D4D3E"/>
    <w:rsid w:val="001D7F60"/>
    <w:rsid w:val="001E2148"/>
    <w:rsid w:val="001E5685"/>
    <w:rsid w:val="001E7CF7"/>
    <w:rsid w:val="001E7F00"/>
    <w:rsid w:val="001F00A2"/>
    <w:rsid w:val="001F0827"/>
    <w:rsid w:val="00200953"/>
    <w:rsid w:val="00200972"/>
    <w:rsid w:val="00205115"/>
    <w:rsid w:val="00210497"/>
    <w:rsid w:val="00212E54"/>
    <w:rsid w:val="00214B4E"/>
    <w:rsid w:val="0021691E"/>
    <w:rsid w:val="00217873"/>
    <w:rsid w:val="00222E2E"/>
    <w:rsid w:val="0022468E"/>
    <w:rsid w:val="0023120D"/>
    <w:rsid w:val="00231957"/>
    <w:rsid w:val="00232B7B"/>
    <w:rsid w:val="00233D5F"/>
    <w:rsid w:val="002427B0"/>
    <w:rsid w:val="00252E78"/>
    <w:rsid w:val="002536E9"/>
    <w:rsid w:val="0025386F"/>
    <w:rsid w:val="00254C4B"/>
    <w:rsid w:val="00255E38"/>
    <w:rsid w:val="002560E8"/>
    <w:rsid w:val="00263A3E"/>
    <w:rsid w:val="0026579B"/>
    <w:rsid w:val="00265B89"/>
    <w:rsid w:val="00266376"/>
    <w:rsid w:val="00266A61"/>
    <w:rsid w:val="00271071"/>
    <w:rsid w:val="0027212C"/>
    <w:rsid w:val="00280F02"/>
    <w:rsid w:val="00284781"/>
    <w:rsid w:val="002848A0"/>
    <w:rsid w:val="00285950"/>
    <w:rsid w:val="00292B77"/>
    <w:rsid w:val="002939D6"/>
    <w:rsid w:val="002A0210"/>
    <w:rsid w:val="002A14C9"/>
    <w:rsid w:val="002A1FAB"/>
    <w:rsid w:val="002A2119"/>
    <w:rsid w:val="002A4984"/>
    <w:rsid w:val="002B0847"/>
    <w:rsid w:val="002B0CE4"/>
    <w:rsid w:val="002B11F6"/>
    <w:rsid w:val="002B4CDA"/>
    <w:rsid w:val="002C0D45"/>
    <w:rsid w:val="002C1662"/>
    <w:rsid w:val="002C54EC"/>
    <w:rsid w:val="002D417E"/>
    <w:rsid w:val="002D472E"/>
    <w:rsid w:val="002D5B65"/>
    <w:rsid w:val="002D7D1A"/>
    <w:rsid w:val="002E0943"/>
    <w:rsid w:val="002E22AC"/>
    <w:rsid w:val="002E45C8"/>
    <w:rsid w:val="002E76FD"/>
    <w:rsid w:val="002F088E"/>
    <w:rsid w:val="002F1B61"/>
    <w:rsid w:val="002F450A"/>
    <w:rsid w:val="002F48B6"/>
    <w:rsid w:val="00303A85"/>
    <w:rsid w:val="00305A5E"/>
    <w:rsid w:val="00306204"/>
    <w:rsid w:val="00311AD3"/>
    <w:rsid w:val="0031204E"/>
    <w:rsid w:val="00312498"/>
    <w:rsid w:val="00313B3E"/>
    <w:rsid w:val="00317280"/>
    <w:rsid w:val="00317838"/>
    <w:rsid w:val="00317A80"/>
    <w:rsid w:val="00324015"/>
    <w:rsid w:val="00331375"/>
    <w:rsid w:val="00331B6D"/>
    <w:rsid w:val="003357C1"/>
    <w:rsid w:val="00335E65"/>
    <w:rsid w:val="00340BEC"/>
    <w:rsid w:val="00351AEC"/>
    <w:rsid w:val="003528DA"/>
    <w:rsid w:val="003609A0"/>
    <w:rsid w:val="00361A15"/>
    <w:rsid w:val="00362DC4"/>
    <w:rsid w:val="00367E42"/>
    <w:rsid w:val="0037227C"/>
    <w:rsid w:val="003769DA"/>
    <w:rsid w:val="003824EC"/>
    <w:rsid w:val="003854F6"/>
    <w:rsid w:val="00392F0E"/>
    <w:rsid w:val="00393BC9"/>
    <w:rsid w:val="00395840"/>
    <w:rsid w:val="00397509"/>
    <w:rsid w:val="003A109C"/>
    <w:rsid w:val="003A1368"/>
    <w:rsid w:val="003A3822"/>
    <w:rsid w:val="003A5FDE"/>
    <w:rsid w:val="003A7D61"/>
    <w:rsid w:val="003B1914"/>
    <w:rsid w:val="003B2862"/>
    <w:rsid w:val="003B63DE"/>
    <w:rsid w:val="003B6E5E"/>
    <w:rsid w:val="003C39B0"/>
    <w:rsid w:val="003C46C0"/>
    <w:rsid w:val="003C72F4"/>
    <w:rsid w:val="003C7E1A"/>
    <w:rsid w:val="003D19DA"/>
    <w:rsid w:val="003D264F"/>
    <w:rsid w:val="003E3C14"/>
    <w:rsid w:val="003E601C"/>
    <w:rsid w:val="003F1DA3"/>
    <w:rsid w:val="003F3E9F"/>
    <w:rsid w:val="003F7729"/>
    <w:rsid w:val="00400D50"/>
    <w:rsid w:val="00401618"/>
    <w:rsid w:val="00403177"/>
    <w:rsid w:val="00404CA4"/>
    <w:rsid w:val="004070F5"/>
    <w:rsid w:val="004073C5"/>
    <w:rsid w:val="004102E5"/>
    <w:rsid w:val="004123E0"/>
    <w:rsid w:val="00416979"/>
    <w:rsid w:val="004178AB"/>
    <w:rsid w:val="00420502"/>
    <w:rsid w:val="00421DF4"/>
    <w:rsid w:val="00423CBE"/>
    <w:rsid w:val="004365AD"/>
    <w:rsid w:val="00441C73"/>
    <w:rsid w:val="00444388"/>
    <w:rsid w:val="004554C8"/>
    <w:rsid w:val="004561BC"/>
    <w:rsid w:val="004567A6"/>
    <w:rsid w:val="00457216"/>
    <w:rsid w:val="0046589B"/>
    <w:rsid w:val="00465B96"/>
    <w:rsid w:val="00470247"/>
    <w:rsid w:val="00472C00"/>
    <w:rsid w:val="00473B5B"/>
    <w:rsid w:val="00477011"/>
    <w:rsid w:val="00483D71"/>
    <w:rsid w:val="0048621B"/>
    <w:rsid w:val="00487E64"/>
    <w:rsid w:val="00491175"/>
    <w:rsid w:val="004914BF"/>
    <w:rsid w:val="0049255B"/>
    <w:rsid w:val="004A3AE7"/>
    <w:rsid w:val="004A46EF"/>
    <w:rsid w:val="004A491E"/>
    <w:rsid w:val="004A6B93"/>
    <w:rsid w:val="004B1C14"/>
    <w:rsid w:val="004B4194"/>
    <w:rsid w:val="004B426C"/>
    <w:rsid w:val="004B50F8"/>
    <w:rsid w:val="004B58F2"/>
    <w:rsid w:val="004B70F6"/>
    <w:rsid w:val="004C6495"/>
    <w:rsid w:val="004C6A19"/>
    <w:rsid w:val="004D0348"/>
    <w:rsid w:val="004D0E3B"/>
    <w:rsid w:val="004D53D2"/>
    <w:rsid w:val="004E0ABF"/>
    <w:rsid w:val="004E1803"/>
    <w:rsid w:val="004E7498"/>
    <w:rsid w:val="004F23E9"/>
    <w:rsid w:val="004F2A89"/>
    <w:rsid w:val="004F7CD9"/>
    <w:rsid w:val="00500645"/>
    <w:rsid w:val="00501B54"/>
    <w:rsid w:val="005045AA"/>
    <w:rsid w:val="00504800"/>
    <w:rsid w:val="00505985"/>
    <w:rsid w:val="005102D2"/>
    <w:rsid w:val="00510E4A"/>
    <w:rsid w:val="00512170"/>
    <w:rsid w:val="005207BE"/>
    <w:rsid w:val="00523118"/>
    <w:rsid w:val="00524301"/>
    <w:rsid w:val="00525FA9"/>
    <w:rsid w:val="00526273"/>
    <w:rsid w:val="00533AF8"/>
    <w:rsid w:val="00537911"/>
    <w:rsid w:val="005417FB"/>
    <w:rsid w:val="005452D9"/>
    <w:rsid w:val="005478CD"/>
    <w:rsid w:val="005507BF"/>
    <w:rsid w:val="00554088"/>
    <w:rsid w:val="00554C8C"/>
    <w:rsid w:val="00557275"/>
    <w:rsid w:val="0056113B"/>
    <w:rsid w:val="00566437"/>
    <w:rsid w:val="00567F23"/>
    <w:rsid w:val="0057085F"/>
    <w:rsid w:val="00576CA8"/>
    <w:rsid w:val="00580115"/>
    <w:rsid w:val="00580E57"/>
    <w:rsid w:val="00584727"/>
    <w:rsid w:val="00587460"/>
    <w:rsid w:val="005902A8"/>
    <w:rsid w:val="00597FCF"/>
    <w:rsid w:val="005A0D85"/>
    <w:rsid w:val="005B5818"/>
    <w:rsid w:val="005B6BE9"/>
    <w:rsid w:val="005C07BF"/>
    <w:rsid w:val="005C2E7E"/>
    <w:rsid w:val="005C59A3"/>
    <w:rsid w:val="005D0D9F"/>
    <w:rsid w:val="005D0F3D"/>
    <w:rsid w:val="005D5985"/>
    <w:rsid w:val="005D5BD3"/>
    <w:rsid w:val="005D77B2"/>
    <w:rsid w:val="005E187F"/>
    <w:rsid w:val="005E2F0F"/>
    <w:rsid w:val="005E3D68"/>
    <w:rsid w:val="005F0408"/>
    <w:rsid w:val="005F1B79"/>
    <w:rsid w:val="005F3528"/>
    <w:rsid w:val="00600802"/>
    <w:rsid w:val="00602D2E"/>
    <w:rsid w:val="00603F08"/>
    <w:rsid w:val="00606110"/>
    <w:rsid w:val="00607B77"/>
    <w:rsid w:val="00607DD3"/>
    <w:rsid w:val="00612627"/>
    <w:rsid w:val="00613187"/>
    <w:rsid w:val="0061337D"/>
    <w:rsid w:val="00613E99"/>
    <w:rsid w:val="00614676"/>
    <w:rsid w:val="00616DAF"/>
    <w:rsid w:val="0061726E"/>
    <w:rsid w:val="00623E97"/>
    <w:rsid w:val="00626DA7"/>
    <w:rsid w:val="00631B0D"/>
    <w:rsid w:val="006350C4"/>
    <w:rsid w:val="00635DA8"/>
    <w:rsid w:val="006429AA"/>
    <w:rsid w:val="006445B5"/>
    <w:rsid w:val="0065028A"/>
    <w:rsid w:val="006510AA"/>
    <w:rsid w:val="00651297"/>
    <w:rsid w:val="00651849"/>
    <w:rsid w:val="00653789"/>
    <w:rsid w:val="00653B0D"/>
    <w:rsid w:val="006552DE"/>
    <w:rsid w:val="0065761F"/>
    <w:rsid w:val="00662D57"/>
    <w:rsid w:val="006672B0"/>
    <w:rsid w:val="00670D29"/>
    <w:rsid w:val="0067241B"/>
    <w:rsid w:val="00680544"/>
    <w:rsid w:val="006811A5"/>
    <w:rsid w:val="006827BA"/>
    <w:rsid w:val="00683730"/>
    <w:rsid w:val="00684761"/>
    <w:rsid w:val="00684E12"/>
    <w:rsid w:val="00686B9B"/>
    <w:rsid w:val="00693342"/>
    <w:rsid w:val="00695A86"/>
    <w:rsid w:val="006A0EB1"/>
    <w:rsid w:val="006A7B70"/>
    <w:rsid w:val="006A7E78"/>
    <w:rsid w:val="006B2FE1"/>
    <w:rsid w:val="006B39D2"/>
    <w:rsid w:val="006B57DB"/>
    <w:rsid w:val="006B5BC5"/>
    <w:rsid w:val="006B68B1"/>
    <w:rsid w:val="006C5624"/>
    <w:rsid w:val="006C65B4"/>
    <w:rsid w:val="006C660B"/>
    <w:rsid w:val="006C6F7B"/>
    <w:rsid w:val="006D0633"/>
    <w:rsid w:val="006D42EA"/>
    <w:rsid w:val="006D6054"/>
    <w:rsid w:val="006E047A"/>
    <w:rsid w:val="006E1A3B"/>
    <w:rsid w:val="006E64B8"/>
    <w:rsid w:val="006E6757"/>
    <w:rsid w:val="006E7EFC"/>
    <w:rsid w:val="006F20F0"/>
    <w:rsid w:val="006F717C"/>
    <w:rsid w:val="00701BE5"/>
    <w:rsid w:val="00702725"/>
    <w:rsid w:val="007032C9"/>
    <w:rsid w:val="00710A20"/>
    <w:rsid w:val="00712197"/>
    <w:rsid w:val="00713787"/>
    <w:rsid w:val="007149BB"/>
    <w:rsid w:val="00716DD5"/>
    <w:rsid w:val="00721255"/>
    <w:rsid w:val="007214D5"/>
    <w:rsid w:val="00722785"/>
    <w:rsid w:val="0072744D"/>
    <w:rsid w:val="00727AFD"/>
    <w:rsid w:val="007305D2"/>
    <w:rsid w:val="00737B40"/>
    <w:rsid w:val="00743B95"/>
    <w:rsid w:val="00750920"/>
    <w:rsid w:val="00752B97"/>
    <w:rsid w:val="00756DA1"/>
    <w:rsid w:val="00760741"/>
    <w:rsid w:val="0076435F"/>
    <w:rsid w:val="007651A3"/>
    <w:rsid w:val="007666D1"/>
    <w:rsid w:val="007701AA"/>
    <w:rsid w:val="0077191A"/>
    <w:rsid w:val="00773BD2"/>
    <w:rsid w:val="00774CE4"/>
    <w:rsid w:val="00777008"/>
    <w:rsid w:val="007867BC"/>
    <w:rsid w:val="00795D5C"/>
    <w:rsid w:val="00796CE1"/>
    <w:rsid w:val="007A1C11"/>
    <w:rsid w:val="007A1CC9"/>
    <w:rsid w:val="007A2984"/>
    <w:rsid w:val="007A2CC8"/>
    <w:rsid w:val="007A4880"/>
    <w:rsid w:val="007A6E2E"/>
    <w:rsid w:val="007B38E3"/>
    <w:rsid w:val="007C2B3A"/>
    <w:rsid w:val="007C2FDD"/>
    <w:rsid w:val="007C30D2"/>
    <w:rsid w:val="007C40DC"/>
    <w:rsid w:val="007C5890"/>
    <w:rsid w:val="007C7472"/>
    <w:rsid w:val="007D3461"/>
    <w:rsid w:val="007D3B91"/>
    <w:rsid w:val="007D500A"/>
    <w:rsid w:val="007E6D25"/>
    <w:rsid w:val="007E7679"/>
    <w:rsid w:val="007F7EC1"/>
    <w:rsid w:val="00800B73"/>
    <w:rsid w:val="00802AE3"/>
    <w:rsid w:val="00805977"/>
    <w:rsid w:val="00805E9B"/>
    <w:rsid w:val="00806DD4"/>
    <w:rsid w:val="00811DB4"/>
    <w:rsid w:val="00812A2A"/>
    <w:rsid w:val="00813FA9"/>
    <w:rsid w:val="00815555"/>
    <w:rsid w:val="00815967"/>
    <w:rsid w:val="0082418C"/>
    <w:rsid w:val="00830668"/>
    <w:rsid w:val="00831855"/>
    <w:rsid w:val="00833BF2"/>
    <w:rsid w:val="00840421"/>
    <w:rsid w:val="00840725"/>
    <w:rsid w:val="0084119B"/>
    <w:rsid w:val="008445C5"/>
    <w:rsid w:val="008457A5"/>
    <w:rsid w:val="00851281"/>
    <w:rsid w:val="00853476"/>
    <w:rsid w:val="00854609"/>
    <w:rsid w:val="00854D81"/>
    <w:rsid w:val="00857BE1"/>
    <w:rsid w:val="00860EBB"/>
    <w:rsid w:val="00861391"/>
    <w:rsid w:val="00861912"/>
    <w:rsid w:val="008622C9"/>
    <w:rsid w:val="008636A5"/>
    <w:rsid w:val="00865DE9"/>
    <w:rsid w:val="00866D12"/>
    <w:rsid w:val="00870A87"/>
    <w:rsid w:val="008734CF"/>
    <w:rsid w:val="00876F93"/>
    <w:rsid w:val="00877475"/>
    <w:rsid w:val="00880B91"/>
    <w:rsid w:val="00886EE2"/>
    <w:rsid w:val="008872E6"/>
    <w:rsid w:val="00887877"/>
    <w:rsid w:val="008906B4"/>
    <w:rsid w:val="00893A1F"/>
    <w:rsid w:val="008945D3"/>
    <w:rsid w:val="0089482D"/>
    <w:rsid w:val="008960F4"/>
    <w:rsid w:val="00896B22"/>
    <w:rsid w:val="008971F9"/>
    <w:rsid w:val="0089760F"/>
    <w:rsid w:val="008977EE"/>
    <w:rsid w:val="008A00F7"/>
    <w:rsid w:val="008A1E22"/>
    <w:rsid w:val="008A228C"/>
    <w:rsid w:val="008A4D5D"/>
    <w:rsid w:val="008B4E5D"/>
    <w:rsid w:val="008B7D4D"/>
    <w:rsid w:val="008C10D8"/>
    <w:rsid w:val="008C163E"/>
    <w:rsid w:val="008C1F0B"/>
    <w:rsid w:val="008C7106"/>
    <w:rsid w:val="008D04D9"/>
    <w:rsid w:val="008D32B8"/>
    <w:rsid w:val="008E09B6"/>
    <w:rsid w:val="008E0C5F"/>
    <w:rsid w:val="008E2031"/>
    <w:rsid w:val="008E2EB8"/>
    <w:rsid w:val="008E44D1"/>
    <w:rsid w:val="008E727D"/>
    <w:rsid w:val="008F2871"/>
    <w:rsid w:val="009035A6"/>
    <w:rsid w:val="00906011"/>
    <w:rsid w:val="00907F80"/>
    <w:rsid w:val="00911147"/>
    <w:rsid w:val="00911BE6"/>
    <w:rsid w:val="00916D9F"/>
    <w:rsid w:val="00917D86"/>
    <w:rsid w:val="0092034C"/>
    <w:rsid w:val="009219DE"/>
    <w:rsid w:val="00922F3D"/>
    <w:rsid w:val="00924050"/>
    <w:rsid w:val="00924289"/>
    <w:rsid w:val="0092443A"/>
    <w:rsid w:val="0093685B"/>
    <w:rsid w:val="00940A8B"/>
    <w:rsid w:val="009410DF"/>
    <w:rsid w:val="0094425C"/>
    <w:rsid w:val="0094596B"/>
    <w:rsid w:val="009472B2"/>
    <w:rsid w:val="00947555"/>
    <w:rsid w:val="0095484D"/>
    <w:rsid w:val="00961D59"/>
    <w:rsid w:val="00964EE6"/>
    <w:rsid w:val="00966D7E"/>
    <w:rsid w:val="00967AE2"/>
    <w:rsid w:val="00970AA1"/>
    <w:rsid w:val="00980E40"/>
    <w:rsid w:val="009855D3"/>
    <w:rsid w:val="00992952"/>
    <w:rsid w:val="00996E70"/>
    <w:rsid w:val="00996EB5"/>
    <w:rsid w:val="009A101F"/>
    <w:rsid w:val="009A11B2"/>
    <w:rsid w:val="009A23D0"/>
    <w:rsid w:val="009A4BA1"/>
    <w:rsid w:val="009B0C67"/>
    <w:rsid w:val="009B1698"/>
    <w:rsid w:val="009B7AA9"/>
    <w:rsid w:val="009C09D6"/>
    <w:rsid w:val="009C0E65"/>
    <w:rsid w:val="009C5DBC"/>
    <w:rsid w:val="009C6C41"/>
    <w:rsid w:val="009D4B9F"/>
    <w:rsid w:val="009D61FD"/>
    <w:rsid w:val="009E3742"/>
    <w:rsid w:val="009E3758"/>
    <w:rsid w:val="009E3BE8"/>
    <w:rsid w:val="009E7A8E"/>
    <w:rsid w:val="009E7F69"/>
    <w:rsid w:val="009F2D3F"/>
    <w:rsid w:val="009F2E5C"/>
    <w:rsid w:val="009F3C4F"/>
    <w:rsid w:val="009F4652"/>
    <w:rsid w:val="009F655D"/>
    <w:rsid w:val="009F7127"/>
    <w:rsid w:val="009F7E10"/>
    <w:rsid w:val="00A01B5E"/>
    <w:rsid w:val="00A07A7A"/>
    <w:rsid w:val="00A14434"/>
    <w:rsid w:val="00A164E9"/>
    <w:rsid w:val="00A16C9D"/>
    <w:rsid w:val="00A2103C"/>
    <w:rsid w:val="00A22F11"/>
    <w:rsid w:val="00A32B48"/>
    <w:rsid w:val="00A33C3B"/>
    <w:rsid w:val="00A372C7"/>
    <w:rsid w:val="00A405EA"/>
    <w:rsid w:val="00A42039"/>
    <w:rsid w:val="00A42569"/>
    <w:rsid w:val="00A43B2C"/>
    <w:rsid w:val="00A448C9"/>
    <w:rsid w:val="00A45318"/>
    <w:rsid w:val="00A455D2"/>
    <w:rsid w:val="00A552D1"/>
    <w:rsid w:val="00A56D37"/>
    <w:rsid w:val="00A6162A"/>
    <w:rsid w:val="00A64B17"/>
    <w:rsid w:val="00A66B9C"/>
    <w:rsid w:val="00A6717A"/>
    <w:rsid w:val="00A67224"/>
    <w:rsid w:val="00A77AC9"/>
    <w:rsid w:val="00A80BBA"/>
    <w:rsid w:val="00A82D65"/>
    <w:rsid w:val="00A835BA"/>
    <w:rsid w:val="00A84F36"/>
    <w:rsid w:val="00A84FE3"/>
    <w:rsid w:val="00A86164"/>
    <w:rsid w:val="00A8652D"/>
    <w:rsid w:val="00A871F8"/>
    <w:rsid w:val="00A90E78"/>
    <w:rsid w:val="00A91ED4"/>
    <w:rsid w:val="00A97816"/>
    <w:rsid w:val="00AA198A"/>
    <w:rsid w:val="00AA5534"/>
    <w:rsid w:val="00AB1E35"/>
    <w:rsid w:val="00AB282D"/>
    <w:rsid w:val="00AB4314"/>
    <w:rsid w:val="00AB46F0"/>
    <w:rsid w:val="00AB480B"/>
    <w:rsid w:val="00AB5525"/>
    <w:rsid w:val="00AB5575"/>
    <w:rsid w:val="00AC0ABA"/>
    <w:rsid w:val="00AC34C0"/>
    <w:rsid w:val="00AC3CF7"/>
    <w:rsid w:val="00AC3DD2"/>
    <w:rsid w:val="00AC5FC5"/>
    <w:rsid w:val="00AC6E10"/>
    <w:rsid w:val="00AD0CEC"/>
    <w:rsid w:val="00AD0EEF"/>
    <w:rsid w:val="00AD3049"/>
    <w:rsid w:val="00AD516C"/>
    <w:rsid w:val="00AD7CCA"/>
    <w:rsid w:val="00AF0608"/>
    <w:rsid w:val="00AF20D2"/>
    <w:rsid w:val="00AF5544"/>
    <w:rsid w:val="00AF7380"/>
    <w:rsid w:val="00B01CDC"/>
    <w:rsid w:val="00B070E1"/>
    <w:rsid w:val="00B17137"/>
    <w:rsid w:val="00B25486"/>
    <w:rsid w:val="00B27B0A"/>
    <w:rsid w:val="00B40A82"/>
    <w:rsid w:val="00B41DBF"/>
    <w:rsid w:val="00B42CA4"/>
    <w:rsid w:val="00B43FD9"/>
    <w:rsid w:val="00B46096"/>
    <w:rsid w:val="00B511A2"/>
    <w:rsid w:val="00B512C3"/>
    <w:rsid w:val="00B51B98"/>
    <w:rsid w:val="00B52A1B"/>
    <w:rsid w:val="00B5431C"/>
    <w:rsid w:val="00B54C8F"/>
    <w:rsid w:val="00B55F0A"/>
    <w:rsid w:val="00B57330"/>
    <w:rsid w:val="00B62CE4"/>
    <w:rsid w:val="00B64CD2"/>
    <w:rsid w:val="00B65A6A"/>
    <w:rsid w:val="00B677A2"/>
    <w:rsid w:val="00B74B1D"/>
    <w:rsid w:val="00B77194"/>
    <w:rsid w:val="00B84696"/>
    <w:rsid w:val="00B86456"/>
    <w:rsid w:val="00B8759F"/>
    <w:rsid w:val="00B91352"/>
    <w:rsid w:val="00B928CA"/>
    <w:rsid w:val="00B93387"/>
    <w:rsid w:val="00B93D56"/>
    <w:rsid w:val="00B94D72"/>
    <w:rsid w:val="00BA12F2"/>
    <w:rsid w:val="00BA1D1C"/>
    <w:rsid w:val="00BA6E8F"/>
    <w:rsid w:val="00BB2368"/>
    <w:rsid w:val="00BB3745"/>
    <w:rsid w:val="00BB3E36"/>
    <w:rsid w:val="00BB4177"/>
    <w:rsid w:val="00BB4E0E"/>
    <w:rsid w:val="00BB5B55"/>
    <w:rsid w:val="00BB5F98"/>
    <w:rsid w:val="00BC2F01"/>
    <w:rsid w:val="00BC5A79"/>
    <w:rsid w:val="00BD151E"/>
    <w:rsid w:val="00BD1D75"/>
    <w:rsid w:val="00BD458F"/>
    <w:rsid w:val="00BE009E"/>
    <w:rsid w:val="00BE1AA0"/>
    <w:rsid w:val="00BE31EF"/>
    <w:rsid w:val="00BF1C2E"/>
    <w:rsid w:val="00BF1CE1"/>
    <w:rsid w:val="00BF2AF7"/>
    <w:rsid w:val="00BF40F6"/>
    <w:rsid w:val="00BF4AD6"/>
    <w:rsid w:val="00BF65B6"/>
    <w:rsid w:val="00C009A7"/>
    <w:rsid w:val="00C02316"/>
    <w:rsid w:val="00C06378"/>
    <w:rsid w:val="00C0655E"/>
    <w:rsid w:val="00C07511"/>
    <w:rsid w:val="00C077ED"/>
    <w:rsid w:val="00C07C41"/>
    <w:rsid w:val="00C104BA"/>
    <w:rsid w:val="00C11ABF"/>
    <w:rsid w:val="00C12ECD"/>
    <w:rsid w:val="00C164DB"/>
    <w:rsid w:val="00C17B06"/>
    <w:rsid w:val="00C21398"/>
    <w:rsid w:val="00C21597"/>
    <w:rsid w:val="00C23139"/>
    <w:rsid w:val="00C312BA"/>
    <w:rsid w:val="00C36D97"/>
    <w:rsid w:val="00C4694D"/>
    <w:rsid w:val="00C4735C"/>
    <w:rsid w:val="00C52398"/>
    <w:rsid w:val="00C53D4B"/>
    <w:rsid w:val="00C5480E"/>
    <w:rsid w:val="00C562C9"/>
    <w:rsid w:val="00C56AEA"/>
    <w:rsid w:val="00C56DC2"/>
    <w:rsid w:val="00C57CE9"/>
    <w:rsid w:val="00C61FE8"/>
    <w:rsid w:val="00C677D3"/>
    <w:rsid w:val="00C67958"/>
    <w:rsid w:val="00C7012A"/>
    <w:rsid w:val="00C705C3"/>
    <w:rsid w:val="00C70A0A"/>
    <w:rsid w:val="00C7546C"/>
    <w:rsid w:val="00C774A5"/>
    <w:rsid w:val="00C8170A"/>
    <w:rsid w:val="00C82DF7"/>
    <w:rsid w:val="00C87BCF"/>
    <w:rsid w:val="00C9206E"/>
    <w:rsid w:val="00C92088"/>
    <w:rsid w:val="00C94F91"/>
    <w:rsid w:val="00CA0F08"/>
    <w:rsid w:val="00CA11EE"/>
    <w:rsid w:val="00CA21AD"/>
    <w:rsid w:val="00CA2685"/>
    <w:rsid w:val="00CA3AF3"/>
    <w:rsid w:val="00CB520E"/>
    <w:rsid w:val="00CC019B"/>
    <w:rsid w:val="00CC125C"/>
    <w:rsid w:val="00CC30C2"/>
    <w:rsid w:val="00CC376D"/>
    <w:rsid w:val="00CC37E8"/>
    <w:rsid w:val="00CC525A"/>
    <w:rsid w:val="00CD1B4E"/>
    <w:rsid w:val="00CD586D"/>
    <w:rsid w:val="00CD61BA"/>
    <w:rsid w:val="00CE0DD6"/>
    <w:rsid w:val="00CE36EF"/>
    <w:rsid w:val="00CE642D"/>
    <w:rsid w:val="00CF0DBE"/>
    <w:rsid w:val="00CF2014"/>
    <w:rsid w:val="00CF2CE2"/>
    <w:rsid w:val="00CF7564"/>
    <w:rsid w:val="00D00CDB"/>
    <w:rsid w:val="00D01384"/>
    <w:rsid w:val="00D0419E"/>
    <w:rsid w:val="00D05E7F"/>
    <w:rsid w:val="00D12592"/>
    <w:rsid w:val="00D155A9"/>
    <w:rsid w:val="00D16B7B"/>
    <w:rsid w:val="00D17FA6"/>
    <w:rsid w:val="00D20779"/>
    <w:rsid w:val="00D25231"/>
    <w:rsid w:val="00D27CCF"/>
    <w:rsid w:val="00D30879"/>
    <w:rsid w:val="00D3152C"/>
    <w:rsid w:val="00D333E7"/>
    <w:rsid w:val="00D350B5"/>
    <w:rsid w:val="00D361CE"/>
    <w:rsid w:val="00D36634"/>
    <w:rsid w:val="00D3717F"/>
    <w:rsid w:val="00D37EC1"/>
    <w:rsid w:val="00D412AA"/>
    <w:rsid w:val="00D42EB5"/>
    <w:rsid w:val="00D43489"/>
    <w:rsid w:val="00D447B0"/>
    <w:rsid w:val="00D456C5"/>
    <w:rsid w:val="00D501FA"/>
    <w:rsid w:val="00D503B7"/>
    <w:rsid w:val="00D50EDB"/>
    <w:rsid w:val="00D524B7"/>
    <w:rsid w:val="00D57788"/>
    <w:rsid w:val="00D60D98"/>
    <w:rsid w:val="00D61F6C"/>
    <w:rsid w:val="00D62281"/>
    <w:rsid w:val="00D63FB9"/>
    <w:rsid w:val="00D6753D"/>
    <w:rsid w:val="00D716A2"/>
    <w:rsid w:val="00D7552F"/>
    <w:rsid w:val="00D761B5"/>
    <w:rsid w:val="00D7761D"/>
    <w:rsid w:val="00D84914"/>
    <w:rsid w:val="00D85CFE"/>
    <w:rsid w:val="00D90F20"/>
    <w:rsid w:val="00D9159F"/>
    <w:rsid w:val="00DA0839"/>
    <w:rsid w:val="00DA433C"/>
    <w:rsid w:val="00DA79CC"/>
    <w:rsid w:val="00DA7B2D"/>
    <w:rsid w:val="00DA7C64"/>
    <w:rsid w:val="00DB1403"/>
    <w:rsid w:val="00DB1E47"/>
    <w:rsid w:val="00DB20FF"/>
    <w:rsid w:val="00DB4D45"/>
    <w:rsid w:val="00DB5523"/>
    <w:rsid w:val="00DB611A"/>
    <w:rsid w:val="00DC0B93"/>
    <w:rsid w:val="00DC307A"/>
    <w:rsid w:val="00DC4A7B"/>
    <w:rsid w:val="00DC59B2"/>
    <w:rsid w:val="00DC6355"/>
    <w:rsid w:val="00DC66F7"/>
    <w:rsid w:val="00DD0A72"/>
    <w:rsid w:val="00DD3AFF"/>
    <w:rsid w:val="00DD488C"/>
    <w:rsid w:val="00DD4D9A"/>
    <w:rsid w:val="00DE040A"/>
    <w:rsid w:val="00DE1414"/>
    <w:rsid w:val="00DE7969"/>
    <w:rsid w:val="00DF21D3"/>
    <w:rsid w:val="00E01C75"/>
    <w:rsid w:val="00E05333"/>
    <w:rsid w:val="00E06AED"/>
    <w:rsid w:val="00E07DE1"/>
    <w:rsid w:val="00E135F3"/>
    <w:rsid w:val="00E15D08"/>
    <w:rsid w:val="00E17ED2"/>
    <w:rsid w:val="00E206E6"/>
    <w:rsid w:val="00E20DC3"/>
    <w:rsid w:val="00E221C0"/>
    <w:rsid w:val="00E22D00"/>
    <w:rsid w:val="00E26EC8"/>
    <w:rsid w:val="00E32BA8"/>
    <w:rsid w:val="00E32F5A"/>
    <w:rsid w:val="00E33D6E"/>
    <w:rsid w:val="00E36265"/>
    <w:rsid w:val="00E3692C"/>
    <w:rsid w:val="00E4042A"/>
    <w:rsid w:val="00E4343E"/>
    <w:rsid w:val="00E435E5"/>
    <w:rsid w:val="00E44EE3"/>
    <w:rsid w:val="00E505F9"/>
    <w:rsid w:val="00E53083"/>
    <w:rsid w:val="00E54B8E"/>
    <w:rsid w:val="00E57804"/>
    <w:rsid w:val="00E729B3"/>
    <w:rsid w:val="00E80693"/>
    <w:rsid w:val="00E859CA"/>
    <w:rsid w:val="00E9044B"/>
    <w:rsid w:val="00E90BC4"/>
    <w:rsid w:val="00E913DE"/>
    <w:rsid w:val="00E93AFE"/>
    <w:rsid w:val="00E93BEE"/>
    <w:rsid w:val="00EB0846"/>
    <w:rsid w:val="00EB40DE"/>
    <w:rsid w:val="00EB41BC"/>
    <w:rsid w:val="00EC1DDB"/>
    <w:rsid w:val="00EC3B81"/>
    <w:rsid w:val="00EC3D17"/>
    <w:rsid w:val="00EC49E6"/>
    <w:rsid w:val="00ED1214"/>
    <w:rsid w:val="00ED1A71"/>
    <w:rsid w:val="00ED2A2B"/>
    <w:rsid w:val="00ED492F"/>
    <w:rsid w:val="00EE3240"/>
    <w:rsid w:val="00EE3482"/>
    <w:rsid w:val="00EE6679"/>
    <w:rsid w:val="00EE6DF1"/>
    <w:rsid w:val="00EF4B96"/>
    <w:rsid w:val="00EF68E7"/>
    <w:rsid w:val="00EF7485"/>
    <w:rsid w:val="00EF7497"/>
    <w:rsid w:val="00F03B15"/>
    <w:rsid w:val="00F03C2A"/>
    <w:rsid w:val="00F06DFF"/>
    <w:rsid w:val="00F129C9"/>
    <w:rsid w:val="00F13228"/>
    <w:rsid w:val="00F13974"/>
    <w:rsid w:val="00F22F51"/>
    <w:rsid w:val="00F2608D"/>
    <w:rsid w:val="00F303D3"/>
    <w:rsid w:val="00F328BE"/>
    <w:rsid w:val="00F37622"/>
    <w:rsid w:val="00F37DCE"/>
    <w:rsid w:val="00F408D3"/>
    <w:rsid w:val="00F41C23"/>
    <w:rsid w:val="00F4343E"/>
    <w:rsid w:val="00F456A3"/>
    <w:rsid w:val="00F55072"/>
    <w:rsid w:val="00F55F87"/>
    <w:rsid w:val="00F61B51"/>
    <w:rsid w:val="00F6235F"/>
    <w:rsid w:val="00F6560A"/>
    <w:rsid w:val="00F664F3"/>
    <w:rsid w:val="00F74591"/>
    <w:rsid w:val="00F77B56"/>
    <w:rsid w:val="00F802AD"/>
    <w:rsid w:val="00F8506A"/>
    <w:rsid w:val="00F85898"/>
    <w:rsid w:val="00F879D1"/>
    <w:rsid w:val="00F91AF5"/>
    <w:rsid w:val="00F933C3"/>
    <w:rsid w:val="00F93EA4"/>
    <w:rsid w:val="00FA0B97"/>
    <w:rsid w:val="00FA1273"/>
    <w:rsid w:val="00FA1571"/>
    <w:rsid w:val="00FA1BDB"/>
    <w:rsid w:val="00FA21F6"/>
    <w:rsid w:val="00FB0A40"/>
    <w:rsid w:val="00FB0FAE"/>
    <w:rsid w:val="00FB1936"/>
    <w:rsid w:val="00FB2C40"/>
    <w:rsid w:val="00FB2E0E"/>
    <w:rsid w:val="00FB7504"/>
    <w:rsid w:val="00FC0612"/>
    <w:rsid w:val="00FC1CE6"/>
    <w:rsid w:val="00FC3189"/>
    <w:rsid w:val="00FC4BDF"/>
    <w:rsid w:val="00FC653F"/>
    <w:rsid w:val="00FC6F35"/>
    <w:rsid w:val="00FC7661"/>
    <w:rsid w:val="00FD0891"/>
    <w:rsid w:val="00FD39D7"/>
    <w:rsid w:val="00FE046C"/>
    <w:rsid w:val="00FE1419"/>
    <w:rsid w:val="00FE7BC8"/>
    <w:rsid w:val="00FF3C6A"/>
    <w:rsid w:val="00FF46D6"/>
    <w:rsid w:val="00FF49C5"/>
    <w:rsid w:val="00FF5C16"/>
    <w:rsid w:val="00FF67EE"/>
    <w:rsid w:val="01B4C218"/>
    <w:rsid w:val="01CE9F87"/>
    <w:rsid w:val="01D047A1"/>
    <w:rsid w:val="01D99EFA"/>
    <w:rsid w:val="02928BAF"/>
    <w:rsid w:val="03DBFB8D"/>
    <w:rsid w:val="041A6071"/>
    <w:rsid w:val="0433FA67"/>
    <w:rsid w:val="04F1A9A8"/>
    <w:rsid w:val="070947C3"/>
    <w:rsid w:val="08441513"/>
    <w:rsid w:val="088D9FA6"/>
    <w:rsid w:val="0A1C54A0"/>
    <w:rsid w:val="0BF42158"/>
    <w:rsid w:val="0C753EFA"/>
    <w:rsid w:val="0C89DAD0"/>
    <w:rsid w:val="0CCFA414"/>
    <w:rsid w:val="0D263BF8"/>
    <w:rsid w:val="0D2EFFE5"/>
    <w:rsid w:val="0EC632B2"/>
    <w:rsid w:val="0ECEA67E"/>
    <w:rsid w:val="10021CB1"/>
    <w:rsid w:val="10BCC2AC"/>
    <w:rsid w:val="118DE7AD"/>
    <w:rsid w:val="119D9F03"/>
    <w:rsid w:val="11B4AAF8"/>
    <w:rsid w:val="11F6E608"/>
    <w:rsid w:val="11FD0A9D"/>
    <w:rsid w:val="121F6BE3"/>
    <w:rsid w:val="12B01936"/>
    <w:rsid w:val="13FCA820"/>
    <w:rsid w:val="150CC257"/>
    <w:rsid w:val="1528279E"/>
    <w:rsid w:val="1566771D"/>
    <w:rsid w:val="1587D24C"/>
    <w:rsid w:val="15CD7438"/>
    <w:rsid w:val="15FE4E77"/>
    <w:rsid w:val="16FE6596"/>
    <w:rsid w:val="17BF16B3"/>
    <w:rsid w:val="190E581D"/>
    <w:rsid w:val="19694AD0"/>
    <w:rsid w:val="1A1C5073"/>
    <w:rsid w:val="1B64882E"/>
    <w:rsid w:val="1B681B33"/>
    <w:rsid w:val="1B7448CF"/>
    <w:rsid w:val="1BAC979E"/>
    <w:rsid w:val="1BF0C317"/>
    <w:rsid w:val="1BF9CCBC"/>
    <w:rsid w:val="1C1BBF38"/>
    <w:rsid w:val="1CA969B8"/>
    <w:rsid w:val="1D5C278D"/>
    <w:rsid w:val="1D769F9F"/>
    <w:rsid w:val="1DA5A904"/>
    <w:rsid w:val="1DBF4028"/>
    <w:rsid w:val="1DED9304"/>
    <w:rsid w:val="1E787369"/>
    <w:rsid w:val="1F525F1C"/>
    <w:rsid w:val="1F59955A"/>
    <w:rsid w:val="1F914484"/>
    <w:rsid w:val="1FF0AA25"/>
    <w:rsid w:val="201FEF96"/>
    <w:rsid w:val="203488AD"/>
    <w:rsid w:val="2050C497"/>
    <w:rsid w:val="20622664"/>
    <w:rsid w:val="20A2D29A"/>
    <w:rsid w:val="20D2FDF0"/>
    <w:rsid w:val="20F84A22"/>
    <w:rsid w:val="2239056F"/>
    <w:rsid w:val="22EA1F97"/>
    <w:rsid w:val="22EF3402"/>
    <w:rsid w:val="233FAEFD"/>
    <w:rsid w:val="236405D6"/>
    <w:rsid w:val="23916F3C"/>
    <w:rsid w:val="23E5CBA1"/>
    <w:rsid w:val="24D048AD"/>
    <w:rsid w:val="24DB1DFD"/>
    <w:rsid w:val="25792496"/>
    <w:rsid w:val="258448B1"/>
    <w:rsid w:val="25E708A7"/>
    <w:rsid w:val="26624AEA"/>
    <w:rsid w:val="26E15589"/>
    <w:rsid w:val="280BB961"/>
    <w:rsid w:val="28764469"/>
    <w:rsid w:val="28BD1618"/>
    <w:rsid w:val="28DF48FB"/>
    <w:rsid w:val="29F34221"/>
    <w:rsid w:val="2A083B68"/>
    <w:rsid w:val="2A5389C7"/>
    <w:rsid w:val="2CFCE40E"/>
    <w:rsid w:val="2D2095B8"/>
    <w:rsid w:val="2F59A4FA"/>
    <w:rsid w:val="2F79DB93"/>
    <w:rsid w:val="30245B3C"/>
    <w:rsid w:val="306C3A4B"/>
    <w:rsid w:val="30893A10"/>
    <w:rsid w:val="3098C0A5"/>
    <w:rsid w:val="30EDFD63"/>
    <w:rsid w:val="321C6892"/>
    <w:rsid w:val="323A98FD"/>
    <w:rsid w:val="329C68DC"/>
    <w:rsid w:val="32E98819"/>
    <w:rsid w:val="33379BE8"/>
    <w:rsid w:val="335BCC80"/>
    <w:rsid w:val="3365253F"/>
    <w:rsid w:val="339F7E2C"/>
    <w:rsid w:val="33B41896"/>
    <w:rsid w:val="33D5922A"/>
    <w:rsid w:val="33FC700B"/>
    <w:rsid w:val="35010EF1"/>
    <w:rsid w:val="3532F607"/>
    <w:rsid w:val="356A15BD"/>
    <w:rsid w:val="35AEDFD6"/>
    <w:rsid w:val="36740F1B"/>
    <w:rsid w:val="3678F9C0"/>
    <w:rsid w:val="368DEE29"/>
    <w:rsid w:val="3742E338"/>
    <w:rsid w:val="37CA7937"/>
    <w:rsid w:val="38A77A1D"/>
    <w:rsid w:val="38B29B52"/>
    <w:rsid w:val="399FA052"/>
    <w:rsid w:val="3A2C1359"/>
    <w:rsid w:val="3A4A40CF"/>
    <w:rsid w:val="3A78EF73"/>
    <w:rsid w:val="3AF7D022"/>
    <w:rsid w:val="3BF16674"/>
    <w:rsid w:val="3E69170F"/>
    <w:rsid w:val="3EB0E221"/>
    <w:rsid w:val="3ECC5500"/>
    <w:rsid w:val="3EED9E94"/>
    <w:rsid w:val="3F51895F"/>
    <w:rsid w:val="3F9248F0"/>
    <w:rsid w:val="40AB0577"/>
    <w:rsid w:val="40C41B22"/>
    <w:rsid w:val="40D61CF9"/>
    <w:rsid w:val="41C04A3E"/>
    <w:rsid w:val="420AB9E2"/>
    <w:rsid w:val="422346EB"/>
    <w:rsid w:val="427B068A"/>
    <w:rsid w:val="42C30AD5"/>
    <w:rsid w:val="4323E758"/>
    <w:rsid w:val="43810CD7"/>
    <w:rsid w:val="438F3141"/>
    <w:rsid w:val="43F438C0"/>
    <w:rsid w:val="448F4F8B"/>
    <w:rsid w:val="4557B282"/>
    <w:rsid w:val="4585F4B2"/>
    <w:rsid w:val="45EF0AB0"/>
    <w:rsid w:val="45EF7926"/>
    <w:rsid w:val="46309922"/>
    <w:rsid w:val="466B5269"/>
    <w:rsid w:val="46FA0037"/>
    <w:rsid w:val="47F5AA6E"/>
    <w:rsid w:val="49118626"/>
    <w:rsid w:val="4913C91C"/>
    <w:rsid w:val="49258CD0"/>
    <w:rsid w:val="49902116"/>
    <w:rsid w:val="49955E5B"/>
    <w:rsid w:val="49A95837"/>
    <w:rsid w:val="49C23ABD"/>
    <w:rsid w:val="49E3C685"/>
    <w:rsid w:val="4A36D419"/>
    <w:rsid w:val="4A382EC7"/>
    <w:rsid w:val="4A4027D1"/>
    <w:rsid w:val="4AD83279"/>
    <w:rsid w:val="4AFAC3D2"/>
    <w:rsid w:val="4BBC4020"/>
    <w:rsid w:val="4BF518EC"/>
    <w:rsid w:val="4C298D8A"/>
    <w:rsid w:val="4C304D6B"/>
    <w:rsid w:val="4C3BF54D"/>
    <w:rsid w:val="4C505B77"/>
    <w:rsid w:val="4C54665F"/>
    <w:rsid w:val="4C8CF1CA"/>
    <w:rsid w:val="4CABAB77"/>
    <w:rsid w:val="4CF196EE"/>
    <w:rsid w:val="4CF2C430"/>
    <w:rsid w:val="4D7E2476"/>
    <w:rsid w:val="4DEF1AD0"/>
    <w:rsid w:val="4E6C1B45"/>
    <w:rsid w:val="4EA2625B"/>
    <w:rsid w:val="4F79706D"/>
    <w:rsid w:val="4F8799BB"/>
    <w:rsid w:val="4F8DE21D"/>
    <w:rsid w:val="4F946C56"/>
    <w:rsid w:val="4FFB67BF"/>
    <w:rsid w:val="5031C2CB"/>
    <w:rsid w:val="50FE687E"/>
    <w:rsid w:val="513BCBEC"/>
    <w:rsid w:val="51B0261A"/>
    <w:rsid w:val="51E51C51"/>
    <w:rsid w:val="524CE45F"/>
    <w:rsid w:val="5276C61D"/>
    <w:rsid w:val="532D080C"/>
    <w:rsid w:val="533E97E1"/>
    <w:rsid w:val="54206741"/>
    <w:rsid w:val="542471D1"/>
    <w:rsid w:val="54BAAD21"/>
    <w:rsid w:val="55800C59"/>
    <w:rsid w:val="559DC30C"/>
    <w:rsid w:val="5603F735"/>
    <w:rsid w:val="56214B83"/>
    <w:rsid w:val="564649C2"/>
    <w:rsid w:val="568F323C"/>
    <w:rsid w:val="56B3B5F9"/>
    <w:rsid w:val="56F7A464"/>
    <w:rsid w:val="577E83C1"/>
    <w:rsid w:val="58316371"/>
    <w:rsid w:val="5835ED03"/>
    <w:rsid w:val="585A5EF0"/>
    <w:rsid w:val="5863BFF8"/>
    <w:rsid w:val="5871C5DF"/>
    <w:rsid w:val="591D3BD3"/>
    <w:rsid w:val="593601C7"/>
    <w:rsid w:val="59A875C6"/>
    <w:rsid w:val="59AC3886"/>
    <w:rsid w:val="5AB16649"/>
    <w:rsid w:val="5C42F8FC"/>
    <w:rsid w:val="5C78C74D"/>
    <w:rsid w:val="5CD752F2"/>
    <w:rsid w:val="5DEDB7E4"/>
    <w:rsid w:val="5DEE66FF"/>
    <w:rsid w:val="5E1DB2CA"/>
    <w:rsid w:val="5E2CB864"/>
    <w:rsid w:val="5E81358A"/>
    <w:rsid w:val="5F605022"/>
    <w:rsid w:val="5F6C0EAA"/>
    <w:rsid w:val="5F918B59"/>
    <w:rsid w:val="5FDCD79F"/>
    <w:rsid w:val="5FEFC124"/>
    <w:rsid w:val="6023D710"/>
    <w:rsid w:val="602DFF8D"/>
    <w:rsid w:val="608BB549"/>
    <w:rsid w:val="60A397B7"/>
    <w:rsid w:val="61053A4C"/>
    <w:rsid w:val="612C3717"/>
    <w:rsid w:val="61B7568A"/>
    <w:rsid w:val="61E66275"/>
    <w:rsid w:val="630AD551"/>
    <w:rsid w:val="633ADEB9"/>
    <w:rsid w:val="6388D19C"/>
    <w:rsid w:val="63D52EC0"/>
    <w:rsid w:val="645A5035"/>
    <w:rsid w:val="65B5A9DB"/>
    <w:rsid w:val="65EF3B33"/>
    <w:rsid w:val="67015CE9"/>
    <w:rsid w:val="67465820"/>
    <w:rsid w:val="6A15AA3E"/>
    <w:rsid w:val="6A87434A"/>
    <w:rsid w:val="6B5B1A98"/>
    <w:rsid w:val="6B98A5CD"/>
    <w:rsid w:val="6C95A2B7"/>
    <w:rsid w:val="6C9701EC"/>
    <w:rsid w:val="6CA8BFC1"/>
    <w:rsid w:val="6CB31B8B"/>
    <w:rsid w:val="6CBD54A1"/>
    <w:rsid w:val="6CE0FEA8"/>
    <w:rsid w:val="6D15AF50"/>
    <w:rsid w:val="6E2F85FE"/>
    <w:rsid w:val="6EABEF28"/>
    <w:rsid w:val="6F0B313A"/>
    <w:rsid w:val="6F8D8361"/>
    <w:rsid w:val="70972155"/>
    <w:rsid w:val="70B606EF"/>
    <w:rsid w:val="70F1C749"/>
    <w:rsid w:val="7118A552"/>
    <w:rsid w:val="717E479F"/>
    <w:rsid w:val="7189B839"/>
    <w:rsid w:val="71BE8D55"/>
    <w:rsid w:val="71E8BCDF"/>
    <w:rsid w:val="7207BC32"/>
    <w:rsid w:val="7215CF78"/>
    <w:rsid w:val="72878C7E"/>
    <w:rsid w:val="729A3535"/>
    <w:rsid w:val="72E1359D"/>
    <w:rsid w:val="72E61A1D"/>
    <w:rsid w:val="72FA2C9E"/>
    <w:rsid w:val="73CFAEF5"/>
    <w:rsid w:val="74D1A7A4"/>
    <w:rsid w:val="74D6CFB9"/>
    <w:rsid w:val="74E422C2"/>
    <w:rsid w:val="75873D95"/>
    <w:rsid w:val="76C76C16"/>
    <w:rsid w:val="7722594A"/>
    <w:rsid w:val="7757AB79"/>
    <w:rsid w:val="77B21D58"/>
    <w:rsid w:val="780FD588"/>
    <w:rsid w:val="78B0DB5B"/>
    <w:rsid w:val="78CB1576"/>
    <w:rsid w:val="79082661"/>
    <w:rsid w:val="790AAB2C"/>
    <w:rsid w:val="79521560"/>
    <w:rsid w:val="79CDDEC6"/>
    <w:rsid w:val="7A81BC40"/>
    <w:rsid w:val="7B053822"/>
    <w:rsid w:val="7C05C618"/>
    <w:rsid w:val="7C54CC6F"/>
    <w:rsid w:val="7D09ED04"/>
    <w:rsid w:val="7D0A2575"/>
    <w:rsid w:val="7D0EBFA6"/>
    <w:rsid w:val="7E0E2D6F"/>
    <w:rsid w:val="7E62C835"/>
    <w:rsid w:val="7ED1A0A5"/>
    <w:rsid w:val="7EFC2928"/>
    <w:rsid w:val="7F29DFED"/>
    <w:rsid w:val="7F7F95A6"/>
    <w:rsid w:val="7F9B56D5"/>
    <w:rsid w:val="7FF6E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FD22D"/>
  <w15:chartTrackingRefBased/>
  <w15:docId w15:val="{C006127B-A96E-4EAA-B5CA-4AD828FD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B22"/>
    <w:rPr>
      <w:rFonts w:eastAsiaTheme="majorEastAsia" w:cstheme="majorBidi"/>
      <w:color w:val="272727" w:themeColor="text1" w:themeTint="D8"/>
    </w:rPr>
  </w:style>
  <w:style w:type="paragraph" w:styleId="Title">
    <w:name w:val="Title"/>
    <w:basedOn w:val="Normal"/>
    <w:next w:val="Normal"/>
    <w:link w:val="TitleChar"/>
    <w:uiPriority w:val="10"/>
    <w:qFormat/>
    <w:rsid w:val="00896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B22"/>
    <w:pPr>
      <w:spacing w:before="160"/>
      <w:jc w:val="center"/>
    </w:pPr>
    <w:rPr>
      <w:i/>
      <w:iCs/>
      <w:color w:val="404040" w:themeColor="text1" w:themeTint="BF"/>
    </w:rPr>
  </w:style>
  <w:style w:type="character" w:customStyle="1" w:styleId="QuoteChar">
    <w:name w:val="Quote Char"/>
    <w:basedOn w:val="DefaultParagraphFont"/>
    <w:link w:val="Quote"/>
    <w:uiPriority w:val="29"/>
    <w:rsid w:val="00896B22"/>
    <w:rPr>
      <w:i/>
      <w:iCs/>
      <w:color w:val="404040" w:themeColor="text1" w:themeTint="BF"/>
    </w:rPr>
  </w:style>
  <w:style w:type="paragraph" w:styleId="ListParagraph">
    <w:name w:val="List Paragraph"/>
    <w:basedOn w:val="Normal"/>
    <w:uiPriority w:val="34"/>
    <w:qFormat/>
    <w:rsid w:val="00896B22"/>
    <w:pPr>
      <w:ind w:left="720"/>
      <w:contextualSpacing/>
    </w:pPr>
  </w:style>
  <w:style w:type="character" w:styleId="IntenseEmphasis">
    <w:name w:val="Intense Emphasis"/>
    <w:basedOn w:val="DefaultParagraphFont"/>
    <w:uiPriority w:val="21"/>
    <w:qFormat/>
    <w:rsid w:val="00896B22"/>
    <w:rPr>
      <w:i/>
      <w:iCs/>
      <w:color w:val="0F4761" w:themeColor="accent1" w:themeShade="BF"/>
    </w:rPr>
  </w:style>
  <w:style w:type="paragraph" w:styleId="IntenseQuote">
    <w:name w:val="Intense Quote"/>
    <w:basedOn w:val="Normal"/>
    <w:next w:val="Normal"/>
    <w:link w:val="IntenseQuoteChar"/>
    <w:uiPriority w:val="30"/>
    <w:qFormat/>
    <w:rsid w:val="00896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B22"/>
    <w:rPr>
      <w:i/>
      <w:iCs/>
      <w:color w:val="0F4761" w:themeColor="accent1" w:themeShade="BF"/>
    </w:rPr>
  </w:style>
  <w:style w:type="character" w:styleId="IntenseReference">
    <w:name w:val="Intense Reference"/>
    <w:basedOn w:val="DefaultParagraphFont"/>
    <w:uiPriority w:val="32"/>
    <w:qFormat/>
    <w:rsid w:val="00896B22"/>
    <w:rPr>
      <w:b/>
      <w:bCs/>
      <w:smallCaps/>
      <w:color w:val="0F4761" w:themeColor="accent1" w:themeShade="BF"/>
      <w:spacing w:val="5"/>
    </w:rPr>
  </w:style>
  <w:style w:type="character" w:styleId="Hyperlink">
    <w:name w:val="Hyperlink"/>
    <w:basedOn w:val="DefaultParagraphFont"/>
    <w:uiPriority w:val="99"/>
    <w:unhideWhenUsed/>
    <w:rsid w:val="00896B22"/>
    <w:rPr>
      <w:color w:val="467886" w:themeColor="hyperlink"/>
      <w:u w:val="single"/>
    </w:rPr>
  </w:style>
  <w:style w:type="character" w:styleId="UnresolvedMention">
    <w:name w:val="Unresolved Mention"/>
    <w:basedOn w:val="DefaultParagraphFont"/>
    <w:uiPriority w:val="99"/>
    <w:semiHidden/>
    <w:unhideWhenUsed/>
    <w:rsid w:val="00896B22"/>
    <w:rPr>
      <w:color w:val="605E5C"/>
      <w:shd w:val="clear" w:color="auto" w:fill="E1DFDD"/>
    </w:rPr>
  </w:style>
  <w:style w:type="paragraph" w:styleId="Header">
    <w:name w:val="header"/>
    <w:basedOn w:val="Normal"/>
    <w:link w:val="HeaderChar"/>
    <w:uiPriority w:val="99"/>
    <w:unhideWhenUsed/>
    <w:rsid w:val="002A0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10"/>
  </w:style>
  <w:style w:type="paragraph" w:styleId="Footer">
    <w:name w:val="footer"/>
    <w:basedOn w:val="Normal"/>
    <w:link w:val="FooterChar"/>
    <w:uiPriority w:val="99"/>
    <w:unhideWhenUsed/>
    <w:rsid w:val="002A0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10"/>
  </w:style>
  <w:style w:type="table" w:styleId="TableGrid">
    <w:name w:val="Table Grid"/>
    <w:basedOn w:val="TableNormal"/>
    <w:uiPriority w:val="39"/>
    <w:rsid w:val="002A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210"/>
    <w:rPr>
      <w:sz w:val="16"/>
      <w:szCs w:val="16"/>
    </w:rPr>
  </w:style>
  <w:style w:type="paragraph" w:styleId="CommentText">
    <w:name w:val="annotation text"/>
    <w:basedOn w:val="Normal"/>
    <w:link w:val="CommentTextChar"/>
    <w:uiPriority w:val="99"/>
    <w:unhideWhenUsed/>
    <w:rsid w:val="002A0210"/>
    <w:pPr>
      <w:spacing w:line="240" w:lineRule="auto"/>
    </w:pPr>
    <w:rPr>
      <w:sz w:val="20"/>
      <w:szCs w:val="20"/>
    </w:rPr>
  </w:style>
  <w:style w:type="character" w:customStyle="1" w:styleId="CommentTextChar">
    <w:name w:val="Comment Text Char"/>
    <w:basedOn w:val="DefaultParagraphFont"/>
    <w:link w:val="CommentText"/>
    <w:uiPriority w:val="99"/>
    <w:rsid w:val="002A0210"/>
    <w:rPr>
      <w:sz w:val="20"/>
      <w:szCs w:val="20"/>
    </w:rPr>
  </w:style>
  <w:style w:type="paragraph" w:styleId="CommentSubject">
    <w:name w:val="annotation subject"/>
    <w:basedOn w:val="CommentText"/>
    <w:next w:val="CommentText"/>
    <w:link w:val="CommentSubjectChar"/>
    <w:uiPriority w:val="99"/>
    <w:semiHidden/>
    <w:unhideWhenUsed/>
    <w:rsid w:val="002A0210"/>
    <w:rPr>
      <w:b/>
      <w:bCs/>
    </w:rPr>
  </w:style>
  <w:style w:type="character" w:customStyle="1" w:styleId="CommentSubjectChar">
    <w:name w:val="Comment Subject Char"/>
    <w:basedOn w:val="CommentTextChar"/>
    <w:link w:val="CommentSubject"/>
    <w:uiPriority w:val="99"/>
    <w:semiHidden/>
    <w:rsid w:val="002A0210"/>
    <w:rPr>
      <w:b/>
      <w:bCs/>
      <w:sz w:val="20"/>
      <w:szCs w:val="20"/>
    </w:rPr>
  </w:style>
  <w:style w:type="character" w:styleId="Mention">
    <w:name w:val="Mention"/>
    <w:basedOn w:val="DefaultParagraphFont"/>
    <w:uiPriority w:val="99"/>
    <w:unhideWhenUsed/>
    <w:rsid w:val="002A0210"/>
    <w:rPr>
      <w:color w:val="2B579A"/>
      <w:shd w:val="clear" w:color="auto" w:fill="E1DFDD"/>
    </w:rPr>
  </w:style>
  <w:style w:type="paragraph" w:styleId="Revision">
    <w:name w:val="Revision"/>
    <w:hidden/>
    <w:uiPriority w:val="99"/>
    <w:semiHidden/>
    <w:rsid w:val="002A0210"/>
    <w:pPr>
      <w:spacing w:after="0" w:line="240" w:lineRule="auto"/>
    </w:pPr>
  </w:style>
  <w:style w:type="character" w:styleId="FollowedHyperlink">
    <w:name w:val="FollowedHyperlink"/>
    <w:basedOn w:val="DefaultParagraphFont"/>
    <w:uiPriority w:val="99"/>
    <w:semiHidden/>
    <w:unhideWhenUsed/>
    <w:rsid w:val="00DC0B93"/>
    <w:rPr>
      <w:color w:val="96607D" w:themeColor="followedHyperlink"/>
      <w:u w:val="single"/>
    </w:rPr>
  </w:style>
  <w:style w:type="paragraph" w:styleId="FootnoteText">
    <w:name w:val="footnote text"/>
    <w:basedOn w:val="Normal"/>
    <w:link w:val="FootnoteTextChar"/>
    <w:uiPriority w:val="99"/>
    <w:semiHidden/>
    <w:unhideWhenUsed/>
    <w:rsid w:val="00EE6D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DF1"/>
    <w:rPr>
      <w:sz w:val="20"/>
      <w:szCs w:val="20"/>
    </w:rPr>
  </w:style>
  <w:style w:type="character" w:styleId="FootnoteReference">
    <w:name w:val="footnote reference"/>
    <w:basedOn w:val="DefaultParagraphFont"/>
    <w:uiPriority w:val="99"/>
    <w:semiHidden/>
    <w:unhideWhenUsed/>
    <w:rsid w:val="00EE6DF1"/>
    <w:rPr>
      <w:vertAlign w:val="superscript"/>
    </w:rPr>
  </w:style>
  <w:style w:type="paragraph" w:styleId="BodyText">
    <w:name w:val="Body Text"/>
    <w:basedOn w:val="Normal"/>
    <w:link w:val="BodyTextChar"/>
    <w:uiPriority w:val="99"/>
    <w:semiHidden/>
    <w:unhideWhenUsed/>
    <w:rsid w:val="00651297"/>
    <w:pPr>
      <w:spacing w:after="120"/>
    </w:pPr>
  </w:style>
  <w:style w:type="character" w:customStyle="1" w:styleId="BodyTextChar">
    <w:name w:val="Body Text Char"/>
    <w:basedOn w:val="DefaultParagraphFont"/>
    <w:link w:val="BodyText"/>
    <w:uiPriority w:val="99"/>
    <w:semiHidden/>
    <w:rsid w:val="0065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28f9969f4858c36cf8edaf88dcddf2fd">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809040540c7932a46df0175b41e8164d"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TaxCatchAll xmlns="9beb6452-e7b0-403b-b32b-96f5450e506a">
      <Value>1</Value>
    </TaxCatchAll>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007D7-DB56-4BE1-B255-61D03456CF78}">
  <ds:schemaRefs>
    <ds:schemaRef ds:uri="http://schemas.openxmlformats.org/officeDocument/2006/bibliography"/>
  </ds:schemaRefs>
</ds:datastoreItem>
</file>

<file path=customXml/itemProps2.xml><?xml version="1.0" encoding="utf-8"?>
<ds:datastoreItem xmlns:ds="http://schemas.openxmlformats.org/officeDocument/2006/customXml" ds:itemID="{4A0D44C9-8EA6-460C-93DF-8305F978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145FA-B3F8-4AFC-9064-2417699078DA}">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4.xml><?xml version="1.0" encoding="utf-8"?>
<ds:datastoreItem xmlns:ds="http://schemas.openxmlformats.org/officeDocument/2006/customXml" ds:itemID="{F49449DE-A385-425B-B397-CA94BC61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2145</Words>
  <Characters>12382</Characters>
  <Application>Microsoft Office Word</Application>
  <DocSecurity>0</DocSecurity>
  <Lines>193</Lines>
  <Paragraphs>57</Paragraphs>
  <ScaleCrop>false</ScaleCrop>
  <HeadingPairs>
    <vt:vector size="2" baseType="variant">
      <vt:variant>
        <vt:lpstr>Title</vt:lpstr>
      </vt:variant>
      <vt:variant>
        <vt:i4>1</vt:i4>
      </vt:variant>
    </vt:vector>
  </HeadingPairs>
  <TitlesOfParts>
    <vt:vector size="1" baseType="lpstr">
      <vt:lpstr>Submission 100 - Tourism Australia (TA) - Determinants of regional airfares - Public inquiry</vt:lpstr>
    </vt:vector>
  </TitlesOfParts>
  <Company>Tourism Australia (TA)</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Tourism Australia (TA) - Determinants of regional airfares - Public inquiry</dc:title>
  <dc:subject/>
  <dc:creator>Tourism Australia (TA)</dc:creator>
  <cp:keywords/>
  <dc:description/>
  <cp:lastModifiedBy>Tully Lampasona</cp:lastModifiedBy>
  <cp:revision>3</cp:revision>
  <cp:lastPrinted>2026-03-04T12:07:00Z</cp:lastPrinted>
  <dcterms:created xsi:type="dcterms:W3CDTF">2026-03-26T01:16:00Z</dcterms:created>
  <dcterms:modified xsi:type="dcterms:W3CDTF">2026-03-26T01:18:00Z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_DocType">
    <vt:lpwstr/>
  </property>
  <property fmtid="{D5CDD505-2E9C-101B-9397-08002B2CF9AE}" pid="3" name="TA_TeamName">
    <vt:lpwstr/>
  </property>
  <property fmtid="{D5CDD505-2E9C-101B-9397-08002B2CF9AE}" pid="4" name="MediaServiceImageTags">
    <vt:lpwstr/>
  </property>
  <property fmtid="{D5CDD505-2E9C-101B-9397-08002B2CF9AE}" pid="5" name="ContentTypeId">
    <vt:lpwstr>0x010100DFED0D41EE8DCF49ADEF1C4DFAE2AB8E</vt:lpwstr>
  </property>
  <property fmtid="{D5CDD505-2E9C-101B-9397-08002B2CF9AE}" pid="6" name="_dlc_DocIdItemGuid">
    <vt:lpwstr>beef1b7d-01c2-4706-920d-a264efcf1a66</vt:lpwstr>
  </property>
  <property fmtid="{D5CDD505-2E9C-101B-9397-08002B2CF9AE}" pid="7" name="Document_x0020_Group">
    <vt:lpwstr/>
  </property>
  <property fmtid="{D5CDD505-2E9C-101B-9397-08002B2CF9AE}" pid="8" name="TA_TeamGroup">
    <vt:lpwstr/>
  </property>
  <property fmtid="{D5CDD505-2E9C-101B-9397-08002B2CF9AE}" pid="9" name="Document Group">
    <vt:lpwstr/>
  </property>
  <property fmtid="{D5CDD505-2E9C-101B-9397-08002B2CF9AE}" pid="10" name="docLang">
    <vt:lpwstr>en</vt:lpwstr>
  </property>
  <property fmtid="{D5CDD505-2E9C-101B-9397-08002B2CF9AE}" pid="11" name="RevIMBCS">
    <vt:lpwstr>1;#Unclassified|3955eeb1-2d18-4582-aeb2-00144ec3aaf5</vt:lpwstr>
  </property>
  <property fmtid="{D5CDD505-2E9C-101B-9397-08002B2CF9AE}" pid="12" name="MSIP_Label_c1f2b1ce-4212-46db-a901-dd8453f57141_Enabled">
    <vt:lpwstr>true</vt:lpwstr>
  </property>
  <property fmtid="{D5CDD505-2E9C-101B-9397-08002B2CF9AE}" pid="13" name="MSIP_Label_c1f2b1ce-4212-46db-a901-dd8453f57141_SetDate">
    <vt:lpwstr>2026-03-26T01:08:49Z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16e33494-3e4e-4945-94cd-e02bbedfc5bf</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