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1D358" w14:textId="48DA1C33" w:rsidR="009C23AF" w:rsidRDefault="009C23AF" w:rsidP="008109C2">
      <w:pPr>
        <w:pStyle w:val="BodyText"/>
        <w:tabs>
          <w:tab w:val="left" w:pos="3544"/>
        </w:tabs>
        <w:spacing w:after="0"/>
      </w:pPr>
    </w:p>
    <w:sdt>
      <w:sdtPr>
        <w:id w:val="-228914026"/>
        <w:docPartObj>
          <w:docPartGallery w:val="Cover Pages"/>
          <w:docPartUnique/>
        </w:docPartObj>
      </w:sdtPr>
      <w:sdtEndPr>
        <w:rPr>
          <w:sz w:val="2"/>
          <w:szCs w:val="2"/>
        </w:rPr>
      </w:sdtEndPr>
      <w:sdtContent>
        <w:p w14:paraId="6A752E5A" w14:textId="7467E60F" w:rsidR="0049695F" w:rsidRPr="003967D2" w:rsidRDefault="0049695F" w:rsidP="008109C2">
          <w:pPr>
            <w:pStyle w:val="BodyText"/>
            <w:tabs>
              <w:tab w:val="left" w:pos="3544"/>
            </w:tabs>
            <w:spacing w:after="0"/>
            <w:rPr>
              <w:color w:val="FFFFFF" w:themeColor="background1"/>
            </w:rPr>
          </w:pPr>
        </w:p>
        <w:p w14:paraId="1179BDC0" w14:textId="3A42C259" w:rsidR="0049695F" w:rsidRPr="00041A11" w:rsidRDefault="00306D43" w:rsidP="0049695F">
          <w:pPr>
            <w:pStyle w:val="Title"/>
            <w:spacing w:before="120"/>
            <w:rPr>
              <w:rFonts w:ascii="Open Sans Extrabold" w:hAnsi="Open Sans Extrabold" w:cs="Open Sans Extrabold"/>
            </w:rPr>
          </w:pPr>
          <w:r w:rsidRPr="00F73230">
            <w:rPr>
              <w:rStyle w:val="TitleChar"/>
              <w:rFonts w:ascii="Open Sans Extrabold" w:hAnsi="Open Sans Extrabold" w:cs="Open Sans Extrabold"/>
              <w:color w:val="1C4373" w:themeColor="background2" w:themeShade="BF"/>
              <w:sz w:val="56"/>
            </w:rPr>
            <w:t>Impacts of heavy vehicle reform</w:t>
          </w:r>
        </w:p>
        <w:p w14:paraId="16009CCF" w14:textId="3A0411FB" w:rsidR="00CE1DCD" w:rsidRPr="003E733B" w:rsidRDefault="003959BC" w:rsidP="001A0356">
          <w:pPr>
            <w:pStyle w:val="Coverdate"/>
            <w:framePr w:w="1253" w:wrap="around" w:hAnchor="page" w:x="9515" w:y="15532"/>
            <w:jc w:val="right"/>
            <w:rPr>
              <w:rFonts w:ascii="Open Sans" w:hAnsi="Open Sans" w:cs="Open Sans"/>
              <w:b/>
              <w:bCs/>
              <w:color w:val="1C4373" w:themeColor="background2" w:themeShade="BF"/>
            </w:rPr>
          </w:pPr>
          <w:r w:rsidRPr="003E733B">
            <w:rPr>
              <w:rFonts w:ascii="Open Sans" w:hAnsi="Open Sans" w:cs="Open Sans"/>
              <w:b/>
              <w:bCs/>
              <w:color w:val="1C4373" w:themeColor="background2" w:themeShade="BF"/>
            </w:rPr>
            <w:t>March 2026</w:t>
          </w:r>
        </w:p>
        <w:p w14:paraId="3D2F5D43" w14:textId="1A04434E" w:rsidR="0049695F" w:rsidRPr="003C081F" w:rsidRDefault="00F77FBB" w:rsidP="00166FE4">
          <w:pPr>
            <w:pStyle w:val="Subtitle"/>
            <w:rPr>
              <w:rFonts w:ascii="Open Sans Semibold" w:hAnsi="Open Sans Semibold" w:cs="Open Sans Semibold"/>
              <w:color w:val="1C4373" w:themeColor="background2" w:themeShade="BF"/>
              <w:sz w:val="48"/>
              <w:szCs w:val="48"/>
            </w:rPr>
          </w:pPr>
          <w:r w:rsidRPr="003C081F">
            <w:rPr>
              <w:rFonts w:ascii="Open Sans Semibold" w:hAnsi="Open Sans Semibold" w:cs="Open Sans Semibold"/>
              <w:color w:val="1C4373" w:themeColor="background2" w:themeShade="BF"/>
              <w:sz w:val="48"/>
              <w:szCs w:val="48"/>
            </w:rPr>
            <w:t>Interim</w:t>
          </w:r>
          <w:r w:rsidR="00B342E3" w:rsidRPr="003C081F">
            <w:rPr>
              <w:rFonts w:ascii="Open Sans Semibold" w:hAnsi="Open Sans Semibold" w:cs="Open Sans Semibold"/>
              <w:color w:val="1C4373" w:themeColor="background2" w:themeShade="BF"/>
              <w:sz w:val="48"/>
              <w:szCs w:val="48"/>
            </w:rPr>
            <w:t xml:space="preserve"> </w:t>
          </w:r>
          <w:r w:rsidR="00670F22" w:rsidRPr="003C081F">
            <w:rPr>
              <w:rFonts w:ascii="Open Sans Semibold" w:hAnsi="Open Sans Semibold" w:cs="Open Sans Semibold"/>
              <w:color w:val="1C4373" w:themeColor="background2" w:themeShade="BF"/>
              <w:sz w:val="48"/>
              <w:szCs w:val="48"/>
            </w:rPr>
            <w:t>r</w:t>
          </w:r>
          <w:r w:rsidR="00B342E3" w:rsidRPr="003C081F">
            <w:rPr>
              <w:rFonts w:ascii="Open Sans Semibold" w:hAnsi="Open Sans Semibold" w:cs="Open Sans Semibold"/>
              <w:color w:val="1C4373" w:themeColor="background2" w:themeShade="BF"/>
              <w:sz w:val="48"/>
              <w:szCs w:val="48"/>
            </w:rPr>
            <w:t>epor</w:t>
          </w:r>
          <w:r w:rsidR="00670F22" w:rsidRPr="003C081F">
            <w:rPr>
              <w:rFonts w:ascii="Open Sans Semibold" w:hAnsi="Open Sans Semibold" w:cs="Open Sans Semibold"/>
              <w:color w:val="1C4373" w:themeColor="background2" w:themeShade="BF"/>
              <w:sz w:val="48"/>
              <w:szCs w:val="48"/>
            </w:rPr>
            <w:t>t</w:t>
          </w:r>
          <w:r w:rsidR="009E091B">
            <w:rPr>
              <w:rFonts w:ascii="Open Sans Semibold" w:hAnsi="Open Sans Semibold" w:cs="Open Sans Semibold"/>
              <w:color w:val="1C4373" w:themeColor="background2" w:themeShade="BF"/>
              <w:sz w:val="48"/>
              <w:szCs w:val="48"/>
            </w:rPr>
            <w:br/>
          </w:r>
          <w:r w:rsidR="009E091B" w:rsidRPr="009E091B">
            <w:rPr>
              <w:rFonts w:ascii="Open Sans Semibold" w:hAnsi="Open Sans Semibold" w:cs="Open Sans Semibold"/>
              <w:color w:val="1C4373" w:themeColor="background2" w:themeShade="BF"/>
              <w:sz w:val="28"/>
              <w:szCs w:val="28"/>
            </w:rPr>
            <w:t>Overview</w:t>
          </w:r>
        </w:p>
        <w:p w14:paraId="26855D93" w14:textId="37FF440D" w:rsidR="00166FE4" w:rsidRDefault="008F4306" w:rsidP="0049695F">
          <w:pPr>
            <w:spacing w:after="160" w:line="259" w:lineRule="auto"/>
          </w:pPr>
          <w:r w:rsidRPr="00685B75">
            <w:rPr>
              <w:rFonts w:ascii="Open Sans Semibold" w:hAnsi="Open Sans Semibold" w:cs="Open Sans Semibold"/>
              <w:noProof/>
              <w:sz w:val="48"/>
              <w:szCs w:val="48"/>
            </w:rPr>
            <mc:AlternateContent>
              <mc:Choice Requires="wps">
                <w:drawing>
                  <wp:anchor distT="0" distB="0" distL="114300" distR="114300" simplePos="0" relativeHeight="251658241" behindDoc="0" locked="0" layoutInCell="1" allowOverlap="1" wp14:anchorId="483D4675" wp14:editId="3F31F4CB">
                    <wp:simplePos x="0" y="0"/>
                    <wp:positionH relativeFrom="margin">
                      <wp:align>left</wp:align>
                    </wp:positionH>
                    <wp:positionV relativeFrom="page">
                      <wp:posOffset>8991600</wp:posOffset>
                    </wp:positionV>
                    <wp:extent cx="2427514" cy="1090204"/>
                    <wp:effectExtent l="0" t="0" r="11430" b="15240"/>
                    <wp:wrapNone/>
                    <wp:docPr id="15" name="Text Box 15"/>
                    <wp:cNvGraphicFramePr/>
                    <a:graphic xmlns:a="http://schemas.openxmlformats.org/drawingml/2006/main">
                      <a:graphicData uri="http://schemas.microsoft.com/office/word/2010/wordprocessingShape">
                        <wps:wsp>
                          <wps:cNvSpPr txBox="1"/>
                          <wps:spPr>
                            <a:xfrm>
                              <a:off x="0" y="0"/>
                              <a:ext cx="2427514" cy="1090204"/>
                            </a:xfrm>
                            <a:prstGeom prst="rect">
                              <a:avLst/>
                            </a:prstGeom>
                            <a:solidFill>
                              <a:schemeClr val="bg2">
                                <a:lumMod val="75000"/>
                              </a:schemeClr>
                            </a:solidFill>
                            <a:ln w="6350">
                              <a:solidFill>
                                <a:schemeClr val="bg2">
                                  <a:lumMod val="75000"/>
                                </a:schemeClr>
                              </a:solidFill>
                            </a:ln>
                          </wps:spPr>
                          <wps:txbx>
                            <w:txbxContent>
                              <w:p w14:paraId="0DE5ADB1" w14:textId="77777777" w:rsidR="008F4306" w:rsidRPr="002938E0" w:rsidRDefault="008F4306" w:rsidP="008F4306">
                                <w:pPr>
                                  <w:pStyle w:val="CoverdisclaimerwhiteCover"/>
                                  <w:rPr>
                                    <w:rFonts w:ascii="Open Sans" w:hAnsi="Open Sans" w:cs="Open Sans"/>
                                    <w:sz w:val="20"/>
                                    <w:szCs w:val="20"/>
                                  </w:rPr>
                                </w:pPr>
                                <w:r w:rsidRPr="002938E0">
                                  <w:rPr>
                                    <w:rFonts w:ascii="Open Sans" w:hAnsi="Open Sans" w:cs="Open Sans"/>
                                    <w:sz w:val="20"/>
                                    <w:szCs w:val="20"/>
                                  </w:rPr>
                                  <w:t>This is an interim report prepared for further public consultation and input. The PC will finalise its report after these processes have taken 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D4675" id="_x0000_t202" coordsize="21600,21600" o:spt="202" path="m,l,21600r21600,l21600,xe">
                    <v:stroke joinstyle="miter"/>
                    <v:path gradientshapeok="t" o:connecttype="rect"/>
                  </v:shapetype>
                  <v:shape id="Text Box 15" o:spid="_x0000_s1026" type="#_x0000_t202" style="position:absolute;margin-left:0;margin-top:708pt;width:191.15pt;height:85.8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" fillcolor="#1c4373 [2414]" strokecolor="#1c4373 [2414]" strokeweight=".5pt">
                    <v:textbox>
                      <w:txbxContent>
                        <w:p w14:paraId="0DE5ADB1" w14:textId="77777777" w:rsidR="008F4306" w:rsidRPr="002938E0" w:rsidRDefault="008F4306" w:rsidP="008F4306">
                          <w:pPr>
                            <w:pStyle w:val="CoverdisclaimerwhiteCover"/>
                            <w:rPr>
                              <w:rFonts w:ascii="Open Sans" w:hAnsi="Open Sans" w:cs="Open Sans"/>
                              <w:sz w:val="20"/>
                              <w:szCs w:val="20"/>
                            </w:rPr>
                          </w:pPr>
                          <w:r w:rsidRPr="002938E0">
                            <w:rPr>
                              <w:rFonts w:ascii="Open Sans" w:hAnsi="Open Sans" w:cs="Open Sans"/>
                              <w:sz w:val="20"/>
                              <w:szCs w:val="20"/>
                            </w:rPr>
                            <w:t>This is an interim report prepared for further public consultation and input. The PC will finalise its report after these processes have taken place.</w:t>
                          </w:r>
                        </w:p>
                      </w:txbxContent>
                    </v:textbox>
                    <w10:wrap anchorx="margin" anchory="page"/>
                  </v:shape>
                </w:pict>
              </mc:Fallback>
            </mc:AlternateContent>
          </w:r>
        </w:p>
        <w:p w14:paraId="5D1996D9" w14:textId="77777777" w:rsidR="00B302FA" w:rsidRPr="003959BC" w:rsidRDefault="00B302FA" w:rsidP="0049695F">
          <w:pPr>
            <w:pStyle w:val="CoverImage"/>
            <w:framePr w:wrap="around"/>
            <w:rPr>
              <w:b/>
              <w:bCs/>
              <w:color w:val="1C4373" w:themeColor="background2" w:themeShade="BF"/>
              <w:sz w:val="28"/>
              <w:szCs w:val="28"/>
            </w:rPr>
            <w:sectPr w:rsidR="00B302FA" w:rsidRPr="003959BC" w:rsidSect="002E3F19">
              <w:footerReference w:type="even" r:id="rId14"/>
              <w:footerReference w:type="default" r:id="rId15"/>
              <w:headerReference w:type="first" r:id="rId16"/>
              <w:footerReference w:type="first" r:id="rId17"/>
              <w:pgSz w:w="11906" w:h="16838" w:code="9"/>
              <w:pgMar w:top="2835" w:right="1134" w:bottom="1134" w:left="1134" w:header="624" w:footer="510" w:gutter="0"/>
              <w:pgNumType w:fmt="lowerRoman"/>
              <w:cols w:space="708"/>
              <w:titlePg/>
              <w:docGrid w:linePitch="360"/>
            </w:sectPr>
          </w:pPr>
        </w:p>
        <w:p w14:paraId="1AFAC103" w14:textId="77777777" w:rsidR="002C2CA2" w:rsidRDefault="00000000" w:rsidP="005E0B10">
          <w:pPr>
            <w:pStyle w:val="NoSpacing"/>
            <w:spacing w:line="20" w:lineRule="exact"/>
            <w:rPr>
              <w:sz w:val="2"/>
              <w:szCs w:val="2"/>
            </w:rPr>
          </w:pPr>
        </w:p>
      </w:sdtContent>
    </w:sdt>
    <w:p w14:paraId="3AC66A1D" w14:textId="04796A3C" w:rsidR="00705FE8" w:rsidRPr="00436D93" w:rsidRDefault="009935FE" w:rsidP="00436D93">
      <w:pPr>
        <w:pStyle w:val="Heading1-nobackground"/>
        <w:spacing w:before="0" w:after="0" w:line="20" w:lineRule="exact"/>
        <w:rPr>
          <w:color w:val="FFFFFF" w:themeColor="background1"/>
          <w:sz w:val="2"/>
          <w:szCs w:val="2"/>
        </w:rPr>
      </w:pPr>
      <w:r>
        <w:rPr>
          <w:color w:val="FFFFFF" w:themeColor="background1"/>
          <w:sz w:val="2"/>
          <w:szCs w:val="2"/>
        </w:rPr>
        <w:t>Copy</w:t>
      </w:r>
      <w:r w:rsidR="00B67C6B">
        <w:rPr>
          <w:color w:val="FFFFFF" w:themeColor="background1"/>
          <w:sz w:val="2"/>
          <w:szCs w:val="2"/>
        </w:rPr>
        <w:t>right and publications details</w:t>
      </w:r>
    </w:p>
    <w:tbl>
      <w:tblPr>
        <w:tblStyle w:val="CopyrightPage"/>
        <w:tblW w:w="0" w:type="auto"/>
        <w:shd w:val="clear" w:color="auto" w:fill="E0F1F7" w:themeFill="text2" w:themeFillTint="33"/>
        <w:tblLook w:val="04A0" w:firstRow="1" w:lastRow="0" w:firstColumn="1" w:lastColumn="0" w:noHBand="0" w:noVBand="1"/>
      </w:tblPr>
      <w:tblGrid>
        <w:gridCol w:w="9638"/>
      </w:tblGrid>
      <w:tr w:rsidR="00705FE8" w:rsidRPr="00877F99" w14:paraId="0B12A8DD" w14:textId="77777777" w:rsidTr="005E0B10">
        <w:trPr>
          <w:trHeight w:hRule="exact" w:val="13039"/>
        </w:trPr>
        <w:tc>
          <w:tcPr>
            <w:tcW w:w="9638" w:type="dxa"/>
            <w:shd w:val="clear" w:color="auto" w:fill="E0F1F7" w:themeFill="text2" w:themeFillTint="33"/>
            <w:tcMar>
              <w:top w:w="113" w:type="dxa"/>
            </w:tcMar>
            <w:vAlign w:val="top"/>
          </w:tcPr>
          <w:p w14:paraId="5FF46AC8" w14:textId="538F46C9" w:rsidR="00E72763" w:rsidRPr="00E72763" w:rsidRDefault="00705FE8" w:rsidP="00E72763">
            <w:pPr>
              <w:pStyle w:val="Copyrightpage-Heading"/>
              <w:spacing w:before="240"/>
              <w:ind w:right="-284"/>
              <w:rPr>
                <w:color w:val="000000" w:themeColor="text1"/>
              </w:rPr>
            </w:pPr>
            <w:r w:rsidRPr="0060454E">
              <w:rPr>
                <w:rStyle w:val="White"/>
                <w:bCs/>
                <w:color w:val="000000" w:themeColor="text1"/>
              </w:rPr>
              <w:br w:type="page"/>
            </w:r>
            <w:r w:rsidR="00E72763" w:rsidRPr="00E72763">
              <w:rPr>
                <w:color w:val="000000" w:themeColor="text1"/>
              </w:rPr>
              <w:t>Acknowledgement of Country</w:t>
            </w:r>
          </w:p>
          <w:p w14:paraId="68E1BEC9" w14:textId="3A9B77A5" w:rsidR="00705FE8" w:rsidRPr="00EC7C2A" w:rsidRDefault="00E72763" w:rsidP="00582808">
            <w:pPr>
              <w:pStyle w:val="Copyrightpage-BodyBold"/>
              <w:spacing w:before="240"/>
              <w:ind w:right="-284"/>
              <w:rPr>
                <w:rFonts w:ascii="Arial" w:hAnsi="Arial" w:cs="Arial"/>
                <w:b w:val="0"/>
                <w:color w:val="auto"/>
                <w:spacing w:val="2"/>
              </w:rPr>
            </w:pPr>
            <w:r w:rsidRPr="0060454E">
              <w:rPr>
                <w:rFonts w:ascii="Arial" w:hAnsi="Arial" w:cs="Arial"/>
                <w:bCs/>
                <w:noProof/>
                <w:color w:val="auto"/>
                <w:spacing w:val="2"/>
              </w:rPr>
              <w:drawing>
                <wp:anchor distT="0" distB="0" distL="114300" distR="114300" simplePos="0" relativeHeight="251658240" behindDoc="0" locked="0" layoutInCell="1" allowOverlap="1" wp14:anchorId="65E4D4E3" wp14:editId="3AD94999">
                  <wp:simplePos x="0" y="0"/>
                  <wp:positionH relativeFrom="column">
                    <wp:posOffset>0</wp:posOffset>
                  </wp:positionH>
                  <wp:positionV relativeFrom="paragraph">
                    <wp:posOffset>101600</wp:posOffset>
                  </wp:positionV>
                  <wp:extent cx="629920" cy="636905"/>
                  <wp:effectExtent l="0" t="0" r="0" b="0"/>
                  <wp:wrapSquare wrapText="bothSides"/>
                  <wp:docPr id="25545090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450902" name="Picture 1">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9920" cy="636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5FE8" w:rsidRPr="00EC7C2A">
              <w:rPr>
                <w:rFonts w:ascii="Arial" w:hAnsi="Arial" w:cs="Arial"/>
                <w:b w:val="0"/>
                <w:color w:val="auto"/>
                <w:spacing w:val="2"/>
              </w:rPr>
              <w:t>The Productivity Commission acknowledges the Traditional Owners of Country throughout Australia and their continuing connection to land, waters and community. We pay our respects to their Cultures, Country and Elders past and present.</w:t>
            </w:r>
          </w:p>
          <w:p w14:paraId="37612692" w14:textId="77777777" w:rsidR="00705FE8" w:rsidRPr="00AE7C03" w:rsidRDefault="00705FE8" w:rsidP="00494E13">
            <w:pPr>
              <w:pStyle w:val="Copyrightpage-Keylinenotext"/>
              <w:ind w:right="-284"/>
              <w:rPr>
                <w:rFonts w:ascii="Arial" w:hAnsi="Arial" w:cs="Arial"/>
                <w:color w:val="auto"/>
                <w:spacing w:val="2"/>
                <w:szCs w:val="20"/>
              </w:rPr>
            </w:pPr>
          </w:p>
          <w:p w14:paraId="25118B0E" w14:textId="77777777" w:rsidR="00705FE8" w:rsidRPr="0024041D" w:rsidRDefault="00705FE8" w:rsidP="00494E13">
            <w:pPr>
              <w:pStyle w:val="Copyrightpage-Heading"/>
              <w:ind w:right="-284"/>
              <w:rPr>
                <w:bCs/>
                <w:color w:val="000000" w:themeColor="text1"/>
              </w:rPr>
            </w:pPr>
            <w:r>
              <w:rPr>
                <w:bCs/>
                <w:color w:val="000000" w:themeColor="text1"/>
              </w:rPr>
              <w:t>About us</w:t>
            </w:r>
          </w:p>
          <w:p w14:paraId="2D104DA9" w14:textId="0CDBB519" w:rsidR="00705FE8" w:rsidRPr="0059512B" w:rsidRDefault="00705FE8" w:rsidP="00494E13">
            <w:pPr>
              <w:pStyle w:val="Copyrightpage-BodyBold"/>
              <w:rPr>
                <w:b w:val="0"/>
                <w:bCs/>
                <w:color w:val="000000" w:themeColor="text1"/>
              </w:rPr>
            </w:pPr>
            <w:r w:rsidRPr="0059512B">
              <w:rPr>
                <w:b w:val="0"/>
                <w:bCs/>
                <w:color w:val="000000" w:themeColor="text1"/>
              </w:rPr>
              <w:t xml:space="preserve">The </w:t>
            </w:r>
            <w:r w:rsidR="00931DF2">
              <w:rPr>
                <w:b w:val="0"/>
                <w:bCs/>
                <w:color w:val="000000" w:themeColor="text1"/>
              </w:rPr>
              <w:t>P</w:t>
            </w:r>
            <w:r w:rsidR="007F7326">
              <w:rPr>
                <w:b w:val="0"/>
                <w:bCs/>
                <w:color w:val="000000" w:themeColor="text1"/>
              </w:rPr>
              <w:t>roductivity Commission</w:t>
            </w:r>
            <w:r w:rsidR="00931DF2">
              <w:rPr>
                <w:b w:val="0"/>
                <w:bCs/>
                <w:color w:val="000000" w:themeColor="text1"/>
              </w:rPr>
              <w:t xml:space="preserve"> </w:t>
            </w:r>
            <w:r w:rsidRPr="0059512B">
              <w:rPr>
                <w:b w:val="0"/>
                <w:bCs/>
                <w:color w:val="000000" w:themeColor="text1"/>
              </w:rPr>
              <w:t>is the Australian Government’s independent research and advisory body on a range of economic, social and environmental issues affecting the welfare of Australians. Its role, expressed most simply, is to help governments make better policies, in the long-term interest of the Australian community.</w:t>
            </w:r>
          </w:p>
          <w:p w14:paraId="6580215C" w14:textId="77777777" w:rsidR="00705FE8" w:rsidRPr="0024041D" w:rsidRDefault="00705FE8" w:rsidP="00494E13">
            <w:pPr>
              <w:pStyle w:val="Copyrightpage-BodyBold"/>
              <w:rPr>
                <w:b w:val="0"/>
                <w:bCs/>
                <w:color w:val="000000" w:themeColor="text1"/>
              </w:rPr>
            </w:pPr>
            <w:r w:rsidRPr="0024041D">
              <w:rPr>
                <w:b w:val="0"/>
                <w:bCs/>
                <w:color w:val="000000" w:themeColor="text1"/>
              </w:rPr>
              <w:t xml:space="preserve">The PC’s independence is underpinned by an Act of Parliament. Its processes and outputs are open to public scrutiny and are driven by concern for the wellbeing of the </w:t>
            </w:r>
            <w:proofErr w:type="gramStart"/>
            <w:r w:rsidRPr="0024041D">
              <w:rPr>
                <w:b w:val="0"/>
                <w:bCs/>
                <w:color w:val="000000" w:themeColor="text1"/>
              </w:rPr>
              <w:t>community as a whole</w:t>
            </w:r>
            <w:proofErr w:type="gramEnd"/>
            <w:r w:rsidRPr="0024041D">
              <w:rPr>
                <w:b w:val="0"/>
                <w:bCs/>
                <w:color w:val="000000" w:themeColor="text1"/>
              </w:rPr>
              <w:t>.</w:t>
            </w:r>
          </w:p>
          <w:p w14:paraId="7F8CC5DF" w14:textId="22D4F5E7" w:rsidR="00705FE8" w:rsidRPr="0024041D" w:rsidRDefault="00705FE8" w:rsidP="00494E13">
            <w:pPr>
              <w:pStyle w:val="Copyrightpage-BodyBold"/>
              <w:rPr>
                <w:b w:val="0"/>
                <w:bCs/>
                <w:color w:val="000000" w:themeColor="text1"/>
                <w:spacing w:val="-4"/>
              </w:rPr>
            </w:pPr>
            <w:r w:rsidRPr="0024041D">
              <w:rPr>
                <w:b w:val="0"/>
                <w:bCs/>
                <w:color w:val="000000" w:themeColor="text1"/>
                <w:spacing w:val="-4"/>
              </w:rPr>
              <w:t xml:space="preserve">For more information, visit the PC’s website: </w:t>
            </w:r>
            <w:hyperlink r:id="rId19" w:history="1">
              <w:r w:rsidR="00385513" w:rsidRPr="00801929">
                <w:rPr>
                  <w:rStyle w:val="Hyperlink"/>
                  <w:b w:val="0"/>
                  <w:bCs/>
                  <w:spacing w:val="-4"/>
                </w:rPr>
                <w:t>www.pc.gov.au</w:t>
              </w:r>
            </w:hyperlink>
          </w:p>
          <w:p w14:paraId="568FFB17" w14:textId="77777777" w:rsidR="00705FE8" w:rsidRPr="0024041D" w:rsidRDefault="00705FE8" w:rsidP="00494E13">
            <w:pPr>
              <w:pStyle w:val="Copyrightpage-Keylinenotext"/>
              <w:ind w:right="-284"/>
              <w:rPr>
                <w:bCs/>
                <w:color w:val="000000" w:themeColor="text1"/>
              </w:rPr>
            </w:pPr>
          </w:p>
          <w:p w14:paraId="6CA07D97" w14:textId="03B93696" w:rsidR="00705FE8" w:rsidRPr="0024041D" w:rsidRDefault="00705FE8" w:rsidP="00494E13">
            <w:pPr>
              <w:pStyle w:val="Copyrightpage-BodyBold"/>
              <w:rPr>
                <w:b w:val="0"/>
                <w:bCs/>
                <w:color w:val="000000" w:themeColor="text1"/>
              </w:rPr>
            </w:pPr>
            <w:r w:rsidRPr="0024041D">
              <w:rPr>
                <w:b w:val="0"/>
                <w:bCs/>
                <w:color w:val="000000" w:themeColor="text1"/>
              </w:rPr>
              <w:t>© Commonwealth of Australia 202</w:t>
            </w:r>
            <w:r w:rsidR="00A00E65">
              <w:rPr>
                <w:b w:val="0"/>
                <w:bCs/>
                <w:color w:val="000000" w:themeColor="text1"/>
              </w:rPr>
              <w:t>6</w:t>
            </w:r>
          </w:p>
          <w:p w14:paraId="63FEFAB2" w14:textId="77777777" w:rsidR="00705FE8" w:rsidRPr="0024041D" w:rsidRDefault="00705FE8" w:rsidP="00494E13">
            <w:pPr>
              <w:pStyle w:val="Copyrightpage-Heading2"/>
              <w:spacing w:before="0"/>
              <w:ind w:right="-284"/>
              <w:rPr>
                <w:b w:val="0"/>
                <w:bCs/>
                <w:color w:val="000000" w:themeColor="text1"/>
              </w:rPr>
            </w:pPr>
            <w:r w:rsidRPr="0024041D">
              <w:rPr>
                <w:b w:val="0"/>
                <w:bCs/>
                <w:noProof/>
                <w:color w:val="000000" w:themeColor="text1"/>
              </w:rPr>
              <w:drawing>
                <wp:inline distT="0" distB="0" distL="0" distR="0" wp14:anchorId="12E49B17" wp14:editId="671E773A">
                  <wp:extent cx="774000" cy="270000"/>
                  <wp:effectExtent l="0" t="0" r="7620" b="0"/>
                  <wp:docPr id="6" name="Graphic 5" descr="CC-By logo">
                    <a:extLst xmlns:a="http://schemas.openxmlformats.org/drawingml/2006/main">
                      <a:ext uri="{FF2B5EF4-FFF2-40B4-BE49-F238E27FC236}">
                        <a16:creationId xmlns:a16="http://schemas.microsoft.com/office/drawing/2014/main" id="{F54E5013-412A-4F91-9DD3-DA71DB1337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CC-By logo">
                            <a:extLst>
                              <a:ext uri="{FF2B5EF4-FFF2-40B4-BE49-F238E27FC236}">
                                <a16:creationId xmlns:a16="http://schemas.microsoft.com/office/drawing/2014/main" id="{F54E5013-412A-4F91-9DD3-DA71DB1337DF}"/>
                              </a:ext>
                            </a:extLst>
                          </pic:cNvPr>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774000" cy="270000"/>
                          </a:xfrm>
                          <a:prstGeom prst="rect">
                            <a:avLst/>
                          </a:prstGeom>
                        </pic:spPr>
                      </pic:pic>
                    </a:graphicData>
                  </a:graphic>
                </wp:inline>
              </w:drawing>
            </w:r>
          </w:p>
          <w:p w14:paraId="47E46DC8" w14:textId="129BCE4C" w:rsidR="00705FE8" w:rsidRPr="0024041D" w:rsidRDefault="00166FE4" w:rsidP="00494E13">
            <w:pPr>
              <w:pStyle w:val="Copyrightpage-BodyBold"/>
              <w:ind w:right="-143"/>
              <w:rPr>
                <w:b w:val="0"/>
                <w:bCs/>
                <w:color w:val="000000" w:themeColor="text1"/>
              </w:rPr>
            </w:pPr>
            <w:r w:rsidRPr="0024041D">
              <w:rPr>
                <w:b w:val="0"/>
                <w:bCs/>
                <w:color w:val="000000" w:themeColor="text1"/>
              </w:rPr>
              <w:t>Except for</w:t>
            </w:r>
            <w:r w:rsidR="00705FE8" w:rsidRPr="0024041D">
              <w:rPr>
                <w:b w:val="0"/>
                <w:bCs/>
                <w:color w:val="000000" w:themeColor="text1"/>
              </w:rPr>
              <w:t xml:space="preserve"> the Commonwealth Coat of Arms and content supplied by third parties, this copyright work is licensed under a Creative Commons Attribution 4.0 International licence. In essence, you are free to copy, communicate and adapt the work, </w:t>
            </w:r>
            <w:proofErr w:type="gramStart"/>
            <w:r w:rsidR="00705FE8" w:rsidRPr="0024041D">
              <w:rPr>
                <w:b w:val="0"/>
                <w:bCs/>
                <w:color w:val="000000" w:themeColor="text1"/>
              </w:rPr>
              <w:t>as long as</w:t>
            </w:r>
            <w:proofErr w:type="gramEnd"/>
            <w:r w:rsidR="00705FE8" w:rsidRPr="0024041D">
              <w:rPr>
                <w:b w:val="0"/>
                <w:bCs/>
                <w:color w:val="000000" w:themeColor="text1"/>
              </w:rPr>
              <w:t xml:space="preserve"> you attribute the work to the </w:t>
            </w:r>
            <w:r w:rsidR="00705FE8">
              <w:rPr>
                <w:b w:val="0"/>
                <w:bCs/>
                <w:color w:val="000000" w:themeColor="text1"/>
              </w:rPr>
              <w:t xml:space="preserve">PC </w:t>
            </w:r>
            <w:r w:rsidR="00705FE8" w:rsidRPr="0024041D">
              <w:rPr>
                <w:b w:val="0"/>
                <w:bCs/>
                <w:color w:val="000000" w:themeColor="text1"/>
              </w:rPr>
              <w:t xml:space="preserve">(but not in any way that suggests the </w:t>
            </w:r>
            <w:r w:rsidR="00705FE8">
              <w:rPr>
                <w:b w:val="0"/>
                <w:bCs/>
                <w:color w:val="000000" w:themeColor="text1"/>
              </w:rPr>
              <w:t>PC</w:t>
            </w:r>
            <w:r w:rsidR="00705FE8" w:rsidRPr="0024041D">
              <w:rPr>
                <w:b w:val="0"/>
                <w:bCs/>
                <w:color w:val="000000" w:themeColor="text1"/>
              </w:rPr>
              <w:t xml:space="preserve"> endorses you or your use) and abide by the other licence terms. The licence can be viewed at: https://creativecommons.org/licenses/by/4.0.</w:t>
            </w:r>
          </w:p>
          <w:p w14:paraId="215479CF" w14:textId="08221C5A" w:rsidR="00705FE8" w:rsidRPr="0024041D" w:rsidRDefault="00705FE8" w:rsidP="00494E13">
            <w:pPr>
              <w:pStyle w:val="Copyrightpage-BodyBold"/>
              <w:rPr>
                <w:b w:val="0"/>
                <w:bCs/>
                <w:color w:val="000000" w:themeColor="text1"/>
              </w:rPr>
            </w:pPr>
            <w:r w:rsidRPr="0024041D">
              <w:rPr>
                <w:b w:val="0"/>
                <w:bCs/>
                <w:color w:val="000000" w:themeColor="text1"/>
              </w:rPr>
              <w:t xml:space="preserve">The terms under which the Coat of Arms can be used are detailed at: </w:t>
            </w:r>
            <w:hyperlink r:id="rId22" w:history="1">
              <w:r w:rsidR="00385513" w:rsidRPr="00801929">
                <w:rPr>
                  <w:rStyle w:val="Hyperlink"/>
                  <w:b w:val="0"/>
                  <w:bCs/>
                </w:rPr>
                <w:t>www.pmc.gov.au/government/commonwealth-coat-arms</w:t>
              </w:r>
            </w:hyperlink>
            <w:r w:rsidRPr="0024041D">
              <w:rPr>
                <w:b w:val="0"/>
                <w:bCs/>
                <w:color w:val="000000" w:themeColor="text1"/>
              </w:rPr>
              <w:t>.</w:t>
            </w:r>
          </w:p>
          <w:p w14:paraId="40D1C01C" w14:textId="77777777" w:rsidR="00705FE8" w:rsidRPr="0024041D" w:rsidRDefault="00705FE8" w:rsidP="00494E13">
            <w:pPr>
              <w:pStyle w:val="Copyrightpage-BodyBold"/>
              <w:rPr>
                <w:b w:val="0"/>
                <w:bCs/>
                <w:color w:val="000000" w:themeColor="text1"/>
                <w:spacing w:val="-2"/>
              </w:rPr>
            </w:pPr>
            <w:r w:rsidRPr="0024041D">
              <w:rPr>
                <w:b w:val="0"/>
                <w:bCs/>
                <w:color w:val="000000" w:themeColor="text1"/>
                <w:spacing w:val="-2"/>
              </w:rPr>
              <w:t>Wherever a third party holds copyright in this material the copyright remains with that party. Their permission may be required to use the material, please contact them directly.</w:t>
            </w:r>
          </w:p>
          <w:p w14:paraId="746B63CE" w14:textId="5E6A1293" w:rsidR="00705FE8" w:rsidRPr="002E195D" w:rsidRDefault="00705FE8" w:rsidP="00494E13">
            <w:pPr>
              <w:pStyle w:val="Copyrightpage-BodyBold"/>
              <w:rPr>
                <w:b w:val="0"/>
                <w:bCs/>
                <w:color w:val="000000" w:themeColor="text1"/>
                <w:spacing w:val="-2"/>
              </w:rPr>
            </w:pPr>
            <w:r w:rsidRPr="0024041D">
              <w:rPr>
                <w:b w:val="0"/>
                <w:bCs/>
                <w:color w:val="000000" w:themeColor="text1"/>
              </w:rPr>
              <w:t>An appropriate reference for this publication is:</w:t>
            </w:r>
            <w:r w:rsidRPr="0024041D">
              <w:rPr>
                <w:b w:val="0"/>
                <w:bCs/>
                <w:color w:val="000000" w:themeColor="text1"/>
              </w:rPr>
              <w:br/>
            </w:r>
            <w:r w:rsidRPr="002E195D">
              <w:rPr>
                <w:b w:val="0"/>
                <w:bCs/>
                <w:color w:val="000000" w:themeColor="text1"/>
                <w:spacing w:val="-2"/>
              </w:rPr>
              <w:t>Productivity Commission 202</w:t>
            </w:r>
            <w:r w:rsidR="009259D4" w:rsidRPr="002E195D">
              <w:rPr>
                <w:b w:val="0"/>
                <w:bCs/>
                <w:color w:val="000000" w:themeColor="text1"/>
                <w:spacing w:val="-2"/>
              </w:rPr>
              <w:t>6</w:t>
            </w:r>
            <w:r w:rsidRPr="002E195D">
              <w:rPr>
                <w:b w:val="0"/>
                <w:bCs/>
                <w:color w:val="000000" w:themeColor="text1"/>
                <w:spacing w:val="-2"/>
              </w:rPr>
              <w:t xml:space="preserve">, </w:t>
            </w:r>
            <w:r w:rsidR="00C362F9" w:rsidRPr="002E195D">
              <w:rPr>
                <w:b w:val="0"/>
                <w:i/>
                <w:color w:val="000000" w:themeColor="text1"/>
                <w:spacing w:val="-2"/>
              </w:rPr>
              <w:t>Impact</w:t>
            </w:r>
            <w:r w:rsidR="002E195D" w:rsidRPr="002E195D">
              <w:rPr>
                <w:b w:val="0"/>
                <w:i/>
                <w:color w:val="000000" w:themeColor="text1"/>
                <w:spacing w:val="-2"/>
              </w:rPr>
              <w:t>s</w:t>
            </w:r>
            <w:r w:rsidR="00C362F9" w:rsidRPr="002E195D">
              <w:rPr>
                <w:b w:val="0"/>
                <w:i/>
                <w:color w:val="000000" w:themeColor="text1"/>
                <w:spacing w:val="-2"/>
              </w:rPr>
              <w:t xml:space="preserve"> of </w:t>
            </w:r>
            <w:r w:rsidR="00A060D5" w:rsidRPr="002E195D">
              <w:rPr>
                <w:b w:val="0"/>
                <w:i/>
                <w:color w:val="000000" w:themeColor="text1"/>
                <w:spacing w:val="-2"/>
              </w:rPr>
              <w:t>h</w:t>
            </w:r>
            <w:r w:rsidR="00C362F9" w:rsidRPr="002E195D">
              <w:rPr>
                <w:b w:val="0"/>
                <w:i/>
                <w:color w:val="000000" w:themeColor="text1"/>
                <w:spacing w:val="-2"/>
              </w:rPr>
              <w:t xml:space="preserve">eavy </w:t>
            </w:r>
            <w:r w:rsidR="00A060D5" w:rsidRPr="002E195D">
              <w:rPr>
                <w:b w:val="0"/>
                <w:i/>
                <w:color w:val="000000" w:themeColor="text1"/>
                <w:spacing w:val="-2"/>
              </w:rPr>
              <w:t>v</w:t>
            </w:r>
            <w:r w:rsidR="00C362F9" w:rsidRPr="002E195D">
              <w:rPr>
                <w:b w:val="0"/>
                <w:i/>
                <w:color w:val="000000" w:themeColor="text1"/>
                <w:spacing w:val="-2"/>
              </w:rPr>
              <w:t>ehicle reform</w:t>
            </w:r>
            <w:r w:rsidR="00C362F9" w:rsidRPr="002E195D">
              <w:rPr>
                <w:b w:val="0"/>
                <w:iCs/>
                <w:color w:val="000000" w:themeColor="text1"/>
                <w:spacing w:val="-2"/>
              </w:rPr>
              <w:t xml:space="preserve">, Interim </w:t>
            </w:r>
            <w:r w:rsidR="00344DFC" w:rsidRPr="002E195D">
              <w:rPr>
                <w:b w:val="0"/>
                <w:iCs/>
                <w:color w:val="000000" w:themeColor="text1"/>
                <w:spacing w:val="-2"/>
              </w:rPr>
              <w:t>r</w:t>
            </w:r>
            <w:r w:rsidR="00C362F9" w:rsidRPr="002E195D">
              <w:rPr>
                <w:b w:val="0"/>
                <w:iCs/>
                <w:color w:val="000000" w:themeColor="text1"/>
                <w:spacing w:val="-2"/>
              </w:rPr>
              <w:t>eport</w:t>
            </w:r>
            <w:r w:rsidR="00E13BEC" w:rsidRPr="002E195D">
              <w:rPr>
                <w:b w:val="0"/>
                <w:bCs/>
                <w:iCs/>
                <w:color w:val="000000" w:themeColor="text1"/>
                <w:spacing w:val="-2"/>
              </w:rPr>
              <w:t>,</w:t>
            </w:r>
            <w:r w:rsidR="00E13BEC" w:rsidRPr="002E195D">
              <w:rPr>
                <w:b w:val="0"/>
                <w:bCs/>
                <w:color w:val="000000" w:themeColor="text1"/>
                <w:spacing w:val="-2"/>
              </w:rPr>
              <w:t xml:space="preserve"> C</w:t>
            </w:r>
            <w:r w:rsidRPr="002E195D">
              <w:rPr>
                <w:b w:val="0"/>
                <w:bCs/>
                <w:color w:val="000000" w:themeColor="text1"/>
                <w:spacing w:val="-2"/>
              </w:rPr>
              <w:t>anberra</w:t>
            </w:r>
          </w:p>
          <w:p w14:paraId="56E0D9DC" w14:textId="7A183AF7" w:rsidR="00705FE8" w:rsidRPr="00576EE3" w:rsidRDefault="00705FE8" w:rsidP="00494E13">
            <w:pPr>
              <w:pStyle w:val="Copyrightpage-BodyBold"/>
              <w:ind w:right="-284"/>
              <w:rPr>
                <w:b w:val="0"/>
                <w:bCs/>
                <w:color w:val="000000" w:themeColor="text1"/>
                <w:lang w:val="fr-CA"/>
              </w:rPr>
            </w:pPr>
            <w:r w:rsidRPr="00576EE3">
              <w:rPr>
                <w:b w:val="0"/>
                <w:bCs/>
                <w:color w:val="000000" w:themeColor="text1"/>
                <w:lang w:val="fr-CA"/>
              </w:rPr>
              <w:t xml:space="preserve">Publication enquiries: </w:t>
            </w:r>
            <w:r w:rsidRPr="00576EE3">
              <w:rPr>
                <w:b w:val="0"/>
                <w:bCs/>
                <w:color w:val="000000" w:themeColor="text1"/>
                <w:lang w:val="fr-CA"/>
              </w:rPr>
              <w:br/>
              <w:t xml:space="preserve">Phone 03 9653 2244 | </w:t>
            </w:r>
            <w:proofErr w:type="gramStart"/>
            <w:r w:rsidRPr="00576EE3">
              <w:rPr>
                <w:b w:val="0"/>
                <w:bCs/>
                <w:color w:val="000000" w:themeColor="text1"/>
                <w:lang w:val="fr-CA"/>
              </w:rPr>
              <w:t>Email</w:t>
            </w:r>
            <w:proofErr w:type="gramEnd"/>
            <w:r w:rsidRPr="00576EE3">
              <w:rPr>
                <w:b w:val="0"/>
                <w:bCs/>
                <w:color w:val="000000" w:themeColor="text1"/>
                <w:lang w:val="fr-CA"/>
              </w:rPr>
              <w:t xml:space="preserve"> </w:t>
            </w:r>
            <w:hyperlink r:id="rId23" w:history="1">
              <w:r w:rsidR="00931DF2" w:rsidRPr="00801929">
                <w:rPr>
                  <w:rStyle w:val="Hyperlink"/>
                  <w:b w:val="0"/>
                  <w:bCs/>
                  <w:lang w:val="fr-CA"/>
                </w:rPr>
                <w:t>publications@pc.gov.au</w:t>
              </w:r>
            </w:hyperlink>
          </w:p>
        </w:tc>
      </w:tr>
    </w:tbl>
    <w:p w14:paraId="2BE31ACD" w14:textId="66274912" w:rsidR="007223E4" w:rsidRPr="00B67C6B" w:rsidRDefault="00B67C6B" w:rsidP="00B67C6B">
      <w:pPr>
        <w:pStyle w:val="Heading1-nobackground"/>
        <w:spacing w:before="0" w:after="0" w:line="20" w:lineRule="exact"/>
        <w:rPr>
          <w:color w:val="FFFFFF" w:themeColor="background1"/>
          <w:sz w:val="2"/>
          <w:szCs w:val="2"/>
        </w:rPr>
      </w:pPr>
      <w:r w:rsidRPr="00B67C6B">
        <w:rPr>
          <w:color w:val="FFFFFF" w:themeColor="background1"/>
          <w:sz w:val="2"/>
          <w:szCs w:val="2"/>
        </w:rPr>
        <w:lastRenderedPageBreak/>
        <w:t>Opportunity for comment</w:t>
      </w:r>
    </w:p>
    <w:tbl>
      <w:tblPr>
        <w:tblStyle w:val="NoBorderwithPadding"/>
        <w:tblW w:w="0" w:type="auto"/>
        <w:shd w:val="clear" w:color="auto" w:fill="66BCDB" w:themeFill="text2"/>
        <w:tblLook w:val="04A0" w:firstRow="1" w:lastRow="0" w:firstColumn="1" w:lastColumn="0" w:noHBand="0" w:noVBand="1"/>
      </w:tblPr>
      <w:tblGrid>
        <w:gridCol w:w="9638"/>
      </w:tblGrid>
      <w:tr w:rsidR="00F83623" w14:paraId="584D4F80" w14:textId="77777777" w:rsidTr="00AD43A9">
        <w:trPr>
          <w:trHeight w:hRule="exact" w:val="13039"/>
        </w:trPr>
        <w:tc>
          <w:tcPr>
            <w:tcW w:w="9638" w:type="dxa"/>
            <w:shd w:val="clear" w:color="auto" w:fill="F4F5F6"/>
          </w:tcPr>
          <w:p w14:paraId="210FDA88" w14:textId="77777777" w:rsidR="00F83623" w:rsidRDefault="00F83623" w:rsidP="005B5901">
            <w:pPr>
              <w:pStyle w:val="Heading1-nobackground"/>
            </w:pPr>
            <w:bookmarkStart w:id="0" w:name="_Toc132456074"/>
            <w:bookmarkStart w:id="1" w:name="_Toc225780224"/>
            <w:r>
              <w:t>Opportunity for comment</w:t>
            </w:r>
            <w:bookmarkEnd w:id="0"/>
            <w:bookmarkEnd w:id="1"/>
          </w:p>
          <w:p w14:paraId="34DE2BCB" w14:textId="4144B0FE" w:rsidR="00620005" w:rsidRDefault="00620005" w:rsidP="005B5901">
            <w:pPr>
              <w:pStyle w:val="BodyText"/>
            </w:pPr>
            <w:r w:rsidRPr="00620005">
              <w:t xml:space="preserve">The </w:t>
            </w:r>
            <w:r>
              <w:t>PC</w:t>
            </w:r>
            <w:r w:rsidRPr="00620005">
              <w:t xml:space="preserve"> thanks all participants for their contribution to </w:t>
            </w:r>
            <w:r w:rsidR="005C395E">
              <w:t xml:space="preserve">this project so far </w:t>
            </w:r>
            <w:r w:rsidRPr="00620005">
              <w:t xml:space="preserve">and now seeks additional input for the final report. </w:t>
            </w:r>
          </w:p>
          <w:p w14:paraId="09B8C317" w14:textId="2E41C6D1" w:rsidR="00FF7BB2" w:rsidRDefault="00620005" w:rsidP="005B5901">
            <w:pPr>
              <w:pStyle w:val="BodyText"/>
            </w:pPr>
            <w:r w:rsidRPr="00620005">
              <w:t xml:space="preserve">You are invited to examine this </w:t>
            </w:r>
            <w:r>
              <w:t xml:space="preserve">interim </w:t>
            </w:r>
            <w:r w:rsidRPr="00620005">
              <w:t>report and comment on it by written submission</w:t>
            </w:r>
            <w:r>
              <w:t xml:space="preserve"> or </w:t>
            </w:r>
            <w:r w:rsidRPr="00620005">
              <w:t xml:space="preserve">brief comment by </w:t>
            </w:r>
            <w:r w:rsidR="00FF7BB2">
              <w:t>5 May 2026</w:t>
            </w:r>
            <w:r w:rsidRPr="00620005">
              <w:t>.</w:t>
            </w:r>
          </w:p>
          <w:p w14:paraId="5B42686A" w14:textId="09018240" w:rsidR="00F43E15" w:rsidRDefault="00620005" w:rsidP="005B5901">
            <w:pPr>
              <w:pStyle w:val="BodyText"/>
            </w:pPr>
            <w:r w:rsidRPr="00620005">
              <w:t>Further information on how to provide a submission</w:t>
            </w:r>
            <w:r w:rsidR="00FF7BB2">
              <w:t xml:space="preserve"> or </w:t>
            </w:r>
            <w:r w:rsidRPr="00620005">
              <w:t xml:space="preserve">brief comment is included on the </w:t>
            </w:r>
            <w:r w:rsidR="005C395E">
              <w:t xml:space="preserve">project’s </w:t>
            </w:r>
            <w:r w:rsidRPr="00620005">
              <w:t xml:space="preserve">website: </w:t>
            </w:r>
            <w:hyperlink r:id="rId24" w:history="1">
              <w:r w:rsidR="00CF7342" w:rsidRPr="004C101A">
                <w:rPr>
                  <w:rStyle w:val="Hyperlink"/>
                </w:rPr>
                <w:t>www.pc.gov.au/inquiries-and-research/heavy-vehicle-reform/</w:t>
              </w:r>
            </w:hyperlink>
          </w:p>
          <w:p w14:paraId="783F58C9" w14:textId="4A2D3EA9" w:rsidR="00035ECB" w:rsidRDefault="00620005" w:rsidP="00035ECB">
            <w:pPr>
              <w:pStyle w:val="BodyText"/>
            </w:pPr>
            <w:r w:rsidRPr="00620005">
              <w:t xml:space="preserve">The </w:t>
            </w:r>
            <w:r w:rsidR="00F43E15">
              <w:t xml:space="preserve">PC </w:t>
            </w:r>
            <w:r w:rsidRPr="00620005">
              <w:t xml:space="preserve">will prepare the final report after further submissions have been received and it will hold further discussions with participants. </w:t>
            </w:r>
          </w:p>
          <w:p w14:paraId="58D5B455" w14:textId="77777777" w:rsidR="00F83623" w:rsidRPr="00683E2C" w:rsidRDefault="00F83623" w:rsidP="005B5901">
            <w:pPr>
              <w:pStyle w:val="Heading2-noTOC"/>
            </w:pPr>
            <w:r w:rsidRPr="00683E2C">
              <w:t>Commissioners</w:t>
            </w:r>
          </w:p>
          <w:p w14:paraId="19740DAD" w14:textId="178FFD0B" w:rsidR="00F83623" w:rsidRPr="007151C7" w:rsidRDefault="00F83623" w:rsidP="005B5901">
            <w:pPr>
              <w:pStyle w:val="BodyText"/>
            </w:pPr>
            <w:r w:rsidRPr="007151C7">
              <w:t xml:space="preserve">For the purposes of this </w:t>
            </w:r>
            <w:r>
              <w:t>study</w:t>
            </w:r>
            <w:r w:rsidRPr="007151C7">
              <w:t xml:space="preserve"> the Commission</w:t>
            </w:r>
            <w:r>
              <w:t>ers</w:t>
            </w:r>
            <w:r w:rsidRPr="007151C7">
              <w:t xml:space="preserve"> </w:t>
            </w:r>
            <w:r>
              <w:t>are</w:t>
            </w:r>
            <w:r w:rsidRPr="007151C7">
              <w:t>:</w:t>
            </w:r>
          </w:p>
          <w:tbl>
            <w:tblPr>
              <w:tblW w:w="0" w:type="auto"/>
              <w:tblLook w:val="01E0" w:firstRow="1" w:lastRow="1" w:firstColumn="1" w:lastColumn="1" w:noHBand="0" w:noVBand="0"/>
            </w:tblPr>
            <w:tblGrid>
              <w:gridCol w:w="1842"/>
              <w:gridCol w:w="6947"/>
            </w:tblGrid>
            <w:tr w:rsidR="00F83623" w14:paraId="7964247E" w14:textId="77777777" w:rsidTr="0032072A">
              <w:tc>
                <w:tcPr>
                  <w:tcW w:w="1842" w:type="dxa"/>
                  <w:tcMar>
                    <w:left w:w="0" w:type="dxa"/>
                    <w:right w:w="0" w:type="dxa"/>
                  </w:tcMar>
                </w:tcPr>
                <w:p w14:paraId="143D75CD" w14:textId="44D2A970" w:rsidR="00F83623" w:rsidRDefault="0032072A" w:rsidP="005B5901">
                  <w:pPr>
                    <w:pStyle w:val="BodyText"/>
                  </w:pPr>
                  <w:r>
                    <w:t>Martin Stokie</w:t>
                  </w:r>
                </w:p>
              </w:tc>
              <w:tc>
                <w:tcPr>
                  <w:tcW w:w="6947" w:type="dxa"/>
                </w:tcPr>
                <w:p w14:paraId="14DCE5AF" w14:textId="698FBB9C" w:rsidR="00F83623" w:rsidRDefault="00F83623" w:rsidP="005B5901">
                  <w:pPr>
                    <w:pStyle w:val="BodyText"/>
                  </w:pPr>
                  <w:r>
                    <w:t>Commissioner</w:t>
                  </w:r>
                </w:p>
              </w:tc>
            </w:tr>
            <w:tr w:rsidR="00F83623" w14:paraId="68F5EB4A" w14:textId="77777777" w:rsidTr="0032072A">
              <w:tc>
                <w:tcPr>
                  <w:tcW w:w="1842" w:type="dxa"/>
                  <w:tcMar>
                    <w:left w:w="0" w:type="dxa"/>
                    <w:right w:w="0" w:type="dxa"/>
                  </w:tcMar>
                </w:tcPr>
                <w:p w14:paraId="11D8DF47" w14:textId="7E110C55" w:rsidR="00F83623" w:rsidRDefault="0032072A" w:rsidP="005B5901">
                  <w:pPr>
                    <w:pStyle w:val="BodyText"/>
                  </w:pPr>
                  <w:r>
                    <w:t>Barry Sterland</w:t>
                  </w:r>
                </w:p>
              </w:tc>
              <w:tc>
                <w:tcPr>
                  <w:tcW w:w="6947" w:type="dxa"/>
                </w:tcPr>
                <w:p w14:paraId="47FA50AD" w14:textId="77777777" w:rsidR="00F83623" w:rsidRDefault="00F83623" w:rsidP="005B5901">
                  <w:pPr>
                    <w:pStyle w:val="BodyText"/>
                  </w:pPr>
                  <w:r>
                    <w:t>Commissioner</w:t>
                  </w:r>
                </w:p>
              </w:tc>
            </w:tr>
          </w:tbl>
          <w:p w14:paraId="7CC62383" w14:textId="1E6FD77E" w:rsidR="00F83623" w:rsidRPr="00DD6473" w:rsidRDefault="00F83623" w:rsidP="00F83623">
            <w:pPr>
              <w:pStyle w:val="BodyText"/>
            </w:pPr>
          </w:p>
        </w:tc>
      </w:tr>
    </w:tbl>
    <w:p w14:paraId="28EFC588" w14:textId="77777777" w:rsidR="00F83623" w:rsidRDefault="00F83623" w:rsidP="00F83623">
      <w:pPr>
        <w:pStyle w:val="BodyText"/>
        <w:sectPr w:rsidR="00F83623" w:rsidSect="00F83623">
          <w:headerReference w:type="even" r:id="rId25"/>
          <w:headerReference w:type="default" r:id="rId26"/>
          <w:footerReference w:type="even" r:id="rId27"/>
          <w:footerReference w:type="default" r:id="rId28"/>
          <w:headerReference w:type="first" r:id="rId29"/>
          <w:pgSz w:w="11906" w:h="16838" w:code="9"/>
          <w:pgMar w:top="1134" w:right="1134" w:bottom="1134" w:left="1134" w:header="794" w:footer="510" w:gutter="0"/>
          <w:pgNumType w:fmt="lowerRoman" w:start="2"/>
          <w:cols w:space="708"/>
          <w:docGrid w:linePitch="360"/>
        </w:sectPr>
      </w:pPr>
    </w:p>
    <w:p w14:paraId="535E4468" w14:textId="77777777" w:rsidR="002E3F19" w:rsidRDefault="00840CAD" w:rsidP="00072247">
      <w:pPr>
        <w:pStyle w:val="Heading1-nobackground"/>
      </w:pPr>
      <w:bookmarkStart w:id="2" w:name="_Toc87865131"/>
      <w:bookmarkStart w:id="3" w:name="_Toc225408372"/>
      <w:bookmarkStart w:id="4" w:name="_Toc225780135"/>
      <w:bookmarkStart w:id="5" w:name="_Toc225780227"/>
      <w:r w:rsidRPr="00AC587D">
        <w:lastRenderedPageBreak/>
        <w:t>Contents</w:t>
      </w:r>
      <w:bookmarkEnd w:id="2"/>
      <w:bookmarkEnd w:id="3"/>
      <w:bookmarkEnd w:id="4"/>
      <w:bookmarkEnd w:id="5"/>
    </w:p>
    <w:sdt>
      <w:sdtPr>
        <w:rPr>
          <w:rFonts w:asciiTheme="minorHAnsi" w:hAnsiTheme="minorHAnsi"/>
          <w:b/>
          <w:color w:val="auto"/>
        </w:rPr>
        <w:id w:val="-896974578"/>
        <w:docPartObj>
          <w:docPartGallery w:val="Table of Contents"/>
          <w:docPartUnique/>
        </w:docPartObj>
      </w:sdtPr>
      <w:sdtEndPr>
        <w:rPr>
          <w:b w:val="0"/>
          <w:bCs/>
          <w:noProof/>
        </w:rPr>
      </w:sdtEndPr>
      <w:sdtContent>
        <w:p w14:paraId="5708814F" w14:textId="57B0D7AA" w:rsidR="00726751" w:rsidRDefault="002E3F19">
          <w:pPr>
            <w:pStyle w:val="TOC1"/>
            <w:rPr>
              <w:rFonts w:asciiTheme="minorHAnsi" w:eastAsiaTheme="minorEastAsia" w:hAnsiTheme="minorHAnsi"/>
              <w:noProof/>
              <w:color w:val="auto"/>
              <w:kern w:val="2"/>
              <w:sz w:val="24"/>
              <w:szCs w:val="24"/>
              <w:lang w:eastAsia="en-AU"/>
              <w14:ligatures w14:val="standardContextual"/>
            </w:rPr>
          </w:pPr>
          <w:r>
            <w:rPr>
              <w:noProof/>
            </w:rPr>
            <w:fldChar w:fldCharType="begin"/>
          </w:r>
          <w:r>
            <w:instrText xml:space="preserve"> TOC \\h \z \t "Heading 1,1</w:instrText>
          </w:r>
          <w:r w:rsidR="00484E96">
            <w:instrText>,</w:instrText>
          </w:r>
          <w:r w:rsidR="00484E96" w:rsidRPr="00484E96">
            <w:instrText>Heading-Appendix</w:instrText>
          </w:r>
          <w:r w:rsidR="00484E96">
            <w:instrText>,1</w:instrText>
          </w:r>
          <w:r>
            <w:instrText>,</w:instrText>
          </w:r>
          <w:r w:rsidRPr="00F37F65">
            <w:instrText xml:space="preserve"> Heading 1</w:instrText>
          </w:r>
          <w:r>
            <w:instrText>-no number</w:instrText>
          </w:r>
          <w:r w:rsidRPr="00F37F65">
            <w:instrText>,1</w:instrText>
          </w:r>
          <w:r>
            <w:instrText>,</w:instrText>
          </w:r>
          <w:r w:rsidR="0036059A">
            <w:instrText xml:space="preserve"> Heading 1-no background,1,</w:instrText>
          </w:r>
          <w:r w:rsidRPr="00F37F65">
            <w:instrText xml:space="preserve"> Heading 1-Section blue background</w:instrText>
          </w:r>
          <w:r>
            <w:instrText>,3,</w:instrText>
          </w:r>
          <w:r w:rsidRPr="00F37F65">
            <w:instrText xml:space="preserve"> Heading 1-Section-full page</w:instrText>
          </w:r>
          <w:r>
            <w:instrText>,3,Heading 2,2,</w:instrText>
          </w:r>
          <w:r w:rsidR="0036059A">
            <w:instrText>Heading 2-no number,2,Heading 2-Appendix,2,</w:instrText>
          </w:r>
          <w:r>
            <w:instrText xml:space="preserve">Heading 1 - Intro,3,Heading 1-numbered,3,Section Heading-pale blue,3" </w:instrText>
          </w:r>
          <w:r>
            <w:rPr>
              <w:noProof/>
            </w:rPr>
            <w:fldChar w:fldCharType="separate"/>
          </w:r>
          <w:r w:rsidR="00726751">
            <w:rPr>
              <w:noProof/>
            </w:rPr>
            <w:t>Opportunity for comment</w:t>
          </w:r>
          <w:r w:rsidR="00726751">
            <w:rPr>
              <w:noProof/>
              <w:webHidden/>
            </w:rPr>
            <w:tab/>
          </w:r>
          <w:r w:rsidR="00726751">
            <w:rPr>
              <w:noProof/>
              <w:webHidden/>
            </w:rPr>
            <w:fldChar w:fldCharType="begin"/>
          </w:r>
          <w:r w:rsidR="00726751">
            <w:rPr>
              <w:noProof/>
              <w:webHidden/>
            </w:rPr>
            <w:instrText xml:space="preserve"> PAGEREF _Toc225780224 \h </w:instrText>
          </w:r>
          <w:r w:rsidR="00726751">
            <w:rPr>
              <w:noProof/>
              <w:webHidden/>
            </w:rPr>
          </w:r>
          <w:r w:rsidR="00726751">
            <w:rPr>
              <w:noProof/>
              <w:webHidden/>
            </w:rPr>
            <w:fldChar w:fldCharType="separate"/>
          </w:r>
          <w:r w:rsidR="007E407C">
            <w:rPr>
              <w:noProof/>
              <w:webHidden/>
            </w:rPr>
            <w:t>iii</w:t>
          </w:r>
          <w:r w:rsidR="00726751">
            <w:rPr>
              <w:noProof/>
              <w:webHidden/>
            </w:rPr>
            <w:fldChar w:fldCharType="end"/>
          </w:r>
        </w:p>
        <w:p w14:paraId="50605911" w14:textId="7D0671F2" w:rsidR="00726751" w:rsidRDefault="00726751">
          <w:pPr>
            <w:pStyle w:val="TOC3"/>
            <w:rPr>
              <w:rFonts w:asciiTheme="minorHAnsi" w:eastAsiaTheme="minorEastAsia" w:hAnsiTheme="minorHAnsi"/>
              <w:noProof/>
              <w:color w:val="auto"/>
              <w:kern w:val="2"/>
              <w:sz w:val="24"/>
              <w:szCs w:val="24"/>
              <w:lang w:eastAsia="en-AU"/>
              <w14:ligatures w14:val="standardContextual"/>
            </w:rPr>
          </w:pPr>
          <w:r>
            <w:rPr>
              <w:noProof/>
            </w:rPr>
            <w:t>Overview</w:t>
          </w:r>
          <w:r>
            <w:rPr>
              <w:noProof/>
              <w:webHidden/>
            </w:rPr>
            <w:tab/>
          </w:r>
          <w:r>
            <w:rPr>
              <w:noProof/>
              <w:webHidden/>
            </w:rPr>
            <w:fldChar w:fldCharType="begin"/>
          </w:r>
          <w:r>
            <w:rPr>
              <w:noProof/>
              <w:webHidden/>
            </w:rPr>
            <w:instrText xml:space="preserve"> PAGEREF _Toc225780228 \h </w:instrText>
          </w:r>
          <w:r>
            <w:rPr>
              <w:noProof/>
              <w:webHidden/>
            </w:rPr>
          </w:r>
          <w:r>
            <w:rPr>
              <w:noProof/>
              <w:webHidden/>
            </w:rPr>
            <w:fldChar w:fldCharType="separate"/>
          </w:r>
          <w:r w:rsidR="007E407C">
            <w:rPr>
              <w:noProof/>
              <w:webHidden/>
            </w:rPr>
            <w:t>1</w:t>
          </w:r>
          <w:r>
            <w:rPr>
              <w:noProof/>
              <w:webHidden/>
            </w:rPr>
            <w:fldChar w:fldCharType="end"/>
          </w:r>
        </w:p>
        <w:p w14:paraId="1B45B7A5" w14:textId="04997419" w:rsidR="00726751" w:rsidRDefault="00726751">
          <w:pPr>
            <w:pStyle w:val="TOC2"/>
            <w:rPr>
              <w:rFonts w:eastAsiaTheme="minorEastAsia"/>
              <w:kern w:val="2"/>
              <w:sz w:val="24"/>
              <w:szCs w:val="24"/>
              <w:lang w:eastAsia="en-AU"/>
              <w14:ligatures w14:val="standardContextual"/>
            </w:rPr>
          </w:pPr>
          <w:r>
            <w:t>Road freight productivity growth has stalled</w:t>
          </w:r>
          <w:r>
            <w:rPr>
              <w:webHidden/>
            </w:rPr>
            <w:tab/>
          </w:r>
          <w:r>
            <w:rPr>
              <w:webHidden/>
            </w:rPr>
            <w:fldChar w:fldCharType="begin"/>
          </w:r>
          <w:r>
            <w:rPr>
              <w:webHidden/>
            </w:rPr>
            <w:instrText xml:space="preserve"> PAGEREF _Toc225780229 \h </w:instrText>
          </w:r>
          <w:r>
            <w:rPr>
              <w:webHidden/>
            </w:rPr>
          </w:r>
          <w:r>
            <w:rPr>
              <w:webHidden/>
            </w:rPr>
            <w:fldChar w:fldCharType="separate"/>
          </w:r>
          <w:r w:rsidR="007E407C">
            <w:rPr>
              <w:webHidden/>
            </w:rPr>
            <w:t>2</w:t>
          </w:r>
          <w:r>
            <w:rPr>
              <w:webHidden/>
            </w:rPr>
            <w:fldChar w:fldCharType="end"/>
          </w:r>
        </w:p>
        <w:p w14:paraId="5CA2FFF1" w14:textId="53CBC1C2" w:rsidR="00726751" w:rsidRDefault="00726751">
          <w:pPr>
            <w:pStyle w:val="TOC2"/>
            <w:rPr>
              <w:rFonts w:eastAsiaTheme="minorEastAsia"/>
              <w:kern w:val="2"/>
              <w:sz w:val="24"/>
              <w:szCs w:val="24"/>
              <w:lang w:eastAsia="en-AU"/>
              <w14:ligatures w14:val="standardContextual"/>
            </w:rPr>
          </w:pPr>
          <w:r>
            <w:t>Deploying new technologies can re</w:t>
          </w:r>
          <w:r>
            <w:noBreakHyphen/>
            <w:t>start growth</w:t>
          </w:r>
          <w:r>
            <w:rPr>
              <w:webHidden/>
            </w:rPr>
            <w:tab/>
          </w:r>
          <w:r>
            <w:rPr>
              <w:webHidden/>
            </w:rPr>
            <w:fldChar w:fldCharType="begin"/>
          </w:r>
          <w:r>
            <w:rPr>
              <w:webHidden/>
            </w:rPr>
            <w:instrText xml:space="preserve"> PAGEREF _Toc225780230 \h </w:instrText>
          </w:r>
          <w:r>
            <w:rPr>
              <w:webHidden/>
            </w:rPr>
          </w:r>
          <w:r>
            <w:rPr>
              <w:webHidden/>
            </w:rPr>
            <w:fldChar w:fldCharType="separate"/>
          </w:r>
          <w:r w:rsidR="007E407C">
            <w:rPr>
              <w:webHidden/>
            </w:rPr>
            <w:t>4</w:t>
          </w:r>
          <w:r>
            <w:rPr>
              <w:webHidden/>
            </w:rPr>
            <w:fldChar w:fldCharType="end"/>
          </w:r>
        </w:p>
        <w:p w14:paraId="7441B9EF" w14:textId="6C45DDE7" w:rsidR="00726751" w:rsidRDefault="00726751">
          <w:pPr>
            <w:pStyle w:val="TOC2"/>
            <w:rPr>
              <w:rFonts w:eastAsiaTheme="minorEastAsia"/>
              <w:kern w:val="2"/>
              <w:sz w:val="24"/>
              <w:szCs w:val="24"/>
              <w:lang w:eastAsia="en-AU"/>
              <w14:ligatures w14:val="standardContextual"/>
            </w:rPr>
          </w:pPr>
          <w:r>
            <w:t>The PC is examining five heavy vehicle reform areas</w:t>
          </w:r>
          <w:r>
            <w:rPr>
              <w:webHidden/>
            </w:rPr>
            <w:tab/>
          </w:r>
          <w:r>
            <w:rPr>
              <w:webHidden/>
            </w:rPr>
            <w:fldChar w:fldCharType="begin"/>
          </w:r>
          <w:r>
            <w:rPr>
              <w:webHidden/>
            </w:rPr>
            <w:instrText xml:space="preserve"> PAGEREF _Toc225780231 \h </w:instrText>
          </w:r>
          <w:r>
            <w:rPr>
              <w:webHidden/>
            </w:rPr>
          </w:r>
          <w:r>
            <w:rPr>
              <w:webHidden/>
            </w:rPr>
            <w:fldChar w:fldCharType="separate"/>
          </w:r>
          <w:r w:rsidR="007E407C">
            <w:rPr>
              <w:webHidden/>
            </w:rPr>
            <w:t>4</w:t>
          </w:r>
          <w:r>
            <w:rPr>
              <w:webHidden/>
            </w:rPr>
            <w:fldChar w:fldCharType="end"/>
          </w:r>
        </w:p>
        <w:p w14:paraId="1886E98E" w14:textId="045CFE77" w:rsidR="00726751" w:rsidRDefault="00726751">
          <w:pPr>
            <w:pStyle w:val="TOC2"/>
            <w:rPr>
              <w:rFonts w:eastAsiaTheme="minorEastAsia"/>
              <w:kern w:val="2"/>
              <w:sz w:val="24"/>
              <w:szCs w:val="24"/>
              <w:lang w:eastAsia="en-AU"/>
              <w14:ligatures w14:val="standardContextual"/>
            </w:rPr>
          </w:pPr>
          <w:r>
            <w:t>Road access settings need to better balance costs and benefits</w:t>
          </w:r>
          <w:r>
            <w:rPr>
              <w:webHidden/>
            </w:rPr>
            <w:tab/>
          </w:r>
          <w:r>
            <w:rPr>
              <w:webHidden/>
            </w:rPr>
            <w:fldChar w:fldCharType="begin"/>
          </w:r>
          <w:r>
            <w:rPr>
              <w:webHidden/>
            </w:rPr>
            <w:instrText xml:space="preserve"> PAGEREF _Toc225780232 \h </w:instrText>
          </w:r>
          <w:r>
            <w:rPr>
              <w:webHidden/>
            </w:rPr>
          </w:r>
          <w:r>
            <w:rPr>
              <w:webHidden/>
            </w:rPr>
            <w:fldChar w:fldCharType="separate"/>
          </w:r>
          <w:r w:rsidR="007E407C">
            <w:rPr>
              <w:webHidden/>
            </w:rPr>
            <w:t>5</w:t>
          </w:r>
          <w:r>
            <w:rPr>
              <w:webHidden/>
            </w:rPr>
            <w:fldChar w:fldCharType="end"/>
          </w:r>
        </w:p>
        <w:p w14:paraId="0ABABD70" w14:textId="12D6747E" w:rsidR="00726751" w:rsidRDefault="00726751">
          <w:pPr>
            <w:pStyle w:val="TOC2"/>
            <w:rPr>
              <w:rFonts w:eastAsiaTheme="minorEastAsia"/>
              <w:kern w:val="2"/>
              <w:sz w:val="24"/>
              <w:szCs w:val="24"/>
              <w:lang w:eastAsia="en-AU"/>
              <w14:ligatures w14:val="standardContextual"/>
            </w:rPr>
          </w:pPr>
          <w:r>
            <w:t>Regulation has not caught up with electric vehicles</w:t>
          </w:r>
          <w:r>
            <w:rPr>
              <w:webHidden/>
            </w:rPr>
            <w:tab/>
          </w:r>
          <w:r>
            <w:rPr>
              <w:webHidden/>
            </w:rPr>
            <w:fldChar w:fldCharType="begin"/>
          </w:r>
          <w:r>
            <w:rPr>
              <w:webHidden/>
            </w:rPr>
            <w:instrText xml:space="preserve"> PAGEREF _Toc225780233 \h </w:instrText>
          </w:r>
          <w:r>
            <w:rPr>
              <w:webHidden/>
            </w:rPr>
          </w:r>
          <w:r>
            <w:rPr>
              <w:webHidden/>
            </w:rPr>
            <w:fldChar w:fldCharType="separate"/>
          </w:r>
          <w:r w:rsidR="007E407C">
            <w:rPr>
              <w:webHidden/>
            </w:rPr>
            <w:t>7</w:t>
          </w:r>
          <w:r>
            <w:rPr>
              <w:webHidden/>
            </w:rPr>
            <w:fldChar w:fldCharType="end"/>
          </w:r>
        </w:p>
        <w:p w14:paraId="390224CA" w14:textId="4EC6E887" w:rsidR="00726751" w:rsidRDefault="00726751">
          <w:pPr>
            <w:pStyle w:val="TOC2"/>
            <w:rPr>
              <w:rFonts w:eastAsiaTheme="minorEastAsia"/>
              <w:kern w:val="2"/>
              <w:sz w:val="24"/>
              <w:szCs w:val="24"/>
              <w:lang w:eastAsia="en-AU"/>
              <w14:ligatures w14:val="standardContextual"/>
            </w:rPr>
          </w:pPr>
          <w:r>
            <w:t>Current reforms will improve driver capability</w:t>
          </w:r>
          <w:r>
            <w:rPr>
              <w:webHidden/>
            </w:rPr>
            <w:tab/>
          </w:r>
          <w:r>
            <w:rPr>
              <w:webHidden/>
            </w:rPr>
            <w:fldChar w:fldCharType="begin"/>
          </w:r>
          <w:r>
            <w:rPr>
              <w:webHidden/>
            </w:rPr>
            <w:instrText xml:space="preserve"> PAGEREF _Toc225780234 \h </w:instrText>
          </w:r>
          <w:r>
            <w:rPr>
              <w:webHidden/>
            </w:rPr>
          </w:r>
          <w:r>
            <w:rPr>
              <w:webHidden/>
            </w:rPr>
            <w:fldChar w:fldCharType="separate"/>
          </w:r>
          <w:r w:rsidR="007E407C">
            <w:rPr>
              <w:webHidden/>
            </w:rPr>
            <w:t>9</w:t>
          </w:r>
          <w:r>
            <w:rPr>
              <w:webHidden/>
            </w:rPr>
            <w:fldChar w:fldCharType="end"/>
          </w:r>
        </w:p>
        <w:p w14:paraId="224A2E94" w14:textId="2974293A" w:rsidR="00726751" w:rsidRDefault="00726751">
          <w:pPr>
            <w:pStyle w:val="TOC1"/>
            <w:rPr>
              <w:rFonts w:asciiTheme="minorHAnsi" w:eastAsiaTheme="minorEastAsia" w:hAnsiTheme="minorHAnsi"/>
              <w:noProof/>
              <w:color w:val="auto"/>
              <w:kern w:val="2"/>
              <w:sz w:val="24"/>
              <w:szCs w:val="24"/>
              <w:lang w:eastAsia="en-AU"/>
              <w14:ligatures w14:val="standardContextual"/>
            </w:rPr>
          </w:pPr>
          <w:r>
            <w:rPr>
              <w:noProof/>
            </w:rPr>
            <w:t>Draft recommendations, findings and information requests</w:t>
          </w:r>
          <w:r>
            <w:rPr>
              <w:noProof/>
              <w:webHidden/>
            </w:rPr>
            <w:tab/>
          </w:r>
          <w:r>
            <w:rPr>
              <w:noProof/>
              <w:webHidden/>
            </w:rPr>
            <w:fldChar w:fldCharType="begin"/>
          </w:r>
          <w:r>
            <w:rPr>
              <w:noProof/>
              <w:webHidden/>
            </w:rPr>
            <w:instrText xml:space="preserve"> PAGEREF _Toc225780235 \h </w:instrText>
          </w:r>
          <w:r>
            <w:rPr>
              <w:noProof/>
              <w:webHidden/>
            </w:rPr>
          </w:r>
          <w:r>
            <w:rPr>
              <w:noProof/>
              <w:webHidden/>
            </w:rPr>
            <w:fldChar w:fldCharType="separate"/>
          </w:r>
          <w:r w:rsidR="007E407C">
            <w:rPr>
              <w:noProof/>
              <w:webHidden/>
            </w:rPr>
            <w:t>10</w:t>
          </w:r>
          <w:r>
            <w:rPr>
              <w:noProof/>
              <w:webHidden/>
            </w:rPr>
            <w:fldChar w:fldCharType="end"/>
          </w:r>
        </w:p>
        <w:p w14:paraId="12E9AB66" w14:textId="052406EE" w:rsidR="00726751" w:rsidRDefault="00726751">
          <w:pPr>
            <w:pStyle w:val="TOC2"/>
            <w:rPr>
              <w:rFonts w:eastAsiaTheme="minorEastAsia"/>
              <w:kern w:val="2"/>
              <w:sz w:val="24"/>
              <w:szCs w:val="24"/>
              <w:lang w:eastAsia="en-AU"/>
              <w14:ligatures w14:val="standardContextual"/>
            </w:rPr>
          </w:pPr>
          <w:r>
            <w:t>Context for heavy vehicle reform</w:t>
          </w:r>
          <w:r>
            <w:rPr>
              <w:webHidden/>
            </w:rPr>
            <w:tab/>
          </w:r>
          <w:r>
            <w:rPr>
              <w:webHidden/>
            </w:rPr>
            <w:fldChar w:fldCharType="begin"/>
          </w:r>
          <w:r>
            <w:rPr>
              <w:webHidden/>
            </w:rPr>
            <w:instrText xml:space="preserve"> PAGEREF _Toc225780236 \h </w:instrText>
          </w:r>
          <w:r>
            <w:rPr>
              <w:webHidden/>
            </w:rPr>
          </w:r>
          <w:r>
            <w:rPr>
              <w:webHidden/>
            </w:rPr>
            <w:fldChar w:fldCharType="separate"/>
          </w:r>
          <w:r w:rsidR="007E407C">
            <w:rPr>
              <w:webHidden/>
            </w:rPr>
            <w:t>10</w:t>
          </w:r>
          <w:r>
            <w:rPr>
              <w:webHidden/>
            </w:rPr>
            <w:fldChar w:fldCharType="end"/>
          </w:r>
        </w:p>
        <w:p w14:paraId="29613469" w14:textId="464FBBF6" w:rsidR="00726751" w:rsidRDefault="00726751">
          <w:pPr>
            <w:pStyle w:val="TOC2"/>
            <w:rPr>
              <w:rFonts w:eastAsiaTheme="minorEastAsia"/>
              <w:kern w:val="2"/>
              <w:sz w:val="24"/>
              <w:szCs w:val="24"/>
              <w:lang w:eastAsia="en-AU"/>
              <w14:ligatures w14:val="standardContextual"/>
            </w:rPr>
          </w:pPr>
          <w:r>
            <w:t>Access for high productivity and heavy zero emissions vehicles</w:t>
          </w:r>
          <w:r>
            <w:rPr>
              <w:webHidden/>
            </w:rPr>
            <w:tab/>
          </w:r>
          <w:r>
            <w:rPr>
              <w:webHidden/>
            </w:rPr>
            <w:fldChar w:fldCharType="begin"/>
          </w:r>
          <w:r>
            <w:rPr>
              <w:webHidden/>
            </w:rPr>
            <w:instrText xml:space="preserve"> PAGEREF _Toc225780237 \h </w:instrText>
          </w:r>
          <w:r>
            <w:rPr>
              <w:webHidden/>
            </w:rPr>
          </w:r>
          <w:r>
            <w:rPr>
              <w:webHidden/>
            </w:rPr>
            <w:fldChar w:fldCharType="separate"/>
          </w:r>
          <w:r w:rsidR="007E407C">
            <w:rPr>
              <w:webHidden/>
            </w:rPr>
            <w:t>10</w:t>
          </w:r>
          <w:r>
            <w:rPr>
              <w:webHidden/>
            </w:rPr>
            <w:fldChar w:fldCharType="end"/>
          </w:r>
        </w:p>
        <w:p w14:paraId="11245725" w14:textId="749249F0" w:rsidR="00726751" w:rsidRDefault="00726751">
          <w:pPr>
            <w:pStyle w:val="TOC2"/>
            <w:rPr>
              <w:rFonts w:eastAsiaTheme="minorEastAsia"/>
              <w:kern w:val="2"/>
              <w:sz w:val="24"/>
              <w:szCs w:val="24"/>
              <w:lang w:eastAsia="en-AU"/>
              <w14:ligatures w14:val="standardContextual"/>
            </w:rPr>
          </w:pPr>
          <w:r>
            <w:t>Accelerating a National Automated Access System</w:t>
          </w:r>
          <w:r>
            <w:rPr>
              <w:webHidden/>
            </w:rPr>
            <w:tab/>
          </w:r>
          <w:r>
            <w:rPr>
              <w:webHidden/>
            </w:rPr>
            <w:fldChar w:fldCharType="begin"/>
          </w:r>
          <w:r>
            <w:rPr>
              <w:webHidden/>
            </w:rPr>
            <w:instrText xml:space="preserve"> PAGEREF _Toc225780238 \h </w:instrText>
          </w:r>
          <w:r>
            <w:rPr>
              <w:webHidden/>
            </w:rPr>
          </w:r>
          <w:r>
            <w:rPr>
              <w:webHidden/>
            </w:rPr>
            <w:fldChar w:fldCharType="separate"/>
          </w:r>
          <w:r w:rsidR="007E407C">
            <w:rPr>
              <w:webHidden/>
            </w:rPr>
            <w:t>13</w:t>
          </w:r>
          <w:r>
            <w:rPr>
              <w:webHidden/>
            </w:rPr>
            <w:fldChar w:fldCharType="end"/>
          </w:r>
        </w:p>
        <w:p w14:paraId="3A2FE65B" w14:textId="3F63CDA9" w:rsidR="00726751" w:rsidRDefault="00726751">
          <w:pPr>
            <w:pStyle w:val="TOC2"/>
            <w:rPr>
              <w:rFonts w:eastAsiaTheme="minorEastAsia"/>
              <w:kern w:val="2"/>
              <w:sz w:val="24"/>
              <w:szCs w:val="24"/>
              <w:lang w:eastAsia="en-AU"/>
              <w14:ligatures w14:val="standardContextual"/>
            </w:rPr>
          </w:pPr>
          <w:r>
            <w:t>Administrative and regulatory barriers to charging infrastructure</w:t>
          </w:r>
          <w:r>
            <w:rPr>
              <w:webHidden/>
            </w:rPr>
            <w:tab/>
          </w:r>
          <w:r>
            <w:rPr>
              <w:webHidden/>
            </w:rPr>
            <w:fldChar w:fldCharType="begin"/>
          </w:r>
          <w:r>
            <w:rPr>
              <w:webHidden/>
            </w:rPr>
            <w:instrText xml:space="preserve"> PAGEREF _Toc225780239 \h </w:instrText>
          </w:r>
          <w:r>
            <w:rPr>
              <w:webHidden/>
            </w:rPr>
          </w:r>
          <w:r>
            <w:rPr>
              <w:webHidden/>
            </w:rPr>
            <w:fldChar w:fldCharType="separate"/>
          </w:r>
          <w:r w:rsidR="007E407C">
            <w:rPr>
              <w:webHidden/>
            </w:rPr>
            <w:t>14</w:t>
          </w:r>
          <w:r>
            <w:rPr>
              <w:webHidden/>
            </w:rPr>
            <w:fldChar w:fldCharType="end"/>
          </w:r>
        </w:p>
        <w:p w14:paraId="5AA50893" w14:textId="088546EA" w:rsidR="00726751" w:rsidRDefault="00726751">
          <w:pPr>
            <w:pStyle w:val="TOC2"/>
            <w:rPr>
              <w:rFonts w:eastAsiaTheme="minorEastAsia"/>
              <w:kern w:val="2"/>
              <w:sz w:val="24"/>
              <w:szCs w:val="24"/>
              <w:lang w:eastAsia="en-AU"/>
              <w14:ligatures w14:val="standardContextual"/>
            </w:rPr>
          </w:pPr>
          <w:r>
            <w:t>Heavy vehicle curfews</w:t>
          </w:r>
          <w:r>
            <w:rPr>
              <w:webHidden/>
            </w:rPr>
            <w:tab/>
          </w:r>
          <w:r>
            <w:rPr>
              <w:webHidden/>
            </w:rPr>
            <w:fldChar w:fldCharType="begin"/>
          </w:r>
          <w:r>
            <w:rPr>
              <w:webHidden/>
            </w:rPr>
            <w:instrText xml:space="preserve"> PAGEREF _Toc225780240 \h </w:instrText>
          </w:r>
          <w:r>
            <w:rPr>
              <w:webHidden/>
            </w:rPr>
          </w:r>
          <w:r>
            <w:rPr>
              <w:webHidden/>
            </w:rPr>
            <w:fldChar w:fldCharType="separate"/>
          </w:r>
          <w:r w:rsidR="007E407C">
            <w:rPr>
              <w:webHidden/>
            </w:rPr>
            <w:t>15</w:t>
          </w:r>
          <w:r>
            <w:rPr>
              <w:webHidden/>
            </w:rPr>
            <w:fldChar w:fldCharType="end"/>
          </w:r>
        </w:p>
        <w:p w14:paraId="3F44277F" w14:textId="60EC5BD7" w:rsidR="002E3F19" w:rsidRPr="000461A5" w:rsidRDefault="00726751" w:rsidP="000461A5">
          <w:pPr>
            <w:pStyle w:val="TOC2"/>
            <w:rPr>
              <w:rFonts w:eastAsiaTheme="minorEastAsia"/>
              <w:kern w:val="2"/>
              <w:sz w:val="24"/>
              <w:szCs w:val="24"/>
              <w:lang w:eastAsia="en-AU"/>
              <w14:ligatures w14:val="standardContextual"/>
            </w:rPr>
          </w:pPr>
          <w:r>
            <w:t>The National Heavy Vehicle Driver Competency Framework</w:t>
          </w:r>
          <w:r>
            <w:rPr>
              <w:webHidden/>
            </w:rPr>
            <w:tab/>
          </w:r>
          <w:r>
            <w:rPr>
              <w:webHidden/>
            </w:rPr>
            <w:fldChar w:fldCharType="begin"/>
          </w:r>
          <w:r>
            <w:rPr>
              <w:webHidden/>
            </w:rPr>
            <w:instrText xml:space="preserve"> PAGEREF _Toc225780241 \h </w:instrText>
          </w:r>
          <w:r>
            <w:rPr>
              <w:webHidden/>
            </w:rPr>
          </w:r>
          <w:r>
            <w:rPr>
              <w:webHidden/>
            </w:rPr>
            <w:fldChar w:fldCharType="separate"/>
          </w:r>
          <w:r w:rsidR="007E407C">
            <w:rPr>
              <w:webHidden/>
            </w:rPr>
            <w:t>16</w:t>
          </w:r>
          <w:r>
            <w:rPr>
              <w:webHidden/>
            </w:rPr>
            <w:fldChar w:fldCharType="end"/>
          </w:r>
          <w:r w:rsidR="002E3F19">
            <w:rPr>
              <w:sz w:val="18"/>
            </w:rPr>
            <w:fldChar w:fldCharType="end"/>
          </w:r>
        </w:p>
      </w:sdtContent>
    </w:sdt>
    <w:p w14:paraId="7D18FEEC" w14:textId="77777777" w:rsidR="00AB4BEA" w:rsidRDefault="00AB4BEA" w:rsidP="000F4488">
      <w:pPr>
        <w:pStyle w:val="BodyText"/>
        <w:sectPr w:rsidR="00AB4BEA" w:rsidSect="007B1608">
          <w:headerReference w:type="even" r:id="rId30"/>
          <w:headerReference w:type="default" r:id="rId31"/>
          <w:headerReference w:type="first" r:id="rId32"/>
          <w:type w:val="oddPage"/>
          <w:pgSz w:w="11906" w:h="16838" w:code="9"/>
          <w:pgMar w:top="1134" w:right="1134" w:bottom="1134" w:left="1134" w:header="794" w:footer="510" w:gutter="0"/>
          <w:pgNumType w:fmt="lowerRoman"/>
          <w:cols w:space="708"/>
          <w:docGrid w:linePitch="360"/>
        </w:sectPr>
      </w:pPr>
    </w:p>
    <w:p w14:paraId="6DE26968" w14:textId="77777777" w:rsidR="007F22AA" w:rsidRDefault="007F22AA" w:rsidP="001E6383">
      <w:pPr>
        <w:pStyle w:val="Heading1-Section-fullpage"/>
        <w:framePr w:wrap="around"/>
      </w:pPr>
      <w:bookmarkStart w:id="6" w:name="_Toc225780228"/>
      <w:r>
        <w:lastRenderedPageBreak/>
        <w:t>Overview</w:t>
      </w:r>
      <w:bookmarkEnd w:id="6"/>
    </w:p>
    <w:tbl>
      <w:tblPr>
        <w:tblStyle w:val="Texttable-Paleblue"/>
        <w:tblW w:w="5000" w:type="pct"/>
        <w:tblLook w:val="04A0" w:firstRow="1" w:lastRow="0" w:firstColumn="1" w:lastColumn="0" w:noHBand="0" w:noVBand="1"/>
      </w:tblPr>
      <w:tblGrid>
        <w:gridCol w:w="577"/>
        <w:gridCol w:w="9061"/>
      </w:tblGrid>
      <w:tr w:rsidR="007F22AA" w:rsidRPr="002F759A" w14:paraId="7766AE04" w14:textId="77777777" w:rsidTr="00273C8A">
        <w:tc>
          <w:tcPr>
            <w:tcW w:w="9638" w:type="dxa"/>
            <w:gridSpan w:val="2"/>
            <w:shd w:val="clear" w:color="auto" w:fill="E7F6FD"/>
            <w:tcMar>
              <w:left w:w="170" w:type="dxa"/>
            </w:tcMar>
          </w:tcPr>
          <w:p w14:paraId="21F2B717" w14:textId="77777777" w:rsidR="007F22AA" w:rsidRPr="002F759A" w:rsidRDefault="007F22AA">
            <w:pPr>
              <w:pStyle w:val="Keypoints-heading"/>
              <w:spacing w:before="180" w:after="90"/>
            </w:pPr>
            <w:r w:rsidRPr="002F759A">
              <w:lastRenderedPageBreak/>
              <w:t>Key points</w:t>
            </w:r>
          </w:p>
        </w:tc>
      </w:tr>
      <w:tr w:rsidR="007F22AA" w14:paraId="28E0AB31" w14:textId="77777777" w:rsidTr="00273C8A">
        <w:tc>
          <w:tcPr>
            <w:tcW w:w="577" w:type="dxa"/>
            <w:shd w:val="clear" w:color="auto" w:fill="E7F6FD"/>
            <w:tcMar>
              <w:top w:w="0" w:type="dxa"/>
              <w:bottom w:w="0" w:type="dxa"/>
              <w:right w:w="113" w:type="dxa"/>
            </w:tcMar>
          </w:tcPr>
          <w:p w14:paraId="392EC64A" w14:textId="77777777" w:rsidR="007F22AA" w:rsidRDefault="007F22AA" w:rsidP="000C6B77">
            <w:pPr>
              <w:pStyle w:val="KeyPointsicon"/>
              <w:spacing w:before="45" w:after="90"/>
            </w:pPr>
            <w:r w:rsidRPr="00A51374">
              <w:rPr>
                <w:noProof/>
              </w:rPr>
              <w:drawing>
                <wp:inline distT="0" distB="0" distL="0" distR="0" wp14:anchorId="7F61BD18" wp14:editId="63A04657">
                  <wp:extent cx="180000" cy="180000"/>
                  <wp:effectExtent l="0" t="0" r="0" b="0"/>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a:extLst>
                              <a:ext uri="{C183D7F6-B498-43B3-948B-1728B52AA6E4}">
                                <adec:decorative xmlns:adec="http://schemas.microsoft.com/office/drawing/2017/decorative" val="1"/>
                              </a:ext>
                            </a:extLst>
                          </pic:cNvPr>
                          <pic:cNvPicPr/>
                        </pic:nvPicPr>
                        <pic:blipFill>
                          <a:blip r:embed="rId33">
                            <a:extLst>
                              <a:ext uri="{96DAC541-7B7A-43D3-8B79-37D633B846F1}">
                                <asvg:svgBlip xmlns:asvg="http://schemas.microsoft.com/office/drawing/2016/SVG/main" r:embed="rId34"/>
                              </a:ext>
                            </a:extLst>
                          </a:blip>
                          <a:stretch>
                            <a:fillRect/>
                          </a:stretch>
                        </pic:blipFill>
                        <pic:spPr>
                          <a:xfrm>
                            <a:off x="0" y="0"/>
                            <a:ext cx="180000" cy="180000"/>
                          </a:xfrm>
                          <a:prstGeom prst="rect">
                            <a:avLst/>
                          </a:prstGeom>
                        </pic:spPr>
                      </pic:pic>
                    </a:graphicData>
                  </a:graphic>
                </wp:inline>
              </w:drawing>
            </w:r>
          </w:p>
        </w:tc>
        <w:tc>
          <w:tcPr>
            <w:tcW w:w="9061" w:type="dxa"/>
            <w:shd w:val="clear" w:color="auto" w:fill="E7F6FD"/>
            <w:tcMar>
              <w:top w:w="28" w:type="dxa"/>
              <w:left w:w="28" w:type="dxa"/>
            </w:tcMar>
          </w:tcPr>
          <w:p w14:paraId="5082F387" w14:textId="77777777" w:rsidR="006646F8" w:rsidRDefault="007F22AA" w:rsidP="00FE0EF3">
            <w:pPr>
              <w:pStyle w:val="KeyPoints-Bold"/>
              <w:spacing w:before="30" w:after="45"/>
            </w:pPr>
            <w:r w:rsidRPr="00015329">
              <w:t>Heavy vehicle</w:t>
            </w:r>
            <w:r>
              <w:t xml:space="preserve"> transport </w:t>
            </w:r>
            <w:r w:rsidRPr="00015329">
              <w:t>play</w:t>
            </w:r>
            <w:r>
              <w:t>s</w:t>
            </w:r>
            <w:r w:rsidRPr="00015329">
              <w:t xml:space="preserve"> an important role in the Australian economy, but productivity growth in the road freight sector has stalled for </w:t>
            </w:r>
            <w:r>
              <w:t>over a</w:t>
            </w:r>
            <w:r w:rsidRPr="00015329">
              <w:t xml:space="preserve"> </w:t>
            </w:r>
            <w:r w:rsidRPr="00EE52EA">
              <w:t xml:space="preserve">decade. </w:t>
            </w:r>
          </w:p>
          <w:p w14:paraId="5279E205" w14:textId="177DCF35" w:rsidR="007F22AA" w:rsidRDefault="007F22AA" w:rsidP="006646F8">
            <w:pPr>
              <w:pStyle w:val="KeyPoints-Bullet"/>
              <w:tabs>
                <w:tab w:val="num" w:pos="360"/>
              </w:tabs>
              <w:spacing w:before="90" w:after="45"/>
              <w:ind w:left="170" w:hanging="170"/>
            </w:pPr>
            <w:r w:rsidRPr="00EE52EA">
              <w:t>Advances</w:t>
            </w:r>
            <w:r w:rsidRPr="00015329">
              <w:t xml:space="preserve"> in technology and vehicle design provide opportunities to </w:t>
            </w:r>
            <w:r>
              <w:t>re</w:t>
            </w:r>
            <w:r>
              <w:noBreakHyphen/>
              <w:t>start</w:t>
            </w:r>
            <w:r w:rsidRPr="00015329">
              <w:t xml:space="preserve"> productivity</w:t>
            </w:r>
            <w:r>
              <w:t xml:space="preserve"> growth</w:t>
            </w:r>
            <w:r w:rsidRPr="00015329">
              <w:t xml:space="preserve"> and </w:t>
            </w:r>
            <w:r>
              <w:t xml:space="preserve">improve </w:t>
            </w:r>
            <w:r w:rsidRPr="00015329">
              <w:t>emissions outcomes</w:t>
            </w:r>
            <w:r>
              <w:t>,</w:t>
            </w:r>
            <w:r w:rsidRPr="00015329">
              <w:t xml:space="preserve"> but </w:t>
            </w:r>
            <w:r>
              <w:t xml:space="preserve">reform is needed </w:t>
            </w:r>
            <w:r w:rsidRPr="00015329">
              <w:t>to enable th</w:t>
            </w:r>
            <w:r>
              <w:t>is</w:t>
            </w:r>
            <w:r w:rsidRPr="00015329">
              <w:t xml:space="preserve">. </w:t>
            </w:r>
          </w:p>
        </w:tc>
      </w:tr>
      <w:tr w:rsidR="007F22AA" w14:paraId="0860FEFC" w14:textId="77777777" w:rsidTr="00273C8A">
        <w:tc>
          <w:tcPr>
            <w:tcW w:w="577" w:type="dxa"/>
            <w:shd w:val="clear" w:color="auto" w:fill="E7F6FD"/>
            <w:tcMar>
              <w:top w:w="0" w:type="dxa"/>
              <w:bottom w:w="0" w:type="dxa"/>
              <w:right w:w="113" w:type="dxa"/>
            </w:tcMar>
          </w:tcPr>
          <w:p w14:paraId="4E143451" w14:textId="77777777" w:rsidR="007F22AA" w:rsidRPr="00A51374" w:rsidRDefault="007F22AA" w:rsidP="000C6B77">
            <w:pPr>
              <w:pStyle w:val="KeyPointsicon"/>
              <w:spacing w:before="45" w:after="90"/>
            </w:pPr>
            <w:r w:rsidRPr="00F31E73">
              <w:rPr>
                <w:noProof/>
              </w:rPr>
              <w:drawing>
                <wp:inline distT="0" distB="0" distL="0" distR="0" wp14:anchorId="16B764EE" wp14:editId="14A7B277">
                  <wp:extent cx="180000" cy="180000"/>
                  <wp:effectExtent l="0" t="0" r="0" b="0"/>
                  <wp:docPr id="936309927" name="Graphic 9363099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extLst>
                              <a:ext uri="{C183D7F6-B498-43B3-948B-1728B52AA6E4}">
                                <adec:decorative xmlns:adec="http://schemas.microsoft.com/office/drawing/2017/decorative" val="1"/>
                              </a:ext>
                            </a:extLst>
                          </pic:cNvPr>
                          <pic:cNvPicPr/>
                        </pic:nvPicPr>
                        <pic:blipFill>
                          <a:blip r:embed="rId33">
                            <a:extLst>
                              <a:ext uri="{96DAC541-7B7A-43D3-8B79-37D633B846F1}">
                                <asvg:svgBlip xmlns:asvg="http://schemas.microsoft.com/office/drawing/2016/SVG/main" r:embed="rId34"/>
                              </a:ext>
                            </a:extLst>
                          </a:blip>
                          <a:stretch>
                            <a:fillRect/>
                          </a:stretch>
                        </pic:blipFill>
                        <pic:spPr>
                          <a:xfrm>
                            <a:off x="0" y="0"/>
                            <a:ext cx="180000" cy="180000"/>
                          </a:xfrm>
                          <a:prstGeom prst="rect">
                            <a:avLst/>
                          </a:prstGeom>
                        </pic:spPr>
                      </pic:pic>
                    </a:graphicData>
                  </a:graphic>
                </wp:inline>
              </w:drawing>
            </w:r>
          </w:p>
        </w:tc>
        <w:tc>
          <w:tcPr>
            <w:tcW w:w="9061" w:type="dxa"/>
            <w:shd w:val="clear" w:color="auto" w:fill="E7F6FD"/>
            <w:tcMar>
              <w:top w:w="28" w:type="dxa"/>
              <w:left w:w="28" w:type="dxa"/>
            </w:tcMar>
          </w:tcPr>
          <w:p w14:paraId="7827E622" w14:textId="77777777" w:rsidR="007F22AA" w:rsidRDefault="007F22AA" w:rsidP="00610627">
            <w:pPr>
              <w:pStyle w:val="KeyPoints-Bold"/>
              <w:spacing w:before="30" w:after="45"/>
            </w:pPr>
            <w:r w:rsidRPr="00C15A0A">
              <w:t>High productivity vehicles, heavy zero emission</w:t>
            </w:r>
            <w:r>
              <w:t>s</w:t>
            </w:r>
            <w:r w:rsidRPr="00C15A0A">
              <w:t xml:space="preserve"> vehicles, automated permits and </w:t>
            </w:r>
            <w:r>
              <w:t>telematics</w:t>
            </w:r>
            <w:r w:rsidRPr="00C15A0A">
              <w:t xml:space="preserve"> can </w:t>
            </w:r>
            <w:r>
              <w:t>support</w:t>
            </w:r>
            <w:r w:rsidRPr="00C15A0A">
              <w:t xml:space="preserve"> productivity uplift if deployed well. </w:t>
            </w:r>
            <w:r w:rsidRPr="00EE52EA">
              <w:t>These</w:t>
            </w:r>
            <w:r w:rsidRPr="00C15A0A">
              <w:t xml:space="preserve"> opportunities will only be realised if </w:t>
            </w:r>
            <w:r>
              <w:t xml:space="preserve">all tiers of </w:t>
            </w:r>
            <w:r w:rsidRPr="00C15A0A">
              <w:t>government collaborate to remove regulatory and other barriers to innovation and investment.</w:t>
            </w:r>
          </w:p>
          <w:p w14:paraId="2DB496F8" w14:textId="77777777" w:rsidR="007F22AA" w:rsidRPr="00EE52EA" w:rsidRDefault="007F22AA" w:rsidP="007F22AA">
            <w:pPr>
              <w:pStyle w:val="KeyPoints-Bullet"/>
              <w:tabs>
                <w:tab w:val="num" w:pos="360"/>
              </w:tabs>
              <w:spacing w:before="90" w:after="45"/>
              <w:ind w:left="170" w:hanging="170"/>
            </w:pPr>
            <w:r w:rsidRPr="00EE52EA">
              <w:t xml:space="preserve">Governments are working together on new national approaches, and individual jurisdictions are </w:t>
            </w:r>
            <w:proofErr w:type="gramStart"/>
            <w:r w:rsidRPr="00EE52EA">
              <w:t>pursuing:</w:t>
            </w:r>
            <w:proofErr w:type="gramEnd"/>
            <w:r w:rsidRPr="00EE52EA">
              <w:t xml:space="preserve"> reforms which demonstrate the application of new technologies for vehicle access; and updated regulation to recognise </w:t>
            </w:r>
            <w:r>
              <w:t>electric vehicle</w:t>
            </w:r>
            <w:r w:rsidRPr="00EE52EA">
              <w:t xml:space="preserve"> charging as an emerging form of land use.</w:t>
            </w:r>
          </w:p>
          <w:p w14:paraId="0410823D" w14:textId="77777777" w:rsidR="007F22AA" w:rsidRPr="00610627" w:rsidRDefault="007F22AA" w:rsidP="007F22AA">
            <w:pPr>
              <w:pStyle w:val="KeyPoints-Bullet"/>
              <w:tabs>
                <w:tab w:val="num" w:pos="360"/>
              </w:tabs>
              <w:spacing w:before="90" w:after="45"/>
              <w:ind w:left="170" w:hanging="170"/>
            </w:pPr>
            <w:r>
              <w:t xml:space="preserve">However, more can be done to accelerate this work. </w:t>
            </w:r>
          </w:p>
        </w:tc>
      </w:tr>
      <w:tr w:rsidR="007F22AA" w14:paraId="32224AB4" w14:textId="77777777" w:rsidTr="00273C8A">
        <w:tc>
          <w:tcPr>
            <w:tcW w:w="577" w:type="dxa"/>
            <w:shd w:val="clear" w:color="auto" w:fill="E7F6FD"/>
            <w:tcMar>
              <w:top w:w="0" w:type="dxa"/>
              <w:bottom w:w="0" w:type="dxa"/>
              <w:right w:w="113" w:type="dxa"/>
            </w:tcMar>
          </w:tcPr>
          <w:p w14:paraId="0C22AC18" w14:textId="77777777" w:rsidR="007F22AA" w:rsidRPr="00A51374" w:rsidRDefault="007F22AA" w:rsidP="000C6B77">
            <w:pPr>
              <w:pStyle w:val="KeyPointsicon"/>
              <w:spacing w:before="45" w:after="90"/>
            </w:pPr>
            <w:r w:rsidRPr="00F31E73">
              <w:rPr>
                <w:noProof/>
              </w:rPr>
              <w:drawing>
                <wp:inline distT="0" distB="0" distL="0" distR="0" wp14:anchorId="007634F5" wp14:editId="51DA578C">
                  <wp:extent cx="180000" cy="180000"/>
                  <wp:effectExtent l="0" t="0" r="0" b="0"/>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a:extLst>
                              <a:ext uri="{C183D7F6-B498-43B3-948B-1728B52AA6E4}">
                                <adec:decorative xmlns:adec="http://schemas.microsoft.com/office/drawing/2017/decorative" val="1"/>
                              </a:ext>
                            </a:extLst>
                          </pic:cNvPr>
                          <pic:cNvPicPr/>
                        </pic:nvPicPr>
                        <pic:blipFill>
                          <a:blip r:embed="rId33">
                            <a:extLst>
                              <a:ext uri="{96DAC541-7B7A-43D3-8B79-37D633B846F1}">
                                <asvg:svgBlip xmlns:asvg="http://schemas.microsoft.com/office/drawing/2016/SVG/main" r:embed="rId34"/>
                              </a:ext>
                            </a:extLst>
                          </a:blip>
                          <a:stretch>
                            <a:fillRect/>
                          </a:stretch>
                        </pic:blipFill>
                        <pic:spPr>
                          <a:xfrm>
                            <a:off x="0" y="0"/>
                            <a:ext cx="180000" cy="180000"/>
                          </a:xfrm>
                          <a:prstGeom prst="rect">
                            <a:avLst/>
                          </a:prstGeom>
                        </pic:spPr>
                      </pic:pic>
                    </a:graphicData>
                  </a:graphic>
                </wp:inline>
              </w:drawing>
            </w:r>
          </w:p>
        </w:tc>
        <w:tc>
          <w:tcPr>
            <w:tcW w:w="9061" w:type="dxa"/>
            <w:shd w:val="clear" w:color="auto" w:fill="E7F6FD"/>
            <w:tcMar>
              <w:top w:w="28" w:type="dxa"/>
              <w:left w:w="28" w:type="dxa"/>
            </w:tcMar>
          </w:tcPr>
          <w:p w14:paraId="2930BE15" w14:textId="77777777" w:rsidR="007F22AA" w:rsidRDefault="007F22AA" w:rsidP="00610627">
            <w:pPr>
              <w:pStyle w:val="KeyPoints-Bold"/>
              <w:spacing w:before="30" w:after="45"/>
            </w:pPr>
            <w:r w:rsidRPr="007C0CFB">
              <w:t>The largest potential productivity benefits will arise from reforms that increase access to Australia’s road network for high productivity vehicles.</w:t>
            </w:r>
          </w:p>
          <w:p w14:paraId="4DF8E94B" w14:textId="77777777" w:rsidR="007F22AA" w:rsidRDefault="007F22AA" w:rsidP="007F22AA">
            <w:pPr>
              <w:pStyle w:val="KeyPoints-Bullet"/>
              <w:tabs>
                <w:tab w:val="num" w:pos="360"/>
              </w:tabs>
              <w:spacing w:before="90" w:after="45"/>
              <w:ind w:left="170" w:hanging="170"/>
            </w:pPr>
            <w:r>
              <w:t>Our early modelling suggests that access reforms could raise Australian GDP in the order of between 0.035% and 0.148%, or between $950 million and $4.0 billion, with negligible impacts on inflation.</w:t>
            </w:r>
          </w:p>
          <w:p w14:paraId="611ACEE4" w14:textId="77777777" w:rsidR="007F22AA" w:rsidRDefault="007F22AA" w:rsidP="007F22AA">
            <w:pPr>
              <w:pStyle w:val="KeyPoints-Bullet"/>
              <w:tabs>
                <w:tab w:val="num" w:pos="360"/>
              </w:tabs>
              <w:spacing w:before="90" w:after="45"/>
              <w:ind w:left="170" w:hanging="170"/>
            </w:pPr>
            <w:r w:rsidRPr="007C0CFB">
              <w:t>Two reform</w:t>
            </w:r>
            <w:r>
              <w:t xml:space="preserve"> areas</w:t>
            </w:r>
            <w:r w:rsidRPr="007C0CFB">
              <w:t xml:space="preserve"> – increasing heavy vehicle road access and </w:t>
            </w:r>
            <w:r>
              <w:t>establishing a</w:t>
            </w:r>
            <w:r w:rsidRPr="007C0CFB">
              <w:t xml:space="preserve"> </w:t>
            </w:r>
            <w:r>
              <w:t>National Automated Access System</w:t>
            </w:r>
            <w:r w:rsidRPr="007C0CFB">
              <w:t xml:space="preserve"> – can </w:t>
            </w:r>
            <w:r>
              <w:t>lead to productivity benefits</w:t>
            </w:r>
            <w:r w:rsidRPr="007C0CFB">
              <w:t>. However, the size of their potential impact will depend on the scope and ambition of their design and implementation</w:t>
            </w:r>
            <w:r>
              <w:t>.</w:t>
            </w:r>
          </w:p>
          <w:p w14:paraId="5C7FE934" w14:textId="77777777" w:rsidR="007F22AA" w:rsidRPr="00610627" w:rsidRDefault="007F22AA" w:rsidP="007F22AA">
            <w:pPr>
              <w:pStyle w:val="KeyPoints-Bullet"/>
              <w:tabs>
                <w:tab w:val="num" w:pos="360"/>
              </w:tabs>
              <w:spacing w:before="90" w:after="45"/>
              <w:ind w:left="170" w:hanging="170"/>
            </w:pPr>
            <w:r w:rsidRPr="00D70985">
              <w:t>Reforms that work towards ‘as</w:t>
            </w:r>
            <w:r>
              <w:noBreakHyphen/>
            </w:r>
            <w:r w:rsidRPr="00D70985">
              <w:t>of</w:t>
            </w:r>
            <w:r>
              <w:noBreakHyphen/>
            </w:r>
            <w:r w:rsidRPr="00D70985">
              <w:t>right’ access – reducing the time and costs associated with applying for a permit for pre</w:t>
            </w:r>
            <w:r>
              <w:noBreakHyphen/>
            </w:r>
            <w:r w:rsidRPr="00D70985">
              <w:t>approved vehicles driving on pre</w:t>
            </w:r>
            <w:r>
              <w:noBreakHyphen/>
            </w:r>
            <w:r w:rsidRPr="00D70985">
              <w:t>approved roads – should be prioritised</w:t>
            </w:r>
            <w:r>
              <w:t>.</w:t>
            </w:r>
          </w:p>
        </w:tc>
      </w:tr>
      <w:tr w:rsidR="007F22AA" w14:paraId="4E73D6E3" w14:textId="77777777" w:rsidTr="00273C8A">
        <w:tc>
          <w:tcPr>
            <w:tcW w:w="577" w:type="dxa"/>
            <w:shd w:val="clear" w:color="auto" w:fill="E7F6FD"/>
            <w:tcMar>
              <w:top w:w="0" w:type="dxa"/>
              <w:bottom w:w="0" w:type="dxa"/>
              <w:right w:w="113" w:type="dxa"/>
            </w:tcMar>
          </w:tcPr>
          <w:p w14:paraId="6898BAEC" w14:textId="77777777" w:rsidR="007F22AA" w:rsidRPr="00F31E73" w:rsidRDefault="007F22AA" w:rsidP="000C6B77">
            <w:pPr>
              <w:pStyle w:val="KeyPointsicon"/>
              <w:spacing w:before="45" w:after="90"/>
              <w:rPr>
                <w:noProof/>
              </w:rPr>
            </w:pPr>
            <w:r w:rsidRPr="00F31E73">
              <w:rPr>
                <w:noProof/>
              </w:rPr>
              <w:drawing>
                <wp:inline distT="0" distB="0" distL="0" distR="0" wp14:anchorId="405D66B5" wp14:editId="5A3A12AE">
                  <wp:extent cx="180000" cy="180000"/>
                  <wp:effectExtent l="0" t="0" r="0" b="0"/>
                  <wp:docPr id="1898233068" name="Graphic 18982330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33">
                            <a:extLst>
                              <a:ext uri="{96DAC541-7B7A-43D3-8B79-37D633B846F1}">
                                <asvg:svgBlip xmlns:asvg="http://schemas.microsoft.com/office/drawing/2016/SVG/main" r:embed="rId34"/>
                              </a:ext>
                            </a:extLst>
                          </a:blip>
                          <a:stretch>
                            <a:fillRect/>
                          </a:stretch>
                        </pic:blipFill>
                        <pic:spPr>
                          <a:xfrm>
                            <a:off x="0" y="0"/>
                            <a:ext cx="180000" cy="180000"/>
                          </a:xfrm>
                          <a:prstGeom prst="rect">
                            <a:avLst/>
                          </a:prstGeom>
                        </pic:spPr>
                      </pic:pic>
                    </a:graphicData>
                  </a:graphic>
                </wp:inline>
              </w:drawing>
            </w:r>
          </w:p>
        </w:tc>
        <w:tc>
          <w:tcPr>
            <w:tcW w:w="9061" w:type="dxa"/>
            <w:shd w:val="clear" w:color="auto" w:fill="E7F6FD"/>
            <w:tcMar>
              <w:top w:w="28" w:type="dxa"/>
              <w:left w:w="28" w:type="dxa"/>
            </w:tcMar>
          </w:tcPr>
          <w:p w14:paraId="4647E047" w14:textId="77777777" w:rsidR="007F22AA" w:rsidRPr="00B71EDA" w:rsidRDefault="007F22AA" w:rsidP="00273C8A">
            <w:pPr>
              <w:pStyle w:val="KeyPoints-Bold"/>
              <w:spacing w:before="30" w:after="45"/>
              <w:rPr>
                <w:spacing w:val="-2"/>
              </w:rPr>
            </w:pPr>
            <w:r w:rsidRPr="00B71EDA">
              <w:rPr>
                <w:bCs/>
                <w:spacing w:val="-2"/>
              </w:rPr>
              <w:t>Adjusting curfews, aligning planning definitions and improving information will assist with the uptake of heavy zero emissions vehicles, complementing commercial, technological and emission policy drivers.</w:t>
            </w:r>
          </w:p>
        </w:tc>
      </w:tr>
      <w:tr w:rsidR="007F22AA" w14:paraId="2BCCB6BF" w14:textId="77777777" w:rsidTr="00273C8A">
        <w:tc>
          <w:tcPr>
            <w:tcW w:w="577" w:type="dxa"/>
            <w:shd w:val="clear" w:color="auto" w:fill="E7F6FD"/>
            <w:tcMar>
              <w:top w:w="0" w:type="dxa"/>
              <w:bottom w:w="0" w:type="dxa"/>
              <w:right w:w="113" w:type="dxa"/>
            </w:tcMar>
          </w:tcPr>
          <w:p w14:paraId="4D07AD2A" w14:textId="77777777" w:rsidR="007F22AA" w:rsidRPr="00F31E73" w:rsidRDefault="007F22AA" w:rsidP="000C6B77">
            <w:pPr>
              <w:pStyle w:val="KeyPointsicon"/>
              <w:spacing w:before="45" w:after="90"/>
              <w:rPr>
                <w:noProof/>
              </w:rPr>
            </w:pPr>
            <w:r w:rsidRPr="00F31E73">
              <w:rPr>
                <w:noProof/>
              </w:rPr>
              <w:drawing>
                <wp:inline distT="0" distB="0" distL="0" distR="0" wp14:anchorId="00EB90C1" wp14:editId="681CF309">
                  <wp:extent cx="180000" cy="180000"/>
                  <wp:effectExtent l="0" t="0" r="0" b="0"/>
                  <wp:docPr id="745710969" name="Graphic 7457109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33">
                            <a:extLst>
                              <a:ext uri="{96DAC541-7B7A-43D3-8B79-37D633B846F1}">
                                <asvg:svgBlip xmlns:asvg="http://schemas.microsoft.com/office/drawing/2016/SVG/main" r:embed="rId34"/>
                              </a:ext>
                            </a:extLst>
                          </a:blip>
                          <a:stretch>
                            <a:fillRect/>
                          </a:stretch>
                        </pic:blipFill>
                        <pic:spPr>
                          <a:xfrm>
                            <a:off x="0" y="0"/>
                            <a:ext cx="180000" cy="180000"/>
                          </a:xfrm>
                          <a:prstGeom prst="rect">
                            <a:avLst/>
                          </a:prstGeom>
                        </pic:spPr>
                      </pic:pic>
                    </a:graphicData>
                  </a:graphic>
                </wp:inline>
              </w:drawing>
            </w:r>
          </w:p>
        </w:tc>
        <w:tc>
          <w:tcPr>
            <w:tcW w:w="9061" w:type="dxa"/>
            <w:shd w:val="clear" w:color="auto" w:fill="E7F6FD"/>
            <w:tcMar>
              <w:top w:w="28" w:type="dxa"/>
              <w:left w:w="28" w:type="dxa"/>
            </w:tcMar>
          </w:tcPr>
          <w:p w14:paraId="3A8AF0E9" w14:textId="77777777" w:rsidR="007F22AA" w:rsidRDefault="007F22AA" w:rsidP="00273C8A">
            <w:pPr>
              <w:pStyle w:val="KeyPoints-Bold"/>
              <w:spacing w:before="30" w:after="45"/>
            </w:pPr>
            <w:r>
              <w:t>Changes to heavy vehicle driver licence settings</w:t>
            </w:r>
            <w:r w:rsidRPr="000D3BB8">
              <w:t>, including</w:t>
            </w:r>
            <w:r>
              <w:t xml:space="preserve"> weight concessions for electric vehicles </w:t>
            </w:r>
            <w:r w:rsidRPr="000D3BB8">
              <w:t xml:space="preserve">and </w:t>
            </w:r>
            <w:r>
              <w:t xml:space="preserve">strengthening </w:t>
            </w:r>
            <w:r w:rsidRPr="000D3BB8">
              <w:t xml:space="preserve">recognition of overseas heavy vehicle licences, </w:t>
            </w:r>
            <w:r w:rsidRPr="00EE52EA">
              <w:t>will</w:t>
            </w:r>
            <w:r w:rsidRPr="000D3BB8">
              <w:t xml:space="preserve"> help </w:t>
            </w:r>
            <w:r>
              <w:t>the net zero transition and heavy vehicle driver shortage</w:t>
            </w:r>
            <w:r w:rsidRPr="000D3BB8">
              <w:t>.</w:t>
            </w:r>
          </w:p>
          <w:p w14:paraId="7F48ED83" w14:textId="77777777" w:rsidR="007F22AA" w:rsidRPr="00F929B1" w:rsidRDefault="007F22AA" w:rsidP="00F929B1">
            <w:pPr>
              <w:pStyle w:val="KeyPoints-Bullet"/>
              <w:spacing w:after="120"/>
            </w:pPr>
            <w:r w:rsidRPr="00F929B1">
              <w:t xml:space="preserve">National driver competency reforms to improve safety and increase driver supply have been agreed, though implementation across jurisdictions will largely occur between 2026 and 2028. </w:t>
            </w:r>
          </w:p>
        </w:tc>
      </w:tr>
    </w:tbl>
    <w:p w14:paraId="678B9679" w14:textId="77777777" w:rsidR="007F22AA" w:rsidRDefault="007F22AA" w:rsidP="00273C8A">
      <w:pPr>
        <w:pStyle w:val="NoSpacing"/>
      </w:pPr>
    </w:p>
    <w:p w14:paraId="71189F08" w14:textId="77777777" w:rsidR="007F22AA" w:rsidRDefault="007F22AA" w:rsidP="00273C8A">
      <w:pPr>
        <w:pStyle w:val="Heading2-nonumber"/>
      </w:pPr>
      <w:bookmarkStart w:id="7" w:name="_Toc225342370"/>
      <w:bookmarkStart w:id="8" w:name="_Toc225780229"/>
      <w:r>
        <w:t xml:space="preserve">Road </w:t>
      </w:r>
      <w:r w:rsidRPr="00EE52EA">
        <w:t>freight</w:t>
      </w:r>
      <w:r>
        <w:t xml:space="preserve"> productivity growth has stalled</w:t>
      </w:r>
      <w:bookmarkEnd w:id="7"/>
      <w:bookmarkEnd w:id="8"/>
      <w:r>
        <w:t xml:space="preserve"> </w:t>
      </w:r>
    </w:p>
    <w:p w14:paraId="5899F881" w14:textId="77777777" w:rsidR="007F22AA" w:rsidRDefault="007F22AA" w:rsidP="00273C8A">
      <w:pPr>
        <w:rPr>
          <w:rFonts w:ascii="Arial" w:hAnsi="Arial" w:cs="Arial"/>
          <w:color w:val="000000"/>
          <w:shd w:val="clear" w:color="auto" w:fill="FFFFFF"/>
        </w:rPr>
      </w:pPr>
      <w:r w:rsidRPr="00FA7235">
        <w:t>Heavy vehicle</w:t>
      </w:r>
      <w:r>
        <w:t xml:space="preserve"> transport is</w:t>
      </w:r>
      <w:r w:rsidRPr="00FA7235">
        <w:t xml:space="preserve"> central to the day</w:t>
      </w:r>
      <w:r>
        <w:noBreakHyphen/>
      </w:r>
      <w:r w:rsidRPr="00FA7235">
        <w:t>to</w:t>
      </w:r>
      <w:r>
        <w:noBreakHyphen/>
      </w:r>
      <w:r w:rsidRPr="00FA7235">
        <w:t>day functioning of our economy.</w:t>
      </w:r>
      <w:r w:rsidRPr="00745CFA">
        <w:t xml:space="preserve"> </w:t>
      </w:r>
      <w:r w:rsidRPr="00A2071B">
        <w:t>Almost</w:t>
      </w:r>
      <w:r w:rsidRPr="00FA7235">
        <w:t xml:space="preserve"> </w:t>
      </w:r>
      <w:r w:rsidRPr="00A2071B">
        <w:t>all goods have been</w:t>
      </w:r>
      <w:r w:rsidRPr="00FA7235">
        <w:t xml:space="preserve"> moved by heavy vehicles at least once, and often several </w:t>
      </w:r>
      <w:r w:rsidRPr="00A2071B">
        <w:t>times – from </w:t>
      </w:r>
      <w:r w:rsidRPr="00612584">
        <w:t>ports</w:t>
      </w:r>
      <w:r>
        <w:t xml:space="preserve">, </w:t>
      </w:r>
      <w:r w:rsidRPr="00FA7235">
        <w:t>farms and</w:t>
      </w:r>
      <w:r>
        <w:t xml:space="preserve"> </w:t>
      </w:r>
      <w:r w:rsidRPr="00FA7235">
        <w:t>factories</w:t>
      </w:r>
      <w:r>
        <w:t xml:space="preserve"> </w:t>
      </w:r>
      <w:r w:rsidRPr="00A2071B">
        <w:t>to</w:t>
      </w:r>
      <w:r>
        <w:t xml:space="preserve"> </w:t>
      </w:r>
      <w:r w:rsidRPr="00A2071B">
        <w:t>distribution</w:t>
      </w:r>
      <w:r>
        <w:t xml:space="preserve"> </w:t>
      </w:r>
      <w:r w:rsidRPr="00A2071B">
        <w:t>centres</w:t>
      </w:r>
      <w:r>
        <w:t xml:space="preserve">, </w:t>
      </w:r>
      <w:r w:rsidRPr="00EE52EA">
        <w:t>shops</w:t>
      </w:r>
      <w:r w:rsidRPr="00612584">
        <w:t xml:space="preserve"> and homes.</w:t>
      </w:r>
      <w:r w:rsidRPr="00A2071B">
        <w:t> </w:t>
      </w:r>
      <w:r w:rsidRPr="00C41689">
        <w:t>Overall</w:t>
      </w:r>
      <w:r>
        <w:t>, the road transport sector and in</w:t>
      </w:r>
      <w:r>
        <w:noBreakHyphen/>
        <w:t xml:space="preserve">house road transport activity represent </w:t>
      </w:r>
      <w:r w:rsidRPr="00C41689">
        <w:t xml:space="preserve">around </w:t>
      </w:r>
      <w:r>
        <w:t xml:space="preserve">5% of Australian </w:t>
      </w:r>
      <w:r w:rsidRPr="00EE52EA">
        <w:t>GDP</w:t>
      </w:r>
      <w:r>
        <w:t>.</w:t>
      </w:r>
      <w:r w:rsidRPr="009601EB">
        <w:rPr>
          <w:rStyle w:val="FootnoteReference"/>
        </w:rPr>
        <w:footnoteReference w:id="2"/>
      </w:r>
      <w:r>
        <w:t xml:space="preserve"> The road transport sector alone employs 273</w:t>
      </w:r>
      <w:r w:rsidRPr="006F3ECB">
        <w:t>,</w:t>
      </w:r>
      <w:r>
        <w:t>0</w:t>
      </w:r>
      <w:r w:rsidRPr="006F3ECB">
        <w:t>00</w:t>
      </w:r>
      <w:r>
        <w:t xml:space="preserve"> people</w:t>
      </w:r>
      <w:r w:rsidRPr="00C41689">
        <w:t>.</w:t>
      </w:r>
    </w:p>
    <w:p w14:paraId="25DF5DC8" w14:textId="77777777" w:rsidR="007F22AA" w:rsidRDefault="007F22AA" w:rsidP="00273C8A">
      <w:pPr>
        <w:pStyle w:val="BodyText"/>
        <w:rPr>
          <w:rFonts w:ascii="Arial" w:hAnsi="Arial" w:cs="Arial"/>
          <w:color w:val="000000"/>
        </w:rPr>
      </w:pPr>
      <w:r>
        <w:rPr>
          <w:rFonts w:ascii="Arial" w:hAnsi="Arial" w:cs="Arial"/>
          <w:color w:val="000000"/>
          <w:shd w:val="clear" w:color="auto" w:fill="FFFFFF"/>
        </w:rPr>
        <w:lastRenderedPageBreak/>
        <w:t xml:space="preserve">Historically, the physical productivity of road freight vehicles (proxied by a measure of average load mass) has gone through periods of significant growth. </w:t>
      </w:r>
      <w:r w:rsidRPr="00D000E9">
        <w:t>Between</w:t>
      </w:r>
      <w:r w:rsidRPr="005259E7">
        <w:t xml:space="preserve"> 19</w:t>
      </w:r>
      <w:r>
        <w:t>75</w:t>
      </w:r>
      <w:r w:rsidRPr="005259E7">
        <w:t xml:space="preserve"> and 2009</w:t>
      </w:r>
      <w:r w:rsidRPr="006B631C">
        <w:t xml:space="preserve">, the </w:t>
      </w:r>
      <w:r w:rsidRPr="005259E7">
        <w:t xml:space="preserve">physical </w:t>
      </w:r>
      <w:r w:rsidRPr="006B631C">
        <w:t xml:space="preserve">productivity of </w:t>
      </w:r>
      <w:r w:rsidRPr="006B631C">
        <w:rPr>
          <w:iCs/>
        </w:rPr>
        <w:t xml:space="preserve">heavy </w:t>
      </w:r>
      <w:r w:rsidRPr="006B631C">
        <w:t xml:space="preserve">freight vehicles </w:t>
      </w:r>
      <w:r w:rsidRPr="005259E7">
        <w:t>increased</w:t>
      </w:r>
      <w:r>
        <w:t xml:space="preserve"> considerably </w:t>
      </w:r>
      <w:r w:rsidRPr="005259E7">
        <w:t xml:space="preserve">– with articulated trucks contributing most </w:t>
      </w:r>
      <w:r>
        <w:t>of</w:t>
      </w:r>
      <w:r w:rsidRPr="005259E7">
        <w:t xml:space="preserve"> this </w:t>
      </w:r>
      <w:r>
        <w:t xml:space="preserve">growth </w:t>
      </w:r>
      <w:r w:rsidRPr="005259E7">
        <w:t>(figure</w:t>
      </w:r>
      <w:r>
        <w:t> </w:t>
      </w:r>
      <w:r w:rsidRPr="005259E7">
        <w:t>1)</w:t>
      </w:r>
      <w:r w:rsidRPr="00D000E9">
        <w:t xml:space="preserve">. </w:t>
      </w:r>
      <w:r>
        <w:t xml:space="preserve">Past increases in productivity were associated with </w:t>
      </w:r>
      <w:r w:rsidRPr="006923B8">
        <w:rPr>
          <w:rFonts w:ascii="Arial" w:hAnsi="Arial" w:cs="Arial"/>
          <w:color w:val="000000"/>
        </w:rPr>
        <w:t xml:space="preserve">improvements </w:t>
      </w:r>
      <w:r>
        <w:rPr>
          <w:rFonts w:ascii="Arial" w:hAnsi="Arial" w:cs="Arial"/>
          <w:color w:val="000000"/>
        </w:rPr>
        <w:t>such as</w:t>
      </w:r>
      <w:r w:rsidRPr="006923B8">
        <w:rPr>
          <w:rFonts w:ascii="Arial" w:hAnsi="Arial" w:cs="Arial"/>
          <w:color w:val="000000"/>
        </w:rPr>
        <w:t xml:space="preserve"> increased B</w:t>
      </w:r>
      <w:r>
        <w:rPr>
          <w:rFonts w:ascii="Arial" w:hAnsi="Arial" w:cs="Arial"/>
          <w:color w:val="000000"/>
        </w:rPr>
        <w:noBreakHyphen/>
      </w:r>
      <w:r w:rsidRPr="006923B8">
        <w:rPr>
          <w:rFonts w:ascii="Arial" w:hAnsi="Arial" w:cs="Arial"/>
          <w:color w:val="000000"/>
        </w:rPr>
        <w:t>double access</w:t>
      </w:r>
      <w:r>
        <w:rPr>
          <w:rFonts w:ascii="Arial" w:hAnsi="Arial" w:cs="Arial"/>
          <w:color w:val="000000"/>
        </w:rPr>
        <w:t xml:space="preserve"> to roads, which</w:t>
      </w:r>
      <w:r w:rsidRPr="006923B8">
        <w:rPr>
          <w:rFonts w:ascii="Arial" w:hAnsi="Arial" w:cs="Arial"/>
          <w:color w:val="000000"/>
        </w:rPr>
        <w:t xml:space="preserve"> boosted payload capacity</w:t>
      </w:r>
      <w:r>
        <w:rPr>
          <w:rFonts w:ascii="Arial" w:hAnsi="Arial" w:cs="Arial"/>
          <w:color w:val="000000"/>
        </w:rPr>
        <w:t xml:space="preserve"> </w:t>
      </w:r>
      <w:r w:rsidRPr="00C41689">
        <w:rPr>
          <w:rFonts w:ascii="Arial" w:hAnsi="Arial" w:cs="Arial"/>
        </w:rPr>
        <w:t xml:space="preserve">– the volume of goods trucks </w:t>
      </w:r>
      <w:proofErr w:type="gramStart"/>
      <w:r w:rsidRPr="00C41689">
        <w:rPr>
          <w:rFonts w:ascii="Arial" w:hAnsi="Arial" w:cs="Arial"/>
        </w:rPr>
        <w:t>are</w:t>
      </w:r>
      <w:proofErr w:type="gramEnd"/>
      <w:r w:rsidRPr="00C41689">
        <w:rPr>
          <w:rFonts w:ascii="Arial" w:hAnsi="Arial" w:cs="Arial"/>
        </w:rPr>
        <w:t xml:space="preserve"> able to transport on any given trip – by</w:t>
      </w:r>
      <w:r w:rsidRPr="00A6318D">
        <w:rPr>
          <w:rFonts w:ascii="Arial" w:hAnsi="Arial" w:cs="Arial"/>
        </w:rPr>
        <w:t xml:space="preserve"> </w:t>
      </w:r>
      <w:r w:rsidRPr="006923B8">
        <w:rPr>
          <w:rFonts w:ascii="Arial" w:hAnsi="Arial" w:cs="Arial"/>
          <w:color w:val="000000"/>
        </w:rPr>
        <w:t xml:space="preserve">about 50% </w:t>
      </w:r>
      <w:r>
        <w:rPr>
          <w:rFonts w:ascii="Arial" w:hAnsi="Arial" w:cs="Arial"/>
          <w:color w:val="000000"/>
        </w:rPr>
        <w:t xml:space="preserve">per vehicle kilometre </w:t>
      </w:r>
      <w:r w:rsidRPr="006923B8">
        <w:rPr>
          <w:rFonts w:ascii="Arial" w:hAnsi="Arial" w:cs="Arial"/>
          <w:color w:val="000000"/>
        </w:rPr>
        <w:t>without greatly increasing road wear</w:t>
      </w:r>
      <w:r>
        <w:rPr>
          <w:rFonts w:ascii="Arial" w:hAnsi="Arial" w:cs="Arial"/>
          <w:color w:val="000000"/>
        </w:rPr>
        <w:t xml:space="preserve">. </w:t>
      </w:r>
    </w:p>
    <w:p w14:paraId="051D913C" w14:textId="77777777" w:rsidR="007F22AA" w:rsidRDefault="007F22AA" w:rsidP="00273C8A">
      <w:pPr>
        <w:pStyle w:val="BodyText"/>
      </w:pPr>
      <w:r w:rsidDel="00E359EE">
        <w:rPr>
          <w:rFonts w:ascii="Arial" w:hAnsi="Arial" w:cs="Arial"/>
          <w:color w:val="000000"/>
        </w:rPr>
        <w:t>However, over the past decade</w:t>
      </w:r>
      <w:r>
        <w:rPr>
          <w:rFonts w:ascii="Arial" w:hAnsi="Arial" w:cs="Arial"/>
          <w:color w:val="000000"/>
        </w:rPr>
        <w:t xml:space="preserve"> and a </w:t>
      </w:r>
      <w:r w:rsidRPr="00EE52EA">
        <w:rPr>
          <w:rFonts w:ascii="Arial" w:hAnsi="Arial" w:cs="Arial"/>
          <w:color w:val="000000"/>
        </w:rPr>
        <w:t>half</w:t>
      </w:r>
      <w:r w:rsidRPr="00EE52EA" w:rsidDel="00E359EE">
        <w:rPr>
          <w:rFonts w:ascii="Arial" w:hAnsi="Arial" w:cs="Arial"/>
          <w:color w:val="000000"/>
        </w:rPr>
        <w:t xml:space="preserve">, </w:t>
      </w:r>
      <w:r>
        <w:t xml:space="preserve">growth in the </w:t>
      </w:r>
      <w:r w:rsidDel="00E359EE">
        <w:t>physical productivity of the road freight sector has effectively slowed to zero</w:t>
      </w:r>
      <w:r>
        <w:t xml:space="preserve">. There are a </w:t>
      </w:r>
      <w:r w:rsidRPr="00EE52EA">
        <w:t>few</w:t>
      </w:r>
      <w:r>
        <w:t xml:space="preserve"> possible reasons for this</w:t>
      </w:r>
      <w:r w:rsidRPr="00EE52EA">
        <w:t>.</w:t>
      </w:r>
    </w:p>
    <w:p w14:paraId="5A595A86" w14:textId="77777777" w:rsidR="007F22AA" w:rsidRPr="00C87784" w:rsidRDefault="007F22AA" w:rsidP="00B03E9F">
      <w:pPr>
        <w:pStyle w:val="ListBullet"/>
      </w:pPr>
      <w:r w:rsidRPr="00C87784">
        <w:t>Most of the growth in heavy vehicles has been in rigid trucks (figure 1), which typically carry less freight than articulated trucks – reflecting their suitability to ‘last mile’ delivery and certain business operations, such as direct delivery from manufacturers to end customers.</w:t>
      </w:r>
      <w:r w:rsidRPr="00C87784" w:rsidDel="00E359EE">
        <w:t xml:space="preserve"> </w:t>
      </w:r>
      <w:r w:rsidRPr="00C87784">
        <w:t>Today, rigid trucks make up over 80% of the heavy vehicle freight fleet.</w:t>
      </w:r>
      <w:r w:rsidRPr="00C87784" w:rsidDel="00E359EE">
        <w:t xml:space="preserve"> </w:t>
      </w:r>
    </w:p>
    <w:p w14:paraId="30F2BB92" w14:textId="77777777" w:rsidR="007F22AA" w:rsidRDefault="007F22AA" w:rsidP="00B03E9F">
      <w:pPr>
        <w:pStyle w:val="ListBullet"/>
      </w:pPr>
      <w:r w:rsidRPr="00C87784">
        <w:t>Previous gains from increasing the capacity of articulated trucks cannot be replicated, as newer, larger heavy vehicle</w:t>
      </w:r>
      <w:r w:rsidRPr="00EE52EA">
        <w:t xml:space="preserve"> combinations offer smaller increases in payload</w:t>
      </w:r>
      <w:r>
        <w:t>.</w:t>
      </w:r>
      <w:r w:rsidRPr="00914299">
        <w:t xml:space="preserve"> </w:t>
      </w:r>
    </w:p>
    <w:p w14:paraId="6B12914D" w14:textId="77777777" w:rsidR="007F22AA" w:rsidRDefault="007F22AA" w:rsidP="00273C8A">
      <w:pPr>
        <w:pStyle w:val="FigureTableHeading"/>
      </w:pPr>
      <w:r>
        <w:t>Figure 1 – Heavy vehicle productivity and number of heavy vehicles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7F22AA" w:rsidRPr="008A57C9" w14:paraId="333CEB4C" w14:textId="77777777" w:rsidTr="00273C8A">
        <w:tc>
          <w:tcPr>
            <w:tcW w:w="4814" w:type="dxa"/>
          </w:tcPr>
          <w:p w14:paraId="30734750" w14:textId="77777777" w:rsidR="00BB1F00" w:rsidRPr="008A57C9" w:rsidRDefault="007F22AA" w:rsidP="008A57C9">
            <w:pPr>
              <w:pStyle w:val="BodyText"/>
              <w:rPr>
                <w:b/>
                <w:bCs/>
              </w:rPr>
            </w:pPr>
            <w:r w:rsidRPr="008A57C9">
              <w:rPr>
                <w:b/>
                <w:bCs/>
              </w:rPr>
              <w:t>a. Number of heavy vehicles (000s)</w:t>
            </w:r>
            <w:r w:rsidR="00BB1F00" w:rsidRPr="008A57C9">
              <w:rPr>
                <w:b/>
                <w:bCs/>
              </w:rPr>
              <w:br/>
            </w:r>
          </w:p>
          <w:p w14:paraId="58F4523A" w14:textId="386FB4AE" w:rsidR="007F22AA" w:rsidRPr="008A57C9" w:rsidRDefault="007F22AA" w:rsidP="008A57C9">
            <w:pPr>
              <w:pStyle w:val="BodyText"/>
              <w:rPr>
                <w:b/>
                <w:bCs/>
              </w:rPr>
            </w:pPr>
            <w:r w:rsidRPr="008A57C9">
              <w:rPr>
                <w:b/>
                <w:bCs/>
                <w:noProof/>
              </w:rPr>
              <w:drawing>
                <wp:inline distT="0" distB="0" distL="0" distR="0" wp14:anchorId="39A47F95" wp14:editId="76BF37DD">
                  <wp:extent cx="2990850" cy="2705100"/>
                  <wp:effectExtent l="0" t="0" r="0" b="0"/>
                  <wp:docPr id="1579067052" name="Picture 1" descr="Figure 1 panel a. This chart shows the number of heavy vehicles, separated by rigid and articulated trucks, from 1991 to 2024. Most of the growth in heavy vehicles has been in rigid trucks. The number of rigid trucks grew from about 330,000 to 630,000, while articulated trucks grew from about 50,000 to 125,00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067052" name="Picture 1" descr="Figure 1 panel a. This chart shows the number of heavy vehicles, separated by rigid and articulated trucks, from 1991 to 2024. Most of the growth in heavy vehicles has been in rigid trucks. The number of rigid trucks grew from about 330,000 to 630,000, while articulated trucks grew from about 50,000 to 125,000.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990850" cy="2705100"/>
                          </a:xfrm>
                          <a:prstGeom prst="rect">
                            <a:avLst/>
                          </a:prstGeom>
                          <a:noFill/>
                          <a:ln>
                            <a:noFill/>
                          </a:ln>
                        </pic:spPr>
                      </pic:pic>
                    </a:graphicData>
                  </a:graphic>
                </wp:inline>
              </w:drawing>
            </w:r>
          </w:p>
        </w:tc>
        <w:tc>
          <w:tcPr>
            <w:tcW w:w="4814" w:type="dxa"/>
          </w:tcPr>
          <w:p w14:paraId="30036924" w14:textId="77777777" w:rsidR="007F22AA" w:rsidRPr="008A57C9" w:rsidRDefault="007F22AA" w:rsidP="008A57C9">
            <w:pPr>
              <w:pStyle w:val="BodyText"/>
              <w:rPr>
                <w:b/>
                <w:bCs/>
              </w:rPr>
            </w:pPr>
            <w:r w:rsidRPr="008A57C9">
              <w:rPr>
                <w:b/>
                <w:bCs/>
              </w:rPr>
              <w:t>b. Physical productivity (tonne kilometres per vehicle kilometre travelled)</w:t>
            </w:r>
          </w:p>
          <w:p w14:paraId="0DE55D67" w14:textId="77777777" w:rsidR="007F22AA" w:rsidRPr="008A57C9" w:rsidRDefault="007F22AA" w:rsidP="008A57C9">
            <w:pPr>
              <w:pStyle w:val="BodyText"/>
              <w:rPr>
                <w:b/>
                <w:bCs/>
              </w:rPr>
            </w:pPr>
            <w:r w:rsidRPr="008A57C9">
              <w:rPr>
                <w:b/>
                <w:bCs/>
                <w:noProof/>
              </w:rPr>
              <w:drawing>
                <wp:inline distT="0" distB="0" distL="0" distR="0" wp14:anchorId="20CF1718" wp14:editId="43B5A64C">
                  <wp:extent cx="2990850" cy="2724150"/>
                  <wp:effectExtent l="0" t="0" r="0" b="0"/>
                  <wp:docPr id="1990344682" name="Picture 2" descr="Figure 1 panel b. This chart shows the physical productivity of rigid and articulated trucks from 1975 to 2024 as measured by tonne kilometres per vehicle kilometre travelled. The physical productivity of articulated trucks grew strongly between 1975 and 2009 but has since slowed. Growth in the physical productivity of rigid trucks has been much more mu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344682" name="Picture 2" descr="Figure 1 panel b. This chart shows the physical productivity of rigid and articulated trucks from 1975 to 2024 as measured by tonne kilometres per vehicle kilometre travelled. The physical productivity of articulated trucks grew strongly between 1975 and 2009 but has since slowed. Growth in the physical productivity of rigid trucks has been much more mu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90850" cy="2724150"/>
                          </a:xfrm>
                          <a:prstGeom prst="rect">
                            <a:avLst/>
                          </a:prstGeom>
                          <a:noFill/>
                          <a:ln>
                            <a:noFill/>
                          </a:ln>
                        </pic:spPr>
                      </pic:pic>
                    </a:graphicData>
                  </a:graphic>
                </wp:inline>
              </w:drawing>
            </w:r>
          </w:p>
        </w:tc>
      </w:tr>
    </w:tbl>
    <w:p w14:paraId="1179858D" w14:textId="77777777" w:rsidR="007F22AA" w:rsidRPr="00C87784" w:rsidRDefault="007F22AA" w:rsidP="00273C8A">
      <w:pPr>
        <w:pStyle w:val="BodyText"/>
        <w:rPr>
          <w:spacing w:val="-4"/>
        </w:rPr>
      </w:pPr>
      <w:r w:rsidRPr="00C87784">
        <w:rPr>
          <w:spacing w:val="-4"/>
        </w:rPr>
        <w:t>The road freight task has grown in line with economic activity and the expansion of e</w:t>
      </w:r>
      <w:r w:rsidRPr="00C87784">
        <w:rPr>
          <w:spacing w:val="-4"/>
        </w:rPr>
        <w:noBreakHyphen/>
        <w:t>commerce. Despite continuing investments in alternative freight modes, demand for road freight is expected to grow by 77% in volume between 2020 and 2050, driven in part by a continued reliance on road</w:t>
      </w:r>
      <w:r w:rsidRPr="00C87784" w:rsidDel="005B502A">
        <w:rPr>
          <w:spacing w:val="-4"/>
        </w:rPr>
        <w:t xml:space="preserve"> vehicles </w:t>
      </w:r>
      <w:r w:rsidRPr="00C87784">
        <w:rPr>
          <w:spacing w:val="-4"/>
        </w:rPr>
        <w:t>for ‘last mile’ distribution.</w:t>
      </w:r>
    </w:p>
    <w:p w14:paraId="7E053D72" w14:textId="77777777" w:rsidR="007F22AA" w:rsidRDefault="007F22AA" w:rsidP="00273C8A">
      <w:pPr>
        <w:pStyle w:val="BodyText"/>
        <w:rPr>
          <w:rFonts w:ascii="Arial" w:hAnsi="Arial" w:cs="Arial"/>
          <w:color w:val="000000"/>
        </w:rPr>
      </w:pPr>
      <w:r>
        <w:rPr>
          <w:rFonts w:ascii="Arial" w:hAnsi="Arial" w:cs="Arial"/>
          <w:color w:val="000000"/>
        </w:rPr>
        <w:t>Future productivity gains are likely to be more incremental and depend on smarter vehicle design and network use.</w:t>
      </w:r>
      <w:r w:rsidRPr="001E628F">
        <w:rPr>
          <w:rFonts w:ascii="Segoe UI" w:hAnsi="Segoe UI" w:cs="Segoe UI"/>
          <w:sz w:val="18"/>
          <w:szCs w:val="18"/>
        </w:rPr>
        <w:t xml:space="preserve"> </w:t>
      </w:r>
      <w:r w:rsidRPr="001E628F">
        <w:rPr>
          <w:rFonts w:ascii="Arial" w:hAnsi="Arial" w:cs="Arial"/>
          <w:color w:val="000000"/>
        </w:rPr>
        <w:t xml:space="preserve">However, a broader view of heavy vehicle transport performance is also important. This includes how effectively the sector uses capital, labour and energy, and the extent to which it reduces negative externalities, such as greenhouse gas emissions. </w:t>
      </w:r>
      <w:r>
        <w:rPr>
          <w:rFonts w:ascii="Arial" w:hAnsi="Arial" w:cs="Arial"/>
          <w:color w:val="000000"/>
        </w:rPr>
        <w:t>From a whole</w:t>
      </w:r>
      <w:r>
        <w:rPr>
          <w:rFonts w:ascii="Arial" w:hAnsi="Arial" w:cs="Arial"/>
          <w:color w:val="000000"/>
        </w:rPr>
        <w:noBreakHyphen/>
        <w:t>of</w:t>
      </w:r>
      <w:r>
        <w:rPr>
          <w:rFonts w:ascii="Arial" w:hAnsi="Arial" w:cs="Arial"/>
          <w:color w:val="000000"/>
        </w:rPr>
        <w:noBreakHyphen/>
        <w:t xml:space="preserve">sector perspective, </w:t>
      </w:r>
      <w:r w:rsidRPr="00EE52EA">
        <w:rPr>
          <w:rFonts w:ascii="Arial" w:hAnsi="Arial" w:cs="Arial"/>
          <w:color w:val="000000"/>
        </w:rPr>
        <w:t>incremental gains in productivity will complement investments being made by users of freight services to</w:t>
      </w:r>
      <w:r>
        <w:rPr>
          <w:rFonts w:ascii="Arial" w:hAnsi="Arial" w:cs="Arial"/>
          <w:color w:val="000000"/>
        </w:rPr>
        <w:t xml:space="preserve"> optimise </w:t>
      </w:r>
      <w:r w:rsidRPr="00E20466">
        <w:rPr>
          <w:rFonts w:ascii="Arial" w:hAnsi="Arial" w:cs="Arial"/>
          <w:color w:val="000000"/>
        </w:rPr>
        <w:t>modal transport options,</w:t>
      </w:r>
      <w:r w:rsidRPr="006A135D">
        <w:rPr>
          <w:rFonts w:ascii="Arial" w:hAnsi="Arial" w:cs="Arial"/>
          <w:color w:val="000000"/>
        </w:rPr>
        <w:t xml:space="preserve"> </w:t>
      </w:r>
      <w:r>
        <w:rPr>
          <w:rFonts w:ascii="Arial" w:hAnsi="Arial" w:cs="Arial"/>
          <w:color w:val="000000"/>
        </w:rPr>
        <w:t>warehousing, distribution and supply chains.</w:t>
      </w:r>
    </w:p>
    <w:p w14:paraId="2A134CB4" w14:textId="77777777" w:rsidR="007F22AA" w:rsidRDefault="007F22AA" w:rsidP="00273C8A">
      <w:pPr>
        <w:pStyle w:val="Heading2-nonumber"/>
      </w:pPr>
      <w:bookmarkStart w:id="9" w:name="_Toc225342371"/>
      <w:bookmarkStart w:id="10" w:name="_Toc225780230"/>
      <w:r>
        <w:lastRenderedPageBreak/>
        <w:t>Deploying</w:t>
      </w:r>
      <w:r w:rsidDel="0030108D">
        <w:t xml:space="preserve"> </w:t>
      </w:r>
      <w:r>
        <w:t>new technologies can re</w:t>
      </w:r>
      <w:r>
        <w:noBreakHyphen/>
        <w:t>start growth</w:t>
      </w:r>
      <w:bookmarkEnd w:id="9"/>
      <w:bookmarkEnd w:id="10"/>
    </w:p>
    <w:p w14:paraId="41726CD5" w14:textId="77777777" w:rsidR="007F22AA" w:rsidRDefault="007F22AA" w:rsidP="00273C8A">
      <w:pPr>
        <w:pStyle w:val="BodyText"/>
      </w:pPr>
      <w:r w:rsidRPr="005C578A">
        <w:rPr>
          <w:rFonts w:ascii="Arial" w:hAnsi="Arial" w:cs="Arial"/>
          <w:color w:val="000000"/>
        </w:rPr>
        <w:t>High productivity vehicles,</w:t>
      </w:r>
      <w:r w:rsidRPr="005C578A" w:rsidDel="00B27601">
        <w:rPr>
          <w:rFonts w:ascii="Arial" w:hAnsi="Arial" w:cs="Arial"/>
          <w:color w:val="000000"/>
        </w:rPr>
        <w:t xml:space="preserve"> </w:t>
      </w:r>
      <w:r w:rsidRPr="005C578A">
        <w:rPr>
          <w:rFonts w:ascii="Arial" w:hAnsi="Arial" w:cs="Arial"/>
          <w:color w:val="000000"/>
        </w:rPr>
        <w:t>heavy zero emission</w:t>
      </w:r>
      <w:r>
        <w:rPr>
          <w:rFonts w:ascii="Arial" w:hAnsi="Arial" w:cs="Arial"/>
          <w:color w:val="000000"/>
        </w:rPr>
        <w:t>s</w:t>
      </w:r>
      <w:r w:rsidRPr="005C578A">
        <w:rPr>
          <w:rFonts w:ascii="Arial" w:hAnsi="Arial" w:cs="Arial"/>
          <w:color w:val="000000"/>
        </w:rPr>
        <w:t xml:space="preserve"> vehicles, automated permits and </w:t>
      </w:r>
      <w:r>
        <w:rPr>
          <w:rFonts w:ascii="Arial" w:hAnsi="Arial" w:cs="Arial"/>
          <w:color w:val="000000"/>
        </w:rPr>
        <w:t xml:space="preserve">telematics can all enable a productivity uplift if deployed well. </w:t>
      </w:r>
      <w:r>
        <w:t xml:space="preserve">But these opportunities will only be realised if governments collaborate to remove regulatory and other barriers to </w:t>
      </w:r>
      <w:r w:rsidRPr="005C578A">
        <w:t>innovation and investment</w:t>
      </w:r>
      <w:r>
        <w:t xml:space="preserve">. </w:t>
      </w:r>
    </w:p>
    <w:p w14:paraId="5DC6003E" w14:textId="77777777" w:rsidR="007F22AA" w:rsidRDefault="007F22AA" w:rsidP="00273C8A">
      <w:pPr>
        <w:pStyle w:val="BodyText"/>
      </w:pPr>
      <w:r>
        <w:t>More needs to be done to ensure that regulatory settings and decision</w:t>
      </w:r>
      <w:r>
        <w:noBreakHyphen/>
        <w:t>making frameworks support optimal decision</w:t>
      </w:r>
      <w:r>
        <w:rPr>
          <w:rFonts w:ascii="Cambria Math" w:hAnsi="Cambria Math"/>
        </w:rPr>
        <w:t>‑</w:t>
      </w:r>
      <w:r>
        <w:t xml:space="preserve">making by both governments and heavy vehicle operators. </w:t>
      </w:r>
      <w:r w:rsidRPr="00167CD8">
        <w:t>Heavy vehicles represent significant, long</w:t>
      </w:r>
      <w:r>
        <w:noBreakHyphen/>
      </w:r>
      <w:r w:rsidRPr="00167CD8">
        <w:t>lived investments for freight operators, and fleet turnover occurs gradually.</w:t>
      </w:r>
      <w:r>
        <w:t xml:space="preserve"> </w:t>
      </w:r>
      <w:r w:rsidRPr="00167CD8">
        <w:t>Australia</w:t>
      </w:r>
      <w:r>
        <w:t>’s</w:t>
      </w:r>
      <w:r w:rsidRPr="00167CD8">
        <w:t xml:space="preserve"> </w:t>
      </w:r>
      <w:r>
        <w:t>truck</w:t>
      </w:r>
      <w:r w:rsidRPr="00167CD8">
        <w:t xml:space="preserve"> fleet </w:t>
      </w:r>
      <w:r>
        <w:t xml:space="preserve">has a median age of 15 years, which </w:t>
      </w:r>
      <w:r w:rsidRPr="00167CD8">
        <w:t xml:space="preserve">is </w:t>
      </w:r>
      <w:r>
        <w:t>significantly older than other OECD countries</w:t>
      </w:r>
      <w:r w:rsidRPr="00E11F63">
        <w:t>.</w:t>
      </w:r>
      <w:r>
        <w:t xml:space="preserve"> Vehicle access to roads and design rules are also factors that can limit fleet transition. R</w:t>
      </w:r>
      <w:r w:rsidRPr="00A711BF">
        <w:t>ight now, the safest, most productive and lowe</w:t>
      </w:r>
      <w:r>
        <w:t>st</w:t>
      </w:r>
      <w:r w:rsidRPr="00A711BF">
        <w:t xml:space="preserve"> emission heavy vehicles face more barriers to get on the road than a standard ‘prescriptive’ heavy vehicle</w:t>
      </w:r>
      <w:r w:rsidRPr="00EE52EA">
        <w:t>. As</w:t>
      </w:r>
      <w:r w:rsidRPr="00A711BF">
        <w:t xml:space="preserve"> a result</w:t>
      </w:r>
      <w:r>
        <w:t xml:space="preserve">, potential productivity gains and safety improvements may not be fully realised. </w:t>
      </w:r>
    </w:p>
    <w:p w14:paraId="217A0CDA" w14:textId="77777777" w:rsidR="00EC0E8F" w:rsidRDefault="007F22AA" w:rsidP="00FE0EF3">
      <w:pPr>
        <w:pStyle w:val="BodyText"/>
      </w:pPr>
      <w:r>
        <w:t xml:space="preserve">Opportunities to reduce emissions are also </w:t>
      </w:r>
      <w:r w:rsidRPr="008C1219">
        <w:t>being missed – the Australian Government has a goal of achieving net zero emissions by 2050, but</w:t>
      </w:r>
      <w:r>
        <w:t xml:space="preserve"> some regulatory settings for heavy vehicles are actively working against this. In addition to supporting the transition to net zero, increasing fleet efficiency and the use of HZEVs can improve supply chain resilience and reduce the Australian economy’s exposure to geopolitical and supply chain disruptions. </w:t>
      </w:r>
    </w:p>
    <w:p w14:paraId="100434B3" w14:textId="3338B4BA" w:rsidR="007F22AA" w:rsidRDefault="007F22AA" w:rsidP="00273C8A">
      <w:pPr>
        <w:pStyle w:val="BodyText"/>
      </w:pPr>
      <w:r>
        <w:t>Governments are working together on new national approaches. For example, the</w:t>
      </w:r>
      <w:r w:rsidDel="00450A4B">
        <w:t xml:space="preserve"> </w:t>
      </w:r>
      <w:r>
        <w:t xml:space="preserve">National Automated Access System (NAAS) seeks to reduce the number of permits needed by heavy </w:t>
      </w:r>
      <w:r w:rsidRPr="002C2437">
        <w:t xml:space="preserve">vehicle operators to access roads (and </w:t>
      </w:r>
      <w:r w:rsidRPr="00F17317">
        <w:t>make it easier for operators to apply for any permits</w:t>
      </w:r>
      <w:r w:rsidRPr="002C2437">
        <w:t xml:space="preserve"> they do need</w:t>
      </w:r>
      <w:r w:rsidRPr="005C578A">
        <w:t>)</w:t>
      </w:r>
      <w:r>
        <w:t xml:space="preserve">. This has the </w:t>
      </w:r>
      <w:r w:rsidRPr="005C578A">
        <w:t>potential to improve the productivity of the sector by reducing regulatory and administrative burden</w:t>
      </w:r>
      <w:r>
        <w:t>. Governments are also looking to introduce national consistency and higher standards of training and licensing through reforms to the National Heavy Vehicle Driver Competency Framework, which are expected</w:t>
      </w:r>
      <w:r w:rsidRPr="005C578A">
        <w:t xml:space="preserve"> to improve the supply of safe and competent heavy vehicle drivers.</w:t>
      </w:r>
    </w:p>
    <w:p w14:paraId="0C667944" w14:textId="32CAF846" w:rsidR="007F22AA" w:rsidRPr="001A704D" w:rsidRDefault="007F22AA" w:rsidP="00273C8A">
      <w:pPr>
        <w:pStyle w:val="BodyText"/>
      </w:pPr>
      <w:r>
        <w:t xml:space="preserve">Individual jurisdictions are also pursing reforms which are demonstrating the application of new technologies or regulatory approaches and are creating useful reference cases for national reforms. The Tasmanian Government developed its Heavy Vehicle Access Management System in 2016, which is now providing the foundation for the NAAS. In addition, the Victorian Government rolled out its </w:t>
      </w:r>
      <w:r w:rsidRPr="004D5C54">
        <w:t>Heavy Vehicle Structural Assessment Permit System</w:t>
      </w:r>
      <w:r>
        <w:t xml:space="preserve"> this year, which allows manufacturers and operators to quickly assess whether their vehicles can safely operate over Victorian state bridges.</w:t>
      </w:r>
      <w:r w:rsidRPr="001A704D">
        <w:rPr>
          <w:rFonts w:ascii="Arial" w:hAnsi="Arial" w:cs="Arial"/>
          <w:shd w:val="clear" w:color="auto" w:fill="FFFFFF"/>
        </w:rPr>
        <w:t xml:space="preserve"> </w:t>
      </w:r>
      <w:r>
        <w:t>Several state and territory</w:t>
      </w:r>
      <w:r w:rsidRPr="001A704D">
        <w:t xml:space="preserve"> </w:t>
      </w:r>
      <w:r>
        <w:t>g</w:t>
      </w:r>
      <w:r w:rsidRPr="001A704D">
        <w:t>overnment</w:t>
      </w:r>
      <w:r>
        <w:t>s</w:t>
      </w:r>
      <w:r w:rsidRPr="001A704D">
        <w:t xml:space="preserve"> ha</w:t>
      </w:r>
      <w:r>
        <w:t>ve</w:t>
      </w:r>
      <w:r w:rsidRPr="001A704D">
        <w:t> amended the definition</w:t>
      </w:r>
      <w:r>
        <w:t xml:space="preserve">s used for their service centres </w:t>
      </w:r>
      <w:r w:rsidRPr="001A704D">
        <w:t xml:space="preserve">to include </w:t>
      </w:r>
      <w:r>
        <w:t>electric vehicle</w:t>
      </w:r>
      <w:r w:rsidRPr="001A704D">
        <w:t xml:space="preserve"> charging.</w:t>
      </w:r>
    </w:p>
    <w:p w14:paraId="5246EF0F" w14:textId="77777777" w:rsidR="007F22AA" w:rsidRPr="005A05CD" w:rsidRDefault="007F22AA" w:rsidP="00273C8A">
      <w:pPr>
        <w:pStyle w:val="Heading2-nonumber"/>
      </w:pPr>
      <w:bookmarkStart w:id="11" w:name="_Toc225342372"/>
      <w:bookmarkStart w:id="12" w:name="_Toc225780231"/>
      <w:r>
        <w:t>The PC is examining five heavy vehicle reform areas</w:t>
      </w:r>
      <w:bookmarkEnd w:id="11"/>
      <w:bookmarkEnd w:id="12"/>
      <w:r>
        <w:t xml:space="preserve"> </w:t>
      </w:r>
    </w:p>
    <w:p w14:paraId="064DE5A0" w14:textId="77777777" w:rsidR="007F22AA" w:rsidRDefault="007F22AA" w:rsidP="00273C8A">
      <w:r>
        <w:t>The PC has been asked to provide analysis and modelling across five reform areas:</w:t>
      </w:r>
    </w:p>
    <w:p w14:paraId="756ED010" w14:textId="77777777" w:rsidR="007F22AA" w:rsidRPr="00936530" w:rsidRDefault="007F22AA" w:rsidP="00B03E9F">
      <w:pPr>
        <w:pStyle w:val="ListBullet"/>
      </w:pPr>
      <w:r w:rsidRPr="00936530">
        <w:t>increasing heavy vehicle road access to reduce emissions and increase productivity</w:t>
      </w:r>
    </w:p>
    <w:p w14:paraId="3730E4B5" w14:textId="77777777" w:rsidR="007F22AA" w:rsidRPr="00936530" w:rsidRDefault="007F22AA" w:rsidP="00B03E9F">
      <w:pPr>
        <w:pStyle w:val="ListBullet"/>
      </w:pPr>
      <w:r w:rsidRPr="00936530">
        <w:t>accelerating the establishment of a NAAS to streamline road access decision</w:t>
      </w:r>
      <w:r w:rsidRPr="00936530">
        <w:rPr>
          <w:rFonts w:ascii="Cambria Math" w:hAnsi="Cambria Math" w:cs="Cambria Math"/>
        </w:rPr>
        <w:t>‑</w:t>
      </w:r>
      <w:r w:rsidRPr="00936530">
        <w:t>making for all heavy vehicles</w:t>
      </w:r>
    </w:p>
    <w:p w14:paraId="69C2C6FF" w14:textId="77777777" w:rsidR="007F22AA" w:rsidRPr="00936530" w:rsidRDefault="007F22AA" w:rsidP="00B03E9F">
      <w:pPr>
        <w:pStyle w:val="ListBullet"/>
      </w:pPr>
      <w:r w:rsidRPr="00936530">
        <w:t>removing administrative and regulatory barriers to improve the availability of heavy zero emissions vehicle charging infrastructure</w:t>
      </w:r>
    </w:p>
    <w:p w14:paraId="70591D45" w14:textId="77777777" w:rsidR="007F22AA" w:rsidRDefault="007F22AA" w:rsidP="00B03E9F">
      <w:pPr>
        <w:pStyle w:val="ListBullet"/>
      </w:pPr>
      <w:r w:rsidRPr="00936530">
        <w:t>reducing</w:t>
      </w:r>
      <w:r w:rsidRPr="00E86745">
        <w:t xml:space="preserve"> or removing curfews for </w:t>
      </w:r>
      <w:r>
        <w:t>heavy zero emissions vehicles</w:t>
      </w:r>
    </w:p>
    <w:p w14:paraId="25C4CAD7" w14:textId="77777777" w:rsidR="007F22AA" w:rsidRPr="00E86745" w:rsidRDefault="007F22AA" w:rsidP="00B03E9F">
      <w:pPr>
        <w:pStyle w:val="ListBullet"/>
      </w:pPr>
      <w:r>
        <w:t>a</w:t>
      </w:r>
      <w:r w:rsidRPr="00E86745">
        <w:t>ccelerating implementation of the National Heavy Vehicle Driver Competency Framework.</w:t>
      </w:r>
    </w:p>
    <w:p w14:paraId="09A66DCE" w14:textId="77777777" w:rsidR="007F22AA" w:rsidRDefault="007F22AA" w:rsidP="00273C8A">
      <w:pPr>
        <w:spacing w:after="160" w:line="278" w:lineRule="auto"/>
      </w:pPr>
      <w:r w:rsidRPr="00E8405A">
        <w:t xml:space="preserve">The </w:t>
      </w:r>
      <w:r w:rsidRPr="00EE52EA">
        <w:t>request</w:t>
      </w:r>
      <w:r w:rsidRPr="00E8405A">
        <w:t xml:space="preserve"> for </w:t>
      </w:r>
      <w:r w:rsidRPr="00EE52EA">
        <w:t>advice</w:t>
      </w:r>
      <w:r w:rsidRPr="00E8405A">
        <w:t xml:space="preserve"> asks </w:t>
      </w:r>
      <w:r>
        <w:t>the PC</w:t>
      </w:r>
      <w:r w:rsidRPr="00E8405A">
        <w:t xml:space="preserve"> to provide a detailed assessment of the economic and revenue impacts</w:t>
      </w:r>
      <w:r>
        <w:t xml:space="preserve"> of each reform area – </w:t>
      </w:r>
      <w:r w:rsidRPr="00E8405A">
        <w:t xml:space="preserve">nationally and disaggregated by distributional groups, industries and levels of </w:t>
      </w:r>
      <w:r w:rsidRPr="005A05CD">
        <w:lastRenderedPageBreak/>
        <w:t xml:space="preserve">government. </w:t>
      </w:r>
      <w:r>
        <w:t xml:space="preserve">In providing analysis and modelling, it has become clear that there are interlinkages and shared challenges and opportunities across most reform areas, and not all have the same potential to deliver productivity benefits. </w:t>
      </w:r>
    </w:p>
    <w:p w14:paraId="50CF2731" w14:textId="77777777" w:rsidR="007F22AA" w:rsidRDefault="007F22AA" w:rsidP="00273C8A">
      <w:pPr>
        <w:spacing w:after="160" w:line="278" w:lineRule="auto"/>
      </w:pPr>
      <w:r>
        <w:t>The largest potential productivity benefits will arise from reforms that increase access to Australia’s road network</w:t>
      </w:r>
      <w:r w:rsidRPr="00463CEA">
        <w:t xml:space="preserve"> </w:t>
      </w:r>
      <w:r>
        <w:t>for high productivity vehicles. Two reform areas – increasing heavy vehicle road access and the establishment of the NAAS – can enable this. However, the size of their potential impact will depend on the scope and ambition of their design and implementation.</w:t>
      </w:r>
    </w:p>
    <w:p w14:paraId="361F54D9" w14:textId="77777777" w:rsidR="007F22AA" w:rsidRDefault="007F22AA" w:rsidP="00273C8A">
      <w:pPr>
        <w:spacing w:after="160" w:line="278" w:lineRule="auto"/>
      </w:pPr>
      <w:r>
        <w:t>Reforms that work towards ‘as</w:t>
      </w:r>
      <w:r>
        <w:noBreakHyphen/>
        <w:t>of</w:t>
      </w:r>
      <w:r>
        <w:noBreakHyphen/>
        <w:t>right’ access – reducing the time and costs associated with applying for a permit for pre</w:t>
      </w:r>
      <w:r>
        <w:noBreakHyphen/>
        <w:t>approved vehicles driving on pre</w:t>
      </w:r>
      <w:r>
        <w:noBreakHyphen/>
        <w:t>approved roads – should be prioritised. Achieving ‘as</w:t>
      </w:r>
      <w:r>
        <w:noBreakHyphen/>
        <w:t>of</w:t>
      </w:r>
      <w:r>
        <w:noBreakHyphen/>
        <w:t>right’ access will depend on:</w:t>
      </w:r>
    </w:p>
    <w:p w14:paraId="6B06DEB3" w14:textId="77777777" w:rsidR="007F22AA" w:rsidRPr="0020200E" w:rsidRDefault="007F22AA" w:rsidP="00B03E9F">
      <w:pPr>
        <w:pStyle w:val="ListBullet"/>
      </w:pPr>
      <w:r>
        <w:t xml:space="preserve">improvements in </w:t>
      </w:r>
      <w:r w:rsidRPr="0020200E">
        <w:t>the accuracy and comprehensiveness of information – about road quality, and culvert and bridge tolerances and conditions</w:t>
      </w:r>
    </w:p>
    <w:p w14:paraId="019A5904" w14:textId="77777777" w:rsidR="007F22AA" w:rsidRPr="0020200E" w:rsidRDefault="007F22AA" w:rsidP="00B03E9F">
      <w:pPr>
        <w:pStyle w:val="ListBullet"/>
      </w:pPr>
      <w:r w:rsidRPr="0020200E">
        <w:t xml:space="preserve">support from local road managers to allow greater access, while still managing risk </w:t>
      </w:r>
    </w:p>
    <w:p w14:paraId="195595CB" w14:textId="77777777" w:rsidR="007F22AA" w:rsidRPr="00F30CA0" w:rsidRDefault="007F22AA" w:rsidP="00B03E9F">
      <w:pPr>
        <w:pStyle w:val="ListBullet"/>
      </w:pPr>
      <w:r w:rsidRPr="0020200E">
        <w:t>funding arrangements that better align costs and benefits of heavy vehicle access and help to ‘de</w:t>
      </w:r>
      <w:r w:rsidRPr="0020200E">
        <w:noBreakHyphen/>
        <w:t>risk’ provision of access</w:t>
      </w:r>
      <w:r w:rsidRPr="00F30CA0">
        <w:t>, where it would generate net benefits.</w:t>
      </w:r>
    </w:p>
    <w:p w14:paraId="03604E17" w14:textId="77777777" w:rsidR="007F22AA" w:rsidRDefault="007F22AA" w:rsidP="00273C8A">
      <w:pPr>
        <w:spacing w:after="160" w:line="278" w:lineRule="auto"/>
      </w:pPr>
      <w:r>
        <w:t xml:space="preserve">There are also </w:t>
      </w:r>
      <w:proofErr w:type="gramStart"/>
      <w:r>
        <w:t>a number of</w:t>
      </w:r>
      <w:proofErr w:type="gramEnd"/>
      <w:r>
        <w:t xml:space="preserve"> reforms that can be sensibly considered ‘without regret’. This includes simplifying vehicle approval processes and reducing jurisdictional variation that does not serve a clear purpose. For example, the Australian Government could assist with coordinating the</w:t>
      </w:r>
      <w:r w:rsidRPr="009770D1">
        <w:t xml:space="preserve"> introduction of </w:t>
      </w:r>
      <w:r>
        <w:t xml:space="preserve">additional mass allowances </w:t>
      </w:r>
      <w:r w:rsidRPr="009770D1">
        <w:t xml:space="preserve">for </w:t>
      </w:r>
      <w:r>
        <w:t xml:space="preserve">electric </w:t>
      </w:r>
      <w:r w:rsidRPr="009770D1">
        <w:t>heavy zero</w:t>
      </w:r>
      <w:r>
        <w:t xml:space="preserve"> </w:t>
      </w:r>
      <w:r w:rsidRPr="009770D1">
        <w:t xml:space="preserve">emissions vehicles </w:t>
      </w:r>
      <w:r>
        <w:t>across the country, with the potential for jurisdiction</w:t>
      </w:r>
      <w:r>
        <w:noBreakHyphen/>
        <w:t>level trials to provide an evidence base for a nationally consistent framework</w:t>
      </w:r>
      <w:r w:rsidRPr="001178B5">
        <w:rPr>
          <w:color w:val="000000" w:themeColor="text1"/>
        </w:rPr>
        <w:t xml:space="preserve">. </w:t>
      </w:r>
    </w:p>
    <w:p w14:paraId="20A06FF5" w14:textId="77777777" w:rsidR="007F22AA" w:rsidRDefault="007F22AA" w:rsidP="00273C8A">
      <w:pPr>
        <w:pStyle w:val="Heading2-nonumber"/>
      </w:pPr>
      <w:bookmarkStart w:id="13" w:name="_Toc225342373"/>
      <w:bookmarkStart w:id="14" w:name="_Toc225780232"/>
      <w:r w:rsidRPr="00EE52EA">
        <w:t>Road</w:t>
      </w:r>
      <w:r>
        <w:t xml:space="preserve"> access settings need to better balance costs and benefits</w:t>
      </w:r>
      <w:bookmarkEnd w:id="13"/>
      <w:bookmarkEnd w:id="14"/>
    </w:p>
    <w:p w14:paraId="45F3D08D" w14:textId="77777777" w:rsidR="007F22AA" w:rsidRDefault="007F22AA" w:rsidP="00273C8A">
      <w:r>
        <w:t>The regulation of heavy vehicle road access plays an important role in ensuring that the costs associated with road use (including pavement wear and tear and impacts on congestion, amenity and safety) are managed. But the current settings do not support road managers to make optimal trade</w:t>
      </w:r>
      <w:r>
        <w:noBreakHyphen/>
        <w:t xml:space="preserve">offs between the benefits and costs of increasing access. As a result, business and industry face unnecessary costs (via permit processing time and restricted access), and governments, including local governments, are missing opportunities to reduce their administrative load. </w:t>
      </w:r>
    </w:p>
    <w:p w14:paraId="35947871" w14:textId="77777777" w:rsidR="007F22AA" w:rsidRDefault="007F22AA" w:rsidP="00273C8A">
      <w:pPr>
        <w:pStyle w:val="Heading3-noTOC"/>
      </w:pPr>
      <w:r>
        <w:t>Reforms are in train to expand general mass and dimension limits</w:t>
      </w:r>
    </w:p>
    <w:p w14:paraId="1BDD66A9" w14:textId="77777777" w:rsidR="007F22AA" w:rsidRDefault="007F22AA" w:rsidP="00273C8A">
      <w:pPr>
        <w:pStyle w:val="BodyText"/>
      </w:pPr>
      <w:r w:rsidRPr="001F3D7C">
        <w:t>Access reforms</w:t>
      </w:r>
      <w:r>
        <w:t xml:space="preserve"> could improve productivity and reduce heavy vehicle</w:t>
      </w:r>
      <w:r>
        <w:noBreakHyphen/>
        <w:t>related road crashes and emissions by giving operators greater flexibility to plan their trips and investment decisions. One way to improve access is to increase the size of vehicles allowed on designated roads.</w:t>
      </w:r>
    </w:p>
    <w:p w14:paraId="17B8328B" w14:textId="77777777" w:rsidR="007F22AA" w:rsidRDefault="007F22AA" w:rsidP="00273C8A">
      <w:pPr>
        <w:pStyle w:val="BodyText"/>
      </w:pPr>
      <w:r>
        <w:t>P</w:t>
      </w:r>
      <w:r w:rsidRPr="006A5228">
        <w:t xml:space="preserve">roposed reforms to </w:t>
      </w:r>
      <w:r>
        <w:t xml:space="preserve">the </w:t>
      </w:r>
      <w:r w:rsidRPr="006E17CF">
        <w:t>Heavy Vehicle (Mass, Dimension</w:t>
      </w:r>
      <w:r w:rsidRPr="006A5228">
        <w:t xml:space="preserve"> and </w:t>
      </w:r>
      <w:r w:rsidRPr="006E17CF">
        <w:t>Loading) National Regulation</w:t>
      </w:r>
      <w:r>
        <w:t xml:space="preserve"> </w:t>
      </w:r>
      <w:r w:rsidRPr="00AD2306">
        <w:t>are expected to commence on 1</w:t>
      </w:r>
      <w:r>
        <w:t> </w:t>
      </w:r>
      <w:r w:rsidRPr="00AD2306">
        <w:t>July 2026</w:t>
      </w:r>
      <w:r w:rsidRPr="006E17CF">
        <w:t xml:space="preserve">. </w:t>
      </w:r>
      <w:r>
        <w:t xml:space="preserve">These </w:t>
      </w:r>
      <w:r w:rsidRPr="00F91FCD">
        <w:t>reforms</w:t>
      </w:r>
      <w:r>
        <w:t xml:space="preserve"> </w:t>
      </w:r>
      <w:r w:rsidRPr="006E17CF">
        <w:t>includ</w:t>
      </w:r>
      <w:r>
        <w:t>e</w:t>
      </w:r>
      <w:r w:rsidRPr="006A5228">
        <w:t xml:space="preserve"> </w:t>
      </w:r>
      <w:r w:rsidRPr="00E11C9A">
        <w:t xml:space="preserve">uplifting General Mass Limits to Concessional Mass </w:t>
      </w:r>
      <w:proofErr w:type="gramStart"/>
      <w:r w:rsidRPr="00E11C9A">
        <w:t xml:space="preserve">Limits, </w:t>
      </w:r>
      <w:r>
        <w:t>and</w:t>
      </w:r>
      <w:proofErr w:type="gramEnd"/>
      <w:r>
        <w:t xml:space="preserve"> </w:t>
      </w:r>
      <w:r w:rsidRPr="00E11C9A">
        <w:t xml:space="preserve">increasing general length </w:t>
      </w:r>
      <w:r>
        <w:t xml:space="preserve">and height </w:t>
      </w:r>
      <w:r w:rsidRPr="00E11C9A">
        <w:t>limits</w:t>
      </w:r>
      <w:r>
        <w:t xml:space="preserve">. </w:t>
      </w:r>
    </w:p>
    <w:p w14:paraId="1077CD79" w14:textId="77777777" w:rsidR="007F22AA" w:rsidRDefault="007F22AA" w:rsidP="00273C8A">
      <w:pPr>
        <w:pStyle w:val="BodyText"/>
      </w:pPr>
      <w:r>
        <w:t xml:space="preserve">Recent </w:t>
      </w:r>
      <w:r w:rsidRPr="00EE52EA">
        <w:t xml:space="preserve">modelling </w:t>
      </w:r>
      <w:r>
        <w:t xml:space="preserve">has suggested </w:t>
      </w:r>
      <w:r w:rsidRPr="00EE52EA">
        <w:t xml:space="preserve">that </w:t>
      </w:r>
      <w:r>
        <w:t xml:space="preserve">reforms to increase General Mass </w:t>
      </w:r>
      <w:r w:rsidRPr="00EE52EA">
        <w:t>Limits</w:t>
      </w:r>
      <w:r>
        <w:t xml:space="preserve"> could raise road freight sector productivity by between 1.0% and 3.2%, with the range reflecting the scale of the mass limit increases assumed across different </w:t>
      </w:r>
      <w:r w:rsidRPr="00EE52EA">
        <w:t>scenarios. Enabling</w:t>
      </w:r>
      <w:r>
        <w:t xml:space="preserve"> vehicles to carry more freight would mean that fewer total vehicle trips are required to move the same volume of freight. These</w:t>
      </w:r>
      <w:r w:rsidDel="000A2F2A">
        <w:t xml:space="preserve"> </w:t>
      </w:r>
      <w:r>
        <w:t xml:space="preserve">economic benefits significantly </w:t>
      </w:r>
      <w:r>
        <w:lastRenderedPageBreak/>
        <w:t>exceeded the additional costs of road maintenance (BITRE forthcoming). These modelling scenarios serve as a proxy for broader increases in heavy vehicle network access.</w:t>
      </w:r>
    </w:p>
    <w:p w14:paraId="5F125FAA" w14:textId="77777777" w:rsidR="007F22AA" w:rsidRDefault="007F22AA" w:rsidP="00273C8A">
      <w:r>
        <w:t>Improvements in the road freight sector have flow</w:t>
      </w:r>
      <w:r>
        <w:noBreakHyphen/>
        <w:t xml:space="preserve">on effects to the rest of the economy because </w:t>
      </w:r>
      <w:r w:rsidRPr="00EE52EA">
        <w:t>road</w:t>
      </w:r>
      <w:r>
        <w:t xml:space="preserve"> transport services are an input into many other industries. Using the above estimates as inputs for economy</w:t>
      </w:r>
      <w:r>
        <w:noBreakHyphen/>
        <w:t xml:space="preserve">wide modelling, our early results </w:t>
      </w:r>
      <w:r w:rsidRPr="00EE52EA">
        <w:t>suggest</w:t>
      </w:r>
      <w:r>
        <w:t xml:space="preserve"> that access reforms could raise Australian GDP in the order of between 0.035% and 0.148%, or between $</w:t>
      </w:r>
      <w:r w:rsidRPr="00EE52EA">
        <w:t>950</w:t>
      </w:r>
      <w:r>
        <w:t xml:space="preserve"> million and $4.0 billion, with negligible impacts on inflation. These results are driven by different levels of reform ambition, with higher road transport productivity leading to fewer inputs for heavy vehicle operators to conduct their activities, lowering their prices and freeing labour and capital to be used by other domestic industries. </w:t>
      </w:r>
    </w:p>
    <w:p w14:paraId="5EECEC40" w14:textId="77777777" w:rsidR="007F22AA" w:rsidRDefault="007F22AA" w:rsidP="00273C8A">
      <w:pPr>
        <w:pStyle w:val="Heading3"/>
      </w:pPr>
      <w:r>
        <w:t>Expand access for high productivity vehicles</w:t>
      </w:r>
    </w:p>
    <w:p w14:paraId="423037E1" w14:textId="77777777" w:rsidR="007F22AA" w:rsidRDefault="007F22AA" w:rsidP="00273C8A">
      <w:r>
        <w:t>Expanding access for Performance</w:t>
      </w:r>
      <w:r>
        <w:noBreakHyphen/>
        <w:t>Based Standards (PBS) vehicles is another way to support a productivity uplift. PBS vehicles are designed to achieve higher productivity than their non</w:t>
      </w:r>
      <w:r>
        <w:noBreakHyphen/>
        <w:t xml:space="preserve">PBS </w:t>
      </w:r>
      <w:proofErr w:type="gramStart"/>
      <w:r>
        <w:t>equivalents, and</w:t>
      </w:r>
      <w:proofErr w:type="gramEnd"/>
      <w:r>
        <w:t xml:space="preserve"> have experienced strong uptake since the scheme was introduced in 2007, representing 21% of the road freight task in 2022. However, PBS vehicles often face greater barriers to access than non</w:t>
      </w:r>
      <w:r>
        <w:noBreakHyphen/>
        <w:t>PBS equivalents, despite meeting or exceeding the same safety requirements. Governments should streamline access and design approvals for common PBS vehicle configurations to further promote the uptake of these high productivity vehicles.</w:t>
      </w:r>
    </w:p>
    <w:p w14:paraId="4EDC8A67" w14:textId="77777777" w:rsidR="007F22AA" w:rsidRDefault="007F22AA" w:rsidP="00273C8A">
      <w:r>
        <w:t>R</w:t>
      </w:r>
      <w:r w:rsidRPr="00B922CA">
        <w:t xml:space="preserve">oad managers </w:t>
      </w:r>
      <w:r>
        <w:t xml:space="preserve">must be encouraged to </w:t>
      </w:r>
      <w:r w:rsidRPr="00B922CA">
        <w:t>support as</w:t>
      </w:r>
      <w:r>
        <w:noBreakHyphen/>
      </w:r>
      <w:r w:rsidRPr="00B922CA">
        <w:t>of</w:t>
      </w:r>
      <w:r>
        <w:noBreakHyphen/>
      </w:r>
      <w:r w:rsidRPr="00B922CA">
        <w:t>right access for PBS vehicles where it is safe to do so. Governments should enable eligible PBS vehicles to be added to existing gazetted authorisation notices for equivalent non</w:t>
      </w:r>
      <w:r>
        <w:noBreakHyphen/>
      </w:r>
      <w:r w:rsidRPr="00B922CA">
        <w:t>PBS vehicles</w:t>
      </w:r>
      <w:r w:rsidRPr="00B922CA" w:rsidDel="004559DF">
        <w:t xml:space="preserve"> </w:t>
      </w:r>
      <w:r w:rsidRPr="00B922CA">
        <w:t>without requiring a new notice.</w:t>
      </w:r>
      <w:r>
        <w:t xml:space="preserve"> The PC is seeking feedback on how such a reform could be implemented. </w:t>
      </w:r>
    </w:p>
    <w:p w14:paraId="7DB67F2F" w14:textId="77777777" w:rsidR="007F22AA" w:rsidRPr="00B922CA" w:rsidRDefault="007F22AA" w:rsidP="00273C8A">
      <w:pPr>
        <w:pStyle w:val="Heading3-noTOC"/>
      </w:pPr>
      <w:r>
        <w:t>Overcome the payload penalty for electric heavy vehicles</w:t>
      </w:r>
    </w:p>
    <w:p w14:paraId="5D3A323F" w14:textId="77777777" w:rsidR="007F22AA" w:rsidRDefault="007F22AA" w:rsidP="00273C8A">
      <w:pPr>
        <w:pStyle w:val="BodyText"/>
        <w:keepLines/>
      </w:pPr>
      <w:r w:rsidRPr="00EE52EA">
        <w:t>The</w:t>
      </w:r>
      <w:r w:rsidRPr="00544F8E">
        <w:t xml:space="preserve"> uptake of </w:t>
      </w:r>
      <w:r>
        <w:t>heavy zero emissions vehicles will be</w:t>
      </w:r>
      <w:r w:rsidRPr="00544F8E">
        <w:t xml:space="preserve"> </w:t>
      </w:r>
      <w:r>
        <w:t xml:space="preserve">vital for Australia to benefit from technological change and deliver significant transport </w:t>
      </w:r>
      <w:r w:rsidRPr="00544F8E">
        <w:t xml:space="preserve">emissions </w:t>
      </w:r>
      <w:r>
        <w:t xml:space="preserve">reductions. The Australian Government’s </w:t>
      </w:r>
      <w:r w:rsidRPr="00262AA6">
        <w:rPr>
          <w:i/>
          <w:iCs/>
        </w:rPr>
        <w:t>Transport and infrastructure net zero roadmap and action plan</w:t>
      </w:r>
      <w:r>
        <w:rPr>
          <w:i/>
          <w:iCs/>
        </w:rPr>
        <w:t xml:space="preserve"> </w:t>
      </w:r>
      <w:r>
        <w:t xml:space="preserve">provides a net zero pathway for heavy vehicles, with electrification playing a large role over the longer term. </w:t>
      </w:r>
      <w:r w:rsidRPr="00EE52EA">
        <w:t>Fleet turnover occurs gradually and full mass market adoption of heavy zero emissions vehicles across segments is not expected to take place by for many years.</w:t>
      </w:r>
    </w:p>
    <w:p w14:paraId="1CA6849D" w14:textId="77777777" w:rsidR="007F22AA" w:rsidRDefault="007F22AA" w:rsidP="00273C8A">
      <w:pPr>
        <w:pStyle w:val="BodyText"/>
        <w:keepLines/>
        <w:rPr>
          <w:color w:val="000000" w:themeColor="text1"/>
        </w:rPr>
      </w:pPr>
      <w:r>
        <w:t xml:space="preserve">Electric heavy zero emissions vehicles </w:t>
      </w:r>
      <w:r w:rsidRPr="00812DF7">
        <w:t>are typically heavier than their diesel equivalents due to the additional weight of battery systems</w:t>
      </w:r>
      <w:r>
        <w:t>.</w:t>
      </w:r>
      <w:r w:rsidRPr="002116F8">
        <w:t xml:space="preserve"> </w:t>
      </w:r>
      <w:r w:rsidRPr="00C27B84">
        <w:t xml:space="preserve">While technological improvements </w:t>
      </w:r>
      <w:r>
        <w:t>and innovation</w:t>
      </w:r>
      <w:r w:rsidRPr="00C27B84">
        <w:t xml:space="preserve"> may reduce battery weight over time, </w:t>
      </w:r>
      <w:r w:rsidRPr="00B70069">
        <w:t xml:space="preserve">operators </w:t>
      </w:r>
      <w:r>
        <w:t xml:space="preserve">currently </w:t>
      </w:r>
      <w:r w:rsidRPr="00B70069">
        <w:t xml:space="preserve">face a payload penalty </w:t>
      </w:r>
      <w:r>
        <w:t>–</w:t>
      </w:r>
      <w:r w:rsidRPr="00B70069">
        <w:t xml:space="preserve"> that is, reduced freight capacity within existing</w:t>
      </w:r>
      <w:r w:rsidRPr="00B922CA">
        <w:t xml:space="preserve"> mass </w:t>
      </w:r>
      <w:r w:rsidRPr="00B70069">
        <w:t>limits</w:t>
      </w:r>
      <w:r>
        <w:t xml:space="preserve"> –</w:t>
      </w:r>
      <w:r w:rsidRPr="00C27B84">
        <w:t xml:space="preserve"> </w:t>
      </w:r>
      <w:r>
        <w:t xml:space="preserve">which can </w:t>
      </w:r>
      <w:r w:rsidRPr="00B922CA">
        <w:t xml:space="preserve">limit </w:t>
      </w:r>
      <w:r w:rsidRPr="00C27B84">
        <w:t>uptake.</w:t>
      </w:r>
      <w:r>
        <w:t xml:space="preserve"> </w:t>
      </w:r>
    </w:p>
    <w:p w14:paraId="3B3A39D3" w14:textId="77777777" w:rsidR="007F22AA" w:rsidRDefault="007F22AA">
      <w:pPr>
        <w:pStyle w:val="BodyText"/>
      </w:pPr>
      <w:r>
        <w:t>T</w:t>
      </w:r>
      <w:r w:rsidRPr="00F57FC2">
        <w:t>he technology</w:t>
      </w:r>
      <w:r>
        <w:t xml:space="preserve"> and transport operations underpinning</w:t>
      </w:r>
      <w:r w:rsidRPr="00F57FC2">
        <w:t xml:space="preserve"> these vehicles </w:t>
      </w:r>
      <w:r>
        <w:t>are</w:t>
      </w:r>
      <w:r w:rsidRPr="00F57FC2">
        <w:t xml:space="preserve"> evolving, particularly in relation to </w:t>
      </w:r>
      <w:r>
        <w:t xml:space="preserve">electric batteries, charging infrastructure and vehicle design. </w:t>
      </w:r>
      <w:proofErr w:type="gramStart"/>
      <w:r>
        <w:t>In light of</w:t>
      </w:r>
      <w:proofErr w:type="gramEnd"/>
      <w:r>
        <w:t xml:space="preserve"> this, t</w:t>
      </w:r>
      <w:r w:rsidRPr="00237605">
        <w:t xml:space="preserve">here </w:t>
      </w:r>
      <w:r>
        <w:t>is a case</w:t>
      </w:r>
      <w:r w:rsidRPr="00237605">
        <w:t xml:space="preserve"> for allowing a degree of transitional tolerance in </w:t>
      </w:r>
      <w:r w:rsidRPr="00EE52EA">
        <w:t>regulations</w:t>
      </w:r>
      <w:r w:rsidRPr="00237605">
        <w:t xml:space="preserve"> to support early deployment</w:t>
      </w:r>
      <w:r>
        <w:t>. Some support for the initial uptake can help accelerate the development of supporting infrastructure and industry practices – including to accommodate charging requirements – which m</w:t>
      </w:r>
      <w:r w:rsidRPr="00177B72">
        <w:t xml:space="preserve">ay otherwise not </w:t>
      </w:r>
      <w:r>
        <w:t>develop</w:t>
      </w:r>
      <w:r w:rsidRPr="00177B72">
        <w:t xml:space="preserve"> in a timely manner.</w:t>
      </w:r>
      <w:r w:rsidRPr="004E39B4">
        <w:t xml:space="preserve"> </w:t>
      </w:r>
    </w:p>
    <w:p w14:paraId="43C935BC" w14:textId="77777777" w:rsidR="007F22AA" w:rsidRPr="00B77FD1" w:rsidRDefault="007F22AA" w:rsidP="00273C8A">
      <w:pPr>
        <w:pStyle w:val="BodyText"/>
        <w:rPr>
          <w:spacing w:val="-2"/>
        </w:rPr>
      </w:pPr>
      <w:r w:rsidRPr="00B77FD1">
        <w:rPr>
          <w:spacing w:val="-2"/>
        </w:rPr>
        <w:t xml:space="preserve">State and territory governments have introduced some additional mass allowances for heavy zero emission </w:t>
      </w:r>
      <w:r w:rsidRPr="00B77FD1" w:rsidDel="002043D8">
        <w:rPr>
          <w:spacing w:val="-2"/>
        </w:rPr>
        <w:t>vehicles</w:t>
      </w:r>
      <w:r w:rsidRPr="00B77FD1">
        <w:rPr>
          <w:spacing w:val="-2"/>
        </w:rPr>
        <w:t xml:space="preserve">, but these </w:t>
      </w:r>
      <w:r w:rsidRPr="00B77FD1">
        <w:rPr>
          <w:color w:val="000000" w:themeColor="text1"/>
          <w:spacing w:val="-2"/>
        </w:rPr>
        <w:t>arrangements differ across jurisdictions.</w:t>
      </w:r>
      <w:r w:rsidRPr="00B77FD1">
        <w:rPr>
          <w:spacing w:val="-2"/>
        </w:rPr>
        <w:t xml:space="preserve"> The Australian Government can help play a coordinating role and, along with state and territory governments, work to embed a concessional mass limit in Heavy Vehicle (Mass, Dimension and Loading) National Regulation to ensure electric heavy zero emissions </w:t>
      </w:r>
      <w:r w:rsidRPr="00B77FD1" w:rsidDel="002043D8">
        <w:rPr>
          <w:spacing w:val="-2"/>
        </w:rPr>
        <w:t>vehicles</w:t>
      </w:r>
      <w:r w:rsidRPr="00B77FD1">
        <w:rPr>
          <w:spacing w:val="-2"/>
        </w:rPr>
        <w:t xml:space="preserve"> can operate across Heavy Vehicle National Law jurisdictions without significant payload disadvantages from battery</w:t>
      </w:r>
      <w:r w:rsidRPr="00B77FD1">
        <w:rPr>
          <w:spacing w:val="-2"/>
        </w:rPr>
        <w:noBreakHyphen/>
        <w:t xml:space="preserve">related weights. The infrastructure impacts of a concessional mass limit for electric </w:t>
      </w:r>
      <w:r w:rsidRPr="00B77FD1">
        <w:rPr>
          <w:spacing w:val="-2"/>
        </w:rPr>
        <w:lastRenderedPageBreak/>
        <w:t>heavy zero emissions vehicles are likely to be small in the immediate term, reflecting both the relatively slow pace of fleet turnover and the small share these vehicles currently account for in the heavy vehicle fleet.</w:t>
      </w:r>
    </w:p>
    <w:p w14:paraId="191F3E39" w14:textId="77777777" w:rsidR="007F22AA" w:rsidRDefault="007F22AA" w:rsidP="00B77FD1">
      <w:pPr>
        <w:pStyle w:val="BodyText"/>
      </w:pPr>
      <w:r w:rsidRPr="004150D1">
        <w:t>These arrangements should be reassessed over time as batteries get lighter with technological change</w:t>
      </w:r>
      <w:r w:rsidRPr="00237605">
        <w:t xml:space="preserve">. </w:t>
      </w:r>
      <w:r>
        <w:t>An option is to s</w:t>
      </w:r>
      <w:r w:rsidRPr="00B922CA">
        <w:t>chedule reviews to ensure the concession is set to keep pace with decreasing payload gaps.</w:t>
      </w:r>
      <w:r>
        <w:t xml:space="preserve"> The PC is seeking feedback on the implementation of such a mass concession.</w:t>
      </w:r>
    </w:p>
    <w:p w14:paraId="5EA2CAC6" w14:textId="77777777" w:rsidR="007F22AA" w:rsidRDefault="007F22AA" w:rsidP="00273C8A">
      <w:pPr>
        <w:pStyle w:val="Heading3-noTOC"/>
      </w:pPr>
      <w:r>
        <w:t>Getting the most out of the NAAS</w:t>
      </w:r>
    </w:p>
    <w:p w14:paraId="264A055E" w14:textId="77777777" w:rsidR="007F22AA" w:rsidRDefault="007F22AA" w:rsidP="00273C8A">
      <w:r>
        <w:t xml:space="preserve">There is also an opportunity to </w:t>
      </w:r>
      <w:r w:rsidRPr="00D80B26">
        <w:t xml:space="preserve">deliver faster, more consistent and </w:t>
      </w:r>
      <w:r w:rsidRPr="00EE52EA">
        <w:t>more</w:t>
      </w:r>
      <w:r>
        <w:t xml:space="preserve"> risk</w:t>
      </w:r>
      <w:r>
        <w:noBreakHyphen/>
        <w:t>based</w:t>
      </w:r>
      <w:r w:rsidRPr="00D80B26">
        <w:t xml:space="preserve"> access decisions by automating approvals and, ideally, providing network</w:t>
      </w:r>
      <w:r>
        <w:noBreakHyphen/>
      </w:r>
      <w:r w:rsidRPr="00D80B26">
        <w:t>based access maps rather than case</w:t>
      </w:r>
      <w:r>
        <w:noBreakHyphen/>
      </w:r>
      <w:r w:rsidRPr="00D80B26">
        <w:t>by</w:t>
      </w:r>
      <w:r>
        <w:noBreakHyphen/>
      </w:r>
      <w:r w:rsidRPr="00D80B26">
        <w:t>case route permits</w:t>
      </w:r>
      <w:r>
        <w:t xml:space="preserve"> through the </w:t>
      </w:r>
      <w:r w:rsidRPr="00306261">
        <w:t>planned roll</w:t>
      </w:r>
      <w:r>
        <w:noBreakHyphen/>
      </w:r>
      <w:r w:rsidRPr="00306261">
        <w:t>out of the NAAS.</w:t>
      </w:r>
    </w:p>
    <w:p w14:paraId="00BCAF29" w14:textId="77777777" w:rsidR="007F22AA" w:rsidRDefault="007F22AA" w:rsidP="00273C8A">
      <w:r>
        <w:t xml:space="preserve">The </w:t>
      </w:r>
      <w:r w:rsidRPr="00D80B26">
        <w:t xml:space="preserve">rollout is behind </w:t>
      </w:r>
      <w:r>
        <w:t xml:space="preserve">the </w:t>
      </w:r>
      <w:r w:rsidRPr="00D80B26">
        <w:t xml:space="preserve">original </w:t>
      </w:r>
      <w:r>
        <w:t>agreed</w:t>
      </w:r>
      <w:r w:rsidRPr="00D80B26">
        <w:t xml:space="preserve"> targets and </w:t>
      </w:r>
      <w:r>
        <w:t>is</w:t>
      </w:r>
      <w:r w:rsidRPr="00D80B26">
        <w:t xml:space="preserve"> difficult to accelerate given the scale and coordination required</w:t>
      </w:r>
      <w:r>
        <w:t xml:space="preserve"> – </w:t>
      </w:r>
      <w:r w:rsidRPr="00D80B26">
        <w:t>particularly the need for local governments to assess and digitise road and bridge asset data</w:t>
      </w:r>
      <w:r>
        <w:t>. Extra</w:t>
      </w:r>
      <w:r w:rsidRPr="00D80B26">
        <w:t xml:space="preserve"> funding and capability building </w:t>
      </w:r>
      <w:r>
        <w:t xml:space="preserve">may </w:t>
      </w:r>
      <w:r w:rsidRPr="00D80B26">
        <w:t>help but only up to a point</w:t>
      </w:r>
      <w:r>
        <w:t>, due to the capacity constraints in the system. Given these capacity constraints, g</w:t>
      </w:r>
      <w:r w:rsidRPr="00D80B26">
        <w:t>etting NAAS design and national alignment right is critical to realising benefits.</w:t>
      </w:r>
      <w:r>
        <w:t xml:space="preserve"> There is near</w:t>
      </w:r>
      <w:r>
        <w:noBreakHyphen/>
        <w:t>universal support for governments to continue to work towards implementing the NAAS to be like Tasmania’s system. The benefits of the system would be maximised if:</w:t>
      </w:r>
    </w:p>
    <w:p w14:paraId="61985A5C" w14:textId="77777777" w:rsidR="007F22AA" w:rsidRPr="00B77FD1" w:rsidRDefault="007F22AA" w:rsidP="00B03E9F">
      <w:pPr>
        <w:pStyle w:val="ListBullet"/>
      </w:pPr>
      <w:r>
        <w:t xml:space="preserve">the </w:t>
      </w:r>
      <w:r w:rsidRPr="00B77FD1">
        <w:t>NAAS adopted network</w:t>
      </w:r>
      <w:r w:rsidRPr="00B77FD1">
        <w:noBreakHyphen/>
        <w:t>based access to give operators additional flexibility and support productivity</w:t>
      </w:r>
    </w:p>
    <w:p w14:paraId="2CCF6A8B" w14:textId="77777777" w:rsidR="007F22AA" w:rsidRPr="00B77FD1" w:rsidRDefault="007F22AA" w:rsidP="00B03E9F">
      <w:pPr>
        <w:pStyle w:val="ListBullet"/>
      </w:pPr>
      <w:r w:rsidRPr="00B77FD1">
        <w:t>states and territories adopted consistent access systems to reduce the burden on operators undertaking interstate trips</w:t>
      </w:r>
    </w:p>
    <w:p w14:paraId="2C3723C0" w14:textId="77777777" w:rsidR="007F22AA" w:rsidRPr="00B77FD1" w:rsidRDefault="007F22AA" w:rsidP="00B03E9F">
      <w:pPr>
        <w:pStyle w:val="ListBullet"/>
      </w:pPr>
      <w:r w:rsidRPr="00B77FD1">
        <w:t>the design of the NAAS maximised the consistency and quality of local government decision</w:t>
      </w:r>
      <w:r w:rsidRPr="00B77FD1">
        <w:rPr>
          <w:rFonts w:ascii="Cambria Math" w:hAnsi="Cambria Math" w:cs="Cambria Math"/>
        </w:rPr>
        <w:t>‑</w:t>
      </w:r>
      <w:r w:rsidRPr="00B77FD1">
        <w:t>making on access.</w:t>
      </w:r>
    </w:p>
    <w:p w14:paraId="5A633AA4" w14:textId="77777777" w:rsidR="007F22AA" w:rsidRDefault="007F22AA" w:rsidP="00273C8A">
      <w:pPr>
        <w:pStyle w:val="Heading2-nonumber"/>
      </w:pPr>
      <w:bookmarkStart w:id="15" w:name="_Toc225342374"/>
      <w:bookmarkStart w:id="16" w:name="_Toc225780233"/>
      <w:r>
        <w:t xml:space="preserve">Regulation has not caught up </w:t>
      </w:r>
      <w:r w:rsidRPr="00EE52EA">
        <w:t>with</w:t>
      </w:r>
      <w:r>
        <w:t xml:space="preserve"> electric vehicles</w:t>
      </w:r>
      <w:bookmarkEnd w:id="15"/>
      <w:bookmarkEnd w:id="16"/>
    </w:p>
    <w:p w14:paraId="2BCD80C4" w14:textId="77777777" w:rsidR="007F22AA" w:rsidRDefault="007F22AA" w:rsidP="00273C8A">
      <w:r w:rsidRPr="0069255A">
        <w:t>H</w:t>
      </w:r>
      <w:r>
        <w:t>eavy zero emissions vehicle</w:t>
      </w:r>
      <w:r w:rsidRPr="0069255A">
        <w:t>s have the potential to fundamentally change large</w:t>
      </w:r>
      <w:r>
        <w:noBreakHyphen/>
      </w:r>
      <w:r w:rsidRPr="0069255A">
        <w:t>scale heavy vehicle operation</w:t>
      </w:r>
      <w:r>
        <w:t>s</w:t>
      </w:r>
      <w:r w:rsidRPr="0069255A">
        <w:t xml:space="preserve"> by reducing the noise, air pollution and emissions </w:t>
      </w:r>
      <w:r>
        <w:t xml:space="preserve">costs </w:t>
      </w:r>
      <w:r w:rsidRPr="0069255A">
        <w:t>associated with internal combustion</w:t>
      </w:r>
      <w:r>
        <w:t xml:space="preserve"> </w:t>
      </w:r>
      <w:r w:rsidRPr="0069255A">
        <w:t xml:space="preserve">engines. </w:t>
      </w:r>
      <w:r>
        <w:t xml:space="preserve">As part of the broader net zero transition, the Australian Government anticipates widespread decarbonisation of heavy vehicles in coming decades alongside improvements in technology and reductions in vehicle </w:t>
      </w:r>
      <w:r w:rsidRPr="00EE52EA">
        <w:t>costs.</w:t>
      </w:r>
      <w:r>
        <w:t xml:space="preserve"> As these changes occur, administrative and regulatory settings affecting charging infrastructure and curfews must keep up</w:t>
      </w:r>
      <w:r w:rsidRPr="00EE52EA">
        <w:t xml:space="preserve">. </w:t>
      </w:r>
    </w:p>
    <w:p w14:paraId="05D1BB38" w14:textId="77777777" w:rsidR="007F22AA" w:rsidRDefault="007F22AA" w:rsidP="00273C8A">
      <w:pPr>
        <w:pStyle w:val="Heading3-noTOC"/>
      </w:pPr>
      <w:r>
        <w:t>Reduce administrative and regulatory barriers to heavy zero emissions vehicle charging infrastructure</w:t>
      </w:r>
    </w:p>
    <w:p w14:paraId="5A0808EB" w14:textId="77777777" w:rsidR="007F22AA" w:rsidRPr="005259E7" w:rsidRDefault="007F22AA" w:rsidP="00273C8A">
      <w:pPr>
        <w:rPr>
          <w:rStyle w:val="BodyTextChar"/>
        </w:rPr>
      </w:pPr>
      <w:r>
        <w:t>To</w:t>
      </w:r>
      <w:r w:rsidRPr="00345698">
        <w:t xml:space="preserve"> be commercially successful, </w:t>
      </w:r>
      <w:r>
        <w:t xml:space="preserve">heavy </w:t>
      </w:r>
      <w:r w:rsidRPr="00EE52EA">
        <w:t>zero</w:t>
      </w:r>
      <w:r>
        <w:t xml:space="preserve"> emissions vehicles</w:t>
      </w:r>
      <w:r w:rsidRPr="00345698" w:rsidDel="00555551">
        <w:t xml:space="preserve"> </w:t>
      </w:r>
      <w:r w:rsidRPr="00345698">
        <w:t>are likely to require:</w:t>
      </w:r>
    </w:p>
    <w:p w14:paraId="014AF458" w14:textId="77777777" w:rsidR="007F22AA" w:rsidRPr="00B77FD1" w:rsidRDefault="007F22AA" w:rsidP="00B03E9F">
      <w:pPr>
        <w:pStyle w:val="ListBullet"/>
      </w:pPr>
      <w:r w:rsidRPr="00B77FD1">
        <w:t>chargers located in freight centres (depots, distribution hubs and major warehouses), freight nodes (airports, ports and intermodal terminals) and heavy vehicle rest stops (rest areas and service centres along highways)</w:t>
      </w:r>
    </w:p>
    <w:p w14:paraId="338C86B2" w14:textId="77777777" w:rsidR="007F22AA" w:rsidRPr="00345698" w:rsidRDefault="007F22AA" w:rsidP="00B03E9F">
      <w:pPr>
        <w:pStyle w:val="ListBullet"/>
      </w:pPr>
      <w:r w:rsidRPr="00B77FD1">
        <w:t>different charging</w:t>
      </w:r>
      <w:r w:rsidRPr="00345698">
        <w:t xml:space="preserve"> infrastructure from passenger</w:t>
      </w:r>
      <w:r>
        <w:t xml:space="preserve"> </w:t>
      </w:r>
      <w:r w:rsidRPr="00345698">
        <w:t>electric vehicles (EVs)</w:t>
      </w:r>
      <w:r>
        <w:t xml:space="preserve"> </w:t>
      </w:r>
      <w:r w:rsidRPr="00345698">
        <w:t xml:space="preserve">– </w:t>
      </w:r>
      <w:r>
        <w:t xml:space="preserve">in particular, </w:t>
      </w:r>
      <w:r w:rsidRPr="00345698">
        <w:t>more powerful chargers and layouts that accommodate their size.</w:t>
      </w:r>
    </w:p>
    <w:p w14:paraId="31183362" w14:textId="77777777" w:rsidR="007F22AA" w:rsidRDefault="007F22AA" w:rsidP="00273C8A">
      <w:r>
        <w:t xml:space="preserve">The most significant challenge for the rollout of this charging infrastructure is establishing connections to </w:t>
      </w:r>
      <w:r w:rsidRPr="00B77FD1">
        <w:rPr>
          <w:spacing w:val="-2"/>
        </w:rPr>
        <w:t>electricity networks, as high</w:t>
      </w:r>
      <w:r w:rsidRPr="00B77FD1">
        <w:rPr>
          <w:spacing w:val="-2"/>
        </w:rPr>
        <w:noBreakHyphen/>
        <w:t>powered charging can require costly and time</w:t>
      </w:r>
      <w:r w:rsidRPr="00B77FD1">
        <w:rPr>
          <w:spacing w:val="-2"/>
        </w:rPr>
        <w:noBreakHyphen/>
        <w:t>consuming network augmentation.</w:t>
      </w:r>
      <w:r>
        <w:t xml:space="preserve"> The administrative and regulatory barriers (the focus of this study) are minor by comparison, but important to </w:t>
      </w:r>
      <w:r>
        <w:lastRenderedPageBreak/>
        <w:t>address so that they do not create hold</w:t>
      </w:r>
      <w:r>
        <w:noBreakHyphen/>
        <w:t>ups once broader policy, market and technological developments are in place to drive the rollout forwards.</w:t>
      </w:r>
    </w:p>
    <w:p w14:paraId="0877F7FB" w14:textId="77777777" w:rsidR="007F22AA" w:rsidRPr="00B71EDA" w:rsidRDefault="007F22AA" w:rsidP="00273C8A">
      <w:pPr>
        <w:pStyle w:val="BodyText"/>
        <w:rPr>
          <w:spacing w:val="-2"/>
        </w:rPr>
      </w:pPr>
      <w:r w:rsidRPr="00B71EDA">
        <w:rPr>
          <w:spacing w:val="-2"/>
        </w:rPr>
        <w:t>One such administrative barrier is that information to inform site selection is not always easily accessible. The Australian Government recently launched the Electric Vehicle Charging Infrastructure Mapping Tool to guide the location of charging investment, but it is missing information of high relevance to heavy zero emissions vehicle charging infrastructure – granular electricity network capacity data, data on where trucks can and do travel, and whether zoning allows for charging. The Australian Government should work with data custodians to include this data in the mapping tool. It should also allow mapping tool data to be exported.</w:t>
      </w:r>
    </w:p>
    <w:p w14:paraId="7D710AF2" w14:textId="77777777" w:rsidR="007F22AA" w:rsidRPr="000B206C" w:rsidRDefault="007F22AA" w:rsidP="00273C8A">
      <w:r w:rsidRPr="00345698">
        <w:t xml:space="preserve">Land use regulation is </w:t>
      </w:r>
      <w:r>
        <w:t xml:space="preserve">a </w:t>
      </w:r>
      <w:r w:rsidRPr="00EE52EA">
        <w:t>potential</w:t>
      </w:r>
      <w:r w:rsidRPr="00345698">
        <w:t xml:space="preserve"> regulatory barrier to charging infrastructure</w:t>
      </w:r>
      <w:r w:rsidRPr="00EE52EA">
        <w:t>. Not</w:t>
      </w:r>
      <w:r>
        <w:t xml:space="preserve"> all</w:t>
      </w:r>
      <w:r w:rsidRPr="00345698">
        <w:t xml:space="preserve"> planning schemes</w:t>
      </w:r>
      <w:r>
        <w:t xml:space="preserve"> </w:t>
      </w:r>
      <w:r w:rsidRPr="00345698">
        <w:t>have</w:t>
      </w:r>
      <w:r>
        <w:t xml:space="preserve"> </w:t>
      </w:r>
      <w:r w:rsidRPr="00345698">
        <w:t>been updated to reflect this new type of infrastructure, which creates uncertainty and needlessly bespoke processes.</w:t>
      </w:r>
      <w:r>
        <w:t xml:space="preserve"> </w:t>
      </w:r>
      <w:r w:rsidRPr="000B206C">
        <w:t>State and territory governments should:</w:t>
      </w:r>
    </w:p>
    <w:p w14:paraId="74BDD54B" w14:textId="77777777" w:rsidR="007F22AA" w:rsidRPr="000E3597" w:rsidRDefault="007F22AA" w:rsidP="00B03E9F">
      <w:pPr>
        <w:pStyle w:val="ListBullet"/>
      </w:pPr>
      <w:r w:rsidRPr="00B71EDA">
        <w:t xml:space="preserve">redefine land use terms to explicitly allow charging at bus depots, freight centres, freight nodes and heavy </w:t>
      </w:r>
      <w:r w:rsidRPr="000E3597">
        <w:t>vehicle rest stops</w:t>
      </w:r>
    </w:p>
    <w:p w14:paraId="31AC8BB8" w14:textId="77777777" w:rsidR="007F22AA" w:rsidRPr="00737C62" w:rsidRDefault="007F22AA" w:rsidP="00B03E9F">
      <w:pPr>
        <w:pStyle w:val="ListBullet"/>
        <w:rPr>
          <w:spacing w:val="-4"/>
        </w:rPr>
      </w:pPr>
      <w:r w:rsidRPr="00737C62">
        <w:rPr>
          <w:spacing w:val="-4"/>
        </w:rPr>
        <w:t>tweak existing planning permission exemptions for charger installations to accommodate simple heavy zero emissions vehicle charger installations or adopt such planning permission exemptions if not already in place.</w:t>
      </w:r>
    </w:p>
    <w:p w14:paraId="4378D3DB" w14:textId="77777777" w:rsidR="007F22AA" w:rsidRDefault="007F22AA" w:rsidP="00273C8A">
      <w:pPr>
        <w:pStyle w:val="BodyText"/>
      </w:pPr>
      <w:r>
        <w:t>While much charging will be installed on privately owned or managed land, state and territory governments will need to more actively facilitate charging infrastructure investment at government</w:t>
      </w:r>
      <w:r>
        <w:noBreakHyphen/>
        <w:t>provided heavy vehicle rest areas. The PC is seeking participants’ views on how governments can best facilitate private investment in charging infrastructure at these locations.</w:t>
      </w:r>
    </w:p>
    <w:p w14:paraId="0D645360" w14:textId="77777777" w:rsidR="007F22AA" w:rsidRDefault="007F22AA" w:rsidP="00273C8A">
      <w:pPr>
        <w:pStyle w:val="Heading3-noTOC"/>
      </w:pPr>
      <w:r>
        <w:t>Reduce curfew burdens on heavy zero emissions vehicles</w:t>
      </w:r>
    </w:p>
    <w:p w14:paraId="5CDF430B" w14:textId="77777777" w:rsidR="007F22AA" w:rsidRPr="00203DD7" w:rsidRDefault="007F22AA" w:rsidP="00273C8A">
      <w:pPr>
        <w:pStyle w:val="BodyText"/>
      </w:pPr>
      <w:r>
        <w:t xml:space="preserve">In addition to regulatory barriers to charging infrastructure, other regulations, originally designed for internal combustion vehicles, can also limit heavy zero emissions vehicle operation. </w:t>
      </w:r>
      <w:r w:rsidRPr="00EE52EA">
        <w:t>Two</w:t>
      </w:r>
      <w:r w:rsidRPr="00203DD7">
        <w:t xml:space="preserve"> main sets of instruments </w:t>
      </w:r>
      <w:r>
        <w:t xml:space="preserve">(commonly referred to as curfews), </w:t>
      </w:r>
      <w:r w:rsidRPr="00203DD7">
        <w:t>prohibit the activity of heavy vehicles at certain times, with the aim of preserving neighbourhood amenity</w:t>
      </w:r>
      <w:r w:rsidRPr="00EE52EA">
        <w:t>:</w:t>
      </w:r>
    </w:p>
    <w:p w14:paraId="7C1BED89" w14:textId="77777777" w:rsidR="007F22AA" w:rsidRPr="000E3597" w:rsidRDefault="007F22AA" w:rsidP="00B03E9F">
      <w:pPr>
        <w:pStyle w:val="ListBullet"/>
      </w:pPr>
      <w:r w:rsidRPr="00B71EDA">
        <w:t xml:space="preserve">local traffic controls restricting the movement of through traffic on a particular road. These are </w:t>
      </w:r>
      <w:r w:rsidRPr="000E3597">
        <w:t>administered by state or local governments (or both), depending on the road, and apply to all heavy vehicles above a specified weight limit (including General Access Vehicles)</w:t>
      </w:r>
    </w:p>
    <w:p w14:paraId="56749A3A" w14:textId="77777777" w:rsidR="007F22AA" w:rsidRPr="00B71EDA" w:rsidRDefault="007F22AA" w:rsidP="00B03E9F">
      <w:pPr>
        <w:pStyle w:val="ListBullet"/>
      </w:pPr>
      <w:r w:rsidRPr="000E3597">
        <w:t>local government</w:t>
      </w:r>
      <w:r w:rsidRPr="00B71EDA">
        <w:t xml:space="preserve"> planning restrictions set out in planning permits, such as restrictions on overnight truck deliveries to supermarkets.</w:t>
      </w:r>
    </w:p>
    <w:p w14:paraId="524D8DD8" w14:textId="77777777" w:rsidR="007F22AA" w:rsidRDefault="007F22AA" w:rsidP="00273C8A">
      <w:r w:rsidRPr="00203DD7">
        <w:t xml:space="preserve">Presently, no type of curfew distinguishes between </w:t>
      </w:r>
      <w:r>
        <w:t>internal combustion engine</w:t>
      </w:r>
      <w:r w:rsidRPr="00203DD7">
        <w:t xml:space="preserve"> vehicles and </w:t>
      </w:r>
      <w:r>
        <w:t>heavy zero emissions vehicles</w:t>
      </w:r>
      <w:r w:rsidRPr="00203DD7">
        <w:t>.</w:t>
      </w:r>
    </w:p>
    <w:p w14:paraId="04476B18" w14:textId="77777777" w:rsidR="007F22AA" w:rsidRPr="00D73921" w:rsidRDefault="007F22AA" w:rsidP="00273C8A">
      <w:r>
        <w:t>T</w:t>
      </w:r>
      <w:r w:rsidRPr="00203DD7">
        <w:t>here is</w:t>
      </w:r>
      <w:r>
        <w:t xml:space="preserve"> </w:t>
      </w:r>
      <w:r w:rsidRPr="00203DD7">
        <w:t>a</w:t>
      </w:r>
      <w:r>
        <w:t xml:space="preserve"> </w:t>
      </w:r>
      <w:r w:rsidRPr="00203DD7">
        <w:t>strong case</w:t>
      </w:r>
      <w:r>
        <w:t xml:space="preserve"> </w:t>
      </w:r>
      <w:r w:rsidRPr="00203DD7">
        <w:t>for</w:t>
      </w:r>
      <w:r>
        <w:t xml:space="preserve"> </w:t>
      </w:r>
      <w:r w:rsidRPr="00203DD7">
        <w:t xml:space="preserve">reducing the burden of curfews on </w:t>
      </w:r>
      <w:r>
        <w:t>heavy zero emissions vehicles</w:t>
      </w:r>
      <w:r w:rsidRPr="00345698">
        <w:t xml:space="preserve"> </w:t>
      </w:r>
      <w:r w:rsidRPr="00203DD7">
        <w:t>in</w:t>
      </w:r>
      <w:r>
        <w:t xml:space="preserve"> </w:t>
      </w:r>
      <w:r w:rsidRPr="00203DD7">
        <w:t>some</w:t>
      </w:r>
      <w:r>
        <w:t xml:space="preserve"> </w:t>
      </w:r>
      <w:r w:rsidRPr="00203DD7">
        <w:t>form</w:t>
      </w:r>
      <w:r>
        <w:t>.</w:t>
      </w:r>
      <w:r w:rsidRPr="00203DD7">
        <w:t xml:space="preserve"> </w:t>
      </w:r>
      <w:r>
        <w:t xml:space="preserve">While regulation should continue to aim to mitigate </w:t>
      </w:r>
      <w:r w:rsidRPr="00203DD7">
        <w:t>the impacts of heavy vehicle noise and</w:t>
      </w:r>
      <w:r>
        <w:t xml:space="preserve"> protect </w:t>
      </w:r>
      <w:r w:rsidRPr="00203DD7">
        <w:t>community safety</w:t>
      </w:r>
      <w:r>
        <w:t>, heavy zero emissions vehicles</w:t>
      </w:r>
      <w:r w:rsidRPr="00345698">
        <w:t xml:space="preserve"> </w:t>
      </w:r>
      <w:r w:rsidRPr="00EE52EA">
        <w:t>are significantly quieter. There</w:t>
      </w:r>
      <w:r>
        <w:t xml:space="preserve"> are several options to reform regulation to </w:t>
      </w:r>
      <w:proofErr w:type="gramStart"/>
      <w:r>
        <w:t>take into account</w:t>
      </w:r>
      <w:proofErr w:type="gramEnd"/>
      <w:r>
        <w:t xml:space="preserve"> the noise and other benefits of heavy zero emissions vehicles, each with different costs and benefits</w:t>
      </w:r>
      <w:r w:rsidRPr="00D73921">
        <w:t>.</w:t>
      </w:r>
    </w:p>
    <w:p w14:paraId="42E4201B" w14:textId="1B20836B" w:rsidR="007F22AA" w:rsidRPr="000E3597" w:rsidRDefault="007F22AA" w:rsidP="00B03E9F">
      <w:pPr>
        <w:pStyle w:val="ListBullet"/>
      </w:pPr>
      <w:r w:rsidRPr="000E3597">
        <w:t>Heavy zero emissions vehicle could be exempted from curfews, or curfews that apply to them could be made less restrictive (such as by allowing longer delivery hours).</w:t>
      </w:r>
    </w:p>
    <w:p w14:paraId="44B081FA" w14:textId="77777777" w:rsidR="007F22AA" w:rsidRPr="00B71EDA" w:rsidRDefault="007F22AA" w:rsidP="00B03E9F">
      <w:pPr>
        <w:pStyle w:val="ListBullet"/>
      </w:pPr>
      <w:r w:rsidRPr="000E3597">
        <w:t>Vehicles could receive differential treatment if they meet certain performance</w:t>
      </w:r>
      <w:r w:rsidRPr="000E3597">
        <w:noBreakHyphen/>
        <w:t>based criteria, such as verified low</w:t>
      </w:r>
      <w:r w:rsidRPr="00B71EDA">
        <w:noBreakHyphen/>
        <w:t xml:space="preserve">noise performance. </w:t>
      </w:r>
    </w:p>
    <w:p w14:paraId="42772950" w14:textId="77777777" w:rsidR="007F22AA" w:rsidRPr="00B71EDA" w:rsidRDefault="007F22AA" w:rsidP="00B03E9F">
      <w:pPr>
        <w:pStyle w:val="ListBullet"/>
      </w:pPr>
      <w:r w:rsidRPr="00B71EDA">
        <w:t>Curfews could be replaced entirely with outcome</w:t>
      </w:r>
      <w:r w:rsidRPr="00B71EDA">
        <w:noBreakHyphen/>
        <w:t>based measures, such as evidence</w:t>
      </w:r>
      <w:r w:rsidRPr="00B71EDA">
        <w:noBreakHyphen/>
        <w:t>based decibel limits.</w:t>
      </w:r>
    </w:p>
    <w:p w14:paraId="7078C591" w14:textId="77777777" w:rsidR="007F22AA" w:rsidRPr="00E967CD" w:rsidRDefault="007F22AA" w:rsidP="00273C8A">
      <w:pPr>
        <w:pStyle w:val="BodyText"/>
      </w:pPr>
      <w:r>
        <w:t>T</w:t>
      </w:r>
      <w:r w:rsidRPr="00581242">
        <w:t xml:space="preserve">he PC is seeking information on the practicality of </w:t>
      </w:r>
      <w:r>
        <w:t>implementing these different approaches</w:t>
      </w:r>
      <w:r w:rsidRPr="00581242">
        <w:t xml:space="preserve">. </w:t>
      </w:r>
    </w:p>
    <w:p w14:paraId="64402DE8" w14:textId="77777777" w:rsidR="007F22AA" w:rsidRPr="00584675" w:rsidRDefault="007F22AA" w:rsidP="00273C8A">
      <w:pPr>
        <w:pStyle w:val="Heading2-nonumber"/>
      </w:pPr>
      <w:bookmarkStart w:id="17" w:name="_Toc225342375"/>
      <w:bookmarkStart w:id="18" w:name="_Toc225780234"/>
      <w:r>
        <w:lastRenderedPageBreak/>
        <w:t>Current reforms will improve driver capability</w:t>
      </w:r>
      <w:bookmarkEnd w:id="17"/>
      <w:bookmarkEnd w:id="18"/>
      <w:r>
        <w:t xml:space="preserve"> </w:t>
      </w:r>
    </w:p>
    <w:p w14:paraId="0D2DFC38" w14:textId="77777777" w:rsidR="007F22AA" w:rsidRDefault="007F22AA" w:rsidP="00273C8A">
      <w:r w:rsidRPr="002F7B36">
        <w:rPr>
          <w:lang w:val="en-US"/>
        </w:rPr>
        <w:t>Current heavy vehicle driver training, assessment and licensing processes are poorly calibrated to the risks and priorities of the sector. Industry has reported that time</w:t>
      </w:r>
      <w:r>
        <w:rPr>
          <w:lang w:val="en-US"/>
        </w:rPr>
        <w:noBreakHyphen/>
      </w:r>
      <w:r w:rsidRPr="002F7B36">
        <w:rPr>
          <w:lang w:val="en-US"/>
        </w:rPr>
        <w:t xml:space="preserve">based </w:t>
      </w:r>
      <w:proofErr w:type="spellStart"/>
      <w:r w:rsidRPr="002F7B36">
        <w:rPr>
          <w:lang w:val="en-US"/>
        </w:rPr>
        <w:t>licence</w:t>
      </w:r>
      <w:proofErr w:type="spellEnd"/>
      <w:r w:rsidRPr="002F7B36">
        <w:rPr>
          <w:lang w:val="en-US"/>
        </w:rPr>
        <w:t xml:space="preserve"> progression has prevented drivers from entering the occupation and progressing to higher productivity heavy vehicles at a time of significant driver shortage</w:t>
      </w:r>
      <w:r w:rsidRPr="00EE52EA">
        <w:rPr>
          <w:lang w:val="en-US"/>
        </w:rPr>
        <w:t>.</w:t>
      </w:r>
      <w:r>
        <w:rPr>
          <w:lang w:val="en-US"/>
        </w:rPr>
        <w:t xml:space="preserve"> Industry also </w:t>
      </w:r>
      <w:proofErr w:type="gramStart"/>
      <w:r>
        <w:rPr>
          <w:lang w:val="en-US"/>
        </w:rPr>
        <w:t>suggest</w:t>
      </w:r>
      <w:proofErr w:type="gramEnd"/>
      <w:r>
        <w:rPr>
          <w:lang w:val="en-US"/>
        </w:rPr>
        <w:t xml:space="preserve"> </w:t>
      </w:r>
      <w:r w:rsidRPr="002F7B36">
        <w:rPr>
          <w:lang w:val="en-US"/>
        </w:rPr>
        <w:t xml:space="preserve">that poor training and assessment requirements fail to deliver competent drivers and safe outcomes. Inconsistency </w:t>
      </w:r>
      <w:r>
        <w:rPr>
          <w:lang w:val="en-US"/>
        </w:rPr>
        <w:t>across states and territories</w:t>
      </w:r>
      <w:r w:rsidRPr="002F7B36">
        <w:rPr>
          <w:lang w:val="en-US"/>
        </w:rPr>
        <w:t xml:space="preserve"> also adds costs for operators and training providers working across jurisdictions. </w:t>
      </w:r>
    </w:p>
    <w:p w14:paraId="3831A924" w14:textId="77777777" w:rsidR="007F22AA" w:rsidRDefault="007F22AA" w:rsidP="00273C8A">
      <w:r w:rsidRPr="003112F3">
        <w:t xml:space="preserve">National Heavy Vehicle Driver Competency Framework </w:t>
      </w:r>
      <w:r>
        <w:t>r</w:t>
      </w:r>
      <w:r w:rsidRPr="003112F3">
        <w:t>eforms</w:t>
      </w:r>
      <w:r>
        <w:t>,</w:t>
      </w:r>
      <w:r w:rsidRPr="003112F3">
        <w:t xml:space="preserve"> endorsed in 2023</w:t>
      </w:r>
      <w:r>
        <w:t>,</w:t>
      </w:r>
      <w:r w:rsidRPr="003112F3">
        <w:t xml:space="preserve"> </w:t>
      </w:r>
      <w:r>
        <w:t>are set to</w:t>
      </w:r>
      <w:r w:rsidRPr="0096254E">
        <w:t xml:space="preserve"> </w:t>
      </w:r>
      <w:r w:rsidRPr="008F3506">
        <w:rPr>
          <w:lang w:val="en-US"/>
        </w:rPr>
        <w:t>expand driver competency and training minimums, create new licensing pathways based on experience and supervision</w:t>
      </w:r>
      <w:r>
        <w:rPr>
          <w:lang w:val="en-US"/>
        </w:rPr>
        <w:t>,</w:t>
      </w:r>
      <w:r w:rsidRPr="008F3506">
        <w:rPr>
          <w:lang w:val="en-US"/>
        </w:rPr>
        <w:t xml:space="preserve"> and support best practice training and </w:t>
      </w:r>
      <w:r w:rsidRPr="008F3506" w:rsidDel="00B300DA">
        <w:rPr>
          <w:lang w:val="en-US"/>
        </w:rPr>
        <w:t>assessment</w:t>
      </w:r>
      <w:r w:rsidRPr="003112F3">
        <w:t xml:space="preserve">. </w:t>
      </w:r>
      <w:r>
        <w:t>T</w:t>
      </w:r>
      <w:r w:rsidRPr="003112F3">
        <w:t>he reforms aim to improve safety and national consistency</w:t>
      </w:r>
      <w:r>
        <w:t>.</w:t>
      </w:r>
      <w:r w:rsidRPr="003112F3">
        <w:t xml:space="preserve"> </w:t>
      </w:r>
      <w:r>
        <w:t>There is also the potential for small productivity gains from faster licence progression to higher productivity vehicles and fewer heavy vehicle crashes, although other factors may have offsetting effects.</w:t>
      </w:r>
    </w:p>
    <w:p w14:paraId="643297C7" w14:textId="77777777" w:rsidR="007F22AA" w:rsidRDefault="007F22AA" w:rsidP="00273C8A">
      <w:pPr>
        <w:pStyle w:val="BodyText"/>
      </w:pPr>
      <w:r w:rsidRPr="003112F3">
        <w:t>Implementation is underway</w:t>
      </w:r>
      <w:r>
        <w:t>,</w:t>
      </w:r>
      <w:r w:rsidRPr="003112F3">
        <w:t xml:space="preserve"> with most jurisdictions expected to roll out reforms between 2026 and 2028, but regulatory, IT, funding and capacity constraints mean faster acceleration is unlikely. </w:t>
      </w:r>
      <w:r>
        <w:t>Some jurisdictions will implement sooner while others are being delayed by ongoing decision</w:t>
      </w:r>
      <w:r>
        <w:rPr>
          <w:rFonts w:ascii="Cambria Math" w:hAnsi="Cambria Math"/>
        </w:rPr>
        <w:t>‑</w:t>
      </w:r>
      <w:r>
        <w:t>making. Certainty about reform details and funding, expected around mid</w:t>
      </w:r>
      <w:r>
        <w:noBreakHyphen/>
        <w:t>2026, should progress decision</w:t>
      </w:r>
      <w:r>
        <w:rPr>
          <w:rFonts w:ascii="Cambria Math" w:hAnsi="Cambria Math"/>
        </w:rPr>
        <w:t>‑</w:t>
      </w:r>
      <w:r>
        <w:t xml:space="preserve">making. </w:t>
      </w:r>
      <w:r w:rsidRPr="00B56149">
        <w:t xml:space="preserve">There are already funding mechanisms in place through the National Competition Policy framework </w:t>
      </w:r>
      <w:r>
        <w:t xml:space="preserve">for the Australian Government </w:t>
      </w:r>
      <w:r w:rsidRPr="00B56149">
        <w:t xml:space="preserve">to support </w:t>
      </w:r>
      <w:r>
        <w:t xml:space="preserve">state and territory governments to implement the </w:t>
      </w:r>
      <w:r w:rsidRPr="00B56149">
        <w:t>reform</w:t>
      </w:r>
      <w:r>
        <w:t>s</w:t>
      </w:r>
      <w:r w:rsidRPr="00B56149">
        <w:t xml:space="preserve">, with specific funding amounts to be determined. </w:t>
      </w:r>
      <w:r w:rsidRPr="00EE52EA">
        <w:t>Implementation aimed towards full completion by the 2028 timeline should continue as planned and would be supported by confirmation of funding amounts to state and territories.</w:t>
      </w:r>
      <w:r>
        <w:t xml:space="preserve"> </w:t>
      </w:r>
    </w:p>
    <w:p w14:paraId="4012C46D" w14:textId="77777777" w:rsidR="007F1915" w:rsidRDefault="007F22AA" w:rsidP="005617C9">
      <w:pPr>
        <w:sectPr w:rsidR="007F1915" w:rsidSect="001E6383">
          <w:headerReference w:type="even" r:id="rId37"/>
          <w:headerReference w:type="default" r:id="rId38"/>
          <w:footerReference w:type="even" r:id="rId39"/>
          <w:footerReference w:type="default" r:id="rId40"/>
          <w:headerReference w:type="first" r:id="rId41"/>
          <w:type w:val="oddPage"/>
          <w:pgSz w:w="11906" w:h="16838" w:code="9"/>
          <w:pgMar w:top="1134" w:right="1134" w:bottom="1134" w:left="1134" w:header="794" w:footer="510" w:gutter="0"/>
          <w:pgNumType w:start="1"/>
          <w:cols w:space="708"/>
          <w:docGrid w:linePitch="360"/>
        </w:sectPr>
      </w:pPr>
      <w:r>
        <w:t>Other licensing issues warrant attention to better align the driver competency reforms with policy priorities. These</w:t>
      </w:r>
      <w:r w:rsidRPr="003112F3" w:rsidDel="00B26D69">
        <w:t xml:space="preserve"> </w:t>
      </w:r>
      <w:proofErr w:type="gramStart"/>
      <w:r>
        <w:t>include:</w:t>
      </w:r>
      <w:proofErr w:type="gramEnd"/>
      <w:r>
        <w:t xml:space="preserve"> </w:t>
      </w:r>
      <w:r w:rsidRPr="00EE52EA">
        <w:t>considering</w:t>
      </w:r>
      <w:r>
        <w:t xml:space="preserve"> </w:t>
      </w:r>
      <w:r w:rsidRPr="003112F3">
        <w:t>weight concessions for electric vehicle</w:t>
      </w:r>
      <w:r>
        <w:t xml:space="preserve">s in driver licence classes to allow drivers to operate equivalent electric heavy vehicles without sacrificing payload; </w:t>
      </w:r>
      <w:r w:rsidRPr="003112F3">
        <w:t>and</w:t>
      </w:r>
      <w:r w:rsidRPr="003112F3" w:rsidDel="00FE3A74">
        <w:t xml:space="preserve"> </w:t>
      </w:r>
      <w:r>
        <w:t xml:space="preserve">strengthening </w:t>
      </w:r>
      <w:r w:rsidRPr="003112F3">
        <w:t xml:space="preserve">recognition of overseas heavy vehicle </w:t>
      </w:r>
      <w:r>
        <w:t xml:space="preserve">driver </w:t>
      </w:r>
      <w:r w:rsidRPr="003112F3">
        <w:t>licences</w:t>
      </w:r>
      <w:r>
        <w:t xml:space="preserve"> to bolster driver supply</w:t>
      </w:r>
      <w:r w:rsidRPr="003112F3">
        <w:t>.</w:t>
      </w:r>
      <w:r>
        <w:t xml:space="preserve"> The PC is seeking feedback on these potential reform directions. </w:t>
      </w:r>
    </w:p>
    <w:p w14:paraId="27375D7B" w14:textId="77777777" w:rsidR="00A1113C" w:rsidRDefault="00A1113C" w:rsidP="005B184E">
      <w:pPr>
        <w:pStyle w:val="Heading1-nobackground"/>
      </w:pPr>
      <w:bookmarkStart w:id="19" w:name="_Toc225780235"/>
      <w:r>
        <w:lastRenderedPageBreak/>
        <w:t>Draft recommendations, findings and information requests</w:t>
      </w:r>
      <w:bookmarkEnd w:id="19"/>
    </w:p>
    <w:p w14:paraId="1209F175" w14:textId="4D90D05A" w:rsidR="00A1113C" w:rsidRDefault="00F14386" w:rsidP="00273C8A">
      <w:pPr>
        <w:pStyle w:val="Heading2-nonumber"/>
      </w:pPr>
      <w:bookmarkStart w:id="20" w:name="_Toc225780236"/>
      <w:r w:rsidRPr="00F14386">
        <w:t>Context for heavy vehicle reform</w:t>
      </w:r>
      <w:bookmarkEnd w:id="20"/>
    </w:p>
    <w:p w14:paraId="2280CAB5" w14:textId="23827BEC" w:rsidR="00A1113C" w:rsidRDefault="00A1113C" w:rsidP="00273C8A">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A1113C" w14:paraId="5671752A" w14:textId="77777777">
        <w:trPr>
          <w:trHeight w:val="765"/>
          <w:tblHeader/>
        </w:trPr>
        <w:tc>
          <w:tcPr>
            <w:tcW w:w="366" w:type="pct"/>
            <w:shd w:val="clear" w:color="auto" w:fill="EBEBEB"/>
            <w:tcMar>
              <w:bottom w:w="0" w:type="dxa"/>
            </w:tcMar>
            <w:vAlign w:val="center"/>
          </w:tcPr>
          <w:p w14:paraId="41ED33E2" w14:textId="77777777" w:rsidR="00A1113C" w:rsidRDefault="00A1113C">
            <w:pPr>
              <w:pStyle w:val="NoSpacing"/>
              <w:keepNext/>
              <w:keepLines/>
              <w:jc w:val="right"/>
            </w:pPr>
            <w:r w:rsidRPr="00A51374">
              <w:rPr>
                <w:noProof/>
              </w:rPr>
              <w:drawing>
                <wp:inline distT="0" distB="0" distL="0" distR="0" wp14:anchorId="0BDC4FEE" wp14:editId="1DF31AFB">
                  <wp:extent cx="288000" cy="288000"/>
                  <wp:effectExtent l="0" t="0" r="0" b="0"/>
                  <wp:docPr id="740805869" name="Graphic 7408058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43EC2C6F" w14:textId="77777777" w:rsidR="00A1113C" w:rsidRPr="002530FF" w:rsidRDefault="00A1113C">
            <w:pPr>
              <w:pStyle w:val="TableHeading"/>
              <w:keepNext/>
              <w:keepLines/>
              <w:spacing w:before="88" w:after="88"/>
              <w:ind w:left="42"/>
              <w:contextualSpacing/>
              <w:rPr>
                <w:sz w:val="20"/>
              </w:rPr>
            </w:pPr>
            <w:r w:rsidRPr="000B0B71">
              <w:rPr>
                <w:sz w:val="20"/>
              </w:rPr>
              <w:t xml:space="preserve">Information request </w:t>
            </w:r>
            <w:r>
              <w:rPr>
                <w:sz w:val="20"/>
              </w:rPr>
              <w:t>1</w:t>
            </w:r>
            <w:r w:rsidRPr="00DF7217">
              <w:rPr>
                <w:sz w:val="20"/>
              </w:rPr>
              <w:t>.</w:t>
            </w:r>
            <w:r>
              <w:rPr>
                <w:sz w:val="20"/>
              </w:rPr>
              <w:t>1</w:t>
            </w:r>
          </w:p>
        </w:tc>
      </w:tr>
      <w:tr w:rsidR="000C3796" w:rsidRPr="000C3796" w14:paraId="5B6EA83A" w14:textId="77777777">
        <w:tc>
          <w:tcPr>
            <w:tcW w:w="5000" w:type="pct"/>
            <w:gridSpan w:val="2"/>
            <w:shd w:val="clear" w:color="auto" w:fill="EBEBEB"/>
          </w:tcPr>
          <w:p w14:paraId="59A8BA1A" w14:textId="77777777" w:rsidR="00A1113C" w:rsidRPr="000C3796" w:rsidRDefault="00A1113C">
            <w:pPr>
              <w:pStyle w:val="BodyText"/>
              <w:keepNext/>
              <w:keepLines/>
              <w:spacing w:before="88" w:after="88"/>
              <w:rPr>
                <w:color w:val="265A9A" w:themeColor="background2"/>
              </w:rPr>
            </w:pPr>
            <w:r w:rsidRPr="000C3796">
              <w:rPr>
                <w:color w:val="265A9A" w:themeColor="background2"/>
              </w:rPr>
              <w:t xml:space="preserve">The PC is seeking evidence and views about how the package of heavy vehicle reforms examined in this study may impact: </w:t>
            </w:r>
          </w:p>
          <w:p w14:paraId="38F85C3A" w14:textId="77777777" w:rsidR="00A1113C" w:rsidRPr="000C3796" w:rsidRDefault="00A1113C" w:rsidP="00B03E9F">
            <w:pPr>
              <w:pStyle w:val="ListBullet"/>
              <w:rPr>
                <w:color w:val="265A9A" w:themeColor="background2"/>
              </w:rPr>
            </w:pPr>
            <w:r w:rsidRPr="000C3796">
              <w:rPr>
                <w:color w:val="265A9A" w:themeColor="background2"/>
              </w:rPr>
              <w:t xml:space="preserve">different cohorts, including by age, gender, income and education, and any other relevant demographic classification (including impacts on Aboriginal and Torres Strait Islander people) </w:t>
            </w:r>
          </w:p>
          <w:p w14:paraId="2AF6DC50" w14:textId="77777777" w:rsidR="00A1113C" w:rsidRPr="000C3796" w:rsidRDefault="00A1113C" w:rsidP="00B03E9F">
            <w:pPr>
              <w:pStyle w:val="ListBullet"/>
              <w:rPr>
                <w:color w:val="265A9A" w:themeColor="background2"/>
              </w:rPr>
            </w:pPr>
            <w:r w:rsidRPr="000C3796">
              <w:rPr>
                <w:color w:val="265A9A" w:themeColor="background2"/>
              </w:rPr>
              <w:t>consumers, including in ways that may be difficult to quantify, such as improved quality of service or wellbeing, or greater choice.</w:t>
            </w:r>
          </w:p>
        </w:tc>
      </w:tr>
      <w:tr w:rsidR="00A1113C" w14:paraId="791DDE2A" w14:textId="77777777">
        <w:tc>
          <w:tcPr>
            <w:tcW w:w="5000" w:type="pct"/>
            <w:gridSpan w:val="2"/>
            <w:tcMar>
              <w:bottom w:w="0" w:type="dxa"/>
            </w:tcMar>
          </w:tcPr>
          <w:p w14:paraId="3F3897A1" w14:textId="76706E21" w:rsidR="00A1113C" w:rsidRDefault="00A1113C">
            <w:pPr>
              <w:pStyle w:val="NoSpacing"/>
              <w:spacing w:line="200" w:lineRule="atLeast"/>
            </w:pPr>
          </w:p>
        </w:tc>
      </w:tr>
    </w:tbl>
    <w:p w14:paraId="09E0F9EE" w14:textId="77777777" w:rsidR="00A1113C" w:rsidRDefault="00A1113C" w:rsidP="00273C8A">
      <w:pPr>
        <w:pStyle w:val="Heading2-nonumber"/>
      </w:pPr>
      <w:bookmarkStart w:id="21" w:name="_Toc225342378"/>
      <w:bookmarkStart w:id="22" w:name="_Toc225780237"/>
      <w:r w:rsidRPr="00586286">
        <w:t>Access for high productivity and heavy zero emissions vehicles</w:t>
      </w:r>
      <w:bookmarkEnd w:id="21"/>
      <w:bookmarkEnd w:id="22"/>
    </w:p>
    <w:p w14:paraId="16E0DEEE" w14:textId="3E8665F8" w:rsidR="00A1113C" w:rsidRDefault="00A1113C">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A1113C" w14:paraId="18DEFABC" w14:textId="77777777">
        <w:trPr>
          <w:trHeight w:val="765"/>
          <w:tblHeader/>
        </w:trPr>
        <w:tc>
          <w:tcPr>
            <w:tcW w:w="366" w:type="pct"/>
            <w:shd w:val="clear" w:color="auto" w:fill="EBEBEB"/>
            <w:tcMar>
              <w:bottom w:w="0" w:type="dxa"/>
            </w:tcMar>
            <w:vAlign w:val="center"/>
          </w:tcPr>
          <w:p w14:paraId="4BD4FE2B" w14:textId="77777777" w:rsidR="00A1113C" w:rsidRDefault="00A1113C">
            <w:pPr>
              <w:pStyle w:val="NoSpacing"/>
              <w:keepNext/>
              <w:keepLines/>
              <w:jc w:val="right"/>
            </w:pPr>
            <w:r w:rsidRPr="00A51374">
              <w:rPr>
                <w:noProof/>
              </w:rPr>
              <w:drawing>
                <wp:inline distT="0" distB="0" distL="0" distR="0" wp14:anchorId="125EC788" wp14:editId="591976A9">
                  <wp:extent cx="288000" cy="288000"/>
                  <wp:effectExtent l="0" t="0" r="0" b="0"/>
                  <wp:docPr id="2146860337" name="Graphic 21468603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452789D1" w14:textId="77777777" w:rsidR="00A1113C" w:rsidRPr="002530FF" w:rsidRDefault="00A1113C">
            <w:pPr>
              <w:pStyle w:val="TableHeading"/>
              <w:keepNext/>
              <w:keepLines/>
              <w:spacing w:before="120" w:after="120"/>
              <w:contextualSpacing/>
              <w:rPr>
                <w:sz w:val="20"/>
              </w:rPr>
            </w:pPr>
            <w:r w:rsidRPr="000B0B71">
              <w:rPr>
                <w:sz w:val="20"/>
              </w:rPr>
              <w:t xml:space="preserve">Information request </w:t>
            </w:r>
            <w:r>
              <w:rPr>
                <w:sz w:val="20"/>
              </w:rPr>
              <w:t>2</w:t>
            </w:r>
            <w:r w:rsidRPr="00DF7217">
              <w:rPr>
                <w:sz w:val="20"/>
              </w:rPr>
              <w:t>.</w:t>
            </w:r>
            <w:r>
              <w:rPr>
                <w:sz w:val="20"/>
              </w:rPr>
              <w:t>1</w:t>
            </w:r>
          </w:p>
        </w:tc>
      </w:tr>
      <w:tr w:rsidR="000C3796" w:rsidRPr="000C3796" w14:paraId="6D459ECA" w14:textId="77777777">
        <w:tc>
          <w:tcPr>
            <w:tcW w:w="5000" w:type="pct"/>
            <w:gridSpan w:val="2"/>
            <w:shd w:val="clear" w:color="auto" w:fill="EBEBEB"/>
          </w:tcPr>
          <w:p w14:paraId="3D45AFAD" w14:textId="77777777" w:rsidR="00A1113C" w:rsidRPr="000C3796" w:rsidRDefault="00A1113C" w:rsidP="00273C8A">
            <w:pPr>
              <w:pStyle w:val="BodyText"/>
              <w:keepNext/>
              <w:keepLines/>
              <w:rPr>
                <w:color w:val="265A9A" w:themeColor="background2"/>
              </w:rPr>
            </w:pPr>
            <w:r w:rsidRPr="000C3796">
              <w:rPr>
                <w:color w:val="265A9A" w:themeColor="background2"/>
              </w:rPr>
              <w:t xml:space="preserve">The PC is seeking feedback on how proposed reforms to the Heavy Vehicle (Mass, Dimension and Loading) National Regulation (expected to commence on 1 July 2026) will affect access. These reforms include uplifting General Mass Limits to Concessional Mass Limits, increasing general length limits from 19 m to 20 m and increasing general height limits from 4.3 m to 4.6 m. </w:t>
            </w:r>
          </w:p>
          <w:p w14:paraId="35714E39" w14:textId="77777777" w:rsidR="00A1113C" w:rsidRPr="000C3796" w:rsidRDefault="00A1113C" w:rsidP="00B03E9F">
            <w:pPr>
              <w:pStyle w:val="ListBullet"/>
              <w:rPr>
                <w:color w:val="265A9A" w:themeColor="background2"/>
              </w:rPr>
            </w:pPr>
            <w:r w:rsidRPr="000C3796">
              <w:rPr>
                <w:color w:val="265A9A" w:themeColor="background2"/>
              </w:rPr>
              <w:t>What implications would these reforms have for high productivity and heavy zero emissions vehicles?</w:t>
            </w:r>
          </w:p>
          <w:p w14:paraId="56D2BA65" w14:textId="77777777" w:rsidR="00A1113C" w:rsidRPr="000C3796" w:rsidRDefault="00A1113C" w:rsidP="00B03E9F">
            <w:pPr>
              <w:pStyle w:val="ListBullet"/>
              <w:rPr>
                <w:color w:val="265A9A" w:themeColor="background2"/>
              </w:rPr>
            </w:pPr>
            <w:r w:rsidRPr="000C3796">
              <w:rPr>
                <w:color w:val="265A9A" w:themeColor="background2"/>
              </w:rPr>
              <w:t>Will these reforms create any unintended consequences? What effect will they have on the interoperability of heavy vehicles with existing trailers, equipment and loading infrastructure?</w:t>
            </w:r>
          </w:p>
        </w:tc>
      </w:tr>
      <w:tr w:rsidR="00A1113C" w14:paraId="74D3A000" w14:textId="77777777">
        <w:tc>
          <w:tcPr>
            <w:tcW w:w="5000" w:type="pct"/>
            <w:gridSpan w:val="2"/>
            <w:tcMar>
              <w:bottom w:w="0" w:type="dxa"/>
            </w:tcMar>
          </w:tcPr>
          <w:p w14:paraId="22E98D04" w14:textId="3F2CC79F" w:rsidR="00A1113C" w:rsidRDefault="00A1113C">
            <w:pPr>
              <w:pStyle w:val="NoSpacing"/>
              <w:spacing w:line="200" w:lineRule="atLeast"/>
            </w:pPr>
          </w:p>
        </w:tc>
      </w:tr>
    </w:tbl>
    <w:p w14:paraId="75AE2020" w14:textId="77777777" w:rsidR="00A1113C" w:rsidRDefault="00A1113C" w:rsidP="00A21955">
      <w:pPr>
        <w:pStyle w:val="NoSpacing"/>
      </w:pPr>
    </w:p>
    <w:tbl>
      <w:tblPr>
        <w:tblStyle w:val="TableGrid"/>
        <w:tblW w:w="5000" w:type="pct"/>
        <w:tblBorders>
          <w:top w:val="single" w:sz="4" w:space="0" w:color="66BCDB" w:themeColor="text2"/>
          <w:left w:val="single" w:sz="4" w:space="0" w:color="66BCDB" w:themeColor="text2"/>
          <w:bottom w:val="single" w:sz="4" w:space="0" w:color="66BCDB" w:themeColor="text2"/>
          <w:right w:val="single" w:sz="4" w:space="0" w:color="66BCDB" w:themeColor="text2"/>
          <w:insideH w:val="none" w:sz="0" w:space="0" w:color="auto"/>
          <w:insideV w:val="none" w:sz="0" w:space="0" w:color="auto"/>
        </w:tblBorders>
        <w:tblCellMar>
          <w:bottom w:w="113" w:type="dxa"/>
        </w:tblCellMar>
        <w:tblLook w:val="04A0" w:firstRow="1" w:lastRow="0" w:firstColumn="1" w:lastColumn="0" w:noHBand="0" w:noVBand="1"/>
      </w:tblPr>
      <w:tblGrid>
        <w:gridCol w:w="705"/>
        <w:gridCol w:w="8923"/>
      </w:tblGrid>
      <w:tr w:rsidR="00A1113C" w:rsidRPr="008002C1" w14:paraId="312FB814" w14:textId="77777777">
        <w:trPr>
          <w:trHeight w:val="765"/>
          <w:tblHeader/>
        </w:trPr>
        <w:tc>
          <w:tcPr>
            <w:tcW w:w="366" w:type="pct"/>
            <w:tcBorders>
              <w:bottom w:val="nil"/>
            </w:tcBorders>
            <w:tcMar>
              <w:bottom w:w="0" w:type="dxa"/>
            </w:tcMar>
            <w:vAlign w:val="center"/>
          </w:tcPr>
          <w:p w14:paraId="34135CD8" w14:textId="77777777" w:rsidR="00A1113C" w:rsidRPr="008002C1" w:rsidRDefault="00A1113C" w:rsidP="00A21955">
            <w:pPr>
              <w:keepNext/>
              <w:keepLines/>
              <w:spacing w:before="0" w:after="0"/>
              <w:jc w:val="right"/>
            </w:pPr>
            <w:r w:rsidRPr="008002C1">
              <w:rPr>
                <w:noProof/>
              </w:rPr>
              <w:lastRenderedPageBreak/>
              <w:drawing>
                <wp:inline distT="0" distB="0" distL="0" distR="0" wp14:anchorId="40EA0B75" wp14:editId="6DC66E14">
                  <wp:extent cx="288000" cy="288000"/>
                  <wp:effectExtent l="0" t="0" r="0" b="0"/>
                  <wp:docPr id="589070659"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a:extLst>
                              <a:ext uri="{C183D7F6-B498-43B3-948B-1728B52AA6E4}">
                                <adec:decorative xmlns:adec="http://schemas.microsoft.com/office/drawing/2017/decorative" val="1"/>
                              </a:ext>
                            </a:extLst>
                          </pic:cNvPr>
                          <pic:cNvPicPr/>
                        </pic:nvPicPr>
                        <pic:blipFill>
                          <a:blip r:embed="rId4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634" w:type="pct"/>
            <w:tcBorders>
              <w:bottom w:val="nil"/>
            </w:tcBorders>
            <w:tcMar>
              <w:bottom w:w="0" w:type="dxa"/>
            </w:tcMar>
            <w:vAlign w:val="center"/>
          </w:tcPr>
          <w:p w14:paraId="65DD8FA0" w14:textId="688A49DA" w:rsidR="00A1113C" w:rsidRPr="008002C1" w:rsidRDefault="00A1113C" w:rsidP="00A21955">
            <w:pPr>
              <w:keepNext/>
              <w:keepLines/>
              <w:ind w:left="57"/>
              <w:contextualSpacing/>
              <w:rPr>
                <w:b/>
                <w:color w:val="265A9A" w:themeColor="background2"/>
              </w:rPr>
            </w:pPr>
            <w:r w:rsidRPr="008002C1">
              <w:rPr>
                <w:b/>
                <w:color w:val="265A9A" w:themeColor="background2"/>
              </w:rPr>
              <w:t>Draft finding 2.</w:t>
            </w:r>
            <w:r w:rsidR="00F82AC3">
              <w:rPr>
                <w:b/>
                <w:noProof/>
                <w:color w:val="265A9A" w:themeColor="background2"/>
              </w:rPr>
              <w:t>1</w:t>
            </w:r>
          </w:p>
          <w:p w14:paraId="7FDBE010" w14:textId="77777777" w:rsidR="00A1113C" w:rsidRPr="008002C1" w:rsidRDefault="00A1113C" w:rsidP="00A21955">
            <w:pPr>
              <w:keepNext/>
              <w:keepLines/>
              <w:ind w:left="57"/>
              <w:contextualSpacing/>
              <w:rPr>
                <w:b/>
                <w:color w:val="265A9A" w:themeColor="background2"/>
                <w:sz w:val="18"/>
              </w:rPr>
            </w:pPr>
            <w:r w:rsidRPr="008002C1">
              <w:rPr>
                <w:b/>
                <w:color w:val="265A9A" w:themeColor="background2"/>
              </w:rPr>
              <w:t>Access reforms can unlock the benefits of a modern fleet</w:t>
            </w:r>
          </w:p>
        </w:tc>
      </w:tr>
      <w:tr w:rsidR="00A1113C" w:rsidRPr="008002C1" w14:paraId="4FB37534" w14:textId="77777777">
        <w:tc>
          <w:tcPr>
            <w:tcW w:w="5000" w:type="pct"/>
            <w:gridSpan w:val="2"/>
            <w:tcBorders>
              <w:top w:val="nil"/>
              <w:bottom w:val="single" w:sz="4" w:space="0" w:color="66BCDB" w:themeColor="text2"/>
            </w:tcBorders>
          </w:tcPr>
          <w:p w14:paraId="0EB5B142" w14:textId="77777777" w:rsidR="00A1113C" w:rsidRPr="008002C1" w:rsidRDefault="00A1113C" w:rsidP="00A21955">
            <w:pPr>
              <w:keepNext/>
              <w:keepLines/>
            </w:pPr>
            <w:r w:rsidRPr="008002C1">
              <w:t>Growth in heavy vehicle productivity can be constrained by factors that restrict access, including:</w:t>
            </w:r>
          </w:p>
          <w:p w14:paraId="6B5DEA38" w14:textId="77777777" w:rsidR="00A1113C" w:rsidRPr="008002C1" w:rsidRDefault="00A1113C" w:rsidP="00B03E9F">
            <w:pPr>
              <w:pStyle w:val="ListBullet"/>
            </w:pPr>
            <w:r w:rsidRPr="008002C1">
              <w:t>the reliance on permit</w:t>
            </w:r>
            <w:r w:rsidRPr="008002C1">
              <w:rPr>
                <w:rFonts w:ascii="Cambria Math" w:hAnsi="Cambria Math" w:cs="Cambria Math"/>
              </w:rPr>
              <w:t>‑</w:t>
            </w:r>
            <w:r w:rsidRPr="008002C1">
              <w:t>based access, limited flexibility in the application of access rules and inconsistency across jurisdictions</w:t>
            </w:r>
          </w:p>
          <w:p w14:paraId="0CEF5DDC" w14:textId="77777777" w:rsidR="00A1113C" w:rsidRPr="008002C1" w:rsidRDefault="00A1113C" w:rsidP="00B03E9F">
            <w:pPr>
              <w:pStyle w:val="ListBullet"/>
            </w:pPr>
            <w:r w:rsidRPr="008002C1">
              <w:t xml:space="preserve">a lack of harmonisation between domestic standards and international standards, which can limit the importation and use of modern technologies </w:t>
            </w:r>
          </w:p>
          <w:p w14:paraId="55F0699B" w14:textId="77777777" w:rsidR="00A1113C" w:rsidRPr="008002C1" w:rsidRDefault="00A1113C" w:rsidP="00B03E9F">
            <w:pPr>
              <w:pStyle w:val="ListBullet"/>
            </w:pPr>
            <w:r w:rsidRPr="008002C1">
              <w:t xml:space="preserve">a mismatch between who benefits from heavy vehicle road access </w:t>
            </w:r>
            <w:r>
              <w:t>and</w:t>
            </w:r>
            <w:r w:rsidRPr="008002C1">
              <w:t xml:space="preserve"> who bears the costs of maintenance and infrastructure upgrades, which can reduce incentives to provide access.</w:t>
            </w:r>
          </w:p>
          <w:p w14:paraId="0310515A" w14:textId="77777777" w:rsidR="00A1113C" w:rsidRPr="008002C1" w:rsidRDefault="00A1113C" w:rsidP="00A21955">
            <w:pPr>
              <w:keepNext/>
              <w:keepLines/>
            </w:pPr>
            <w:r w:rsidRPr="008002C1">
              <w:t>The Australian</w:t>
            </w:r>
            <w:r>
              <w:t>,</w:t>
            </w:r>
            <w:r w:rsidRPr="008002C1">
              <w:t xml:space="preserve"> state and territory governments can play a central role in promoting better access outcomes, particularly where they are able to: </w:t>
            </w:r>
          </w:p>
          <w:p w14:paraId="240DAEB5" w14:textId="77777777" w:rsidR="00A1113C" w:rsidRPr="008002C1" w:rsidRDefault="00A1113C" w:rsidP="00B03E9F">
            <w:pPr>
              <w:pStyle w:val="ListBullet"/>
            </w:pPr>
            <w:r w:rsidRPr="008002C1">
              <w:t>promote as</w:t>
            </w:r>
            <w:r w:rsidRPr="008002C1">
              <w:noBreakHyphen/>
              <w:t>of</w:t>
            </w:r>
            <w:r w:rsidRPr="008002C1">
              <w:noBreakHyphen/>
              <w:t xml:space="preserve">right access </w:t>
            </w:r>
            <w:r>
              <w:t>by</w:t>
            </w:r>
            <w:r w:rsidRPr="008002C1">
              <w:t xml:space="preserve"> expanding general access and notices, with regulatory settings that can be applied flexibly and consistently across jurisdictions </w:t>
            </w:r>
          </w:p>
          <w:p w14:paraId="3BF41466" w14:textId="77777777" w:rsidR="00A1113C" w:rsidRPr="008002C1" w:rsidRDefault="00A1113C" w:rsidP="00B03E9F">
            <w:pPr>
              <w:pStyle w:val="ListBullet"/>
            </w:pPr>
            <w:r w:rsidRPr="008002C1">
              <w:t>support fleet transition by ensuring vehicle design and access rules enable the uptake of innovative technologies, including by aligning domestic standards more closely to international standards</w:t>
            </w:r>
          </w:p>
          <w:p w14:paraId="1DBF51D7" w14:textId="77777777" w:rsidR="00A1113C" w:rsidRPr="008002C1" w:rsidRDefault="00A1113C" w:rsidP="00B03E9F">
            <w:pPr>
              <w:pStyle w:val="ListBullet"/>
            </w:pPr>
            <w:r w:rsidRPr="008002C1">
              <w:t>move towards better aligning who benefits from heavy vehicle access with funding arrangements for those who bear the costs of maintenance and infrastructure upgrades.</w:t>
            </w:r>
          </w:p>
        </w:tc>
      </w:tr>
      <w:tr w:rsidR="00A1113C" w:rsidRPr="004A324A" w14:paraId="5F481D18" w14:textId="77777777" w:rsidTr="00273C8A">
        <w:tblPrEx>
          <w:tblBorders>
            <w:top w:val="none" w:sz="0" w:space="0" w:color="auto"/>
            <w:left w:val="none" w:sz="0" w:space="0" w:color="auto"/>
            <w:bottom w:val="none" w:sz="0" w:space="0" w:color="auto"/>
            <w:right w:val="none" w:sz="0" w:space="0" w:color="auto"/>
          </w:tblBorders>
        </w:tblPrEx>
        <w:tc>
          <w:tcPr>
            <w:tcW w:w="5000" w:type="pct"/>
            <w:gridSpan w:val="2"/>
            <w:tcMar>
              <w:bottom w:w="0" w:type="dxa"/>
            </w:tcMar>
          </w:tcPr>
          <w:p w14:paraId="32A42C66" w14:textId="77777777" w:rsidR="00A1113C" w:rsidRPr="004A324A" w:rsidRDefault="00A1113C" w:rsidP="00A21955">
            <w:pPr>
              <w:pStyle w:val="NoSpacing"/>
              <w:keepNext/>
              <w:keepLines/>
            </w:pPr>
          </w:p>
        </w:tc>
      </w:tr>
    </w:tbl>
    <w:p w14:paraId="6C910BF7" w14:textId="34322ABF" w:rsidR="00A1113C" w:rsidRPr="00313E31" w:rsidRDefault="00A1113C" w:rsidP="00273C8A">
      <w:pPr>
        <w:pStyle w:val="NoSpacing"/>
      </w:pPr>
    </w:p>
    <w:tbl>
      <w:tblPr>
        <w:tblStyle w:val="Texttable-Paleblue"/>
        <w:tblW w:w="5000" w:type="pct"/>
        <w:tblLook w:val="04A0" w:firstRow="1" w:lastRow="0" w:firstColumn="1" w:lastColumn="0" w:noHBand="0" w:noVBand="1"/>
      </w:tblPr>
      <w:tblGrid>
        <w:gridCol w:w="713"/>
        <w:gridCol w:w="8925"/>
      </w:tblGrid>
      <w:tr w:rsidR="00A1113C" w:rsidRPr="00233503" w14:paraId="5326DF25" w14:textId="77777777" w:rsidTr="00273C8A">
        <w:trPr>
          <w:tblHeader/>
        </w:trPr>
        <w:tc>
          <w:tcPr>
            <w:tcW w:w="713" w:type="dxa"/>
            <w:shd w:val="clear" w:color="auto" w:fill="E7F6FD"/>
            <w:tcMar>
              <w:top w:w="0" w:type="dxa"/>
              <w:bottom w:w="0" w:type="dxa"/>
            </w:tcMar>
            <w:vAlign w:val="center"/>
          </w:tcPr>
          <w:p w14:paraId="1384F24D" w14:textId="77777777" w:rsidR="00A1113C" w:rsidRPr="00233503" w:rsidRDefault="00A1113C">
            <w:pPr>
              <w:keepLines/>
              <w:jc w:val="center"/>
            </w:pPr>
            <w:r w:rsidRPr="00233503">
              <w:rPr>
                <w:noProof/>
              </w:rPr>
              <w:drawing>
                <wp:inline distT="0" distB="0" distL="0" distR="0" wp14:anchorId="7079E8A7" wp14:editId="0FDF4462">
                  <wp:extent cx="288000" cy="288000"/>
                  <wp:effectExtent l="0" t="0" r="0" b="0"/>
                  <wp:docPr id="2110633776" name="Graphic 21106337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288000" cy="288000"/>
                          </a:xfrm>
                          <a:prstGeom prst="rect">
                            <a:avLst/>
                          </a:prstGeom>
                        </pic:spPr>
                      </pic:pic>
                    </a:graphicData>
                  </a:graphic>
                </wp:inline>
              </w:drawing>
            </w:r>
          </w:p>
        </w:tc>
        <w:tc>
          <w:tcPr>
            <w:tcW w:w="8925" w:type="dxa"/>
            <w:shd w:val="clear" w:color="auto" w:fill="E7F6FD"/>
            <w:tcMar>
              <w:top w:w="0" w:type="dxa"/>
              <w:bottom w:w="0" w:type="dxa"/>
            </w:tcMar>
            <w:vAlign w:val="center"/>
          </w:tcPr>
          <w:p w14:paraId="6E503947" w14:textId="1A928215" w:rsidR="00A1113C" w:rsidRPr="00233503" w:rsidRDefault="00A1113C" w:rsidP="00CC000C">
            <w:pPr>
              <w:keepLines/>
              <w:spacing w:after="0"/>
              <w:ind w:left="57"/>
              <w:rPr>
                <w:b/>
                <w:color w:val="265A9A" w:themeColor="background2"/>
              </w:rPr>
            </w:pPr>
            <w:r>
              <w:rPr>
                <w:b/>
                <w:color w:val="265A9A" w:themeColor="background2"/>
              </w:rPr>
              <w:t xml:space="preserve">Draft </w:t>
            </w:r>
            <w:r w:rsidR="00CC000C">
              <w:rPr>
                <w:b/>
                <w:color w:val="265A9A" w:themeColor="background2"/>
              </w:rPr>
              <w:t>r</w:t>
            </w:r>
            <w:r w:rsidR="00CC000C" w:rsidRPr="00233503">
              <w:rPr>
                <w:b/>
                <w:color w:val="265A9A" w:themeColor="background2"/>
              </w:rPr>
              <w:t>ecommendation</w:t>
            </w:r>
            <w:r w:rsidR="00F81AE9">
              <w:rPr>
                <w:b/>
                <w:color w:val="265A9A" w:themeColor="background2"/>
              </w:rPr>
              <w:t xml:space="preserve"> </w:t>
            </w:r>
            <w:r>
              <w:rPr>
                <w:b/>
                <w:color w:val="265A9A" w:themeColor="background2"/>
              </w:rPr>
              <w:t>2</w:t>
            </w:r>
            <w:r w:rsidRPr="00233503">
              <w:rPr>
                <w:b/>
                <w:color w:val="265A9A" w:themeColor="background2"/>
              </w:rPr>
              <w:t>.</w:t>
            </w:r>
            <w:r w:rsidR="00F82AC3">
              <w:rPr>
                <w:b/>
                <w:noProof/>
                <w:color w:val="265A9A" w:themeColor="background2"/>
              </w:rPr>
              <w:t>1</w:t>
            </w:r>
          </w:p>
          <w:p w14:paraId="16B259AC" w14:textId="77777777" w:rsidR="00A1113C" w:rsidRPr="00233503" w:rsidRDefault="00A1113C">
            <w:pPr>
              <w:keepLines/>
              <w:ind w:left="57"/>
              <w:contextualSpacing/>
              <w:rPr>
                <w:b/>
                <w:color w:val="265A9A" w:themeColor="background2"/>
              </w:rPr>
            </w:pPr>
            <w:r w:rsidRPr="00233503">
              <w:rPr>
                <w:b/>
                <w:color w:val="265A9A" w:themeColor="background2"/>
              </w:rPr>
              <w:t>Allow greater as</w:t>
            </w:r>
            <w:r>
              <w:rPr>
                <w:b/>
                <w:color w:val="265A9A" w:themeColor="background2"/>
              </w:rPr>
              <w:noBreakHyphen/>
            </w:r>
            <w:r w:rsidRPr="00233503">
              <w:rPr>
                <w:b/>
                <w:color w:val="265A9A" w:themeColor="background2"/>
              </w:rPr>
              <w:t>of</w:t>
            </w:r>
            <w:r>
              <w:rPr>
                <w:b/>
                <w:color w:val="265A9A" w:themeColor="background2"/>
              </w:rPr>
              <w:noBreakHyphen/>
            </w:r>
            <w:r w:rsidRPr="00233503">
              <w:rPr>
                <w:b/>
                <w:color w:val="265A9A" w:themeColor="background2"/>
              </w:rPr>
              <w:t xml:space="preserve">right access </w:t>
            </w:r>
            <w:r>
              <w:rPr>
                <w:b/>
                <w:color w:val="265A9A" w:themeColor="background2"/>
              </w:rPr>
              <w:t xml:space="preserve">and simpler vehicle approvals </w:t>
            </w:r>
            <w:r w:rsidRPr="00233503">
              <w:rPr>
                <w:b/>
                <w:color w:val="265A9A" w:themeColor="background2"/>
              </w:rPr>
              <w:t xml:space="preserve">for </w:t>
            </w:r>
            <w:r w:rsidRPr="00BA15D1">
              <w:rPr>
                <w:b/>
                <w:color w:val="265A9A" w:themeColor="background2"/>
              </w:rPr>
              <w:t>Performance</w:t>
            </w:r>
            <w:r>
              <w:rPr>
                <w:b/>
                <w:color w:val="265A9A" w:themeColor="background2"/>
              </w:rPr>
              <w:noBreakHyphen/>
            </w:r>
            <w:r w:rsidRPr="00BA15D1">
              <w:rPr>
                <w:b/>
                <w:color w:val="265A9A" w:themeColor="background2"/>
              </w:rPr>
              <w:t>Based Standards (PBS)</w:t>
            </w:r>
            <w:r w:rsidRPr="00233503">
              <w:rPr>
                <w:b/>
                <w:color w:val="265A9A" w:themeColor="background2"/>
              </w:rPr>
              <w:t xml:space="preserve"> vehicles </w:t>
            </w:r>
          </w:p>
        </w:tc>
      </w:tr>
      <w:tr w:rsidR="00A1113C" w:rsidRPr="00233503" w14:paraId="2CC52234" w14:textId="77777777" w:rsidTr="00273C8A">
        <w:tc>
          <w:tcPr>
            <w:tcW w:w="9638" w:type="dxa"/>
            <w:gridSpan w:val="2"/>
            <w:shd w:val="clear" w:color="auto" w:fill="E7F6FD"/>
            <w:tcMar>
              <w:top w:w="0" w:type="dxa"/>
            </w:tcMar>
          </w:tcPr>
          <w:p w14:paraId="154B691C" w14:textId="77777777" w:rsidR="00A1113C" w:rsidRDefault="00A1113C">
            <w:r w:rsidRPr="00233503">
              <w:t>State</w:t>
            </w:r>
            <w:r>
              <w:t xml:space="preserve">, </w:t>
            </w:r>
            <w:r w:rsidRPr="00233503">
              <w:t xml:space="preserve">territory </w:t>
            </w:r>
            <w:r>
              <w:t xml:space="preserve">and </w:t>
            </w:r>
            <w:r w:rsidRPr="00233503">
              <w:t>local governments should support as</w:t>
            </w:r>
            <w:r>
              <w:noBreakHyphen/>
            </w:r>
            <w:r w:rsidRPr="00233503">
              <w:t>of</w:t>
            </w:r>
            <w:r>
              <w:noBreakHyphen/>
            </w:r>
            <w:r w:rsidRPr="00233503">
              <w:t xml:space="preserve">right access </w:t>
            </w:r>
            <w:r>
              <w:t xml:space="preserve">for PBS vehicles </w:t>
            </w:r>
            <w:r w:rsidRPr="00233503">
              <w:t xml:space="preserve">where it is safe to do so. </w:t>
            </w:r>
            <w:r>
              <w:t xml:space="preserve">Road </w:t>
            </w:r>
            <w:r w:rsidRPr="00DC3E91">
              <w:t xml:space="preserve">managers </w:t>
            </w:r>
            <w:r w:rsidRPr="0096480C">
              <w:t xml:space="preserve">should </w:t>
            </w:r>
            <w:r>
              <w:t>provide in</w:t>
            </w:r>
            <w:r>
              <w:noBreakHyphen/>
            </w:r>
            <w:proofErr w:type="gramStart"/>
            <w:r>
              <w:t>principle</w:t>
            </w:r>
            <w:proofErr w:type="gramEnd"/>
            <w:r>
              <w:t xml:space="preserve"> consent for </w:t>
            </w:r>
            <w:r w:rsidRPr="00DC3E91">
              <w:t>as</w:t>
            </w:r>
            <w:r>
              <w:noBreakHyphen/>
              <w:t>of</w:t>
            </w:r>
            <w:r>
              <w:noBreakHyphen/>
              <w:t>right access for PBS vehicles (which have met safety and infrastructure requirements) that is at least equal to access for equivalent non</w:t>
            </w:r>
            <w:r>
              <w:noBreakHyphen/>
              <w:t>PBS vehicles. Governments should enable eligible PBS vehicles to be added to existing gazetted access notices without requiring a new notice.</w:t>
            </w:r>
          </w:p>
          <w:p w14:paraId="090C0269" w14:textId="77777777" w:rsidR="00A1113C" w:rsidRPr="00233503" w:rsidRDefault="00A1113C">
            <w:pPr>
              <w:pStyle w:val="BodyText"/>
            </w:pPr>
            <w:r>
              <w:t xml:space="preserve">In </w:t>
            </w:r>
            <w:r w:rsidRPr="001206C6">
              <w:rPr>
                <w:rStyle w:val="BodyTextChar"/>
              </w:rPr>
              <w:t xml:space="preserve">addition, the National Transport Commission should amend </w:t>
            </w:r>
            <w:r>
              <w:rPr>
                <w:rStyle w:val="BodyTextChar"/>
              </w:rPr>
              <w:t xml:space="preserve">the </w:t>
            </w:r>
            <w:r>
              <w:t xml:space="preserve">Heavy Vehicle National Law </w:t>
            </w:r>
            <w:r w:rsidRPr="001206C6">
              <w:rPr>
                <w:rStyle w:val="BodyTextChar"/>
              </w:rPr>
              <w:t xml:space="preserve">to remove the requirement to refer </w:t>
            </w:r>
            <w:r w:rsidRPr="000F47A9">
              <w:rPr>
                <w:rStyle w:val="BodyTextChar"/>
              </w:rPr>
              <w:t>all</w:t>
            </w:r>
            <w:r w:rsidRPr="001206C6">
              <w:rPr>
                <w:rStyle w:val="BodyTextChar"/>
              </w:rPr>
              <w:t xml:space="preserve"> PBS design approval applications to the PBS Review Panel for advice</w:t>
            </w:r>
            <w:r>
              <w:t>.</w:t>
            </w:r>
          </w:p>
        </w:tc>
      </w:tr>
      <w:tr w:rsidR="00A1113C" w:rsidRPr="00233503" w14:paraId="0FC2AA8B" w14:textId="77777777" w:rsidTr="00273C8A">
        <w:tc>
          <w:tcPr>
            <w:tcW w:w="9638" w:type="dxa"/>
            <w:gridSpan w:val="2"/>
            <w:shd w:val="clear" w:color="auto" w:fill="auto"/>
            <w:tcMar>
              <w:top w:w="0" w:type="dxa"/>
              <w:bottom w:w="0" w:type="dxa"/>
            </w:tcMar>
          </w:tcPr>
          <w:p w14:paraId="21BDF73D" w14:textId="219EE150" w:rsidR="00A1113C" w:rsidRPr="00233503" w:rsidRDefault="00A1113C">
            <w:pPr>
              <w:spacing w:before="0" w:after="0" w:line="200" w:lineRule="exact"/>
            </w:pPr>
          </w:p>
        </w:tc>
      </w:tr>
    </w:tbl>
    <w:p w14:paraId="3A153FA2" w14:textId="7C68664F" w:rsidR="00A1113C" w:rsidRPr="00313E31" w:rsidRDefault="00A1113C" w:rsidP="00273C8A">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A1113C" w:rsidRPr="00CA4937" w14:paraId="7779F97B" w14:textId="77777777">
        <w:trPr>
          <w:trHeight w:val="765"/>
          <w:tblHeader/>
        </w:trPr>
        <w:tc>
          <w:tcPr>
            <w:tcW w:w="366" w:type="pct"/>
            <w:shd w:val="clear" w:color="auto" w:fill="EBEBEB"/>
            <w:tcMar>
              <w:bottom w:w="0" w:type="dxa"/>
            </w:tcMar>
            <w:vAlign w:val="center"/>
          </w:tcPr>
          <w:p w14:paraId="5C36F8F9" w14:textId="77777777" w:rsidR="00A1113C" w:rsidRPr="00CA4937" w:rsidRDefault="00A1113C">
            <w:pPr>
              <w:keepNext/>
              <w:keepLines/>
              <w:spacing w:before="0" w:after="0"/>
              <w:jc w:val="right"/>
            </w:pPr>
            <w:r w:rsidRPr="00CA4937">
              <w:rPr>
                <w:noProof/>
              </w:rPr>
              <w:lastRenderedPageBreak/>
              <w:drawing>
                <wp:inline distT="0" distB="0" distL="0" distR="0" wp14:anchorId="034F24DE" wp14:editId="0E461425">
                  <wp:extent cx="288000" cy="288000"/>
                  <wp:effectExtent l="0" t="0" r="0" b="0"/>
                  <wp:docPr id="651248980" name="Graphic 6512489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43FA6177" w14:textId="77777777" w:rsidR="00A1113C" w:rsidRPr="00CA4937" w:rsidRDefault="00A1113C">
            <w:pPr>
              <w:keepNext/>
              <w:keepLines/>
              <w:ind w:left="57"/>
              <w:contextualSpacing/>
              <w:rPr>
                <w:b/>
                <w:color w:val="265A9A" w:themeColor="background2"/>
              </w:rPr>
            </w:pPr>
            <w:r w:rsidRPr="00CA4937">
              <w:rPr>
                <w:b/>
                <w:color w:val="265A9A" w:themeColor="background2"/>
              </w:rPr>
              <w:t>Information request 2.2</w:t>
            </w:r>
          </w:p>
        </w:tc>
      </w:tr>
      <w:tr w:rsidR="000C3796" w:rsidRPr="000C3796" w14:paraId="22B135FD" w14:textId="77777777">
        <w:tc>
          <w:tcPr>
            <w:tcW w:w="5000" w:type="pct"/>
            <w:gridSpan w:val="2"/>
            <w:shd w:val="clear" w:color="auto" w:fill="EBEBEB"/>
          </w:tcPr>
          <w:p w14:paraId="1D64C910" w14:textId="77777777" w:rsidR="00A1113C" w:rsidRPr="000C3796" w:rsidRDefault="00A1113C">
            <w:pPr>
              <w:keepNext/>
              <w:keepLines/>
              <w:rPr>
                <w:color w:val="265A9A" w:themeColor="background2"/>
              </w:rPr>
            </w:pPr>
            <w:r w:rsidRPr="000C3796">
              <w:rPr>
                <w:color w:val="265A9A" w:themeColor="background2"/>
              </w:rPr>
              <w:t>The PC is seeking feedback on how the Performance</w:t>
            </w:r>
            <w:r w:rsidRPr="000C3796">
              <w:rPr>
                <w:color w:val="265A9A" w:themeColor="background2"/>
              </w:rPr>
              <w:noBreakHyphen/>
              <w:t>Based Standards (PBS) scheme can be improved and enable greater as</w:t>
            </w:r>
            <w:r w:rsidRPr="000C3796">
              <w:rPr>
                <w:color w:val="265A9A" w:themeColor="background2"/>
              </w:rPr>
              <w:noBreakHyphen/>
              <w:t>of</w:t>
            </w:r>
            <w:r w:rsidRPr="000C3796">
              <w:rPr>
                <w:color w:val="265A9A" w:themeColor="background2"/>
              </w:rPr>
              <w:noBreakHyphen/>
              <w:t xml:space="preserve">right access for PBS vehicles over time. We are also interested in views around how the Australian Government can best support this process. </w:t>
            </w:r>
          </w:p>
          <w:p w14:paraId="3E823B83" w14:textId="77777777" w:rsidR="00A1113C" w:rsidRPr="000C3796" w:rsidRDefault="00A1113C" w:rsidP="00B03E9F">
            <w:pPr>
              <w:pStyle w:val="ListBullet"/>
              <w:rPr>
                <w:color w:val="265A9A" w:themeColor="background2"/>
              </w:rPr>
            </w:pPr>
            <w:r w:rsidRPr="000C3796">
              <w:rPr>
                <w:color w:val="265A9A" w:themeColor="background2"/>
              </w:rPr>
              <w:t xml:space="preserve">Could there be any unintended impacts arising from not requiring the PBS Review Panel to provide advice on all PBS design applications? What types of PBS design applications should still require panel advice? </w:t>
            </w:r>
          </w:p>
          <w:p w14:paraId="2531DC1F" w14:textId="77777777" w:rsidR="00A1113C" w:rsidRPr="000C3796" w:rsidRDefault="00A1113C">
            <w:pPr>
              <w:keepNext/>
              <w:keepLines/>
              <w:rPr>
                <w:color w:val="265A9A" w:themeColor="background2"/>
              </w:rPr>
            </w:pPr>
            <w:r w:rsidRPr="000C3796">
              <w:rPr>
                <w:color w:val="265A9A" w:themeColor="background2"/>
              </w:rPr>
              <w:t>The PC is also seeking feedback on implementation issues, including how a pathway to add eligible PBS vehicles to existing notices (with in</w:t>
            </w:r>
            <w:r w:rsidRPr="000C3796">
              <w:rPr>
                <w:color w:val="265A9A" w:themeColor="background2"/>
              </w:rPr>
              <w:noBreakHyphen/>
            </w:r>
            <w:proofErr w:type="gramStart"/>
            <w:r w:rsidRPr="000C3796">
              <w:rPr>
                <w:color w:val="265A9A" w:themeColor="background2"/>
              </w:rPr>
              <w:t>principle</w:t>
            </w:r>
            <w:proofErr w:type="gramEnd"/>
            <w:r w:rsidRPr="000C3796">
              <w:rPr>
                <w:color w:val="265A9A" w:themeColor="background2"/>
              </w:rPr>
              <w:t xml:space="preserve"> road manager consent) could be embedded in legislation. </w:t>
            </w:r>
          </w:p>
          <w:p w14:paraId="04D64857" w14:textId="77777777" w:rsidR="00A1113C" w:rsidRPr="000C3796" w:rsidRDefault="00A1113C" w:rsidP="00B03E9F">
            <w:pPr>
              <w:pStyle w:val="ListBullet"/>
              <w:rPr>
                <w:color w:val="265A9A" w:themeColor="background2"/>
              </w:rPr>
            </w:pPr>
            <w:r w:rsidRPr="000C3796">
              <w:rPr>
                <w:color w:val="265A9A" w:themeColor="background2"/>
              </w:rPr>
              <w:t>How should the mechanism be designed and implemented? Why?</w:t>
            </w:r>
          </w:p>
          <w:p w14:paraId="2BA1D220" w14:textId="77777777" w:rsidR="00A1113C" w:rsidRPr="000C3796" w:rsidRDefault="00A1113C" w:rsidP="00273C8A">
            <w:pPr>
              <w:pStyle w:val="ListBullet2"/>
              <w:rPr>
                <w:color w:val="265A9A" w:themeColor="background2"/>
              </w:rPr>
            </w:pPr>
            <w:r w:rsidRPr="000C3796">
              <w:rPr>
                <w:color w:val="265A9A" w:themeColor="background2"/>
              </w:rPr>
              <w:t xml:space="preserve">What amendments to the Heavy Vehicle National Law or related regulations would be required? </w:t>
            </w:r>
          </w:p>
          <w:p w14:paraId="7A06E904" w14:textId="77777777" w:rsidR="00A1113C" w:rsidRPr="000C3796" w:rsidRDefault="00A1113C" w:rsidP="00273C8A">
            <w:pPr>
              <w:pStyle w:val="ListBullet2"/>
              <w:rPr>
                <w:color w:val="265A9A" w:themeColor="background2"/>
              </w:rPr>
            </w:pPr>
            <w:r w:rsidRPr="000C3796">
              <w:rPr>
                <w:color w:val="265A9A" w:themeColor="background2"/>
              </w:rPr>
              <w:t xml:space="preserve">Are amendments to the PBS classification system required? </w:t>
            </w:r>
          </w:p>
          <w:p w14:paraId="76264505" w14:textId="77777777" w:rsidR="00A1113C" w:rsidRPr="000C3796" w:rsidRDefault="00A1113C" w:rsidP="00273C8A">
            <w:pPr>
              <w:pStyle w:val="ListBullet2"/>
              <w:rPr>
                <w:color w:val="265A9A" w:themeColor="background2"/>
              </w:rPr>
            </w:pPr>
            <w:r w:rsidRPr="000C3796">
              <w:rPr>
                <w:color w:val="265A9A" w:themeColor="background2"/>
              </w:rPr>
              <w:t xml:space="preserve">How should amendments be implemented to ensure eligible PBS vehicles can be added to existing notices without having to get access approvals, while ensuring existing access arrangements previously agreed by road managers are preserved? </w:t>
            </w:r>
          </w:p>
          <w:p w14:paraId="3532D9B6" w14:textId="77777777" w:rsidR="00A1113C" w:rsidRPr="000C3796" w:rsidRDefault="00A1113C" w:rsidP="00273C8A">
            <w:pPr>
              <w:pStyle w:val="ListBullet2"/>
              <w:rPr>
                <w:color w:val="265A9A" w:themeColor="background2"/>
              </w:rPr>
            </w:pPr>
            <w:r w:rsidRPr="000C3796">
              <w:rPr>
                <w:color w:val="265A9A" w:themeColor="background2"/>
              </w:rPr>
              <w:t xml:space="preserve">What criteria should PBS combinations fulfil to be eligible to be added to existing notices? Which specific PBS combinations should be prioritised? On what basis? </w:t>
            </w:r>
          </w:p>
          <w:p w14:paraId="7AD6EF8F" w14:textId="77777777" w:rsidR="00A1113C" w:rsidRPr="000C3796" w:rsidRDefault="00A1113C" w:rsidP="00273C8A">
            <w:pPr>
              <w:pStyle w:val="ListBullet2"/>
              <w:rPr>
                <w:color w:val="265A9A" w:themeColor="background2"/>
              </w:rPr>
            </w:pPr>
            <w:r w:rsidRPr="000C3796">
              <w:rPr>
                <w:color w:val="265A9A" w:themeColor="background2"/>
              </w:rPr>
              <w:t>What safeguards, monitoring or review mechanisms would be required to ensure the approach maintains road safety and protects infrastructure?</w:t>
            </w:r>
          </w:p>
        </w:tc>
      </w:tr>
      <w:tr w:rsidR="00A1113C" w14:paraId="203D9D88" w14:textId="77777777">
        <w:tc>
          <w:tcPr>
            <w:tcW w:w="5000" w:type="pct"/>
            <w:gridSpan w:val="2"/>
            <w:tcMar>
              <w:bottom w:w="0" w:type="dxa"/>
            </w:tcMar>
          </w:tcPr>
          <w:p w14:paraId="0370FA43" w14:textId="5D2AE800" w:rsidR="00A1113C" w:rsidRDefault="00A1113C">
            <w:pPr>
              <w:pStyle w:val="NoSpacing"/>
              <w:spacing w:line="200" w:lineRule="atLeast"/>
            </w:pPr>
          </w:p>
        </w:tc>
      </w:tr>
    </w:tbl>
    <w:p w14:paraId="76D11EEE" w14:textId="6D423A0C" w:rsidR="00A1113C" w:rsidRPr="003A27BB" w:rsidRDefault="00A1113C" w:rsidP="00273C8A">
      <w:pPr>
        <w:pStyle w:val="NoSpacing"/>
      </w:pPr>
    </w:p>
    <w:tbl>
      <w:tblPr>
        <w:tblStyle w:val="Texttable-Paleblue"/>
        <w:tblW w:w="5000" w:type="pct"/>
        <w:tblLook w:val="04A0" w:firstRow="1" w:lastRow="0" w:firstColumn="1" w:lastColumn="0" w:noHBand="0" w:noVBand="1"/>
      </w:tblPr>
      <w:tblGrid>
        <w:gridCol w:w="713"/>
        <w:gridCol w:w="8925"/>
      </w:tblGrid>
      <w:tr w:rsidR="00A1113C" w:rsidRPr="00746B83" w14:paraId="7E1F695E" w14:textId="77777777">
        <w:trPr>
          <w:tblHeader/>
        </w:trPr>
        <w:tc>
          <w:tcPr>
            <w:tcW w:w="713" w:type="dxa"/>
            <w:shd w:val="clear" w:color="auto" w:fill="E7F6FD"/>
            <w:tcMar>
              <w:top w:w="0" w:type="dxa"/>
              <w:bottom w:w="0" w:type="dxa"/>
            </w:tcMar>
            <w:vAlign w:val="center"/>
          </w:tcPr>
          <w:p w14:paraId="4F9C76F6" w14:textId="77777777" w:rsidR="00A1113C" w:rsidRPr="00746B83" w:rsidRDefault="00A1113C" w:rsidP="00273C8A">
            <w:pPr>
              <w:keepLines/>
              <w:jc w:val="center"/>
            </w:pPr>
            <w:r w:rsidRPr="00746B83">
              <w:rPr>
                <w:noProof/>
              </w:rPr>
              <w:drawing>
                <wp:inline distT="0" distB="0" distL="0" distR="0" wp14:anchorId="317F8B76" wp14:editId="05160B4F">
                  <wp:extent cx="288000" cy="288000"/>
                  <wp:effectExtent l="0" t="0" r="0" b="0"/>
                  <wp:docPr id="1872707420" name="Graphic 18727074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288000" cy="288000"/>
                          </a:xfrm>
                          <a:prstGeom prst="rect">
                            <a:avLst/>
                          </a:prstGeom>
                        </pic:spPr>
                      </pic:pic>
                    </a:graphicData>
                  </a:graphic>
                </wp:inline>
              </w:drawing>
            </w:r>
          </w:p>
        </w:tc>
        <w:tc>
          <w:tcPr>
            <w:tcW w:w="8925" w:type="dxa"/>
            <w:shd w:val="clear" w:color="auto" w:fill="E7F6FD"/>
            <w:tcMar>
              <w:top w:w="0" w:type="dxa"/>
              <w:bottom w:w="0" w:type="dxa"/>
            </w:tcMar>
            <w:vAlign w:val="center"/>
          </w:tcPr>
          <w:p w14:paraId="408CA7CA" w14:textId="77777777" w:rsidR="00A1113C" w:rsidRPr="00746B83" w:rsidRDefault="00A1113C" w:rsidP="004E394F">
            <w:pPr>
              <w:keepLines/>
              <w:spacing w:after="0"/>
              <w:ind w:left="57"/>
              <w:rPr>
                <w:b/>
                <w:color w:val="265A9A" w:themeColor="background2"/>
              </w:rPr>
            </w:pPr>
            <w:r w:rsidRPr="00746B83">
              <w:rPr>
                <w:b/>
                <w:color w:val="265A9A" w:themeColor="background2"/>
              </w:rPr>
              <w:t>Draft recommendation 2.2</w:t>
            </w:r>
          </w:p>
          <w:p w14:paraId="6F0DC3DA" w14:textId="77777777" w:rsidR="00A1113C" w:rsidRPr="00746B83" w:rsidRDefault="00A1113C" w:rsidP="00273C8A">
            <w:pPr>
              <w:keepLines/>
              <w:ind w:left="57"/>
              <w:contextualSpacing/>
              <w:rPr>
                <w:b/>
                <w:color w:val="265A9A" w:themeColor="background2"/>
              </w:rPr>
            </w:pPr>
            <w:r w:rsidRPr="00746B83">
              <w:rPr>
                <w:b/>
                <w:color w:val="265A9A" w:themeColor="background2"/>
              </w:rPr>
              <w:t>A nationally</w:t>
            </w:r>
            <w:r w:rsidRPr="00746B83">
              <w:rPr>
                <w:b/>
                <w:color w:val="265A9A" w:themeColor="background2"/>
              </w:rPr>
              <w:noBreakHyphen/>
              <w:t>consistent concessional mass limit for electric heavy zero emissions vehicles (HZEVs)</w:t>
            </w:r>
          </w:p>
        </w:tc>
      </w:tr>
      <w:tr w:rsidR="00A1113C" w:rsidRPr="00746B83" w14:paraId="57CC0AE4" w14:textId="77777777">
        <w:tc>
          <w:tcPr>
            <w:tcW w:w="9638" w:type="dxa"/>
            <w:gridSpan w:val="2"/>
            <w:shd w:val="clear" w:color="auto" w:fill="E7F6FD"/>
            <w:tcMar>
              <w:top w:w="0" w:type="dxa"/>
            </w:tcMar>
          </w:tcPr>
          <w:p w14:paraId="161A4000" w14:textId="77777777" w:rsidR="00A1113C" w:rsidRPr="00746B83" w:rsidRDefault="00A1113C" w:rsidP="00273C8A">
            <w:r w:rsidRPr="00746B83">
              <w:t xml:space="preserve">The Australian, state and territory governments should – through the National Transport </w:t>
            </w:r>
            <w:r w:rsidRPr="00746B83" w:rsidDel="0044158B">
              <w:t xml:space="preserve">Commission </w:t>
            </w:r>
            <w:r w:rsidRPr="00746B83">
              <w:t xml:space="preserve">– work to embed a concessional mass limit in the Heavy Vehicle (Mass, Dimension and Loading) National Regulation to ensure electric HZEVs can operate across jurisdictions without significant payload disadvantages arising from battery weights. </w:t>
            </w:r>
          </w:p>
          <w:p w14:paraId="0815F56D" w14:textId="77777777" w:rsidR="00A1113C" w:rsidRPr="00746B83" w:rsidRDefault="00A1113C" w:rsidP="00273C8A">
            <w:r w:rsidRPr="00746B83">
              <w:t>These arrangements should be reassessed over time as batteries get lighter with technological change. An option is for governments to implement a transparent review mechanism every three years which monitors the development of electric HZEVs and the interaction with road wear to ensure the concession is set appropriately. The review mechanism should monitor the following areas:</w:t>
            </w:r>
          </w:p>
          <w:p w14:paraId="4D751DA1" w14:textId="77777777" w:rsidR="00A1113C" w:rsidRPr="00746B83" w:rsidRDefault="00A1113C" w:rsidP="00B03E9F">
            <w:pPr>
              <w:pStyle w:val="ListBullet"/>
            </w:pPr>
            <w:r w:rsidRPr="00746B83">
              <w:t>the payload gap between comparable diesel heavy vehicles and electric HZEVs</w:t>
            </w:r>
          </w:p>
          <w:p w14:paraId="20FE8AD3" w14:textId="77777777" w:rsidR="00A1113C" w:rsidRPr="00746B83" w:rsidRDefault="00A1113C" w:rsidP="00B03E9F">
            <w:pPr>
              <w:pStyle w:val="ListBullet"/>
            </w:pPr>
            <w:r w:rsidRPr="00746B83">
              <w:t>how international jurisdictions are setting concessional mass limits for electric HZEVs.</w:t>
            </w:r>
          </w:p>
          <w:p w14:paraId="60207241" w14:textId="77777777" w:rsidR="00A1113C" w:rsidRPr="00746B83" w:rsidRDefault="00A1113C" w:rsidP="00273C8A">
            <w:r w:rsidRPr="00746B83">
              <w:t>The concession should sunset following a positive review determination that the payload gap between comparable diesel and electric HZEVs has materially closed.</w:t>
            </w:r>
          </w:p>
        </w:tc>
      </w:tr>
      <w:tr w:rsidR="00A1113C" w:rsidRPr="00746B83" w14:paraId="0248732E" w14:textId="77777777">
        <w:tc>
          <w:tcPr>
            <w:tcW w:w="9638" w:type="dxa"/>
            <w:gridSpan w:val="2"/>
            <w:shd w:val="clear" w:color="auto" w:fill="auto"/>
            <w:tcMar>
              <w:top w:w="0" w:type="dxa"/>
              <w:bottom w:w="0" w:type="dxa"/>
            </w:tcMar>
          </w:tcPr>
          <w:p w14:paraId="49CAC084" w14:textId="13577B05" w:rsidR="00A1113C" w:rsidRPr="00746B83" w:rsidRDefault="00A1113C" w:rsidP="00273C8A">
            <w:pPr>
              <w:spacing w:before="0" w:after="0" w:line="200" w:lineRule="exact"/>
            </w:pPr>
          </w:p>
        </w:tc>
      </w:tr>
    </w:tbl>
    <w:p w14:paraId="30775C6A" w14:textId="77777777" w:rsidR="00A1113C" w:rsidRPr="00982F28" w:rsidRDefault="00A1113C" w:rsidP="00273C8A">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A1113C" w:rsidRPr="00201C60" w14:paraId="48DA7868" w14:textId="77777777" w:rsidTr="001159EA">
        <w:trPr>
          <w:trHeight w:val="765"/>
          <w:tblHeader/>
        </w:trPr>
        <w:tc>
          <w:tcPr>
            <w:tcW w:w="366" w:type="pct"/>
            <w:shd w:val="clear" w:color="auto" w:fill="EBEBEB"/>
            <w:tcMar>
              <w:bottom w:w="0" w:type="dxa"/>
            </w:tcMar>
            <w:vAlign w:val="center"/>
          </w:tcPr>
          <w:p w14:paraId="6E212AE5" w14:textId="77777777" w:rsidR="00A1113C" w:rsidRPr="00201C60" w:rsidRDefault="00A1113C" w:rsidP="00EC76ED">
            <w:pPr>
              <w:keepNext/>
              <w:keepLines/>
              <w:spacing w:after="0"/>
              <w:jc w:val="right"/>
            </w:pPr>
            <w:r w:rsidRPr="00201C60">
              <w:rPr>
                <w:noProof/>
              </w:rPr>
              <w:lastRenderedPageBreak/>
              <w:drawing>
                <wp:inline distT="0" distB="0" distL="0" distR="0" wp14:anchorId="39BC7638" wp14:editId="0E1015BE">
                  <wp:extent cx="288000" cy="288000"/>
                  <wp:effectExtent l="0" t="0" r="0" b="0"/>
                  <wp:docPr id="1406730830" name="Graphic 14067308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0977829D" w14:textId="77777777" w:rsidR="00A1113C" w:rsidRPr="00201C60" w:rsidRDefault="00A1113C" w:rsidP="001159EA">
            <w:pPr>
              <w:keepNext/>
              <w:keepLines/>
              <w:ind w:left="57"/>
              <w:contextualSpacing/>
              <w:rPr>
                <w:b/>
                <w:color w:val="265A9A" w:themeColor="background2"/>
              </w:rPr>
            </w:pPr>
            <w:r w:rsidRPr="00201C60">
              <w:rPr>
                <w:b/>
                <w:color w:val="265A9A" w:themeColor="background2"/>
              </w:rPr>
              <w:t>Information request 2.</w:t>
            </w:r>
            <w:r>
              <w:rPr>
                <w:b/>
                <w:color w:val="265A9A" w:themeColor="background2"/>
              </w:rPr>
              <w:t>3</w:t>
            </w:r>
          </w:p>
        </w:tc>
      </w:tr>
      <w:tr w:rsidR="000C3796" w:rsidRPr="000C3796" w14:paraId="75A73093" w14:textId="77777777" w:rsidTr="001159EA">
        <w:tc>
          <w:tcPr>
            <w:tcW w:w="5000" w:type="pct"/>
            <w:gridSpan w:val="2"/>
            <w:shd w:val="clear" w:color="auto" w:fill="EBEBEB"/>
          </w:tcPr>
          <w:p w14:paraId="004A108A" w14:textId="77777777" w:rsidR="00A1113C" w:rsidRPr="000C3796" w:rsidRDefault="00A1113C" w:rsidP="001159EA">
            <w:pPr>
              <w:keepNext/>
              <w:keepLines/>
              <w:rPr>
                <w:color w:val="265A9A" w:themeColor="background2"/>
              </w:rPr>
            </w:pPr>
            <w:r w:rsidRPr="000C3796">
              <w:rPr>
                <w:color w:val="265A9A" w:themeColor="background2"/>
              </w:rPr>
              <w:t>The PC is seeking feedback on implementation of a nationally</w:t>
            </w:r>
            <w:r w:rsidRPr="000C3796">
              <w:rPr>
                <w:color w:val="265A9A" w:themeColor="background2"/>
              </w:rPr>
              <w:noBreakHyphen/>
              <w:t>consistent mass concession for electric heavy zero emissions vehicles (HZEVs).</w:t>
            </w:r>
          </w:p>
          <w:p w14:paraId="3469410B" w14:textId="77777777" w:rsidR="00A1113C" w:rsidRPr="000C3796" w:rsidRDefault="00A1113C" w:rsidP="00B03E9F">
            <w:pPr>
              <w:pStyle w:val="ListBullet"/>
              <w:rPr>
                <w:color w:val="265A9A" w:themeColor="background2"/>
              </w:rPr>
            </w:pPr>
            <w:r w:rsidRPr="000C3796">
              <w:rPr>
                <w:color w:val="265A9A" w:themeColor="background2"/>
              </w:rPr>
              <w:t>How should a concessional mass limit to overcome the current payload gap between comparable diesel and electric HZEVs be implemented?</w:t>
            </w:r>
          </w:p>
          <w:p w14:paraId="44F124B4" w14:textId="77777777" w:rsidR="00A1113C" w:rsidRPr="000C3796" w:rsidRDefault="00A1113C" w:rsidP="001159EA">
            <w:pPr>
              <w:pStyle w:val="ListBullet2"/>
              <w:rPr>
                <w:color w:val="265A9A" w:themeColor="background2"/>
              </w:rPr>
            </w:pPr>
            <w:r w:rsidRPr="000C3796">
              <w:rPr>
                <w:color w:val="265A9A" w:themeColor="background2"/>
              </w:rPr>
              <w:t>What should the size of the concessional mass limit be?</w:t>
            </w:r>
          </w:p>
          <w:p w14:paraId="7219F038" w14:textId="77777777" w:rsidR="00A1113C" w:rsidRPr="000C3796" w:rsidRDefault="00A1113C" w:rsidP="001159EA">
            <w:pPr>
              <w:pStyle w:val="ListBullet2"/>
              <w:rPr>
                <w:color w:val="265A9A" w:themeColor="background2"/>
              </w:rPr>
            </w:pPr>
            <w:r w:rsidRPr="000C3796">
              <w:rPr>
                <w:color w:val="265A9A" w:themeColor="background2"/>
              </w:rPr>
              <w:t>What are the outcomes and learnings that have come out of the trial</w:t>
            </w:r>
            <w:r w:rsidRPr="000C3796">
              <w:rPr>
                <w:color w:val="265A9A" w:themeColor="background2"/>
              </w:rPr>
              <w:noBreakHyphen/>
              <w:t>based concessional electric HZEVs mass limit arrangements?</w:t>
            </w:r>
          </w:p>
          <w:p w14:paraId="68218496" w14:textId="77777777" w:rsidR="00A1113C" w:rsidRPr="000C3796" w:rsidRDefault="00A1113C" w:rsidP="001159EA">
            <w:pPr>
              <w:pStyle w:val="ListBullet2"/>
              <w:rPr>
                <w:color w:val="265A9A" w:themeColor="background2"/>
              </w:rPr>
            </w:pPr>
            <w:r w:rsidRPr="000C3796">
              <w:rPr>
                <w:color w:val="265A9A" w:themeColor="background2"/>
              </w:rPr>
              <w:t>How should the mass concession interact with the Performance</w:t>
            </w:r>
            <w:r w:rsidRPr="000C3796">
              <w:rPr>
                <w:color w:val="265A9A" w:themeColor="background2"/>
              </w:rPr>
              <w:noBreakHyphen/>
              <w:t>Based Standard scheme, including new and/or existing permits? What are the merits and downsides of the different options?</w:t>
            </w:r>
          </w:p>
          <w:p w14:paraId="68E84C3A" w14:textId="77777777" w:rsidR="00A1113C" w:rsidRPr="000C3796" w:rsidRDefault="00A1113C" w:rsidP="001159EA">
            <w:pPr>
              <w:pStyle w:val="ListBullet2"/>
              <w:rPr>
                <w:color w:val="265A9A" w:themeColor="background2"/>
              </w:rPr>
            </w:pPr>
            <w:r w:rsidRPr="000C3796">
              <w:rPr>
                <w:color w:val="265A9A" w:themeColor="background2"/>
              </w:rPr>
              <w:t xml:space="preserve">Are there any additional changes or approvals required to ensure operators can make use of the mass concession? </w:t>
            </w:r>
          </w:p>
          <w:p w14:paraId="32C12FD4" w14:textId="77777777" w:rsidR="00A1113C" w:rsidRPr="000C3796" w:rsidRDefault="00A1113C" w:rsidP="001159EA">
            <w:pPr>
              <w:pStyle w:val="ListBullet2"/>
              <w:rPr>
                <w:color w:val="265A9A" w:themeColor="background2"/>
              </w:rPr>
            </w:pPr>
            <w:r w:rsidRPr="000C3796">
              <w:rPr>
                <w:color w:val="265A9A" w:themeColor="background2"/>
              </w:rPr>
              <w:t>Are there cases where the concession should not be automatically applied? Why?</w:t>
            </w:r>
          </w:p>
          <w:p w14:paraId="38549AED" w14:textId="77777777" w:rsidR="00A1113C" w:rsidRPr="000C3796" w:rsidRDefault="00A1113C" w:rsidP="001159EA">
            <w:pPr>
              <w:pStyle w:val="ListBullet2"/>
              <w:rPr>
                <w:color w:val="265A9A" w:themeColor="background2"/>
              </w:rPr>
            </w:pPr>
            <w:r w:rsidRPr="000C3796">
              <w:rPr>
                <w:color w:val="265A9A" w:themeColor="background2"/>
              </w:rPr>
              <w:t>Is a three</w:t>
            </w:r>
            <w:r w:rsidRPr="000C3796">
              <w:rPr>
                <w:color w:val="265A9A" w:themeColor="background2"/>
              </w:rPr>
              <w:noBreakHyphen/>
              <w:t>yearly review process appropriate? What benchmarks should be considered in the review process?</w:t>
            </w:r>
          </w:p>
          <w:p w14:paraId="20C857CE" w14:textId="77777777" w:rsidR="00A1113C" w:rsidRPr="000C3796" w:rsidRDefault="00A1113C" w:rsidP="00B03E9F">
            <w:pPr>
              <w:pStyle w:val="ListBullet"/>
              <w:rPr>
                <w:color w:val="265A9A" w:themeColor="background2"/>
              </w:rPr>
            </w:pPr>
            <w:r w:rsidRPr="000C3796">
              <w:rPr>
                <w:color w:val="265A9A" w:themeColor="background2"/>
              </w:rPr>
              <w:t>What are the expected impacts of applying the mass concession?</w:t>
            </w:r>
          </w:p>
          <w:p w14:paraId="40DD4E48" w14:textId="77777777" w:rsidR="00A1113C" w:rsidRPr="000C3796" w:rsidRDefault="00A1113C" w:rsidP="001159EA">
            <w:pPr>
              <w:pStyle w:val="ListBullet2"/>
              <w:rPr>
                <w:color w:val="265A9A" w:themeColor="background2"/>
              </w:rPr>
            </w:pPr>
            <w:r w:rsidRPr="000C3796">
              <w:rPr>
                <w:color w:val="265A9A" w:themeColor="background2"/>
              </w:rPr>
              <w:t xml:space="preserve">To what extent would changes assist and/or accelerate the uptake of uptake of electric HZEVs? </w:t>
            </w:r>
          </w:p>
          <w:p w14:paraId="0510EED6" w14:textId="77777777" w:rsidR="00A1113C" w:rsidRPr="000C3796" w:rsidRDefault="00A1113C" w:rsidP="001159EA">
            <w:pPr>
              <w:pStyle w:val="ListBullet2"/>
              <w:rPr>
                <w:color w:val="265A9A" w:themeColor="background2"/>
              </w:rPr>
            </w:pPr>
            <w:r w:rsidRPr="000C3796">
              <w:rPr>
                <w:color w:val="265A9A" w:themeColor="background2"/>
              </w:rPr>
              <w:t xml:space="preserve">What road wear impacts will this have at anticipated take up rates? </w:t>
            </w:r>
          </w:p>
        </w:tc>
      </w:tr>
      <w:tr w:rsidR="00A1113C" w:rsidRPr="00201C60" w14:paraId="4893A75E" w14:textId="77777777" w:rsidTr="001159EA">
        <w:tc>
          <w:tcPr>
            <w:tcW w:w="5000" w:type="pct"/>
            <w:gridSpan w:val="2"/>
            <w:tcMar>
              <w:bottom w:w="0" w:type="dxa"/>
            </w:tcMar>
          </w:tcPr>
          <w:p w14:paraId="29FF7762" w14:textId="2599A58F" w:rsidR="00A1113C" w:rsidRPr="00201C60" w:rsidRDefault="00A1113C" w:rsidP="001159EA">
            <w:pPr>
              <w:spacing w:before="0" w:after="0" w:line="200" w:lineRule="atLeast"/>
            </w:pPr>
          </w:p>
        </w:tc>
      </w:tr>
    </w:tbl>
    <w:p w14:paraId="0C77B906" w14:textId="77777777" w:rsidR="00A1113C" w:rsidRDefault="00A1113C" w:rsidP="00273C8A">
      <w:pPr>
        <w:pStyle w:val="Heading2-nonumber"/>
      </w:pPr>
      <w:bookmarkStart w:id="23" w:name="_Toc225342379"/>
      <w:bookmarkStart w:id="24" w:name="_Toc225780238"/>
      <w:r>
        <w:t>Accelerating a National Automated Access System</w:t>
      </w:r>
      <w:bookmarkEnd w:id="23"/>
      <w:bookmarkEnd w:id="24"/>
    </w:p>
    <w:p w14:paraId="6801CB22" w14:textId="3DC48C75" w:rsidR="00A1113C" w:rsidRDefault="00A1113C" w:rsidP="00273C8A">
      <w:pPr>
        <w:pStyle w:val="NoSpacing"/>
      </w:pPr>
    </w:p>
    <w:tbl>
      <w:tblPr>
        <w:tblStyle w:val="TableGrid"/>
        <w:tblW w:w="5000" w:type="pct"/>
        <w:tblBorders>
          <w:top w:val="single" w:sz="4" w:space="0" w:color="66BCDB" w:themeColor="text2"/>
          <w:left w:val="single" w:sz="4" w:space="0" w:color="66BCDB" w:themeColor="text2"/>
          <w:bottom w:val="single" w:sz="4" w:space="0" w:color="66BCDB" w:themeColor="text2"/>
          <w:right w:val="single" w:sz="4" w:space="0" w:color="66BCDB" w:themeColor="text2"/>
          <w:insideH w:val="none" w:sz="0" w:space="0" w:color="auto"/>
          <w:insideV w:val="none" w:sz="0" w:space="0" w:color="auto"/>
        </w:tblBorders>
        <w:tblCellMar>
          <w:bottom w:w="113" w:type="dxa"/>
        </w:tblCellMar>
        <w:tblLook w:val="04A0" w:firstRow="1" w:lastRow="0" w:firstColumn="1" w:lastColumn="0" w:noHBand="0" w:noVBand="1"/>
      </w:tblPr>
      <w:tblGrid>
        <w:gridCol w:w="705"/>
        <w:gridCol w:w="8923"/>
      </w:tblGrid>
      <w:tr w:rsidR="00A1113C" w14:paraId="756C1382" w14:textId="77777777" w:rsidTr="00273C8A">
        <w:trPr>
          <w:trHeight w:val="765"/>
          <w:tblHeader/>
        </w:trPr>
        <w:tc>
          <w:tcPr>
            <w:tcW w:w="366" w:type="pct"/>
            <w:tcBorders>
              <w:bottom w:val="nil"/>
            </w:tcBorders>
            <w:tcMar>
              <w:bottom w:w="0" w:type="dxa"/>
            </w:tcMar>
            <w:vAlign w:val="center"/>
          </w:tcPr>
          <w:p w14:paraId="27DABAC9" w14:textId="77777777" w:rsidR="00A1113C" w:rsidRDefault="00A1113C" w:rsidP="00EC76ED">
            <w:pPr>
              <w:pStyle w:val="NoSpacing"/>
              <w:keepNext/>
              <w:keepLines/>
              <w:spacing w:before="120"/>
              <w:jc w:val="right"/>
            </w:pPr>
            <w:r w:rsidRPr="00A51374">
              <w:rPr>
                <w:noProof/>
              </w:rPr>
              <w:drawing>
                <wp:inline distT="0" distB="0" distL="0" distR="0" wp14:anchorId="1A1ED3DF" wp14:editId="2BB2CE2E">
                  <wp:extent cx="288000" cy="288000"/>
                  <wp:effectExtent l="0" t="0" r="0" b="0"/>
                  <wp:docPr id="379199687"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a:extLst>
                              <a:ext uri="{C183D7F6-B498-43B3-948B-1728B52AA6E4}">
                                <adec:decorative xmlns:adec="http://schemas.microsoft.com/office/drawing/2017/decorative" val="1"/>
                              </a:ext>
                            </a:extLst>
                          </pic:cNvPr>
                          <pic:cNvPicPr/>
                        </pic:nvPicPr>
                        <pic:blipFill>
                          <a:blip r:embed="rId4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634" w:type="pct"/>
            <w:tcBorders>
              <w:bottom w:val="nil"/>
            </w:tcBorders>
            <w:tcMar>
              <w:bottom w:w="0" w:type="dxa"/>
            </w:tcMar>
            <w:vAlign w:val="center"/>
          </w:tcPr>
          <w:p w14:paraId="0D3C65EC" w14:textId="405C9734" w:rsidR="00A1113C" w:rsidRPr="00A4395A" w:rsidRDefault="00A1113C" w:rsidP="00EC76ED">
            <w:pPr>
              <w:pStyle w:val="TableHeading"/>
              <w:keepNext/>
              <w:keepLines/>
              <w:spacing w:before="120" w:after="88"/>
              <w:ind w:left="42"/>
              <w:contextualSpacing/>
              <w:rPr>
                <w:sz w:val="20"/>
              </w:rPr>
            </w:pPr>
            <w:r>
              <w:rPr>
                <w:sz w:val="20"/>
              </w:rPr>
              <w:t>Draft f</w:t>
            </w:r>
            <w:r w:rsidRPr="00A4395A">
              <w:rPr>
                <w:sz w:val="20"/>
              </w:rPr>
              <w:t xml:space="preserve">inding </w:t>
            </w:r>
            <w:r>
              <w:rPr>
                <w:sz w:val="20"/>
              </w:rPr>
              <w:t>3</w:t>
            </w:r>
            <w:r w:rsidRPr="00A4395A">
              <w:rPr>
                <w:sz w:val="20"/>
              </w:rPr>
              <w:t>.</w:t>
            </w:r>
            <w:r w:rsidR="00422FB0">
              <w:rPr>
                <w:noProof/>
                <w:sz w:val="20"/>
              </w:rPr>
              <w:t>1</w:t>
            </w:r>
          </w:p>
          <w:p w14:paraId="611ECB5A" w14:textId="77777777" w:rsidR="00A1113C" w:rsidRDefault="00A1113C" w:rsidP="00273C8A">
            <w:pPr>
              <w:pStyle w:val="TableHeading"/>
              <w:keepLines/>
              <w:spacing w:before="88" w:after="88"/>
              <w:ind w:left="42"/>
              <w:contextualSpacing/>
            </w:pPr>
            <w:r w:rsidRPr="00BD5035">
              <w:rPr>
                <w:sz w:val="20"/>
              </w:rPr>
              <w:t>The existing permit system for heavy vehicle access is ripe for reform</w:t>
            </w:r>
          </w:p>
        </w:tc>
      </w:tr>
      <w:tr w:rsidR="00A1113C" w14:paraId="70616F77" w14:textId="77777777" w:rsidTr="00273C8A">
        <w:tc>
          <w:tcPr>
            <w:tcW w:w="5000" w:type="pct"/>
            <w:gridSpan w:val="2"/>
            <w:tcBorders>
              <w:top w:val="nil"/>
              <w:bottom w:val="single" w:sz="4" w:space="0" w:color="66BCDB" w:themeColor="text2"/>
            </w:tcBorders>
          </w:tcPr>
          <w:p w14:paraId="4E355DEF" w14:textId="77777777" w:rsidR="00A1113C" w:rsidRDefault="00A1113C" w:rsidP="00273C8A">
            <w:pPr>
              <w:pStyle w:val="BodyText"/>
              <w:keepLines/>
              <w:spacing w:before="88" w:after="88"/>
            </w:pPr>
            <w:r>
              <w:t>The heavy vehicle permit system imposes significant costs and uncertainty on operators, as well as administrative burden on road managers and the National Heavy Vehicle Regulator. There is a need to reform the system to promote flexibility, timeliness, consistency and quality of access decisions – this will support broader productivity.</w:t>
            </w:r>
          </w:p>
        </w:tc>
      </w:tr>
      <w:tr w:rsidR="00A1113C" w14:paraId="032BB5A1" w14:textId="77777777" w:rsidTr="00273C8A">
        <w:tc>
          <w:tcPr>
            <w:tcW w:w="5000" w:type="pct"/>
            <w:gridSpan w:val="2"/>
            <w:tcBorders>
              <w:top w:val="single" w:sz="4" w:space="0" w:color="66BCDB" w:themeColor="text2"/>
              <w:left w:val="nil"/>
              <w:bottom w:val="nil"/>
              <w:right w:val="nil"/>
            </w:tcBorders>
            <w:tcMar>
              <w:bottom w:w="0" w:type="dxa"/>
            </w:tcMar>
          </w:tcPr>
          <w:p w14:paraId="64FE19AC" w14:textId="28BAE574" w:rsidR="00A1113C" w:rsidRDefault="00A1113C" w:rsidP="00273C8A">
            <w:pPr>
              <w:pStyle w:val="NoSpacing"/>
              <w:spacing w:line="200" w:lineRule="atLeast"/>
            </w:pPr>
          </w:p>
        </w:tc>
      </w:tr>
    </w:tbl>
    <w:tbl>
      <w:tblPr>
        <w:tblStyle w:val="Texttable-Paleblue"/>
        <w:tblpPr w:leftFromText="180" w:rightFromText="180" w:vertAnchor="text" w:horzAnchor="margin" w:tblpY="311"/>
        <w:tblOverlap w:val="never"/>
        <w:tblW w:w="5000" w:type="pct"/>
        <w:tblLook w:val="04A0" w:firstRow="1" w:lastRow="0" w:firstColumn="1" w:lastColumn="0" w:noHBand="0" w:noVBand="1"/>
      </w:tblPr>
      <w:tblGrid>
        <w:gridCol w:w="734"/>
        <w:gridCol w:w="8904"/>
      </w:tblGrid>
      <w:tr w:rsidR="00A1113C" w14:paraId="06CD923C" w14:textId="77777777" w:rsidTr="00273C8A">
        <w:trPr>
          <w:tblHeader/>
        </w:trPr>
        <w:tc>
          <w:tcPr>
            <w:tcW w:w="734" w:type="dxa"/>
            <w:shd w:val="clear" w:color="auto" w:fill="E7F6FD"/>
            <w:tcMar>
              <w:top w:w="0" w:type="dxa"/>
              <w:bottom w:w="0" w:type="dxa"/>
            </w:tcMar>
            <w:vAlign w:val="center"/>
          </w:tcPr>
          <w:p w14:paraId="3EE3824F" w14:textId="77777777" w:rsidR="00A1113C" w:rsidRDefault="00A1113C" w:rsidP="00EC76ED">
            <w:pPr>
              <w:keepLines/>
              <w:spacing w:after="88"/>
              <w:jc w:val="center"/>
            </w:pPr>
            <w:r w:rsidRPr="00A51374">
              <w:rPr>
                <w:noProof/>
              </w:rPr>
              <w:drawing>
                <wp:inline distT="0" distB="0" distL="0" distR="0" wp14:anchorId="059C8F16" wp14:editId="6229E055">
                  <wp:extent cx="288000" cy="288000"/>
                  <wp:effectExtent l="0" t="0" r="0" b="0"/>
                  <wp:docPr id="904040722" name="Graphic 9040407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288000" cy="288000"/>
                          </a:xfrm>
                          <a:prstGeom prst="rect">
                            <a:avLst/>
                          </a:prstGeom>
                        </pic:spPr>
                      </pic:pic>
                    </a:graphicData>
                  </a:graphic>
                </wp:inline>
              </w:drawing>
            </w:r>
          </w:p>
        </w:tc>
        <w:tc>
          <w:tcPr>
            <w:tcW w:w="8904" w:type="dxa"/>
            <w:shd w:val="clear" w:color="auto" w:fill="E7F6FD"/>
            <w:tcMar>
              <w:top w:w="0" w:type="dxa"/>
              <w:bottom w:w="0" w:type="dxa"/>
            </w:tcMar>
            <w:vAlign w:val="center"/>
          </w:tcPr>
          <w:p w14:paraId="390AD99C" w14:textId="0FCA7BB9" w:rsidR="00A1113C" w:rsidRPr="00715040" w:rsidRDefault="00A1113C" w:rsidP="00EC76ED">
            <w:pPr>
              <w:pStyle w:val="TableHeading"/>
              <w:keepLines/>
              <w:spacing w:before="120" w:after="0"/>
              <w:ind w:left="40"/>
              <w:rPr>
                <w:sz w:val="20"/>
              </w:rPr>
            </w:pPr>
            <w:r>
              <w:rPr>
                <w:sz w:val="20"/>
              </w:rPr>
              <w:t>Draft r</w:t>
            </w:r>
            <w:r w:rsidRPr="00715040">
              <w:rPr>
                <w:sz w:val="20"/>
              </w:rPr>
              <w:t xml:space="preserve">ecommendation </w:t>
            </w:r>
            <w:r>
              <w:rPr>
                <w:sz w:val="20"/>
              </w:rPr>
              <w:t>3</w:t>
            </w:r>
            <w:r w:rsidRPr="00715040">
              <w:rPr>
                <w:sz w:val="20"/>
              </w:rPr>
              <w:t>.</w:t>
            </w:r>
            <w:r w:rsidR="00D811F9">
              <w:rPr>
                <w:sz w:val="20"/>
              </w:rPr>
              <w:t>1</w:t>
            </w:r>
          </w:p>
          <w:p w14:paraId="704AF608" w14:textId="77777777" w:rsidR="00A1113C" w:rsidRPr="00715040" w:rsidRDefault="00A1113C" w:rsidP="00EC76ED">
            <w:pPr>
              <w:pStyle w:val="TableHeading"/>
              <w:keepLines/>
              <w:spacing w:before="88" w:after="120"/>
              <w:ind w:left="42"/>
              <w:contextualSpacing/>
              <w:rPr>
                <w:sz w:val="20"/>
              </w:rPr>
            </w:pPr>
            <w:r w:rsidRPr="00BD5035">
              <w:rPr>
                <w:sz w:val="20"/>
              </w:rPr>
              <w:t>The N</w:t>
            </w:r>
            <w:r>
              <w:rPr>
                <w:sz w:val="20"/>
              </w:rPr>
              <w:t xml:space="preserve">ational </w:t>
            </w:r>
            <w:r w:rsidRPr="00BD5035">
              <w:rPr>
                <w:sz w:val="20"/>
              </w:rPr>
              <w:t>A</w:t>
            </w:r>
            <w:r>
              <w:rPr>
                <w:sz w:val="20"/>
              </w:rPr>
              <w:t xml:space="preserve">utomated </w:t>
            </w:r>
            <w:r w:rsidRPr="00BD5035">
              <w:rPr>
                <w:sz w:val="20"/>
              </w:rPr>
              <w:t>A</w:t>
            </w:r>
            <w:r>
              <w:rPr>
                <w:sz w:val="20"/>
              </w:rPr>
              <w:t xml:space="preserve">ccess </w:t>
            </w:r>
            <w:r w:rsidRPr="00BD5035">
              <w:rPr>
                <w:sz w:val="20"/>
              </w:rPr>
              <w:t>S</w:t>
            </w:r>
            <w:r>
              <w:rPr>
                <w:sz w:val="20"/>
              </w:rPr>
              <w:t>ystem</w:t>
            </w:r>
            <w:r w:rsidRPr="00BD5035">
              <w:rPr>
                <w:sz w:val="20"/>
              </w:rPr>
              <w:t xml:space="preserve"> should incorporate network</w:t>
            </w:r>
            <w:r>
              <w:rPr>
                <w:sz w:val="20"/>
              </w:rPr>
              <w:noBreakHyphen/>
            </w:r>
            <w:r w:rsidRPr="00BD5035">
              <w:rPr>
                <w:sz w:val="20"/>
              </w:rPr>
              <w:t>based access</w:t>
            </w:r>
          </w:p>
        </w:tc>
      </w:tr>
      <w:tr w:rsidR="00A1113C" w14:paraId="37671BF6" w14:textId="77777777" w:rsidTr="00273C8A">
        <w:tc>
          <w:tcPr>
            <w:tcW w:w="9638" w:type="dxa"/>
            <w:gridSpan w:val="2"/>
            <w:shd w:val="clear" w:color="auto" w:fill="E7F6FD"/>
            <w:tcMar>
              <w:top w:w="0" w:type="dxa"/>
            </w:tcMar>
          </w:tcPr>
          <w:p w14:paraId="176FCF0E" w14:textId="77777777" w:rsidR="00A1113C" w:rsidRPr="00767EAE" w:rsidRDefault="00A1113C" w:rsidP="00273C8A">
            <w:pPr>
              <w:pStyle w:val="BodyText"/>
              <w:spacing w:before="88" w:after="88"/>
            </w:pPr>
            <w:r>
              <w:t xml:space="preserve">As much as possible, the National Automated Access System should be designed to provide </w:t>
            </w:r>
            <w:r>
              <w:br/>
              <w:t>network</w:t>
            </w:r>
            <w:r>
              <w:noBreakHyphen/>
              <w:t>based access rather than automating access for prescriptive routes. This will maximise the benefits of the system for operators and the community.</w:t>
            </w:r>
          </w:p>
        </w:tc>
      </w:tr>
      <w:tr w:rsidR="00A1113C" w14:paraId="1F0F4980" w14:textId="77777777" w:rsidTr="00273C8A">
        <w:tc>
          <w:tcPr>
            <w:tcW w:w="9638" w:type="dxa"/>
            <w:gridSpan w:val="2"/>
            <w:shd w:val="clear" w:color="auto" w:fill="auto"/>
            <w:tcMar>
              <w:top w:w="0" w:type="dxa"/>
              <w:bottom w:w="0" w:type="dxa"/>
            </w:tcMar>
          </w:tcPr>
          <w:p w14:paraId="09A877F9" w14:textId="05B47102" w:rsidR="00A1113C" w:rsidRPr="007E0EA8" w:rsidRDefault="00A1113C" w:rsidP="00273C8A">
            <w:pPr>
              <w:pStyle w:val="NoSpacing"/>
              <w:spacing w:line="200" w:lineRule="exact"/>
            </w:pPr>
          </w:p>
        </w:tc>
      </w:tr>
    </w:tbl>
    <w:p w14:paraId="28837643" w14:textId="13D5C9C4" w:rsidR="00A1113C" w:rsidRDefault="00A1113C" w:rsidP="00273C8A">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A1113C" w14:paraId="020F77DA" w14:textId="77777777" w:rsidTr="00273C8A">
        <w:trPr>
          <w:trHeight w:val="765"/>
          <w:tblHeader/>
        </w:trPr>
        <w:tc>
          <w:tcPr>
            <w:tcW w:w="366" w:type="pct"/>
            <w:shd w:val="clear" w:color="auto" w:fill="EBEBEB"/>
            <w:tcMar>
              <w:bottom w:w="0" w:type="dxa"/>
            </w:tcMar>
            <w:vAlign w:val="center"/>
          </w:tcPr>
          <w:p w14:paraId="565CBC1C" w14:textId="77777777" w:rsidR="00A1113C" w:rsidRDefault="00A1113C" w:rsidP="005E15CC">
            <w:pPr>
              <w:pStyle w:val="NoSpacing"/>
              <w:keepNext/>
              <w:keepLines/>
              <w:spacing w:before="120"/>
              <w:jc w:val="right"/>
            </w:pPr>
            <w:r w:rsidRPr="00A51374">
              <w:rPr>
                <w:noProof/>
              </w:rPr>
              <w:lastRenderedPageBreak/>
              <w:drawing>
                <wp:inline distT="0" distB="0" distL="0" distR="0" wp14:anchorId="7B90168F" wp14:editId="61BE6B8D">
                  <wp:extent cx="288000" cy="288000"/>
                  <wp:effectExtent l="0" t="0" r="0" b="0"/>
                  <wp:docPr id="867668710" name="Graphic 8676687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3EA95ADC" w14:textId="77777777" w:rsidR="00A1113C" w:rsidRPr="002530FF" w:rsidRDefault="00A1113C" w:rsidP="005E15CC">
            <w:pPr>
              <w:pStyle w:val="TableHeading"/>
              <w:keepNext/>
              <w:keepLines/>
              <w:spacing w:before="120" w:after="88"/>
              <w:ind w:left="42"/>
              <w:contextualSpacing/>
              <w:rPr>
                <w:sz w:val="20"/>
              </w:rPr>
            </w:pPr>
            <w:r w:rsidRPr="000B0B71">
              <w:rPr>
                <w:sz w:val="20"/>
              </w:rPr>
              <w:t xml:space="preserve">Information request </w:t>
            </w:r>
            <w:r>
              <w:rPr>
                <w:sz w:val="20"/>
              </w:rPr>
              <w:t>3</w:t>
            </w:r>
            <w:r w:rsidRPr="00DF7217">
              <w:rPr>
                <w:sz w:val="20"/>
              </w:rPr>
              <w:t>.</w:t>
            </w:r>
            <w:r>
              <w:rPr>
                <w:sz w:val="20"/>
              </w:rPr>
              <w:t>1</w:t>
            </w:r>
          </w:p>
        </w:tc>
      </w:tr>
      <w:tr w:rsidR="00A1113C" w14:paraId="080B335F" w14:textId="77777777" w:rsidTr="00273C8A">
        <w:tc>
          <w:tcPr>
            <w:tcW w:w="5000" w:type="pct"/>
            <w:gridSpan w:val="2"/>
            <w:shd w:val="clear" w:color="auto" w:fill="EBEBEB"/>
          </w:tcPr>
          <w:p w14:paraId="26759614" w14:textId="77777777" w:rsidR="00A1113C" w:rsidRPr="005E15CC" w:rsidRDefault="00A1113C" w:rsidP="00621C01">
            <w:pPr>
              <w:pStyle w:val="BodyText"/>
              <w:keepNext/>
              <w:keepLines/>
              <w:spacing w:before="88"/>
              <w:rPr>
                <w:spacing w:val="-2"/>
              </w:rPr>
            </w:pPr>
            <w:r w:rsidRPr="005E15CC">
              <w:rPr>
                <w:color w:val="265A9A" w:themeColor="background2"/>
                <w:spacing w:val="-2"/>
              </w:rPr>
              <w:t xml:space="preserve">The PC is seeking evidence and views about how the National Automated Access System can be designed to improve the consistency and quality of local governments’ access decisions. Is guidance and improved </w:t>
            </w:r>
            <w:r w:rsidRPr="005E15CC">
              <w:rPr>
                <w:color w:val="265A9A" w:themeColor="background2"/>
                <w:spacing w:val="-4"/>
              </w:rPr>
              <w:t>road asset data adequate, or are broader reforms needed to optimise decision making by local governments?</w:t>
            </w:r>
          </w:p>
        </w:tc>
      </w:tr>
      <w:tr w:rsidR="00A1113C" w14:paraId="146F0A87" w14:textId="77777777" w:rsidTr="00273C8A">
        <w:tc>
          <w:tcPr>
            <w:tcW w:w="5000" w:type="pct"/>
            <w:gridSpan w:val="2"/>
            <w:tcMar>
              <w:bottom w:w="0" w:type="dxa"/>
            </w:tcMar>
          </w:tcPr>
          <w:p w14:paraId="30BE6D2C" w14:textId="6D07344C" w:rsidR="00A1113C" w:rsidRDefault="00A1113C" w:rsidP="00273C8A">
            <w:pPr>
              <w:pStyle w:val="NoSpacing"/>
              <w:spacing w:line="200" w:lineRule="atLeast"/>
            </w:pPr>
          </w:p>
        </w:tc>
      </w:tr>
    </w:tbl>
    <w:p w14:paraId="02F392D8" w14:textId="17C4AFC0" w:rsidR="00A1113C" w:rsidRPr="006D2D80" w:rsidRDefault="00A1113C" w:rsidP="006D2D80">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A1113C" w14:paraId="6DB3C37C" w14:textId="77777777" w:rsidTr="00273C8A">
        <w:trPr>
          <w:trHeight w:val="765"/>
          <w:tblHeader/>
        </w:trPr>
        <w:tc>
          <w:tcPr>
            <w:tcW w:w="366" w:type="pct"/>
            <w:shd w:val="clear" w:color="auto" w:fill="EBEBEB"/>
            <w:tcMar>
              <w:bottom w:w="0" w:type="dxa"/>
            </w:tcMar>
            <w:vAlign w:val="center"/>
          </w:tcPr>
          <w:p w14:paraId="55552BFA" w14:textId="77777777" w:rsidR="00A1113C" w:rsidRDefault="00A1113C" w:rsidP="005E15CC">
            <w:pPr>
              <w:pStyle w:val="NoSpacing"/>
              <w:keepNext/>
              <w:keepLines/>
              <w:spacing w:before="120"/>
              <w:jc w:val="right"/>
            </w:pPr>
            <w:r w:rsidRPr="00A51374">
              <w:rPr>
                <w:noProof/>
              </w:rPr>
              <w:drawing>
                <wp:inline distT="0" distB="0" distL="0" distR="0" wp14:anchorId="6130E6F3" wp14:editId="2C18D33E">
                  <wp:extent cx="288000" cy="288000"/>
                  <wp:effectExtent l="0" t="0" r="0" b="0"/>
                  <wp:docPr id="2011736017" name="Graphic 20117360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3F8508EA" w14:textId="77777777" w:rsidR="00A1113C" w:rsidRPr="002530FF" w:rsidRDefault="00A1113C" w:rsidP="005E15CC">
            <w:pPr>
              <w:pStyle w:val="TableHeading"/>
              <w:keepNext/>
              <w:keepLines/>
              <w:spacing w:before="120" w:after="120"/>
              <w:contextualSpacing/>
              <w:rPr>
                <w:sz w:val="20"/>
              </w:rPr>
            </w:pPr>
            <w:r w:rsidRPr="000B0B71">
              <w:rPr>
                <w:sz w:val="20"/>
              </w:rPr>
              <w:t xml:space="preserve">Information request </w:t>
            </w:r>
            <w:r>
              <w:rPr>
                <w:sz w:val="20"/>
              </w:rPr>
              <w:t>3.2</w:t>
            </w:r>
          </w:p>
        </w:tc>
      </w:tr>
      <w:tr w:rsidR="000C3796" w:rsidRPr="000C3796" w14:paraId="482B8824" w14:textId="77777777" w:rsidTr="00273C8A">
        <w:tc>
          <w:tcPr>
            <w:tcW w:w="5000" w:type="pct"/>
            <w:gridSpan w:val="2"/>
            <w:shd w:val="clear" w:color="auto" w:fill="EBEBEB"/>
          </w:tcPr>
          <w:p w14:paraId="245F5B05" w14:textId="77777777" w:rsidR="00A1113C" w:rsidRPr="000C3796" w:rsidRDefault="00A1113C" w:rsidP="00B03E9F">
            <w:pPr>
              <w:pStyle w:val="ListBullet"/>
              <w:rPr>
                <w:color w:val="265A9A" w:themeColor="background2"/>
              </w:rPr>
            </w:pPr>
            <w:r w:rsidRPr="000C3796">
              <w:rPr>
                <w:color w:val="265A9A" w:themeColor="background2"/>
              </w:rPr>
              <w:t xml:space="preserve">What are the factors affecting implementation of the National Automated Access System? What are the main resource constraints (for example, skilled people, data and information or equipment), and what parts of the implementation do they affect? </w:t>
            </w:r>
          </w:p>
          <w:p w14:paraId="793382BD" w14:textId="77777777" w:rsidR="00A1113C" w:rsidRPr="000C3796" w:rsidRDefault="00A1113C" w:rsidP="00B03E9F">
            <w:pPr>
              <w:pStyle w:val="ListBullet"/>
              <w:rPr>
                <w:color w:val="265A9A" w:themeColor="background2"/>
              </w:rPr>
            </w:pPr>
            <w:r w:rsidRPr="000C3796">
              <w:rPr>
                <w:color w:val="265A9A" w:themeColor="background2"/>
              </w:rPr>
              <w:t xml:space="preserve">What would be the best way to accelerate rollout of the National Automated Access System? If more funding is needed, where should it be directed and what should it be spent on? </w:t>
            </w:r>
          </w:p>
        </w:tc>
      </w:tr>
      <w:tr w:rsidR="00A1113C" w14:paraId="6D944047" w14:textId="77777777" w:rsidTr="00273C8A">
        <w:tc>
          <w:tcPr>
            <w:tcW w:w="5000" w:type="pct"/>
            <w:gridSpan w:val="2"/>
            <w:tcMar>
              <w:bottom w:w="0" w:type="dxa"/>
            </w:tcMar>
          </w:tcPr>
          <w:p w14:paraId="4912B41B" w14:textId="1D49E3EC" w:rsidR="00A1113C" w:rsidRDefault="00A1113C" w:rsidP="00273C8A">
            <w:pPr>
              <w:pStyle w:val="NoSpacing"/>
              <w:spacing w:line="200" w:lineRule="atLeast"/>
            </w:pPr>
          </w:p>
        </w:tc>
      </w:tr>
    </w:tbl>
    <w:p w14:paraId="6B72E724" w14:textId="3BB2A785" w:rsidR="00A1113C" w:rsidRPr="006D2D80" w:rsidRDefault="00A1113C" w:rsidP="006D2D80">
      <w:pPr>
        <w:pStyle w:val="NoSpacing"/>
      </w:pPr>
    </w:p>
    <w:tbl>
      <w:tblPr>
        <w:tblStyle w:val="Texttable-Paleblue"/>
        <w:tblW w:w="5000" w:type="pct"/>
        <w:tblLook w:val="04A0" w:firstRow="1" w:lastRow="0" w:firstColumn="1" w:lastColumn="0" w:noHBand="0" w:noVBand="1"/>
      </w:tblPr>
      <w:tblGrid>
        <w:gridCol w:w="713"/>
        <w:gridCol w:w="8925"/>
      </w:tblGrid>
      <w:tr w:rsidR="00A1113C" w14:paraId="02321A7A" w14:textId="77777777" w:rsidTr="00273C8A">
        <w:trPr>
          <w:tblHeader/>
        </w:trPr>
        <w:tc>
          <w:tcPr>
            <w:tcW w:w="713" w:type="dxa"/>
            <w:shd w:val="clear" w:color="auto" w:fill="E7F6FD"/>
            <w:tcMar>
              <w:top w:w="0" w:type="dxa"/>
              <w:bottom w:w="0" w:type="dxa"/>
            </w:tcMar>
            <w:vAlign w:val="center"/>
          </w:tcPr>
          <w:p w14:paraId="321A39F4" w14:textId="77777777" w:rsidR="00A1113C" w:rsidRDefault="00A1113C" w:rsidP="00621C01">
            <w:pPr>
              <w:keepLines/>
              <w:spacing w:after="88"/>
              <w:jc w:val="center"/>
            </w:pPr>
            <w:r w:rsidRPr="00A51374">
              <w:rPr>
                <w:noProof/>
              </w:rPr>
              <w:drawing>
                <wp:inline distT="0" distB="0" distL="0" distR="0" wp14:anchorId="4F6CB8A1" wp14:editId="18F3E0CB">
                  <wp:extent cx="288000" cy="288000"/>
                  <wp:effectExtent l="0" t="0" r="0" b="0"/>
                  <wp:docPr id="646206264" name="Graphic 6462062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288000" cy="288000"/>
                          </a:xfrm>
                          <a:prstGeom prst="rect">
                            <a:avLst/>
                          </a:prstGeom>
                        </pic:spPr>
                      </pic:pic>
                    </a:graphicData>
                  </a:graphic>
                </wp:inline>
              </w:drawing>
            </w:r>
          </w:p>
        </w:tc>
        <w:tc>
          <w:tcPr>
            <w:tcW w:w="8925" w:type="dxa"/>
            <w:shd w:val="clear" w:color="auto" w:fill="E7F6FD"/>
            <w:tcMar>
              <w:top w:w="0" w:type="dxa"/>
              <w:bottom w:w="0" w:type="dxa"/>
            </w:tcMar>
            <w:vAlign w:val="center"/>
          </w:tcPr>
          <w:p w14:paraId="332E1271" w14:textId="77777777" w:rsidR="00A1113C" w:rsidRPr="00715040" w:rsidRDefault="00A1113C" w:rsidP="00621C01">
            <w:pPr>
              <w:pStyle w:val="TableHeading"/>
              <w:keepLines/>
              <w:spacing w:before="120" w:after="88"/>
              <w:ind w:left="42"/>
              <w:contextualSpacing/>
              <w:rPr>
                <w:sz w:val="20"/>
              </w:rPr>
            </w:pPr>
            <w:r>
              <w:rPr>
                <w:sz w:val="20"/>
              </w:rPr>
              <w:t>Draft r</w:t>
            </w:r>
            <w:r w:rsidRPr="00715040">
              <w:rPr>
                <w:sz w:val="20"/>
              </w:rPr>
              <w:t xml:space="preserve">ecommendation </w:t>
            </w:r>
            <w:r>
              <w:rPr>
                <w:sz w:val="20"/>
              </w:rPr>
              <w:t>3</w:t>
            </w:r>
            <w:r w:rsidRPr="00715040">
              <w:rPr>
                <w:sz w:val="20"/>
              </w:rPr>
              <w:t>.</w:t>
            </w:r>
            <w:r>
              <w:rPr>
                <w:sz w:val="20"/>
              </w:rPr>
              <w:t>2</w:t>
            </w:r>
          </w:p>
          <w:p w14:paraId="098659DD" w14:textId="77777777" w:rsidR="00A1113C" w:rsidRPr="00715040" w:rsidRDefault="00A1113C" w:rsidP="00621C01">
            <w:pPr>
              <w:pStyle w:val="TableHeading"/>
              <w:keepLines/>
              <w:spacing w:before="88" w:after="120"/>
              <w:ind w:left="42"/>
              <w:contextualSpacing/>
              <w:rPr>
                <w:sz w:val="20"/>
              </w:rPr>
            </w:pPr>
            <w:r>
              <w:rPr>
                <w:sz w:val="20"/>
              </w:rPr>
              <w:t>Funding for the Strategic Local Government Asset Assessment Project</w:t>
            </w:r>
          </w:p>
        </w:tc>
      </w:tr>
      <w:tr w:rsidR="00A1113C" w14:paraId="2B341CEA" w14:textId="77777777" w:rsidTr="00273C8A">
        <w:tc>
          <w:tcPr>
            <w:tcW w:w="9638" w:type="dxa"/>
            <w:gridSpan w:val="2"/>
            <w:shd w:val="clear" w:color="auto" w:fill="E7F6FD"/>
            <w:tcMar>
              <w:top w:w="0" w:type="dxa"/>
            </w:tcMar>
          </w:tcPr>
          <w:p w14:paraId="572E6DB8" w14:textId="77777777" w:rsidR="00A1113C" w:rsidRPr="00767EAE" w:rsidRDefault="00A1113C" w:rsidP="00621C01">
            <w:pPr>
              <w:pStyle w:val="BodyText"/>
              <w:spacing w:before="88"/>
            </w:pPr>
            <w:r>
              <w:t>The Australian Government should fund future phases of the Strategic Local Government Asset Assessment Project, starting with Phase 4 in the 2027</w:t>
            </w:r>
            <w:r>
              <w:noBreakHyphen/>
              <w:t xml:space="preserve">28 Budget. </w:t>
            </w:r>
          </w:p>
        </w:tc>
      </w:tr>
      <w:tr w:rsidR="00A1113C" w14:paraId="5F26E8AD" w14:textId="77777777" w:rsidTr="00273C8A">
        <w:tc>
          <w:tcPr>
            <w:tcW w:w="9638" w:type="dxa"/>
            <w:gridSpan w:val="2"/>
            <w:shd w:val="clear" w:color="auto" w:fill="auto"/>
            <w:tcMar>
              <w:top w:w="0" w:type="dxa"/>
              <w:bottom w:w="0" w:type="dxa"/>
            </w:tcMar>
          </w:tcPr>
          <w:p w14:paraId="09460B29" w14:textId="6B127D77" w:rsidR="00A1113C" w:rsidRPr="007E0EA8" w:rsidRDefault="00A1113C" w:rsidP="00273C8A">
            <w:pPr>
              <w:pStyle w:val="NoSpacing"/>
              <w:spacing w:line="200" w:lineRule="exact"/>
            </w:pPr>
          </w:p>
        </w:tc>
      </w:tr>
    </w:tbl>
    <w:p w14:paraId="72B92B4E" w14:textId="77777777" w:rsidR="00A1113C" w:rsidRDefault="00A1113C" w:rsidP="00650FA6">
      <w:pPr>
        <w:pStyle w:val="Heading2-nonumber"/>
        <w:spacing w:before="360" w:after="0"/>
      </w:pPr>
      <w:bookmarkStart w:id="25" w:name="_Toc225342380"/>
      <w:bookmarkStart w:id="26" w:name="_Toc225780239"/>
      <w:r w:rsidRPr="004E4224">
        <w:t>Administrative and regulatory barriers to charging infrastructure</w:t>
      </w:r>
      <w:bookmarkEnd w:id="25"/>
      <w:bookmarkEnd w:id="26"/>
    </w:p>
    <w:p w14:paraId="44BF5635" w14:textId="7B3ADE8D" w:rsidR="00A1113C" w:rsidRDefault="00A1113C" w:rsidP="00273C8A">
      <w:pPr>
        <w:pStyle w:val="NoSpacing"/>
      </w:pPr>
    </w:p>
    <w:tbl>
      <w:tblPr>
        <w:tblStyle w:val="Texttable-Paleblue"/>
        <w:tblW w:w="5000" w:type="pct"/>
        <w:tblLook w:val="04A0" w:firstRow="1" w:lastRow="0" w:firstColumn="1" w:lastColumn="0" w:noHBand="0" w:noVBand="1"/>
      </w:tblPr>
      <w:tblGrid>
        <w:gridCol w:w="713"/>
        <w:gridCol w:w="8925"/>
      </w:tblGrid>
      <w:tr w:rsidR="00A1113C" w14:paraId="2DB56405" w14:textId="77777777" w:rsidTr="007D719E">
        <w:trPr>
          <w:tblHeader/>
        </w:trPr>
        <w:tc>
          <w:tcPr>
            <w:tcW w:w="713" w:type="dxa"/>
            <w:shd w:val="clear" w:color="auto" w:fill="E7F6FD"/>
            <w:tcMar>
              <w:top w:w="0" w:type="dxa"/>
              <w:bottom w:w="0" w:type="dxa"/>
            </w:tcMar>
            <w:vAlign w:val="center"/>
          </w:tcPr>
          <w:p w14:paraId="7B5B074B" w14:textId="77777777" w:rsidR="00A1113C" w:rsidRDefault="00A1113C">
            <w:pPr>
              <w:keepLines/>
              <w:jc w:val="center"/>
            </w:pPr>
            <w:r w:rsidRPr="00A51374">
              <w:rPr>
                <w:noProof/>
              </w:rPr>
              <w:drawing>
                <wp:inline distT="0" distB="0" distL="0" distR="0" wp14:anchorId="5F03793A" wp14:editId="234E89BA">
                  <wp:extent cx="288000" cy="288000"/>
                  <wp:effectExtent l="0" t="0" r="0" b="0"/>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288000" cy="288000"/>
                          </a:xfrm>
                          <a:prstGeom prst="rect">
                            <a:avLst/>
                          </a:prstGeom>
                        </pic:spPr>
                      </pic:pic>
                    </a:graphicData>
                  </a:graphic>
                </wp:inline>
              </w:drawing>
            </w:r>
          </w:p>
        </w:tc>
        <w:tc>
          <w:tcPr>
            <w:tcW w:w="8925" w:type="dxa"/>
            <w:shd w:val="clear" w:color="auto" w:fill="E7F6FD"/>
            <w:tcMar>
              <w:top w:w="0" w:type="dxa"/>
              <w:bottom w:w="0" w:type="dxa"/>
            </w:tcMar>
            <w:vAlign w:val="center"/>
          </w:tcPr>
          <w:p w14:paraId="6E33B27E" w14:textId="77777777" w:rsidR="00A1113C" w:rsidRPr="00715040" w:rsidRDefault="00A1113C">
            <w:pPr>
              <w:pStyle w:val="TableHeading"/>
              <w:keepLines/>
              <w:spacing w:before="120" w:after="120"/>
              <w:contextualSpacing/>
              <w:rPr>
                <w:sz w:val="20"/>
              </w:rPr>
            </w:pPr>
            <w:r>
              <w:rPr>
                <w:sz w:val="20"/>
              </w:rPr>
              <w:t>Draft r</w:t>
            </w:r>
            <w:r w:rsidRPr="00715040">
              <w:rPr>
                <w:sz w:val="20"/>
              </w:rPr>
              <w:t xml:space="preserve">ecommendation </w:t>
            </w:r>
            <w:r>
              <w:rPr>
                <w:sz w:val="20"/>
              </w:rPr>
              <w:t>4.1</w:t>
            </w:r>
          </w:p>
          <w:p w14:paraId="50537B7E" w14:textId="77777777" w:rsidR="00A1113C" w:rsidRPr="00715040" w:rsidRDefault="00A1113C">
            <w:pPr>
              <w:pStyle w:val="TableHeading"/>
              <w:keepLines/>
              <w:spacing w:before="120" w:after="120"/>
              <w:contextualSpacing/>
              <w:rPr>
                <w:sz w:val="20"/>
              </w:rPr>
            </w:pPr>
            <w:r>
              <w:rPr>
                <w:sz w:val="20"/>
              </w:rPr>
              <w:t>Make the Electric Vehicle Charging Infrastructure Mapping Tool more relevant to heavy zero emissions vehicle (HZEV) charging</w:t>
            </w:r>
          </w:p>
        </w:tc>
      </w:tr>
      <w:tr w:rsidR="00A1113C" w14:paraId="3998F3FD" w14:textId="77777777" w:rsidTr="007D719E">
        <w:tc>
          <w:tcPr>
            <w:tcW w:w="9638" w:type="dxa"/>
            <w:gridSpan w:val="2"/>
            <w:shd w:val="clear" w:color="auto" w:fill="E7F6FD"/>
            <w:tcMar>
              <w:top w:w="0" w:type="dxa"/>
            </w:tcMar>
          </w:tcPr>
          <w:p w14:paraId="22CAE617" w14:textId="77777777" w:rsidR="00A1113C" w:rsidRPr="007D719E" w:rsidRDefault="00A1113C" w:rsidP="00273C8A">
            <w:pPr>
              <w:pStyle w:val="BodyText"/>
              <w:keepLines/>
              <w:rPr>
                <w:spacing w:val="-4"/>
              </w:rPr>
            </w:pPr>
            <w:r w:rsidRPr="007D719E">
              <w:rPr>
                <w:spacing w:val="-4"/>
              </w:rPr>
              <w:t>To make the Electric Vehicle Charging Infrastructure Mapping Tool more useful to guide investments in HZEV charging infrastructure, the Department of Climate Change, Energy, the Environment and Water should:</w:t>
            </w:r>
          </w:p>
          <w:p w14:paraId="5CE9C4C3" w14:textId="77777777" w:rsidR="00A1113C" w:rsidRDefault="00A1113C" w:rsidP="00B03E9F">
            <w:pPr>
              <w:pStyle w:val="ListBullet"/>
            </w:pPr>
            <w:r>
              <w:t>work with electricity distribution network service providers and the Australian Energy Regulator to incorporate more granular (distribution substation</w:t>
            </w:r>
            <w:r>
              <w:noBreakHyphen/>
              <w:t>level) distribution network capacity information</w:t>
            </w:r>
          </w:p>
          <w:p w14:paraId="0F2E66D4" w14:textId="77777777" w:rsidR="00A1113C" w:rsidRDefault="00A1113C" w:rsidP="00B03E9F">
            <w:pPr>
              <w:pStyle w:val="ListBullet"/>
            </w:pPr>
            <w:r>
              <w:t xml:space="preserve">work with the </w:t>
            </w:r>
            <w:r w:rsidRPr="00896C9D">
              <w:rPr>
                <w:rFonts w:ascii="Arial" w:hAnsi="Arial" w:cs="Arial"/>
              </w:rPr>
              <w:t>Department of Infrastructure, Transport, Regional Development, Communications, Sport and the Arts</w:t>
            </w:r>
            <w:r>
              <w:rPr>
                <w:rFonts w:ascii="Arial" w:hAnsi="Arial" w:cs="Arial"/>
              </w:rPr>
              <w:t xml:space="preserve"> and</w:t>
            </w:r>
            <w:r>
              <w:t xml:space="preserve"> the National Heavy Vehicle Regulator to incorporate information on freight locations and movements</w:t>
            </w:r>
          </w:p>
          <w:p w14:paraId="022B7B68" w14:textId="77777777" w:rsidR="00A1113C" w:rsidRDefault="00A1113C" w:rsidP="00B03E9F">
            <w:pPr>
              <w:pStyle w:val="ListBullet"/>
            </w:pPr>
            <w:r>
              <w:t xml:space="preserve">work with state and territory governments to incorporate information on where charging is an allowed land use (with and without planning </w:t>
            </w:r>
            <w:r w:rsidRPr="00DA51CD">
              <w:t>permission</w:t>
            </w:r>
            <w:r>
              <w:t>)</w:t>
            </w:r>
          </w:p>
          <w:p w14:paraId="5929F496" w14:textId="77777777" w:rsidR="00A1113C" w:rsidRPr="00767EAE" w:rsidRDefault="00A1113C" w:rsidP="00B03E9F">
            <w:pPr>
              <w:pStyle w:val="ListBullet"/>
            </w:pPr>
            <w:r>
              <w:t>allow all mapping data to be exported.</w:t>
            </w:r>
          </w:p>
        </w:tc>
      </w:tr>
    </w:tbl>
    <w:p w14:paraId="21624DF0" w14:textId="4C68AAC0" w:rsidR="00A1113C" w:rsidRDefault="00A1113C" w:rsidP="00273C8A">
      <w:pPr>
        <w:pStyle w:val="NoSpacing"/>
      </w:pPr>
    </w:p>
    <w:tbl>
      <w:tblPr>
        <w:tblStyle w:val="Texttable-Paleblue"/>
        <w:tblW w:w="5000" w:type="pct"/>
        <w:tblLook w:val="04A0" w:firstRow="1" w:lastRow="0" w:firstColumn="1" w:lastColumn="0" w:noHBand="0" w:noVBand="1"/>
      </w:tblPr>
      <w:tblGrid>
        <w:gridCol w:w="713"/>
        <w:gridCol w:w="8925"/>
      </w:tblGrid>
      <w:tr w:rsidR="00A1113C" w14:paraId="2B405989" w14:textId="77777777">
        <w:trPr>
          <w:tblHeader/>
        </w:trPr>
        <w:tc>
          <w:tcPr>
            <w:tcW w:w="709" w:type="dxa"/>
            <w:shd w:val="clear" w:color="auto" w:fill="E7F6FD"/>
            <w:tcMar>
              <w:top w:w="0" w:type="dxa"/>
              <w:bottom w:w="0" w:type="dxa"/>
            </w:tcMar>
            <w:vAlign w:val="center"/>
          </w:tcPr>
          <w:p w14:paraId="5354A204" w14:textId="77777777" w:rsidR="00A1113C" w:rsidRDefault="00A1113C">
            <w:pPr>
              <w:keepLines/>
              <w:jc w:val="center"/>
            </w:pPr>
            <w:r w:rsidRPr="00A51374">
              <w:rPr>
                <w:noProof/>
              </w:rPr>
              <w:drawing>
                <wp:inline distT="0" distB="0" distL="0" distR="0" wp14:anchorId="17066E61" wp14:editId="6CC52F7D">
                  <wp:extent cx="288000" cy="288000"/>
                  <wp:effectExtent l="0" t="0" r="0" b="0"/>
                  <wp:docPr id="1258896992" name="Graphic 12588969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288000" cy="288000"/>
                          </a:xfrm>
                          <a:prstGeom prst="rect">
                            <a:avLst/>
                          </a:prstGeom>
                        </pic:spPr>
                      </pic:pic>
                    </a:graphicData>
                  </a:graphic>
                </wp:inline>
              </w:drawing>
            </w:r>
          </w:p>
        </w:tc>
        <w:tc>
          <w:tcPr>
            <w:tcW w:w="8874" w:type="dxa"/>
            <w:shd w:val="clear" w:color="auto" w:fill="E7F6FD"/>
            <w:tcMar>
              <w:top w:w="0" w:type="dxa"/>
              <w:bottom w:w="0" w:type="dxa"/>
            </w:tcMar>
            <w:vAlign w:val="center"/>
          </w:tcPr>
          <w:p w14:paraId="70D84546" w14:textId="77777777" w:rsidR="00A1113C" w:rsidRPr="00715040" w:rsidRDefault="00A1113C" w:rsidP="00650FA6">
            <w:pPr>
              <w:pStyle w:val="TableHeading"/>
              <w:keepLines/>
              <w:spacing w:before="120" w:after="0"/>
              <w:rPr>
                <w:sz w:val="20"/>
              </w:rPr>
            </w:pPr>
            <w:r>
              <w:rPr>
                <w:sz w:val="20"/>
              </w:rPr>
              <w:t>Draft r</w:t>
            </w:r>
            <w:r w:rsidRPr="00715040">
              <w:rPr>
                <w:sz w:val="20"/>
              </w:rPr>
              <w:t>ecommendation</w:t>
            </w:r>
            <w:r w:rsidRPr="00715040" w:rsidDel="000D0679">
              <w:rPr>
                <w:sz w:val="20"/>
              </w:rPr>
              <w:t xml:space="preserve"> </w:t>
            </w:r>
            <w:r>
              <w:rPr>
                <w:sz w:val="20"/>
              </w:rPr>
              <w:t>4.2</w:t>
            </w:r>
          </w:p>
          <w:p w14:paraId="33E675C2" w14:textId="77777777" w:rsidR="00A1113C" w:rsidRPr="00715040" w:rsidRDefault="00A1113C">
            <w:pPr>
              <w:pStyle w:val="TableHeading"/>
              <w:keepLines/>
              <w:spacing w:before="120" w:after="120"/>
              <w:contextualSpacing/>
              <w:rPr>
                <w:sz w:val="20"/>
              </w:rPr>
            </w:pPr>
            <w:r>
              <w:rPr>
                <w:sz w:val="20"/>
              </w:rPr>
              <w:t>Adapt land use regulation to heavy zero emissions vehicle charging infrastructure</w:t>
            </w:r>
          </w:p>
        </w:tc>
      </w:tr>
      <w:tr w:rsidR="00A1113C" w14:paraId="02E6F0A8" w14:textId="77777777">
        <w:tc>
          <w:tcPr>
            <w:tcW w:w="9583" w:type="dxa"/>
            <w:gridSpan w:val="2"/>
            <w:shd w:val="clear" w:color="auto" w:fill="E7F6FD"/>
            <w:tcMar>
              <w:top w:w="0" w:type="dxa"/>
            </w:tcMar>
          </w:tcPr>
          <w:p w14:paraId="5EB7B03D" w14:textId="77777777" w:rsidR="00A1113C" w:rsidRDefault="00A1113C" w:rsidP="00273C8A">
            <w:pPr>
              <w:pStyle w:val="BodyText"/>
              <w:keepLines/>
            </w:pPr>
            <w:r>
              <w:t>State and territory governments should alter the definitions of land uses that cover bus depots, freight centres, freight nodes and heavy vehicle rest stops to explicitly allow for electric vehicle charging on land used in this way.</w:t>
            </w:r>
          </w:p>
          <w:p w14:paraId="47F0FB56" w14:textId="77777777" w:rsidR="00A1113C" w:rsidRPr="00767EAE" w:rsidRDefault="00A1113C" w:rsidP="00273C8A">
            <w:pPr>
              <w:pStyle w:val="BodyText"/>
            </w:pPr>
            <w:r>
              <w:t>State and territory governments should exempt the installation of charging infrastructure</w:t>
            </w:r>
            <w:r w:rsidRPr="009E635F">
              <w:rPr>
                <w:color w:val="FF0000"/>
              </w:rPr>
              <w:t xml:space="preserve"> </w:t>
            </w:r>
            <w:r>
              <w:t xml:space="preserve">from requiring planning permission </w:t>
            </w:r>
            <w:r w:rsidRPr="000871EA">
              <w:t>where it is consistent</w:t>
            </w:r>
            <w:r>
              <w:t xml:space="preserve"> with </w:t>
            </w:r>
            <w:r w:rsidRPr="000871EA">
              <w:t>existing land use provisions</w:t>
            </w:r>
            <w:r>
              <w:t xml:space="preserve">. </w:t>
            </w:r>
            <w:r w:rsidRPr="004B1FBA">
              <w:t xml:space="preserve">To the extent that jurisdictions apply conditions to manage </w:t>
            </w:r>
            <w:r>
              <w:t xml:space="preserve">any </w:t>
            </w:r>
            <w:r w:rsidRPr="004B1FBA">
              <w:t>public impact</w:t>
            </w:r>
            <w:r>
              <w:t>,</w:t>
            </w:r>
            <w:r w:rsidRPr="004B1FBA">
              <w:t xml:space="preserve"> these should </w:t>
            </w:r>
            <w:r>
              <w:t xml:space="preserve">be </w:t>
            </w:r>
            <w:r w:rsidRPr="004B1FBA">
              <w:t>balanced against potential impacts on innovation</w:t>
            </w:r>
            <w:r>
              <w:t xml:space="preserve"> and </w:t>
            </w:r>
            <w:r w:rsidRPr="004B1FBA">
              <w:t>investment.</w:t>
            </w:r>
          </w:p>
        </w:tc>
      </w:tr>
      <w:tr w:rsidR="00A1113C" w14:paraId="6CE1A5B1" w14:textId="77777777">
        <w:tc>
          <w:tcPr>
            <w:tcW w:w="9583" w:type="dxa"/>
            <w:gridSpan w:val="2"/>
            <w:shd w:val="clear" w:color="auto" w:fill="auto"/>
            <w:tcMar>
              <w:top w:w="0" w:type="dxa"/>
              <w:bottom w:w="0" w:type="dxa"/>
            </w:tcMar>
          </w:tcPr>
          <w:p w14:paraId="70AB0B69" w14:textId="22E25E56" w:rsidR="00A1113C" w:rsidRPr="007E0EA8" w:rsidRDefault="00A1113C">
            <w:pPr>
              <w:pStyle w:val="NoSpacing"/>
              <w:spacing w:line="200" w:lineRule="exact"/>
            </w:pPr>
          </w:p>
        </w:tc>
      </w:tr>
    </w:tbl>
    <w:p w14:paraId="279E7375" w14:textId="0A3AB702" w:rsidR="00A1113C" w:rsidRPr="00B82084" w:rsidRDefault="00A1113C" w:rsidP="00273C8A">
      <w:pPr>
        <w:pStyle w:val="NoSpacing"/>
        <w:rPr>
          <w:rStyle w:val="BodyTextChar"/>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A1113C" w:rsidRPr="002530FF" w14:paraId="3122D810" w14:textId="77777777" w:rsidTr="00273C8A">
        <w:trPr>
          <w:trHeight w:val="765"/>
          <w:tblHeader/>
        </w:trPr>
        <w:tc>
          <w:tcPr>
            <w:tcW w:w="366" w:type="pct"/>
            <w:shd w:val="clear" w:color="auto" w:fill="EBEBEB"/>
            <w:tcMar>
              <w:bottom w:w="0" w:type="dxa"/>
            </w:tcMar>
            <w:vAlign w:val="center"/>
          </w:tcPr>
          <w:p w14:paraId="04C02899" w14:textId="77777777" w:rsidR="00A1113C" w:rsidRDefault="00A1113C">
            <w:pPr>
              <w:pStyle w:val="NoSpacing"/>
              <w:keepNext/>
              <w:keepLines/>
              <w:jc w:val="right"/>
            </w:pPr>
            <w:r w:rsidRPr="00A51374">
              <w:rPr>
                <w:noProof/>
              </w:rPr>
              <w:drawing>
                <wp:inline distT="0" distB="0" distL="0" distR="0" wp14:anchorId="63BBCDB6" wp14:editId="36CFB056">
                  <wp:extent cx="288000" cy="288000"/>
                  <wp:effectExtent l="0" t="0" r="0" b="0"/>
                  <wp:docPr id="1099046644" name="Graphic 10990466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5AE227EF" w14:textId="77777777" w:rsidR="00A1113C" w:rsidRPr="002530FF" w:rsidRDefault="00A1113C">
            <w:pPr>
              <w:pStyle w:val="TableHeading"/>
              <w:keepNext/>
              <w:keepLines/>
              <w:spacing w:before="120" w:after="120"/>
              <w:contextualSpacing/>
              <w:rPr>
                <w:sz w:val="20"/>
              </w:rPr>
            </w:pPr>
            <w:r w:rsidRPr="000B0B71">
              <w:rPr>
                <w:sz w:val="20"/>
              </w:rPr>
              <w:t xml:space="preserve">Information request </w:t>
            </w:r>
            <w:r>
              <w:rPr>
                <w:sz w:val="20"/>
              </w:rPr>
              <w:t>4.1</w:t>
            </w:r>
          </w:p>
        </w:tc>
      </w:tr>
      <w:tr w:rsidR="00A1113C" w14:paraId="26900DDA" w14:textId="77777777" w:rsidTr="00273C8A">
        <w:tc>
          <w:tcPr>
            <w:tcW w:w="5000" w:type="pct"/>
            <w:gridSpan w:val="2"/>
            <w:shd w:val="clear" w:color="auto" w:fill="EBEBEB"/>
          </w:tcPr>
          <w:p w14:paraId="20C7A84B" w14:textId="77777777" w:rsidR="00A1113C" w:rsidRPr="00650FA6" w:rsidRDefault="00A1113C">
            <w:pPr>
              <w:pStyle w:val="BodyText"/>
              <w:keepNext/>
              <w:keepLines/>
              <w:rPr>
                <w:spacing w:val="-2"/>
              </w:rPr>
            </w:pPr>
            <w:r w:rsidRPr="00650FA6">
              <w:rPr>
                <w:color w:val="265A9A" w:themeColor="background2"/>
                <w:spacing w:val="-2"/>
              </w:rPr>
              <w:t>How much would draft recommendations 4.1 and 4.2 reduce administrative and regulatory barriers to heavy zero emissions vehicle charging infrastructure and what implications would this have for project costs?</w:t>
            </w:r>
          </w:p>
        </w:tc>
      </w:tr>
      <w:tr w:rsidR="00A1113C" w14:paraId="1017104C" w14:textId="77777777" w:rsidTr="00273C8A">
        <w:tc>
          <w:tcPr>
            <w:tcW w:w="5000" w:type="pct"/>
            <w:gridSpan w:val="2"/>
            <w:tcMar>
              <w:bottom w:w="0" w:type="dxa"/>
            </w:tcMar>
          </w:tcPr>
          <w:p w14:paraId="7F703E68" w14:textId="1D7BE791" w:rsidR="00A1113C" w:rsidRDefault="00A1113C">
            <w:pPr>
              <w:pStyle w:val="NoSpacing"/>
              <w:spacing w:line="200" w:lineRule="atLeast"/>
            </w:pPr>
          </w:p>
        </w:tc>
      </w:tr>
    </w:tbl>
    <w:p w14:paraId="5FD8F878" w14:textId="6B48ABB8" w:rsidR="00A1113C" w:rsidRDefault="00A1113C" w:rsidP="00273C8A">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A1113C" w14:paraId="263D9E13" w14:textId="77777777">
        <w:trPr>
          <w:trHeight w:val="765"/>
          <w:tblHeader/>
        </w:trPr>
        <w:tc>
          <w:tcPr>
            <w:tcW w:w="366" w:type="pct"/>
            <w:shd w:val="clear" w:color="auto" w:fill="EBEBEB"/>
            <w:tcMar>
              <w:bottom w:w="0" w:type="dxa"/>
            </w:tcMar>
            <w:vAlign w:val="center"/>
          </w:tcPr>
          <w:p w14:paraId="21C0EAAA" w14:textId="77777777" w:rsidR="00A1113C" w:rsidRDefault="00A1113C">
            <w:pPr>
              <w:pStyle w:val="NoSpacing"/>
              <w:keepNext/>
              <w:keepLines/>
              <w:jc w:val="right"/>
            </w:pPr>
            <w:r w:rsidRPr="00A51374">
              <w:rPr>
                <w:noProof/>
              </w:rPr>
              <w:drawing>
                <wp:inline distT="0" distB="0" distL="0" distR="0" wp14:anchorId="58AC9853" wp14:editId="705C941F">
                  <wp:extent cx="288000" cy="288000"/>
                  <wp:effectExtent l="0" t="0" r="0" b="0"/>
                  <wp:docPr id="208990844" name="Graphic 2089908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00F731C9" w14:textId="77777777" w:rsidR="00A1113C" w:rsidRPr="002530FF" w:rsidRDefault="00A1113C">
            <w:pPr>
              <w:pStyle w:val="TableHeading"/>
              <w:keepNext/>
              <w:keepLines/>
              <w:spacing w:before="120" w:after="120"/>
              <w:contextualSpacing/>
              <w:rPr>
                <w:sz w:val="20"/>
              </w:rPr>
            </w:pPr>
            <w:r w:rsidRPr="000B0B71">
              <w:rPr>
                <w:sz w:val="20"/>
              </w:rPr>
              <w:t>Information request</w:t>
            </w:r>
            <w:r w:rsidRPr="00DF7217" w:rsidDel="00F15E3C">
              <w:rPr>
                <w:sz w:val="20"/>
              </w:rPr>
              <w:t xml:space="preserve"> </w:t>
            </w:r>
            <w:r>
              <w:rPr>
                <w:sz w:val="20"/>
              </w:rPr>
              <w:t>4.2</w:t>
            </w:r>
          </w:p>
        </w:tc>
      </w:tr>
      <w:tr w:rsidR="00A1113C" w14:paraId="267EBA2B" w14:textId="77777777">
        <w:tc>
          <w:tcPr>
            <w:tcW w:w="5000" w:type="pct"/>
            <w:gridSpan w:val="2"/>
            <w:shd w:val="clear" w:color="auto" w:fill="EBEBEB"/>
          </w:tcPr>
          <w:p w14:paraId="24E5FF45" w14:textId="77777777" w:rsidR="00A1113C" w:rsidRDefault="00A1113C">
            <w:pPr>
              <w:pStyle w:val="BodyText"/>
              <w:keepNext/>
              <w:keepLines/>
            </w:pPr>
            <w:r>
              <w:rPr>
                <w:color w:val="265A9A" w:themeColor="background2"/>
              </w:rPr>
              <w:t xml:space="preserve">What regulatory </w:t>
            </w:r>
            <w:r w:rsidRPr="16B55F5A">
              <w:rPr>
                <w:color w:val="265A9A" w:themeColor="background2"/>
              </w:rPr>
              <w:t>or</w:t>
            </w:r>
            <w:r>
              <w:rPr>
                <w:color w:val="265A9A" w:themeColor="background2"/>
              </w:rPr>
              <w:t xml:space="preserve"> administrative actions should governments take (if any) to facilitate </w:t>
            </w:r>
            <w:r w:rsidRPr="00025684">
              <w:rPr>
                <w:color w:val="265A9A" w:themeColor="background2"/>
              </w:rPr>
              <w:t xml:space="preserve">private investment in charging infrastructure </w:t>
            </w:r>
            <w:r>
              <w:rPr>
                <w:color w:val="265A9A" w:themeColor="background2"/>
              </w:rPr>
              <w:t>at</w:t>
            </w:r>
            <w:r w:rsidRPr="00025684">
              <w:rPr>
                <w:color w:val="265A9A" w:themeColor="background2"/>
              </w:rPr>
              <w:t xml:space="preserve"> state and territory government</w:t>
            </w:r>
            <w:r>
              <w:rPr>
                <w:color w:val="265A9A" w:themeColor="background2"/>
              </w:rPr>
              <w:noBreakHyphen/>
            </w:r>
            <w:r w:rsidRPr="00025684">
              <w:rPr>
                <w:color w:val="265A9A" w:themeColor="background2"/>
              </w:rPr>
              <w:t xml:space="preserve">provided heavy vehicle rest </w:t>
            </w:r>
            <w:r>
              <w:rPr>
                <w:color w:val="265A9A" w:themeColor="background2"/>
              </w:rPr>
              <w:t>areas?</w:t>
            </w:r>
          </w:p>
        </w:tc>
      </w:tr>
      <w:tr w:rsidR="00A1113C" w14:paraId="5C782096" w14:textId="77777777">
        <w:tc>
          <w:tcPr>
            <w:tcW w:w="5000" w:type="pct"/>
            <w:gridSpan w:val="2"/>
            <w:tcMar>
              <w:bottom w:w="0" w:type="dxa"/>
            </w:tcMar>
          </w:tcPr>
          <w:p w14:paraId="66B8D960" w14:textId="27D2E2A5" w:rsidR="00A1113C" w:rsidRDefault="00A1113C">
            <w:pPr>
              <w:pStyle w:val="NoSpacing"/>
              <w:spacing w:line="200" w:lineRule="atLeast"/>
            </w:pPr>
          </w:p>
        </w:tc>
      </w:tr>
    </w:tbl>
    <w:p w14:paraId="15685053" w14:textId="77777777" w:rsidR="00A1113C" w:rsidRDefault="00A1113C" w:rsidP="00273C8A">
      <w:pPr>
        <w:pStyle w:val="Heading2-nonumber"/>
      </w:pPr>
      <w:bookmarkStart w:id="27" w:name="_Toc225342381"/>
      <w:bookmarkStart w:id="28" w:name="_Toc225780240"/>
      <w:r>
        <w:t>Heavy vehicle curfews</w:t>
      </w:r>
      <w:bookmarkEnd w:id="27"/>
      <w:bookmarkEnd w:id="28"/>
    </w:p>
    <w:p w14:paraId="5DDE4F93" w14:textId="67DD3D8F" w:rsidR="00A1113C" w:rsidRDefault="00A1113C" w:rsidP="00273C8A">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A1113C" w14:paraId="2BBDE161" w14:textId="77777777">
        <w:trPr>
          <w:trHeight w:val="765"/>
          <w:tblHeader/>
        </w:trPr>
        <w:tc>
          <w:tcPr>
            <w:tcW w:w="366" w:type="pct"/>
            <w:shd w:val="clear" w:color="auto" w:fill="EBEBEB"/>
            <w:tcMar>
              <w:bottom w:w="0" w:type="dxa"/>
            </w:tcMar>
            <w:vAlign w:val="center"/>
          </w:tcPr>
          <w:p w14:paraId="349FA8EC" w14:textId="77777777" w:rsidR="00A1113C" w:rsidRDefault="00A1113C" w:rsidP="00C34BF2">
            <w:pPr>
              <w:pStyle w:val="NoSpacing"/>
              <w:keepNext/>
              <w:keepLines/>
              <w:spacing w:before="120"/>
              <w:jc w:val="right"/>
            </w:pPr>
            <w:r w:rsidRPr="00A51374">
              <w:rPr>
                <w:noProof/>
              </w:rPr>
              <w:drawing>
                <wp:inline distT="0" distB="0" distL="0" distR="0" wp14:anchorId="2AAB5FA6" wp14:editId="0B813CD9">
                  <wp:extent cx="288000" cy="288000"/>
                  <wp:effectExtent l="0" t="0" r="0" b="0"/>
                  <wp:docPr id="1354289145" name="Graphic 13542891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6C203C80" w14:textId="77777777" w:rsidR="00A1113C" w:rsidRPr="002530FF" w:rsidRDefault="00A1113C">
            <w:pPr>
              <w:pStyle w:val="TableHeading"/>
              <w:keepNext/>
              <w:keepLines/>
              <w:spacing w:before="120" w:after="120"/>
              <w:contextualSpacing/>
              <w:rPr>
                <w:sz w:val="20"/>
              </w:rPr>
            </w:pPr>
            <w:r w:rsidRPr="000B0B71">
              <w:rPr>
                <w:sz w:val="20"/>
              </w:rPr>
              <w:t xml:space="preserve">Information request </w:t>
            </w:r>
            <w:r>
              <w:rPr>
                <w:sz w:val="20"/>
              </w:rPr>
              <w:t>5</w:t>
            </w:r>
            <w:r w:rsidRPr="00DF7217">
              <w:rPr>
                <w:sz w:val="20"/>
              </w:rPr>
              <w:t>.</w:t>
            </w:r>
            <w:r>
              <w:rPr>
                <w:sz w:val="20"/>
              </w:rPr>
              <w:t>1</w:t>
            </w:r>
          </w:p>
        </w:tc>
      </w:tr>
      <w:tr w:rsidR="00A1113C" w14:paraId="676C5907" w14:textId="77777777">
        <w:tc>
          <w:tcPr>
            <w:tcW w:w="5000" w:type="pct"/>
            <w:gridSpan w:val="2"/>
            <w:shd w:val="clear" w:color="auto" w:fill="EBEBEB"/>
          </w:tcPr>
          <w:p w14:paraId="2E7C08DA" w14:textId="77777777" w:rsidR="00A1113C" w:rsidRPr="00CA226B" w:rsidRDefault="00A1113C">
            <w:pPr>
              <w:pStyle w:val="BodyText"/>
              <w:keepNext/>
              <w:keepLines/>
              <w:rPr>
                <w:color w:val="265A9A" w:themeColor="background2"/>
              </w:rPr>
            </w:pPr>
            <w:r>
              <w:rPr>
                <w:color w:val="265A9A" w:themeColor="background2"/>
              </w:rPr>
              <w:t>The PC is seeking information on the prevalence of curfews. How widespread are local government restrictions through local planning rules? What are the typical terms of these restrictions? If they exist, what are the typical reasons (noise or other reasons)?</w:t>
            </w:r>
          </w:p>
        </w:tc>
      </w:tr>
      <w:tr w:rsidR="00A1113C" w14:paraId="19BC5D23" w14:textId="77777777">
        <w:tc>
          <w:tcPr>
            <w:tcW w:w="5000" w:type="pct"/>
            <w:gridSpan w:val="2"/>
            <w:tcMar>
              <w:bottom w:w="0" w:type="dxa"/>
            </w:tcMar>
          </w:tcPr>
          <w:p w14:paraId="42A04679" w14:textId="4B38AA9B" w:rsidR="00A1113C" w:rsidRDefault="00A1113C">
            <w:pPr>
              <w:pStyle w:val="NoSpacing"/>
              <w:spacing w:line="200" w:lineRule="atLeast"/>
            </w:pPr>
          </w:p>
        </w:tc>
      </w:tr>
    </w:tbl>
    <w:p w14:paraId="6A4DBEA3" w14:textId="2DF588F7" w:rsidR="00A1113C" w:rsidRDefault="00A1113C" w:rsidP="00273C8A">
      <w:pPr>
        <w:pStyle w:val="NoSpacing"/>
      </w:pPr>
    </w:p>
    <w:tbl>
      <w:tblPr>
        <w:tblStyle w:val="TableGrid"/>
        <w:tblW w:w="5005" w:type="pct"/>
        <w:tblInd w:w="-5" w:type="dxa"/>
        <w:tblBorders>
          <w:top w:val="single" w:sz="4" w:space="0" w:color="66BCDB" w:themeColor="text2"/>
          <w:left w:val="single" w:sz="4" w:space="0" w:color="66BCDB" w:themeColor="text2"/>
          <w:bottom w:val="single" w:sz="4" w:space="0" w:color="66BCDB" w:themeColor="text2"/>
          <w:right w:val="single" w:sz="4" w:space="0" w:color="66BCDB" w:themeColor="text2"/>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A1113C" w14:paraId="77A18BAC" w14:textId="77777777" w:rsidTr="00273C8A">
        <w:trPr>
          <w:trHeight w:val="765"/>
          <w:tblHeader/>
        </w:trPr>
        <w:tc>
          <w:tcPr>
            <w:tcW w:w="366" w:type="pct"/>
            <w:tcBorders>
              <w:bottom w:val="nil"/>
            </w:tcBorders>
            <w:tcMar>
              <w:bottom w:w="0" w:type="dxa"/>
            </w:tcMar>
            <w:vAlign w:val="center"/>
          </w:tcPr>
          <w:p w14:paraId="43975286" w14:textId="77777777" w:rsidR="00A1113C" w:rsidRDefault="00A1113C">
            <w:pPr>
              <w:pStyle w:val="BodyText"/>
            </w:pPr>
            <w:r w:rsidRPr="00A51374">
              <w:rPr>
                <w:noProof/>
              </w:rPr>
              <w:lastRenderedPageBreak/>
              <w:drawing>
                <wp:inline distT="0" distB="0" distL="0" distR="0" wp14:anchorId="780806A1" wp14:editId="66F3385C">
                  <wp:extent cx="288000" cy="288000"/>
                  <wp:effectExtent l="0" t="0" r="0" b="0"/>
                  <wp:docPr id="1339327184"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a:extLst>
                              <a:ext uri="{C183D7F6-B498-43B3-948B-1728B52AA6E4}">
                                <adec:decorative xmlns:adec="http://schemas.microsoft.com/office/drawing/2017/decorative" val="1"/>
                              </a:ext>
                            </a:extLst>
                          </pic:cNvPr>
                          <pic:cNvPicPr/>
                        </pic:nvPicPr>
                        <pic:blipFill>
                          <a:blip r:embed="rId4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634" w:type="pct"/>
            <w:tcBorders>
              <w:bottom w:val="nil"/>
            </w:tcBorders>
            <w:tcMar>
              <w:bottom w:w="0" w:type="dxa"/>
            </w:tcMar>
            <w:vAlign w:val="center"/>
          </w:tcPr>
          <w:p w14:paraId="1F45BA52" w14:textId="77777777" w:rsidR="00A1113C" w:rsidRPr="00A4395A" w:rsidRDefault="00A1113C">
            <w:pPr>
              <w:pStyle w:val="TableHeading"/>
              <w:keepNext/>
              <w:keepLines/>
              <w:spacing w:before="120" w:after="120"/>
              <w:contextualSpacing/>
              <w:rPr>
                <w:sz w:val="20"/>
              </w:rPr>
            </w:pPr>
            <w:r>
              <w:rPr>
                <w:sz w:val="20"/>
              </w:rPr>
              <w:t>Draft f</w:t>
            </w:r>
            <w:r w:rsidRPr="00A4395A">
              <w:rPr>
                <w:sz w:val="20"/>
              </w:rPr>
              <w:t xml:space="preserve">inding </w:t>
            </w:r>
            <w:r>
              <w:rPr>
                <w:sz w:val="20"/>
              </w:rPr>
              <w:t>5</w:t>
            </w:r>
            <w:r w:rsidRPr="00A4395A">
              <w:rPr>
                <w:sz w:val="20"/>
              </w:rPr>
              <w:t>.</w:t>
            </w:r>
            <w:r>
              <w:rPr>
                <w:sz w:val="20"/>
              </w:rPr>
              <w:t>1</w:t>
            </w:r>
          </w:p>
          <w:p w14:paraId="510994E2" w14:textId="7CEE70A4" w:rsidR="00A1113C" w:rsidRDefault="00A1113C">
            <w:pPr>
              <w:pStyle w:val="TableHeading"/>
              <w:keepNext/>
              <w:keepLines/>
              <w:spacing w:before="120" w:after="120"/>
              <w:contextualSpacing/>
            </w:pPr>
            <w:r>
              <w:rPr>
                <w:sz w:val="20"/>
              </w:rPr>
              <w:t xml:space="preserve">There </w:t>
            </w:r>
            <w:r w:rsidRPr="00491B03">
              <w:rPr>
                <w:sz w:val="20"/>
              </w:rPr>
              <w:t xml:space="preserve">is a strong case for reducing curfew burdens on heavy </w:t>
            </w:r>
            <w:r>
              <w:rPr>
                <w:sz w:val="20"/>
              </w:rPr>
              <w:t>zero emission</w:t>
            </w:r>
            <w:r w:rsidR="00DF6DCF">
              <w:rPr>
                <w:sz w:val="20"/>
              </w:rPr>
              <w:t>s</w:t>
            </w:r>
            <w:r w:rsidRPr="00491B03">
              <w:rPr>
                <w:sz w:val="20"/>
              </w:rPr>
              <w:t xml:space="preserve"> vehicles</w:t>
            </w:r>
          </w:p>
        </w:tc>
      </w:tr>
      <w:tr w:rsidR="00A1113C" w14:paraId="7D65B9E2" w14:textId="77777777" w:rsidTr="00273C8A">
        <w:tc>
          <w:tcPr>
            <w:tcW w:w="5000" w:type="pct"/>
            <w:gridSpan w:val="2"/>
            <w:tcBorders>
              <w:top w:val="nil"/>
              <w:bottom w:val="single" w:sz="4" w:space="0" w:color="66BCDB" w:themeColor="text2"/>
            </w:tcBorders>
          </w:tcPr>
          <w:p w14:paraId="0B784311" w14:textId="12F0C0FD" w:rsidR="00A1113C" w:rsidRDefault="00A1113C">
            <w:pPr>
              <w:pStyle w:val="BodyText"/>
              <w:keepLines/>
            </w:pPr>
            <w:r>
              <w:t xml:space="preserve">Heavy vehicle curfews largely arise from two sources – local traffic controls that restrict truck traffic through </w:t>
            </w:r>
            <w:proofErr w:type="gramStart"/>
            <w:r>
              <w:t>particular streets</w:t>
            </w:r>
            <w:proofErr w:type="gramEnd"/>
            <w:r>
              <w:t xml:space="preserve">, and conditions imposed on local government planning permits that restrict delivery hours to and from businesses. </w:t>
            </w:r>
            <w:r w:rsidR="00DD6F5C" w:rsidRPr="00DD6F5C">
              <w:t>Local traffic controls appear to exist almost exclusively in Victoria</w:t>
            </w:r>
            <w:r>
              <w:t>, while planning restrictions appear more widespread.</w:t>
            </w:r>
          </w:p>
          <w:p w14:paraId="1FB1A723" w14:textId="748568E2" w:rsidR="00A1113C" w:rsidRDefault="00A1113C">
            <w:pPr>
              <w:pStyle w:val="BodyText"/>
            </w:pPr>
            <w:r>
              <w:t>Many curfews were designed for conventional diesel vehicles and do not recognise the quieter noise profile of heavy zero emission</w:t>
            </w:r>
            <w:r w:rsidR="00DF6DCF">
              <w:t>s</w:t>
            </w:r>
            <w:r>
              <w:t xml:space="preserve"> vehicles. As a result, some curfews are no longer fit</w:t>
            </w:r>
            <w:r w:rsidR="003D6D5E">
              <w:t xml:space="preserve"> </w:t>
            </w:r>
            <w:r>
              <w:t>for</w:t>
            </w:r>
            <w:r w:rsidR="003D6D5E">
              <w:t xml:space="preserve"> </w:t>
            </w:r>
            <w:r>
              <w:t>purpose, and t</w:t>
            </w:r>
            <w:r w:rsidRPr="00611A22">
              <w:t xml:space="preserve">here is a strong case for reducing curfew burdens on heavy </w:t>
            </w:r>
            <w:r>
              <w:t>zero emission</w:t>
            </w:r>
            <w:r w:rsidR="00AF576F">
              <w:t>s</w:t>
            </w:r>
            <w:r w:rsidRPr="00611A22">
              <w:t xml:space="preserve"> vehicles.</w:t>
            </w:r>
          </w:p>
        </w:tc>
      </w:tr>
      <w:tr w:rsidR="00A1113C" w14:paraId="0791918D" w14:textId="77777777" w:rsidTr="00273C8A">
        <w:tc>
          <w:tcPr>
            <w:tcW w:w="5000" w:type="pct"/>
            <w:gridSpan w:val="2"/>
            <w:tcBorders>
              <w:top w:val="single" w:sz="4" w:space="0" w:color="66BCDB" w:themeColor="text2"/>
              <w:left w:val="nil"/>
              <w:bottom w:val="nil"/>
              <w:right w:val="nil"/>
            </w:tcBorders>
            <w:tcMar>
              <w:bottom w:w="0" w:type="dxa"/>
            </w:tcMar>
          </w:tcPr>
          <w:p w14:paraId="429920F1" w14:textId="58B8A9C2" w:rsidR="00A1113C" w:rsidRDefault="00A1113C">
            <w:pPr>
              <w:pStyle w:val="NoSpacing"/>
              <w:spacing w:line="200" w:lineRule="atLeast"/>
            </w:pPr>
          </w:p>
        </w:tc>
      </w:tr>
    </w:tbl>
    <w:p w14:paraId="76897316" w14:textId="3BA4F310" w:rsidR="00A1113C" w:rsidRDefault="00A1113C" w:rsidP="00273C8A">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A1113C" w14:paraId="5B9B646D" w14:textId="77777777" w:rsidTr="00273C8A">
        <w:trPr>
          <w:trHeight w:val="765"/>
          <w:tblHeader/>
        </w:trPr>
        <w:tc>
          <w:tcPr>
            <w:tcW w:w="366" w:type="pct"/>
            <w:shd w:val="clear" w:color="auto" w:fill="EBEBEB"/>
            <w:tcMar>
              <w:bottom w:w="0" w:type="dxa"/>
            </w:tcMar>
            <w:vAlign w:val="center"/>
          </w:tcPr>
          <w:p w14:paraId="1210FAEC" w14:textId="77777777" w:rsidR="00A1113C" w:rsidRDefault="00A1113C">
            <w:pPr>
              <w:pStyle w:val="NoSpacing"/>
              <w:keepNext/>
              <w:keepLines/>
              <w:jc w:val="right"/>
            </w:pPr>
            <w:r w:rsidRPr="00A51374">
              <w:rPr>
                <w:noProof/>
              </w:rPr>
              <w:drawing>
                <wp:inline distT="0" distB="0" distL="0" distR="0" wp14:anchorId="1BC61497" wp14:editId="19109F4D">
                  <wp:extent cx="288000" cy="288000"/>
                  <wp:effectExtent l="0" t="0" r="0" b="0"/>
                  <wp:docPr id="814723910" name="Graphic 8147239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3076E0D0" w14:textId="77777777" w:rsidR="00A1113C" w:rsidRPr="002530FF" w:rsidRDefault="00A1113C">
            <w:pPr>
              <w:pStyle w:val="TableHeading"/>
              <w:keepNext/>
              <w:keepLines/>
              <w:spacing w:before="120" w:after="120"/>
              <w:contextualSpacing/>
              <w:rPr>
                <w:sz w:val="20"/>
              </w:rPr>
            </w:pPr>
            <w:r w:rsidRPr="000B0B71">
              <w:rPr>
                <w:sz w:val="20"/>
              </w:rPr>
              <w:t xml:space="preserve">Information request </w:t>
            </w:r>
            <w:r>
              <w:rPr>
                <w:sz w:val="20"/>
              </w:rPr>
              <w:t>5</w:t>
            </w:r>
            <w:r w:rsidRPr="00DF7217">
              <w:rPr>
                <w:sz w:val="20"/>
              </w:rPr>
              <w:t>.</w:t>
            </w:r>
            <w:r>
              <w:rPr>
                <w:sz w:val="20"/>
              </w:rPr>
              <w:t>2</w:t>
            </w:r>
          </w:p>
        </w:tc>
      </w:tr>
      <w:tr w:rsidR="000C3796" w:rsidRPr="000C3796" w14:paraId="62D8DD4B" w14:textId="77777777" w:rsidTr="00273C8A">
        <w:tc>
          <w:tcPr>
            <w:tcW w:w="5000" w:type="pct"/>
            <w:gridSpan w:val="2"/>
            <w:shd w:val="clear" w:color="auto" w:fill="EBEBEB"/>
          </w:tcPr>
          <w:p w14:paraId="736893C5" w14:textId="0A798417" w:rsidR="00A1113C" w:rsidRPr="000C3796" w:rsidRDefault="00A1113C">
            <w:pPr>
              <w:pStyle w:val="BodyText"/>
              <w:keepNext/>
              <w:keepLines/>
              <w:rPr>
                <w:color w:val="265A9A" w:themeColor="background2"/>
              </w:rPr>
            </w:pPr>
            <w:r w:rsidRPr="000C3796">
              <w:rPr>
                <w:color w:val="265A9A" w:themeColor="background2"/>
              </w:rPr>
              <w:t>The PC is seeking information to illustrate the costs and benefits of reducing curfews on heavy zero emission</w:t>
            </w:r>
            <w:r w:rsidR="00DF6DCF">
              <w:rPr>
                <w:color w:val="265A9A" w:themeColor="background2"/>
              </w:rPr>
              <w:t>s</w:t>
            </w:r>
            <w:r w:rsidRPr="000C3796">
              <w:rPr>
                <w:color w:val="265A9A" w:themeColor="background2"/>
              </w:rPr>
              <w:t xml:space="preserve"> vehicles and the costs and benefits of possible approaches to reform, along with their implementation.</w:t>
            </w:r>
          </w:p>
          <w:p w14:paraId="0DF9D52B" w14:textId="5A5739C9" w:rsidR="00A1113C" w:rsidRPr="000C3796" w:rsidRDefault="00A1113C" w:rsidP="00B03E9F">
            <w:pPr>
              <w:pStyle w:val="ListBullet"/>
              <w:rPr>
                <w:color w:val="265A9A" w:themeColor="background2"/>
              </w:rPr>
            </w:pPr>
            <w:r w:rsidRPr="000C3796">
              <w:rPr>
                <w:color w:val="265A9A" w:themeColor="background2"/>
              </w:rPr>
              <w:t>What are the practical options for implementing exemptions for heavy zero emission</w:t>
            </w:r>
            <w:r w:rsidR="00DF6DCF">
              <w:rPr>
                <w:color w:val="265A9A" w:themeColor="background2"/>
              </w:rPr>
              <w:t>s</w:t>
            </w:r>
            <w:r w:rsidRPr="000C3796">
              <w:rPr>
                <w:color w:val="265A9A" w:themeColor="background2"/>
              </w:rPr>
              <w:t xml:space="preserve"> vehicles from curfews? If vehicles were to be exempted by heavy zero emission</w:t>
            </w:r>
            <w:r w:rsidR="00A35AB3">
              <w:rPr>
                <w:color w:val="265A9A" w:themeColor="background2"/>
              </w:rPr>
              <w:t>s</w:t>
            </w:r>
            <w:r w:rsidRPr="000C3796">
              <w:rPr>
                <w:color w:val="265A9A" w:themeColor="background2"/>
              </w:rPr>
              <w:t xml:space="preserve"> vehicle status – how would this distinction be made and enforced?</w:t>
            </w:r>
          </w:p>
          <w:p w14:paraId="44739BFA" w14:textId="77777777" w:rsidR="00A1113C" w:rsidRPr="000C3796" w:rsidRDefault="00A1113C" w:rsidP="00B03E9F">
            <w:pPr>
              <w:pStyle w:val="ListBullet"/>
              <w:rPr>
                <w:color w:val="265A9A" w:themeColor="background2"/>
              </w:rPr>
            </w:pPr>
            <w:r w:rsidRPr="000C3796">
              <w:rPr>
                <w:color w:val="265A9A" w:themeColor="background2"/>
              </w:rPr>
              <w:t>How would a performance</w:t>
            </w:r>
            <w:r w:rsidRPr="000C3796">
              <w:rPr>
                <w:color w:val="265A9A" w:themeColor="background2"/>
              </w:rPr>
              <w:noBreakHyphen/>
              <w:t xml:space="preserve">based approach work in practice, and what would be the associated costs? </w:t>
            </w:r>
          </w:p>
          <w:p w14:paraId="223398FE" w14:textId="77777777" w:rsidR="00A1113C" w:rsidRPr="000C3796" w:rsidRDefault="00A1113C" w:rsidP="00B03E9F">
            <w:pPr>
              <w:pStyle w:val="ListBullet"/>
              <w:rPr>
                <w:color w:val="265A9A" w:themeColor="background2"/>
              </w:rPr>
            </w:pPr>
            <w:r w:rsidRPr="000C3796">
              <w:rPr>
                <w:color w:val="265A9A" w:themeColor="background2"/>
              </w:rPr>
              <w:t>What would be the practical costs associated with implementing an outcomes</w:t>
            </w:r>
            <w:r w:rsidRPr="000C3796">
              <w:rPr>
                <w:color w:val="265A9A" w:themeColor="background2"/>
              </w:rPr>
              <w:noBreakHyphen/>
              <w:t>based approach to regulating noise?</w:t>
            </w:r>
          </w:p>
          <w:p w14:paraId="30811394" w14:textId="37A9E4DA" w:rsidR="00A1113C" w:rsidRPr="000C3796" w:rsidRDefault="00A1113C" w:rsidP="00B03E9F">
            <w:pPr>
              <w:pStyle w:val="ListBullet"/>
              <w:rPr>
                <w:color w:val="265A9A" w:themeColor="background2"/>
              </w:rPr>
            </w:pPr>
            <w:r w:rsidRPr="000C3796">
              <w:rPr>
                <w:color w:val="265A9A" w:themeColor="background2"/>
              </w:rPr>
              <w:t>What would be the most effective means of implementing reform? What should be the respective roles of the Australian Government, state and territory and local governments?</w:t>
            </w:r>
          </w:p>
        </w:tc>
      </w:tr>
      <w:tr w:rsidR="00A1113C" w14:paraId="256BC6D5" w14:textId="77777777" w:rsidTr="00273C8A">
        <w:tc>
          <w:tcPr>
            <w:tcW w:w="5000" w:type="pct"/>
            <w:gridSpan w:val="2"/>
            <w:tcMar>
              <w:bottom w:w="0" w:type="dxa"/>
            </w:tcMar>
          </w:tcPr>
          <w:p w14:paraId="34AE7FDB" w14:textId="786896CF" w:rsidR="00A1113C" w:rsidRDefault="00A1113C">
            <w:pPr>
              <w:pStyle w:val="NoSpacing"/>
              <w:spacing w:line="200" w:lineRule="atLeast"/>
            </w:pPr>
          </w:p>
        </w:tc>
      </w:tr>
    </w:tbl>
    <w:p w14:paraId="492D2201" w14:textId="77777777" w:rsidR="00A1113C" w:rsidRDefault="00A1113C" w:rsidP="00273C8A">
      <w:pPr>
        <w:pStyle w:val="Heading2-nonumber"/>
      </w:pPr>
      <w:bookmarkStart w:id="29" w:name="_Toc225342382"/>
      <w:bookmarkStart w:id="30" w:name="_Toc225780241"/>
      <w:r w:rsidRPr="00960048">
        <w:t>The National Heavy Vehicle Driver Competency Framework</w:t>
      </w:r>
      <w:bookmarkEnd w:id="29"/>
      <w:bookmarkEnd w:id="30"/>
    </w:p>
    <w:p w14:paraId="637E4F1C" w14:textId="46FC3651" w:rsidR="00A1113C" w:rsidRPr="000D0D4D" w:rsidRDefault="00A1113C" w:rsidP="00273C8A">
      <w:pPr>
        <w:pStyle w:val="NoSpacing"/>
      </w:pPr>
    </w:p>
    <w:tbl>
      <w:tblPr>
        <w:tblStyle w:val="TableGrid"/>
        <w:tblW w:w="5000" w:type="pct"/>
        <w:tblBorders>
          <w:top w:val="single" w:sz="4" w:space="0" w:color="66BCDB" w:themeColor="text2"/>
          <w:left w:val="single" w:sz="4" w:space="0" w:color="66BCDB" w:themeColor="text2"/>
          <w:bottom w:val="single" w:sz="4" w:space="0" w:color="66BCDB" w:themeColor="text2"/>
          <w:right w:val="single" w:sz="4" w:space="0" w:color="66BCDB" w:themeColor="text2"/>
          <w:insideH w:val="none" w:sz="0" w:space="0" w:color="auto"/>
          <w:insideV w:val="none" w:sz="0" w:space="0" w:color="auto"/>
        </w:tblBorders>
        <w:tblCellMar>
          <w:bottom w:w="113" w:type="dxa"/>
        </w:tblCellMar>
        <w:tblLook w:val="04A0" w:firstRow="1" w:lastRow="0" w:firstColumn="1" w:lastColumn="0" w:noHBand="0" w:noVBand="1"/>
      </w:tblPr>
      <w:tblGrid>
        <w:gridCol w:w="705"/>
        <w:gridCol w:w="8923"/>
      </w:tblGrid>
      <w:tr w:rsidR="00A1113C" w:rsidRPr="000D0D4D" w14:paraId="1C4D3C6A" w14:textId="77777777">
        <w:trPr>
          <w:trHeight w:val="765"/>
          <w:tblHeader/>
        </w:trPr>
        <w:tc>
          <w:tcPr>
            <w:tcW w:w="366" w:type="pct"/>
            <w:tcBorders>
              <w:bottom w:val="nil"/>
            </w:tcBorders>
            <w:tcMar>
              <w:bottom w:w="0" w:type="dxa"/>
            </w:tcMar>
            <w:vAlign w:val="center"/>
          </w:tcPr>
          <w:p w14:paraId="7FADE1B3" w14:textId="77777777" w:rsidR="00A1113C" w:rsidRPr="000D0D4D" w:rsidRDefault="00A1113C">
            <w:pPr>
              <w:pStyle w:val="NoSpacing"/>
              <w:keepNext/>
              <w:keepLines/>
              <w:jc w:val="right"/>
            </w:pPr>
            <w:r w:rsidRPr="000D0D4D">
              <w:rPr>
                <w:noProof/>
              </w:rPr>
              <w:drawing>
                <wp:inline distT="0" distB="0" distL="0" distR="0" wp14:anchorId="2DBC1A86" wp14:editId="24526072">
                  <wp:extent cx="288000" cy="288000"/>
                  <wp:effectExtent l="0" t="0" r="0" b="0"/>
                  <wp:docPr id="35330469"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a:extLst>
                              <a:ext uri="{C183D7F6-B498-43B3-948B-1728B52AA6E4}">
                                <adec:decorative xmlns:adec="http://schemas.microsoft.com/office/drawing/2017/decorative" val="1"/>
                              </a:ext>
                            </a:extLst>
                          </pic:cNvPr>
                          <pic:cNvPicPr/>
                        </pic:nvPicPr>
                        <pic:blipFill>
                          <a:blip r:embed="rId4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634" w:type="pct"/>
            <w:tcBorders>
              <w:bottom w:val="nil"/>
            </w:tcBorders>
            <w:tcMar>
              <w:bottom w:w="0" w:type="dxa"/>
            </w:tcMar>
            <w:vAlign w:val="center"/>
          </w:tcPr>
          <w:p w14:paraId="4CB88BE2" w14:textId="77777777" w:rsidR="00A1113C" w:rsidRPr="000D0D4D" w:rsidRDefault="00A1113C">
            <w:pPr>
              <w:pStyle w:val="TableHeading"/>
              <w:keepNext/>
              <w:keepLines/>
              <w:spacing w:before="120" w:after="120"/>
              <w:contextualSpacing/>
              <w:rPr>
                <w:sz w:val="20"/>
              </w:rPr>
            </w:pPr>
            <w:r>
              <w:rPr>
                <w:sz w:val="20"/>
              </w:rPr>
              <w:t>Draft</w:t>
            </w:r>
            <w:r w:rsidRPr="000D0D4D">
              <w:rPr>
                <w:sz w:val="20"/>
              </w:rPr>
              <w:t xml:space="preserve"> finding </w:t>
            </w:r>
            <w:r>
              <w:rPr>
                <w:sz w:val="20"/>
              </w:rPr>
              <w:t>6</w:t>
            </w:r>
            <w:r w:rsidRPr="000D0D4D">
              <w:rPr>
                <w:sz w:val="20"/>
              </w:rPr>
              <w:t>.</w:t>
            </w:r>
            <w:r>
              <w:rPr>
                <w:sz w:val="20"/>
              </w:rPr>
              <w:t>1</w:t>
            </w:r>
          </w:p>
          <w:p w14:paraId="5EDB40AE" w14:textId="77777777" w:rsidR="00A1113C" w:rsidRPr="000D0D4D" w:rsidRDefault="00A1113C">
            <w:pPr>
              <w:pStyle w:val="TableHeading"/>
              <w:keepNext/>
              <w:keepLines/>
              <w:spacing w:before="120" w:after="120"/>
              <w:contextualSpacing/>
            </w:pPr>
            <w:r w:rsidRPr="000D0D4D">
              <w:rPr>
                <w:sz w:val="20"/>
                <w:szCs w:val="22"/>
              </w:rPr>
              <w:t xml:space="preserve">Driver competency reforms are </w:t>
            </w:r>
            <w:r>
              <w:rPr>
                <w:sz w:val="20"/>
                <w:szCs w:val="22"/>
              </w:rPr>
              <w:t>progressing</w:t>
            </w:r>
            <w:r w:rsidRPr="000D0D4D">
              <w:rPr>
                <w:sz w:val="20"/>
                <w:szCs w:val="22"/>
              </w:rPr>
              <w:t xml:space="preserve"> </w:t>
            </w:r>
          </w:p>
        </w:tc>
      </w:tr>
      <w:tr w:rsidR="00A1113C" w:rsidRPr="000D0D4D" w14:paraId="34C550AB" w14:textId="77777777">
        <w:tc>
          <w:tcPr>
            <w:tcW w:w="5000" w:type="pct"/>
            <w:gridSpan w:val="2"/>
            <w:tcBorders>
              <w:top w:val="nil"/>
              <w:bottom w:val="single" w:sz="4" w:space="0" w:color="66BCDB" w:themeColor="text2"/>
            </w:tcBorders>
          </w:tcPr>
          <w:p w14:paraId="5A1362E2" w14:textId="77777777" w:rsidR="00A1113C" w:rsidRPr="000D0D4D" w:rsidRDefault="00A1113C">
            <w:pPr>
              <w:pStyle w:val="BodyText"/>
              <w:keepLines/>
            </w:pPr>
            <w:r w:rsidRPr="000D0D4D">
              <w:t>Reforms to the National Heavy Vehicle Driver Competency Framework appear on track to be implemented by</w:t>
            </w:r>
            <w:r>
              <w:t xml:space="preserve"> most states and territories by</w:t>
            </w:r>
            <w:r w:rsidRPr="000D0D4D">
              <w:t xml:space="preserve"> 2028. Some </w:t>
            </w:r>
            <w:r>
              <w:t>states and territory governments</w:t>
            </w:r>
            <w:r w:rsidRPr="000D0D4D">
              <w:t xml:space="preserve"> may be able to deliver earlier under current arrangements. Others </w:t>
            </w:r>
            <w:r>
              <w:t>are not expecting to implement the reforms within the 2028 timeframe, with some still uncertain if they will be implemented in full.</w:t>
            </w:r>
            <w:r w:rsidRPr="000D0D4D">
              <w:t xml:space="preserve"> </w:t>
            </w:r>
            <w:r>
              <w:t>S</w:t>
            </w:r>
            <w:r w:rsidRPr="000D0D4D">
              <w:t>upport to implement changes, including to undertake regulatory reform, policy work and IT systems updates</w:t>
            </w:r>
            <w:r>
              <w:t>, may aid implementation</w:t>
            </w:r>
            <w:r w:rsidRPr="000D0D4D">
              <w:t xml:space="preserve">. </w:t>
            </w:r>
          </w:p>
        </w:tc>
      </w:tr>
      <w:tr w:rsidR="00A1113C" w:rsidRPr="000D0D4D" w14:paraId="7762C7F4" w14:textId="77777777">
        <w:tc>
          <w:tcPr>
            <w:tcW w:w="5000" w:type="pct"/>
            <w:gridSpan w:val="2"/>
            <w:tcBorders>
              <w:top w:val="single" w:sz="4" w:space="0" w:color="66BCDB" w:themeColor="text2"/>
              <w:left w:val="nil"/>
              <w:bottom w:val="nil"/>
              <w:right w:val="nil"/>
            </w:tcBorders>
            <w:tcMar>
              <w:bottom w:w="0" w:type="dxa"/>
            </w:tcMar>
          </w:tcPr>
          <w:p w14:paraId="10B47E6D" w14:textId="371EE7BD" w:rsidR="00A1113C" w:rsidRPr="000D0D4D" w:rsidRDefault="00A1113C">
            <w:pPr>
              <w:pStyle w:val="NoSpacing"/>
              <w:spacing w:line="200" w:lineRule="atLeast"/>
            </w:pPr>
          </w:p>
        </w:tc>
      </w:tr>
    </w:tbl>
    <w:p w14:paraId="239DC9DD" w14:textId="1ACB97CD" w:rsidR="00A1113C" w:rsidRPr="000D0D4D" w:rsidRDefault="00A1113C" w:rsidP="00273C8A">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A1113C" w:rsidRPr="000D0D4D" w14:paraId="05C68033" w14:textId="77777777">
        <w:trPr>
          <w:trHeight w:val="765"/>
          <w:tblHeader/>
        </w:trPr>
        <w:tc>
          <w:tcPr>
            <w:tcW w:w="366" w:type="pct"/>
            <w:shd w:val="clear" w:color="auto" w:fill="EBEBEB"/>
            <w:tcMar>
              <w:bottom w:w="0" w:type="dxa"/>
            </w:tcMar>
            <w:vAlign w:val="center"/>
          </w:tcPr>
          <w:p w14:paraId="7755DE40" w14:textId="77777777" w:rsidR="00A1113C" w:rsidRPr="000D0D4D" w:rsidRDefault="00A1113C">
            <w:pPr>
              <w:pStyle w:val="NoSpacing"/>
              <w:keepNext/>
              <w:keepLines/>
              <w:jc w:val="right"/>
            </w:pPr>
            <w:r w:rsidRPr="000D0D4D">
              <w:rPr>
                <w:noProof/>
              </w:rPr>
              <w:lastRenderedPageBreak/>
              <w:drawing>
                <wp:inline distT="0" distB="0" distL="0" distR="0" wp14:anchorId="074AC01F" wp14:editId="59B91C68">
                  <wp:extent cx="288000" cy="288000"/>
                  <wp:effectExtent l="0" t="0" r="0" b="0"/>
                  <wp:docPr id="207224328" name="Graphic 2072243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343C3B95" w14:textId="77777777" w:rsidR="00A1113C" w:rsidRPr="000D0D4D" w:rsidRDefault="00A1113C">
            <w:pPr>
              <w:pStyle w:val="TableHeading"/>
              <w:keepNext/>
              <w:keepLines/>
              <w:spacing w:before="120" w:after="120"/>
              <w:contextualSpacing/>
              <w:rPr>
                <w:sz w:val="20"/>
              </w:rPr>
            </w:pPr>
            <w:r w:rsidRPr="00C71886">
              <w:rPr>
                <w:sz w:val="20"/>
              </w:rPr>
              <w:t xml:space="preserve">Information request </w:t>
            </w:r>
            <w:r>
              <w:rPr>
                <w:sz w:val="20"/>
              </w:rPr>
              <w:t>6</w:t>
            </w:r>
            <w:r w:rsidRPr="00C71886">
              <w:rPr>
                <w:sz w:val="20"/>
              </w:rPr>
              <w:t>.</w:t>
            </w:r>
            <w:r>
              <w:rPr>
                <w:sz w:val="20"/>
              </w:rPr>
              <w:t>1</w:t>
            </w:r>
          </w:p>
        </w:tc>
      </w:tr>
      <w:tr w:rsidR="000C3796" w:rsidRPr="000C3796" w14:paraId="2A5F2F79" w14:textId="77777777">
        <w:tc>
          <w:tcPr>
            <w:tcW w:w="5000" w:type="pct"/>
            <w:gridSpan w:val="2"/>
            <w:shd w:val="clear" w:color="auto" w:fill="EBEBEB"/>
          </w:tcPr>
          <w:p w14:paraId="2B30D96E" w14:textId="77777777" w:rsidR="00A1113C" w:rsidRPr="000C3796" w:rsidRDefault="00A1113C">
            <w:pPr>
              <w:pStyle w:val="BodyText"/>
              <w:keepNext/>
              <w:keepLines/>
              <w:rPr>
                <w:color w:val="265A9A" w:themeColor="background2"/>
              </w:rPr>
            </w:pPr>
            <w:r w:rsidRPr="000C3796">
              <w:rPr>
                <w:color w:val="265A9A" w:themeColor="background2"/>
              </w:rPr>
              <w:t>The PC is seeking information on:</w:t>
            </w:r>
          </w:p>
          <w:p w14:paraId="0C120D95" w14:textId="77777777" w:rsidR="00A1113C" w:rsidRPr="000C3796" w:rsidRDefault="00A1113C" w:rsidP="00B03E9F">
            <w:pPr>
              <w:pStyle w:val="ListBullet"/>
              <w:rPr>
                <w:color w:val="265A9A" w:themeColor="background2"/>
              </w:rPr>
            </w:pPr>
            <w:r w:rsidRPr="000C3796">
              <w:rPr>
                <w:color w:val="265A9A" w:themeColor="background2"/>
              </w:rPr>
              <w:t>the potential size of the costs and benefits, including the productivity effects, arising from the National Heavy Vehicle Driver Competency Framework reforms and if there are any costs and benefits not identified in this report</w:t>
            </w:r>
          </w:p>
          <w:p w14:paraId="2B9FBE95" w14:textId="77777777" w:rsidR="00A1113C" w:rsidRPr="000C3796" w:rsidRDefault="00A1113C" w:rsidP="00B03E9F">
            <w:pPr>
              <w:pStyle w:val="ListBullet"/>
              <w:rPr>
                <w:color w:val="265A9A" w:themeColor="background2"/>
              </w:rPr>
            </w:pPr>
            <w:r w:rsidRPr="000C3796">
              <w:rPr>
                <w:color w:val="265A9A" w:themeColor="background2"/>
              </w:rPr>
              <w:t>how the costs and benefits of National Heavy Vehicle Driver Competency Framework reform might be distributed across the workforce, including by age, gender, income and education, and any other relevant demographic classification (including impacts on Aboriginal and Torres Strait Islander people).</w:t>
            </w:r>
          </w:p>
        </w:tc>
      </w:tr>
      <w:tr w:rsidR="00A1113C" w:rsidRPr="000D0D4D" w14:paraId="2979A128" w14:textId="77777777">
        <w:tc>
          <w:tcPr>
            <w:tcW w:w="5000" w:type="pct"/>
            <w:gridSpan w:val="2"/>
            <w:tcMar>
              <w:bottom w:w="0" w:type="dxa"/>
            </w:tcMar>
          </w:tcPr>
          <w:p w14:paraId="20AD0A87" w14:textId="1F198663" w:rsidR="00A1113C" w:rsidRPr="000D0D4D" w:rsidRDefault="00A1113C">
            <w:pPr>
              <w:pStyle w:val="NoSpacing"/>
              <w:spacing w:line="200" w:lineRule="atLeast"/>
            </w:pPr>
          </w:p>
        </w:tc>
      </w:tr>
    </w:tbl>
    <w:p w14:paraId="3A283347" w14:textId="7A3C57E6" w:rsidR="00A1113C" w:rsidRDefault="00A1113C" w:rsidP="00273C8A">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706"/>
        <w:gridCol w:w="8932"/>
      </w:tblGrid>
      <w:tr w:rsidR="00A1113C" w14:paraId="70539232" w14:textId="77777777">
        <w:trPr>
          <w:trHeight w:val="765"/>
          <w:tblHeader/>
        </w:trPr>
        <w:tc>
          <w:tcPr>
            <w:tcW w:w="366" w:type="pct"/>
            <w:shd w:val="clear" w:color="auto" w:fill="EBEBEB"/>
            <w:tcMar>
              <w:bottom w:w="0" w:type="dxa"/>
            </w:tcMar>
            <w:vAlign w:val="center"/>
          </w:tcPr>
          <w:p w14:paraId="33440A07" w14:textId="77777777" w:rsidR="00A1113C" w:rsidRDefault="00A1113C">
            <w:pPr>
              <w:pStyle w:val="NoSpacing"/>
              <w:keepNext/>
              <w:keepLines/>
              <w:jc w:val="right"/>
            </w:pPr>
            <w:r w:rsidRPr="00A51374">
              <w:rPr>
                <w:noProof/>
              </w:rPr>
              <w:drawing>
                <wp:inline distT="0" distB="0" distL="0" distR="0" wp14:anchorId="2D83B5FF" wp14:editId="30E9C6E9">
                  <wp:extent cx="288000" cy="288000"/>
                  <wp:effectExtent l="0" t="0" r="0" b="0"/>
                  <wp:docPr id="896477926" name="Graphic 8964779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288000" cy="288000"/>
                          </a:xfrm>
                          <a:prstGeom prst="rect">
                            <a:avLst/>
                          </a:prstGeom>
                        </pic:spPr>
                      </pic:pic>
                    </a:graphicData>
                  </a:graphic>
                </wp:inline>
              </w:drawing>
            </w:r>
          </w:p>
        </w:tc>
        <w:tc>
          <w:tcPr>
            <w:tcW w:w="4634" w:type="pct"/>
            <w:shd w:val="clear" w:color="auto" w:fill="EBEBEB"/>
            <w:tcMar>
              <w:bottom w:w="0" w:type="dxa"/>
            </w:tcMar>
            <w:vAlign w:val="center"/>
          </w:tcPr>
          <w:p w14:paraId="54418336" w14:textId="77777777" w:rsidR="00A1113C" w:rsidRPr="002530FF" w:rsidRDefault="00A1113C">
            <w:pPr>
              <w:pStyle w:val="TableHeading"/>
              <w:keepNext/>
              <w:keepLines/>
              <w:spacing w:before="120" w:after="120"/>
              <w:contextualSpacing/>
              <w:rPr>
                <w:sz w:val="20"/>
              </w:rPr>
            </w:pPr>
            <w:r w:rsidRPr="000B0B71">
              <w:rPr>
                <w:sz w:val="20"/>
              </w:rPr>
              <w:t xml:space="preserve">Information request </w:t>
            </w:r>
            <w:r>
              <w:rPr>
                <w:sz w:val="20"/>
              </w:rPr>
              <w:t>6</w:t>
            </w:r>
            <w:r w:rsidRPr="00DF7217">
              <w:rPr>
                <w:sz w:val="20"/>
              </w:rPr>
              <w:t>.</w:t>
            </w:r>
            <w:r>
              <w:rPr>
                <w:sz w:val="20"/>
              </w:rPr>
              <w:t>2</w:t>
            </w:r>
          </w:p>
        </w:tc>
      </w:tr>
      <w:tr w:rsidR="000C3796" w:rsidRPr="000C3796" w14:paraId="0F3B2731" w14:textId="77777777">
        <w:tc>
          <w:tcPr>
            <w:tcW w:w="5000" w:type="pct"/>
            <w:gridSpan w:val="2"/>
            <w:shd w:val="clear" w:color="auto" w:fill="EBEBEB"/>
          </w:tcPr>
          <w:p w14:paraId="511C715D" w14:textId="77777777" w:rsidR="00A1113C" w:rsidRPr="000C3796" w:rsidRDefault="00A1113C">
            <w:pPr>
              <w:pStyle w:val="BodyText"/>
              <w:keepNext/>
              <w:keepLines/>
              <w:rPr>
                <w:color w:val="265A9A" w:themeColor="background2"/>
              </w:rPr>
            </w:pPr>
            <w:r w:rsidRPr="000C3796">
              <w:rPr>
                <w:color w:val="265A9A" w:themeColor="background2"/>
              </w:rPr>
              <w:t>The PC is seeking feedback on future reform directions for the National Heavy Vehicle Driver Competency Framework, including:</w:t>
            </w:r>
          </w:p>
          <w:p w14:paraId="4B35D786" w14:textId="77777777" w:rsidR="00A1113C" w:rsidRPr="000C3796" w:rsidRDefault="00A1113C" w:rsidP="00B03E9F">
            <w:pPr>
              <w:pStyle w:val="ListBullet"/>
              <w:rPr>
                <w:color w:val="265A9A" w:themeColor="background2"/>
              </w:rPr>
            </w:pPr>
            <w:r w:rsidRPr="000C3796">
              <w:rPr>
                <w:color w:val="265A9A" w:themeColor="background2"/>
              </w:rPr>
              <w:t xml:space="preserve">weight concessions in Australian licence classes to create parity between payloads for electric and diesel heavy vehicles and any safety implications of such a concession </w:t>
            </w:r>
          </w:p>
          <w:p w14:paraId="6B9A083E" w14:textId="77777777" w:rsidR="00A1113C" w:rsidRPr="000C3796" w:rsidRDefault="00A1113C" w:rsidP="00B03E9F">
            <w:pPr>
              <w:pStyle w:val="ListBullet"/>
              <w:rPr>
                <w:color w:val="265A9A" w:themeColor="background2"/>
              </w:rPr>
            </w:pPr>
            <w:r w:rsidRPr="000C3796">
              <w:rPr>
                <w:color w:val="265A9A" w:themeColor="background2"/>
              </w:rPr>
              <w:t xml:space="preserve">recognition of the credentials, skills and experience of drivers with overseas heavy vehicle licences within Australia’s licensing system, considering the effects on safety, driver supply and productivity. </w:t>
            </w:r>
          </w:p>
        </w:tc>
      </w:tr>
      <w:tr w:rsidR="00A1113C" w14:paraId="242FDFA0" w14:textId="77777777">
        <w:tc>
          <w:tcPr>
            <w:tcW w:w="5000" w:type="pct"/>
            <w:gridSpan w:val="2"/>
            <w:tcMar>
              <w:bottom w:w="0" w:type="dxa"/>
            </w:tcMar>
          </w:tcPr>
          <w:p w14:paraId="6B5B2F3B" w14:textId="68AD68D8" w:rsidR="00A1113C" w:rsidRDefault="00A1113C">
            <w:pPr>
              <w:pStyle w:val="NoSpacing"/>
              <w:spacing w:line="200" w:lineRule="atLeast"/>
            </w:pPr>
          </w:p>
        </w:tc>
      </w:tr>
    </w:tbl>
    <w:p w14:paraId="227A64E2" w14:textId="77777777" w:rsidR="00955B95" w:rsidRDefault="00955B95" w:rsidP="00273C8A">
      <w:pPr>
        <w:pStyle w:val="BodyText"/>
        <w:sectPr w:rsidR="00955B95" w:rsidSect="005B184E">
          <w:headerReference w:type="default" r:id="rId47"/>
          <w:pgSz w:w="11906" w:h="16838" w:code="9"/>
          <w:pgMar w:top="1134" w:right="1134" w:bottom="1134" w:left="1134" w:header="794" w:footer="510" w:gutter="0"/>
          <w:cols w:space="708"/>
          <w:docGrid w:linePitch="360"/>
        </w:sectPr>
      </w:pPr>
    </w:p>
    <w:p w14:paraId="42E7460A" w14:textId="77777777" w:rsidR="00955B95" w:rsidRDefault="00955B95" w:rsidP="00273C8A">
      <w:pPr>
        <w:pStyle w:val="BodyText"/>
      </w:pPr>
    </w:p>
    <w:p w14:paraId="381456BA" w14:textId="77777777" w:rsidR="00955B95" w:rsidRDefault="00955B95" w:rsidP="00273C8A">
      <w:pPr>
        <w:pStyle w:val="BodyText"/>
        <w:sectPr w:rsidR="00955B95" w:rsidSect="005B184E">
          <w:headerReference w:type="even" r:id="rId48"/>
          <w:footerReference w:type="even" r:id="rId49"/>
          <w:pgSz w:w="11906" w:h="16838" w:code="9"/>
          <w:pgMar w:top="1134" w:right="1134" w:bottom="1134" w:left="1134" w:header="794" w:footer="510" w:gutter="0"/>
          <w:cols w:space="708"/>
          <w:docGrid w:linePitch="360"/>
        </w:sectPr>
      </w:pPr>
    </w:p>
    <w:p w14:paraId="2B280986" w14:textId="77777777" w:rsidR="00041A11" w:rsidRDefault="00041A11" w:rsidP="00424F20">
      <w:pPr>
        <w:pStyle w:val="Reference"/>
      </w:pPr>
    </w:p>
    <w:p w14:paraId="3067B618" w14:textId="77777777" w:rsidR="00E21C32" w:rsidRDefault="00E21C32" w:rsidP="004D4430">
      <w:pPr>
        <w:pStyle w:val="Reference"/>
        <w:sectPr w:rsidR="00E21C32" w:rsidSect="00041A11">
          <w:headerReference w:type="even" r:id="rId50"/>
          <w:headerReference w:type="default" r:id="rId51"/>
          <w:footerReference w:type="even" r:id="rId52"/>
          <w:footerReference w:type="default" r:id="rId53"/>
          <w:headerReference w:type="first" r:id="rId54"/>
          <w:type w:val="continuous"/>
          <w:pgSz w:w="11906" w:h="16838" w:code="9"/>
          <w:pgMar w:top="1134" w:right="1134" w:bottom="1134" w:left="1134" w:header="794" w:footer="510" w:gutter="0"/>
          <w:cols w:num="2" w:space="708"/>
          <w:docGrid w:linePitch="360"/>
        </w:sectPr>
      </w:pPr>
    </w:p>
    <w:p w14:paraId="50109B82" w14:textId="4B6BCEBD" w:rsidR="008761FC" w:rsidRDefault="008761FC" w:rsidP="004D4430">
      <w:pPr>
        <w:pStyle w:val="Reference"/>
      </w:pPr>
    </w:p>
    <w:sectPr w:rsidR="008761FC" w:rsidSect="00E21C32">
      <w:type w:val="continuous"/>
      <w:pgSz w:w="11906" w:h="16838" w:code="9"/>
      <w:pgMar w:top="1134" w:right="1134" w:bottom="1134" w:left="1134" w:header="794" w:footer="51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27632" w14:textId="77777777" w:rsidR="00946E03" w:rsidRDefault="00946E03" w:rsidP="008017BC">
      <w:r>
        <w:separator/>
      </w:r>
    </w:p>
    <w:p w14:paraId="580D3DCB" w14:textId="77777777" w:rsidR="00946E03" w:rsidRDefault="00946E03"/>
  </w:endnote>
  <w:endnote w:type="continuationSeparator" w:id="0">
    <w:p w14:paraId="556CB549" w14:textId="77777777" w:rsidR="00946E03" w:rsidRDefault="00946E03" w:rsidP="008017BC">
      <w:r>
        <w:continuationSeparator/>
      </w:r>
    </w:p>
    <w:p w14:paraId="4673A6B5" w14:textId="77777777" w:rsidR="00946E03" w:rsidRDefault="00946E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9F96" w14:textId="77777777" w:rsidR="00F04EA7" w:rsidRPr="00187F05" w:rsidRDefault="00F04EA7" w:rsidP="00B66654">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256002"/>
      <w:docPartObj>
        <w:docPartGallery w:val="Page Numbers (Bottom of Page)"/>
        <w:docPartUnique/>
      </w:docPartObj>
    </w:sdtPr>
    <w:sdtContent>
      <w:sdt>
        <w:sdtPr>
          <w:id w:val="-293520210"/>
          <w:docPartObj>
            <w:docPartGallery w:val="Page Numbers (Top of Page)"/>
            <w:docPartUnique/>
          </w:docPartObj>
        </w:sdtPr>
        <w:sdtContent>
          <w:p w14:paraId="2147D328" w14:textId="77777777" w:rsidR="00796953" w:rsidRDefault="00796953" w:rsidP="002E3F19">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B395" w14:textId="77777777" w:rsidR="00C31E23" w:rsidRDefault="00C31E23" w:rsidP="00B66654">
    <w:pPr>
      <w:pStyle w:val="Footer-right"/>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6D5A" w14:textId="77777777" w:rsidR="00F04EA7" w:rsidRDefault="00C31E23">
    <w:pPr>
      <w:pStyle w:val="Foo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61F25" w14:textId="77777777" w:rsidR="00F83623" w:rsidRPr="00187F05" w:rsidRDefault="00F83623" w:rsidP="004544D6">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105459"/>
      <w:docPartObj>
        <w:docPartGallery w:val="Page Numbers (Bottom of Page)"/>
        <w:docPartUnique/>
      </w:docPartObj>
    </w:sdtPr>
    <w:sdtContent>
      <w:sdt>
        <w:sdtPr>
          <w:id w:val="372884374"/>
          <w:docPartObj>
            <w:docPartGallery w:val="Page Numbers (Top of Page)"/>
            <w:docPartUnique/>
          </w:docPartObj>
        </w:sdtPr>
        <w:sdtContent>
          <w:p w14:paraId="538D237F" w14:textId="77777777" w:rsidR="00F83623" w:rsidRPr="0042508F" w:rsidRDefault="00F83623" w:rsidP="004544D6">
            <w:pPr>
              <w:pStyle w:val="Footer-right"/>
            </w:pPr>
            <w:r w:rsidRPr="0042508F">
              <w:fldChar w:fldCharType="begin"/>
            </w:r>
            <w:r w:rsidRPr="0042508F">
              <w:instrText xml:space="preserve"> PAGE </w:instrText>
            </w:r>
            <w:r w:rsidRPr="0042508F">
              <w:fldChar w:fldCharType="separate"/>
            </w:r>
            <w:r>
              <w:rPr>
                <w:noProof/>
              </w:rPr>
              <w:t>1</w:t>
            </w:r>
            <w:r w:rsidRPr="0042508F">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C876" w14:textId="77777777" w:rsidR="007264F8" w:rsidRDefault="007264F8"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09678"/>
      <w:docPartObj>
        <w:docPartGallery w:val="Page Numbers (Bottom of Page)"/>
        <w:docPartUnique/>
      </w:docPartObj>
    </w:sdtPr>
    <w:sdtContent>
      <w:sdt>
        <w:sdtPr>
          <w:id w:val="1099362845"/>
          <w:docPartObj>
            <w:docPartGallery w:val="Page Numbers (Top of Page)"/>
            <w:docPartUnique/>
          </w:docPartObj>
        </w:sdtPr>
        <w:sdtContent>
          <w:p w14:paraId="50E86EC9" w14:textId="77777777" w:rsidR="007264F8" w:rsidRDefault="007264F8" w:rsidP="002E3F19">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376C" w14:textId="77777777" w:rsidR="00955B95" w:rsidRDefault="00955B95"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3EAE" w14:textId="77777777" w:rsidR="00796953" w:rsidRDefault="00796953"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E34DB" w14:textId="77777777" w:rsidR="00946E03" w:rsidRPr="00C238D1" w:rsidRDefault="00946E03" w:rsidP="00273E86">
      <w:pPr>
        <w:spacing w:after="0" w:line="240" w:lineRule="auto"/>
        <w:rPr>
          <w:rStyle w:val="ColourDarkBlue"/>
        </w:rPr>
      </w:pPr>
      <w:r w:rsidRPr="00C238D1">
        <w:rPr>
          <w:rStyle w:val="ColourDarkBlue"/>
        </w:rPr>
        <w:continuationSeparator/>
      </w:r>
    </w:p>
  </w:footnote>
  <w:footnote w:type="continuationSeparator" w:id="0">
    <w:p w14:paraId="57BF9159" w14:textId="77777777" w:rsidR="00946E03" w:rsidRPr="001D7D9B" w:rsidRDefault="00946E03" w:rsidP="001D7D9B">
      <w:pPr>
        <w:spacing w:after="0" w:line="240" w:lineRule="auto"/>
        <w:rPr>
          <w:color w:val="265A9A" w:themeColor="background2"/>
        </w:rPr>
      </w:pPr>
      <w:r w:rsidRPr="00C238D1">
        <w:rPr>
          <w:rStyle w:val="ColourDarkBlue"/>
        </w:rPr>
        <w:continuationSeparator/>
      </w:r>
    </w:p>
  </w:footnote>
  <w:footnote w:type="continuationNotice" w:id="1">
    <w:p w14:paraId="5926FE61" w14:textId="77777777" w:rsidR="00946E03" w:rsidRDefault="00946E03"/>
  </w:footnote>
  <w:footnote w:id="2">
    <w:p w14:paraId="2AB97C64" w14:textId="77777777" w:rsidR="007F22AA" w:rsidRPr="003D03BC" w:rsidRDefault="007F22AA">
      <w:pPr>
        <w:pStyle w:val="FootnoteText"/>
      </w:pPr>
      <w:r w:rsidRPr="009601EB">
        <w:rPr>
          <w:rStyle w:val="FootnoteReference"/>
        </w:rPr>
        <w:footnoteRef/>
      </w:r>
      <w:r>
        <w:t xml:space="preserve"> In-house transport activity is </w:t>
      </w:r>
      <w:r w:rsidRPr="00B015AF">
        <w:t>undertaken by non-transport industries in the economy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465C" w14:textId="70FF921C" w:rsidR="00F04EA7" w:rsidRPr="007215EF" w:rsidRDefault="00DC210A" w:rsidP="007215EF">
    <w:r>
      <w:rPr>
        <w:noProof/>
      </w:rPr>
      <w:drawing>
        <wp:anchor distT="0" distB="0" distL="114300" distR="114300" simplePos="0" relativeHeight="251658241" behindDoc="0" locked="0" layoutInCell="1" allowOverlap="1" wp14:anchorId="17951D6E" wp14:editId="4C698E9D">
          <wp:simplePos x="0" y="0"/>
          <wp:positionH relativeFrom="page">
            <wp:align>left</wp:align>
          </wp:positionH>
          <wp:positionV relativeFrom="paragraph">
            <wp:posOffset>-396331</wp:posOffset>
          </wp:positionV>
          <wp:extent cx="7560000" cy="10688656"/>
          <wp:effectExtent l="0" t="0" r="3175" b="0"/>
          <wp:wrapNone/>
          <wp:docPr id="496260775" name="Picture 13" descr="Australian Government Productivity Commission logo | Interim report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260775" name="Picture 13" descr="Australian Government Productivity Commission logo | Interim report cove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8656"/>
                  </a:xfrm>
                  <a:prstGeom prst="rect">
                    <a:avLst/>
                  </a:prstGeom>
                </pic:spPr>
              </pic:pic>
            </a:graphicData>
          </a:graphic>
          <wp14:sizeRelH relativeFrom="page">
            <wp14:pctWidth>0</wp14:pctWidth>
          </wp14:sizeRelH>
          <wp14:sizeRelV relativeFrom="page">
            <wp14:pctHeight>0</wp14:pctHeight>
          </wp14:sizeRelV>
        </wp:anchor>
      </w:drawing>
    </w:r>
  </w:p>
  <w:p w14:paraId="0A5A232C" w14:textId="77777777" w:rsidR="00F04EA7" w:rsidRPr="005965BC" w:rsidRDefault="00F04EA7" w:rsidP="005965B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B98B" w14:textId="5CE4E552" w:rsidR="007264F8" w:rsidRDefault="007264F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064B" w14:textId="3D97CD88" w:rsidR="00852396" w:rsidRDefault="00681000" w:rsidP="00681000">
    <w:pPr>
      <w:pStyle w:val="Header-KeylineRight"/>
    </w:pPr>
    <w:r>
      <w:rPr>
        <w:rStyle w:val="Strong"/>
        <w:b w:val="0"/>
        <w:bCs w:val="0"/>
      </w:rPr>
      <w:fldChar w:fldCharType="begin"/>
    </w:r>
    <w:r>
      <w:rPr>
        <w:rStyle w:val="Strong"/>
        <w:b w:val="0"/>
        <w:bCs w:val="0"/>
      </w:rPr>
      <w:instrText xml:space="preserve"> STYLEREF  "Heading 1-no background"  \* MERGEFORMAT </w:instrText>
    </w:r>
    <w:r>
      <w:rPr>
        <w:rStyle w:val="Strong"/>
        <w:b w:val="0"/>
        <w:bCs w:val="0"/>
      </w:rPr>
      <w:fldChar w:fldCharType="separate"/>
    </w:r>
    <w:r w:rsidR="007E407C">
      <w:rPr>
        <w:rStyle w:val="Strong"/>
        <w:b w:val="0"/>
        <w:bCs w:val="0"/>
        <w:noProof/>
      </w:rPr>
      <w:t>Draft recommendations, findings and information requests</w:t>
    </w:r>
    <w:r>
      <w:rPr>
        <w:rStyle w:val="Strong"/>
        <w:b w:val="0"/>
        <w:bCs w:val="0"/>
      </w:rPr>
      <w:fldChar w:fldCharType="end"/>
    </w:r>
    <w:r w:rsidR="00202CB3">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67D2" w14:textId="2C4D94DC" w:rsidR="00955B95" w:rsidRDefault="00CA2FE5" w:rsidP="00273C8A">
    <w:pPr>
      <w:pStyle w:val="Header-Keyline"/>
    </w:pPr>
    <w:r>
      <w:rPr>
        <w:b/>
        <w:bCs/>
        <w:noProof/>
      </w:rPr>
      <w:drawing>
        <wp:anchor distT="0" distB="0" distL="114300" distR="114300" simplePos="0" relativeHeight="251658240" behindDoc="1" locked="0" layoutInCell="1" allowOverlap="1" wp14:anchorId="6E4D16A0" wp14:editId="0E34E584">
          <wp:simplePos x="0" y="0"/>
          <wp:positionH relativeFrom="page">
            <wp:align>left</wp:align>
          </wp:positionH>
          <wp:positionV relativeFrom="paragraph">
            <wp:posOffset>-504553</wp:posOffset>
          </wp:positionV>
          <wp:extent cx="7560000" cy="10681108"/>
          <wp:effectExtent l="0" t="0" r="3175" b="6350"/>
          <wp:wrapNone/>
          <wp:docPr id="1473433681"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433681"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1108"/>
                  </a:xfrm>
                  <a:prstGeom prst="rect">
                    <a:avLst/>
                  </a:prstGeom>
                </pic:spPr>
              </pic:pic>
            </a:graphicData>
          </a:graphic>
          <wp14:sizeRelH relativeFrom="page">
            <wp14:pctWidth>0</wp14:pctWidth>
          </wp14:sizeRelH>
          <wp14:sizeRelV relativeFrom="page">
            <wp14:pctHeight>0</wp14:pctHeight>
          </wp14:sizeRelV>
        </wp:anchor>
      </w:drawing>
    </w:r>
    <w:sdt>
      <w:sdtPr>
        <w:rPr>
          <w:rStyle w:val="Strong"/>
        </w:rPr>
        <w:alias w:val="Title"/>
        <w:tag w:val=""/>
        <w:id w:val="-1372999160"/>
        <w:dataBinding w:prefixMappings="xmlns:ns0='http://purl.org/dc/elements/1.1/' xmlns:ns1='http://schemas.openxmlformats.org/package/2006/metadata/core-properties' " w:xpath="/ns1:coreProperties[1]/ns0:title[1]" w:storeItemID="{6C3C8BC8-F283-45AE-878A-BAB7291924A1}"/>
        <w:text/>
      </w:sdtPr>
      <w:sdtContent>
        <w:r w:rsidR="009E091B">
          <w:rPr>
            <w:rStyle w:val="Strong"/>
          </w:rPr>
          <w:t>Overview - Interim report - Impacts of heavy vehicle reform</w:t>
        </w:r>
      </w:sdtContent>
    </w:sdt>
    <w:r w:rsidR="00955B95">
      <w:t xml:space="preserve"> Interim report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C4C9E" w14:textId="12196692" w:rsidR="00796953" w:rsidRDefault="00796953" w:rsidP="00273C8A">
    <w:pPr>
      <w:pStyle w:val="Header-Keyline"/>
    </w:pPr>
    <w:r>
      <w:rPr>
        <w:rStyle w:val="Strong"/>
      </w:rPr>
      <w:t>Impact</w:t>
    </w:r>
    <w:r w:rsidR="00D91EDB">
      <w:rPr>
        <w:rStyle w:val="Strong"/>
      </w:rPr>
      <w:t>s</w:t>
    </w:r>
    <w:r>
      <w:rPr>
        <w:rStyle w:val="Strong"/>
      </w:rPr>
      <w:t xml:space="preserve"> of </w:t>
    </w:r>
    <w:r w:rsidR="000430D6">
      <w:rPr>
        <w:rStyle w:val="Strong"/>
      </w:rPr>
      <w:t>h</w:t>
    </w:r>
    <w:r>
      <w:rPr>
        <w:rStyle w:val="Strong"/>
      </w:rPr>
      <w:t xml:space="preserve">eavy </w:t>
    </w:r>
    <w:r w:rsidR="000430D6">
      <w:rPr>
        <w:rStyle w:val="Strong"/>
      </w:rPr>
      <w:t>v</w:t>
    </w:r>
    <w:r>
      <w:rPr>
        <w:rStyle w:val="Strong"/>
      </w:rPr>
      <w:t xml:space="preserve">ehicle reform </w:t>
    </w:r>
    <w:r w:rsidR="000430D6" w:rsidRPr="000430D6">
      <w:rPr>
        <w:rStyle w:val="Strong"/>
        <w:b w:val="0"/>
        <w:bCs w:val="0"/>
      </w:rPr>
      <w:t>Interim report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466A" w14:textId="5B061327" w:rsidR="00796953" w:rsidRDefault="00237585" w:rsidP="00273C8A">
    <w:pPr>
      <w:pStyle w:val="Header-KeylineRight"/>
    </w:pPr>
    <w:fldSimple w:instr=" STYLEREF  &quot;Heading 1-no background&quot;  \* MERGEFORMAT ">
      <w:r w:rsidR="007E407C">
        <w:rPr>
          <w:noProof/>
        </w:rPr>
        <w:t>Draft recommendations, findings and information requests</w:t>
      </w:r>
    </w:fldSimple>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61912" w14:textId="13555668" w:rsidR="00796953" w:rsidRDefault="007969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4216" w14:textId="43ABE77C" w:rsidR="00F83623" w:rsidRPr="00201320" w:rsidRDefault="0031055F" w:rsidP="004544D6">
    <w:pPr>
      <w:pStyle w:val="Header-Keyline"/>
      <w:rPr>
        <w:rStyle w:val="Strong"/>
        <w:b w:val="0"/>
        <w:bCs w:val="0"/>
      </w:rPr>
    </w:pPr>
    <w:r>
      <w:rPr>
        <w:rStyle w:val="Strong"/>
      </w:rPr>
      <w:t>Impacts of heavy vehicle reform</w:t>
    </w:r>
    <w:r w:rsidR="00F83623">
      <w:t xml:space="preserve"> </w:t>
    </w:r>
    <w:r w:rsidR="00BE4F8E">
      <w:t>Interim</w:t>
    </w:r>
    <w:r w:rsidR="00F83623">
      <w:t xml:space="preserve">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A16CF" w14:textId="1146D3F1" w:rsidR="00F83623" w:rsidRDefault="00237585" w:rsidP="004544D6">
    <w:pPr>
      <w:pStyle w:val="Header-KeylineRight"/>
    </w:pPr>
    <w:fldSimple w:instr=" STYLEREF  &quot;Heading 1-no background&quot;  \* MERGEFORMAT ">
      <w:r w:rsidR="007E407C">
        <w:rPr>
          <w:noProof/>
        </w:rPr>
        <w:t>Opportunity for comment</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33E1" w14:textId="77777777" w:rsidR="00F83623" w:rsidRDefault="00F83623">
    <w:pPr>
      <w:pStyle w:val="Header"/>
    </w:pPr>
    <w:r>
      <w:rPr>
        <w:noProof/>
      </w:rPr>
      <mc:AlternateContent>
        <mc:Choice Requires="wps">
          <w:drawing>
            <wp:anchor distT="0" distB="0" distL="0" distR="0" simplePos="0" relativeHeight="251658242" behindDoc="0" locked="0" layoutInCell="1" allowOverlap="1" wp14:anchorId="242BA690" wp14:editId="39A19BEF">
              <wp:simplePos x="635" y="635"/>
              <wp:positionH relativeFrom="page">
                <wp:align>center</wp:align>
              </wp:positionH>
              <wp:positionV relativeFrom="page">
                <wp:align>top</wp:align>
              </wp:positionV>
              <wp:extent cx="586105" cy="452755"/>
              <wp:effectExtent l="0" t="0" r="4445" b="4445"/>
              <wp:wrapNone/>
              <wp:docPr id="75623576" name="Text Box 5"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52755"/>
                      </a:xfrm>
                      <a:prstGeom prst="rect">
                        <a:avLst/>
                      </a:prstGeom>
                      <a:noFill/>
                      <a:ln>
                        <a:noFill/>
                      </a:ln>
                    </wps:spPr>
                    <wps:txbx>
                      <w:txbxContent>
                        <w:p w14:paraId="3355D3D3" w14:textId="77777777" w:rsidR="00F83623" w:rsidRPr="00120DB2" w:rsidRDefault="00F83623" w:rsidP="00120DB2">
                          <w:pPr>
                            <w:spacing w:after="0"/>
                            <w:rPr>
                              <w:rFonts w:ascii="Calibri" w:eastAsia="Calibri" w:hAnsi="Calibri" w:cs="Calibri"/>
                              <w:noProof/>
                              <w:color w:val="000000"/>
                              <w:sz w:val="24"/>
                              <w:szCs w:val="24"/>
                            </w:rPr>
                          </w:pPr>
                          <w:r w:rsidRPr="00120DB2">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2BA690" id="_x0000_t202" coordsize="21600,21600" o:spt="202" path="m,l,21600r21600,l21600,xe">
              <v:stroke joinstyle="miter"/>
              <v:path gradientshapeok="t" o:connecttype="rect"/>
            </v:shapetype>
            <v:shape id="Text Box 5" o:spid="_x0000_s1027" type="#_x0000_t202" alt=" OFFICIAL" style="position:absolute;margin-left:0;margin-top:0;width:46.15pt;height:35.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" filled="f" stroked="f">
              <v:textbox style="mso-fit-shape-to-text:t" inset="0,15pt,0,0">
                <w:txbxContent>
                  <w:p w14:paraId="3355D3D3" w14:textId="77777777" w:rsidR="00F83623" w:rsidRPr="00120DB2" w:rsidRDefault="00F83623" w:rsidP="00120DB2">
                    <w:pPr>
                      <w:spacing w:after="0"/>
                      <w:rPr>
                        <w:rFonts w:ascii="Calibri" w:eastAsia="Calibri" w:hAnsi="Calibri" w:cs="Calibri"/>
                        <w:noProof/>
                        <w:color w:val="000000"/>
                        <w:sz w:val="24"/>
                        <w:szCs w:val="24"/>
                      </w:rPr>
                    </w:pPr>
                    <w:r w:rsidRPr="00120DB2">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20F17" w14:textId="78CA15D2" w:rsidR="00D145F0" w:rsidRDefault="0031055F" w:rsidP="00B71EDA">
    <w:pPr>
      <w:pStyle w:val="Header-Keyline"/>
    </w:pPr>
    <w:r>
      <w:rPr>
        <w:rStyle w:val="Strong"/>
      </w:rPr>
      <w:t>Impacts of heavy vehicle reform</w:t>
    </w:r>
    <w:r w:rsidR="00B77FD1">
      <w:t xml:space="preserve"> Interim report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E894" w14:textId="4757DE65" w:rsidR="00E83C1B" w:rsidRPr="00201320" w:rsidRDefault="00E41066" w:rsidP="00160FEC">
    <w:pPr>
      <w:pStyle w:val="Header-KeylineRight"/>
      <w:rPr>
        <w:rStyle w:val="Strong"/>
        <w:b w:val="0"/>
        <w:bCs w:val="0"/>
      </w:rPr>
    </w:pPr>
    <w:r>
      <w:rPr>
        <w:rStyle w:val="Strong"/>
        <w:b w:val="0"/>
        <w:bCs w:val="0"/>
      </w:rPr>
      <w:fldChar w:fldCharType="begin"/>
    </w:r>
    <w:r>
      <w:rPr>
        <w:rStyle w:val="Strong"/>
        <w:b w:val="0"/>
        <w:bCs w:val="0"/>
      </w:rPr>
      <w:instrText xml:space="preserve"> STYLEREF  "Heading 1-no background"  \* MERGEFORMAT </w:instrText>
    </w:r>
    <w:r>
      <w:rPr>
        <w:rStyle w:val="Strong"/>
        <w:b w:val="0"/>
        <w:bCs w:val="0"/>
      </w:rPr>
      <w:fldChar w:fldCharType="separate"/>
    </w:r>
    <w:r w:rsidR="007E407C">
      <w:rPr>
        <w:rStyle w:val="Strong"/>
        <w:b w:val="0"/>
        <w:bCs w:val="0"/>
        <w:noProof/>
      </w:rPr>
      <w:t>Contents</w:t>
    </w:r>
    <w:r>
      <w:rPr>
        <w:rStyle w:val="Strong"/>
        <w:b w:val="0"/>
        <w:bCs w:val="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5125" w14:textId="6C062D9C" w:rsidR="00D145F0" w:rsidRDefault="00D145F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D1B23" w14:textId="33B4BCC1" w:rsidR="007264F8" w:rsidRDefault="0031055F" w:rsidP="00273C8A">
    <w:pPr>
      <w:pStyle w:val="Header-Keyline"/>
    </w:pPr>
    <w:r>
      <w:rPr>
        <w:rStyle w:val="Strong"/>
      </w:rPr>
      <w:t>Impacts of heavy vehicle reform</w:t>
    </w:r>
    <w:r w:rsidR="007264F8">
      <w:t xml:space="preserve"> Interim report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04EE" w14:textId="4D1158DD" w:rsidR="007264F8" w:rsidRDefault="00B77FD1" w:rsidP="00273C8A">
    <w:pPr>
      <w:pStyle w:val="Header-KeylineRight"/>
    </w:pPr>
    <w:r>
      <w:rPr>
        <w:rStyle w:val="Strong"/>
        <w:b w:val="0"/>
        <w:bCs w:val="0"/>
      </w:rPr>
      <w:fldChar w:fldCharType="begin"/>
    </w:r>
    <w:r>
      <w:rPr>
        <w:rStyle w:val="Strong"/>
        <w:b w:val="0"/>
        <w:bCs w:val="0"/>
      </w:rPr>
      <w:instrText xml:space="preserve"> STYLEREF  "Heading 1-Section-full page"  \* MERGEFORMAT </w:instrText>
    </w:r>
    <w:r>
      <w:rPr>
        <w:rStyle w:val="Strong"/>
        <w:b w:val="0"/>
        <w:bCs w:val="0"/>
      </w:rPr>
      <w:fldChar w:fldCharType="separate"/>
    </w:r>
    <w:r w:rsidR="007E407C" w:rsidRPr="007E407C">
      <w:rPr>
        <w:rStyle w:val="Strong"/>
        <w:noProof/>
        <w:lang w:val="en-US"/>
      </w:rPr>
      <w:t>Overview</w:t>
    </w:r>
    <w:r>
      <w:rPr>
        <w:rStyle w:val="Strong"/>
        <w:b w:val="0"/>
        <w:bCs w:val="0"/>
      </w:rPr>
      <w:fldChar w:fldCharType="end"/>
    </w:r>
    <w:r w:rsidR="002F129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58C04DD0"/>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134CD8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40C8A8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747CE7"/>
    <w:multiLevelType w:val="hybridMultilevel"/>
    <w:tmpl w:val="AC826644"/>
    <w:lvl w:ilvl="0" w:tplc="77D22D34">
      <w:start w:val="2"/>
      <w:numFmt w:val="upperLetter"/>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F3E6C9D"/>
    <w:multiLevelType w:val="multilevel"/>
    <w:tmpl w:val="FF8069A4"/>
    <w:numStyleLink w:val="Bullets"/>
  </w:abstractNum>
  <w:abstractNum w:abstractNumId="9"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0"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11" w15:restartNumberingAfterBreak="0">
    <w:nsid w:val="14E71DBB"/>
    <w:multiLevelType w:val="hybridMultilevel"/>
    <w:tmpl w:val="A9361B26"/>
    <w:lvl w:ilvl="0" w:tplc="02FCC882">
      <w:start w:val="1"/>
      <w:numFmt w:val="bullet"/>
      <w:lvlText w:val=""/>
      <w:lvlJc w:val="left"/>
      <w:pPr>
        <w:ind w:left="720" w:hanging="360"/>
      </w:pPr>
      <w:rPr>
        <w:rFonts w:ascii="Symbol" w:hAnsi="Symbol" w:hint="default"/>
        <w:color w:val="265A9A"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B334E4"/>
    <w:multiLevelType w:val="multilevel"/>
    <w:tmpl w:val="00EA5268"/>
    <w:name w:val="StandardNumberedList"/>
    <w:lvl w:ilvl="0">
      <w:start w:val="1"/>
      <w:numFmt w:val="decimal"/>
      <w:pStyle w:val="OutlineNumbered1"/>
      <w:lvlText w:val="%1."/>
      <w:lvlJc w:val="left"/>
      <w:pPr>
        <w:tabs>
          <w:tab w:val="num" w:pos="1287"/>
        </w:tabs>
        <w:ind w:left="1287" w:hanging="567"/>
      </w:pPr>
    </w:lvl>
    <w:lvl w:ilvl="1">
      <w:start w:val="1"/>
      <w:numFmt w:val="decimal"/>
      <w:pStyle w:val="OutlineNumbered2"/>
      <w:lvlText w:val="%1.%2."/>
      <w:lvlJc w:val="left"/>
      <w:pPr>
        <w:tabs>
          <w:tab w:val="num" w:pos="1854"/>
        </w:tabs>
        <w:ind w:left="1854" w:hanging="567"/>
      </w:pPr>
    </w:lvl>
    <w:lvl w:ilvl="2">
      <w:start w:val="1"/>
      <w:numFmt w:val="decimal"/>
      <w:pStyle w:val="OutlineNumbered3"/>
      <w:lvlText w:val="%1.%2.%3."/>
      <w:lvlJc w:val="left"/>
      <w:pPr>
        <w:tabs>
          <w:tab w:val="num" w:pos="2421"/>
        </w:tabs>
        <w:ind w:left="2421" w:hanging="567"/>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14" w15:restartNumberingAfterBreak="0">
    <w:nsid w:val="1A1A0E47"/>
    <w:multiLevelType w:val="multilevel"/>
    <w:tmpl w:val="DD0A458C"/>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9445803"/>
    <w:multiLevelType w:val="hybridMultilevel"/>
    <w:tmpl w:val="B4DE2D8A"/>
    <w:lvl w:ilvl="0" w:tplc="87740F7E">
      <w:start w:val="4"/>
      <w:numFmt w:val="decimal"/>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7" w15:restartNumberingAfterBreak="0">
    <w:nsid w:val="29B41976"/>
    <w:multiLevelType w:val="hybridMultilevel"/>
    <w:tmpl w:val="F0D6FC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D665246"/>
    <w:multiLevelType w:val="multilevel"/>
    <w:tmpl w:val="55366B42"/>
    <w:numStyleLink w:val="LetteredList"/>
  </w:abstractNum>
  <w:abstractNum w:abstractNumId="19" w15:restartNumberingAfterBreak="0">
    <w:nsid w:val="2DFE29AF"/>
    <w:multiLevelType w:val="multilevel"/>
    <w:tmpl w:val="72768BCE"/>
    <w:numStyleLink w:val="AppendixHeadingList"/>
  </w:abstractNum>
  <w:abstractNum w:abstractNumId="20"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61453A"/>
    <w:multiLevelType w:val="hybridMultilevel"/>
    <w:tmpl w:val="08668490"/>
    <w:lvl w:ilvl="0" w:tplc="08C493D8">
      <w:start w:val="1"/>
      <w:numFmt w:val="bullet"/>
      <w:lvlText w:val="•"/>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86DAA2">
      <w:start w:val="1"/>
      <w:numFmt w:val="bullet"/>
      <w:lvlText w:val="–"/>
      <w:lvlJc w:val="left"/>
      <w:pPr>
        <w:ind w:left="1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FE99FA">
      <w:start w:val="1"/>
      <w:numFmt w:val="bullet"/>
      <w:lvlText w:val="▪"/>
      <w:lvlJc w:val="left"/>
      <w:pPr>
        <w:ind w:left="1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B0CE30">
      <w:start w:val="1"/>
      <w:numFmt w:val="bullet"/>
      <w:lvlText w:val="•"/>
      <w:lvlJc w:val="left"/>
      <w:pPr>
        <w:ind w:left="2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BE7DE2">
      <w:start w:val="1"/>
      <w:numFmt w:val="bullet"/>
      <w:lvlText w:val="o"/>
      <w:lvlJc w:val="left"/>
      <w:pPr>
        <w:ind w:left="3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D6A3F8">
      <w:start w:val="1"/>
      <w:numFmt w:val="bullet"/>
      <w:lvlText w:val="▪"/>
      <w:lvlJc w:val="left"/>
      <w:pPr>
        <w:ind w:left="3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36CEBE">
      <w:start w:val="1"/>
      <w:numFmt w:val="bullet"/>
      <w:lvlText w:val="•"/>
      <w:lvlJc w:val="left"/>
      <w:pPr>
        <w:ind w:left="4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DE9DA2">
      <w:start w:val="1"/>
      <w:numFmt w:val="bullet"/>
      <w:lvlText w:val="o"/>
      <w:lvlJc w:val="left"/>
      <w:pPr>
        <w:ind w:left="5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C8BF4A">
      <w:start w:val="1"/>
      <w:numFmt w:val="bullet"/>
      <w:lvlText w:val="▪"/>
      <w:lvlJc w:val="left"/>
      <w:pPr>
        <w:ind w:left="5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25" w15:restartNumberingAfterBreak="0">
    <w:nsid w:val="6DF51F03"/>
    <w:multiLevelType w:val="multilevel"/>
    <w:tmpl w:val="A11C3944"/>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61B4A1B"/>
    <w:multiLevelType w:val="multilevel"/>
    <w:tmpl w:val="4F48000A"/>
    <w:numStyleLink w:val="Alphalist"/>
  </w:abstractNum>
  <w:abstractNum w:abstractNumId="27" w15:restartNumberingAfterBreak="0">
    <w:nsid w:val="764C1A92"/>
    <w:multiLevelType w:val="hybridMultilevel"/>
    <w:tmpl w:val="40EC1A80"/>
    <w:lvl w:ilvl="0" w:tplc="1214CAA8">
      <w:start w:val="1"/>
      <w:numFmt w:val="bullet"/>
      <w:lvlText w:val=""/>
      <w:lvlJc w:val="left"/>
      <w:pPr>
        <w:ind w:left="720" w:hanging="360"/>
      </w:pPr>
      <w:rPr>
        <w:rFonts w:ascii="Symbol" w:hAnsi="Symbol" w:hint="default"/>
        <w:color w:val="265A9A"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0144678">
    <w:abstractNumId w:val="10"/>
  </w:num>
  <w:num w:numId="2" w16cid:durableId="1469396518">
    <w:abstractNumId w:val="6"/>
  </w:num>
  <w:num w:numId="3" w16cid:durableId="183128717">
    <w:abstractNumId w:val="15"/>
  </w:num>
  <w:num w:numId="4" w16cid:durableId="1097671426">
    <w:abstractNumId w:val="23"/>
  </w:num>
  <w:num w:numId="5" w16cid:durableId="1179007491">
    <w:abstractNumId w:val="24"/>
  </w:num>
  <w:num w:numId="6" w16cid:durableId="945118652">
    <w:abstractNumId w:val="22"/>
  </w:num>
  <w:num w:numId="7" w16cid:durableId="590041939">
    <w:abstractNumId w:val="19"/>
  </w:num>
  <w:num w:numId="8" w16cid:durableId="663437448">
    <w:abstractNumId w:val="13"/>
  </w:num>
  <w:num w:numId="9" w16cid:durableId="1834755668">
    <w:abstractNumId w:val="18"/>
  </w:num>
  <w:num w:numId="10" w16cid:durableId="1379160524">
    <w:abstractNumId w:val="26"/>
  </w:num>
  <w:num w:numId="11" w16cid:durableId="1596598098">
    <w:abstractNumId w:val="0"/>
  </w:num>
  <w:num w:numId="12" w16cid:durableId="1098722102">
    <w:abstractNumId w:val="7"/>
  </w:num>
  <w:num w:numId="13" w16cid:durableId="239557782">
    <w:abstractNumId w:val="14"/>
  </w:num>
  <w:num w:numId="14" w16cid:durableId="846403689">
    <w:abstractNumId w:val="9"/>
  </w:num>
  <w:num w:numId="15" w16cid:durableId="74983605">
    <w:abstractNumId w:val="8"/>
  </w:num>
  <w:num w:numId="16" w16cid:durableId="1390030141">
    <w:abstractNumId w:val="5"/>
  </w:num>
  <w:num w:numId="17" w16cid:durableId="1158885473">
    <w:abstractNumId w:val="20"/>
  </w:num>
  <w:num w:numId="18" w16cid:durableId="166867030">
    <w:abstractNumId w:val="21"/>
  </w:num>
  <w:num w:numId="19" w16cid:durableId="19421041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9471591">
    <w:abstractNumId w:val="3"/>
  </w:num>
  <w:num w:numId="21" w16cid:durableId="1717655742">
    <w:abstractNumId w:val="16"/>
  </w:num>
  <w:num w:numId="22" w16cid:durableId="1638073474">
    <w:abstractNumId w:val="17"/>
  </w:num>
  <w:num w:numId="23" w16cid:durableId="887688182">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9401354">
    <w:abstractNumId w:val="11"/>
  </w:num>
  <w:num w:numId="25" w16cid:durableId="1993631393">
    <w:abstractNumId w:val="27"/>
  </w:num>
  <w:num w:numId="26" w16cid:durableId="1618489781">
    <w:abstractNumId w:val="25"/>
  </w:num>
  <w:num w:numId="27" w16cid:durableId="1278559019">
    <w:abstractNumId w:val="12"/>
  </w:num>
  <w:num w:numId="28" w16cid:durableId="1883324057">
    <w:abstractNumId w:val="4"/>
  </w:num>
  <w:num w:numId="29" w16cid:durableId="673456364">
    <w:abstractNumId w:val="14"/>
    <w:lvlOverride w:ilvl="0">
      <w:startOverride w:val="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4863438">
    <w:abstractNumId w:val="14"/>
    <w:lvlOverride w:ilvl="0">
      <w:startOverride w:val="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76468232">
    <w:abstractNumId w:val="14"/>
    <w:lvlOverride w:ilvl="0">
      <w:startOverride w:val="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4605444">
    <w:abstractNumId w:val="8"/>
  </w:num>
  <w:num w:numId="33" w16cid:durableId="1469856386">
    <w:abstractNumId w:val="8"/>
  </w:num>
  <w:num w:numId="34" w16cid:durableId="171528780">
    <w:abstractNumId w:val="8"/>
  </w:num>
  <w:num w:numId="35" w16cid:durableId="900140269">
    <w:abstractNumId w:val="8"/>
  </w:num>
  <w:num w:numId="36" w16cid:durableId="494616742">
    <w:abstractNumId w:val="2"/>
  </w:num>
  <w:num w:numId="37" w16cid:durableId="1108280611">
    <w:abstractNumId w:val="1"/>
  </w:num>
  <w:num w:numId="38" w16cid:durableId="1870486300">
    <w:abstractNumId w:val="8"/>
  </w:num>
  <w:num w:numId="39" w16cid:durableId="412551906">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A87"/>
    <w:rsid w:val="00000075"/>
    <w:rsid w:val="00000F3C"/>
    <w:rsid w:val="000018D4"/>
    <w:rsid w:val="00004489"/>
    <w:rsid w:val="00005C79"/>
    <w:rsid w:val="000063D7"/>
    <w:rsid w:val="00015E6E"/>
    <w:rsid w:val="00020BA0"/>
    <w:rsid w:val="00022FF2"/>
    <w:rsid w:val="00023547"/>
    <w:rsid w:val="00026C04"/>
    <w:rsid w:val="000300AF"/>
    <w:rsid w:val="000302EF"/>
    <w:rsid w:val="00032E4F"/>
    <w:rsid w:val="000331E4"/>
    <w:rsid w:val="0003338D"/>
    <w:rsid w:val="00033619"/>
    <w:rsid w:val="0003433A"/>
    <w:rsid w:val="0003435C"/>
    <w:rsid w:val="00035300"/>
    <w:rsid w:val="00035ECB"/>
    <w:rsid w:val="00036E70"/>
    <w:rsid w:val="000377CC"/>
    <w:rsid w:val="00041A11"/>
    <w:rsid w:val="000430D6"/>
    <w:rsid w:val="0004399C"/>
    <w:rsid w:val="00043F24"/>
    <w:rsid w:val="000461A5"/>
    <w:rsid w:val="00047894"/>
    <w:rsid w:val="0005151B"/>
    <w:rsid w:val="00054C95"/>
    <w:rsid w:val="000555C1"/>
    <w:rsid w:val="00055F5D"/>
    <w:rsid w:val="000561CF"/>
    <w:rsid w:val="00056201"/>
    <w:rsid w:val="0005774F"/>
    <w:rsid w:val="00061979"/>
    <w:rsid w:val="000624DF"/>
    <w:rsid w:val="00062A44"/>
    <w:rsid w:val="00063A34"/>
    <w:rsid w:val="00071108"/>
    <w:rsid w:val="000712B0"/>
    <w:rsid w:val="00072247"/>
    <w:rsid w:val="000724AE"/>
    <w:rsid w:val="000731F3"/>
    <w:rsid w:val="00074490"/>
    <w:rsid w:val="0007771A"/>
    <w:rsid w:val="0007776A"/>
    <w:rsid w:val="00077A76"/>
    <w:rsid w:val="0008037D"/>
    <w:rsid w:val="000809B0"/>
    <w:rsid w:val="00082057"/>
    <w:rsid w:val="00083EC9"/>
    <w:rsid w:val="00084660"/>
    <w:rsid w:val="00085FB9"/>
    <w:rsid w:val="00086A36"/>
    <w:rsid w:val="00087389"/>
    <w:rsid w:val="00091286"/>
    <w:rsid w:val="00093C09"/>
    <w:rsid w:val="00094D59"/>
    <w:rsid w:val="00094FCA"/>
    <w:rsid w:val="00095CE8"/>
    <w:rsid w:val="00096087"/>
    <w:rsid w:val="0009657C"/>
    <w:rsid w:val="0009785E"/>
    <w:rsid w:val="00097D7C"/>
    <w:rsid w:val="000A00E8"/>
    <w:rsid w:val="000A0467"/>
    <w:rsid w:val="000A0F08"/>
    <w:rsid w:val="000A38AA"/>
    <w:rsid w:val="000A5C1C"/>
    <w:rsid w:val="000B08D4"/>
    <w:rsid w:val="000B0CA5"/>
    <w:rsid w:val="000B1691"/>
    <w:rsid w:val="000B37F4"/>
    <w:rsid w:val="000B497F"/>
    <w:rsid w:val="000B4A72"/>
    <w:rsid w:val="000B5105"/>
    <w:rsid w:val="000C2851"/>
    <w:rsid w:val="000C3796"/>
    <w:rsid w:val="000C4EB1"/>
    <w:rsid w:val="000C6B77"/>
    <w:rsid w:val="000C7628"/>
    <w:rsid w:val="000C7A3E"/>
    <w:rsid w:val="000C7E8D"/>
    <w:rsid w:val="000D01BE"/>
    <w:rsid w:val="000D0B36"/>
    <w:rsid w:val="000D0C27"/>
    <w:rsid w:val="000D1CB4"/>
    <w:rsid w:val="000D5314"/>
    <w:rsid w:val="000E2FCA"/>
    <w:rsid w:val="000E3597"/>
    <w:rsid w:val="000E43B0"/>
    <w:rsid w:val="000E498D"/>
    <w:rsid w:val="000F2B27"/>
    <w:rsid w:val="000F4488"/>
    <w:rsid w:val="000F5643"/>
    <w:rsid w:val="000F5761"/>
    <w:rsid w:val="000F61BC"/>
    <w:rsid w:val="000F79C7"/>
    <w:rsid w:val="00100197"/>
    <w:rsid w:val="00100FAB"/>
    <w:rsid w:val="001011CD"/>
    <w:rsid w:val="00101532"/>
    <w:rsid w:val="001048BB"/>
    <w:rsid w:val="00104F86"/>
    <w:rsid w:val="00106748"/>
    <w:rsid w:val="0011032D"/>
    <w:rsid w:val="001108F5"/>
    <w:rsid w:val="00111685"/>
    <w:rsid w:val="0011217E"/>
    <w:rsid w:val="00112E8F"/>
    <w:rsid w:val="001159EA"/>
    <w:rsid w:val="00117BE7"/>
    <w:rsid w:val="00120792"/>
    <w:rsid w:val="0012093F"/>
    <w:rsid w:val="00123D2A"/>
    <w:rsid w:val="001268BC"/>
    <w:rsid w:val="0013588A"/>
    <w:rsid w:val="00136891"/>
    <w:rsid w:val="0013722E"/>
    <w:rsid w:val="001372AC"/>
    <w:rsid w:val="00137FAB"/>
    <w:rsid w:val="001400C9"/>
    <w:rsid w:val="00141B4B"/>
    <w:rsid w:val="00144FE5"/>
    <w:rsid w:val="00151C5E"/>
    <w:rsid w:val="001520B7"/>
    <w:rsid w:val="001547D7"/>
    <w:rsid w:val="00154E0D"/>
    <w:rsid w:val="001564EF"/>
    <w:rsid w:val="001600E9"/>
    <w:rsid w:val="00160FEC"/>
    <w:rsid w:val="001610E5"/>
    <w:rsid w:val="00161BC8"/>
    <w:rsid w:val="001620FC"/>
    <w:rsid w:val="00166FE4"/>
    <w:rsid w:val="00167041"/>
    <w:rsid w:val="001714F3"/>
    <w:rsid w:val="00171C59"/>
    <w:rsid w:val="001721A2"/>
    <w:rsid w:val="00172A72"/>
    <w:rsid w:val="00172F32"/>
    <w:rsid w:val="00176391"/>
    <w:rsid w:val="00177B8A"/>
    <w:rsid w:val="0018175B"/>
    <w:rsid w:val="00181B5D"/>
    <w:rsid w:val="00182B0F"/>
    <w:rsid w:val="001832F0"/>
    <w:rsid w:val="00183442"/>
    <w:rsid w:val="001848B6"/>
    <w:rsid w:val="00185762"/>
    <w:rsid w:val="0018634B"/>
    <w:rsid w:val="00186D40"/>
    <w:rsid w:val="00187F05"/>
    <w:rsid w:val="00190AF2"/>
    <w:rsid w:val="001936C0"/>
    <w:rsid w:val="001938F6"/>
    <w:rsid w:val="001955E4"/>
    <w:rsid w:val="001957BF"/>
    <w:rsid w:val="0019646A"/>
    <w:rsid w:val="00196533"/>
    <w:rsid w:val="001A0356"/>
    <w:rsid w:val="001A0D77"/>
    <w:rsid w:val="001A0FBB"/>
    <w:rsid w:val="001A12F5"/>
    <w:rsid w:val="001A15A4"/>
    <w:rsid w:val="001A196A"/>
    <w:rsid w:val="001A1D95"/>
    <w:rsid w:val="001A2565"/>
    <w:rsid w:val="001A30EE"/>
    <w:rsid w:val="001A4ABE"/>
    <w:rsid w:val="001A6AE5"/>
    <w:rsid w:val="001A7CE7"/>
    <w:rsid w:val="001B1762"/>
    <w:rsid w:val="001B17AC"/>
    <w:rsid w:val="001B4219"/>
    <w:rsid w:val="001B532B"/>
    <w:rsid w:val="001B588D"/>
    <w:rsid w:val="001B5B83"/>
    <w:rsid w:val="001B619B"/>
    <w:rsid w:val="001B6B44"/>
    <w:rsid w:val="001C1107"/>
    <w:rsid w:val="001C2083"/>
    <w:rsid w:val="001C39DB"/>
    <w:rsid w:val="001C6221"/>
    <w:rsid w:val="001C7835"/>
    <w:rsid w:val="001D00E5"/>
    <w:rsid w:val="001D2163"/>
    <w:rsid w:val="001D3058"/>
    <w:rsid w:val="001D32B4"/>
    <w:rsid w:val="001D3D7D"/>
    <w:rsid w:val="001D4050"/>
    <w:rsid w:val="001D6443"/>
    <w:rsid w:val="001D7D9B"/>
    <w:rsid w:val="001E0852"/>
    <w:rsid w:val="001E179E"/>
    <w:rsid w:val="001E2494"/>
    <w:rsid w:val="001E4A70"/>
    <w:rsid w:val="001E6383"/>
    <w:rsid w:val="001F0E54"/>
    <w:rsid w:val="001F13C1"/>
    <w:rsid w:val="001F1E9A"/>
    <w:rsid w:val="001F3ACA"/>
    <w:rsid w:val="001F446D"/>
    <w:rsid w:val="001F5271"/>
    <w:rsid w:val="001F6B0A"/>
    <w:rsid w:val="001F7194"/>
    <w:rsid w:val="001F7FEE"/>
    <w:rsid w:val="002007F5"/>
    <w:rsid w:val="00201320"/>
    <w:rsid w:val="0020200E"/>
    <w:rsid w:val="0020204A"/>
    <w:rsid w:val="00202758"/>
    <w:rsid w:val="00202CB3"/>
    <w:rsid w:val="00203515"/>
    <w:rsid w:val="00203EE9"/>
    <w:rsid w:val="002063D3"/>
    <w:rsid w:val="002069A0"/>
    <w:rsid w:val="00207275"/>
    <w:rsid w:val="002112D7"/>
    <w:rsid w:val="002112EC"/>
    <w:rsid w:val="00213109"/>
    <w:rsid w:val="00213F54"/>
    <w:rsid w:val="00217B55"/>
    <w:rsid w:val="0022058B"/>
    <w:rsid w:val="00221800"/>
    <w:rsid w:val="002219AB"/>
    <w:rsid w:val="00221AB7"/>
    <w:rsid w:val="00227712"/>
    <w:rsid w:val="0022773C"/>
    <w:rsid w:val="00230D2E"/>
    <w:rsid w:val="00231A07"/>
    <w:rsid w:val="00235695"/>
    <w:rsid w:val="00236722"/>
    <w:rsid w:val="00237585"/>
    <w:rsid w:val="00237B64"/>
    <w:rsid w:val="00237CF3"/>
    <w:rsid w:val="002429C4"/>
    <w:rsid w:val="00243FCA"/>
    <w:rsid w:val="002457DE"/>
    <w:rsid w:val="00246435"/>
    <w:rsid w:val="00246BCF"/>
    <w:rsid w:val="00246E70"/>
    <w:rsid w:val="00251245"/>
    <w:rsid w:val="00251CA2"/>
    <w:rsid w:val="00252B63"/>
    <w:rsid w:val="00252DAF"/>
    <w:rsid w:val="00253BE6"/>
    <w:rsid w:val="00253D42"/>
    <w:rsid w:val="002544C6"/>
    <w:rsid w:val="00256802"/>
    <w:rsid w:val="002601BB"/>
    <w:rsid w:val="00264D8D"/>
    <w:rsid w:val="00265918"/>
    <w:rsid w:val="00266E1A"/>
    <w:rsid w:val="00267027"/>
    <w:rsid w:val="002701E3"/>
    <w:rsid w:val="00270534"/>
    <w:rsid w:val="00270834"/>
    <w:rsid w:val="00273594"/>
    <w:rsid w:val="00273AD0"/>
    <w:rsid w:val="00273C8A"/>
    <w:rsid w:val="00273E86"/>
    <w:rsid w:val="002749B3"/>
    <w:rsid w:val="00276E7F"/>
    <w:rsid w:val="00280766"/>
    <w:rsid w:val="002814E6"/>
    <w:rsid w:val="00281A54"/>
    <w:rsid w:val="002820A9"/>
    <w:rsid w:val="00282AE5"/>
    <w:rsid w:val="00283A72"/>
    <w:rsid w:val="0028547F"/>
    <w:rsid w:val="00285538"/>
    <w:rsid w:val="00286394"/>
    <w:rsid w:val="00287114"/>
    <w:rsid w:val="002906D2"/>
    <w:rsid w:val="00291D3B"/>
    <w:rsid w:val="00291F1E"/>
    <w:rsid w:val="002936B4"/>
    <w:rsid w:val="002938E0"/>
    <w:rsid w:val="002948D9"/>
    <w:rsid w:val="002949ED"/>
    <w:rsid w:val="002951E6"/>
    <w:rsid w:val="00295330"/>
    <w:rsid w:val="00297C18"/>
    <w:rsid w:val="002A0204"/>
    <w:rsid w:val="002A2EFE"/>
    <w:rsid w:val="002A6373"/>
    <w:rsid w:val="002B0577"/>
    <w:rsid w:val="002B1D2A"/>
    <w:rsid w:val="002B331B"/>
    <w:rsid w:val="002B439A"/>
    <w:rsid w:val="002B4589"/>
    <w:rsid w:val="002B4C7D"/>
    <w:rsid w:val="002C0564"/>
    <w:rsid w:val="002C2CA2"/>
    <w:rsid w:val="002C3933"/>
    <w:rsid w:val="002C7082"/>
    <w:rsid w:val="002C797E"/>
    <w:rsid w:val="002D3D42"/>
    <w:rsid w:val="002D50CB"/>
    <w:rsid w:val="002D574E"/>
    <w:rsid w:val="002D5ED6"/>
    <w:rsid w:val="002E195D"/>
    <w:rsid w:val="002E2220"/>
    <w:rsid w:val="002E3F19"/>
    <w:rsid w:val="002E51D2"/>
    <w:rsid w:val="002E551C"/>
    <w:rsid w:val="002E5E57"/>
    <w:rsid w:val="002E6226"/>
    <w:rsid w:val="002E6DD9"/>
    <w:rsid w:val="002E7954"/>
    <w:rsid w:val="002E7A0E"/>
    <w:rsid w:val="002E7EFA"/>
    <w:rsid w:val="002F1299"/>
    <w:rsid w:val="002F4A74"/>
    <w:rsid w:val="002F5A9B"/>
    <w:rsid w:val="002F6386"/>
    <w:rsid w:val="002F697C"/>
    <w:rsid w:val="00300794"/>
    <w:rsid w:val="003009B3"/>
    <w:rsid w:val="00303704"/>
    <w:rsid w:val="00304460"/>
    <w:rsid w:val="00305171"/>
    <w:rsid w:val="00306D43"/>
    <w:rsid w:val="00310269"/>
    <w:rsid w:val="0031055F"/>
    <w:rsid w:val="00313E31"/>
    <w:rsid w:val="00315429"/>
    <w:rsid w:val="00316F0E"/>
    <w:rsid w:val="0032072A"/>
    <w:rsid w:val="00323400"/>
    <w:rsid w:val="00324942"/>
    <w:rsid w:val="0032563A"/>
    <w:rsid w:val="0032621E"/>
    <w:rsid w:val="00326559"/>
    <w:rsid w:val="00326A36"/>
    <w:rsid w:val="00330012"/>
    <w:rsid w:val="0033114A"/>
    <w:rsid w:val="00332E6E"/>
    <w:rsid w:val="00335AF0"/>
    <w:rsid w:val="00336ECB"/>
    <w:rsid w:val="00337F23"/>
    <w:rsid w:val="00340578"/>
    <w:rsid w:val="00343F38"/>
    <w:rsid w:val="00344DFC"/>
    <w:rsid w:val="0034680A"/>
    <w:rsid w:val="00347F05"/>
    <w:rsid w:val="00350DC6"/>
    <w:rsid w:val="00352B37"/>
    <w:rsid w:val="00353CC5"/>
    <w:rsid w:val="00354175"/>
    <w:rsid w:val="00354696"/>
    <w:rsid w:val="0035519A"/>
    <w:rsid w:val="003559A2"/>
    <w:rsid w:val="00355E8F"/>
    <w:rsid w:val="00355F2D"/>
    <w:rsid w:val="00357E74"/>
    <w:rsid w:val="0036059A"/>
    <w:rsid w:val="00360CF9"/>
    <w:rsid w:val="0036144F"/>
    <w:rsid w:val="003617A0"/>
    <w:rsid w:val="00363B16"/>
    <w:rsid w:val="00363BE1"/>
    <w:rsid w:val="00363FF8"/>
    <w:rsid w:val="003640E1"/>
    <w:rsid w:val="00366208"/>
    <w:rsid w:val="00374D58"/>
    <w:rsid w:val="00376491"/>
    <w:rsid w:val="0037721D"/>
    <w:rsid w:val="00377852"/>
    <w:rsid w:val="00377A68"/>
    <w:rsid w:val="00377ADF"/>
    <w:rsid w:val="003800EE"/>
    <w:rsid w:val="0038053A"/>
    <w:rsid w:val="00380980"/>
    <w:rsid w:val="0038102A"/>
    <w:rsid w:val="00381A21"/>
    <w:rsid w:val="00381B1A"/>
    <w:rsid w:val="003833B4"/>
    <w:rsid w:val="00385513"/>
    <w:rsid w:val="00387002"/>
    <w:rsid w:val="00392BE3"/>
    <w:rsid w:val="00394A63"/>
    <w:rsid w:val="00394C5D"/>
    <w:rsid w:val="003955E4"/>
    <w:rsid w:val="003959BC"/>
    <w:rsid w:val="003967D2"/>
    <w:rsid w:val="003A2748"/>
    <w:rsid w:val="003A27BB"/>
    <w:rsid w:val="003A2F77"/>
    <w:rsid w:val="003A3227"/>
    <w:rsid w:val="003A3FFE"/>
    <w:rsid w:val="003A48F9"/>
    <w:rsid w:val="003A56DE"/>
    <w:rsid w:val="003A600B"/>
    <w:rsid w:val="003A743E"/>
    <w:rsid w:val="003A756E"/>
    <w:rsid w:val="003A7ADE"/>
    <w:rsid w:val="003B2A34"/>
    <w:rsid w:val="003B6E2C"/>
    <w:rsid w:val="003B71A7"/>
    <w:rsid w:val="003B7DB1"/>
    <w:rsid w:val="003C01D4"/>
    <w:rsid w:val="003C0793"/>
    <w:rsid w:val="003C081F"/>
    <w:rsid w:val="003C2CC3"/>
    <w:rsid w:val="003C5A09"/>
    <w:rsid w:val="003C5B57"/>
    <w:rsid w:val="003C69BF"/>
    <w:rsid w:val="003D09EE"/>
    <w:rsid w:val="003D0A3F"/>
    <w:rsid w:val="003D23A3"/>
    <w:rsid w:val="003D26E5"/>
    <w:rsid w:val="003D3054"/>
    <w:rsid w:val="003D44D4"/>
    <w:rsid w:val="003D5856"/>
    <w:rsid w:val="003D6D5E"/>
    <w:rsid w:val="003D6F27"/>
    <w:rsid w:val="003E6055"/>
    <w:rsid w:val="003E643F"/>
    <w:rsid w:val="003E67E5"/>
    <w:rsid w:val="003E733B"/>
    <w:rsid w:val="003E7AAA"/>
    <w:rsid w:val="003E7ED0"/>
    <w:rsid w:val="003F3ADA"/>
    <w:rsid w:val="003F4EE7"/>
    <w:rsid w:val="003F579A"/>
    <w:rsid w:val="003F6F1A"/>
    <w:rsid w:val="003F78CA"/>
    <w:rsid w:val="0040022A"/>
    <w:rsid w:val="0040060F"/>
    <w:rsid w:val="0040152B"/>
    <w:rsid w:val="00401D2A"/>
    <w:rsid w:val="0040390B"/>
    <w:rsid w:val="00404E4F"/>
    <w:rsid w:val="00405094"/>
    <w:rsid w:val="004064F7"/>
    <w:rsid w:val="00406F8F"/>
    <w:rsid w:val="00407D2F"/>
    <w:rsid w:val="0041694B"/>
    <w:rsid w:val="0041741F"/>
    <w:rsid w:val="004208A8"/>
    <w:rsid w:val="00420F0E"/>
    <w:rsid w:val="0042143F"/>
    <w:rsid w:val="00422FB0"/>
    <w:rsid w:val="0042339A"/>
    <w:rsid w:val="00423B15"/>
    <w:rsid w:val="00423C5C"/>
    <w:rsid w:val="00424CB8"/>
    <w:rsid w:val="00424F20"/>
    <w:rsid w:val="0042508F"/>
    <w:rsid w:val="0042529F"/>
    <w:rsid w:val="00426D55"/>
    <w:rsid w:val="0043326D"/>
    <w:rsid w:val="00433B5B"/>
    <w:rsid w:val="00436D93"/>
    <w:rsid w:val="0043763F"/>
    <w:rsid w:val="004379C2"/>
    <w:rsid w:val="004400E8"/>
    <w:rsid w:val="004413ED"/>
    <w:rsid w:val="00442477"/>
    <w:rsid w:val="004432FE"/>
    <w:rsid w:val="00443B39"/>
    <w:rsid w:val="00443F3B"/>
    <w:rsid w:val="0044567D"/>
    <w:rsid w:val="00446E1C"/>
    <w:rsid w:val="00446EE7"/>
    <w:rsid w:val="00450C80"/>
    <w:rsid w:val="0045141D"/>
    <w:rsid w:val="00451629"/>
    <w:rsid w:val="004539F9"/>
    <w:rsid w:val="004544D6"/>
    <w:rsid w:val="00455B73"/>
    <w:rsid w:val="0045604C"/>
    <w:rsid w:val="00461CE9"/>
    <w:rsid w:val="00462407"/>
    <w:rsid w:val="004631DD"/>
    <w:rsid w:val="004635FD"/>
    <w:rsid w:val="00463FC8"/>
    <w:rsid w:val="0046440A"/>
    <w:rsid w:val="00465AA2"/>
    <w:rsid w:val="004667FB"/>
    <w:rsid w:val="00470129"/>
    <w:rsid w:val="0047199D"/>
    <w:rsid w:val="00471D4E"/>
    <w:rsid w:val="004728A0"/>
    <w:rsid w:val="00474029"/>
    <w:rsid w:val="004742DD"/>
    <w:rsid w:val="00475021"/>
    <w:rsid w:val="00475231"/>
    <w:rsid w:val="004759BC"/>
    <w:rsid w:val="00484E96"/>
    <w:rsid w:val="00486688"/>
    <w:rsid w:val="0048732D"/>
    <w:rsid w:val="00494E13"/>
    <w:rsid w:val="00496700"/>
    <w:rsid w:val="0049695F"/>
    <w:rsid w:val="00496F15"/>
    <w:rsid w:val="004A2FB8"/>
    <w:rsid w:val="004A324A"/>
    <w:rsid w:val="004A40A7"/>
    <w:rsid w:val="004A5586"/>
    <w:rsid w:val="004A5F5F"/>
    <w:rsid w:val="004A6609"/>
    <w:rsid w:val="004B1531"/>
    <w:rsid w:val="004B2BC3"/>
    <w:rsid w:val="004B4F50"/>
    <w:rsid w:val="004B609E"/>
    <w:rsid w:val="004C09F9"/>
    <w:rsid w:val="004C2220"/>
    <w:rsid w:val="004C2485"/>
    <w:rsid w:val="004C2F2C"/>
    <w:rsid w:val="004C34D2"/>
    <w:rsid w:val="004C4823"/>
    <w:rsid w:val="004C5180"/>
    <w:rsid w:val="004D0AD8"/>
    <w:rsid w:val="004D0C26"/>
    <w:rsid w:val="004D4430"/>
    <w:rsid w:val="004D4589"/>
    <w:rsid w:val="004D4EF6"/>
    <w:rsid w:val="004D54FB"/>
    <w:rsid w:val="004D55F2"/>
    <w:rsid w:val="004D6986"/>
    <w:rsid w:val="004E1233"/>
    <w:rsid w:val="004E28C6"/>
    <w:rsid w:val="004E394F"/>
    <w:rsid w:val="004E39E1"/>
    <w:rsid w:val="004E585A"/>
    <w:rsid w:val="004E6DE1"/>
    <w:rsid w:val="004E752C"/>
    <w:rsid w:val="004E7C27"/>
    <w:rsid w:val="004E7D3B"/>
    <w:rsid w:val="004F04F2"/>
    <w:rsid w:val="004F10E0"/>
    <w:rsid w:val="004F1247"/>
    <w:rsid w:val="004F138F"/>
    <w:rsid w:val="004F2D0A"/>
    <w:rsid w:val="004F2E45"/>
    <w:rsid w:val="004F2F3A"/>
    <w:rsid w:val="004F3377"/>
    <w:rsid w:val="004F420C"/>
    <w:rsid w:val="004F4FCA"/>
    <w:rsid w:val="004F7CD4"/>
    <w:rsid w:val="00500123"/>
    <w:rsid w:val="00501D1B"/>
    <w:rsid w:val="00502E44"/>
    <w:rsid w:val="00504F04"/>
    <w:rsid w:val="0050670B"/>
    <w:rsid w:val="00507E2F"/>
    <w:rsid w:val="00510C53"/>
    <w:rsid w:val="00511B29"/>
    <w:rsid w:val="00511CD0"/>
    <w:rsid w:val="005124ED"/>
    <w:rsid w:val="00512868"/>
    <w:rsid w:val="00513052"/>
    <w:rsid w:val="005141E8"/>
    <w:rsid w:val="00514B77"/>
    <w:rsid w:val="0051579E"/>
    <w:rsid w:val="00516A89"/>
    <w:rsid w:val="00517257"/>
    <w:rsid w:val="0052697A"/>
    <w:rsid w:val="00526BDB"/>
    <w:rsid w:val="00527A18"/>
    <w:rsid w:val="0053034C"/>
    <w:rsid w:val="005313F7"/>
    <w:rsid w:val="00531FFB"/>
    <w:rsid w:val="00532B01"/>
    <w:rsid w:val="00534309"/>
    <w:rsid w:val="005355CE"/>
    <w:rsid w:val="00536218"/>
    <w:rsid w:val="00540591"/>
    <w:rsid w:val="00540B70"/>
    <w:rsid w:val="00540D87"/>
    <w:rsid w:val="00540FBF"/>
    <w:rsid w:val="00543337"/>
    <w:rsid w:val="00543A09"/>
    <w:rsid w:val="00550C99"/>
    <w:rsid w:val="0055108F"/>
    <w:rsid w:val="00553413"/>
    <w:rsid w:val="00554821"/>
    <w:rsid w:val="005558E0"/>
    <w:rsid w:val="00555AB2"/>
    <w:rsid w:val="00561129"/>
    <w:rsid w:val="005617C9"/>
    <w:rsid w:val="00562410"/>
    <w:rsid w:val="0056538F"/>
    <w:rsid w:val="00565BB3"/>
    <w:rsid w:val="00571371"/>
    <w:rsid w:val="00571C54"/>
    <w:rsid w:val="00572608"/>
    <w:rsid w:val="00574BEC"/>
    <w:rsid w:val="005751B3"/>
    <w:rsid w:val="0057523A"/>
    <w:rsid w:val="005754AB"/>
    <w:rsid w:val="00575A70"/>
    <w:rsid w:val="00582595"/>
    <w:rsid w:val="005826F4"/>
    <w:rsid w:val="00582808"/>
    <w:rsid w:val="0058369E"/>
    <w:rsid w:val="005842F3"/>
    <w:rsid w:val="00585395"/>
    <w:rsid w:val="00587027"/>
    <w:rsid w:val="00590D09"/>
    <w:rsid w:val="0059156A"/>
    <w:rsid w:val="00591891"/>
    <w:rsid w:val="00591F68"/>
    <w:rsid w:val="00593314"/>
    <w:rsid w:val="0059368E"/>
    <w:rsid w:val="00593BF5"/>
    <w:rsid w:val="00593EF7"/>
    <w:rsid w:val="00594496"/>
    <w:rsid w:val="005956D3"/>
    <w:rsid w:val="00595BDF"/>
    <w:rsid w:val="00595DE2"/>
    <w:rsid w:val="00596365"/>
    <w:rsid w:val="005965BC"/>
    <w:rsid w:val="00596B27"/>
    <w:rsid w:val="00596CCE"/>
    <w:rsid w:val="005A1DA2"/>
    <w:rsid w:val="005A451A"/>
    <w:rsid w:val="005A7A26"/>
    <w:rsid w:val="005A7E78"/>
    <w:rsid w:val="005A7F29"/>
    <w:rsid w:val="005B03ED"/>
    <w:rsid w:val="005B06A2"/>
    <w:rsid w:val="005B0AB2"/>
    <w:rsid w:val="005B134A"/>
    <w:rsid w:val="005B1776"/>
    <w:rsid w:val="005B184E"/>
    <w:rsid w:val="005B1BA3"/>
    <w:rsid w:val="005B2616"/>
    <w:rsid w:val="005B32FB"/>
    <w:rsid w:val="005B7FE4"/>
    <w:rsid w:val="005C05E0"/>
    <w:rsid w:val="005C0DEE"/>
    <w:rsid w:val="005C0F7D"/>
    <w:rsid w:val="005C37E0"/>
    <w:rsid w:val="005C395E"/>
    <w:rsid w:val="005C3D23"/>
    <w:rsid w:val="005C54B9"/>
    <w:rsid w:val="005C5A1C"/>
    <w:rsid w:val="005C611C"/>
    <w:rsid w:val="005C6618"/>
    <w:rsid w:val="005C7128"/>
    <w:rsid w:val="005C75A8"/>
    <w:rsid w:val="005D0189"/>
    <w:rsid w:val="005D0FD4"/>
    <w:rsid w:val="005D2554"/>
    <w:rsid w:val="005D3170"/>
    <w:rsid w:val="005D54D7"/>
    <w:rsid w:val="005D69D1"/>
    <w:rsid w:val="005D7425"/>
    <w:rsid w:val="005E0B10"/>
    <w:rsid w:val="005E15CC"/>
    <w:rsid w:val="005E3153"/>
    <w:rsid w:val="005E4470"/>
    <w:rsid w:val="005E545B"/>
    <w:rsid w:val="005E5794"/>
    <w:rsid w:val="005F09D8"/>
    <w:rsid w:val="005F1478"/>
    <w:rsid w:val="005F3CC5"/>
    <w:rsid w:val="00601E46"/>
    <w:rsid w:val="00602288"/>
    <w:rsid w:val="00603194"/>
    <w:rsid w:val="00603FD5"/>
    <w:rsid w:val="00605F47"/>
    <w:rsid w:val="00607F03"/>
    <w:rsid w:val="00610627"/>
    <w:rsid w:val="00610F6C"/>
    <w:rsid w:val="0061190F"/>
    <w:rsid w:val="00611B01"/>
    <w:rsid w:val="00612471"/>
    <w:rsid w:val="006127F6"/>
    <w:rsid w:val="00612B3E"/>
    <w:rsid w:val="00614CCA"/>
    <w:rsid w:val="00616944"/>
    <w:rsid w:val="00616DC8"/>
    <w:rsid w:val="00617631"/>
    <w:rsid w:val="00620005"/>
    <w:rsid w:val="00620548"/>
    <w:rsid w:val="00621C01"/>
    <w:rsid w:val="00623D2D"/>
    <w:rsid w:val="00624AE8"/>
    <w:rsid w:val="00624B90"/>
    <w:rsid w:val="006252E0"/>
    <w:rsid w:val="0062737C"/>
    <w:rsid w:val="0062789A"/>
    <w:rsid w:val="00630A2C"/>
    <w:rsid w:val="00630F02"/>
    <w:rsid w:val="006331D2"/>
    <w:rsid w:val="0063356F"/>
    <w:rsid w:val="00633C64"/>
    <w:rsid w:val="00633D08"/>
    <w:rsid w:val="00633D59"/>
    <w:rsid w:val="00635339"/>
    <w:rsid w:val="00640F69"/>
    <w:rsid w:val="0064180F"/>
    <w:rsid w:val="006423CF"/>
    <w:rsid w:val="006424E2"/>
    <w:rsid w:val="006475BD"/>
    <w:rsid w:val="00650B79"/>
    <w:rsid w:val="00650FA6"/>
    <w:rsid w:val="006527FF"/>
    <w:rsid w:val="00653ADF"/>
    <w:rsid w:val="00653B49"/>
    <w:rsid w:val="0065415F"/>
    <w:rsid w:val="00656387"/>
    <w:rsid w:val="006563EA"/>
    <w:rsid w:val="006564C5"/>
    <w:rsid w:val="00656A8A"/>
    <w:rsid w:val="00661696"/>
    <w:rsid w:val="006619CB"/>
    <w:rsid w:val="00662209"/>
    <w:rsid w:val="0066317B"/>
    <w:rsid w:val="006646F8"/>
    <w:rsid w:val="00665BB0"/>
    <w:rsid w:val="00665BD3"/>
    <w:rsid w:val="00665D68"/>
    <w:rsid w:val="00666D4D"/>
    <w:rsid w:val="006678C9"/>
    <w:rsid w:val="00667C02"/>
    <w:rsid w:val="006700D6"/>
    <w:rsid w:val="00670160"/>
    <w:rsid w:val="00670D9F"/>
    <w:rsid w:val="00670F22"/>
    <w:rsid w:val="0067157A"/>
    <w:rsid w:val="00674B19"/>
    <w:rsid w:val="00675343"/>
    <w:rsid w:val="006757C1"/>
    <w:rsid w:val="00675CB6"/>
    <w:rsid w:val="00677DE2"/>
    <w:rsid w:val="00681000"/>
    <w:rsid w:val="00681434"/>
    <w:rsid w:val="006852BA"/>
    <w:rsid w:val="00685874"/>
    <w:rsid w:val="00685E36"/>
    <w:rsid w:val="0068724F"/>
    <w:rsid w:val="006875CD"/>
    <w:rsid w:val="0069172D"/>
    <w:rsid w:val="006943C3"/>
    <w:rsid w:val="00694787"/>
    <w:rsid w:val="00695C15"/>
    <w:rsid w:val="00696B83"/>
    <w:rsid w:val="00696D5D"/>
    <w:rsid w:val="006A1DEF"/>
    <w:rsid w:val="006A7069"/>
    <w:rsid w:val="006B2701"/>
    <w:rsid w:val="006B514E"/>
    <w:rsid w:val="006B6694"/>
    <w:rsid w:val="006C1BCD"/>
    <w:rsid w:val="006C285F"/>
    <w:rsid w:val="006C36D5"/>
    <w:rsid w:val="006C4AF4"/>
    <w:rsid w:val="006C4C82"/>
    <w:rsid w:val="006C5956"/>
    <w:rsid w:val="006C5AD2"/>
    <w:rsid w:val="006C64A7"/>
    <w:rsid w:val="006D095B"/>
    <w:rsid w:val="006D1098"/>
    <w:rsid w:val="006D2C20"/>
    <w:rsid w:val="006D2D80"/>
    <w:rsid w:val="006D3F2F"/>
    <w:rsid w:val="006D4F09"/>
    <w:rsid w:val="006D5F4F"/>
    <w:rsid w:val="006E3536"/>
    <w:rsid w:val="006E37F9"/>
    <w:rsid w:val="006E6CB9"/>
    <w:rsid w:val="006F2008"/>
    <w:rsid w:val="006F4DCD"/>
    <w:rsid w:val="006F59FD"/>
    <w:rsid w:val="006F679A"/>
    <w:rsid w:val="006F75E8"/>
    <w:rsid w:val="006F760F"/>
    <w:rsid w:val="00700479"/>
    <w:rsid w:val="00701100"/>
    <w:rsid w:val="00701E4F"/>
    <w:rsid w:val="00702E95"/>
    <w:rsid w:val="007058F3"/>
    <w:rsid w:val="00705FE8"/>
    <w:rsid w:val="00706ED2"/>
    <w:rsid w:val="007076DE"/>
    <w:rsid w:val="00714488"/>
    <w:rsid w:val="0071583A"/>
    <w:rsid w:val="007158C6"/>
    <w:rsid w:val="00716883"/>
    <w:rsid w:val="00720507"/>
    <w:rsid w:val="00720692"/>
    <w:rsid w:val="0072095C"/>
    <w:rsid w:val="00721313"/>
    <w:rsid w:val="007215EF"/>
    <w:rsid w:val="00721E19"/>
    <w:rsid w:val="007223E4"/>
    <w:rsid w:val="00722815"/>
    <w:rsid w:val="00723D92"/>
    <w:rsid w:val="007264F8"/>
    <w:rsid w:val="00726751"/>
    <w:rsid w:val="00726C5B"/>
    <w:rsid w:val="00727347"/>
    <w:rsid w:val="007301C9"/>
    <w:rsid w:val="00730DAF"/>
    <w:rsid w:val="00733C01"/>
    <w:rsid w:val="00733EA1"/>
    <w:rsid w:val="00734A1D"/>
    <w:rsid w:val="00734A68"/>
    <w:rsid w:val="007373F6"/>
    <w:rsid w:val="00737C62"/>
    <w:rsid w:val="00742F0D"/>
    <w:rsid w:val="00743548"/>
    <w:rsid w:val="00743983"/>
    <w:rsid w:val="00744120"/>
    <w:rsid w:val="00752250"/>
    <w:rsid w:val="0075386F"/>
    <w:rsid w:val="0075504C"/>
    <w:rsid w:val="00757703"/>
    <w:rsid w:val="00757D41"/>
    <w:rsid w:val="00760304"/>
    <w:rsid w:val="00760E1B"/>
    <w:rsid w:val="0076296B"/>
    <w:rsid w:val="00762F69"/>
    <w:rsid w:val="007636A6"/>
    <w:rsid w:val="007636FB"/>
    <w:rsid w:val="00764FE1"/>
    <w:rsid w:val="00765032"/>
    <w:rsid w:val="00765069"/>
    <w:rsid w:val="00766857"/>
    <w:rsid w:val="007669DE"/>
    <w:rsid w:val="00767EAE"/>
    <w:rsid w:val="00770DB0"/>
    <w:rsid w:val="00775165"/>
    <w:rsid w:val="007802C4"/>
    <w:rsid w:val="00780F7F"/>
    <w:rsid w:val="00782997"/>
    <w:rsid w:val="00784C7C"/>
    <w:rsid w:val="0078533C"/>
    <w:rsid w:val="007856A4"/>
    <w:rsid w:val="00785E85"/>
    <w:rsid w:val="00786BE4"/>
    <w:rsid w:val="00790B6D"/>
    <w:rsid w:val="00794A86"/>
    <w:rsid w:val="00796953"/>
    <w:rsid w:val="00796956"/>
    <w:rsid w:val="00796E0C"/>
    <w:rsid w:val="007A0363"/>
    <w:rsid w:val="007A0B93"/>
    <w:rsid w:val="007A2585"/>
    <w:rsid w:val="007A30F0"/>
    <w:rsid w:val="007A3430"/>
    <w:rsid w:val="007A68DE"/>
    <w:rsid w:val="007A7364"/>
    <w:rsid w:val="007A7BE2"/>
    <w:rsid w:val="007B01B9"/>
    <w:rsid w:val="007B0E3A"/>
    <w:rsid w:val="007B1608"/>
    <w:rsid w:val="007B2270"/>
    <w:rsid w:val="007B542D"/>
    <w:rsid w:val="007C2BE4"/>
    <w:rsid w:val="007C2D3B"/>
    <w:rsid w:val="007C3475"/>
    <w:rsid w:val="007C7265"/>
    <w:rsid w:val="007D1569"/>
    <w:rsid w:val="007D25EB"/>
    <w:rsid w:val="007D38D2"/>
    <w:rsid w:val="007D6954"/>
    <w:rsid w:val="007D6B92"/>
    <w:rsid w:val="007D719E"/>
    <w:rsid w:val="007D776D"/>
    <w:rsid w:val="007E094E"/>
    <w:rsid w:val="007E1A38"/>
    <w:rsid w:val="007E3906"/>
    <w:rsid w:val="007E407C"/>
    <w:rsid w:val="007F1915"/>
    <w:rsid w:val="007F22AA"/>
    <w:rsid w:val="007F27F1"/>
    <w:rsid w:val="007F432E"/>
    <w:rsid w:val="007F7326"/>
    <w:rsid w:val="008017BC"/>
    <w:rsid w:val="0080322B"/>
    <w:rsid w:val="008035C3"/>
    <w:rsid w:val="00803F26"/>
    <w:rsid w:val="008042D4"/>
    <w:rsid w:val="00804B8B"/>
    <w:rsid w:val="008052AB"/>
    <w:rsid w:val="00806F63"/>
    <w:rsid w:val="00807F06"/>
    <w:rsid w:val="008109C2"/>
    <w:rsid w:val="00811196"/>
    <w:rsid w:val="00813C3D"/>
    <w:rsid w:val="00814078"/>
    <w:rsid w:val="008142ED"/>
    <w:rsid w:val="0081533C"/>
    <w:rsid w:val="008161D7"/>
    <w:rsid w:val="00820661"/>
    <w:rsid w:val="00823B3B"/>
    <w:rsid w:val="0082437F"/>
    <w:rsid w:val="008262D0"/>
    <w:rsid w:val="00831415"/>
    <w:rsid w:val="00833288"/>
    <w:rsid w:val="00836262"/>
    <w:rsid w:val="00836E3A"/>
    <w:rsid w:val="00837210"/>
    <w:rsid w:val="00840A04"/>
    <w:rsid w:val="00840CAD"/>
    <w:rsid w:val="0084238D"/>
    <w:rsid w:val="00844418"/>
    <w:rsid w:val="0084457C"/>
    <w:rsid w:val="008472B8"/>
    <w:rsid w:val="00847532"/>
    <w:rsid w:val="00847F46"/>
    <w:rsid w:val="00850026"/>
    <w:rsid w:val="00852396"/>
    <w:rsid w:val="008529A2"/>
    <w:rsid w:val="008530FA"/>
    <w:rsid w:val="0085439B"/>
    <w:rsid w:val="00856C06"/>
    <w:rsid w:val="008579B4"/>
    <w:rsid w:val="00860F4B"/>
    <w:rsid w:val="008619C9"/>
    <w:rsid w:val="00861C62"/>
    <w:rsid w:val="008623B7"/>
    <w:rsid w:val="00862511"/>
    <w:rsid w:val="00871A6C"/>
    <w:rsid w:val="0087230E"/>
    <w:rsid w:val="00872A6F"/>
    <w:rsid w:val="008732A0"/>
    <w:rsid w:val="00875CCB"/>
    <w:rsid w:val="008761FC"/>
    <w:rsid w:val="00877F99"/>
    <w:rsid w:val="008812F4"/>
    <w:rsid w:val="00881B5D"/>
    <w:rsid w:val="008833F3"/>
    <w:rsid w:val="00886D38"/>
    <w:rsid w:val="008871BE"/>
    <w:rsid w:val="00887D88"/>
    <w:rsid w:val="0089122E"/>
    <w:rsid w:val="008921D0"/>
    <w:rsid w:val="00893FCA"/>
    <w:rsid w:val="00895209"/>
    <w:rsid w:val="00897793"/>
    <w:rsid w:val="00897A5A"/>
    <w:rsid w:val="00897E61"/>
    <w:rsid w:val="008A1632"/>
    <w:rsid w:val="008A215E"/>
    <w:rsid w:val="008A3B29"/>
    <w:rsid w:val="008A4B91"/>
    <w:rsid w:val="008A57C9"/>
    <w:rsid w:val="008A6B42"/>
    <w:rsid w:val="008A6F83"/>
    <w:rsid w:val="008A787A"/>
    <w:rsid w:val="008B05C3"/>
    <w:rsid w:val="008B1F58"/>
    <w:rsid w:val="008B2220"/>
    <w:rsid w:val="008B2E06"/>
    <w:rsid w:val="008B4965"/>
    <w:rsid w:val="008B4B84"/>
    <w:rsid w:val="008B4D32"/>
    <w:rsid w:val="008B4E26"/>
    <w:rsid w:val="008B6DB0"/>
    <w:rsid w:val="008B78B1"/>
    <w:rsid w:val="008C0A41"/>
    <w:rsid w:val="008C1CCF"/>
    <w:rsid w:val="008C3480"/>
    <w:rsid w:val="008D163F"/>
    <w:rsid w:val="008D19FD"/>
    <w:rsid w:val="008D1ABD"/>
    <w:rsid w:val="008D3A0D"/>
    <w:rsid w:val="008D486E"/>
    <w:rsid w:val="008D497B"/>
    <w:rsid w:val="008D51BE"/>
    <w:rsid w:val="008D6158"/>
    <w:rsid w:val="008D68AF"/>
    <w:rsid w:val="008D6EF3"/>
    <w:rsid w:val="008E1912"/>
    <w:rsid w:val="008E1AB1"/>
    <w:rsid w:val="008E25D6"/>
    <w:rsid w:val="008E4177"/>
    <w:rsid w:val="008E7BD4"/>
    <w:rsid w:val="008E7E9D"/>
    <w:rsid w:val="008F0A95"/>
    <w:rsid w:val="008F0C4D"/>
    <w:rsid w:val="008F0D60"/>
    <w:rsid w:val="008F1032"/>
    <w:rsid w:val="008F1E12"/>
    <w:rsid w:val="008F2C9D"/>
    <w:rsid w:val="008F2EB9"/>
    <w:rsid w:val="008F32FC"/>
    <w:rsid w:val="008F344E"/>
    <w:rsid w:val="008F3A20"/>
    <w:rsid w:val="008F4306"/>
    <w:rsid w:val="008F52AE"/>
    <w:rsid w:val="008F567D"/>
    <w:rsid w:val="008F6F1A"/>
    <w:rsid w:val="008F73C7"/>
    <w:rsid w:val="008F7897"/>
    <w:rsid w:val="00900AC7"/>
    <w:rsid w:val="00900FF1"/>
    <w:rsid w:val="0090137A"/>
    <w:rsid w:val="00903370"/>
    <w:rsid w:val="00904E36"/>
    <w:rsid w:val="009071D2"/>
    <w:rsid w:val="0091349A"/>
    <w:rsid w:val="00913B3C"/>
    <w:rsid w:val="00914399"/>
    <w:rsid w:val="00914562"/>
    <w:rsid w:val="00914F3C"/>
    <w:rsid w:val="0091530C"/>
    <w:rsid w:val="009158BF"/>
    <w:rsid w:val="00915C3B"/>
    <w:rsid w:val="009166A4"/>
    <w:rsid w:val="00916772"/>
    <w:rsid w:val="00916916"/>
    <w:rsid w:val="00917DAC"/>
    <w:rsid w:val="00922099"/>
    <w:rsid w:val="0092224E"/>
    <w:rsid w:val="009230BA"/>
    <w:rsid w:val="009259D4"/>
    <w:rsid w:val="0092704D"/>
    <w:rsid w:val="0093016F"/>
    <w:rsid w:val="0093061D"/>
    <w:rsid w:val="00931DF2"/>
    <w:rsid w:val="009331DC"/>
    <w:rsid w:val="00933E08"/>
    <w:rsid w:val="009342FC"/>
    <w:rsid w:val="0093522F"/>
    <w:rsid w:val="00936068"/>
    <w:rsid w:val="00936530"/>
    <w:rsid w:val="00936FC2"/>
    <w:rsid w:val="00937BC3"/>
    <w:rsid w:val="00940913"/>
    <w:rsid w:val="00941AAD"/>
    <w:rsid w:val="00943806"/>
    <w:rsid w:val="0094514C"/>
    <w:rsid w:val="00946351"/>
    <w:rsid w:val="009468E5"/>
    <w:rsid w:val="00946E03"/>
    <w:rsid w:val="009517CC"/>
    <w:rsid w:val="00952767"/>
    <w:rsid w:val="00955B95"/>
    <w:rsid w:val="00956E46"/>
    <w:rsid w:val="00957494"/>
    <w:rsid w:val="00957DBB"/>
    <w:rsid w:val="00960122"/>
    <w:rsid w:val="009615D4"/>
    <w:rsid w:val="009627F4"/>
    <w:rsid w:val="00962905"/>
    <w:rsid w:val="00965925"/>
    <w:rsid w:val="009709CC"/>
    <w:rsid w:val="00970A20"/>
    <w:rsid w:val="0097163D"/>
    <w:rsid w:val="009721F8"/>
    <w:rsid w:val="00972230"/>
    <w:rsid w:val="00972B49"/>
    <w:rsid w:val="00974677"/>
    <w:rsid w:val="00976023"/>
    <w:rsid w:val="00977F80"/>
    <w:rsid w:val="00980461"/>
    <w:rsid w:val="009815AD"/>
    <w:rsid w:val="00982F28"/>
    <w:rsid w:val="009864AF"/>
    <w:rsid w:val="009901F4"/>
    <w:rsid w:val="00990A66"/>
    <w:rsid w:val="0099144A"/>
    <w:rsid w:val="009935FE"/>
    <w:rsid w:val="009946CB"/>
    <w:rsid w:val="00994D24"/>
    <w:rsid w:val="009969C3"/>
    <w:rsid w:val="00997DC8"/>
    <w:rsid w:val="009A0628"/>
    <w:rsid w:val="009A0CA8"/>
    <w:rsid w:val="009A21E6"/>
    <w:rsid w:val="009A2F17"/>
    <w:rsid w:val="009A3C2B"/>
    <w:rsid w:val="009A462A"/>
    <w:rsid w:val="009A4A95"/>
    <w:rsid w:val="009A5478"/>
    <w:rsid w:val="009B1BFC"/>
    <w:rsid w:val="009B2EA7"/>
    <w:rsid w:val="009C11E1"/>
    <w:rsid w:val="009C23AF"/>
    <w:rsid w:val="009C2867"/>
    <w:rsid w:val="009C43F5"/>
    <w:rsid w:val="009C6075"/>
    <w:rsid w:val="009C7575"/>
    <w:rsid w:val="009D1461"/>
    <w:rsid w:val="009D24F5"/>
    <w:rsid w:val="009D4ED4"/>
    <w:rsid w:val="009D7E87"/>
    <w:rsid w:val="009E04AB"/>
    <w:rsid w:val="009E091B"/>
    <w:rsid w:val="009E0C4D"/>
    <w:rsid w:val="009E166B"/>
    <w:rsid w:val="009E19A3"/>
    <w:rsid w:val="009E1FC4"/>
    <w:rsid w:val="009E2BF5"/>
    <w:rsid w:val="009E2F26"/>
    <w:rsid w:val="009E37A5"/>
    <w:rsid w:val="009E4DC0"/>
    <w:rsid w:val="009F14A8"/>
    <w:rsid w:val="009F3AAE"/>
    <w:rsid w:val="00A00E65"/>
    <w:rsid w:val="00A060D5"/>
    <w:rsid w:val="00A072C3"/>
    <w:rsid w:val="00A0757A"/>
    <w:rsid w:val="00A1113C"/>
    <w:rsid w:val="00A1258F"/>
    <w:rsid w:val="00A128B7"/>
    <w:rsid w:val="00A12C76"/>
    <w:rsid w:val="00A13664"/>
    <w:rsid w:val="00A14C1C"/>
    <w:rsid w:val="00A15AFF"/>
    <w:rsid w:val="00A1687F"/>
    <w:rsid w:val="00A21422"/>
    <w:rsid w:val="00A217F7"/>
    <w:rsid w:val="00A21955"/>
    <w:rsid w:val="00A24B3F"/>
    <w:rsid w:val="00A25645"/>
    <w:rsid w:val="00A33609"/>
    <w:rsid w:val="00A33ED4"/>
    <w:rsid w:val="00A35AB3"/>
    <w:rsid w:val="00A37ACC"/>
    <w:rsid w:val="00A416AD"/>
    <w:rsid w:val="00A45BA2"/>
    <w:rsid w:val="00A471AE"/>
    <w:rsid w:val="00A50CD9"/>
    <w:rsid w:val="00A51374"/>
    <w:rsid w:val="00A5529A"/>
    <w:rsid w:val="00A56407"/>
    <w:rsid w:val="00A5703F"/>
    <w:rsid w:val="00A6123F"/>
    <w:rsid w:val="00A638E1"/>
    <w:rsid w:val="00A651D8"/>
    <w:rsid w:val="00A65DCB"/>
    <w:rsid w:val="00A702F7"/>
    <w:rsid w:val="00A7084C"/>
    <w:rsid w:val="00A7291B"/>
    <w:rsid w:val="00A729C2"/>
    <w:rsid w:val="00A75DCB"/>
    <w:rsid w:val="00A80396"/>
    <w:rsid w:val="00A806EE"/>
    <w:rsid w:val="00A8183A"/>
    <w:rsid w:val="00A8287D"/>
    <w:rsid w:val="00A829CF"/>
    <w:rsid w:val="00A850EB"/>
    <w:rsid w:val="00A86051"/>
    <w:rsid w:val="00A8625F"/>
    <w:rsid w:val="00A87AB4"/>
    <w:rsid w:val="00A87B2E"/>
    <w:rsid w:val="00A90151"/>
    <w:rsid w:val="00A90256"/>
    <w:rsid w:val="00A912C4"/>
    <w:rsid w:val="00A927A8"/>
    <w:rsid w:val="00A9359B"/>
    <w:rsid w:val="00A942C3"/>
    <w:rsid w:val="00A9545C"/>
    <w:rsid w:val="00A970A6"/>
    <w:rsid w:val="00A972BE"/>
    <w:rsid w:val="00AA163B"/>
    <w:rsid w:val="00AA3569"/>
    <w:rsid w:val="00AA5A6D"/>
    <w:rsid w:val="00AA7253"/>
    <w:rsid w:val="00AA7CF1"/>
    <w:rsid w:val="00AB10F4"/>
    <w:rsid w:val="00AB2962"/>
    <w:rsid w:val="00AB2D17"/>
    <w:rsid w:val="00AB34AD"/>
    <w:rsid w:val="00AB46E2"/>
    <w:rsid w:val="00AB4BEA"/>
    <w:rsid w:val="00AB58E4"/>
    <w:rsid w:val="00AC19A8"/>
    <w:rsid w:val="00AC4F7C"/>
    <w:rsid w:val="00AC50EC"/>
    <w:rsid w:val="00AC587D"/>
    <w:rsid w:val="00AC5A2B"/>
    <w:rsid w:val="00AD1AA2"/>
    <w:rsid w:val="00AD43A9"/>
    <w:rsid w:val="00AD5095"/>
    <w:rsid w:val="00AD7A30"/>
    <w:rsid w:val="00AD7B96"/>
    <w:rsid w:val="00AE0371"/>
    <w:rsid w:val="00AE5C06"/>
    <w:rsid w:val="00AE6524"/>
    <w:rsid w:val="00AF28A2"/>
    <w:rsid w:val="00AF2C31"/>
    <w:rsid w:val="00AF2E1A"/>
    <w:rsid w:val="00AF2FA8"/>
    <w:rsid w:val="00AF3BD9"/>
    <w:rsid w:val="00AF41B8"/>
    <w:rsid w:val="00AF479F"/>
    <w:rsid w:val="00AF4A28"/>
    <w:rsid w:val="00AF576F"/>
    <w:rsid w:val="00AF5E82"/>
    <w:rsid w:val="00AF7004"/>
    <w:rsid w:val="00B032D7"/>
    <w:rsid w:val="00B03E9F"/>
    <w:rsid w:val="00B044BC"/>
    <w:rsid w:val="00B04AC4"/>
    <w:rsid w:val="00B06200"/>
    <w:rsid w:val="00B07C86"/>
    <w:rsid w:val="00B11495"/>
    <w:rsid w:val="00B11F80"/>
    <w:rsid w:val="00B1646D"/>
    <w:rsid w:val="00B166A1"/>
    <w:rsid w:val="00B16916"/>
    <w:rsid w:val="00B173D6"/>
    <w:rsid w:val="00B17484"/>
    <w:rsid w:val="00B23243"/>
    <w:rsid w:val="00B23258"/>
    <w:rsid w:val="00B23603"/>
    <w:rsid w:val="00B23C6B"/>
    <w:rsid w:val="00B24BD4"/>
    <w:rsid w:val="00B25988"/>
    <w:rsid w:val="00B261AB"/>
    <w:rsid w:val="00B26DB1"/>
    <w:rsid w:val="00B302FA"/>
    <w:rsid w:val="00B32D6C"/>
    <w:rsid w:val="00B34048"/>
    <w:rsid w:val="00B342E3"/>
    <w:rsid w:val="00B3749D"/>
    <w:rsid w:val="00B37651"/>
    <w:rsid w:val="00B37AAB"/>
    <w:rsid w:val="00B443CC"/>
    <w:rsid w:val="00B44ACE"/>
    <w:rsid w:val="00B4506F"/>
    <w:rsid w:val="00B4534E"/>
    <w:rsid w:val="00B5080C"/>
    <w:rsid w:val="00B5088D"/>
    <w:rsid w:val="00B51CB4"/>
    <w:rsid w:val="00B55531"/>
    <w:rsid w:val="00B5623C"/>
    <w:rsid w:val="00B6184C"/>
    <w:rsid w:val="00B621A7"/>
    <w:rsid w:val="00B65DAA"/>
    <w:rsid w:val="00B65E5E"/>
    <w:rsid w:val="00B66654"/>
    <w:rsid w:val="00B667A6"/>
    <w:rsid w:val="00B66B2F"/>
    <w:rsid w:val="00B66F3B"/>
    <w:rsid w:val="00B67B80"/>
    <w:rsid w:val="00B67C6B"/>
    <w:rsid w:val="00B71D77"/>
    <w:rsid w:val="00B71EDA"/>
    <w:rsid w:val="00B720EC"/>
    <w:rsid w:val="00B72724"/>
    <w:rsid w:val="00B738C7"/>
    <w:rsid w:val="00B73F3D"/>
    <w:rsid w:val="00B74F7F"/>
    <w:rsid w:val="00B75B08"/>
    <w:rsid w:val="00B7663C"/>
    <w:rsid w:val="00B77055"/>
    <w:rsid w:val="00B77FD1"/>
    <w:rsid w:val="00B84869"/>
    <w:rsid w:val="00B84B8A"/>
    <w:rsid w:val="00B8526E"/>
    <w:rsid w:val="00B852E0"/>
    <w:rsid w:val="00B8559F"/>
    <w:rsid w:val="00B86607"/>
    <w:rsid w:val="00B87859"/>
    <w:rsid w:val="00B90D1A"/>
    <w:rsid w:val="00B91A69"/>
    <w:rsid w:val="00B91D47"/>
    <w:rsid w:val="00B953E2"/>
    <w:rsid w:val="00B97982"/>
    <w:rsid w:val="00BA0617"/>
    <w:rsid w:val="00BA23D2"/>
    <w:rsid w:val="00BA3CB8"/>
    <w:rsid w:val="00BA3E12"/>
    <w:rsid w:val="00BA6136"/>
    <w:rsid w:val="00BA6F33"/>
    <w:rsid w:val="00BA7623"/>
    <w:rsid w:val="00BB1F00"/>
    <w:rsid w:val="00BB5E89"/>
    <w:rsid w:val="00BB7C26"/>
    <w:rsid w:val="00BC0DCE"/>
    <w:rsid w:val="00BC127C"/>
    <w:rsid w:val="00BC54A2"/>
    <w:rsid w:val="00BC6606"/>
    <w:rsid w:val="00BC7C1B"/>
    <w:rsid w:val="00BD190D"/>
    <w:rsid w:val="00BD607A"/>
    <w:rsid w:val="00BE1FF2"/>
    <w:rsid w:val="00BE4F8E"/>
    <w:rsid w:val="00BE54D0"/>
    <w:rsid w:val="00BF0EF2"/>
    <w:rsid w:val="00BF11A0"/>
    <w:rsid w:val="00BF2902"/>
    <w:rsid w:val="00BF3D26"/>
    <w:rsid w:val="00BF4338"/>
    <w:rsid w:val="00BF523E"/>
    <w:rsid w:val="00BF5965"/>
    <w:rsid w:val="00BF68C8"/>
    <w:rsid w:val="00BF69CE"/>
    <w:rsid w:val="00C016A3"/>
    <w:rsid w:val="00C01E68"/>
    <w:rsid w:val="00C01EAC"/>
    <w:rsid w:val="00C02747"/>
    <w:rsid w:val="00C03393"/>
    <w:rsid w:val="00C06121"/>
    <w:rsid w:val="00C0649A"/>
    <w:rsid w:val="00C06F45"/>
    <w:rsid w:val="00C07A4E"/>
    <w:rsid w:val="00C11924"/>
    <w:rsid w:val="00C14016"/>
    <w:rsid w:val="00C1532F"/>
    <w:rsid w:val="00C172F5"/>
    <w:rsid w:val="00C17B40"/>
    <w:rsid w:val="00C20185"/>
    <w:rsid w:val="00C221A0"/>
    <w:rsid w:val="00C238D1"/>
    <w:rsid w:val="00C25C46"/>
    <w:rsid w:val="00C30B4B"/>
    <w:rsid w:val="00C31E23"/>
    <w:rsid w:val="00C326F9"/>
    <w:rsid w:val="00C34BF2"/>
    <w:rsid w:val="00C35EFF"/>
    <w:rsid w:val="00C362F9"/>
    <w:rsid w:val="00C36574"/>
    <w:rsid w:val="00C36FFC"/>
    <w:rsid w:val="00C3743C"/>
    <w:rsid w:val="00C37A29"/>
    <w:rsid w:val="00C40FE3"/>
    <w:rsid w:val="00C41682"/>
    <w:rsid w:val="00C424B1"/>
    <w:rsid w:val="00C44F8B"/>
    <w:rsid w:val="00C46C72"/>
    <w:rsid w:val="00C47A26"/>
    <w:rsid w:val="00C52B1D"/>
    <w:rsid w:val="00C53006"/>
    <w:rsid w:val="00C537F4"/>
    <w:rsid w:val="00C55970"/>
    <w:rsid w:val="00C61A66"/>
    <w:rsid w:val="00C624D0"/>
    <w:rsid w:val="00C628A0"/>
    <w:rsid w:val="00C64446"/>
    <w:rsid w:val="00C64705"/>
    <w:rsid w:val="00C64D9C"/>
    <w:rsid w:val="00C655B1"/>
    <w:rsid w:val="00C66895"/>
    <w:rsid w:val="00C67708"/>
    <w:rsid w:val="00C70D80"/>
    <w:rsid w:val="00C70EFC"/>
    <w:rsid w:val="00C713E2"/>
    <w:rsid w:val="00C71688"/>
    <w:rsid w:val="00C71E51"/>
    <w:rsid w:val="00C73A69"/>
    <w:rsid w:val="00C746E8"/>
    <w:rsid w:val="00C75C56"/>
    <w:rsid w:val="00C8112E"/>
    <w:rsid w:val="00C8119E"/>
    <w:rsid w:val="00C82EE0"/>
    <w:rsid w:val="00C84A3B"/>
    <w:rsid w:val="00C84D8C"/>
    <w:rsid w:val="00C87784"/>
    <w:rsid w:val="00C87B2A"/>
    <w:rsid w:val="00C90BF4"/>
    <w:rsid w:val="00C932F3"/>
    <w:rsid w:val="00C96C98"/>
    <w:rsid w:val="00CA0B3F"/>
    <w:rsid w:val="00CA1A6F"/>
    <w:rsid w:val="00CA2AEC"/>
    <w:rsid w:val="00CA2FE5"/>
    <w:rsid w:val="00CA5A3D"/>
    <w:rsid w:val="00CA6B08"/>
    <w:rsid w:val="00CB1AD9"/>
    <w:rsid w:val="00CB4827"/>
    <w:rsid w:val="00CB5210"/>
    <w:rsid w:val="00CB6CFA"/>
    <w:rsid w:val="00CC000C"/>
    <w:rsid w:val="00CC07D5"/>
    <w:rsid w:val="00CC0D5B"/>
    <w:rsid w:val="00CC3171"/>
    <w:rsid w:val="00CC3DE4"/>
    <w:rsid w:val="00CC44B2"/>
    <w:rsid w:val="00CC459B"/>
    <w:rsid w:val="00CC5736"/>
    <w:rsid w:val="00CC5F5B"/>
    <w:rsid w:val="00CC6AC2"/>
    <w:rsid w:val="00CD0ECA"/>
    <w:rsid w:val="00CD1F2C"/>
    <w:rsid w:val="00CD24B8"/>
    <w:rsid w:val="00CD40F1"/>
    <w:rsid w:val="00CD61EB"/>
    <w:rsid w:val="00CD6B21"/>
    <w:rsid w:val="00CD73AA"/>
    <w:rsid w:val="00CD7450"/>
    <w:rsid w:val="00CD75A9"/>
    <w:rsid w:val="00CD7D3F"/>
    <w:rsid w:val="00CD7F44"/>
    <w:rsid w:val="00CE1DCD"/>
    <w:rsid w:val="00CE2338"/>
    <w:rsid w:val="00CE2ADD"/>
    <w:rsid w:val="00CE3286"/>
    <w:rsid w:val="00CE43AF"/>
    <w:rsid w:val="00CE45C7"/>
    <w:rsid w:val="00CE4D3A"/>
    <w:rsid w:val="00CE60EE"/>
    <w:rsid w:val="00CE64FD"/>
    <w:rsid w:val="00CE68E4"/>
    <w:rsid w:val="00CE7236"/>
    <w:rsid w:val="00CF02F0"/>
    <w:rsid w:val="00CF03FE"/>
    <w:rsid w:val="00CF2F59"/>
    <w:rsid w:val="00CF36FC"/>
    <w:rsid w:val="00CF4AEF"/>
    <w:rsid w:val="00CF4BC6"/>
    <w:rsid w:val="00CF4EFF"/>
    <w:rsid w:val="00CF52E2"/>
    <w:rsid w:val="00CF7342"/>
    <w:rsid w:val="00CF7F06"/>
    <w:rsid w:val="00D01615"/>
    <w:rsid w:val="00D01B55"/>
    <w:rsid w:val="00D02433"/>
    <w:rsid w:val="00D0352E"/>
    <w:rsid w:val="00D04083"/>
    <w:rsid w:val="00D06830"/>
    <w:rsid w:val="00D0698F"/>
    <w:rsid w:val="00D07690"/>
    <w:rsid w:val="00D10016"/>
    <w:rsid w:val="00D10F14"/>
    <w:rsid w:val="00D1236D"/>
    <w:rsid w:val="00D1343E"/>
    <w:rsid w:val="00D141D3"/>
    <w:rsid w:val="00D145F0"/>
    <w:rsid w:val="00D15113"/>
    <w:rsid w:val="00D15B7C"/>
    <w:rsid w:val="00D15B7D"/>
    <w:rsid w:val="00D16F74"/>
    <w:rsid w:val="00D17C74"/>
    <w:rsid w:val="00D2184D"/>
    <w:rsid w:val="00D233AA"/>
    <w:rsid w:val="00D2356C"/>
    <w:rsid w:val="00D239D1"/>
    <w:rsid w:val="00D25DF1"/>
    <w:rsid w:val="00D30791"/>
    <w:rsid w:val="00D31800"/>
    <w:rsid w:val="00D31E3E"/>
    <w:rsid w:val="00D330CA"/>
    <w:rsid w:val="00D3316D"/>
    <w:rsid w:val="00D3324D"/>
    <w:rsid w:val="00D33DBE"/>
    <w:rsid w:val="00D3414E"/>
    <w:rsid w:val="00D345FA"/>
    <w:rsid w:val="00D34E78"/>
    <w:rsid w:val="00D35A41"/>
    <w:rsid w:val="00D37526"/>
    <w:rsid w:val="00D37882"/>
    <w:rsid w:val="00D420B7"/>
    <w:rsid w:val="00D43172"/>
    <w:rsid w:val="00D44355"/>
    <w:rsid w:val="00D46FD9"/>
    <w:rsid w:val="00D47DFD"/>
    <w:rsid w:val="00D55D48"/>
    <w:rsid w:val="00D57544"/>
    <w:rsid w:val="00D60528"/>
    <w:rsid w:val="00D60649"/>
    <w:rsid w:val="00D611F9"/>
    <w:rsid w:val="00D61A87"/>
    <w:rsid w:val="00D61E88"/>
    <w:rsid w:val="00D6253C"/>
    <w:rsid w:val="00D80D2C"/>
    <w:rsid w:val="00D811F9"/>
    <w:rsid w:val="00D81496"/>
    <w:rsid w:val="00D81C1B"/>
    <w:rsid w:val="00D83923"/>
    <w:rsid w:val="00D8550A"/>
    <w:rsid w:val="00D864BD"/>
    <w:rsid w:val="00D86A69"/>
    <w:rsid w:val="00D905F4"/>
    <w:rsid w:val="00D9093C"/>
    <w:rsid w:val="00D91EDB"/>
    <w:rsid w:val="00D91F5D"/>
    <w:rsid w:val="00D939AC"/>
    <w:rsid w:val="00D9419D"/>
    <w:rsid w:val="00D96F65"/>
    <w:rsid w:val="00D97608"/>
    <w:rsid w:val="00D97C9A"/>
    <w:rsid w:val="00DA136C"/>
    <w:rsid w:val="00DA1E1F"/>
    <w:rsid w:val="00DA2C7E"/>
    <w:rsid w:val="00DA3017"/>
    <w:rsid w:val="00DA5484"/>
    <w:rsid w:val="00DB663D"/>
    <w:rsid w:val="00DB6C8D"/>
    <w:rsid w:val="00DB7E8D"/>
    <w:rsid w:val="00DC1012"/>
    <w:rsid w:val="00DC18D8"/>
    <w:rsid w:val="00DC1B37"/>
    <w:rsid w:val="00DC210A"/>
    <w:rsid w:val="00DC29C1"/>
    <w:rsid w:val="00DC32B5"/>
    <w:rsid w:val="00DC5658"/>
    <w:rsid w:val="00DC5A29"/>
    <w:rsid w:val="00DC5DFF"/>
    <w:rsid w:val="00DC74CB"/>
    <w:rsid w:val="00DD134A"/>
    <w:rsid w:val="00DD4E8D"/>
    <w:rsid w:val="00DD4ED3"/>
    <w:rsid w:val="00DD51E8"/>
    <w:rsid w:val="00DD6182"/>
    <w:rsid w:val="00DD6473"/>
    <w:rsid w:val="00DD6BA1"/>
    <w:rsid w:val="00DD6F5C"/>
    <w:rsid w:val="00DE23CF"/>
    <w:rsid w:val="00DE313F"/>
    <w:rsid w:val="00DF3D88"/>
    <w:rsid w:val="00DF4925"/>
    <w:rsid w:val="00DF49A2"/>
    <w:rsid w:val="00DF4E3E"/>
    <w:rsid w:val="00DF57D9"/>
    <w:rsid w:val="00DF60B9"/>
    <w:rsid w:val="00DF63B7"/>
    <w:rsid w:val="00DF6DCF"/>
    <w:rsid w:val="00E003F9"/>
    <w:rsid w:val="00E010CD"/>
    <w:rsid w:val="00E01234"/>
    <w:rsid w:val="00E019D3"/>
    <w:rsid w:val="00E0453D"/>
    <w:rsid w:val="00E046A1"/>
    <w:rsid w:val="00E04CE5"/>
    <w:rsid w:val="00E04E50"/>
    <w:rsid w:val="00E05D5C"/>
    <w:rsid w:val="00E05FA6"/>
    <w:rsid w:val="00E070BC"/>
    <w:rsid w:val="00E106EA"/>
    <w:rsid w:val="00E135A9"/>
    <w:rsid w:val="00E13BEC"/>
    <w:rsid w:val="00E15A2F"/>
    <w:rsid w:val="00E16351"/>
    <w:rsid w:val="00E214A0"/>
    <w:rsid w:val="00E21B18"/>
    <w:rsid w:val="00E21C32"/>
    <w:rsid w:val="00E223C0"/>
    <w:rsid w:val="00E24CDC"/>
    <w:rsid w:val="00E25474"/>
    <w:rsid w:val="00E265A5"/>
    <w:rsid w:val="00E26C05"/>
    <w:rsid w:val="00E31811"/>
    <w:rsid w:val="00E32E51"/>
    <w:rsid w:val="00E32EE5"/>
    <w:rsid w:val="00E32F93"/>
    <w:rsid w:val="00E33490"/>
    <w:rsid w:val="00E350B0"/>
    <w:rsid w:val="00E3527D"/>
    <w:rsid w:val="00E379F7"/>
    <w:rsid w:val="00E401ED"/>
    <w:rsid w:val="00E41066"/>
    <w:rsid w:val="00E46EEE"/>
    <w:rsid w:val="00E47107"/>
    <w:rsid w:val="00E508FE"/>
    <w:rsid w:val="00E50DA1"/>
    <w:rsid w:val="00E53D5B"/>
    <w:rsid w:val="00E54ACD"/>
    <w:rsid w:val="00E54B2B"/>
    <w:rsid w:val="00E550CA"/>
    <w:rsid w:val="00E61632"/>
    <w:rsid w:val="00E61BA8"/>
    <w:rsid w:val="00E701F4"/>
    <w:rsid w:val="00E70DD7"/>
    <w:rsid w:val="00E716CC"/>
    <w:rsid w:val="00E71C25"/>
    <w:rsid w:val="00E72763"/>
    <w:rsid w:val="00E72EE0"/>
    <w:rsid w:val="00E741FB"/>
    <w:rsid w:val="00E74C2A"/>
    <w:rsid w:val="00E7535A"/>
    <w:rsid w:val="00E7728A"/>
    <w:rsid w:val="00E822D2"/>
    <w:rsid w:val="00E83C1B"/>
    <w:rsid w:val="00E85A9F"/>
    <w:rsid w:val="00E8704F"/>
    <w:rsid w:val="00E91A7E"/>
    <w:rsid w:val="00E91FED"/>
    <w:rsid w:val="00E92FAD"/>
    <w:rsid w:val="00E96397"/>
    <w:rsid w:val="00EA1943"/>
    <w:rsid w:val="00EA1E9E"/>
    <w:rsid w:val="00EA2F29"/>
    <w:rsid w:val="00EB0859"/>
    <w:rsid w:val="00EB2D99"/>
    <w:rsid w:val="00EB3F9D"/>
    <w:rsid w:val="00EB5473"/>
    <w:rsid w:val="00EB5C5F"/>
    <w:rsid w:val="00EB5DC6"/>
    <w:rsid w:val="00EB6116"/>
    <w:rsid w:val="00EC0E8F"/>
    <w:rsid w:val="00EC16BD"/>
    <w:rsid w:val="00EC36FA"/>
    <w:rsid w:val="00EC5D99"/>
    <w:rsid w:val="00EC62C6"/>
    <w:rsid w:val="00EC76ED"/>
    <w:rsid w:val="00EC7C2A"/>
    <w:rsid w:val="00ED0FA7"/>
    <w:rsid w:val="00ED3BC3"/>
    <w:rsid w:val="00ED4983"/>
    <w:rsid w:val="00ED6F97"/>
    <w:rsid w:val="00ED74C7"/>
    <w:rsid w:val="00EE49F4"/>
    <w:rsid w:val="00EE4E0E"/>
    <w:rsid w:val="00EE6F14"/>
    <w:rsid w:val="00EF1DC7"/>
    <w:rsid w:val="00EF2D6A"/>
    <w:rsid w:val="00EF3F23"/>
    <w:rsid w:val="00EF4343"/>
    <w:rsid w:val="00EF4BE3"/>
    <w:rsid w:val="00EF4EC7"/>
    <w:rsid w:val="00F03825"/>
    <w:rsid w:val="00F04EA7"/>
    <w:rsid w:val="00F10F1E"/>
    <w:rsid w:val="00F12F7A"/>
    <w:rsid w:val="00F1385D"/>
    <w:rsid w:val="00F14386"/>
    <w:rsid w:val="00F162D4"/>
    <w:rsid w:val="00F16E6B"/>
    <w:rsid w:val="00F2058B"/>
    <w:rsid w:val="00F20621"/>
    <w:rsid w:val="00F20687"/>
    <w:rsid w:val="00F2588B"/>
    <w:rsid w:val="00F25A0C"/>
    <w:rsid w:val="00F25AE6"/>
    <w:rsid w:val="00F26591"/>
    <w:rsid w:val="00F268A7"/>
    <w:rsid w:val="00F27FC2"/>
    <w:rsid w:val="00F3209B"/>
    <w:rsid w:val="00F3214C"/>
    <w:rsid w:val="00F322B1"/>
    <w:rsid w:val="00F334AD"/>
    <w:rsid w:val="00F33F8D"/>
    <w:rsid w:val="00F35E31"/>
    <w:rsid w:val="00F37CB6"/>
    <w:rsid w:val="00F37F65"/>
    <w:rsid w:val="00F4010B"/>
    <w:rsid w:val="00F409B2"/>
    <w:rsid w:val="00F416DC"/>
    <w:rsid w:val="00F41F88"/>
    <w:rsid w:val="00F42B4C"/>
    <w:rsid w:val="00F437B9"/>
    <w:rsid w:val="00F43E15"/>
    <w:rsid w:val="00F46E42"/>
    <w:rsid w:val="00F4702C"/>
    <w:rsid w:val="00F471A7"/>
    <w:rsid w:val="00F505B8"/>
    <w:rsid w:val="00F506C7"/>
    <w:rsid w:val="00F523F9"/>
    <w:rsid w:val="00F52918"/>
    <w:rsid w:val="00F53446"/>
    <w:rsid w:val="00F53EFE"/>
    <w:rsid w:val="00F54196"/>
    <w:rsid w:val="00F55732"/>
    <w:rsid w:val="00F60B49"/>
    <w:rsid w:val="00F60BA2"/>
    <w:rsid w:val="00F63086"/>
    <w:rsid w:val="00F634F6"/>
    <w:rsid w:val="00F6366B"/>
    <w:rsid w:val="00F653F6"/>
    <w:rsid w:val="00F660C4"/>
    <w:rsid w:val="00F67B01"/>
    <w:rsid w:val="00F72EE3"/>
    <w:rsid w:val="00F73230"/>
    <w:rsid w:val="00F73B28"/>
    <w:rsid w:val="00F76AD2"/>
    <w:rsid w:val="00F77B4D"/>
    <w:rsid w:val="00F77FBB"/>
    <w:rsid w:val="00F81AE9"/>
    <w:rsid w:val="00F82AC3"/>
    <w:rsid w:val="00F83555"/>
    <w:rsid w:val="00F83623"/>
    <w:rsid w:val="00F8500A"/>
    <w:rsid w:val="00F8793E"/>
    <w:rsid w:val="00F87B07"/>
    <w:rsid w:val="00F929B1"/>
    <w:rsid w:val="00F932DF"/>
    <w:rsid w:val="00F94880"/>
    <w:rsid w:val="00F9533D"/>
    <w:rsid w:val="00F97D3E"/>
    <w:rsid w:val="00FA09D5"/>
    <w:rsid w:val="00FA20EC"/>
    <w:rsid w:val="00FA2DBF"/>
    <w:rsid w:val="00FA33D2"/>
    <w:rsid w:val="00FA7FA5"/>
    <w:rsid w:val="00FB016C"/>
    <w:rsid w:val="00FB25B4"/>
    <w:rsid w:val="00FB4E93"/>
    <w:rsid w:val="00FB53CA"/>
    <w:rsid w:val="00FC14F2"/>
    <w:rsid w:val="00FC2D8B"/>
    <w:rsid w:val="00FC3EC6"/>
    <w:rsid w:val="00FC467A"/>
    <w:rsid w:val="00FC4B7E"/>
    <w:rsid w:val="00FC5779"/>
    <w:rsid w:val="00FC662D"/>
    <w:rsid w:val="00FC7091"/>
    <w:rsid w:val="00FC7813"/>
    <w:rsid w:val="00FD1B55"/>
    <w:rsid w:val="00FD3306"/>
    <w:rsid w:val="00FD36B1"/>
    <w:rsid w:val="00FD467A"/>
    <w:rsid w:val="00FD4984"/>
    <w:rsid w:val="00FE0EF3"/>
    <w:rsid w:val="00FE203D"/>
    <w:rsid w:val="00FE2F05"/>
    <w:rsid w:val="00FE59FD"/>
    <w:rsid w:val="00FE7980"/>
    <w:rsid w:val="00FE7F98"/>
    <w:rsid w:val="00FF2E7F"/>
    <w:rsid w:val="00FF306D"/>
    <w:rsid w:val="00FF3C31"/>
    <w:rsid w:val="00FF42E0"/>
    <w:rsid w:val="00FF73DF"/>
    <w:rsid w:val="00FF7BB2"/>
    <w:rsid w:val="66C461B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1D2A1"/>
  <w15:chartTrackingRefBased/>
  <w15:docId w15:val="{2780CC9F-CBC5-46DE-B510-28383E074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EC62C6"/>
    <w:pPr>
      <w:spacing w:before="120" w:after="120" w:line="280" w:lineRule="atLeast"/>
    </w:pPr>
    <w:rPr>
      <w:sz w:val="20"/>
      <w:szCs w:val="20"/>
    </w:rPr>
  </w:style>
  <w:style w:type="paragraph" w:styleId="Heading1">
    <w:name w:val="heading 1"/>
    <w:basedOn w:val="Normal"/>
    <w:next w:val="BodyText"/>
    <w:link w:val="Heading1Char"/>
    <w:uiPriority w:val="9"/>
    <w:qFormat/>
    <w:rsid w:val="00EC62C6"/>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EC62C6"/>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EC62C6"/>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EC62C6"/>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EC62C6"/>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EC62C6"/>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EC62C6"/>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EC62C6"/>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EC62C6"/>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62C6"/>
    <w:rPr>
      <w:color w:val="808080"/>
    </w:rPr>
  </w:style>
  <w:style w:type="paragraph" w:styleId="Date">
    <w:name w:val="Date"/>
    <w:basedOn w:val="Normal"/>
    <w:next w:val="Normal"/>
    <w:link w:val="DateChar"/>
    <w:uiPriority w:val="99"/>
    <w:unhideWhenUsed/>
    <w:rsid w:val="00EC62C6"/>
    <w:pPr>
      <w:spacing w:after="360" w:line="293" w:lineRule="auto"/>
    </w:pPr>
  </w:style>
  <w:style w:type="character" w:customStyle="1" w:styleId="DateChar">
    <w:name w:val="Date Char"/>
    <w:basedOn w:val="DefaultParagraphFont"/>
    <w:link w:val="Date"/>
    <w:uiPriority w:val="99"/>
    <w:rsid w:val="00EC62C6"/>
    <w:rPr>
      <w:sz w:val="20"/>
      <w:szCs w:val="20"/>
    </w:rPr>
  </w:style>
  <w:style w:type="paragraph" w:styleId="NoSpacing">
    <w:name w:val="No Spacing"/>
    <w:basedOn w:val="Normal"/>
    <w:link w:val="NoSpacingChar"/>
    <w:uiPriority w:val="10"/>
    <w:qFormat/>
    <w:rsid w:val="00EC62C6"/>
    <w:pPr>
      <w:spacing w:before="0" w:after="0"/>
    </w:pPr>
  </w:style>
  <w:style w:type="paragraph" w:styleId="ListBullet">
    <w:name w:val="List Bullet"/>
    <w:basedOn w:val="Normal"/>
    <w:link w:val="ListBulletChar"/>
    <w:uiPriority w:val="1"/>
    <w:qFormat/>
    <w:rsid w:val="00737C62"/>
    <w:pPr>
      <w:numPr>
        <w:numId w:val="39"/>
      </w:numPr>
      <w:contextualSpacing/>
    </w:pPr>
  </w:style>
  <w:style w:type="paragraph" w:styleId="ListBullet2">
    <w:name w:val="List Bullet 2"/>
    <w:basedOn w:val="Normal"/>
    <w:uiPriority w:val="1"/>
    <w:qFormat/>
    <w:rsid w:val="00EC62C6"/>
    <w:pPr>
      <w:numPr>
        <w:ilvl w:val="1"/>
        <w:numId w:val="39"/>
      </w:numPr>
      <w:contextualSpacing/>
    </w:pPr>
  </w:style>
  <w:style w:type="paragraph" w:styleId="ListNumber">
    <w:name w:val="List Number"/>
    <w:basedOn w:val="Normal"/>
    <w:uiPriority w:val="2"/>
    <w:qFormat/>
    <w:rsid w:val="00EC62C6"/>
    <w:pPr>
      <w:numPr>
        <w:numId w:val="14"/>
      </w:numPr>
      <w:spacing w:before="60"/>
      <w:contextualSpacing/>
    </w:pPr>
  </w:style>
  <w:style w:type="numbering" w:customStyle="1" w:styleId="Bullets">
    <w:name w:val="Bullets"/>
    <w:uiPriority w:val="99"/>
    <w:rsid w:val="00EC62C6"/>
    <w:pPr>
      <w:numPr>
        <w:numId w:val="5"/>
      </w:numPr>
    </w:pPr>
  </w:style>
  <w:style w:type="character" w:customStyle="1" w:styleId="Heading1Char">
    <w:name w:val="Heading 1 Char"/>
    <w:basedOn w:val="DefaultParagraphFont"/>
    <w:link w:val="Heading1"/>
    <w:uiPriority w:val="9"/>
    <w:rsid w:val="00EC62C6"/>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EC62C6"/>
    <w:pPr>
      <w:numPr>
        <w:ilvl w:val="1"/>
        <w:numId w:val="14"/>
      </w:numPr>
      <w:spacing w:before="60"/>
      <w:contextualSpacing/>
    </w:pPr>
  </w:style>
  <w:style w:type="character" w:customStyle="1" w:styleId="Heading2Char">
    <w:name w:val="Heading 2 Char"/>
    <w:basedOn w:val="DefaultParagraphFont"/>
    <w:link w:val="Heading2"/>
    <w:uiPriority w:val="9"/>
    <w:rsid w:val="00EC62C6"/>
    <w:rPr>
      <w:rFonts w:asciiTheme="majorHAnsi" w:eastAsiaTheme="majorEastAsia" w:hAnsiTheme="majorHAnsi" w:cstheme="majorBidi"/>
      <w:sz w:val="30"/>
      <w:szCs w:val="60"/>
    </w:rPr>
  </w:style>
  <w:style w:type="paragraph" w:styleId="ListParagraph">
    <w:name w:val="List Paragraph"/>
    <w:basedOn w:val="Normal"/>
    <w:uiPriority w:val="34"/>
    <w:rsid w:val="00EC62C6"/>
    <w:pPr>
      <w:spacing w:line="293" w:lineRule="auto"/>
      <w:ind w:left="284"/>
      <w:contextualSpacing/>
    </w:pPr>
  </w:style>
  <w:style w:type="paragraph" w:styleId="Header">
    <w:name w:val="header"/>
    <w:basedOn w:val="Normal"/>
    <w:link w:val="HeaderChar"/>
    <w:uiPriority w:val="99"/>
    <w:unhideWhenUsed/>
    <w:rsid w:val="00EC62C6"/>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EC62C6"/>
    <w:rPr>
      <w:sz w:val="16"/>
      <w:szCs w:val="20"/>
    </w:rPr>
  </w:style>
  <w:style w:type="paragraph" w:styleId="Footer">
    <w:name w:val="footer"/>
    <w:basedOn w:val="Normal"/>
    <w:link w:val="FooterChar"/>
    <w:uiPriority w:val="11"/>
    <w:rsid w:val="00EC62C6"/>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EC62C6"/>
    <w:rPr>
      <w:rFonts w:asciiTheme="majorHAnsi" w:hAnsiTheme="majorHAnsi"/>
      <w:sz w:val="17"/>
    </w:rPr>
  </w:style>
  <w:style w:type="numbering" w:customStyle="1" w:styleId="Numbering">
    <w:name w:val="Numbering"/>
    <w:uiPriority w:val="99"/>
    <w:rsid w:val="00EC62C6"/>
    <w:pPr>
      <w:numPr>
        <w:numId w:val="14"/>
      </w:numPr>
    </w:pPr>
  </w:style>
  <w:style w:type="paragraph" w:styleId="ListBullet3">
    <w:name w:val="List Bullet 3"/>
    <w:basedOn w:val="Normal"/>
    <w:uiPriority w:val="1"/>
    <w:qFormat/>
    <w:rsid w:val="00EC62C6"/>
    <w:pPr>
      <w:numPr>
        <w:ilvl w:val="2"/>
        <w:numId w:val="39"/>
      </w:numPr>
      <w:contextualSpacing/>
    </w:pPr>
  </w:style>
  <w:style w:type="paragraph" w:styleId="ListContinue2">
    <w:name w:val="List Continue 2"/>
    <w:basedOn w:val="Normal"/>
    <w:uiPriority w:val="3"/>
    <w:unhideWhenUsed/>
    <w:qFormat/>
    <w:rsid w:val="00EC62C6"/>
    <w:pPr>
      <w:spacing w:before="60"/>
      <w:ind w:left="454"/>
    </w:pPr>
  </w:style>
  <w:style w:type="paragraph" w:styleId="ListNumber3">
    <w:name w:val="List Number 3"/>
    <w:basedOn w:val="Normal"/>
    <w:uiPriority w:val="13"/>
    <w:semiHidden/>
    <w:qFormat/>
    <w:rsid w:val="00EC62C6"/>
    <w:pPr>
      <w:numPr>
        <w:ilvl w:val="2"/>
        <w:numId w:val="14"/>
      </w:numPr>
      <w:spacing w:before="60"/>
      <w:contextualSpacing/>
    </w:pPr>
  </w:style>
  <w:style w:type="paragraph" w:styleId="ListNumber4">
    <w:name w:val="List Number 4"/>
    <w:basedOn w:val="Normal"/>
    <w:uiPriority w:val="13"/>
    <w:semiHidden/>
    <w:qFormat/>
    <w:rsid w:val="00EC62C6"/>
    <w:pPr>
      <w:numPr>
        <w:ilvl w:val="3"/>
        <w:numId w:val="14"/>
      </w:numPr>
      <w:spacing w:after="200" w:line="293" w:lineRule="auto"/>
      <w:contextualSpacing/>
    </w:pPr>
  </w:style>
  <w:style w:type="paragraph" w:styleId="ListNumber5">
    <w:name w:val="List Number 5"/>
    <w:basedOn w:val="Normal"/>
    <w:uiPriority w:val="13"/>
    <w:semiHidden/>
    <w:rsid w:val="00EC62C6"/>
    <w:pPr>
      <w:numPr>
        <w:ilvl w:val="4"/>
        <w:numId w:val="14"/>
      </w:numPr>
      <w:spacing w:after="200" w:line="293" w:lineRule="auto"/>
      <w:contextualSpacing/>
    </w:pPr>
  </w:style>
  <w:style w:type="paragraph" w:styleId="ListContinue">
    <w:name w:val="List Continue"/>
    <w:basedOn w:val="Normal"/>
    <w:uiPriority w:val="3"/>
    <w:unhideWhenUsed/>
    <w:qFormat/>
    <w:rsid w:val="00EC62C6"/>
    <w:pPr>
      <w:spacing w:before="60"/>
      <w:ind w:left="227"/>
    </w:pPr>
  </w:style>
  <w:style w:type="paragraph" w:styleId="ListContinue3">
    <w:name w:val="List Continue 3"/>
    <w:basedOn w:val="Normal"/>
    <w:uiPriority w:val="3"/>
    <w:unhideWhenUsed/>
    <w:qFormat/>
    <w:rsid w:val="00EC62C6"/>
    <w:pPr>
      <w:spacing w:before="60"/>
      <w:ind w:left="907"/>
    </w:pPr>
  </w:style>
  <w:style w:type="paragraph" w:styleId="ListContinue4">
    <w:name w:val="List Continue 4"/>
    <w:basedOn w:val="Normal"/>
    <w:uiPriority w:val="3"/>
    <w:unhideWhenUsed/>
    <w:qFormat/>
    <w:rsid w:val="00EC62C6"/>
    <w:pPr>
      <w:spacing w:line="293" w:lineRule="auto"/>
      <w:ind w:left="907"/>
      <w:contextualSpacing/>
    </w:pPr>
  </w:style>
  <w:style w:type="character" w:customStyle="1" w:styleId="Heading3Char">
    <w:name w:val="Heading 3 Char"/>
    <w:basedOn w:val="DefaultParagraphFont"/>
    <w:link w:val="Heading3"/>
    <w:uiPriority w:val="9"/>
    <w:rsid w:val="00EC62C6"/>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EC62C6"/>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EC62C6"/>
    <w:rPr>
      <w:rFonts w:eastAsiaTheme="majorEastAsia" w:cstheme="majorBidi"/>
      <w:b/>
      <w:color w:val="265A9A" w:themeColor="background2"/>
      <w:szCs w:val="29"/>
    </w:rPr>
  </w:style>
  <w:style w:type="numbering" w:customStyle="1" w:styleId="ListHeadings">
    <w:name w:val="List Headings"/>
    <w:uiPriority w:val="99"/>
    <w:rsid w:val="00EC62C6"/>
    <w:pPr>
      <w:numPr>
        <w:numId w:val="12"/>
      </w:numPr>
    </w:pPr>
  </w:style>
  <w:style w:type="paragraph" w:styleId="Title">
    <w:name w:val="Title"/>
    <w:basedOn w:val="Heading1"/>
    <w:next w:val="Normal"/>
    <w:link w:val="TitleChar"/>
    <w:uiPriority w:val="39"/>
    <w:rsid w:val="00EC62C6"/>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EC62C6"/>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EC62C6"/>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EC62C6"/>
    <w:rPr>
      <w:b/>
    </w:rPr>
  </w:style>
  <w:style w:type="character" w:customStyle="1" w:styleId="Pull-outQuoteChar">
    <w:name w:val="Pull-out Quote Char"/>
    <w:basedOn w:val="DefaultParagraphFont"/>
    <w:link w:val="Pull-outQuote"/>
    <w:uiPriority w:val="99"/>
    <w:semiHidden/>
    <w:rsid w:val="00EC62C6"/>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EC62C6"/>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EC62C6"/>
  </w:style>
  <w:style w:type="paragraph" w:customStyle="1" w:styleId="NumberedHeading2">
    <w:name w:val="Numbered Heading 2"/>
    <w:basedOn w:val="Heading2"/>
    <w:next w:val="Normal"/>
    <w:link w:val="NumberedHeading2Char"/>
    <w:uiPriority w:val="9"/>
    <w:semiHidden/>
    <w:rsid w:val="00EC62C6"/>
  </w:style>
  <w:style w:type="character" w:customStyle="1" w:styleId="NumberedHeading1Char">
    <w:name w:val="Numbered Heading 1 Char"/>
    <w:basedOn w:val="Heading1Char"/>
    <w:link w:val="NumberedHeading1"/>
    <w:uiPriority w:val="9"/>
    <w:semiHidden/>
    <w:rsid w:val="00EC62C6"/>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EC62C6"/>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EC62C6"/>
    <w:pPr>
      <w:ind w:left="1134"/>
      <w:contextualSpacing/>
    </w:pPr>
  </w:style>
  <w:style w:type="table" w:styleId="TableGrid">
    <w:name w:val="Table Grid"/>
    <w:basedOn w:val="TableNormal"/>
    <w:uiPriority w:val="39"/>
    <w:rsid w:val="00EC6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EC62C6"/>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EC62C6"/>
    <w:pPr>
      <w:numPr>
        <w:numId w:val="9"/>
      </w:numPr>
      <w:spacing w:before="60"/>
    </w:pPr>
  </w:style>
  <w:style w:type="paragraph" w:styleId="List2">
    <w:name w:val="List 2"/>
    <w:basedOn w:val="Normal"/>
    <w:uiPriority w:val="99"/>
    <w:semiHidden/>
    <w:qFormat/>
    <w:rsid w:val="00EC62C6"/>
    <w:pPr>
      <w:numPr>
        <w:ilvl w:val="1"/>
        <w:numId w:val="9"/>
      </w:numPr>
      <w:spacing w:before="60"/>
    </w:pPr>
  </w:style>
  <w:style w:type="numbering" w:customStyle="1" w:styleId="LetteredList">
    <w:name w:val="Lettered List"/>
    <w:uiPriority w:val="99"/>
    <w:rsid w:val="00EC62C6"/>
    <w:pPr>
      <w:numPr>
        <w:numId w:val="8"/>
      </w:numPr>
    </w:pPr>
  </w:style>
  <w:style w:type="paragraph" w:styleId="Subtitle">
    <w:name w:val="Subtitle"/>
    <w:basedOn w:val="Normal"/>
    <w:next w:val="Normal"/>
    <w:link w:val="SubtitleChar"/>
    <w:uiPriority w:val="39"/>
    <w:rsid w:val="00EC62C6"/>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EC62C6"/>
    <w:rPr>
      <w:rFonts w:eastAsiaTheme="minorEastAsia"/>
      <w:color w:val="FFFFFF" w:themeColor="background1"/>
      <w:sz w:val="52"/>
      <w:szCs w:val="20"/>
    </w:rPr>
  </w:style>
  <w:style w:type="character" w:styleId="Strong">
    <w:name w:val="Strong"/>
    <w:basedOn w:val="DefaultParagraphFont"/>
    <w:uiPriority w:val="22"/>
    <w:qFormat/>
    <w:rsid w:val="00EC62C6"/>
    <w:rPr>
      <w:rFonts w:asciiTheme="minorHAnsi" w:hAnsiTheme="minorHAnsi"/>
      <w:b/>
      <w:bCs/>
    </w:rPr>
  </w:style>
  <w:style w:type="paragraph" w:customStyle="1" w:styleId="Header-Keyline">
    <w:name w:val="Header - Keyline"/>
    <w:basedOn w:val="Header"/>
    <w:link w:val="Header-KeylineChar"/>
    <w:uiPriority w:val="99"/>
    <w:rsid w:val="00EC62C6"/>
    <w:pPr>
      <w:pBdr>
        <w:bottom w:val="single" w:sz="4" w:space="31" w:color="66BCDB" w:themeColor="text2"/>
      </w:pBdr>
      <w:spacing w:after="600"/>
    </w:pPr>
  </w:style>
  <w:style w:type="character" w:customStyle="1" w:styleId="Heading6Char">
    <w:name w:val="Heading 6 Char"/>
    <w:basedOn w:val="DefaultParagraphFont"/>
    <w:link w:val="Heading6"/>
    <w:uiPriority w:val="9"/>
    <w:rsid w:val="00EC62C6"/>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EC62C6"/>
    <w:rPr>
      <w:sz w:val="16"/>
      <w:szCs w:val="20"/>
    </w:rPr>
  </w:style>
  <w:style w:type="character" w:customStyle="1" w:styleId="Heading7Char">
    <w:name w:val="Heading 7 Char"/>
    <w:basedOn w:val="DefaultParagraphFont"/>
    <w:link w:val="Heading7"/>
    <w:uiPriority w:val="9"/>
    <w:semiHidden/>
    <w:rsid w:val="00EC62C6"/>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EC62C6"/>
    <w:rPr>
      <w:rFonts w:eastAsiaTheme="majorEastAsia" w:cstheme="majorBidi"/>
      <w:b/>
      <w:sz w:val="18"/>
      <w:szCs w:val="21"/>
    </w:rPr>
  </w:style>
  <w:style w:type="table" w:customStyle="1" w:styleId="ProductivityCommissionTable1">
    <w:name w:val="Productivity Commission Table 1"/>
    <w:basedOn w:val="TableNormal"/>
    <w:uiPriority w:val="99"/>
    <w:rsid w:val="00EC62C6"/>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EC62C6"/>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EC62C6"/>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EC62C6"/>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EC62C6"/>
    <w:pPr>
      <w:spacing w:before="60" w:after="60" w:line="293" w:lineRule="auto"/>
      <w:contextualSpacing/>
    </w:pPr>
    <w:rPr>
      <w:sz w:val="18"/>
    </w:rPr>
  </w:style>
  <w:style w:type="paragraph" w:styleId="TOC1">
    <w:name w:val="toc 1"/>
    <w:basedOn w:val="Normal"/>
    <w:next w:val="BodyText"/>
    <w:autoRedefine/>
    <w:uiPriority w:val="39"/>
    <w:unhideWhenUsed/>
    <w:rsid w:val="00EC62C6"/>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EC62C6"/>
    <w:rPr>
      <w:sz w:val="18"/>
      <w:szCs w:val="20"/>
    </w:rPr>
  </w:style>
  <w:style w:type="character" w:styleId="FootnoteReference">
    <w:name w:val="footnote reference"/>
    <w:basedOn w:val="DefaultParagraphFont"/>
    <w:uiPriority w:val="99"/>
    <w:unhideWhenUsed/>
    <w:rsid w:val="00EC62C6"/>
    <w:rPr>
      <w:vertAlign w:val="superscript"/>
    </w:rPr>
  </w:style>
  <w:style w:type="character" w:styleId="Hyperlink">
    <w:name w:val="Hyperlink"/>
    <w:basedOn w:val="DefaultParagraphFont"/>
    <w:uiPriority w:val="99"/>
    <w:unhideWhenUsed/>
    <w:rsid w:val="00EC62C6"/>
    <w:rPr>
      <w:color w:val="000000" w:themeColor="hyperlink"/>
      <w:u w:val="single"/>
    </w:rPr>
  </w:style>
  <w:style w:type="character" w:styleId="HTMLVariable">
    <w:name w:val="HTML Variable"/>
    <w:basedOn w:val="DefaultParagraphFont"/>
    <w:uiPriority w:val="99"/>
    <w:unhideWhenUsed/>
    <w:rsid w:val="00EC62C6"/>
    <w:rPr>
      <w:i/>
      <w:iCs/>
    </w:rPr>
  </w:style>
  <w:style w:type="paragraph" w:styleId="TOC2">
    <w:name w:val="toc 2"/>
    <w:basedOn w:val="Normal"/>
    <w:next w:val="Normal"/>
    <w:autoRedefine/>
    <w:uiPriority w:val="39"/>
    <w:unhideWhenUsed/>
    <w:rsid w:val="00EC62C6"/>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EC62C6"/>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EC62C6"/>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EC62C6"/>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EC62C6"/>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EC62C6"/>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EC62C6"/>
    <w:rPr>
      <w:sz w:val="20"/>
      <w:szCs w:val="20"/>
    </w:rPr>
  </w:style>
  <w:style w:type="character" w:customStyle="1" w:styleId="Copyrightpage-Heading2Char">
    <w:name w:val="Copyright page-Heading 2 Char"/>
    <w:basedOn w:val="NoSpacingChar"/>
    <w:link w:val="Copyrightpage-Heading2"/>
    <w:uiPriority w:val="19"/>
    <w:rsid w:val="00EC62C6"/>
    <w:rPr>
      <w:b/>
      <w:color w:val="FFFFFF" w:themeColor="background1"/>
      <w:sz w:val="16"/>
      <w:szCs w:val="16"/>
    </w:rPr>
  </w:style>
  <w:style w:type="paragraph" w:customStyle="1" w:styleId="Copyrightpage-Heading">
    <w:name w:val="Copyright page-Heading"/>
    <w:basedOn w:val="Subtitle2"/>
    <w:link w:val="Copyrightpage-HeadingChar"/>
    <w:uiPriority w:val="19"/>
    <w:rsid w:val="00EC62C6"/>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EC62C6"/>
    <w:rPr>
      <w:color w:val="FFFFFF" w:themeColor="background1"/>
      <w:sz w:val="16"/>
      <w:szCs w:val="20"/>
    </w:rPr>
  </w:style>
  <w:style w:type="paragraph" w:customStyle="1" w:styleId="Subtitle4">
    <w:name w:val="Subtitle 4"/>
    <w:basedOn w:val="Copyrightpage-Heading"/>
    <w:link w:val="Subtitle4Char"/>
    <w:uiPriority w:val="39"/>
    <w:rsid w:val="00EC62C6"/>
    <w:pPr>
      <w:spacing w:after="40"/>
    </w:pPr>
    <w:rPr>
      <w:b/>
      <w:sz w:val="16"/>
    </w:rPr>
  </w:style>
  <w:style w:type="character" w:customStyle="1" w:styleId="Copyrightpage-HeadingChar">
    <w:name w:val="Copyright page-Heading Char"/>
    <w:basedOn w:val="Subtitle2Char"/>
    <w:link w:val="Copyrightpage-Heading"/>
    <w:uiPriority w:val="19"/>
    <w:rsid w:val="00EC62C6"/>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EC62C6"/>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EC62C6"/>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EC62C6"/>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EC62C6"/>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EC62C6"/>
    <w:pPr>
      <w:spacing w:line="360" w:lineRule="auto"/>
      <w:jc w:val="right"/>
    </w:pPr>
    <w:rPr>
      <w:sz w:val="16"/>
    </w:rPr>
  </w:style>
  <w:style w:type="paragraph" w:customStyle="1" w:styleId="Letterlogo">
    <w:name w:val="Letter logo"/>
    <w:basedOn w:val="LetterRight"/>
    <w:uiPriority w:val="99"/>
    <w:rsid w:val="00EC62C6"/>
    <w:pPr>
      <w:spacing w:after="320"/>
    </w:pPr>
  </w:style>
  <w:style w:type="character" w:customStyle="1" w:styleId="LetterRightChar">
    <w:name w:val="Letter Right Char"/>
    <w:basedOn w:val="DefaultParagraphFont"/>
    <w:link w:val="LetterRight"/>
    <w:uiPriority w:val="99"/>
    <w:rsid w:val="00EC62C6"/>
    <w:rPr>
      <w:sz w:val="16"/>
      <w:szCs w:val="20"/>
    </w:rPr>
  </w:style>
  <w:style w:type="character" w:styleId="UnresolvedMention">
    <w:name w:val="Unresolved Mention"/>
    <w:basedOn w:val="DefaultParagraphFont"/>
    <w:uiPriority w:val="99"/>
    <w:unhideWhenUsed/>
    <w:rsid w:val="00EC62C6"/>
    <w:rPr>
      <w:color w:val="605E5C"/>
      <w:shd w:val="clear" w:color="auto" w:fill="E1DFDD"/>
    </w:rPr>
  </w:style>
  <w:style w:type="paragraph" w:customStyle="1" w:styleId="LetterRight-NoSpace">
    <w:name w:val="Letter Right-No Space"/>
    <w:basedOn w:val="LetterRight"/>
    <w:uiPriority w:val="99"/>
    <w:rsid w:val="00EC62C6"/>
    <w:pPr>
      <w:spacing w:after="0"/>
    </w:pPr>
  </w:style>
  <w:style w:type="table" w:customStyle="1" w:styleId="Blank">
    <w:name w:val="Blank"/>
    <w:basedOn w:val="TableNormal"/>
    <w:uiPriority w:val="99"/>
    <w:rsid w:val="00EC62C6"/>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EC62C6"/>
    <w:pPr>
      <w:numPr>
        <w:numId w:val="11"/>
      </w:numPr>
      <w:contextualSpacing/>
    </w:pPr>
  </w:style>
  <w:style w:type="paragraph" w:customStyle="1" w:styleId="Coverdate">
    <w:name w:val="Cover date"/>
    <w:basedOn w:val="Normal"/>
    <w:uiPriority w:val="29"/>
    <w:rsid w:val="00EC62C6"/>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EC62C6"/>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EC62C6"/>
    <w:rPr>
      <w:color w:val="FFFFFF" w:themeColor="background1"/>
    </w:rPr>
  </w:style>
  <w:style w:type="paragraph" w:customStyle="1" w:styleId="Copyrightpage-Keylinenotext">
    <w:name w:val="Copyright page-Keyline (no text)"/>
    <w:basedOn w:val="Copyrightpage-Heading2"/>
    <w:uiPriority w:val="19"/>
    <w:rsid w:val="00EC62C6"/>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EC62C6"/>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EC62C6"/>
    <w:rPr>
      <w:b/>
    </w:rPr>
  </w:style>
  <w:style w:type="paragraph" w:customStyle="1" w:styleId="CoverImage">
    <w:name w:val="Cover Image"/>
    <w:basedOn w:val="Normal"/>
    <w:uiPriority w:val="29"/>
    <w:rsid w:val="00EC62C6"/>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EC62C6"/>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EC62C6"/>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EC62C6"/>
    <w:pPr>
      <w:spacing w:before="60"/>
      <w:ind w:left="113" w:right="851"/>
    </w:pPr>
    <w:rPr>
      <w:color w:val="58585B"/>
    </w:rPr>
  </w:style>
  <w:style w:type="numbering" w:customStyle="1" w:styleId="TOCList">
    <w:name w:val="TOC List"/>
    <w:uiPriority w:val="99"/>
    <w:rsid w:val="00EC62C6"/>
    <w:pPr>
      <w:numPr>
        <w:numId w:val="17"/>
      </w:numPr>
    </w:pPr>
  </w:style>
  <w:style w:type="paragraph" w:customStyle="1" w:styleId="Heading1-Section-fullpage">
    <w:name w:val="Heading 1-Section-full page"/>
    <w:basedOn w:val="Heading1-nobackground"/>
    <w:uiPriority w:val="9"/>
    <w:qFormat/>
    <w:rsid w:val="00EC62C6"/>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EC62C6"/>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EC62C6"/>
    <w:pPr>
      <w:keepNext/>
      <w:spacing w:before="240"/>
    </w:pPr>
  </w:style>
  <w:style w:type="paragraph" w:customStyle="1" w:styleId="Source">
    <w:name w:val="Source"/>
    <w:basedOn w:val="Normal"/>
    <w:uiPriority w:val="9"/>
    <w:qFormat/>
    <w:rsid w:val="00EC62C6"/>
    <w:pPr>
      <w:spacing w:before="80" w:after="240" w:line="216" w:lineRule="atLeast"/>
    </w:pPr>
    <w:rPr>
      <w:sz w:val="18"/>
    </w:rPr>
  </w:style>
  <w:style w:type="paragraph" w:customStyle="1" w:styleId="Note">
    <w:name w:val="Note"/>
    <w:basedOn w:val="Source"/>
    <w:uiPriority w:val="9"/>
    <w:qFormat/>
    <w:rsid w:val="00EC62C6"/>
    <w:pPr>
      <w:spacing w:after="20"/>
    </w:pPr>
  </w:style>
  <w:style w:type="numbering" w:customStyle="1" w:styleId="Figure">
    <w:name w:val="Figure"/>
    <w:uiPriority w:val="99"/>
    <w:rsid w:val="00EC62C6"/>
    <w:pPr>
      <w:numPr>
        <w:numId w:val="6"/>
      </w:numPr>
    </w:pPr>
  </w:style>
  <w:style w:type="table" w:customStyle="1" w:styleId="Boxtable">
    <w:name w:val="Box table"/>
    <w:basedOn w:val="Texttable-Paleblue"/>
    <w:uiPriority w:val="99"/>
    <w:rsid w:val="00EC62C6"/>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EC62C6"/>
    <w:pPr>
      <w:numPr>
        <w:numId w:val="4"/>
      </w:numPr>
    </w:pPr>
  </w:style>
  <w:style w:type="paragraph" w:customStyle="1" w:styleId="BoxHeading2">
    <w:name w:val="Box Heading 2"/>
    <w:basedOn w:val="Normal"/>
    <w:next w:val="BodyText"/>
    <w:uiPriority w:val="4"/>
    <w:qFormat/>
    <w:rsid w:val="00EC62C6"/>
    <w:rPr>
      <w:b/>
    </w:rPr>
  </w:style>
  <w:style w:type="table" w:customStyle="1" w:styleId="ProductivityCommissionTable2-Dark">
    <w:name w:val="Productivity Commission Table 2 - Dark"/>
    <w:basedOn w:val="ProductivityCommissionTable2"/>
    <w:uiPriority w:val="99"/>
    <w:rsid w:val="00EC62C6"/>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EC62C6"/>
    <w:rPr>
      <w:i/>
    </w:rPr>
  </w:style>
  <w:style w:type="paragraph" w:customStyle="1" w:styleId="TableHeading">
    <w:name w:val="Table Heading"/>
    <w:basedOn w:val="NoSpacing"/>
    <w:uiPriority w:val="4"/>
    <w:qFormat/>
    <w:rsid w:val="00EC62C6"/>
    <w:pPr>
      <w:spacing w:after="20"/>
      <w:ind w:left="57"/>
    </w:pPr>
    <w:rPr>
      <w:b/>
      <w:color w:val="265A9A" w:themeColor="background2"/>
      <w:sz w:val="18"/>
    </w:rPr>
  </w:style>
  <w:style w:type="paragraph" w:customStyle="1" w:styleId="BodyText-Blue">
    <w:name w:val="Body Text-Blue"/>
    <w:basedOn w:val="BodyText"/>
    <w:link w:val="BodyText-BlueChar"/>
    <w:semiHidden/>
    <w:qFormat/>
    <w:rsid w:val="00EC62C6"/>
    <w:rPr>
      <w:color w:val="265A9A" w:themeColor="background2"/>
    </w:rPr>
  </w:style>
  <w:style w:type="table" w:customStyle="1" w:styleId="Texttable-Keyline">
    <w:name w:val="Text table-Keyline"/>
    <w:basedOn w:val="Texttable-Paleblue"/>
    <w:uiPriority w:val="99"/>
    <w:rsid w:val="00EC62C6"/>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EC62C6"/>
    <w:pPr>
      <w:jc w:val="right"/>
    </w:pPr>
  </w:style>
  <w:style w:type="table" w:customStyle="1" w:styleId="CopyrightPage">
    <w:name w:val="Copyright Page"/>
    <w:basedOn w:val="OverviewPageBannerTableStyle"/>
    <w:uiPriority w:val="99"/>
    <w:rsid w:val="00EC62C6"/>
    <w:rPr>
      <w:color w:val="FFFFFF" w:themeColor="background1"/>
    </w:rPr>
    <w:tblPr>
      <w:tblCellMar>
        <w:top w:w="284" w:type="dxa"/>
        <w:left w:w="284" w:type="dxa"/>
        <w:bottom w:w="284" w:type="dxa"/>
        <w:right w:w="3119" w:type="dxa"/>
      </w:tblCellMar>
    </w:tblPr>
  </w:style>
  <w:style w:type="paragraph" w:customStyle="1" w:styleId="Heading3-noTOC">
    <w:name w:val="Heading 3-no TOC"/>
    <w:basedOn w:val="Heading3"/>
    <w:uiPriority w:val="9"/>
    <w:qFormat/>
    <w:rsid w:val="00EC62C6"/>
    <w:pPr>
      <w:spacing w:line="312" w:lineRule="atLeast"/>
    </w:pPr>
    <w:rPr>
      <w:color w:val="2C9BC2"/>
    </w:rPr>
  </w:style>
  <w:style w:type="paragraph" w:styleId="BodyText">
    <w:name w:val="Body Text"/>
    <w:basedOn w:val="Normal"/>
    <w:link w:val="BodyTextChar"/>
    <w:qFormat/>
    <w:rsid w:val="00EC62C6"/>
  </w:style>
  <w:style w:type="character" w:customStyle="1" w:styleId="BodyTextChar">
    <w:name w:val="Body Text Char"/>
    <w:basedOn w:val="DefaultParagraphFont"/>
    <w:link w:val="BodyText"/>
    <w:rsid w:val="00EC62C6"/>
    <w:rPr>
      <w:sz w:val="20"/>
      <w:szCs w:val="20"/>
    </w:rPr>
  </w:style>
  <w:style w:type="paragraph" w:styleId="List4">
    <w:name w:val="List 4"/>
    <w:basedOn w:val="Normal"/>
    <w:uiPriority w:val="99"/>
    <w:semiHidden/>
    <w:rsid w:val="00EC62C6"/>
    <w:pPr>
      <w:numPr>
        <w:ilvl w:val="3"/>
        <w:numId w:val="9"/>
      </w:numPr>
      <w:contextualSpacing/>
    </w:pPr>
  </w:style>
  <w:style w:type="paragraph" w:styleId="List3">
    <w:name w:val="List 3"/>
    <w:basedOn w:val="Normal"/>
    <w:uiPriority w:val="99"/>
    <w:semiHidden/>
    <w:rsid w:val="00EC62C6"/>
    <w:pPr>
      <w:numPr>
        <w:ilvl w:val="2"/>
        <w:numId w:val="9"/>
      </w:numPr>
      <w:contextualSpacing/>
    </w:pPr>
  </w:style>
  <w:style w:type="paragraph" w:customStyle="1" w:styleId="Heading1-nonumber">
    <w:name w:val="Heading 1-no number"/>
    <w:basedOn w:val="Heading1"/>
    <w:next w:val="BodyText"/>
    <w:uiPriority w:val="9"/>
    <w:qFormat/>
    <w:rsid w:val="00EC62C6"/>
    <w:pPr>
      <w:numPr>
        <w:numId w:val="0"/>
      </w:numPr>
      <w:ind w:left="567"/>
    </w:pPr>
  </w:style>
  <w:style w:type="paragraph" w:customStyle="1" w:styleId="ListAlpha1">
    <w:name w:val="List Alpha 1"/>
    <w:basedOn w:val="Normal"/>
    <w:uiPriority w:val="3"/>
    <w:qFormat/>
    <w:rsid w:val="00EC62C6"/>
    <w:pPr>
      <w:numPr>
        <w:numId w:val="10"/>
      </w:numPr>
      <w:spacing w:before="60"/>
      <w:contextualSpacing/>
    </w:pPr>
  </w:style>
  <w:style w:type="paragraph" w:customStyle="1" w:styleId="ListAlpha2">
    <w:name w:val="List Alpha 2"/>
    <w:basedOn w:val="ListAlpha1"/>
    <w:uiPriority w:val="3"/>
    <w:qFormat/>
    <w:rsid w:val="00EC62C6"/>
    <w:pPr>
      <w:numPr>
        <w:ilvl w:val="1"/>
      </w:numPr>
    </w:pPr>
  </w:style>
  <w:style w:type="paragraph" w:customStyle="1" w:styleId="ListAlpha3">
    <w:name w:val="List Alpha 3"/>
    <w:basedOn w:val="ListAlpha2"/>
    <w:uiPriority w:val="3"/>
    <w:qFormat/>
    <w:rsid w:val="00EC62C6"/>
    <w:pPr>
      <w:numPr>
        <w:ilvl w:val="2"/>
      </w:numPr>
    </w:pPr>
  </w:style>
  <w:style w:type="paragraph" w:customStyle="1" w:styleId="ListAlpha4">
    <w:name w:val="List Alpha 4"/>
    <w:basedOn w:val="ListAlpha3"/>
    <w:uiPriority w:val="3"/>
    <w:semiHidden/>
    <w:qFormat/>
    <w:rsid w:val="00EC62C6"/>
    <w:pPr>
      <w:numPr>
        <w:ilvl w:val="3"/>
      </w:numPr>
    </w:pPr>
  </w:style>
  <w:style w:type="numbering" w:customStyle="1" w:styleId="Alphalist">
    <w:name w:val="Alpha list"/>
    <w:uiPriority w:val="99"/>
    <w:rsid w:val="00EC62C6"/>
    <w:pPr>
      <w:numPr>
        <w:numId w:val="1"/>
      </w:numPr>
    </w:pPr>
  </w:style>
  <w:style w:type="paragraph" w:customStyle="1" w:styleId="KeyPoints-Bold">
    <w:name w:val="Key Points-Bold"/>
    <w:basedOn w:val="Normal"/>
    <w:uiPriority w:val="10"/>
    <w:qFormat/>
    <w:rsid w:val="00EC62C6"/>
    <w:pPr>
      <w:spacing w:before="40" w:after="60" w:line="274" w:lineRule="atLeast"/>
    </w:pPr>
    <w:rPr>
      <w:b/>
      <w:sz w:val="18"/>
    </w:rPr>
  </w:style>
  <w:style w:type="paragraph" w:customStyle="1" w:styleId="Copyrightpage-BodyBold">
    <w:name w:val="Copyright page-Body Bold"/>
    <w:basedOn w:val="Copyrightpage-BodyText"/>
    <w:uiPriority w:val="19"/>
    <w:rsid w:val="00EC62C6"/>
    <w:rPr>
      <w:b/>
    </w:rPr>
  </w:style>
  <w:style w:type="paragraph" w:customStyle="1" w:styleId="KeyPoints-Bullet">
    <w:name w:val="Key Points-Bullet"/>
    <w:basedOn w:val="ListBullet"/>
    <w:uiPriority w:val="10"/>
    <w:qFormat/>
    <w:rsid w:val="00EC62C6"/>
    <w:pPr>
      <w:spacing w:after="60" w:line="274" w:lineRule="atLeast"/>
    </w:pPr>
    <w:rPr>
      <w:sz w:val="18"/>
    </w:rPr>
  </w:style>
  <w:style w:type="paragraph" w:customStyle="1" w:styleId="BodyText-Grey">
    <w:name w:val="Body Text-Grey"/>
    <w:basedOn w:val="BodyText"/>
    <w:link w:val="BodyText-GreyChar"/>
    <w:semiHidden/>
    <w:qFormat/>
    <w:rsid w:val="00EC62C6"/>
    <w:rPr>
      <w:color w:val="58585B"/>
    </w:rPr>
  </w:style>
  <w:style w:type="character" w:customStyle="1" w:styleId="BodyText-GreyChar">
    <w:name w:val="Body Text-Grey Char"/>
    <w:basedOn w:val="BodyTextChar"/>
    <w:link w:val="BodyText-Grey"/>
    <w:semiHidden/>
    <w:rsid w:val="00EC62C6"/>
    <w:rPr>
      <w:color w:val="58585B"/>
      <w:sz w:val="20"/>
      <w:szCs w:val="20"/>
    </w:rPr>
  </w:style>
  <w:style w:type="paragraph" w:styleId="BalloonText">
    <w:name w:val="Balloon Text"/>
    <w:basedOn w:val="Normal"/>
    <w:link w:val="BalloonTextChar"/>
    <w:uiPriority w:val="99"/>
    <w:semiHidden/>
    <w:unhideWhenUsed/>
    <w:rsid w:val="00EC62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2C6"/>
    <w:rPr>
      <w:rFonts w:ascii="Segoe UI" w:hAnsi="Segoe UI" w:cs="Segoe UI"/>
      <w:sz w:val="18"/>
      <w:szCs w:val="18"/>
    </w:rPr>
  </w:style>
  <w:style w:type="character" w:styleId="CommentReference">
    <w:name w:val="annotation reference"/>
    <w:basedOn w:val="DefaultParagraphFont"/>
    <w:uiPriority w:val="99"/>
    <w:semiHidden/>
    <w:unhideWhenUsed/>
    <w:rsid w:val="00EC62C6"/>
    <w:rPr>
      <w:sz w:val="16"/>
      <w:szCs w:val="16"/>
    </w:rPr>
  </w:style>
  <w:style w:type="paragraph" w:styleId="CommentText">
    <w:name w:val="annotation text"/>
    <w:basedOn w:val="Normal"/>
    <w:link w:val="CommentTextChar"/>
    <w:uiPriority w:val="99"/>
    <w:unhideWhenUsed/>
    <w:rsid w:val="00EC62C6"/>
    <w:pPr>
      <w:spacing w:line="240" w:lineRule="auto"/>
    </w:pPr>
  </w:style>
  <w:style w:type="character" w:customStyle="1" w:styleId="CommentTextChar">
    <w:name w:val="Comment Text Char"/>
    <w:basedOn w:val="DefaultParagraphFont"/>
    <w:link w:val="CommentText"/>
    <w:uiPriority w:val="99"/>
    <w:rsid w:val="00EC62C6"/>
    <w:rPr>
      <w:sz w:val="20"/>
      <w:szCs w:val="20"/>
    </w:rPr>
  </w:style>
  <w:style w:type="paragraph" w:styleId="CommentSubject">
    <w:name w:val="annotation subject"/>
    <w:basedOn w:val="CommentText"/>
    <w:next w:val="CommentText"/>
    <w:link w:val="CommentSubjectChar"/>
    <w:uiPriority w:val="99"/>
    <w:semiHidden/>
    <w:unhideWhenUsed/>
    <w:rsid w:val="00EC62C6"/>
    <w:rPr>
      <w:b/>
      <w:bCs/>
    </w:rPr>
  </w:style>
  <w:style w:type="character" w:customStyle="1" w:styleId="CommentSubjectChar">
    <w:name w:val="Comment Subject Char"/>
    <w:basedOn w:val="CommentTextChar"/>
    <w:link w:val="CommentSubject"/>
    <w:uiPriority w:val="99"/>
    <w:semiHidden/>
    <w:rsid w:val="00EC62C6"/>
    <w:rPr>
      <w:b/>
      <w:bCs/>
      <w:sz w:val="20"/>
      <w:szCs w:val="20"/>
    </w:rPr>
  </w:style>
  <w:style w:type="character" w:customStyle="1" w:styleId="ColourBlue">
    <w:name w:val="Colour Blue"/>
    <w:basedOn w:val="DefaultParagraphFont"/>
    <w:uiPriority w:val="22"/>
    <w:qFormat/>
    <w:rsid w:val="00EC62C6"/>
    <w:rPr>
      <w:color w:val="66BCDB" w:themeColor="text2"/>
    </w:rPr>
  </w:style>
  <w:style w:type="character" w:customStyle="1" w:styleId="ColourDarkBlue">
    <w:name w:val="Colour Dark Blue"/>
    <w:basedOn w:val="ColourBlue"/>
    <w:uiPriority w:val="22"/>
    <w:qFormat/>
    <w:rsid w:val="00EC62C6"/>
    <w:rPr>
      <w:color w:val="265A9A" w:themeColor="background2"/>
    </w:rPr>
  </w:style>
  <w:style w:type="paragraph" w:customStyle="1" w:styleId="BodyText-Beforebullet">
    <w:name w:val="Body Text-Before bullet"/>
    <w:basedOn w:val="BodyText"/>
    <w:link w:val="BodyText-BeforebulletChar"/>
    <w:semiHidden/>
    <w:unhideWhenUsed/>
    <w:rsid w:val="00EC62C6"/>
    <w:pPr>
      <w:spacing w:after="20"/>
    </w:pPr>
  </w:style>
  <w:style w:type="paragraph" w:customStyle="1" w:styleId="PullQuote">
    <w:name w:val="Pull Quote"/>
    <w:basedOn w:val="BodyText"/>
    <w:next w:val="BodyText"/>
    <w:uiPriority w:val="10"/>
    <w:qFormat/>
    <w:rsid w:val="00EC62C6"/>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EC62C6"/>
    <w:rPr>
      <w:sz w:val="20"/>
      <w:szCs w:val="20"/>
    </w:rPr>
  </w:style>
  <w:style w:type="paragraph" w:customStyle="1" w:styleId="TableBodyHeading">
    <w:name w:val="Table Body Heading"/>
    <w:basedOn w:val="NoSpacing"/>
    <w:uiPriority w:val="4"/>
    <w:qFormat/>
    <w:rsid w:val="005A7E78"/>
    <w:pPr>
      <w:spacing w:after="20"/>
      <w:ind w:left="57"/>
    </w:pPr>
    <w:rPr>
      <w:b/>
      <w:color w:val="265A9A" w:themeColor="background2"/>
      <w:sz w:val="18"/>
    </w:rPr>
  </w:style>
  <w:style w:type="paragraph" w:customStyle="1" w:styleId="TableBody">
    <w:name w:val="Table Body"/>
    <w:basedOn w:val="NoSpacing"/>
    <w:uiPriority w:val="4"/>
    <w:qFormat/>
    <w:rsid w:val="00EC62C6"/>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EC62C6"/>
    <w:pPr>
      <w:spacing w:before="60"/>
      <w:jc w:val="right"/>
    </w:pPr>
  </w:style>
  <w:style w:type="paragraph" w:customStyle="1" w:styleId="FigureTableSubheading">
    <w:name w:val="Figure/Table Subheading"/>
    <w:basedOn w:val="FigureTableHeading"/>
    <w:uiPriority w:val="4"/>
    <w:qFormat/>
    <w:rsid w:val="00EC62C6"/>
    <w:pPr>
      <w:spacing w:before="40"/>
    </w:pPr>
    <w:rPr>
      <w:color w:val="58585B"/>
    </w:rPr>
  </w:style>
  <w:style w:type="table" w:customStyle="1" w:styleId="TextTable-Grey">
    <w:name w:val="Text Table-Grey"/>
    <w:basedOn w:val="Texttable-Paleblue"/>
    <w:uiPriority w:val="99"/>
    <w:rsid w:val="00EC62C6"/>
    <w:rPr>
      <w:color w:val="265A9A" w:themeColor="background2"/>
    </w:rPr>
    <w:tblPr/>
    <w:tcPr>
      <w:shd w:val="clear" w:color="auto" w:fill="F2F2F2"/>
    </w:tcPr>
  </w:style>
  <w:style w:type="character" w:customStyle="1" w:styleId="BodyText-BlueChar">
    <w:name w:val="Body Text-Blue Char"/>
    <w:basedOn w:val="BodyTextChar"/>
    <w:link w:val="BodyText-Blue"/>
    <w:semiHidden/>
    <w:rsid w:val="00EC62C6"/>
    <w:rPr>
      <w:color w:val="265A9A" w:themeColor="background2"/>
      <w:sz w:val="20"/>
      <w:szCs w:val="20"/>
    </w:rPr>
  </w:style>
  <w:style w:type="paragraph" w:customStyle="1" w:styleId="Heading3-nonumber">
    <w:name w:val="Heading 3-no number"/>
    <w:basedOn w:val="Heading3"/>
    <w:uiPriority w:val="9"/>
    <w:semiHidden/>
    <w:qFormat/>
    <w:rsid w:val="00EC62C6"/>
  </w:style>
  <w:style w:type="paragraph" w:customStyle="1" w:styleId="Heading1-nobackground">
    <w:name w:val="Heading 1-no background"/>
    <w:basedOn w:val="Heading1"/>
    <w:next w:val="BodyText"/>
    <w:uiPriority w:val="9"/>
    <w:qFormat/>
    <w:rsid w:val="00EC62C6"/>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EC62C6"/>
    <w:rPr>
      <w:color w:val="58585B"/>
      <w:sz w:val="20"/>
      <w:szCs w:val="20"/>
    </w:rPr>
  </w:style>
  <w:style w:type="paragraph" w:customStyle="1" w:styleId="TableHeading-numbered">
    <w:name w:val="Table Heading-numbered"/>
    <w:basedOn w:val="Normal"/>
    <w:semiHidden/>
    <w:qFormat/>
    <w:rsid w:val="00EC62C6"/>
    <w:pPr>
      <w:numPr>
        <w:numId w:val="16"/>
      </w:numPr>
      <w:spacing w:before="60"/>
      <w:contextualSpacing/>
    </w:pPr>
    <w:rPr>
      <w:b/>
      <w:color w:val="265A9A" w:themeColor="background2"/>
    </w:rPr>
  </w:style>
  <w:style w:type="numbering" w:customStyle="1" w:styleId="TableList">
    <w:name w:val="TableList"/>
    <w:uiPriority w:val="99"/>
    <w:rsid w:val="00EC62C6"/>
    <w:pPr>
      <w:numPr>
        <w:numId w:val="16"/>
      </w:numPr>
    </w:pPr>
  </w:style>
  <w:style w:type="paragraph" w:customStyle="1" w:styleId="Footer-right">
    <w:name w:val="Footer-right"/>
    <w:basedOn w:val="Footer"/>
    <w:uiPriority w:val="11"/>
    <w:rsid w:val="00EC62C6"/>
    <w:pPr>
      <w:jc w:val="right"/>
    </w:pPr>
    <w:rPr>
      <w:szCs w:val="24"/>
    </w:rPr>
  </w:style>
  <w:style w:type="paragraph" w:customStyle="1" w:styleId="Heading2-nonumber">
    <w:name w:val="Heading 2-no number"/>
    <w:basedOn w:val="Heading2"/>
    <w:uiPriority w:val="9"/>
    <w:qFormat/>
    <w:rsid w:val="00EC62C6"/>
    <w:pPr>
      <w:numPr>
        <w:ilvl w:val="0"/>
        <w:numId w:val="0"/>
      </w:numPr>
    </w:pPr>
  </w:style>
  <w:style w:type="paragraph" w:customStyle="1" w:styleId="Heading-Appendix">
    <w:name w:val="Heading-Appendix"/>
    <w:basedOn w:val="Heading1-nonumber"/>
    <w:next w:val="BodyText"/>
    <w:uiPriority w:val="9"/>
    <w:qFormat/>
    <w:rsid w:val="00EC62C6"/>
    <w:pPr>
      <w:numPr>
        <w:numId w:val="7"/>
      </w:numPr>
    </w:pPr>
  </w:style>
  <w:style w:type="numbering" w:customStyle="1" w:styleId="AppendixHeading">
    <w:name w:val="AppendixHeading"/>
    <w:uiPriority w:val="99"/>
    <w:rsid w:val="00EC62C6"/>
    <w:pPr>
      <w:numPr>
        <w:numId w:val="3"/>
      </w:numPr>
    </w:pPr>
  </w:style>
  <w:style w:type="paragraph" w:customStyle="1" w:styleId="DraftingNote">
    <w:name w:val="Drafting Note"/>
    <w:basedOn w:val="BodyText"/>
    <w:link w:val="DraftingNoteChar"/>
    <w:qFormat/>
    <w:rsid w:val="00EC62C6"/>
    <w:pPr>
      <w:contextualSpacing/>
    </w:pPr>
    <w:rPr>
      <w:color w:val="A22D2B"/>
      <w:sz w:val="24"/>
      <w:u w:val="dotted"/>
    </w:rPr>
  </w:style>
  <w:style w:type="character" w:customStyle="1" w:styleId="DraftingNoteChar">
    <w:name w:val="Drafting Note Char"/>
    <w:basedOn w:val="BodyTextChar"/>
    <w:link w:val="DraftingNote"/>
    <w:rsid w:val="00EC62C6"/>
    <w:rPr>
      <w:color w:val="A22D2B"/>
      <w:sz w:val="24"/>
      <w:szCs w:val="20"/>
      <w:u w:val="dotted"/>
    </w:rPr>
  </w:style>
  <w:style w:type="paragraph" w:customStyle="1" w:styleId="BoxHeading1">
    <w:name w:val="Box Heading 1"/>
    <w:basedOn w:val="FigureTableHeading"/>
    <w:next w:val="BodyText"/>
    <w:uiPriority w:val="4"/>
    <w:qFormat/>
    <w:rsid w:val="00EC62C6"/>
    <w:pPr>
      <w:spacing w:after="0"/>
    </w:pPr>
  </w:style>
  <w:style w:type="character" w:styleId="Emphasis">
    <w:name w:val="Emphasis"/>
    <w:basedOn w:val="DefaultParagraphFont"/>
    <w:uiPriority w:val="22"/>
    <w:qFormat/>
    <w:rsid w:val="00EC62C6"/>
    <w:rPr>
      <w:i/>
      <w:iCs/>
    </w:rPr>
  </w:style>
  <w:style w:type="paragraph" w:customStyle="1" w:styleId="Reference">
    <w:name w:val="Reference"/>
    <w:basedOn w:val="BodyText"/>
    <w:qFormat/>
    <w:rsid w:val="00EC62C6"/>
    <w:pPr>
      <w:spacing w:before="0" w:after="60" w:line="200" w:lineRule="exact"/>
    </w:pPr>
    <w:rPr>
      <w:sz w:val="16"/>
    </w:rPr>
  </w:style>
  <w:style w:type="paragraph" w:customStyle="1" w:styleId="Keypoints-heading">
    <w:name w:val="Key points-heading"/>
    <w:basedOn w:val="Heading3"/>
    <w:uiPriority w:val="10"/>
    <w:qFormat/>
    <w:rsid w:val="00EC62C6"/>
    <w:rPr>
      <w:color w:val="auto"/>
    </w:rPr>
  </w:style>
  <w:style w:type="paragraph" w:customStyle="1" w:styleId="Heading2-Appendix">
    <w:name w:val="Heading 2-Appendix"/>
    <w:basedOn w:val="Heading2-nonumber"/>
    <w:next w:val="Normal"/>
    <w:uiPriority w:val="10"/>
    <w:qFormat/>
    <w:rsid w:val="00EC62C6"/>
    <w:pPr>
      <w:numPr>
        <w:ilvl w:val="1"/>
        <w:numId w:val="7"/>
      </w:numPr>
    </w:pPr>
  </w:style>
  <w:style w:type="numbering" w:customStyle="1" w:styleId="AppendixHeadingList">
    <w:name w:val="Appendix Heading List"/>
    <w:uiPriority w:val="99"/>
    <w:rsid w:val="00EC62C6"/>
    <w:pPr>
      <w:numPr>
        <w:numId w:val="2"/>
      </w:numPr>
    </w:pPr>
  </w:style>
  <w:style w:type="paragraph" w:customStyle="1" w:styleId="Space">
    <w:name w:val="Space"/>
    <w:basedOn w:val="BodyText"/>
    <w:uiPriority w:val="1"/>
    <w:rsid w:val="00EC62C6"/>
    <w:pPr>
      <w:spacing w:before="0" w:after="0"/>
    </w:pPr>
  </w:style>
  <w:style w:type="paragraph" w:customStyle="1" w:styleId="QuoteBullet">
    <w:name w:val="Quote Bullet"/>
    <w:basedOn w:val="ListBullet"/>
    <w:link w:val="QuoteBulletChar"/>
    <w:uiPriority w:val="1"/>
    <w:qFormat/>
    <w:rsid w:val="00EC62C6"/>
    <w:pPr>
      <w:spacing w:before="60"/>
      <w:ind w:left="340" w:right="851"/>
    </w:pPr>
    <w:rPr>
      <w:color w:val="58585B"/>
    </w:rPr>
  </w:style>
  <w:style w:type="character" w:customStyle="1" w:styleId="ListBulletChar">
    <w:name w:val="List Bullet Char"/>
    <w:basedOn w:val="DefaultParagraphFont"/>
    <w:link w:val="ListBullet"/>
    <w:uiPriority w:val="1"/>
    <w:rsid w:val="00737C62"/>
    <w:rPr>
      <w:sz w:val="20"/>
      <w:szCs w:val="20"/>
    </w:rPr>
  </w:style>
  <w:style w:type="character" w:customStyle="1" w:styleId="QuoteBulletChar">
    <w:name w:val="Quote Bullet Char"/>
    <w:basedOn w:val="ListBulletChar"/>
    <w:link w:val="QuoteBullet"/>
    <w:uiPriority w:val="1"/>
    <w:rsid w:val="00EC62C6"/>
    <w:rPr>
      <w:color w:val="58585B"/>
      <w:sz w:val="20"/>
      <w:szCs w:val="20"/>
    </w:rPr>
  </w:style>
  <w:style w:type="paragraph" w:customStyle="1" w:styleId="Figurecharttitle">
    <w:name w:val="Figure chart title"/>
    <w:basedOn w:val="BodyText"/>
    <w:uiPriority w:val="10"/>
    <w:qFormat/>
    <w:rsid w:val="00EC62C6"/>
    <w:pPr>
      <w:spacing w:before="0" w:after="0"/>
      <w:ind w:left="284" w:hanging="284"/>
    </w:pPr>
    <w:rPr>
      <w:sz w:val="18"/>
      <w:szCs w:val="18"/>
    </w:rPr>
  </w:style>
  <w:style w:type="paragraph" w:customStyle="1" w:styleId="CoverdisclaimerwhiteCover">
    <w:name w:val="Cover – disclaimer (white) (Cover)"/>
    <w:basedOn w:val="Normal"/>
    <w:uiPriority w:val="99"/>
    <w:rsid w:val="0049695F"/>
    <w:pPr>
      <w:tabs>
        <w:tab w:val="left" w:pos="170"/>
        <w:tab w:val="left" w:pos="6236"/>
      </w:tabs>
      <w:suppressAutoHyphens/>
      <w:autoSpaceDE w:val="0"/>
      <w:autoSpaceDN w:val="0"/>
      <w:adjustRightInd w:val="0"/>
      <w:spacing w:before="0" w:after="0" w:line="288" w:lineRule="auto"/>
      <w:textAlignment w:val="center"/>
    </w:pPr>
    <w:rPr>
      <w:rFonts w:ascii="Arial" w:hAnsi="Arial" w:cs="Arial"/>
      <w:color w:val="FFFFFF"/>
      <w:sz w:val="14"/>
      <w:szCs w:val="14"/>
      <w:lang w:val="en-US"/>
    </w:rPr>
  </w:style>
  <w:style w:type="paragraph" w:customStyle="1" w:styleId="PullQuoteNoSpacing">
    <w:name w:val="Pull Quote No Spacing"/>
    <w:basedOn w:val="NoSpacing"/>
    <w:link w:val="PullQuoteNoSpacingChar"/>
    <w:uiPriority w:val="10"/>
    <w:qFormat/>
    <w:rsid w:val="00EC62C6"/>
    <w:pPr>
      <w:spacing w:line="160" w:lineRule="exact"/>
    </w:pPr>
  </w:style>
  <w:style w:type="character" w:customStyle="1" w:styleId="PullQuoteNoSpacingChar">
    <w:name w:val="Pull Quote No Spacing Char"/>
    <w:basedOn w:val="NoSpacingChar"/>
    <w:link w:val="PullQuoteNoSpacing"/>
    <w:uiPriority w:val="10"/>
    <w:rsid w:val="00EC62C6"/>
    <w:rPr>
      <w:sz w:val="20"/>
      <w:szCs w:val="20"/>
    </w:rPr>
  </w:style>
  <w:style w:type="paragraph" w:customStyle="1" w:styleId="PullQuote-Indigenous">
    <w:name w:val="Pull Quote-Indigenous"/>
    <w:basedOn w:val="PullQuote"/>
    <w:uiPriority w:val="10"/>
    <w:qFormat/>
    <w:rsid w:val="00EC62C6"/>
    <w:pPr>
      <w:ind w:right="680"/>
    </w:pPr>
    <w:rPr>
      <w:rFonts w:ascii="Arial" w:hAnsi="Arial" w:cs="Arial"/>
      <w:color w:val="auto"/>
      <w:spacing w:val="6"/>
      <w:sz w:val="22"/>
      <w:szCs w:val="22"/>
    </w:rPr>
  </w:style>
  <w:style w:type="paragraph" w:customStyle="1" w:styleId="TableListBullet">
    <w:name w:val="Table List Bullet"/>
    <w:basedOn w:val="ListBullet"/>
    <w:uiPriority w:val="10"/>
    <w:qFormat/>
    <w:rsid w:val="00EC62C6"/>
    <w:pPr>
      <w:spacing w:before="0" w:after="20"/>
      <w:ind w:left="170" w:hanging="113"/>
    </w:pPr>
  </w:style>
  <w:style w:type="character" w:styleId="Mention">
    <w:name w:val="Mention"/>
    <w:basedOn w:val="DefaultParagraphFont"/>
    <w:uiPriority w:val="99"/>
    <w:unhideWhenUsed/>
    <w:rsid w:val="002E7954"/>
    <w:rPr>
      <w:color w:val="2B579A"/>
      <w:shd w:val="clear" w:color="auto" w:fill="E1DFDD"/>
    </w:rPr>
  </w:style>
  <w:style w:type="table" w:styleId="PlainTable1">
    <w:name w:val="Plain Table 1"/>
    <w:basedOn w:val="TableNormal"/>
    <w:uiPriority w:val="41"/>
    <w:rsid w:val="00283A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283A72"/>
    <w:rPr>
      <w:color w:val="BFBFBF" w:themeColor="followedHyperlink"/>
      <w:u w:val="single"/>
    </w:rPr>
  </w:style>
  <w:style w:type="numbering" w:customStyle="1" w:styleId="Numbering1">
    <w:name w:val="Numbering1"/>
    <w:uiPriority w:val="99"/>
    <w:rsid w:val="00283A72"/>
  </w:style>
  <w:style w:type="numbering" w:customStyle="1" w:styleId="Numbering2">
    <w:name w:val="Numbering2"/>
    <w:uiPriority w:val="99"/>
    <w:rsid w:val="00283A72"/>
  </w:style>
  <w:style w:type="numbering" w:customStyle="1" w:styleId="Numbering3">
    <w:name w:val="Numbering3"/>
    <w:uiPriority w:val="99"/>
    <w:rsid w:val="00283A72"/>
  </w:style>
  <w:style w:type="character" w:styleId="EndnoteReference">
    <w:name w:val="endnote reference"/>
    <w:basedOn w:val="DefaultParagraphFont"/>
    <w:uiPriority w:val="99"/>
    <w:semiHidden/>
    <w:unhideWhenUsed/>
    <w:rsid w:val="00283A72"/>
    <w:rPr>
      <w:vertAlign w:val="superscript"/>
    </w:rPr>
  </w:style>
  <w:style w:type="paragraph" w:styleId="Bibliography">
    <w:name w:val="Bibliography"/>
    <w:basedOn w:val="Normal"/>
    <w:next w:val="Normal"/>
    <w:uiPriority w:val="37"/>
    <w:unhideWhenUsed/>
    <w:rsid w:val="00283A72"/>
    <w:pPr>
      <w:spacing w:after="240" w:line="240" w:lineRule="atLeast"/>
      <w:ind w:left="720" w:hanging="720"/>
    </w:pPr>
  </w:style>
  <w:style w:type="paragraph" w:styleId="EndnoteText">
    <w:name w:val="endnote text"/>
    <w:basedOn w:val="Normal"/>
    <w:link w:val="EndnoteTextChar"/>
    <w:uiPriority w:val="99"/>
    <w:semiHidden/>
    <w:unhideWhenUsed/>
    <w:rsid w:val="00CB4827"/>
    <w:pPr>
      <w:spacing w:before="0" w:after="0" w:line="240" w:lineRule="auto"/>
    </w:pPr>
  </w:style>
  <w:style w:type="character" w:customStyle="1" w:styleId="EndnoteTextChar">
    <w:name w:val="Endnote Text Char"/>
    <w:basedOn w:val="DefaultParagraphFont"/>
    <w:link w:val="EndnoteText"/>
    <w:uiPriority w:val="99"/>
    <w:semiHidden/>
    <w:rsid w:val="00CB4827"/>
    <w:rPr>
      <w:sz w:val="20"/>
      <w:szCs w:val="20"/>
    </w:rPr>
  </w:style>
  <w:style w:type="paragraph" w:customStyle="1" w:styleId="Default">
    <w:name w:val="Default"/>
    <w:rsid w:val="00E04CE5"/>
    <w:pPr>
      <w:autoSpaceDE w:val="0"/>
      <w:autoSpaceDN w:val="0"/>
      <w:adjustRightInd w:val="0"/>
      <w:spacing w:after="0" w:line="240" w:lineRule="auto"/>
    </w:pPr>
    <w:rPr>
      <w:rFonts w:ascii="Open Sans" w:hAnsi="Open Sans" w:cs="Open Sans"/>
      <w:color w:val="000000"/>
      <w:sz w:val="24"/>
      <w:szCs w:val="24"/>
      <w:lang w:bidi="th-TH"/>
    </w:rPr>
  </w:style>
  <w:style w:type="paragraph" w:customStyle="1" w:styleId="OutlineNumbered1">
    <w:name w:val="Outline Numbered 1"/>
    <w:basedOn w:val="Normal"/>
    <w:link w:val="OutlineNumbered1Char"/>
    <w:rsid w:val="00913B3C"/>
    <w:pPr>
      <w:numPr>
        <w:numId w:val="27"/>
      </w:numPr>
      <w:spacing w:before="0" w:after="160" w:line="259" w:lineRule="auto"/>
    </w:pPr>
    <w:rPr>
      <w:sz w:val="24"/>
      <w:szCs w:val="24"/>
    </w:rPr>
  </w:style>
  <w:style w:type="character" w:customStyle="1" w:styleId="OutlineNumbered1Char">
    <w:name w:val="Outline Numbered 1 Char"/>
    <w:basedOn w:val="DefaultParagraphFont"/>
    <w:link w:val="OutlineNumbered1"/>
    <w:rsid w:val="00BB1F00"/>
    <w:rPr>
      <w:sz w:val="24"/>
      <w:szCs w:val="24"/>
    </w:rPr>
  </w:style>
  <w:style w:type="paragraph" w:customStyle="1" w:styleId="OutlineNumbered2">
    <w:name w:val="Outline Numbered 2"/>
    <w:basedOn w:val="Normal"/>
    <w:link w:val="OutlineNumbered2Char"/>
    <w:rsid w:val="00913B3C"/>
    <w:pPr>
      <w:numPr>
        <w:ilvl w:val="1"/>
        <w:numId w:val="27"/>
      </w:numPr>
      <w:spacing w:before="0" w:after="160" w:line="259" w:lineRule="auto"/>
    </w:pPr>
    <w:rPr>
      <w:sz w:val="24"/>
      <w:szCs w:val="24"/>
    </w:rPr>
  </w:style>
  <w:style w:type="character" w:customStyle="1" w:styleId="OutlineNumbered2Char">
    <w:name w:val="Outline Numbered 2 Char"/>
    <w:basedOn w:val="DefaultParagraphFont"/>
    <w:link w:val="OutlineNumbered2"/>
    <w:rsid w:val="00BB1F00"/>
    <w:rPr>
      <w:sz w:val="24"/>
      <w:szCs w:val="24"/>
    </w:rPr>
  </w:style>
  <w:style w:type="paragraph" w:customStyle="1" w:styleId="OutlineNumbered3">
    <w:name w:val="Outline Numbered 3"/>
    <w:basedOn w:val="Normal"/>
    <w:rsid w:val="00913B3C"/>
    <w:pPr>
      <w:numPr>
        <w:ilvl w:val="2"/>
        <w:numId w:val="27"/>
      </w:numPr>
      <w:spacing w:before="0" w:after="160" w:line="259" w:lineRule="auto"/>
    </w:pPr>
    <w:rPr>
      <w:sz w:val="24"/>
      <w:szCs w:val="24"/>
    </w:rPr>
  </w:style>
  <w:style w:type="paragraph" w:customStyle="1" w:styleId="Summarytablebody">
    <w:name w:val="Summary table body"/>
    <w:basedOn w:val="BodyText"/>
    <w:uiPriority w:val="10"/>
    <w:qFormat/>
    <w:rsid w:val="00913B3C"/>
    <w:pPr>
      <w:spacing w:before="0"/>
    </w:pPr>
  </w:style>
  <w:style w:type="character" w:customStyle="1" w:styleId="field">
    <w:name w:val="field"/>
    <w:basedOn w:val="DefaultParagraphFont"/>
    <w:rsid w:val="00913B3C"/>
  </w:style>
  <w:style w:type="paragraph" w:customStyle="1" w:styleId="Summarytableheading">
    <w:name w:val="Summary table heading"/>
    <w:basedOn w:val="Normal"/>
    <w:uiPriority w:val="10"/>
    <w:qFormat/>
    <w:rsid w:val="00913B3C"/>
    <w:pPr>
      <w:spacing w:before="0" w:after="0"/>
      <w:ind w:left="-105"/>
    </w:pPr>
    <w:rPr>
      <w:rFonts w:ascii="Arial" w:eastAsia="Arial" w:hAnsi="Arial" w:cs="Arial"/>
      <w:b/>
      <w:bCs/>
    </w:rPr>
  </w:style>
  <w:style w:type="paragraph" w:customStyle="1" w:styleId="Summarytablebullet">
    <w:name w:val="Summary table bullet"/>
    <w:basedOn w:val="ListBullet"/>
    <w:uiPriority w:val="10"/>
    <w:qFormat/>
    <w:rsid w:val="00913B3C"/>
    <w:pPr>
      <w:numPr>
        <w:numId w:val="0"/>
      </w:numPr>
      <w:ind w:left="1418" w:hanging="851"/>
    </w:pPr>
  </w:style>
  <w:style w:type="character" w:customStyle="1" w:styleId="FootnoteTextChar1">
    <w:name w:val="Footnote Text Char1"/>
    <w:basedOn w:val="DefaultParagraphFont"/>
    <w:uiPriority w:val="99"/>
    <w:semiHidden/>
    <w:rsid w:val="00913B3C"/>
    <w:rPr>
      <w:sz w:val="20"/>
      <w:szCs w:val="20"/>
    </w:rPr>
  </w:style>
  <w:style w:type="table" w:customStyle="1" w:styleId="TableGrid1">
    <w:name w:val="Table Grid1"/>
    <w:basedOn w:val="TableNormal"/>
    <w:next w:val="TableGrid"/>
    <w:uiPriority w:val="39"/>
    <w:rsid w:val="00913B3C"/>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913B3C"/>
    <w:rPr>
      <w:i/>
      <w:iCs/>
      <w:color w:val="597923" w:themeColor="accent1" w:themeShade="BF"/>
    </w:rPr>
  </w:style>
  <w:style w:type="paragraph" w:styleId="IntenseQuote">
    <w:name w:val="Intense Quote"/>
    <w:basedOn w:val="Normal"/>
    <w:next w:val="Normal"/>
    <w:link w:val="IntenseQuoteChar"/>
    <w:uiPriority w:val="30"/>
    <w:qFormat/>
    <w:rsid w:val="00913B3C"/>
    <w:pPr>
      <w:pBdr>
        <w:top w:val="single" w:sz="4" w:space="10" w:color="597923" w:themeColor="accent1" w:themeShade="BF"/>
        <w:bottom w:val="single" w:sz="4" w:space="10" w:color="597923" w:themeColor="accent1" w:themeShade="BF"/>
      </w:pBdr>
      <w:spacing w:before="360" w:after="360" w:line="278" w:lineRule="auto"/>
      <w:ind w:left="864" w:right="864"/>
      <w:jc w:val="center"/>
    </w:pPr>
    <w:rPr>
      <w:i/>
      <w:iCs/>
      <w:color w:val="597923"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13B3C"/>
    <w:rPr>
      <w:i/>
      <w:iCs/>
      <w:color w:val="597923" w:themeColor="accent1" w:themeShade="BF"/>
      <w:kern w:val="2"/>
      <w:sz w:val="24"/>
      <w:szCs w:val="24"/>
      <w14:ligatures w14:val="standardContextual"/>
    </w:rPr>
  </w:style>
  <w:style w:type="character" w:styleId="IntenseReference">
    <w:name w:val="Intense Reference"/>
    <w:basedOn w:val="DefaultParagraphFont"/>
    <w:uiPriority w:val="32"/>
    <w:qFormat/>
    <w:rsid w:val="00913B3C"/>
    <w:rPr>
      <w:b/>
      <w:bCs/>
      <w:smallCaps/>
      <w:color w:val="597923" w:themeColor="accent1" w:themeShade="BF"/>
      <w:spacing w:val="5"/>
    </w:rPr>
  </w:style>
  <w:style w:type="numbering" w:customStyle="1" w:styleId="NoList1">
    <w:name w:val="No List1"/>
    <w:next w:val="NoList"/>
    <w:uiPriority w:val="99"/>
    <w:semiHidden/>
    <w:unhideWhenUsed/>
    <w:rsid w:val="00913B3C"/>
  </w:style>
  <w:style w:type="paragraph" w:styleId="TOC5">
    <w:name w:val="toc 5"/>
    <w:basedOn w:val="Normal"/>
    <w:next w:val="Normal"/>
    <w:autoRedefine/>
    <w:uiPriority w:val="39"/>
    <w:unhideWhenUsed/>
    <w:rsid w:val="00913B3C"/>
    <w:pPr>
      <w:spacing w:before="0" w:after="100" w:line="278" w:lineRule="auto"/>
      <w:ind w:left="960"/>
    </w:pPr>
    <w:rPr>
      <w:rFonts w:eastAsiaTheme="minorEastAsia"/>
      <w:kern w:val="2"/>
      <w:sz w:val="24"/>
      <w:szCs w:val="24"/>
      <w:lang w:eastAsia="en-AU"/>
      <w14:ligatures w14:val="standardContextual"/>
    </w:rPr>
  </w:style>
  <w:style w:type="paragraph" w:styleId="TOC6">
    <w:name w:val="toc 6"/>
    <w:basedOn w:val="Normal"/>
    <w:next w:val="Normal"/>
    <w:autoRedefine/>
    <w:uiPriority w:val="39"/>
    <w:unhideWhenUsed/>
    <w:rsid w:val="00913B3C"/>
    <w:pPr>
      <w:spacing w:before="0" w:after="100" w:line="278" w:lineRule="auto"/>
      <w:ind w:left="1200"/>
    </w:pPr>
    <w:rPr>
      <w:rFonts w:eastAsiaTheme="minorEastAsia"/>
      <w:kern w:val="2"/>
      <w:sz w:val="24"/>
      <w:szCs w:val="24"/>
      <w:lang w:eastAsia="en-AU"/>
      <w14:ligatures w14:val="standardContextual"/>
    </w:rPr>
  </w:style>
  <w:style w:type="paragraph" w:styleId="TOC7">
    <w:name w:val="toc 7"/>
    <w:basedOn w:val="Normal"/>
    <w:next w:val="Normal"/>
    <w:autoRedefine/>
    <w:uiPriority w:val="39"/>
    <w:unhideWhenUsed/>
    <w:rsid w:val="00913B3C"/>
    <w:pPr>
      <w:spacing w:before="0" w:after="100" w:line="278" w:lineRule="auto"/>
      <w:ind w:left="1440"/>
    </w:pPr>
    <w:rPr>
      <w:rFonts w:eastAsiaTheme="minorEastAsia"/>
      <w:kern w:val="2"/>
      <w:sz w:val="24"/>
      <w:szCs w:val="24"/>
      <w:lang w:eastAsia="en-AU"/>
      <w14:ligatures w14:val="standardContextual"/>
    </w:rPr>
  </w:style>
  <w:style w:type="paragraph" w:styleId="TOC8">
    <w:name w:val="toc 8"/>
    <w:basedOn w:val="Normal"/>
    <w:next w:val="Normal"/>
    <w:autoRedefine/>
    <w:uiPriority w:val="39"/>
    <w:unhideWhenUsed/>
    <w:rsid w:val="00913B3C"/>
    <w:pPr>
      <w:spacing w:before="0" w:after="100" w:line="278" w:lineRule="auto"/>
      <w:ind w:left="1680"/>
    </w:pPr>
    <w:rPr>
      <w:rFonts w:eastAsiaTheme="minorEastAsia"/>
      <w:kern w:val="2"/>
      <w:sz w:val="24"/>
      <w:szCs w:val="24"/>
      <w:lang w:eastAsia="en-AU"/>
      <w14:ligatures w14:val="standardContextual"/>
    </w:rPr>
  </w:style>
  <w:style w:type="paragraph" w:styleId="TOC9">
    <w:name w:val="toc 9"/>
    <w:basedOn w:val="Normal"/>
    <w:next w:val="Normal"/>
    <w:autoRedefine/>
    <w:uiPriority w:val="39"/>
    <w:unhideWhenUsed/>
    <w:rsid w:val="00913B3C"/>
    <w:pPr>
      <w:spacing w:before="0" w:after="100" w:line="278" w:lineRule="auto"/>
      <w:ind w:left="1920"/>
    </w:pPr>
    <w:rPr>
      <w:rFonts w:eastAsiaTheme="minorEastAsia"/>
      <w:kern w:val="2"/>
      <w:sz w:val="24"/>
      <w:szCs w:val="24"/>
      <w:lang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12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header" Target="header3.xml"/><Relationship Id="rId39" Type="http://schemas.openxmlformats.org/officeDocument/2006/relationships/footer" Target="footer6.xml"/><Relationship Id="rId21" Type="http://schemas.openxmlformats.org/officeDocument/2006/relationships/image" Target="media/image4.svg"/><Relationship Id="rId34" Type="http://schemas.openxmlformats.org/officeDocument/2006/relationships/image" Target="media/image6.svg"/><Relationship Id="rId42" Type="http://schemas.openxmlformats.org/officeDocument/2006/relationships/image" Target="media/image9.png"/><Relationship Id="rId47" Type="http://schemas.openxmlformats.org/officeDocument/2006/relationships/header" Target="header11.xml"/><Relationship Id="rId50" Type="http://schemas.openxmlformats.org/officeDocument/2006/relationships/header" Target="header13.xml"/><Relationship Id="rId55"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4.xml"/><Relationship Id="rId11" Type="http://schemas.openxmlformats.org/officeDocument/2006/relationships/webSettings" Target="webSettings.xml"/><Relationship Id="rId24" Type="http://schemas.openxmlformats.org/officeDocument/2006/relationships/hyperlink" Target="http://www.pc.gov.au/inquiries-and-research/heavy-vehicle-reform/" TargetMode="External"/><Relationship Id="rId32" Type="http://schemas.openxmlformats.org/officeDocument/2006/relationships/header" Target="header7.xml"/><Relationship Id="rId37" Type="http://schemas.openxmlformats.org/officeDocument/2006/relationships/header" Target="header8.xml"/><Relationship Id="rId40" Type="http://schemas.openxmlformats.org/officeDocument/2006/relationships/footer" Target="footer7.xml"/><Relationship Id="rId45" Type="http://schemas.openxmlformats.org/officeDocument/2006/relationships/image" Target="media/image12.png"/><Relationship Id="rId53" Type="http://schemas.openxmlformats.org/officeDocument/2006/relationships/footer" Target="footer10.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s://www.pc.gov.au/inquiries-and-research/heavy-vehicle-reform/submissions/" TargetMode="External"/><Relationship Id="rId31" Type="http://schemas.openxmlformats.org/officeDocument/2006/relationships/header" Target="header6.xml"/><Relationship Id="rId44" Type="http://schemas.openxmlformats.org/officeDocument/2006/relationships/image" Target="media/image11.png"/><Relationship Id="rId52"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hyperlink" Target="https://www.pmc.gov.au/government/commonwealth-coat-arms" TargetMode="External"/><Relationship Id="rId27" Type="http://schemas.openxmlformats.org/officeDocument/2006/relationships/footer" Target="footer4.xml"/><Relationship Id="rId30" Type="http://schemas.openxmlformats.org/officeDocument/2006/relationships/header" Target="header5.xml"/><Relationship Id="rId35" Type="http://schemas.openxmlformats.org/officeDocument/2006/relationships/image" Target="media/image7.emf"/><Relationship Id="rId43" Type="http://schemas.openxmlformats.org/officeDocument/2006/relationships/image" Target="media/image10.svg"/><Relationship Id="rId48" Type="http://schemas.openxmlformats.org/officeDocument/2006/relationships/header" Target="header12.xml"/><Relationship Id="rId56"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eader" Target="header14.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3.xml"/><Relationship Id="rId25" Type="http://schemas.openxmlformats.org/officeDocument/2006/relationships/header" Target="header2.xml"/><Relationship Id="rId33" Type="http://schemas.openxmlformats.org/officeDocument/2006/relationships/image" Target="media/image5.png"/><Relationship Id="rId38" Type="http://schemas.openxmlformats.org/officeDocument/2006/relationships/header" Target="header9.xml"/><Relationship Id="rId46" Type="http://schemas.openxmlformats.org/officeDocument/2006/relationships/image" Target="media/image13.svg"/><Relationship Id="rId20" Type="http://schemas.openxmlformats.org/officeDocument/2006/relationships/image" Target="media/image3.png"/><Relationship Id="rId41" Type="http://schemas.openxmlformats.org/officeDocument/2006/relationships/header" Target="header10.xml"/><Relationship Id="rId54"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2.xml"/><Relationship Id="rId23" Type="http://schemas.openxmlformats.org/officeDocument/2006/relationships/hyperlink" Target="mailto:publications@pc.gov.au" TargetMode="External"/><Relationship Id="rId28" Type="http://schemas.openxmlformats.org/officeDocument/2006/relationships/footer" Target="footer5.xml"/><Relationship Id="rId36" Type="http://schemas.openxmlformats.org/officeDocument/2006/relationships/image" Target="media/image8.emf"/><Relationship Id="rId49"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https://pcgov.sharepoint.com/sites/sce/FormServerTemplates/PC-report-template.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4cbeec698ce8aa4957fb9552541bc58d">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560e9ed9d0a3c9caed764c742a51f2ff"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MPWT-2140667901-96746</_dlc_DocId>
    <_dlc_DocIdUrl xmlns="20393cdf-440a-4521-8f19-00ba43423d00">
      <Url>https://pcgov.sharepoint.com/sites/sceteam/_layouts/15/DocIdRedir.aspx?ID=MPWT-2140667901-96746</Url>
      <Description>MPWT-2140667901-96746</Description>
    </_dlc_DocIdUrl>
  </documentManagement>
</p:properties>
</file>

<file path=customXml/item3.xml><?xml version="1.0" encoding="utf-8"?>
<TemplafyFormConfiguration><![CDATA[{"formFields":[],"formDataEntries":[]}]]></TemplafyFormConfiguratio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TemplafyTemplateConfiguration><![CDATA[{"elementsMetadata":[],"transformationConfigurations":[],"templateName":"prelims-study-report","templateDescription":"Prelims for a final study reports","enableDocumentContentUpdater":false,"version":"2.0"}]]></TemplafyTemplateConfiguratio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C8096D3-78F7-43D9-AF5D-2C43A0607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036256-44AD-473E-870D-9342D1E4DDCB}">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3.xml><?xml version="1.0" encoding="utf-8"?>
<ds:datastoreItem xmlns:ds="http://schemas.openxmlformats.org/officeDocument/2006/customXml" ds:itemID="{9897F752-2238-441E-ABA5-DB8C10DEA577}">
  <ds:schemaRefs/>
</ds:datastoreItem>
</file>

<file path=customXml/itemProps4.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5.xml><?xml version="1.0" encoding="utf-8"?>
<ds:datastoreItem xmlns:ds="http://schemas.openxmlformats.org/officeDocument/2006/customXml" ds:itemID="{F61BFAA6-BFDD-4310-B081-78F7EF6B1AA3}">
  <ds:schemaRefs>
    <ds:schemaRef ds:uri="http://schemas.microsoft.com/sharepoint/v3/contenttype/forms"/>
  </ds:schemaRefs>
</ds:datastoreItem>
</file>

<file path=customXml/itemProps6.xml><?xml version="1.0" encoding="utf-8"?>
<ds:datastoreItem xmlns:ds="http://schemas.openxmlformats.org/officeDocument/2006/customXml" ds:itemID="{5CCDCE8C-2FF2-479D-91C1-79A7A7683D3C}">
  <ds:schemaRefs/>
</ds:datastoreItem>
</file>

<file path=customXml/itemProps7.xml><?xml version="1.0" encoding="utf-8"?>
<ds:datastoreItem xmlns:ds="http://schemas.openxmlformats.org/officeDocument/2006/customXml" ds:itemID="{E3A58D5E-EAB9-48EE-ADF5-FF906F5DE30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PC-report-template.dotx</Template>
  <TotalTime>4</TotalTime>
  <Pages>1</Pages>
  <Words>6452</Words>
  <Characters>38847</Characters>
  <Application>Microsoft Office Word</Application>
  <DocSecurity>0</DocSecurity>
  <Lines>706</Lines>
  <Paragraphs>356</Paragraphs>
  <ScaleCrop>false</ScaleCrop>
  <HeadingPairs>
    <vt:vector size="2" baseType="variant">
      <vt:variant>
        <vt:lpstr>Title</vt:lpstr>
      </vt:variant>
      <vt:variant>
        <vt:i4>1</vt:i4>
      </vt:variant>
    </vt:vector>
  </HeadingPairs>
  <TitlesOfParts>
    <vt:vector size="1" baseType="lpstr">
      <vt:lpstr>Overview - Interim report - Impacts of heavy vehicle reform</vt:lpstr>
    </vt:vector>
  </TitlesOfParts>
  <Company>Productivity Commission</Company>
  <LinksUpToDate>false</LinksUpToDate>
  <CharactersWithSpaces>44943</CharactersWithSpaces>
  <SharedDoc>false</SharedDoc>
  <HLinks>
    <vt:vector size="12" baseType="variant">
      <vt:variant>
        <vt:i4>7209067</vt:i4>
      </vt:variant>
      <vt:variant>
        <vt:i4>1113</vt:i4>
      </vt:variant>
      <vt:variant>
        <vt:i4>0</vt:i4>
      </vt:variant>
      <vt:variant>
        <vt:i4>5</vt:i4>
      </vt:variant>
      <vt:variant>
        <vt:lpwstr>https://www.pc.gov.au/inquiries-and-research/heavy-vehicle-reform/submissions/</vt:lpwstr>
      </vt:variant>
      <vt:variant>
        <vt:lpwstr/>
      </vt:variant>
      <vt:variant>
        <vt:i4>7209067</vt:i4>
      </vt:variant>
      <vt:variant>
        <vt:i4>195</vt:i4>
      </vt:variant>
      <vt:variant>
        <vt:i4>0</vt:i4>
      </vt:variant>
      <vt:variant>
        <vt:i4>5</vt:i4>
      </vt:variant>
      <vt:variant>
        <vt:lpwstr>https://www.pc.gov.au/inquiries-and-research/heavy-vehicle-reform/submissions/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 Interim report - Impacts of heavy vehicle reform</dc:title>
  <dc:subject/>
  <dc:creator>Productivity Commission</dc:creator>
  <cp:keywords/>
  <dc:description/>
  <cp:lastModifiedBy>Chris Alston</cp:lastModifiedBy>
  <cp:revision>7</cp:revision>
  <cp:lastPrinted>2026-04-07T03:08:00Z</cp:lastPrinted>
  <dcterms:created xsi:type="dcterms:W3CDTF">2026-04-07T03:04:00Z</dcterms:created>
  <dcterms:modified xsi:type="dcterms:W3CDTF">2026-04-07T03:08:00Z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0x0101006C0B5E815648EF46B6FA6D42F17E5E9F000C963E276195B04F83BC027CFDC94A8D</vt:lpwstr>
  </property>
  <property fmtid="{D5CDD505-2E9C-101B-9397-08002B2CF9AE}" pid="3" name="RevIMBCS">
    <vt:lpwstr>1;#Unclassified|3955eeb1-2d18-4582-aeb2-00144ec3aaf5</vt:lpwstr>
  </property>
  <property fmtid="{D5CDD505-2E9C-101B-9397-08002B2CF9AE}" pid="4" name="MediaServiceImageTags">
    <vt:lpwstr/>
  </property>
  <property fmtid="{D5CDD505-2E9C-101B-9397-08002B2CF9AE}" pid="5" name="ClassificationContentMarkingHeaderShapeIds">
    <vt:lpwstr>23ebc34e,2e323c09,24a4b99f,39ca48f6,665f11c9,5a982299,3cac67c3,3014635b,6738ac42,326e8bee,ed81ea2,69f24521</vt:lpwstr>
  </property>
  <property fmtid="{D5CDD505-2E9C-101B-9397-08002B2CF9AE}" pid="6" name="ClassificationContentMarkingHeaderFontProps">
    <vt:lpwstr>#000000,12,Calibri</vt:lpwstr>
  </property>
  <property fmtid="{D5CDD505-2E9C-101B-9397-08002B2CF9AE}" pid="7" name="ClassificationContentMarkingHeaderText">
    <vt:lpwstr> OFFICIAL</vt:lpwstr>
  </property>
  <property fmtid="{D5CDD505-2E9C-101B-9397-08002B2CF9AE}" pid="8" name="TemplafyTenantId">
    <vt:lpwstr>productivitycommission</vt:lpwstr>
  </property>
  <property fmtid="{D5CDD505-2E9C-101B-9397-08002B2CF9AE}" pid="9" name="TemplafyTemplateId">
    <vt:lpwstr>637734058359382389</vt:lpwstr>
  </property>
  <property fmtid="{D5CDD505-2E9C-101B-9397-08002B2CF9AE}" pid="10" name="TemplafyUserProfileId">
    <vt:lpwstr>637853189818630385</vt:lpwstr>
  </property>
  <property fmtid="{D5CDD505-2E9C-101B-9397-08002B2CF9AE}" pid="11" name="TemplafyFromBlank">
    <vt:bool>false</vt:bool>
  </property>
  <property fmtid="{D5CDD505-2E9C-101B-9397-08002B2CF9AE}" pid="12" name="docLang">
    <vt:lpwstr>en</vt:lpwstr>
  </property>
  <property fmtid="{D5CDD505-2E9C-101B-9397-08002B2CF9AE}" pid="13" name="ZOTERO_PREF_1">
    <vt:lpwstr>&lt;data data-version="3" zotero-version="8.0.4"&gt;&lt;session id="5ATxZoZG"/&gt;&lt;style id="http://www.zotero.org/styles/Productivity-Commission" hasBibliography="1" bibliographyStyleHasBeenSet="0"/&gt;&lt;prefs&gt;&lt;pref name="fieldType" value="Field"/&gt;&lt;pref name="automaticJ</vt:lpwstr>
  </property>
  <property fmtid="{D5CDD505-2E9C-101B-9397-08002B2CF9AE}" pid="14" name="ZOTERO_PREF_2">
    <vt:lpwstr>ournalAbbreviations" value="true"/&gt;&lt;/prefs&gt;&lt;/data&gt;</vt:lpwstr>
  </property>
  <property fmtid="{D5CDD505-2E9C-101B-9397-08002B2CF9AE}" pid="15" name="_dlc_DocIdItemGuid">
    <vt:lpwstr>1b344972-c8cd-496a-80bc-5f57f1f45ae1</vt:lpwstr>
  </property>
  <property fmtid="{D5CDD505-2E9C-101B-9397-08002B2CF9AE}" pid="16" name="MSIP_Label_c1f2b1ce-4212-46db-a901-dd8453f57141_Enabled">
    <vt:lpwstr>true</vt:lpwstr>
  </property>
  <property fmtid="{D5CDD505-2E9C-101B-9397-08002B2CF9AE}" pid="17" name="MSIP_Label_c1f2b1ce-4212-46db-a901-dd8453f57141_SetDate">
    <vt:lpwstr>2026-03-26T01:18:51Z</vt:lpwstr>
  </property>
  <property fmtid="{D5CDD505-2E9C-101B-9397-08002B2CF9AE}" pid="18" name="MSIP_Label_c1f2b1ce-4212-46db-a901-dd8453f57141_Method">
    <vt:lpwstr>Privileged</vt:lpwstr>
  </property>
  <property fmtid="{D5CDD505-2E9C-101B-9397-08002B2CF9AE}" pid="19" name="MSIP_Label_c1f2b1ce-4212-46db-a901-dd8453f57141_Name">
    <vt:lpwstr>Publish</vt:lpwstr>
  </property>
  <property fmtid="{D5CDD505-2E9C-101B-9397-08002B2CF9AE}" pid="20" name="MSIP_Label_c1f2b1ce-4212-46db-a901-dd8453f57141_SiteId">
    <vt:lpwstr>29f9330b-c0fe-4244-830e-ba9f275d6c34</vt:lpwstr>
  </property>
  <property fmtid="{D5CDD505-2E9C-101B-9397-08002B2CF9AE}" pid="21" name="MSIP_Label_c1f2b1ce-4212-46db-a901-dd8453f57141_ActionId">
    <vt:lpwstr>d520c49a-d03c-412e-87b4-6f6e0a501801</vt:lpwstr>
  </property>
  <property fmtid="{D5CDD505-2E9C-101B-9397-08002B2CF9AE}" pid="22" name="MSIP_Label_c1f2b1ce-4212-46db-a901-dd8453f57141_ContentBits">
    <vt:lpwstr>0</vt:lpwstr>
  </property>
  <property fmtid="{D5CDD505-2E9C-101B-9397-08002B2CF9AE}" pid="23" name="MSIP_Label_c1f2b1ce-4212-46db-a901-dd8453f57141_Tag">
    <vt:lpwstr>10, 0, 1, 1</vt:lpwstr>
  </property>
</Properties>
</file>