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98818489" w:displacedByCustomXml="next"/>
    <w:sdt>
      <w:sdtPr>
        <w:id w:val="-228914026"/>
        <w:docPartObj>
          <w:docPartGallery w:val="Cover Pages"/>
          <w:docPartUnique/>
        </w:docPartObj>
      </w:sdtPr>
      <w:sdtContent>
        <w:p w14:paraId="11E88A1A" w14:textId="77777777" w:rsidR="001D696D" w:rsidRDefault="001D696D" w:rsidP="001D696D">
          <w:pPr>
            <w:pStyle w:val="BodyText"/>
            <w:spacing w:after="0"/>
            <w:rPr>
              <w:color w:val="FFFFFF" w:themeColor="background1"/>
            </w:rPr>
          </w:pPr>
        </w:p>
        <w:p w14:paraId="2106D107" w14:textId="33BACFD8" w:rsidR="001D696D" w:rsidRPr="000353F9" w:rsidRDefault="002614DA" w:rsidP="0057763C">
          <w:pPr>
            <w:pStyle w:val="Title"/>
            <w:spacing w:before="0"/>
            <w:ind w:right="1416"/>
            <w:rPr>
              <w:sz w:val="56"/>
            </w:rPr>
          </w:pPr>
          <w:r w:rsidRPr="002614DA">
            <w:rPr>
              <w:rStyle w:val="TitleChar"/>
              <w:rFonts w:ascii="Open Sans Extrabold" w:hAnsi="Open Sans Extrabold" w:cs="Open Sans Extrabold"/>
              <w:sz w:val="56"/>
            </w:rPr>
            <w:t>Improving health outcomes through hospital funding arrangements</w:t>
          </w:r>
        </w:p>
        <w:p w14:paraId="1D8DBB42" w14:textId="5E76D485" w:rsidR="001D696D" w:rsidRPr="007855A9" w:rsidRDefault="00263850" w:rsidP="001D696D">
          <w:pPr>
            <w:pStyle w:val="Coverdate"/>
            <w:framePr w:w="1634" w:wrap="around" w:hAnchor="page" w:x="9157" w:y="15282"/>
            <w:jc w:val="right"/>
            <w:rPr>
              <w:rFonts w:ascii="Open Sans" w:hAnsi="Open Sans" w:cs="Open Sans"/>
              <w:b/>
              <w:bCs/>
              <w:color w:val="FFFFFF" w:themeColor="background1"/>
            </w:rPr>
          </w:pPr>
          <w:r>
            <w:rPr>
              <w:rFonts w:ascii="Open Sans" w:hAnsi="Open Sans" w:cs="Open Sans"/>
              <w:b/>
              <w:bCs/>
              <w:color w:val="FFFFFF" w:themeColor="background1"/>
            </w:rPr>
            <w:t>April</w:t>
          </w:r>
          <w:r w:rsidR="001D696D" w:rsidRPr="007855A9">
            <w:rPr>
              <w:rFonts w:ascii="Open Sans" w:hAnsi="Open Sans" w:cs="Open Sans"/>
              <w:b/>
              <w:bCs/>
              <w:color w:val="FFFFFF" w:themeColor="background1"/>
            </w:rPr>
            <w:t xml:space="preserve"> 202</w:t>
          </w:r>
          <w:r w:rsidR="008F4CCF" w:rsidRPr="007855A9">
            <w:rPr>
              <w:rFonts w:ascii="Open Sans" w:hAnsi="Open Sans" w:cs="Open Sans"/>
              <w:b/>
              <w:bCs/>
              <w:color w:val="FFFFFF" w:themeColor="background1"/>
            </w:rPr>
            <w:t>6</w:t>
          </w:r>
        </w:p>
        <w:p w14:paraId="615591EA" w14:textId="77777777" w:rsidR="001D696D" w:rsidRPr="007855A9" w:rsidRDefault="001D696D" w:rsidP="001D696D">
          <w:pPr>
            <w:pStyle w:val="Subtitle"/>
            <w:rPr>
              <w:rFonts w:ascii="Open Sans Semibold" w:hAnsi="Open Sans Semibold" w:cs="Open Sans Semibold"/>
              <w:szCs w:val="52"/>
            </w:rPr>
          </w:pPr>
          <w:r w:rsidRPr="007855A9">
            <w:rPr>
              <w:rFonts w:ascii="Open Sans Semibold" w:hAnsi="Open Sans Semibold" w:cs="Open Sans Semibold"/>
              <w:szCs w:val="52"/>
            </w:rPr>
            <w:t>Research paper</w:t>
          </w:r>
        </w:p>
        <w:p w14:paraId="2ACBAE07" w14:textId="77777777" w:rsidR="001D696D" w:rsidRDefault="001D696D" w:rsidP="001D696D">
          <w:pPr>
            <w:spacing w:after="160" w:line="259" w:lineRule="auto"/>
          </w:pPr>
        </w:p>
        <w:p w14:paraId="62E00B39" w14:textId="77777777" w:rsidR="001D696D" w:rsidRDefault="001D696D" w:rsidP="001D696D">
          <w:pPr>
            <w:spacing w:after="4080"/>
            <w:jc w:val="center"/>
            <w:sectPr w:rsidR="001D696D" w:rsidSect="001D696D">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7F6FD"/>
            <w:tblLook w:val="04A0" w:firstRow="1" w:lastRow="0" w:firstColumn="1" w:lastColumn="0" w:noHBand="0" w:noVBand="1"/>
          </w:tblPr>
          <w:tblGrid>
            <w:gridCol w:w="9638"/>
          </w:tblGrid>
          <w:tr w:rsidR="001D696D" w:rsidRPr="007D5CEA" w14:paraId="5FFAC44E" w14:textId="77777777" w:rsidTr="00217E71">
            <w:trPr>
              <w:trHeight w:hRule="exact" w:val="12643"/>
            </w:trPr>
            <w:tc>
              <w:tcPr>
                <w:tcW w:w="9638" w:type="dxa"/>
                <w:shd w:val="clear" w:color="auto" w:fill="E7F6FD"/>
                <w:tcMar>
                  <w:top w:w="113" w:type="dxa"/>
                </w:tcMar>
                <w:vAlign w:val="top"/>
              </w:tcPr>
              <w:p w14:paraId="481B6AE4" w14:textId="77777777" w:rsidR="001D696D" w:rsidRPr="001A681E" w:rsidRDefault="001D696D" w:rsidP="00AB62C3">
                <w:pPr>
                  <w:pStyle w:val="Copyrightpage-Heading"/>
                  <w:spacing w:before="240"/>
                  <w:ind w:right="-284"/>
                  <w:rPr>
                    <w:color w:val="auto"/>
                  </w:rPr>
                </w:pPr>
                <w:r w:rsidRPr="000353F9">
                  <w:rPr>
                    <w:rStyle w:val="White"/>
                    <w:color w:val="000000" w:themeColor="text1"/>
                  </w:rPr>
                  <w:lastRenderedPageBreak/>
                  <w:br w:type="page"/>
                </w:r>
                <w:r w:rsidRPr="001A681E">
                  <w:rPr>
                    <w:b/>
                    <w:color w:val="auto"/>
                  </w:rPr>
                  <w:t>Acknowledgement of Country</w:t>
                </w:r>
              </w:p>
              <w:p w14:paraId="5EE076DB" w14:textId="77777777" w:rsidR="001D696D" w:rsidRPr="000049DB" w:rsidRDefault="001D696D" w:rsidP="00AB62C3">
                <w:pPr>
                  <w:pStyle w:val="Copyrightpage-BodyBold"/>
                  <w:ind w:right="-284"/>
                  <w:rPr>
                    <w:rFonts w:ascii="Arial" w:hAnsi="Arial" w:cs="Arial"/>
                    <w:b w:val="0"/>
                    <w:bCs/>
                    <w:color w:val="auto"/>
                    <w:spacing w:val="2"/>
                  </w:rPr>
                </w:pPr>
                <w:r w:rsidRPr="000049DB">
                  <w:rPr>
                    <w:rFonts w:ascii="Arial" w:hAnsi="Arial" w:cs="Arial"/>
                    <w:b w:val="0"/>
                    <w:bCs/>
                    <w:noProof/>
                    <w:color w:val="auto"/>
                  </w:rPr>
                  <w:drawing>
                    <wp:anchor distT="0" distB="0" distL="114300" distR="114300" simplePos="0" relativeHeight="251658240" behindDoc="0" locked="0" layoutInCell="1" allowOverlap="1" wp14:anchorId="6D4CEA12" wp14:editId="4F82A790">
                      <wp:simplePos x="0" y="0"/>
                      <wp:positionH relativeFrom="column">
                        <wp:posOffset>0</wp:posOffset>
                      </wp:positionH>
                      <wp:positionV relativeFrom="paragraph">
                        <wp:posOffset>-36195</wp:posOffset>
                      </wp:positionV>
                      <wp:extent cx="630000" cy="640800"/>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640800"/>
                              </a:xfrm>
                              <a:prstGeom prst="rect">
                                <a:avLst/>
                              </a:prstGeom>
                            </pic:spPr>
                          </pic:pic>
                        </a:graphicData>
                      </a:graphic>
                      <wp14:sizeRelH relativeFrom="margin">
                        <wp14:pctWidth>0</wp14:pctWidth>
                      </wp14:sizeRelH>
                      <wp14:sizeRelV relativeFrom="margin">
                        <wp14:pctHeight>0</wp14:pctHeight>
                      </wp14:sizeRelV>
                    </wp:anchor>
                  </w:drawing>
                </w:r>
                <w:r w:rsidRPr="000049DB">
                  <w:rPr>
                    <w:rFonts w:ascii="Arial" w:hAnsi="Arial"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643C9B14" w14:textId="77777777" w:rsidR="001D696D" w:rsidRPr="00157240" w:rsidRDefault="001D696D" w:rsidP="00AB62C3">
                <w:pPr>
                  <w:pStyle w:val="Copyrightpage-Keylinenotext"/>
                  <w:ind w:right="-284"/>
                  <w:rPr>
                    <w:color w:val="auto"/>
                  </w:rPr>
                </w:pPr>
              </w:p>
              <w:p w14:paraId="04164136" w14:textId="77777777" w:rsidR="001D696D" w:rsidRPr="001A681E" w:rsidRDefault="001D696D" w:rsidP="00AB62C3">
                <w:pPr>
                  <w:pStyle w:val="Copyrightpage-Heading"/>
                  <w:ind w:right="-284"/>
                  <w:rPr>
                    <w:b/>
                    <w:color w:val="auto"/>
                  </w:rPr>
                </w:pPr>
                <w:r w:rsidRPr="001A681E">
                  <w:rPr>
                    <w:b/>
                    <w:color w:val="auto"/>
                  </w:rPr>
                  <w:t>About us</w:t>
                </w:r>
              </w:p>
              <w:p w14:paraId="64D05A28" w14:textId="213297A6" w:rsidR="001D696D" w:rsidRPr="00910D3A" w:rsidRDefault="001D696D" w:rsidP="00AB62C3">
                <w:pPr>
                  <w:pStyle w:val="Copyrightpage-BodyBold"/>
                  <w:rPr>
                    <w:b w:val="0"/>
                    <w:bCs/>
                    <w:color w:val="000000" w:themeColor="text1"/>
                  </w:rPr>
                </w:pPr>
                <w:r w:rsidRPr="00910D3A">
                  <w:rPr>
                    <w:b w:val="0"/>
                    <w:bCs/>
                    <w:color w:val="000000" w:themeColor="text1"/>
                  </w:rPr>
                  <w:t>The P</w:t>
                </w:r>
                <w:r w:rsidR="002F22F0">
                  <w:rPr>
                    <w:b w:val="0"/>
                    <w:bCs/>
                    <w:color w:val="000000" w:themeColor="text1"/>
                  </w:rPr>
                  <w:t>roductivity Commission</w:t>
                </w:r>
                <w:r w:rsidRPr="00910D3A">
                  <w:rPr>
                    <w:b w:val="0"/>
                    <w:bCs/>
                    <w:color w:val="000000" w:themeColor="text1"/>
                  </w:rPr>
                  <w:t xml:space="preserve"> is the Australian Government’s independent research and advisory body on a range of economic, social and environmental issues affecting the welfare of </w:t>
                </w:r>
                <w:r w:rsidR="0085651D">
                  <w:rPr>
                    <w:b w:val="0"/>
                    <w:bCs/>
                    <w:color w:val="000000" w:themeColor="text1"/>
                  </w:rPr>
                  <w:t xml:space="preserve">all </w:t>
                </w:r>
                <w:r w:rsidRPr="00910D3A">
                  <w:rPr>
                    <w:b w:val="0"/>
                    <w:bCs/>
                    <w:color w:val="000000" w:themeColor="text1"/>
                  </w:rPr>
                  <w:t>Australians. Its role, expressed most simply, is to help governments make better policies, in the long-term interest of the Australian community.</w:t>
                </w:r>
              </w:p>
              <w:p w14:paraId="281F8A72" w14:textId="77777777" w:rsidR="001D696D" w:rsidRPr="00910D3A" w:rsidRDefault="001D696D" w:rsidP="00AB62C3">
                <w:pPr>
                  <w:pStyle w:val="Copyrightpage-BodyBold"/>
                  <w:rPr>
                    <w:b w:val="0"/>
                    <w:bCs/>
                    <w:color w:val="000000" w:themeColor="text1"/>
                  </w:rPr>
                </w:pPr>
                <w:r w:rsidRPr="00910D3A">
                  <w:rPr>
                    <w:b w:val="0"/>
                    <w:bCs/>
                    <w:color w:val="000000" w:themeColor="text1"/>
                  </w:rPr>
                  <w:t xml:space="preserve">The PC’s independence is underpinned by an Act of Parliament. Its processes and outputs are open to public scrutiny and are driven by concern for the wellbeing of the </w:t>
                </w:r>
                <w:proofErr w:type="gramStart"/>
                <w:r w:rsidRPr="00910D3A">
                  <w:rPr>
                    <w:b w:val="0"/>
                    <w:bCs/>
                    <w:color w:val="000000" w:themeColor="text1"/>
                  </w:rPr>
                  <w:t>community as a whole</w:t>
                </w:r>
                <w:proofErr w:type="gramEnd"/>
                <w:r w:rsidRPr="00910D3A">
                  <w:rPr>
                    <w:b w:val="0"/>
                    <w:bCs/>
                    <w:color w:val="000000" w:themeColor="text1"/>
                  </w:rPr>
                  <w:t>.</w:t>
                </w:r>
              </w:p>
              <w:p w14:paraId="5D0F100E" w14:textId="3028EB5F" w:rsidR="001D696D" w:rsidRPr="00910D3A" w:rsidRDefault="001D696D" w:rsidP="00AB62C3">
                <w:pPr>
                  <w:pStyle w:val="Copyrightpage-BodyBold"/>
                  <w:rPr>
                    <w:b w:val="0"/>
                    <w:bCs/>
                    <w:color w:val="000000" w:themeColor="text1"/>
                    <w:spacing w:val="-4"/>
                  </w:rPr>
                </w:pPr>
                <w:r w:rsidRPr="00910D3A">
                  <w:rPr>
                    <w:b w:val="0"/>
                    <w:bCs/>
                    <w:color w:val="000000" w:themeColor="text1"/>
                    <w:spacing w:val="-4"/>
                  </w:rPr>
                  <w:t xml:space="preserve">For more information, visit the PC’s website: </w:t>
                </w:r>
                <w:r w:rsidRPr="00441340">
                  <w:rPr>
                    <w:b w:val="0"/>
                    <w:bCs/>
                    <w:color w:val="000000" w:themeColor="text1"/>
                  </w:rPr>
                  <w:t>www.pc.gov.au</w:t>
                </w:r>
              </w:p>
              <w:p w14:paraId="25E7BE5B" w14:textId="77777777" w:rsidR="001D696D" w:rsidRPr="000353F9" w:rsidRDefault="001D696D" w:rsidP="00AB62C3">
                <w:pPr>
                  <w:pStyle w:val="Copyrightpage-Keylinenotext"/>
                  <w:ind w:right="-284"/>
                  <w:rPr>
                    <w:b/>
                    <w:color w:val="000000" w:themeColor="text1"/>
                  </w:rPr>
                </w:pPr>
              </w:p>
              <w:p w14:paraId="467E77A9" w14:textId="08BDBC96" w:rsidR="001D696D" w:rsidRPr="00910D3A" w:rsidRDefault="001D696D" w:rsidP="00AB62C3">
                <w:pPr>
                  <w:pStyle w:val="Copyrightpage-BodyBold"/>
                  <w:rPr>
                    <w:b w:val="0"/>
                    <w:bCs/>
                    <w:color w:val="000000" w:themeColor="text1"/>
                  </w:rPr>
                </w:pPr>
                <w:r w:rsidRPr="00910D3A">
                  <w:rPr>
                    <w:b w:val="0"/>
                    <w:bCs/>
                    <w:color w:val="000000" w:themeColor="text1"/>
                  </w:rPr>
                  <w:t>© Commonwealth of Australia 202</w:t>
                </w:r>
                <w:r w:rsidR="008F4CCF">
                  <w:rPr>
                    <w:b w:val="0"/>
                    <w:bCs/>
                    <w:color w:val="000000" w:themeColor="text1"/>
                  </w:rPr>
                  <w:t>6</w:t>
                </w:r>
              </w:p>
              <w:p w14:paraId="7CC1569F" w14:textId="77777777" w:rsidR="001D696D" w:rsidRPr="00910D3A" w:rsidRDefault="001D696D" w:rsidP="00AB62C3">
                <w:pPr>
                  <w:pStyle w:val="Copyrightpage-Heading2"/>
                  <w:spacing w:before="0"/>
                  <w:ind w:right="-284"/>
                  <w:rPr>
                    <w:b w:val="0"/>
                    <w:bCs/>
                    <w:color w:val="000000" w:themeColor="text1"/>
                  </w:rPr>
                </w:pPr>
                <w:r w:rsidRPr="00910D3A">
                  <w:rPr>
                    <w:b w:val="0"/>
                    <w:bCs/>
                    <w:noProof/>
                    <w:color w:val="000000" w:themeColor="text1"/>
                  </w:rPr>
                  <w:drawing>
                    <wp:inline distT="0" distB="0" distL="0" distR="0" wp14:anchorId="71A00F19" wp14:editId="24703343">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202515DD" w14:textId="77777777" w:rsidR="001D696D" w:rsidRPr="00910D3A" w:rsidRDefault="001D696D" w:rsidP="00AB62C3">
                <w:pPr>
                  <w:pStyle w:val="Copyrightpage-BodyBold"/>
                  <w:ind w:right="-143"/>
                  <w:rPr>
                    <w:b w:val="0"/>
                    <w:bCs/>
                    <w:color w:val="000000" w:themeColor="text1"/>
                  </w:rPr>
                </w:pPr>
                <w:proofErr w:type="gramStart"/>
                <w:r w:rsidRPr="00910D3A">
                  <w:rPr>
                    <w:b w:val="0"/>
                    <w:bCs/>
                    <w:color w:val="000000" w:themeColor="text1"/>
                  </w:rPr>
                  <w:t>With the exception of</w:t>
                </w:r>
                <w:proofErr w:type="gramEnd"/>
                <w:r w:rsidRPr="00910D3A">
                  <w:rPr>
                    <w:b w:val="0"/>
                    <w:bCs/>
                    <w:color w:val="000000" w:themeColor="text1"/>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910D3A">
                  <w:rPr>
                    <w:b w:val="0"/>
                    <w:bCs/>
                    <w:color w:val="000000" w:themeColor="text1"/>
                  </w:rPr>
                  <w:t>as long as</w:t>
                </w:r>
                <w:proofErr w:type="gramEnd"/>
                <w:r w:rsidRPr="00910D3A">
                  <w:rPr>
                    <w:b w:val="0"/>
                    <w:bCs/>
                    <w:color w:val="000000" w:themeColor="text1"/>
                  </w:rPr>
                  <w:t xml:space="preserve"> you attribute the work to the PC (but not in any way that suggests the PC endorses you or your use) and abide by the other licence terms. The licence can be viewed at: https://creativecommons.org/licenses/by/4.0.</w:t>
                </w:r>
              </w:p>
              <w:p w14:paraId="49C47BC1" w14:textId="77777777" w:rsidR="001D696D" w:rsidRPr="00910D3A" w:rsidRDefault="001D696D" w:rsidP="00AB62C3">
                <w:pPr>
                  <w:pStyle w:val="Copyrightpage-BodyBold"/>
                  <w:rPr>
                    <w:b w:val="0"/>
                    <w:bCs/>
                    <w:color w:val="000000" w:themeColor="text1"/>
                  </w:rPr>
                </w:pPr>
                <w:r w:rsidRPr="00910D3A">
                  <w:rPr>
                    <w:b w:val="0"/>
                    <w:bCs/>
                    <w:color w:val="000000" w:themeColor="text1"/>
                  </w:rPr>
                  <w:t>The terms under which the Coat of Arms can be used are detailed at: www.pmc.gov.au/government/commonwealth-coat-arms.</w:t>
                </w:r>
              </w:p>
              <w:p w14:paraId="11CC64FF" w14:textId="77777777" w:rsidR="001D696D" w:rsidRDefault="001D696D" w:rsidP="00AB62C3">
                <w:pPr>
                  <w:pStyle w:val="Copyrightpage-BodyBold"/>
                  <w:rPr>
                    <w:b w:val="0"/>
                    <w:bCs/>
                    <w:color w:val="000000" w:themeColor="text1"/>
                    <w:spacing w:val="-2"/>
                  </w:rPr>
                </w:pPr>
                <w:r w:rsidRPr="00D2285E">
                  <w:rPr>
                    <w:b w:val="0"/>
                    <w:bCs/>
                    <w:color w:val="000000" w:themeColor="text1"/>
                    <w:spacing w:val="-2"/>
                  </w:rPr>
                  <w:t>Wherever a third party holds copyright in this material the copyright remains with that party. Their permission may be required to use the material, please contact them directly.</w:t>
                </w:r>
              </w:p>
              <w:p w14:paraId="694B41DB" w14:textId="35A58FD2" w:rsidR="001D696D" w:rsidRPr="00D2285E" w:rsidRDefault="001D696D" w:rsidP="00AB62C3">
                <w:pPr>
                  <w:pStyle w:val="Copyrightpage-BodyBold"/>
                  <w:rPr>
                    <w:b w:val="0"/>
                    <w:bCs/>
                    <w:color w:val="000000" w:themeColor="text1"/>
                    <w:spacing w:val="-2"/>
                  </w:rPr>
                </w:pPr>
                <w:r>
                  <w:rPr>
                    <w:b w:val="0"/>
                    <w:bCs/>
                    <w:color w:val="000000" w:themeColor="text1"/>
                    <w:spacing w:val="-2"/>
                  </w:rPr>
                  <w:t xml:space="preserve">ISBN </w:t>
                </w:r>
                <w:r w:rsidR="00050DC6" w:rsidRPr="00050DC6">
                  <w:rPr>
                    <w:b w:val="0"/>
                    <w:bCs/>
                    <w:color w:val="000000" w:themeColor="text1"/>
                    <w:spacing w:val="-2"/>
                  </w:rPr>
                  <w:t>978-1-74037-832-1</w:t>
                </w:r>
                <w:r w:rsidRPr="00225704">
                  <w:rPr>
                    <w:b w:val="0"/>
                    <w:bCs/>
                    <w:color w:val="000000" w:themeColor="text1"/>
                    <w:spacing w:val="-2"/>
                  </w:rPr>
                  <w:t xml:space="preserve"> </w:t>
                </w:r>
                <w:r>
                  <w:rPr>
                    <w:b w:val="0"/>
                    <w:bCs/>
                    <w:color w:val="000000" w:themeColor="text1"/>
                    <w:spacing w:val="-2"/>
                  </w:rPr>
                  <w:t>(online)</w:t>
                </w:r>
              </w:p>
              <w:p w14:paraId="072A69BF" w14:textId="2D47C362" w:rsidR="001D696D" w:rsidRPr="00910D3A" w:rsidRDefault="001D696D" w:rsidP="00AB62C3">
                <w:pPr>
                  <w:pStyle w:val="Copyrightpage-BodyBold"/>
                  <w:rPr>
                    <w:b w:val="0"/>
                    <w:bCs/>
                    <w:color w:val="000000" w:themeColor="text1"/>
                  </w:rPr>
                </w:pPr>
                <w:r w:rsidRPr="00910D3A">
                  <w:rPr>
                    <w:b w:val="0"/>
                    <w:bCs/>
                    <w:color w:val="000000" w:themeColor="text1"/>
                  </w:rPr>
                  <w:t>An appropriate reference for this publication is:</w:t>
                </w:r>
                <w:r w:rsidRPr="00910D3A">
                  <w:rPr>
                    <w:b w:val="0"/>
                    <w:bCs/>
                    <w:color w:val="000000" w:themeColor="text1"/>
                  </w:rPr>
                  <w:br/>
                </w:r>
                <w:r w:rsidRPr="001A681E">
                  <w:rPr>
                    <w:b w:val="0"/>
                    <w:bCs/>
                    <w:color w:val="auto"/>
                  </w:rPr>
                  <w:t>Productivity Commission 202</w:t>
                </w:r>
                <w:r w:rsidR="008F4CCF">
                  <w:rPr>
                    <w:b w:val="0"/>
                    <w:bCs/>
                    <w:color w:val="auto"/>
                  </w:rPr>
                  <w:t>6</w:t>
                </w:r>
                <w:r w:rsidRPr="001A681E">
                  <w:rPr>
                    <w:b w:val="0"/>
                    <w:bCs/>
                    <w:color w:val="auto"/>
                  </w:rPr>
                  <w:t xml:space="preserve">, </w:t>
                </w:r>
                <w:r w:rsidR="00ED1B67" w:rsidRPr="00ED1B67">
                  <w:rPr>
                    <w:b w:val="0"/>
                    <w:bCs/>
                    <w:i/>
                    <w:iCs/>
                    <w:color w:val="auto"/>
                  </w:rPr>
                  <w:t>Improving health outcomes through hospital funding arrangements</w:t>
                </w:r>
                <w:r w:rsidRPr="001A681E">
                  <w:rPr>
                    <w:b w:val="0"/>
                    <w:bCs/>
                    <w:color w:val="auto"/>
                  </w:rPr>
                  <w:t xml:space="preserve">, </w:t>
                </w:r>
                <w:r w:rsidR="00ED1B67">
                  <w:rPr>
                    <w:b w:val="0"/>
                    <w:bCs/>
                    <w:color w:val="auto"/>
                  </w:rPr>
                  <w:t>PC</w:t>
                </w:r>
                <w:r w:rsidRPr="001A681E">
                  <w:rPr>
                    <w:b w:val="0"/>
                    <w:bCs/>
                    <w:color w:val="auto"/>
                  </w:rPr>
                  <w:t xml:space="preserve"> research paper, </w:t>
                </w:r>
                <w:r w:rsidRPr="00910D3A">
                  <w:rPr>
                    <w:b w:val="0"/>
                    <w:bCs/>
                    <w:color w:val="000000" w:themeColor="text1"/>
                  </w:rPr>
                  <w:t>Canberra</w:t>
                </w:r>
              </w:p>
              <w:p w14:paraId="0127692E" w14:textId="1B9C1366" w:rsidR="001D696D" w:rsidRPr="00AB62C3" w:rsidRDefault="001D696D" w:rsidP="00AB62C3">
                <w:pPr>
                  <w:pStyle w:val="Copyrightpage-BodyBold"/>
                  <w:ind w:right="-284"/>
                  <w:rPr>
                    <w:color w:val="000000" w:themeColor="text1"/>
                    <w:lang w:val="fr-CA"/>
                  </w:rPr>
                </w:pPr>
                <w:r w:rsidRPr="00AB62C3">
                  <w:rPr>
                    <w:b w:val="0"/>
                    <w:color w:val="000000" w:themeColor="text1"/>
                    <w:lang w:val="fr-CA"/>
                  </w:rPr>
                  <w:t xml:space="preserve">Publication enquiries: </w:t>
                </w:r>
                <w:r w:rsidRPr="00AB62C3">
                  <w:rPr>
                    <w:b w:val="0"/>
                    <w:color w:val="000000" w:themeColor="text1"/>
                    <w:lang w:val="fr-CA"/>
                  </w:rPr>
                  <w:br/>
                  <w:t xml:space="preserve">Phone 03 9653 2244 | </w:t>
                </w:r>
                <w:proofErr w:type="gramStart"/>
                <w:r w:rsidRPr="00AB62C3">
                  <w:rPr>
                    <w:b w:val="0"/>
                    <w:color w:val="000000" w:themeColor="text1"/>
                    <w:lang w:val="fr-CA"/>
                  </w:rPr>
                  <w:t>Email</w:t>
                </w:r>
                <w:proofErr w:type="gramEnd"/>
                <w:r w:rsidRPr="00AB62C3">
                  <w:rPr>
                    <w:b w:val="0"/>
                    <w:color w:val="000000" w:themeColor="text1"/>
                    <w:lang w:val="fr-CA"/>
                  </w:rPr>
                  <w:t xml:space="preserve"> </w:t>
                </w:r>
                <w:r w:rsidR="00463A5C" w:rsidRPr="004E7C8A">
                  <w:rPr>
                    <w:b w:val="0"/>
                    <w:bCs/>
                    <w:color w:val="000000" w:themeColor="text1"/>
                    <w:lang w:val="fr-CA"/>
                  </w:rPr>
                  <w:t>publications@pc.gov.au</w:t>
                </w:r>
              </w:p>
            </w:tc>
          </w:tr>
        </w:tbl>
        <w:p w14:paraId="3249BFD3" w14:textId="77777777" w:rsidR="001D696D" w:rsidRDefault="001D696D" w:rsidP="001D696D">
          <w:pPr>
            <w:spacing w:before="0" w:after="160" w:line="259" w:lineRule="auto"/>
            <w:rPr>
              <w:rStyle w:val="White"/>
              <w:b/>
            </w:rPr>
            <w:sectPr w:rsidR="001D696D" w:rsidSect="001D696D">
              <w:headerReference w:type="even" r:id="rId23"/>
              <w:headerReference w:type="default" r:id="rId24"/>
              <w:footerReference w:type="even" r:id="rId25"/>
              <w:footerReference w:type="default" r:id="rId26"/>
              <w:headerReference w:type="first" r:id="rId27"/>
              <w:pgSz w:w="11906" w:h="16838" w:code="9"/>
              <w:pgMar w:top="1134" w:right="1134" w:bottom="1134" w:left="1134" w:header="794" w:footer="510" w:gutter="0"/>
              <w:pgNumType w:fmt="lowerRoman"/>
              <w:cols w:space="708"/>
              <w:docGrid w:linePitch="360"/>
            </w:sectPr>
          </w:pPr>
          <w:r w:rsidRPr="00AB62C3">
            <w:rPr>
              <w:rStyle w:val="White"/>
              <w:b/>
              <w:lang w:val="fr-CA"/>
            </w:rPr>
            <w:t xml:space="preserve"> </w:t>
          </w:r>
        </w:p>
      </w:sdtContent>
    </w:sdt>
    <w:bookmarkEnd w:id="0"/>
    <w:p w14:paraId="5250DEA3" w14:textId="77777777" w:rsidR="001D696D" w:rsidRPr="00597F10" w:rsidRDefault="001D696D" w:rsidP="001D696D">
      <w:pPr>
        <w:pStyle w:val="TOCHeading"/>
      </w:pPr>
      <w:r>
        <w:lastRenderedPageBreak/>
        <w:t>Contents</w:t>
      </w:r>
    </w:p>
    <w:p w14:paraId="0660BEE3" w14:textId="483650D5" w:rsidR="00C04E9B" w:rsidRDefault="00C04E9B">
      <w:pPr>
        <w:pStyle w:val="TOC1"/>
        <w:rPr>
          <w:rFonts w:asciiTheme="minorHAnsi" w:eastAsiaTheme="minorEastAsia" w:hAnsiTheme="minorHAnsi"/>
          <w:noProof/>
          <w:color w:val="auto"/>
          <w:kern w:val="2"/>
          <w:sz w:val="24"/>
          <w:szCs w:val="24"/>
          <w:lang w:eastAsia="en-AU"/>
          <w14:ligatures w14:val="standardContextual"/>
        </w:rPr>
      </w:pPr>
      <w:r>
        <w:rPr>
          <w:noProof/>
        </w:rPr>
        <w:t>Summary</w:t>
      </w:r>
      <w:r>
        <w:rPr>
          <w:noProof/>
          <w:webHidden/>
        </w:rPr>
        <w:tab/>
      </w:r>
      <w:r w:rsidR="00CB39C0">
        <w:rPr>
          <w:noProof/>
          <w:webHidden/>
        </w:rPr>
        <w:t>1</w:t>
      </w:r>
    </w:p>
    <w:p w14:paraId="4887AD62" w14:textId="3B400878" w:rsidR="00C04E9B" w:rsidRDefault="00C04E9B">
      <w:pPr>
        <w:pStyle w:val="TOC1"/>
        <w:rPr>
          <w:rFonts w:asciiTheme="minorHAnsi" w:eastAsiaTheme="minorEastAsia" w:hAnsiTheme="minorHAnsi"/>
          <w:noProof/>
          <w:color w:val="auto"/>
          <w:kern w:val="2"/>
          <w:sz w:val="24"/>
          <w:szCs w:val="24"/>
          <w:lang w:eastAsia="en-AU"/>
          <w14:ligatures w14:val="standardContextual"/>
        </w:rPr>
      </w:pPr>
      <w:r>
        <w:rPr>
          <w:noProof/>
        </w:rPr>
        <w:t>Are financial mechanisms effective in reducing HACs?</w:t>
      </w:r>
      <w:r>
        <w:rPr>
          <w:noProof/>
          <w:webHidden/>
        </w:rPr>
        <w:tab/>
      </w:r>
      <w:r w:rsidR="00CB39C0">
        <w:rPr>
          <w:noProof/>
          <w:webHidden/>
        </w:rPr>
        <w:t>3</w:t>
      </w:r>
    </w:p>
    <w:p w14:paraId="181354CE" w14:textId="0F9FA71E" w:rsidR="00C04E9B" w:rsidRDefault="00C04E9B">
      <w:pPr>
        <w:pStyle w:val="TOC2"/>
        <w:rPr>
          <w:rFonts w:eastAsiaTheme="minorEastAsia"/>
          <w:kern w:val="2"/>
          <w:sz w:val="24"/>
          <w:szCs w:val="24"/>
          <w:lang w:eastAsia="en-AU"/>
          <w14:ligatures w14:val="standardContextual"/>
        </w:rPr>
      </w:pPr>
      <w:r>
        <w:t>1.</w:t>
      </w:r>
      <w:r>
        <w:rPr>
          <w:rFonts w:eastAsiaTheme="minorEastAsia"/>
          <w:kern w:val="2"/>
          <w:sz w:val="24"/>
          <w:szCs w:val="24"/>
          <w:lang w:eastAsia="en-AU"/>
          <w14:ligatures w14:val="standardContextual"/>
        </w:rPr>
        <w:tab/>
      </w:r>
      <w:r>
        <w:t>Introduction</w:t>
      </w:r>
      <w:r>
        <w:rPr>
          <w:webHidden/>
        </w:rPr>
        <w:tab/>
      </w:r>
      <w:r w:rsidR="00CB39C0">
        <w:rPr>
          <w:webHidden/>
        </w:rPr>
        <w:t>4</w:t>
      </w:r>
    </w:p>
    <w:p w14:paraId="38A93243" w14:textId="6E0B5BB3" w:rsidR="00C04E9B" w:rsidRDefault="00C04E9B" w:rsidP="00C04E9B">
      <w:pPr>
        <w:pStyle w:val="TOC2"/>
        <w:ind w:left="1134" w:hanging="567"/>
        <w:rPr>
          <w:rFonts w:eastAsiaTheme="minorEastAsia"/>
          <w:kern w:val="2"/>
          <w:sz w:val="24"/>
          <w:szCs w:val="24"/>
          <w:lang w:eastAsia="en-AU"/>
          <w14:ligatures w14:val="standardContextual"/>
        </w:rPr>
      </w:pPr>
      <w:r>
        <w:t>2.</w:t>
      </w:r>
      <w:r>
        <w:rPr>
          <w:rFonts w:eastAsiaTheme="minorEastAsia"/>
          <w:kern w:val="2"/>
          <w:sz w:val="24"/>
          <w:szCs w:val="24"/>
          <w:lang w:eastAsia="en-AU"/>
          <w14:ligatures w14:val="standardContextual"/>
        </w:rPr>
        <w:tab/>
      </w:r>
      <w:r>
        <w:t>The implementation of a funding adjustment for hospital-acquired complications (HACs)</w:t>
      </w:r>
      <w:r>
        <w:rPr>
          <w:webHidden/>
        </w:rPr>
        <w:tab/>
      </w:r>
      <w:r w:rsidR="00CB39C0">
        <w:rPr>
          <w:webHidden/>
        </w:rPr>
        <w:t>5</w:t>
      </w:r>
    </w:p>
    <w:p w14:paraId="4DF9FC7F" w14:textId="1653B77A" w:rsidR="00C04E9B" w:rsidRDefault="00C04E9B">
      <w:pPr>
        <w:pStyle w:val="TOC2"/>
        <w:rPr>
          <w:rFonts w:eastAsiaTheme="minorEastAsia"/>
          <w:kern w:val="2"/>
          <w:sz w:val="24"/>
          <w:szCs w:val="24"/>
          <w:lang w:eastAsia="en-AU"/>
          <w14:ligatures w14:val="standardContextual"/>
        </w:rPr>
      </w:pPr>
      <w:r>
        <w:t>3.</w:t>
      </w:r>
      <w:r>
        <w:rPr>
          <w:rFonts w:eastAsiaTheme="minorEastAsia"/>
          <w:kern w:val="2"/>
          <w:sz w:val="24"/>
          <w:szCs w:val="24"/>
          <w:lang w:eastAsia="en-AU"/>
          <w14:ligatures w14:val="standardContextual"/>
        </w:rPr>
        <w:tab/>
      </w:r>
      <w:r w:rsidRPr="00C04E9B">
        <w:rPr>
          <w:spacing w:val="-2"/>
        </w:rPr>
        <w:t>Estimating the impact of the funding adjustment on the likelihood of a HAC</w:t>
      </w:r>
      <w:r>
        <w:rPr>
          <w:webHidden/>
        </w:rPr>
        <w:tab/>
      </w:r>
      <w:r w:rsidR="00CB39C0">
        <w:rPr>
          <w:webHidden/>
        </w:rPr>
        <w:t>9</w:t>
      </w:r>
    </w:p>
    <w:p w14:paraId="0A586AE8" w14:textId="3877CD9D" w:rsidR="00C04E9B" w:rsidRDefault="00C04E9B">
      <w:pPr>
        <w:pStyle w:val="TOC2"/>
        <w:rPr>
          <w:rFonts w:eastAsiaTheme="minorEastAsia"/>
          <w:kern w:val="2"/>
          <w:sz w:val="24"/>
          <w:szCs w:val="24"/>
          <w:lang w:eastAsia="en-AU"/>
          <w14:ligatures w14:val="standardContextual"/>
        </w:rPr>
      </w:pPr>
      <w:r>
        <w:t>4.</w:t>
      </w:r>
      <w:r>
        <w:rPr>
          <w:rFonts w:eastAsiaTheme="minorEastAsia"/>
          <w:kern w:val="2"/>
          <w:sz w:val="24"/>
          <w:szCs w:val="24"/>
          <w:lang w:eastAsia="en-AU"/>
          <w14:ligatures w14:val="standardContextual"/>
        </w:rPr>
        <w:tab/>
      </w:r>
      <w:r>
        <w:t>Interpretation of the findings</w:t>
      </w:r>
      <w:r>
        <w:rPr>
          <w:webHidden/>
        </w:rPr>
        <w:tab/>
      </w:r>
      <w:r w:rsidR="00CB39C0">
        <w:rPr>
          <w:webHidden/>
        </w:rPr>
        <w:t>13</w:t>
      </w:r>
    </w:p>
    <w:p w14:paraId="7D0A06CB" w14:textId="3AD134B0" w:rsidR="00C04E9B" w:rsidRDefault="00C04E9B">
      <w:pPr>
        <w:pStyle w:val="TOC2"/>
        <w:rPr>
          <w:rFonts w:eastAsiaTheme="minorEastAsia"/>
          <w:kern w:val="2"/>
          <w:sz w:val="24"/>
          <w:szCs w:val="24"/>
          <w:lang w:eastAsia="en-AU"/>
          <w14:ligatures w14:val="standardContextual"/>
        </w:rPr>
      </w:pPr>
      <w:r>
        <w:t>5.</w:t>
      </w:r>
      <w:r>
        <w:rPr>
          <w:rFonts w:eastAsiaTheme="minorEastAsia"/>
          <w:kern w:val="2"/>
          <w:sz w:val="24"/>
          <w:szCs w:val="24"/>
          <w:lang w:eastAsia="en-AU"/>
          <w14:ligatures w14:val="standardContextual"/>
        </w:rPr>
        <w:tab/>
      </w:r>
      <w:r>
        <w:t>Conclusion</w:t>
      </w:r>
      <w:r>
        <w:rPr>
          <w:webHidden/>
        </w:rPr>
        <w:tab/>
      </w:r>
      <w:r w:rsidR="00CB39C0">
        <w:rPr>
          <w:webHidden/>
        </w:rPr>
        <w:t>15</w:t>
      </w:r>
    </w:p>
    <w:p w14:paraId="04B382A6" w14:textId="2B93F498" w:rsidR="00C04E9B" w:rsidRDefault="00C04E9B">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Consultations</w:t>
      </w:r>
      <w:r>
        <w:rPr>
          <w:noProof/>
          <w:webHidden/>
        </w:rPr>
        <w:tab/>
      </w:r>
      <w:r w:rsidR="00CB39C0">
        <w:rPr>
          <w:noProof/>
          <w:webHidden/>
        </w:rPr>
        <w:t>18</w:t>
      </w:r>
    </w:p>
    <w:p w14:paraId="75A7D92B" w14:textId="6CD54C08" w:rsidR="00C04E9B" w:rsidRDefault="00C04E9B">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Estimating the impact of the HAC</w:t>
      </w:r>
      <w:r>
        <w:rPr>
          <w:noProof/>
        </w:rPr>
        <w:noBreakHyphen/>
        <w:t>related funding adjustment</w:t>
      </w:r>
      <w:r>
        <w:rPr>
          <w:noProof/>
          <w:webHidden/>
        </w:rPr>
        <w:tab/>
      </w:r>
      <w:r w:rsidR="00CB39C0">
        <w:rPr>
          <w:noProof/>
          <w:webHidden/>
        </w:rPr>
        <w:t>19</w:t>
      </w:r>
    </w:p>
    <w:p w14:paraId="43432FAC" w14:textId="5404BF47" w:rsidR="00C04E9B" w:rsidRDefault="00C04E9B">
      <w:pPr>
        <w:pStyle w:val="TOC2"/>
        <w:rPr>
          <w:rFonts w:eastAsiaTheme="minorEastAsia"/>
          <w:kern w:val="2"/>
          <w:sz w:val="24"/>
          <w:szCs w:val="24"/>
          <w:lang w:eastAsia="en-AU"/>
          <w14:ligatures w14:val="standardContextual"/>
        </w:rPr>
      </w:pPr>
      <w:r>
        <w:t>B.1</w:t>
      </w:r>
      <w:r>
        <w:rPr>
          <w:rFonts w:eastAsiaTheme="minorEastAsia"/>
          <w:kern w:val="2"/>
          <w:sz w:val="24"/>
          <w:szCs w:val="24"/>
          <w:lang w:eastAsia="en-AU"/>
          <w14:ligatures w14:val="standardContextual"/>
        </w:rPr>
        <w:tab/>
      </w:r>
      <w:r>
        <w:t>Patient level data used to estimate the impact of the funding adjustment</w:t>
      </w:r>
      <w:r>
        <w:rPr>
          <w:webHidden/>
        </w:rPr>
        <w:tab/>
      </w:r>
      <w:r w:rsidR="00CB39C0">
        <w:rPr>
          <w:webHidden/>
        </w:rPr>
        <w:t>19</w:t>
      </w:r>
    </w:p>
    <w:p w14:paraId="0388A671" w14:textId="1BFA693B" w:rsidR="00C04E9B" w:rsidRDefault="00C04E9B">
      <w:pPr>
        <w:pStyle w:val="TOC2"/>
        <w:rPr>
          <w:rFonts w:eastAsiaTheme="minorEastAsia"/>
          <w:kern w:val="2"/>
          <w:sz w:val="24"/>
          <w:szCs w:val="24"/>
          <w:lang w:eastAsia="en-AU"/>
          <w14:ligatures w14:val="standardContextual"/>
        </w:rPr>
      </w:pPr>
      <w:r>
        <w:t>B.2</w:t>
      </w:r>
      <w:r>
        <w:rPr>
          <w:rFonts w:eastAsiaTheme="minorEastAsia"/>
          <w:kern w:val="2"/>
          <w:sz w:val="24"/>
          <w:szCs w:val="24"/>
          <w:lang w:eastAsia="en-AU"/>
          <w14:ligatures w14:val="standardContextual"/>
        </w:rPr>
        <w:tab/>
      </w:r>
      <w:r>
        <w:t>Methodology</w:t>
      </w:r>
      <w:r>
        <w:rPr>
          <w:webHidden/>
        </w:rPr>
        <w:tab/>
      </w:r>
      <w:r w:rsidR="00CB39C0">
        <w:rPr>
          <w:webHidden/>
        </w:rPr>
        <w:t>21</w:t>
      </w:r>
    </w:p>
    <w:p w14:paraId="2C65DF12" w14:textId="6247BCEF" w:rsidR="00C04E9B" w:rsidRDefault="00C04E9B">
      <w:pPr>
        <w:pStyle w:val="TOC2"/>
        <w:rPr>
          <w:rFonts w:eastAsiaTheme="minorEastAsia"/>
          <w:kern w:val="2"/>
          <w:sz w:val="24"/>
          <w:szCs w:val="24"/>
          <w:lang w:eastAsia="en-AU"/>
          <w14:ligatures w14:val="standardContextual"/>
        </w:rPr>
      </w:pPr>
      <w:r>
        <w:t>B.3</w:t>
      </w:r>
      <w:r>
        <w:rPr>
          <w:rFonts w:eastAsiaTheme="minorEastAsia"/>
          <w:kern w:val="2"/>
          <w:sz w:val="24"/>
          <w:szCs w:val="24"/>
          <w:lang w:eastAsia="en-AU"/>
          <w14:ligatures w14:val="standardContextual"/>
        </w:rPr>
        <w:tab/>
      </w:r>
      <w:r>
        <w:t>Results</w:t>
      </w:r>
      <w:r>
        <w:rPr>
          <w:webHidden/>
        </w:rPr>
        <w:tab/>
      </w:r>
      <w:r w:rsidR="00CB39C0">
        <w:rPr>
          <w:webHidden/>
        </w:rPr>
        <w:t>25</w:t>
      </w:r>
    </w:p>
    <w:p w14:paraId="0F006411" w14:textId="7EC4351B" w:rsidR="001D696D" w:rsidRDefault="001D696D" w:rsidP="001D696D">
      <w:pPr>
        <w:pStyle w:val="BodyText"/>
        <w:sectPr w:rsidR="001D696D" w:rsidSect="001D696D">
          <w:headerReference w:type="even" r:id="rId28"/>
          <w:headerReference w:type="default" r:id="rId29"/>
          <w:footerReference w:type="even" r:id="rId30"/>
          <w:footerReference w:type="default" r:id="rId31"/>
          <w:headerReference w:type="first" r:id="rId32"/>
          <w:footerReference w:type="first" r:id="rId33"/>
          <w:pgSz w:w="11906" w:h="16838" w:code="9"/>
          <w:pgMar w:top="1134" w:right="1134" w:bottom="1134" w:left="1134" w:header="794" w:footer="510" w:gutter="0"/>
          <w:pgNumType w:fmt="lowerRoman"/>
          <w:cols w:space="708"/>
          <w:docGrid w:linePitch="360"/>
        </w:sectPr>
      </w:pPr>
    </w:p>
    <w:p w14:paraId="1D0B923B" w14:textId="77777777" w:rsidR="001D696D" w:rsidRDefault="001D696D" w:rsidP="001D696D">
      <w:pPr>
        <w:pStyle w:val="Heading2-noTOC"/>
      </w:pPr>
      <w:r>
        <w:lastRenderedPageBreak/>
        <w:t>Acknowledgements</w:t>
      </w:r>
    </w:p>
    <w:p w14:paraId="5ED91CE6" w14:textId="7B9419C6" w:rsidR="002130E8" w:rsidRDefault="00CE4B7E" w:rsidP="001D696D">
      <w:pPr>
        <w:pStyle w:val="BodyText"/>
      </w:pPr>
      <w:r>
        <w:t xml:space="preserve">This paper uses administrative data from </w:t>
      </w:r>
      <w:r w:rsidRPr="00F62EC7">
        <w:t>the National Hospital Data Hub (NHDH).</w:t>
      </w:r>
      <w:r>
        <w:t xml:space="preserve"> </w:t>
      </w:r>
      <w:r w:rsidR="002130E8" w:rsidRPr="002130E8">
        <w:t xml:space="preserve">The </w:t>
      </w:r>
      <w:r w:rsidR="00426287">
        <w:t xml:space="preserve">data used was contributed by </w:t>
      </w:r>
      <w:r w:rsidR="00FB1A20">
        <w:t xml:space="preserve">the governments </w:t>
      </w:r>
      <w:r w:rsidR="002130E8" w:rsidRPr="002130E8">
        <w:t>of the Australian Capital Territory, Queensland, South Australia, Tasmania and Victoria.</w:t>
      </w:r>
      <w:r w:rsidR="00F62EC7">
        <w:t xml:space="preserve"> The </w:t>
      </w:r>
      <w:r w:rsidR="00F62EC7" w:rsidRPr="00F62EC7">
        <w:t xml:space="preserve">Australian Institute of Health and Welfare (AIHW) </w:t>
      </w:r>
      <w:r w:rsidR="00426287">
        <w:t>i</w:t>
      </w:r>
      <w:r w:rsidR="00F62EC7" w:rsidRPr="00F62EC7">
        <w:t>s the data custodian and developer of the National Hospital Data Hub (NHDH).</w:t>
      </w:r>
    </w:p>
    <w:p w14:paraId="0CE19115" w14:textId="69DCABB6" w:rsidR="00FD7923" w:rsidRDefault="001C3C75" w:rsidP="001D696D">
      <w:pPr>
        <w:pStyle w:val="BodyText"/>
      </w:pPr>
      <w:r w:rsidRPr="001C3C75">
        <w:t xml:space="preserve">The </w:t>
      </w:r>
      <w:r w:rsidR="00D855C1">
        <w:t>development of this paper</w:t>
      </w:r>
      <w:r w:rsidRPr="001C3C75">
        <w:t xml:space="preserve"> was overseen by Commissioner</w:t>
      </w:r>
      <w:r w:rsidR="00EF0064">
        <w:t>s</w:t>
      </w:r>
      <w:r w:rsidRPr="001C3C75">
        <w:t xml:space="preserve"> Catherine de Fontenay</w:t>
      </w:r>
      <w:r w:rsidR="00EF0064">
        <w:t xml:space="preserve"> and Alison Roberts</w:t>
      </w:r>
      <w:r>
        <w:t xml:space="preserve">. The </w:t>
      </w:r>
      <w:r w:rsidR="00652BB1">
        <w:t xml:space="preserve">staff </w:t>
      </w:r>
      <w:r>
        <w:t xml:space="preserve">team comprised </w:t>
      </w:r>
      <w:r w:rsidR="008E6E20" w:rsidRPr="008E6E20">
        <w:t>Persis Eskander, Nicholas Sladden, Timothy Griffin</w:t>
      </w:r>
      <w:r w:rsidR="00436343">
        <w:t xml:space="preserve">, </w:t>
      </w:r>
      <w:r w:rsidR="008E6E20" w:rsidRPr="008E6E20">
        <w:t>Rachel Burge</w:t>
      </w:r>
      <w:r w:rsidR="00875DF1">
        <w:t>s</w:t>
      </w:r>
      <w:r w:rsidR="008E6E20" w:rsidRPr="008E6E20">
        <w:t>s</w:t>
      </w:r>
      <w:r w:rsidR="00436343">
        <w:t>,</w:t>
      </w:r>
      <w:r w:rsidR="00436343" w:rsidRPr="008E6E20">
        <w:t xml:space="preserve"> Marcelo </w:t>
      </w:r>
      <w:r w:rsidR="002E783D" w:rsidRPr="008E6E20">
        <w:t>Mu</w:t>
      </w:r>
      <w:r w:rsidR="002E783D">
        <w:rPr>
          <w:rFonts w:cstheme="minorHAnsi"/>
        </w:rPr>
        <w:t>ñ</w:t>
      </w:r>
      <w:r w:rsidR="002E783D" w:rsidRPr="008E6E20">
        <w:t>oz</w:t>
      </w:r>
      <w:r w:rsidR="00014ACF">
        <w:t xml:space="preserve">, </w:t>
      </w:r>
      <w:r w:rsidR="00014ACF" w:rsidRPr="00014ACF">
        <w:t>Dominique Lowe</w:t>
      </w:r>
      <w:r w:rsidR="00352A59">
        <w:t xml:space="preserve"> and </w:t>
      </w:r>
      <w:r w:rsidR="00352A59" w:rsidRPr="008E6E20">
        <w:t>Miriam</w:t>
      </w:r>
      <w:r w:rsidR="00263850">
        <w:t> </w:t>
      </w:r>
      <w:r w:rsidR="00352A59" w:rsidRPr="008E6E20">
        <w:t>Veisman-Apter</w:t>
      </w:r>
      <w:r w:rsidR="00964CDC">
        <w:t>.</w:t>
      </w:r>
    </w:p>
    <w:p w14:paraId="5A7BB602" w14:textId="77777777" w:rsidR="0074196F" w:rsidRDefault="0074196F" w:rsidP="001D696D">
      <w:pPr>
        <w:pStyle w:val="BodyText"/>
      </w:pPr>
    </w:p>
    <w:p w14:paraId="5FF5A1CC" w14:textId="7D2AD22F" w:rsidR="000B7278" w:rsidRDefault="000B7278" w:rsidP="001D696D">
      <w:pPr>
        <w:pStyle w:val="BodyText"/>
        <w:sectPr w:rsidR="000B7278" w:rsidSect="001D696D">
          <w:headerReference w:type="even" r:id="rId34"/>
          <w:pgSz w:w="11906" w:h="16838" w:code="9"/>
          <w:pgMar w:top="1134" w:right="1134" w:bottom="1134" w:left="1134" w:header="794" w:footer="510" w:gutter="0"/>
          <w:pgNumType w:fmt="lowerRoman"/>
          <w:cols w:space="708"/>
          <w:docGrid w:linePitch="360"/>
        </w:sectPr>
      </w:pPr>
    </w:p>
    <w:p w14:paraId="5BC3DBEF" w14:textId="40A114A2" w:rsidR="002E3669" w:rsidRDefault="00764429" w:rsidP="0032525F">
      <w:pPr>
        <w:pStyle w:val="Heading1-nonumber"/>
      </w:pPr>
      <w:bookmarkStart w:id="3" w:name="_Toc224153237"/>
      <w:r>
        <w:lastRenderedPageBreak/>
        <w:t>S</w:t>
      </w:r>
      <w:r w:rsidR="002E3669">
        <w:t>ummary</w:t>
      </w:r>
      <w:bookmarkEnd w:id="3"/>
    </w:p>
    <w:tbl>
      <w:tblPr>
        <w:tblStyle w:val="Texttable-Paleblue"/>
        <w:tblW w:w="5000" w:type="pct"/>
        <w:shd w:val="clear" w:color="auto" w:fill="E7F6FD"/>
        <w:tblLook w:val="04A0" w:firstRow="1" w:lastRow="0" w:firstColumn="1" w:lastColumn="0" w:noHBand="0" w:noVBand="1"/>
      </w:tblPr>
      <w:tblGrid>
        <w:gridCol w:w="577"/>
        <w:gridCol w:w="9061"/>
      </w:tblGrid>
      <w:tr w:rsidR="002E3669" w:rsidRPr="002F759A" w14:paraId="62F5E7E4" w14:textId="77777777" w:rsidTr="00AB62C3">
        <w:tc>
          <w:tcPr>
            <w:tcW w:w="9638" w:type="dxa"/>
            <w:gridSpan w:val="2"/>
            <w:shd w:val="clear" w:color="auto" w:fill="E7F6FD"/>
            <w:tcMar>
              <w:left w:w="170" w:type="dxa"/>
            </w:tcMar>
          </w:tcPr>
          <w:p w14:paraId="42F598DB" w14:textId="77777777" w:rsidR="002E3669" w:rsidRPr="002F759A" w:rsidRDefault="002E3669" w:rsidP="00AB62C3">
            <w:pPr>
              <w:pStyle w:val="Keypoints-heading"/>
            </w:pPr>
            <w:r w:rsidRPr="002F759A">
              <w:t>Key points</w:t>
            </w:r>
          </w:p>
        </w:tc>
      </w:tr>
      <w:tr w:rsidR="002E3669" w14:paraId="599728C2" w14:textId="77777777" w:rsidTr="00AB62C3">
        <w:tc>
          <w:tcPr>
            <w:tcW w:w="577" w:type="dxa"/>
            <w:shd w:val="clear" w:color="auto" w:fill="E7F6FD"/>
            <w:tcMar>
              <w:top w:w="0" w:type="dxa"/>
              <w:bottom w:w="0" w:type="dxa"/>
              <w:right w:w="113" w:type="dxa"/>
            </w:tcMar>
          </w:tcPr>
          <w:p w14:paraId="0ECE09F8" w14:textId="77777777" w:rsidR="002E3669" w:rsidRDefault="002E3669" w:rsidP="00AB62C3">
            <w:pPr>
              <w:pStyle w:val="KeyPointsicon"/>
            </w:pPr>
            <w:r w:rsidRPr="00A51374">
              <w:rPr>
                <w:noProof/>
              </w:rPr>
              <w:drawing>
                <wp:inline distT="0" distB="0" distL="0" distR="0" wp14:anchorId="449E5B8D" wp14:editId="0A2B19E0">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1613767" w14:textId="463FBA29" w:rsidR="002E3669" w:rsidRDefault="002E3669" w:rsidP="00AB62C3">
            <w:pPr>
              <w:pStyle w:val="KeyPoints-Bold"/>
            </w:pPr>
            <w:r w:rsidRPr="00B00557">
              <w:t xml:space="preserve">Hospitals </w:t>
            </w:r>
            <w:r>
              <w:t xml:space="preserve">are funded primarily through activity-based funding, which incentivises higher volumes of care and cost controls, but does not directly </w:t>
            </w:r>
            <w:r w:rsidR="00164FB8">
              <w:t>promote</w:t>
            </w:r>
            <w:r>
              <w:t xml:space="preserve"> the safety or quality of care.</w:t>
            </w:r>
          </w:p>
        </w:tc>
      </w:tr>
      <w:tr w:rsidR="002E3669" w14:paraId="63742679" w14:textId="77777777" w:rsidTr="00AB62C3">
        <w:tc>
          <w:tcPr>
            <w:tcW w:w="577" w:type="dxa"/>
            <w:shd w:val="clear" w:color="auto" w:fill="E7F6FD"/>
            <w:tcMar>
              <w:top w:w="0" w:type="dxa"/>
              <w:bottom w:w="0" w:type="dxa"/>
              <w:right w:w="113" w:type="dxa"/>
            </w:tcMar>
          </w:tcPr>
          <w:p w14:paraId="1703791D" w14:textId="77777777" w:rsidR="002E3669" w:rsidRPr="00A51374" w:rsidRDefault="002E3669" w:rsidP="00AB62C3">
            <w:pPr>
              <w:pStyle w:val="KeyPointsicon"/>
            </w:pPr>
            <w:r w:rsidRPr="00F31E73">
              <w:rPr>
                <w:noProof/>
              </w:rPr>
              <w:drawing>
                <wp:inline distT="0" distB="0" distL="0" distR="0" wp14:anchorId="328C5E33" wp14:editId="4E068A5E">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B4A10D1" w14:textId="77777777" w:rsidR="002E3669" w:rsidRPr="00610627" w:rsidRDefault="002E3669" w:rsidP="00AB62C3">
            <w:pPr>
              <w:pStyle w:val="KeyPoints-Bold"/>
            </w:pPr>
            <w:r w:rsidRPr="00234451">
              <w:t>In 2017, the Australian Government introduced funding adjustments intended to reduce the rate of hospital acquired complications (HACs)</w:t>
            </w:r>
            <w:r>
              <w:t>.</w:t>
            </w:r>
            <w:r w:rsidRPr="00234451">
              <w:t xml:space="preserve"> </w:t>
            </w:r>
            <w:r w:rsidRPr="003E2125">
              <w:t>The PC u</w:t>
            </w:r>
            <w:r>
              <w:t>sed</w:t>
            </w:r>
            <w:r w:rsidRPr="003E2125">
              <w:t xml:space="preserve"> data on admissions to public hospital</w:t>
            </w:r>
            <w:r>
              <w:t>s</w:t>
            </w:r>
            <w:r w:rsidRPr="003E2125">
              <w:t xml:space="preserve"> to establish whether this adjustment affected the rate of HACs.</w:t>
            </w:r>
          </w:p>
        </w:tc>
      </w:tr>
      <w:tr w:rsidR="002E3669" w14:paraId="5CDF43E5" w14:textId="77777777" w:rsidTr="00AB62C3">
        <w:tc>
          <w:tcPr>
            <w:tcW w:w="577" w:type="dxa"/>
            <w:shd w:val="clear" w:color="auto" w:fill="E7F6FD"/>
            <w:tcMar>
              <w:top w:w="0" w:type="dxa"/>
              <w:bottom w:w="0" w:type="dxa"/>
              <w:right w:w="113" w:type="dxa"/>
            </w:tcMar>
          </w:tcPr>
          <w:p w14:paraId="79F4D63B" w14:textId="77777777" w:rsidR="002E3669" w:rsidRPr="00A51374" w:rsidRDefault="002E3669" w:rsidP="00AB62C3">
            <w:pPr>
              <w:pStyle w:val="KeyPointsicon"/>
            </w:pPr>
            <w:r w:rsidRPr="00F31E73">
              <w:rPr>
                <w:noProof/>
              </w:rPr>
              <w:drawing>
                <wp:inline distT="0" distB="0" distL="0" distR="0" wp14:anchorId="6BF708B2" wp14:editId="7F15789D">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0CB9350" w14:textId="77777777" w:rsidR="002E3669" w:rsidRPr="00610627" w:rsidRDefault="002E3669" w:rsidP="00AB62C3">
            <w:pPr>
              <w:pStyle w:val="KeyPoints-Bold"/>
            </w:pPr>
            <w:r>
              <w:t>T</w:t>
            </w:r>
            <w:r w:rsidRPr="003E2125">
              <w:t xml:space="preserve">he HAC funding adjustment had a sizeable </w:t>
            </w:r>
            <w:proofErr w:type="gramStart"/>
            <w:r w:rsidRPr="003E2125">
              <w:t>effect</w:t>
            </w:r>
            <w:r>
              <w:t>, and</w:t>
            </w:r>
            <w:proofErr w:type="gramEnd"/>
            <w:r>
              <w:t xml:space="preserve"> was</w:t>
            </w:r>
            <w:r w:rsidRPr="003E2125">
              <w:t xml:space="preserve"> </w:t>
            </w:r>
            <w:r>
              <w:t xml:space="preserve">associated with about a 25% reduction in </w:t>
            </w:r>
            <w:r w:rsidRPr="003E2125">
              <w:t>the likelihood of a complication occurring in those states and territories where the financial penalties were passed on to the relevant local hospital networks</w:t>
            </w:r>
            <w:r>
              <w:t>.</w:t>
            </w:r>
          </w:p>
        </w:tc>
      </w:tr>
      <w:tr w:rsidR="002E3669" w14:paraId="7023F968" w14:textId="77777777" w:rsidTr="00AB62C3">
        <w:tc>
          <w:tcPr>
            <w:tcW w:w="577" w:type="dxa"/>
            <w:shd w:val="clear" w:color="auto" w:fill="E7F6FD"/>
            <w:tcMar>
              <w:top w:w="0" w:type="dxa"/>
              <w:bottom w:w="0" w:type="dxa"/>
              <w:right w:w="113" w:type="dxa"/>
            </w:tcMar>
          </w:tcPr>
          <w:p w14:paraId="7C3C8E3E" w14:textId="77777777" w:rsidR="002E3669" w:rsidRPr="00A51374" w:rsidRDefault="002E3669" w:rsidP="00AB62C3">
            <w:pPr>
              <w:pStyle w:val="KeyPointsicon"/>
            </w:pPr>
            <w:r w:rsidRPr="00F31E73">
              <w:rPr>
                <w:noProof/>
              </w:rPr>
              <w:drawing>
                <wp:inline distT="0" distB="0" distL="0" distR="0" wp14:anchorId="75C12B39" wp14:editId="0EA42438">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A29C980" w14:textId="77777777" w:rsidR="002E3669" w:rsidRPr="00610627" w:rsidRDefault="002E3669" w:rsidP="00AB62C3">
            <w:pPr>
              <w:pStyle w:val="KeyPoints-Bold"/>
            </w:pPr>
            <w:r w:rsidRPr="003E2125">
              <w:t>These initial findings suggest financial mechanisms could be effective in lifting the quality of care. These tentative conclusions, however, should be interpreted with caution and further work is needed before expanding the use of these measures.</w:t>
            </w:r>
          </w:p>
        </w:tc>
      </w:tr>
    </w:tbl>
    <w:p w14:paraId="2F23F6AE" w14:textId="277F4469" w:rsidR="002E3669" w:rsidRDefault="002E3669" w:rsidP="002E3669">
      <w:pPr>
        <w:pStyle w:val="NoSpacing"/>
      </w:pPr>
    </w:p>
    <w:p w14:paraId="11BB3A45" w14:textId="77777777" w:rsidR="002E3669" w:rsidRDefault="002E3669" w:rsidP="002E3669">
      <w:r>
        <w:t>Government funding influences the capacity and incentives of hospitals and clinicians to deliver high-quality healthcare to Australian consumers. Australian governments largely fund public hospitals through activity</w:t>
      </w:r>
      <w:r>
        <w:noBreakHyphen/>
        <w:t xml:space="preserve">based funding (ABF), which reflects the number of people treated in hospitals and the complexity of their conditions. While ABF has incentivised higher volumes of care using limited resources, it does not provide direct financial incentives for better outcomes in care. </w:t>
      </w:r>
    </w:p>
    <w:p w14:paraId="56B7205D" w14:textId="25292C1E" w:rsidR="002E3669" w:rsidRPr="00CA7C3E" w:rsidRDefault="002E3669" w:rsidP="002E3669">
      <w:pPr>
        <w:pStyle w:val="BodyText"/>
        <w:rPr>
          <w:spacing w:val="-2"/>
        </w:rPr>
      </w:pPr>
      <w:proofErr w:type="gramStart"/>
      <w:r w:rsidRPr="00CA7C3E">
        <w:rPr>
          <w:spacing w:val="-2"/>
        </w:rPr>
        <w:t>A number of</w:t>
      </w:r>
      <w:proofErr w:type="gramEnd"/>
      <w:r w:rsidRPr="00CA7C3E">
        <w:rPr>
          <w:spacing w:val="-2"/>
        </w:rPr>
        <w:t xml:space="preserve"> countries are experimenting with supplementing activity-based funding with financial mechanisms aimed at improving the outcomes of care. The Australian Government developed a set of financial mechanisms nationally to improve safety outcomes. From </w:t>
      </w:r>
      <w:r w:rsidR="003D0D71" w:rsidRPr="00CA7C3E">
        <w:rPr>
          <w:spacing w:val="-2"/>
        </w:rPr>
        <w:t>mid-2018</w:t>
      </w:r>
      <w:r w:rsidRPr="00CA7C3E">
        <w:rPr>
          <w:spacing w:val="-2"/>
        </w:rPr>
        <w:t xml:space="preserve">, new funding adjustments meant that hospitals would not be fully compensated for treatment costs incurred due to hospital acquired complications (HACs). HACs affect 3% of all episodes of care in public hospitals </w:t>
      </w:r>
      <w:r w:rsidR="004A5E70" w:rsidRPr="00CA7C3E">
        <w:rPr>
          <w:rFonts w:cs="Arial"/>
          <w:spacing w:val="-2"/>
          <w:szCs w:val="24"/>
        </w:rPr>
        <w:t xml:space="preserve">(IHACPA 2026; </w:t>
      </w:r>
      <w:r w:rsidR="00CA7C3E" w:rsidRPr="00CA7C3E">
        <w:rPr>
          <w:rFonts w:cs="Arial"/>
          <w:spacing w:val="-2"/>
          <w:szCs w:val="24"/>
        </w:rPr>
        <w:t xml:space="preserve">SCRGSP </w:t>
      </w:r>
      <w:r w:rsidR="004A5E70" w:rsidRPr="00CA7C3E">
        <w:rPr>
          <w:rFonts w:cs="Arial"/>
          <w:spacing w:val="-2"/>
          <w:szCs w:val="24"/>
        </w:rPr>
        <w:t>2024)</w:t>
      </w:r>
      <w:r w:rsidRPr="00CA7C3E">
        <w:rPr>
          <w:spacing w:val="-2"/>
        </w:rPr>
        <w:t xml:space="preserve">. There was also an adjustment for avoidable readmissions in 2021, and an adjustment so that hospitals receive no payment for any treatment that resulted in a sentinel event (unforeseen death or injury). </w:t>
      </w:r>
    </w:p>
    <w:p w14:paraId="4A616B92" w14:textId="6CA5D901" w:rsidR="002E3669" w:rsidRDefault="002E3669" w:rsidP="002E3669">
      <w:pPr>
        <w:pStyle w:val="BodyText"/>
      </w:pPr>
      <w:r>
        <w:t xml:space="preserve">The PC used public hospitals data to assess whether the HACs funding </w:t>
      </w:r>
      <w:r w:rsidRPr="00F03033">
        <w:rPr>
          <w:lang w:val="en-US"/>
        </w:rPr>
        <w:t>adjustment</w:t>
      </w:r>
      <w:r>
        <w:rPr>
          <w:lang w:val="en-US"/>
        </w:rPr>
        <w:t xml:space="preserve"> changed the likelihood </w:t>
      </w:r>
      <w:r w:rsidRPr="00F03033">
        <w:rPr>
          <w:lang w:val="en-US"/>
        </w:rPr>
        <w:t xml:space="preserve">of </w:t>
      </w:r>
      <w:r>
        <w:rPr>
          <w:lang w:val="en-US"/>
        </w:rPr>
        <w:t>a complication o</w:t>
      </w:r>
      <w:r w:rsidRPr="00F03033">
        <w:rPr>
          <w:lang w:val="en-US"/>
        </w:rPr>
        <w:t>ccurring</w:t>
      </w:r>
      <w:r>
        <w:rPr>
          <w:lang w:val="en-US"/>
        </w:rPr>
        <w:t xml:space="preserve">. The analysis compared the risk of HACs in those states and territories that passed on the funding adjustment to their relevant Local Hospital Networks, to those that absorbed the impacts within their health budgets </w:t>
      </w:r>
      <w:r w:rsidR="00B27D23">
        <w:rPr>
          <w:lang w:val="en-US"/>
        </w:rPr>
        <w:t xml:space="preserve">from </w:t>
      </w:r>
      <w:r>
        <w:rPr>
          <w:lang w:val="en-US"/>
        </w:rPr>
        <w:t>July 2018 to February 2020.</w:t>
      </w:r>
    </w:p>
    <w:p w14:paraId="1668AD70" w14:textId="77777777" w:rsidR="002E3669" w:rsidRDefault="002E3669" w:rsidP="003D0D71">
      <w:pPr>
        <w:pStyle w:val="Heading2-noTOC"/>
        <w:keepNext/>
      </w:pPr>
      <w:r>
        <w:lastRenderedPageBreak/>
        <w:t>Funding adjustments had a sizeable effect on reducing the likelihood of hospital acquired complications</w:t>
      </w:r>
    </w:p>
    <w:p w14:paraId="48D25CA8" w14:textId="77777777" w:rsidR="002E3669" w:rsidRDefault="002E3669" w:rsidP="002E3669">
      <w:pPr>
        <w:pStyle w:val="BodyText"/>
      </w:pPr>
      <w:r>
        <w:t>In the</w:t>
      </w:r>
      <w:r w:rsidRPr="008A4915">
        <w:t xml:space="preserve"> jurisdictions that passed on the funding adjustment, the risk of a </w:t>
      </w:r>
      <w:r>
        <w:t>person</w:t>
      </w:r>
      <w:r w:rsidRPr="008A4915">
        <w:t xml:space="preserve"> experiencing at least one HAC</w:t>
      </w:r>
      <w:r>
        <w:t xml:space="preserve"> </w:t>
      </w:r>
      <w:r w:rsidRPr="008A4915">
        <w:t xml:space="preserve">fell from </w:t>
      </w:r>
      <w:r>
        <w:t>about</w:t>
      </w:r>
      <w:r w:rsidRPr="008A4915">
        <w:t xml:space="preserve"> 2.3% to 1.7% </w:t>
      </w:r>
      <w:r>
        <w:t>–</w:t>
      </w:r>
      <w:r w:rsidRPr="008A4915">
        <w:t xml:space="preserve"> </w:t>
      </w:r>
      <w:r>
        <w:t xml:space="preserve">about a 25% </w:t>
      </w:r>
      <w:r w:rsidRPr="008A4915">
        <w:t xml:space="preserve">reduction. </w:t>
      </w:r>
    </w:p>
    <w:p w14:paraId="493970FF" w14:textId="77777777" w:rsidR="002E3669" w:rsidRDefault="002E3669" w:rsidP="002E3669">
      <w:pPr>
        <w:pStyle w:val="BodyText"/>
      </w:pPr>
      <w:r>
        <w:t xml:space="preserve">While these results are promising, interpreting them requires caution. Obtaining information from jurisdictions on the timing of, approach to, and policies that existed during the implementation of the HACs funding </w:t>
      </w:r>
      <w:r w:rsidRPr="00B24D2E">
        <w:t>adjustment</w:t>
      </w:r>
      <w:r>
        <w:t xml:space="preserve"> was challenging</w:t>
      </w:r>
      <w:r w:rsidRPr="00B24D2E">
        <w:t xml:space="preserve">. </w:t>
      </w:r>
      <w:r w:rsidRPr="008A4915">
        <w:t>The results are also pronounced just prior to and in the early stages of the implementation.</w:t>
      </w:r>
      <w:r w:rsidRPr="00B24D2E">
        <w:t xml:space="preserve"> It</w:t>
      </w:r>
      <w:r>
        <w:t xml:space="preserve"> is possible that states and hospitals began to raise awareness of HACs and push to lower the rate of HACs in anticipation of the policy, rather than be influenced by the funding change itself; but we cannot be certain of this interpretation. We also cannot be certain that the reduction is not merely reflecting a change in coding practices.</w:t>
      </w:r>
    </w:p>
    <w:p w14:paraId="3BB0C9EB" w14:textId="77777777" w:rsidR="002E3669" w:rsidRDefault="002E3669" w:rsidP="002E3669">
      <w:pPr>
        <w:pStyle w:val="BodyText"/>
      </w:pPr>
      <w:r w:rsidRPr="008A4915">
        <w:t>There is variability in the performance of the funding adjustment across the different types of HACs included in the PC</w:t>
      </w:r>
      <w:r>
        <w:t>’</w:t>
      </w:r>
      <w:r w:rsidRPr="008A4915">
        <w:t>s analysis</w:t>
      </w:r>
      <w:r w:rsidRPr="00B24D2E">
        <w:t>.</w:t>
      </w:r>
      <w:r w:rsidRPr="00B24D2E">
        <w:rPr>
          <w:rStyle w:val="FootnoteReference"/>
        </w:rPr>
        <w:footnoteReference w:id="2"/>
      </w:r>
      <w:r w:rsidRPr="00B24D2E">
        <w:t xml:space="preserve"> Further work is required to understand </w:t>
      </w:r>
      <w:r>
        <w:t xml:space="preserve">whether this reflects how amenable to improvement different types of HACs are. </w:t>
      </w:r>
    </w:p>
    <w:p w14:paraId="083F09B3" w14:textId="09739976" w:rsidR="002E3669" w:rsidRDefault="002E3669" w:rsidP="002E3669">
      <w:pPr>
        <w:pStyle w:val="BodyText"/>
      </w:pPr>
      <w:r>
        <w:t xml:space="preserve">The scale of the decline in HACs settled over time, perhaps because there was less focus on HACs </w:t>
      </w:r>
      <w:r w:rsidDel="0079169B">
        <w:t xml:space="preserve">as time </w:t>
      </w:r>
      <w:r>
        <w:t>passed, or because hospitals had already implemented their policies to reduce HACs.</w:t>
      </w:r>
    </w:p>
    <w:p w14:paraId="7563DCE2" w14:textId="77777777" w:rsidR="002E3669" w:rsidRDefault="002E3669" w:rsidP="002E3669">
      <w:pPr>
        <w:pStyle w:val="Heading2-noTOC"/>
      </w:pPr>
      <w:r>
        <w:t>More evidence is needed to support the case for expanding the use of financial mechanisms</w:t>
      </w:r>
    </w:p>
    <w:p w14:paraId="131DC789" w14:textId="77777777" w:rsidR="002E3669" w:rsidRDefault="002E3669" w:rsidP="002E3669">
      <w:pPr>
        <w:pStyle w:val="BodyText"/>
      </w:pPr>
      <w:r>
        <w:t>Understanding the effect on the targeted outcome is an important first step but further analysis is required to account for net impacts of the financial mechanism. For example, hospitals may have responded to the HACs funding adjustment by shifting their efforts towards activities that would reduce HACs and away from other activities not captured by the financial mechanism. We cannot be certain that patient safety improved overall. Better data collection and reporting on patient-reported outcome measures would help capture a fuller picture of whether this shift was beneficial in improving outcomes.</w:t>
      </w:r>
    </w:p>
    <w:p w14:paraId="787C88F1" w14:textId="77777777" w:rsidR="002E3669" w:rsidRDefault="002E3669" w:rsidP="002E3669">
      <w:pPr>
        <w:pStyle w:val="BodyText"/>
      </w:pPr>
      <w:r>
        <w:t xml:space="preserve">Gathering data on a broader list of complications would allow governments to trial expanding financial incentives to other types of complications. </w:t>
      </w:r>
    </w:p>
    <w:p w14:paraId="0E77296C" w14:textId="6D5FC43A" w:rsidR="002E3669" w:rsidRDefault="002E3669" w:rsidP="002E3669">
      <w:pPr>
        <w:pStyle w:val="BodyText"/>
      </w:pPr>
      <w:r>
        <w:t xml:space="preserve">Finally, financial mechanisms should not be the sole </w:t>
      </w:r>
      <w:r w:rsidR="008077A6">
        <w:t>approach</w:t>
      </w:r>
      <w:r>
        <w:t xml:space="preserve"> used by governments to improve care</w:t>
      </w:r>
      <w:r w:rsidR="00E35EB3">
        <w:t xml:space="preserve"> outcomes</w:t>
      </w:r>
      <w:r>
        <w:t xml:space="preserve">. The HACs funding adjustment was likely supported by a package of other initiatives that also played a role, </w:t>
      </w:r>
      <w:r w:rsidRPr="00471694">
        <w:t>such as promoting awareness of HACs</w:t>
      </w:r>
      <w:r>
        <w:t xml:space="preserve">. Prior research suggests the strongest impacts </w:t>
      </w:r>
      <w:r w:rsidR="00FB7FC3">
        <w:t>result</w:t>
      </w:r>
      <w:r>
        <w:t xml:space="preserve"> from a combination of financial incentives and programs to raise awareness of an issue.</w:t>
      </w:r>
    </w:p>
    <w:p w14:paraId="5E09574F" w14:textId="77777777" w:rsidR="003D0D71" w:rsidRDefault="003D0D71" w:rsidP="002E3669">
      <w:pPr>
        <w:pStyle w:val="BodyText"/>
      </w:pPr>
    </w:p>
    <w:p w14:paraId="3932342B" w14:textId="77777777" w:rsidR="003D0D71" w:rsidRDefault="003D0D71" w:rsidP="002E3669">
      <w:pPr>
        <w:pStyle w:val="BodyText"/>
        <w:sectPr w:rsidR="003D0D71" w:rsidSect="00FB4A43">
          <w:headerReference w:type="even" r:id="rId37"/>
          <w:footerReference w:type="even" r:id="rId38"/>
          <w:footerReference w:type="default" r:id="rId39"/>
          <w:headerReference w:type="first" r:id="rId40"/>
          <w:pgSz w:w="11906" w:h="16838" w:code="9"/>
          <w:pgMar w:top="1134" w:right="1134" w:bottom="1134" w:left="1134" w:header="794" w:footer="510" w:gutter="0"/>
          <w:pgNumType w:start="1"/>
          <w:cols w:space="708"/>
          <w:docGrid w:linePitch="360"/>
        </w:sectPr>
      </w:pPr>
    </w:p>
    <w:p w14:paraId="3A21F84B" w14:textId="1A9C8BAC" w:rsidR="00BA0AF0" w:rsidRPr="00FA4F7C" w:rsidRDefault="001C1FC5" w:rsidP="001B2E44">
      <w:pPr>
        <w:pStyle w:val="Heading1-nonumber"/>
      </w:pPr>
      <w:bookmarkStart w:id="4" w:name="_Toc224153238"/>
      <w:r>
        <w:lastRenderedPageBreak/>
        <w:t xml:space="preserve">Are </w:t>
      </w:r>
      <w:r w:rsidR="00BA0AF0" w:rsidRPr="00565E65">
        <w:t>f</w:t>
      </w:r>
      <w:r w:rsidR="00BA0AF0">
        <w:t xml:space="preserve">inancial mechanisms </w:t>
      </w:r>
      <w:r>
        <w:t>effective in r</w:t>
      </w:r>
      <w:r w:rsidR="00BA0AF0">
        <w:t>educ</w:t>
      </w:r>
      <w:r>
        <w:t>ing</w:t>
      </w:r>
      <w:r w:rsidR="00BA0AF0">
        <w:t xml:space="preserve"> HACs</w:t>
      </w:r>
      <w:r>
        <w:t>?</w:t>
      </w:r>
      <w:bookmarkEnd w:id="4"/>
    </w:p>
    <w:tbl>
      <w:tblPr>
        <w:tblStyle w:val="Texttable-Paleblue"/>
        <w:tblW w:w="5000" w:type="pct"/>
        <w:shd w:val="clear" w:color="auto" w:fill="E7F6FD"/>
        <w:tblLook w:val="04A0" w:firstRow="1" w:lastRow="0" w:firstColumn="1" w:lastColumn="0" w:noHBand="0" w:noVBand="1"/>
      </w:tblPr>
      <w:tblGrid>
        <w:gridCol w:w="577"/>
        <w:gridCol w:w="9061"/>
      </w:tblGrid>
      <w:tr w:rsidR="00BA0AF0" w:rsidRPr="002F759A" w14:paraId="44CDA9E2" w14:textId="77777777" w:rsidTr="00AB62C3">
        <w:tc>
          <w:tcPr>
            <w:tcW w:w="9638" w:type="dxa"/>
            <w:gridSpan w:val="2"/>
            <w:shd w:val="clear" w:color="auto" w:fill="E7F6FD"/>
            <w:tcMar>
              <w:left w:w="170" w:type="dxa"/>
            </w:tcMar>
          </w:tcPr>
          <w:p w14:paraId="443F2079" w14:textId="77777777" w:rsidR="00BA0AF0" w:rsidRPr="002F759A" w:rsidRDefault="00BA0AF0">
            <w:pPr>
              <w:pStyle w:val="Keypoints-heading"/>
            </w:pPr>
            <w:r w:rsidRPr="002F759A">
              <w:t>Key points</w:t>
            </w:r>
          </w:p>
        </w:tc>
      </w:tr>
      <w:tr w:rsidR="00BA0AF0" w14:paraId="69E02346" w14:textId="77777777" w:rsidTr="00AB62C3">
        <w:tc>
          <w:tcPr>
            <w:tcW w:w="577" w:type="dxa"/>
            <w:shd w:val="clear" w:color="auto" w:fill="E7F6FD"/>
            <w:tcMar>
              <w:top w:w="0" w:type="dxa"/>
              <w:bottom w:w="0" w:type="dxa"/>
              <w:right w:w="113" w:type="dxa"/>
            </w:tcMar>
          </w:tcPr>
          <w:p w14:paraId="20FB1A78" w14:textId="77777777" w:rsidR="00BA0AF0" w:rsidRDefault="00BA0AF0" w:rsidP="000C6B77">
            <w:pPr>
              <w:pStyle w:val="KeyPointsicon"/>
            </w:pPr>
            <w:r w:rsidRPr="00A51374">
              <w:rPr>
                <w:noProof/>
              </w:rPr>
              <w:drawing>
                <wp:inline distT="0" distB="0" distL="0" distR="0" wp14:anchorId="2699C01D" wp14:editId="736BD766">
                  <wp:extent cx="180000" cy="180000"/>
                  <wp:effectExtent l="0" t="0" r="0" b="0"/>
                  <wp:docPr id="1620289677" name="Graphic 1620289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C333F7D" w14:textId="77777777" w:rsidR="00BA0AF0" w:rsidRPr="00610627" w:rsidRDefault="00BA0AF0" w:rsidP="00610627">
            <w:pPr>
              <w:pStyle w:val="KeyPoints-Bold"/>
            </w:pPr>
            <w:r>
              <w:t>In 2018, the Australian Government implemented an adjustment to public hospital funding based on hospital</w:t>
            </w:r>
            <w:r>
              <w:noBreakHyphen/>
              <w:t>acquired complications (HACs).</w:t>
            </w:r>
          </w:p>
          <w:p w14:paraId="35178CB5" w14:textId="77777777" w:rsidR="00BA0AF0" w:rsidRPr="00CD580E" w:rsidRDefault="00BA0AF0" w:rsidP="00CD580E">
            <w:pPr>
              <w:pStyle w:val="KeyPoints-Bullet"/>
            </w:pPr>
            <w:r w:rsidRPr="00CD580E">
              <w:t>The funding adjustment reduces the amount of funding a local hospital network (LHN) receives based on the prevalence of HACs.</w:t>
            </w:r>
          </w:p>
          <w:p w14:paraId="637DBD9D" w14:textId="77777777" w:rsidR="00BA0AF0" w:rsidRDefault="00BA0AF0" w:rsidP="00CD580E">
            <w:pPr>
              <w:pStyle w:val="KeyPoints-Bullet"/>
            </w:pPr>
            <w:r w:rsidRPr="00CD580E">
              <w:t>A risk</w:t>
            </w:r>
            <w:r w:rsidRPr="00CD580E">
              <w:noBreakHyphen/>
              <w:t>adjustment model accounts for patient characteristics that influence the likelihood of HACs, ensuring hospitals that treat higher</w:t>
            </w:r>
            <w:r w:rsidRPr="00CD580E">
              <w:noBreakHyphen/>
              <w:t>risk patients are not disproportionately penalised.</w:t>
            </w:r>
          </w:p>
        </w:tc>
      </w:tr>
      <w:tr w:rsidR="00BA0AF0" w14:paraId="2732B0AA" w14:textId="77777777" w:rsidTr="00AB62C3">
        <w:tc>
          <w:tcPr>
            <w:tcW w:w="577" w:type="dxa"/>
            <w:shd w:val="clear" w:color="auto" w:fill="E7F6FD"/>
            <w:tcMar>
              <w:top w:w="0" w:type="dxa"/>
              <w:bottom w:w="0" w:type="dxa"/>
              <w:right w:w="113" w:type="dxa"/>
            </w:tcMar>
          </w:tcPr>
          <w:p w14:paraId="56B61C34" w14:textId="77777777" w:rsidR="00BA0AF0" w:rsidRPr="00A51374" w:rsidRDefault="00BA0AF0" w:rsidP="000C6B77">
            <w:pPr>
              <w:pStyle w:val="KeyPointsicon"/>
            </w:pPr>
            <w:r w:rsidRPr="00F31E73">
              <w:rPr>
                <w:noProof/>
              </w:rPr>
              <w:drawing>
                <wp:inline distT="0" distB="0" distL="0" distR="0" wp14:anchorId="0B334D1C" wp14:editId="4A21D1C2">
                  <wp:extent cx="180000" cy="180000"/>
                  <wp:effectExtent l="0" t="0" r="0" b="0"/>
                  <wp:docPr id="1090503268" name="Graphic 1090503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364E6B0" w14:textId="526183B7" w:rsidR="00BA0AF0" w:rsidRDefault="00BA0AF0" w:rsidP="00AB62C3">
            <w:pPr>
              <w:pStyle w:val="KeyPoints-Bold"/>
              <w:rPr>
                <w:color w:val="000000" w:themeColor="text1"/>
              </w:rPr>
            </w:pPr>
            <w:r>
              <w:t xml:space="preserve">This </w:t>
            </w:r>
            <w:r w:rsidR="00EE3CB2">
              <w:t>paper</w:t>
            </w:r>
            <w:r>
              <w:t xml:space="preserve"> looks at the impact of the funding adjustment through a</w:t>
            </w:r>
            <w:r w:rsidRPr="29711056">
              <w:t xml:space="preserve"> quasi</w:t>
            </w:r>
            <w:r>
              <w:noBreakHyphen/>
            </w:r>
            <w:r w:rsidRPr="29711056">
              <w:t>experimental study compar</w:t>
            </w:r>
            <w:r>
              <w:t>ing</w:t>
            </w:r>
            <w:r w:rsidRPr="29711056">
              <w:t xml:space="preserve"> </w:t>
            </w:r>
            <w:r>
              <w:t xml:space="preserve">the prevalence of the seven most common and expensive </w:t>
            </w:r>
            <w:r w:rsidRPr="29711056">
              <w:t>HAC</w:t>
            </w:r>
            <w:r>
              <w:t>s</w:t>
            </w:r>
            <w:r w:rsidRPr="29711056">
              <w:t xml:space="preserve"> in states and territories that passed the</w:t>
            </w:r>
            <w:r>
              <w:t xml:space="preserve"> funding adjustment on</w:t>
            </w:r>
            <w:r w:rsidRPr="29711056">
              <w:t xml:space="preserve"> to their LHNs (treat</w:t>
            </w:r>
            <w:r>
              <w:t>ment</w:t>
            </w:r>
            <w:r w:rsidRPr="29711056">
              <w:t xml:space="preserve"> group) with those that </w:t>
            </w:r>
            <w:r>
              <w:t>did not pass on the adjustment (control group)</w:t>
            </w:r>
            <w:r w:rsidRPr="29711056">
              <w:t>.</w:t>
            </w:r>
          </w:p>
          <w:p w14:paraId="70F2A1B6" w14:textId="77777777" w:rsidR="00BA0AF0" w:rsidRPr="00CD580E" w:rsidRDefault="00BA0AF0" w:rsidP="00CD580E">
            <w:pPr>
              <w:pStyle w:val="KeyPoints-Bullet"/>
            </w:pPr>
            <w:r w:rsidRPr="00CD580E">
              <w:t>We employ a difference</w:t>
            </w:r>
            <w:r w:rsidRPr="00CD580E">
              <w:noBreakHyphen/>
              <w:t>in</w:t>
            </w:r>
            <w:r w:rsidRPr="00CD580E">
              <w:noBreakHyphen/>
              <w:t>differences model to assess changes in the probability of an episode resulting in at least one of the studied HACs, comparing pre</w:t>
            </w:r>
            <w:r w:rsidRPr="00CD580E">
              <w:noBreakHyphen/>
              <w:t xml:space="preserve"> and post</w:t>
            </w:r>
            <w:r w:rsidRPr="00CD580E">
              <w:noBreakHyphen/>
              <w:t>implementation periods as well as participating and non</w:t>
            </w:r>
            <w:r w:rsidRPr="00CD580E">
              <w:noBreakHyphen/>
              <w:t>participating jurisdictions.</w:t>
            </w:r>
          </w:p>
        </w:tc>
      </w:tr>
      <w:tr w:rsidR="00BA0AF0" w14:paraId="24519AF4" w14:textId="77777777" w:rsidTr="00AB62C3">
        <w:tc>
          <w:tcPr>
            <w:tcW w:w="577" w:type="dxa"/>
            <w:shd w:val="clear" w:color="auto" w:fill="E7F6FD"/>
            <w:tcMar>
              <w:top w:w="0" w:type="dxa"/>
              <w:bottom w:w="0" w:type="dxa"/>
              <w:right w:w="113" w:type="dxa"/>
            </w:tcMar>
          </w:tcPr>
          <w:p w14:paraId="5EB032D0" w14:textId="77777777" w:rsidR="00BA0AF0" w:rsidRPr="00E043A1" w:rsidRDefault="00BA0AF0" w:rsidP="000C6B77">
            <w:pPr>
              <w:pStyle w:val="KeyPointsicon"/>
            </w:pPr>
            <w:r w:rsidRPr="00F31E73">
              <w:rPr>
                <w:noProof/>
              </w:rPr>
              <w:drawing>
                <wp:inline distT="0" distB="0" distL="0" distR="0" wp14:anchorId="0E78EE39" wp14:editId="5057C604">
                  <wp:extent cx="180000" cy="180000"/>
                  <wp:effectExtent l="0" t="0" r="0" b="0"/>
                  <wp:docPr id="415242665" name="Graphic 415242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89A333A" w14:textId="77777777" w:rsidR="00BA0AF0" w:rsidRDefault="00BA0AF0" w:rsidP="00AB62C3">
            <w:pPr>
              <w:pStyle w:val="KeyPoints-Bold"/>
            </w:pPr>
            <w:r>
              <w:t xml:space="preserve">The funding adjustment was associated with a reduction of about </w:t>
            </w:r>
            <w:r w:rsidRPr="00E043A1">
              <w:t>25%</w:t>
            </w:r>
            <w:r>
              <w:t xml:space="preserve"> in the probability of the studied HACs occurring. </w:t>
            </w:r>
          </w:p>
          <w:p w14:paraId="3EABED7F" w14:textId="77777777" w:rsidR="00BA0AF0" w:rsidRPr="00CD580E" w:rsidRDefault="00BA0AF0" w:rsidP="00CD580E">
            <w:pPr>
              <w:pStyle w:val="KeyPoints-Bullet"/>
            </w:pPr>
            <w:r w:rsidRPr="00CD580E">
              <w:t xml:space="preserve">This equates to a reduction in the rate of one of these HACs occurring from about 2.3% to 1.7%. </w:t>
            </w:r>
          </w:p>
          <w:p w14:paraId="64C2E82B" w14:textId="77777777" w:rsidR="00BA0AF0" w:rsidRPr="00D746FA" w:rsidRDefault="00BA0AF0" w:rsidP="00CD580E">
            <w:pPr>
              <w:pStyle w:val="KeyPoints-Bullet"/>
            </w:pPr>
            <w:r w:rsidRPr="00CD580E">
              <w:t>The funding adjustment was associated with statistically significant reductions in five HAC categories, which together accounted for more than 70% of HAC episodes.</w:t>
            </w:r>
          </w:p>
        </w:tc>
      </w:tr>
      <w:tr w:rsidR="00BA0AF0" w14:paraId="230AA12F" w14:textId="77777777" w:rsidTr="00AB62C3">
        <w:tc>
          <w:tcPr>
            <w:tcW w:w="577" w:type="dxa"/>
            <w:shd w:val="clear" w:color="auto" w:fill="E7F6FD"/>
            <w:tcMar>
              <w:top w:w="0" w:type="dxa"/>
              <w:bottom w:w="0" w:type="dxa"/>
              <w:right w:w="113" w:type="dxa"/>
            </w:tcMar>
          </w:tcPr>
          <w:p w14:paraId="69B25A9B" w14:textId="77777777" w:rsidR="00BA0AF0" w:rsidRPr="00A51374" w:rsidRDefault="00BA0AF0" w:rsidP="000C6B77">
            <w:pPr>
              <w:pStyle w:val="KeyPointsicon"/>
            </w:pPr>
            <w:r w:rsidRPr="00F31E73">
              <w:rPr>
                <w:noProof/>
              </w:rPr>
              <w:drawing>
                <wp:inline distT="0" distB="0" distL="0" distR="0" wp14:anchorId="525461F7" wp14:editId="0A3F2AC2">
                  <wp:extent cx="180000" cy="180000"/>
                  <wp:effectExtent l="0" t="0" r="0" b="0"/>
                  <wp:docPr id="341705380" name="Graphic 341705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A4ACF96" w14:textId="1920F0FE" w:rsidR="00BA0AF0" w:rsidRPr="00CD580E" w:rsidRDefault="007239E5" w:rsidP="003D0D71">
            <w:pPr>
              <w:pStyle w:val="KeyPoints-Bold"/>
              <w:spacing w:after="120"/>
              <w:rPr>
                <w:spacing w:val="-4"/>
              </w:rPr>
            </w:pPr>
            <w:r w:rsidRPr="00CD580E">
              <w:rPr>
                <w:spacing w:val="-4"/>
              </w:rPr>
              <w:t xml:space="preserve">Further research is needed to determine whether the focus on HACs affected other </w:t>
            </w:r>
            <w:r w:rsidR="00D4553D" w:rsidRPr="00CD580E">
              <w:rPr>
                <w:spacing w:val="-4"/>
              </w:rPr>
              <w:t>dimensions of care, and whether the improvement in HACs reflects a change in coding practices rather than real improvements</w:t>
            </w:r>
            <w:r w:rsidR="00BA0AF0" w:rsidRPr="00CD580E">
              <w:rPr>
                <w:spacing w:val="-4"/>
              </w:rPr>
              <w:t>.</w:t>
            </w:r>
          </w:p>
        </w:tc>
      </w:tr>
    </w:tbl>
    <w:p w14:paraId="31C95C1C" w14:textId="3BE80D65" w:rsidR="00CD580E" w:rsidRDefault="00CD580E" w:rsidP="00AB62C3">
      <w:pPr>
        <w:pStyle w:val="NoSpacing"/>
      </w:pPr>
    </w:p>
    <w:p w14:paraId="5056BF32" w14:textId="77777777" w:rsidR="00CD580E" w:rsidRDefault="00CD580E">
      <w:pPr>
        <w:spacing w:before="0" w:after="160" w:line="259" w:lineRule="auto"/>
      </w:pPr>
      <w:r>
        <w:br w:type="page"/>
      </w:r>
    </w:p>
    <w:p w14:paraId="408B4BE6" w14:textId="586A27E0" w:rsidR="00CA753F" w:rsidRDefault="00CA753F" w:rsidP="00F206EE">
      <w:pPr>
        <w:pStyle w:val="Heading2-nonumber"/>
        <w:numPr>
          <w:ilvl w:val="0"/>
          <w:numId w:val="22"/>
        </w:numPr>
        <w:ind w:left="567" w:hanging="567"/>
      </w:pPr>
      <w:bookmarkStart w:id="5" w:name="_Toc224153239"/>
      <w:r>
        <w:lastRenderedPageBreak/>
        <w:t>Introduction</w:t>
      </w:r>
      <w:bookmarkEnd w:id="5"/>
    </w:p>
    <w:p w14:paraId="03688F4C" w14:textId="201AC46D" w:rsidR="00076441" w:rsidRPr="005A54FD" w:rsidRDefault="002B373C" w:rsidP="005A54FD">
      <w:pPr>
        <w:pStyle w:val="BodyText"/>
      </w:pPr>
      <w:r w:rsidRPr="005A54FD">
        <w:t xml:space="preserve">Australia </w:t>
      </w:r>
      <w:r w:rsidR="006D38D0" w:rsidRPr="005A54FD">
        <w:t>has relied on</w:t>
      </w:r>
      <w:r w:rsidRPr="005A54FD">
        <w:t xml:space="preserve"> </w:t>
      </w:r>
      <w:proofErr w:type="gramStart"/>
      <w:r w:rsidR="0082081A">
        <w:t>a</w:t>
      </w:r>
      <w:r w:rsidRPr="005A54FD">
        <w:t xml:space="preserve">ctivity </w:t>
      </w:r>
      <w:r w:rsidR="0082081A">
        <w:t>b</w:t>
      </w:r>
      <w:r w:rsidRPr="005A54FD">
        <w:t>ased</w:t>
      </w:r>
      <w:proofErr w:type="gramEnd"/>
      <w:r w:rsidRPr="005A54FD">
        <w:t xml:space="preserve"> </w:t>
      </w:r>
      <w:r w:rsidR="0082081A">
        <w:t>f</w:t>
      </w:r>
      <w:r w:rsidRPr="005A54FD">
        <w:t xml:space="preserve">unding (ABF) </w:t>
      </w:r>
      <w:r w:rsidR="006D38D0" w:rsidRPr="005A54FD">
        <w:t>to fund its</w:t>
      </w:r>
      <w:r w:rsidRPr="005A54FD">
        <w:t xml:space="preserve"> hospitals </w:t>
      </w:r>
      <w:r w:rsidR="006D38D0" w:rsidRPr="005A54FD">
        <w:t>since the early 1990s</w:t>
      </w:r>
      <w:r w:rsidR="00985C1E" w:rsidRPr="005A54FD">
        <w:t xml:space="preserve">, as do many </w:t>
      </w:r>
      <w:r w:rsidRPr="005A54FD">
        <w:t xml:space="preserve">OECD countries (OECD 2016, p. 47). Hospitals receive compensation for each procedure, in line with </w:t>
      </w:r>
      <w:r w:rsidR="00AC1D91">
        <w:t>its</w:t>
      </w:r>
      <w:r w:rsidRPr="005A54FD">
        <w:t xml:space="preserve"> average cost. ABF </w:t>
      </w:r>
      <w:r w:rsidR="00C470D6" w:rsidRPr="005A54FD">
        <w:t>ha</w:t>
      </w:r>
      <w:r w:rsidR="00985C1E" w:rsidRPr="005A54FD">
        <w:t>s</w:t>
      </w:r>
      <w:r w:rsidR="00C470D6" w:rsidRPr="005A54FD">
        <w:t xml:space="preserve"> proven effective at </w:t>
      </w:r>
      <w:r w:rsidRPr="005A54FD">
        <w:t>deliver</w:t>
      </w:r>
      <w:r w:rsidR="00C470D6" w:rsidRPr="005A54FD">
        <w:t>ing</w:t>
      </w:r>
      <w:r w:rsidRPr="005A54FD">
        <w:t xml:space="preserve"> </w:t>
      </w:r>
      <w:r w:rsidR="007B6DAF" w:rsidRPr="005A54FD">
        <w:t xml:space="preserve">hospital services in </w:t>
      </w:r>
      <w:r w:rsidR="00076441" w:rsidRPr="005A54FD">
        <w:t xml:space="preserve">high volumes and </w:t>
      </w:r>
      <w:r w:rsidR="007B6DAF" w:rsidRPr="005A54FD">
        <w:t xml:space="preserve">at </w:t>
      </w:r>
      <w:r w:rsidR="00076441" w:rsidRPr="005A54FD">
        <w:t>low cost</w:t>
      </w:r>
      <w:r w:rsidRPr="005A54FD">
        <w:t>, keeping public hospital cost escalation below health</w:t>
      </w:r>
      <w:r w:rsidRPr="005A54FD">
        <w:noBreakHyphen/>
        <w:t xml:space="preserve">related inflation in Australia </w:t>
      </w:r>
      <w:r w:rsidR="00F56591" w:rsidRPr="00F56591">
        <w:rPr>
          <w:rFonts w:ascii="Arial" w:hAnsi="Arial" w:cs="Arial"/>
          <w:szCs w:val="24"/>
        </w:rPr>
        <w:t>(Huxtable 2023, pp. 1, 57)</w:t>
      </w:r>
      <w:r w:rsidRPr="005A54FD">
        <w:t>. However, ABF does not</w:t>
      </w:r>
      <w:r w:rsidRPr="005A54FD" w:rsidDel="004C13C1">
        <w:t xml:space="preserve"> </w:t>
      </w:r>
      <w:r w:rsidRPr="005A54FD">
        <w:t>necessarily promote quality and safety of care (OECD 2016, p. 42)</w:t>
      </w:r>
      <w:r w:rsidR="00076441" w:rsidRPr="005A54FD">
        <w:t>.</w:t>
      </w:r>
    </w:p>
    <w:p w14:paraId="654B5A69" w14:textId="6D5A33D0" w:rsidR="007B3C5E" w:rsidRPr="00636B1E" w:rsidRDefault="00C80834" w:rsidP="003E3B3C">
      <w:pPr>
        <w:pStyle w:val="BodyText"/>
      </w:pPr>
      <w:r>
        <w:t xml:space="preserve">Countries have experimented with supplementary financial mechanisms </w:t>
      </w:r>
      <w:proofErr w:type="gramStart"/>
      <w:r w:rsidR="005A6FC9">
        <w:t>in order to</w:t>
      </w:r>
      <w:proofErr w:type="gramEnd"/>
      <w:r w:rsidR="005A6FC9">
        <w:t xml:space="preserve"> incentivise a greater focus on the </w:t>
      </w:r>
      <w:r w:rsidR="007B6DAF">
        <w:t>quality and safety</w:t>
      </w:r>
      <w:r w:rsidR="005A6FC9">
        <w:t xml:space="preserve"> of care. </w:t>
      </w:r>
      <w:r w:rsidR="00B912D8">
        <w:t xml:space="preserve">These financial mechanisms have generally taken the form of a </w:t>
      </w:r>
      <w:r w:rsidR="004E77A0">
        <w:t xml:space="preserve">small penalty if certain negative outcomes take place (or a reward if positive outcomes occur). </w:t>
      </w:r>
      <w:r w:rsidR="007B3C5E" w:rsidRPr="00636B1E">
        <w:t>For example:</w:t>
      </w:r>
    </w:p>
    <w:p w14:paraId="16D85A32" w14:textId="4E7FD409" w:rsidR="007B3C5E" w:rsidRPr="00636B1E" w:rsidRDefault="007B3C5E" w:rsidP="007B3C5E">
      <w:pPr>
        <w:pStyle w:val="ListBullet"/>
      </w:pPr>
      <w:r w:rsidRPr="00636B1E">
        <w:t xml:space="preserve">the </w:t>
      </w:r>
      <w:r w:rsidR="00F271DB">
        <w:t>US</w:t>
      </w:r>
      <w:r w:rsidRPr="00636B1E">
        <w:t xml:space="preserve"> Value</w:t>
      </w:r>
      <w:r w:rsidRPr="00636B1E">
        <w:noBreakHyphen/>
        <w:t>based Purchasing Program (VBPP) redistributes funding toward high</w:t>
      </w:r>
      <w:r w:rsidRPr="00636B1E">
        <w:noBreakHyphen/>
        <w:t>performing hospitals. Under the program, 2% of hospitals’ Medicare funding is withheld and used to reward high</w:t>
      </w:r>
      <w:r w:rsidRPr="00636B1E">
        <w:noBreakHyphen/>
        <w:t>performing hospital</w:t>
      </w:r>
      <w:r w:rsidR="00273305">
        <w:t>s</w:t>
      </w:r>
      <w:r w:rsidRPr="00636B1E">
        <w:t xml:space="preserve">. Performance is scored against a range of metrics including mortality and complications, consumer experience, efficiency and cost reduction </w:t>
      </w:r>
      <w:r w:rsidR="00F56591" w:rsidRPr="00F56591">
        <w:rPr>
          <w:rFonts w:ascii="Arial" w:hAnsi="Arial" w:cs="Arial"/>
          <w:szCs w:val="24"/>
        </w:rPr>
        <w:t>(Centres for Medicare &amp; Medicaid Services 2024)</w:t>
      </w:r>
    </w:p>
    <w:p w14:paraId="0508E0CC" w14:textId="7635B019" w:rsidR="007B3C5E" w:rsidRPr="00636B1E" w:rsidRDefault="007B3C5E" w:rsidP="007B3C5E">
      <w:pPr>
        <w:pStyle w:val="ListBullet"/>
      </w:pPr>
      <w:r w:rsidRPr="00636B1E">
        <w:t>the UK’s Best Practice Tariffs (BPTs)</w:t>
      </w:r>
      <w:r w:rsidR="00050DDA">
        <w:t>:</w:t>
      </w:r>
      <w:r w:rsidRPr="00636B1E">
        <w:t xml:space="preserve"> Hospitals </w:t>
      </w:r>
      <w:r w:rsidR="006C2816">
        <w:t>we</w:t>
      </w:r>
      <w:r w:rsidRPr="00636B1E">
        <w:t>re paid a BPT when they met a set of criteria for process</w:t>
      </w:r>
      <w:r w:rsidR="007259FF">
        <w:t>es</w:t>
      </w:r>
      <w:r w:rsidRPr="00636B1E">
        <w:t xml:space="preserve"> of care that align with best practice</w:t>
      </w:r>
      <w:r w:rsidR="00C26B7C">
        <w:t xml:space="preserve">. The BPT reflected </w:t>
      </w:r>
      <w:r w:rsidRPr="00636B1E">
        <w:t>the average cost of providing that care; alternatively, they receive</w:t>
      </w:r>
      <w:r w:rsidR="006C2816">
        <w:t>d</w:t>
      </w:r>
      <w:r w:rsidRPr="00636B1E">
        <w:t xml:space="preserve"> a conventional or base price when they d</w:t>
      </w:r>
      <w:r w:rsidR="006C2816">
        <w:t>id</w:t>
      </w:r>
      <w:r w:rsidRPr="00636B1E">
        <w:t xml:space="preserve"> not meet the criteria</w:t>
      </w:r>
      <w:r w:rsidR="00B56D6F">
        <w:t xml:space="preserve"> </w:t>
      </w:r>
      <w:r w:rsidRPr="00636B1E">
        <w:t>(OECD 2016)</w:t>
      </w:r>
      <w:r w:rsidR="00B56D6F">
        <w:t xml:space="preserve">. Recently these tariffs </w:t>
      </w:r>
      <w:r w:rsidR="00B22A9A">
        <w:t xml:space="preserve">were combined with other elements to form part of the variable element of payment to hospitals </w:t>
      </w:r>
      <w:r w:rsidR="00055C4A">
        <w:t>(</w:t>
      </w:r>
      <w:r w:rsidR="005603BA" w:rsidRPr="005734B9">
        <w:t>NHS England</w:t>
      </w:r>
      <w:r w:rsidR="005603BA">
        <w:t xml:space="preserve"> 2025</w:t>
      </w:r>
      <w:r w:rsidR="00055C4A">
        <w:t>).</w:t>
      </w:r>
    </w:p>
    <w:p w14:paraId="40A4A12A" w14:textId="7F65E861" w:rsidR="007B3C5E" w:rsidRPr="00636B1E" w:rsidRDefault="007B3C5E" w:rsidP="007B3C5E">
      <w:pPr>
        <w:pStyle w:val="ListBullet"/>
      </w:pPr>
      <w:r w:rsidRPr="00636B1E">
        <w:t>Norway’s Quality</w:t>
      </w:r>
      <w:r w:rsidRPr="00636B1E">
        <w:noBreakHyphen/>
        <w:t xml:space="preserve">based Financing Scheme (QBF) is a </w:t>
      </w:r>
      <w:r w:rsidR="00050DDA">
        <w:t xml:space="preserve">supplementary </w:t>
      </w:r>
      <w:r w:rsidRPr="00636B1E">
        <w:t>paymen</w:t>
      </w:r>
      <w:r w:rsidR="00050DDA">
        <w:t>t</w:t>
      </w:r>
      <w:r w:rsidRPr="00636B1E">
        <w:t xml:space="preserve"> that rewards hospitals for their reporting quality, minimum performance level, best performance and best relative performance across a range of indicators. Indicators range across several areas and the reward payment is weighted against their relative contribution. Indicators are based on outcome (weighted 50%), patient satisfaction (weighted 30%) and process of care (weighted 20%) (Huus and </w:t>
      </w:r>
      <w:proofErr w:type="spellStart"/>
      <w:r w:rsidRPr="00636B1E">
        <w:t>Baardseng</w:t>
      </w:r>
      <w:proofErr w:type="spellEnd"/>
      <w:r w:rsidRPr="00636B1E">
        <w:t> 2019).</w:t>
      </w:r>
    </w:p>
    <w:p w14:paraId="06C7A4CC" w14:textId="6636202F" w:rsidR="007B3C5E" w:rsidRDefault="007B3C5E" w:rsidP="007B3C5E">
      <w:pPr>
        <w:pStyle w:val="BodyText"/>
      </w:pPr>
      <w:r w:rsidRPr="00636B1E">
        <w:t xml:space="preserve">How successful different financial mechanisms are in influencing outcomes has been extensively evaluated, consistently finding mixed results </w:t>
      </w:r>
      <w:r w:rsidR="00F56591" w:rsidRPr="00F56591">
        <w:rPr>
          <w:rFonts w:ascii="Arial" w:hAnsi="Arial" w:cs="Arial"/>
          <w:szCs w:val="24"/>
        </w:rPr>
        <w:t xml:space="preserve">(Milstein and </w:t>
      </w:r>
      <w:proofErr w:type="spellStart"/>
      <w:r w:rsidR="00F56591" w:rsidRPr="00F56591">
        <w:rPr>
          <w:rFonts w:ascii="Arial" w:hAnsi="Arial" w:cs="Arial"/>
          <w:szCs w:val="24"/>
        </w:rPr>
        <w:t>Schreyoegg</w:t>
      </w:r>
      <w:proofErr w:type="spellEnd"/>
      <w:r w:rsidR="00F56591" w:rsidRPr="00F56591">
        <w:rPr>
          <w:rFonts w:ascii="Arial" w:hAnsi="Arial" w:cs="Arial"/>
          <w:szCs w:val="24"/>
        </w:rPr>
        <w:t xml:space="preserve"> 2016; Scott et al. 2018; Scott and </w:t>
      </w:r>
      <w:proofErr w:type="spellStart"/>
      <w:r w:rsidR="00F56591" w:rsidRPr="00F56591">
        <w:rPr>
          <w:rFonts w:ascii="Arial" w:hAnsi="Arial" w:cs="Arial"/>
          <w:szCs w:val="24"/>
        </w:rPr>
        <w:t>Ouakrim</w:t>
      </w:r>
      <w:proofErr w:type="spellEnd"/>
      <w:r w:rsidR="00F56591" w:rsidRPr="00F56591">
        <w:rPr>
          <w:rFonts w:ascii="Arial" w:hAnsi="Arial" w:cs="Arial"/>
          <w:szCs w:val="24"/>
        </w:rPr>
        <w:t xml:space="preserve"> 2011; </w:t>
      </w:r>
      <w:proofErr w:type="spellStart"/>
      <w:r w:rsidR="00F56591" w:rsidRPr="00F56591">
        <w:rPr>
          <w:rFonts w:ascii="Arial" w:hAnsi="Arial" w:cs="Arial"/>
          <w:szCs w:val="24"/>
        </w:rPr>
        <w:t>Slawomirski</w:t>
      </w:r>
      <w:proofErr w:type="spellEnd"/>
      <w:r w:rsidR="00F56591" w:rsidRPr="00F56591">
        <w:rPr>
          <w:rFonts w:ascii="Arial" w:hAnsi="Arial" w:cs="Arial"/>
          <w:szCs w:val="24"/>
        </w:rPr>
        <w:t xml:space="preserve"> et al. 2024b)</w:t>
      </w:r>
      <w:r w:rsidRPr="00636B1E">
        <w:t xml:space="preserve">. For example, one study identified a positive impact on about half of the outcomes being targeted, although the success rate was slightly less for those mechanisms looking only at hospital care (Scott et al. 2018). Studies of higher quality tend to find a lesser effect </w:t>
      </w:r>
      <w:r w:rsidR="00F56591" w:rsidRPr="00F56591">
        <w:rPr>
          <w:rFonts w:ascii="Arial" w:hAnsi="Arial" w:cs="Arial"/>
          <w:szCs w:val="24"/>
        </w:rPr>
        <w:t>(</w:t>
      </w:r>
      <w:proofErr w:type="spellStart"/>
      <w:r w:rsidR="00F56591" w:rsidRPr="00F56591">
        <w:rPr>
          <w:rFonts w:ascii="Arial" w:hAnsi="Arial" w:cs="Arial"/>
          <w:szCs w:val="24"/>
        </w:rPr>
        <w:t>Slawomirski</w:t>
      </w:r>
      <w:proofErr w:type="spellEnd"/>
      <w:r w:rsidR="00F56591" w:rsidRPr="00F56591">
        <w:rPr>
          <w:rFonts w:ascii="Arial" w:hAnsi="Arial" w:cs="Arial"/>
          <w:szCs w:val="24"/>
        </w:rPr>
        <w:t xml:space="preserve"> et al. 2024b)</w:t>
      </w:r>
      <w:r w:rsidRPr="00636B1E">
        <w:t xml:space="preserve">. </w:t>
      </w:r>
    </w:p>
    <w:p w14:paraId="640E7117" w14:textId="6CBA38D2" w:rsidR="001B2E44" w:rsidRPr="00DD50DE" w:rsidRDefault="001F2899" w:rsidP="001B2E44">
      <w:pPr>
        <w:pStyle w:val="BodyText"/>
        <w:rPr>
          <w:spacing w:val="2"/>
        </w:rPr>
      </w:pPr>
      <w:r w:rsidRPr="00DD50DE">
        <w:rPr>
          <w:spacing w:val="2"/>
        </w:rPr>
        <w:t xml:space="preserve">Australia has experimented less with financial mechanisms </w:t>
      </w:r>
      <w:r w:rsidR="00695924" w:rsidRPr="00DD50DE">
        <w:rPr>
          <w:spacing w:val="2"/>
        </w:rPr>
        <w:t xml:space="preserve">for quality and safety </w:t>
      </w:r>
      <w:r w:rsidRPr="00DD50DE">
        <w:rPr>
          <w:spacing w:val="2"/>
        </w:rPr>
        <w:t xml:space="preserve">than some other OECD countries. </w:t>
      </w:r>
      <w:r w:rsidR="006C1522" w:rsidRPr="00DD50DE">
        <w:rPr>
          <w:spacing w:val="2"/>
        </w:rPr>
        <w:t xml:space="preserve">From 2011 to 2014 there were </w:t>
      </w:r>
      <w:r w:rsidR="00BB4525" w:rsidRPr="00DD50DE">
        <w:rPr>
          <w:spacing w:val="2"/>
        </w:rPr>
        <w:t xml:space="preserve">rewards for meeting targets of timeliness in elective surgery and emergency departments, and </w:t>
      </w:r>
      <w:r w:rsidR="00672119" w:rsidRPr="00DD50DE">
        <w:rPr>
          <w:spacing w:val="2"/>
        </w:rPr>
        <w:t xml:space="preserve">some </w:t>
      </w:r>
      <w:r w:rsidR="00F41FD6" w:rsidRPr="00DD50DE">
        <w:rPr>
          <w:spacing w:val="2"/>
        </w:rPr>
        <w:t>are still in place as part of state and territory hospital service agreements</w:t>
      </w:r>
      <w:r w:rsidR="00672119" w:rsidRPr="00DD50DE">
        <w:rPr>
          <w:spacing w:val="2"/>
        </w:rPr>
        <w:t xml:space="preserve"> (</w:t>
      </w:r>
      <w:r w:rsidR="001B2E44" w:rsidRPr="00DD50DE">
        <w:rPr>
          <w:spacing w:val="2"/>
        </w:rPr>
        <w:t>b</w:t>
      </w:r>
      <w:r w:rsidR="00672119" w:rsidRPr="00DD50DE">
        <w:rPr>
          <w:spacing w:val="2"/>
        </w:rPr>
        <w:t>ox 1)</w:t>
      </w:r>
      <w:r w:rsidR="00F41FD6" w:rsidRPr="00DD50DE">
        <w:rPr>
          <w:spacing w:val="2"/>
        </w:rPr>
        <w:t>.</w:t>
      </w:r>
    </w:p>
    <w:p w14:paraId="6008AD94" w14:textId="718F54C5" w:rsidR="007B3C5E" w:rsidRDefault="00CF35D3" w:rsidP="001B2E44">
      <w:pPr>
        <w:pStyle w:val="BodyText"/>
      </w:pPr>
      <w:r>
        <w:t>Recently</w:t>
      </w:r>
      <w:r w:rsidR="009D127B">
        <w:t xml:space="preserve"> Australia introduced a financial penalty for certain types of hospital-acquired complications. </w:t>
      </w:r>
      <w:r w:rsidR="007B3C5E" w:rsidRPr="00BD37B2">
        <w:t>Funding adjustments were introduced</w:t>
      </w:r>
      <w:r w:rsidR="008B7AC8">
        <w:t xml:space="preserve"> gradually</w:t>
      </w:r>
      <w:r w:rsidR="007B3C5E" w:rsidRPr="00BD37B2">
        <w:t xml:space="preserve"> </w:t>
      </w:r>
      <w:r w:rsidR="00C155A0">
        <w:t xml:space="preserve">in Australia’s public hospitals </w:t>
      </w:r>
      <w:r>
        <w:t>from 201</w:t>
      </w:r>
      <w:r w:rsidR="008B7AC8">
        <w:t>7</w:t>
      </w:r>
      <w:r>
        <w:t xml:space="preserve"> to</w:t>
      </w:r>
      <w:r w:rsidR="007B3C5E" w:rsidRPr="00BD37B2">
        <w:t xml:space="preserve"> ensure th</w:t>
      </w:r>
      <w:r w:rsidR="00F83642">
        <w:t xml:space="preserve">at hospitals </w:t>
      </w:r>
      <w:r w:rsidR="001D6BF0">
        <w:t>would</w:t>
      </w:r>
      <w:r w:rsidR="008C4D6E">
        <w:t xml:space="preserve"> not recover</w:t>
      </w:r>
      <w:r w:rsidR="007B3C5E" w:rsidRPr="00BD37B2">
        <w:t xml:space="preserve"> the </w:t>
      </w:r>
      <w:r w:rsidR="005F6C4D">
        <w:t xml:space="preserve">full </w:t>
      </w:r>
      <w:r w:rsidR="007B3C5E" w:rsidRPr="00BD37B2">
        <w:t>incremental costs incurred because of HACs</w:t>
      </w:r>
      <w:r w:rsidR="005F6C4D">
        <w:t xml:space="preserve"> and</w:t>
      </w:r>
      <w:r w:rsidR="007B3C5E" w:rsidRPr="00BD37B2">
        <w:t xml:space="preserve"> avoidable hospital readmissions (AHRs) </w:t>
      </w:r>
      <w:r w:rsidR="005F6C4D">
        <w:t xml:space="preserve">and </w:t>
      </w:r>
      <w:r w:rsidR="001D6BF0">
        <w:t xml:space="preserve">would not receive any payment for </w:t>
      </w:r>
      <w:r w:rsidR="005F6C4D">
        <w:t xml:space="preserve">treatment in </w:t>
      </w:r>
      <w:r w:rsidR="007B3C5E" w:rsidRPr="00BD37B2">
        <w:t>sentinel events</w:t>
      </w:r>
      <w:r w:rsidR="001E72AC">
        <w:t>.</w:t>
      </w:r>
      <w:r w:rsidR="001D6BF0">
        <w:rPr>
          <w:rStyle w:val="FootnoteReference"/>
        </w:rPr>
        <w:footnoteReference w:id="3"/>
      </w:r>
      <w:r w:rsidR="007B3C5E" w:rsidRPr="00BD37B2">
        <w:t xml:space="preserve"> </w:t>
      </w:r>
      <w:r w:rsidR="00D03D9E">
        <w:t xml:space="preserve">This research paper </w:t>
      </w:r>
      <w:r w:rsidR="006C3967">
        <w:t>seeks to measure</w:t>
      </w:r>
      <w:r w:rsidR="00D03D9E">
        <w:t xml:space="preserve"> the impact of this financial penalty on</w:t>
      </w:r>
      <w:r w:rsidR="006C3967">
        <w:t xml:space="preserve"> rates of hospital-acquired complications.</w:t>
      </w:r>
      <w:r w:rsidR="00D52943">
        <w:t xml:space="preserve"> T</w:t>
      </w:r>
      <w:r w:rsidR="002556FB">
        <w:t>he introduction of the penalty seems to have had a significant impact on HAC rates. We discuss the evidence and the implicati</w:t>
      </w:r>
      <w:r w:rsidR="00050DDA">
        <w:t>on</w:t>
      </w:r>
      <w:r w:rsidR="002556FB">
        <w:t>s.</w:t>
      </w:r>
    </w:p>
    <w:p w14:paraId="23AE6387" w14:textId="77777777" w:rsidR="00672119" w:rsidRPr="00BC67A5" w:rsidRDefault="00672119" w:rsidP="001B2E44">
      <w:pPr>
        <w:pStyle w:val="NoSpacing"/>
      </w:pPr>
    </w:p>
    <w:tbl>
      <w:tblPr>
        <w:tblStyle w:val="Boxtable"/>
        <w:tblW w:w="9638" w:type="dxa"/>
        <w:tblLook w:val="04A0" w:firstRow="1" w:lastRow="0" w:firstColumn="1" w:lastColumn="0" w:noHBand="0" w:noVBand="1"/>
      </w:tblPr>
      <w:tblGrid>
        <w:gridCol w:w="9638"/>
      </w:tblGrid>
      <w:tr w:rsidR="00672119" w14:paraId="29D57901" w14:textId="77777777" w:rsidTr="00AB62C3">
        <w:trPr>
          <w:trHeight w:val="300"/>
          <w:tblHeader/>
        </w:trPr>
        <w:tc>
          <w:tcPr>
            <w:tcW w:w="9638" w:type="dxa"/>
            <w:shd w:val="clear" w:color="auto" w:fill="EBEBEB"/>
            <w:tcMar>
              <w:top w:w="170" w:type="dxa"/>
              <w:left w:w="170" w:type="dxa"/>
              <w:bottom w:w="113" w:type="dxa"/>
              <w:right w:w="170" w:type="dxa"/>
            </w:tcMar>
            <w:hideMark/>
          </w:tcPr>
          <w:p w14:paraId="742CF7B9" w14:textId="1A2DE012" w:rsidR="00672119" w:rsidRPr="00D07B3B" w:rsidRDefault="00672119" w:rsidP="00AB62C3">
            <w:pPr>
              <w:pStyle w:val="BoxHeading1"/>
            </w:pPr>
            <w:r w:rsidRPr="00D07B3B">
              <w:lastRenderedPageBreak/>
              <w:t>Box</w:t>
            </w:r>
            <w:r>
              <w:t xml:space="preserve"> </w:t>
            </w:r>
            <w:r w:rsidRPr="00D07B3B">
              <w:t>1 –</w:t>
            </w:r>
            <w:r w:rsidR="002C46FE">
              <w:t xml:space="preserve"> F</w:t>
            </w:r>
            <w:r w:rsidR="008718BD">
              <w:t xml:space="preserve">inancial mechanisms </w:t>
            </w:r>
            <w:r w:rsidR="002C46FE">
              <w:t xml:space="preserve">for quality and safety </w:t>
            </w:r>
            <w:r w:rsidR="008718BD">
              <w:t>in Australia</w:t>
            </w:r>
            <w:r w:rsidR="002C46FE">
              <w:t>n hospitals</w:t>
            </w:r>
          </w:p>
          <w:p w14:paraId="0DF341AA" w14:textId="0C917DB8" w:rsidR="008718BD" w:rsidRPr="00636B1E" w:rsidRDefault="008718BD" w:rsidP="008718BD">
            <w:pPr>
              <w:pStyle w:val="BodyText"/>
              <w:keepNext/>
            </w:pPr>
            <w:r>
              <w:t>From 2011 to 2014</w:t>
            </w:r>
            <w:r w:rsidRPr="00636B1E">
              <w:t xml:space="preserve">, as part of the original NHRA, </w:t>
            </w:r>
            <w:r w:rsidR="00A142B2">
              <w:t>t</w:t>
            </w:r>
            <w:r w:rsidRPr="00636B1E">
              <w:t xml:space="preserve">he Australian Government committed $1.55 billion to incentivise states and territories to meet annual </w:t>
            </w:r>
            <w:r w:rsidR="00A142B2">
              <w:t>National Elective Surgery Targets (</w:t>
            </w:r>
            <w:r w:rsidRPr="00636B1E">
              <w:t>NEST</w:t>
            </w:r>
            <w:r w:rsidR="00A142B2">
              <w:t>)</w:t>
            </w:r>
            <w:r w:rsidRPr="00636B1E">
              <w:t xml:space="preserve"> and </w:t>
            </w:r>
            <w:r w:rsidR="00A142B2">
              <w:t>National E</w:t>
            </w:r>
            <w:r w:rsidR="00311599">
              <w:t xml:space="preserve">mergency Access </w:t>
            </w:r>
            <w:r w:rsidR="00AC5B47">
              <w:t xml:space="preserve">Targets </w:t>
            </w:r>
            <w:r w:rsidR="00311599">
              <w:t>(</w:t>
            </w:r>
            <w:r w:rsidRPr="00636B1E">
              <w:t>NEAT</w:t>
            </w:r>
            <w:r w:rsidR="00311599">
              <w:t>)</w:t>
            </w:r>
            <w:r w:rsidRPr="00636B1E">
              <w:t>:</w:t>
            </w:r>
          </w:p>
          <w:p w14:paraId="482AC9EF" w14:textId="77777777" w:rsidR="008718BD" w:rsidRPr="00636B1E" w:rsidRDefault="008718BD" w:rsidP="008718BD">
            <w:pPr>
              <w:pStyle w:val="ListBullet"/>
            </w:pPr>
            <w:r w:rsidRPr="00636B1E">
              <w:t>NEST: 100% of patients in each urgency category for elective surgery would be seen within the clinically recommended times. It also set targets for the number of days a patient should wait if they exceeded the clinically recommended times and required the 10% of patients who had waited the longest beyond the clinically recommended time for surgery to be seen within that year.</w:t>
            </w:r>
          </w:p>
          <w:p w14:paraId="2C91B1FD" w14:textId="46283404" w:rsidR="008718BD" w:rsidRPr="00636B1E" w:rsidRDefault="008718BD" w:rsidP="008718BD">
            <w:pPr>
              <w:pStyle w:val="ListBullet"/>
            </w:pPr>
            <w:r w:rsidRPr="00636B1E">
              <w:t>NEAT: 90% of all patients presenting to an emergency department either be admitted, referred to another hospital for treatment, or discharged within four hours (AMA 2023, pp. 5–6).</w:t>
            </w:r>
          </w:p>
          <w:p w14:paraId="6C65FA6B" w14:textId="54A1BA37" w:rsidR="008718BD" w:rsidRPr="00636B1E" w:rsidRDefault="008718BD" w:rsidP="008718BD">
            <w:pPr>
              <w:pStyle w:val="BodyText"/>
              <w:keepNext/>
            </w:pPr>
            <w:r w:rsidRPr="00636B1E">
              <w:t xml:space="preserve">Meanwhile, a number of </w:t>
            </w:r>
            <w:proofErr w:type="gramStart"/>
            <w:r w:rsidRPr="00636B1E">
              <w:t>performance</w:t>
            </w:r>
            <w:proofErr w:type="gramEnd"/>
            <w:r w:rsidRPr="00636B1E">
              <w:noBreakHyphen/>
              <w:t>based incentives for hospitals have been implemented by state and territory governments</w:t>
            </w:r>
            <w:r w:rsidR="00E377E2">
              <w:t>. F</w:t>
            </w:r>
            <w:r w:rsidRPr="00636B1E">
              <w:t xml:space="preserve">or example: </w:t>
            </w:r>
          </w:p>
          <w:p w14:paraId="1F44CDF7" w14:textId="2B1C9551" w:rsidR="008718BD" w:rsidRPr="00636B1E" w:rsidRDefault="008718BD" w:rsidP="008718BD">
            <w:pPr>
              <w:pStyle w:val="ListBullet"/>
            </w:pPr>
            <w:r w:rsidRPr="00636B1E">
              <w:t>Queensland uses performance payments, which aim to incentivise high</w:t>
            </w:r>
            <w:r w:rsidRPr="00636B1E">
              <w:noBreakHyphen/>
              <w:t>quality and high</w:t>
            </w:r>
            <w:r w:rsidRPr="00636B1E">
              <w:noBreakHyphen/>
              <w:t>priority activity, support innovation and evidence</w:t>
            </w:r>
            <w:r w:rsidRPr="00636B1E">
              <w:noBreakHyphen/>
              <w:t>based practice, deliver additional capacity through clinically</w:t>
            </w:r>
            <w:r w:rsidRPr="00636B1E">
              <w:noBreakHyphen/>
              <w:t xml:space="preserve"> and cost</w:t>
            </w:r>
            <w:r w:rsidRPr="00636B1E">
              <w:noBreakHyphen/>
              <w:t>effective models of care, and disincentivise care that provides insufficient or no benefit for patients. This includes</w:t>
            </w:r>
            <w:r w:rsidRPr="00636B1E" w:rsidDel="0079368C">
              <w:t xml:space="preserve"> </w:t>
            </w:r>
            <w:r w:rsidRPr="00636B1E">
              <w:t>payments for hospitals offering high</w:t>
            </w:r>
            <w:r w:rsidRPr="00636B1E">
              <w:noBreakHyphen/>
              <w:t>value services such as virtual care, advance care planning discussions and Hospital in the Home (Queensland Health 2022)</w:t>
            </w:r>
            <w:r w:rsidR="00E377E2">
              <w:t>.</w:t>
            </w:r>
          </w:p>
          <w:p w14:paraId="2D9E3035" w14:textId="1A95146F" w:rsidR="008718BD" w:rsidRPr="00636B1E" w:rsidRDefault="0004519E" w:rsidP="008718BD">
            <w:pPr>
              <w:pStyle w:val="ListBullet"/>
            </w:pPr>
            <w:r>
              <w:t>I</w:t>
            </w:r>
            <w:r w:rsidR="008718BD" w:rsidRPr="00636B1E">
              <w:t xml:space="preserve">n South Australia, a Priority Actions Incentive Program is in place to address ramping and improve hospital performance. The Program involves an incentive payment of $20,000 for every week where the transfer of care occurs in </w:t>
            </w:r>
            <w:r w:rsidR="006E7F06">
              <w:t xml:space="preserve">fewer than </w:t>
            </w:r>
            <w:r w:rsidR="008718BD" w:rsidRPr="00636B1E">
              <w:t>30 minutes for</w:t>
            </w:r>
            <w:r w:rsidR="006E7F06">
              <w:t xml:space="preserve"> at least</w:t>
            </w:r>
            <w:r w:rsidR="008718BD" w:rsidRPr="00636B1E">
              <w:t xml:space="preserve"> 66% of patients and a redistribution of </w:t>
            </w:r>
            <w:r w:rsidR="006E7F06">
              <w:t xml:space="preserve">$200 </w:t>
            </w:r>
            <w:r w:rsidR="008718BD" w:rsidRPr="00636B1E">
              <w:t>from the local hospital network (LHN) back to the department for every ambulance hour lost on the ramp (SA Health 2023, p. 19)</w:t>
            </w:r>
            <w:r w:rsidR="00E377E2">
              <w:t>.</w:t>
            </w:r>
          </w:p>
          <w:p w14:paraId="5ADB4AE7" w14:textId="24379FCF" w:rsidR="00672119" w:rsidRPr="00DD50DE" w:rsidRDefault="0004519E" w:rsidP="00AB62C3">
            <w:pPr>
              <w:pStyle w:val="ListBullet"/>
              <w:rPr>
                <w:spacing w:val="-2"/>
              </w:rPr>
            </w:pPr>
            <w:r w:rsidRPr="00DD50DE">
              <w:rPr>
                <w:spacing w:val="-2"/>
              </w:rPr>
              <w:t>T</w:t>
            </w:r>
            <w:r w:rsidR="008718BD" w:rsidRPr="00DD50DE">
              <w:rPr>
                <w:spacing w:val="-2"/>
              </w:rPr>
              <w:t>he Northern Territory has previously paid LHNs for meeting at least two of five select key performance indicators (KPIs) (and offered a higher payment for meeting at least four). In 2020</w:t>
            </w:r>
            <w:r w:rsidR="008718BD" w:rsidRPr="00DD50DE">
              <w:rPr>
                <w:spacing w:val="-2"/>
              </w:rPr>
              <w:noBreakHyphen/>
              <w:t>21, for example, these KPIs included target levels of potentially preventable hospitalisation, hospital acquired complications, mental health 20</w:t>
            </w:r>
            <w:r w:rsidR="008718BD" w:rsidRPr="00DD50DE">
              <w:rPr>
                <w:spacing w:val="-2"/>
              </w:rPr>
              <w:noBreakHyphen/>
              <w:t xml:space="preserve">day readmissions, telehealth and coding timeliness </w:t>
            </w:r>
            <w:r w:rsidR="00F56591" w:rsidRPr="00DD50DE">
              <w:rPr>
                <w:rFonts w:cs="Arial"/>
                <w:spacing w:val="-2"/>
                <w:szCs w:val="24"/>
              </w:rPr>
              <w:t xml:space="preserve">(NT </w:t>
            </w:r>
            <w:proofErr w:type="spellStart"/>
            <w:r w:rsidR="00F56591" w:rsidRPr="00DD50DE">
              <w:rPr>
                <w:rFonts w:cs="Arial"/>
                <w:spacing w:val="-2"/>
                <w:szCs w:val="24"/>
              </w:rPr>
              <w:t>DoH</w:t>
            </w:r>
            <w:proofErr w:type="spellEnd"/>
            <w:r w:rsidR="00F56591" w:rsidRPr="00DD50DE">
              <w:rPr>
                <w:rFonts w:cs="Arial"/>
                <w:spacing w:val="-2"/>
                <w:szCs w:val="24"/>
              </w:rPr>
              <w:t> 2020, p. 14)</w:t>
            </w:r>
            <w:r w:rsidR="008718BD" w:rsidRPr="00DD50DE">
              <w:rPr>
                <w:spacing w:val="-2"/>
              </w:rPr>
              <w:t>.</w:t>
            </w:r>
          </w:p>
        </w:tc>
      </w:tr>
      <w:tr w:rsidR="00672119" w14:paraId="140CBC9B" w14:textId="77777777" w:rsidTr="00AB62C3">
        <w:trPr>
          <w:trHeight w:val="300"/>
        </w:trPr>
        <w:tc>
          <w:tcPr>
            <w:tcW w:w="9638" w:type="dxa"/>
            <w:shd w:val="clear" w:color="auto" w:fill="auto"/>
            <w:tcMar>
              <w:top w:w="0" w:type="dxa"/>
              <w:left w:w="170" w:type="dxa"/>
              <w:bottom w:w="0" w:type="dxa"/>
              <w:right w:w="170" w:type="dxa"/>
            </w:tcMar>
          </w:tcPr>
          <w:p w14:paraId="7D8FE337" w14:textId="7A2B0484" w:rsidR="00672119" w:rsidRDefault="00672119" w:rsidP="00AB62C3">
            <w:pPr>
              <w:pStyle w:val="BodyText"/>
              <w:spacing w:before="0" w:after="0" w:line="80" w:lineRule="atLeast"/>
              <w:rPr>
                <w:smallCaps/>
              </w:rPr>
            </w:pPr>
          </w:p>
        </w:tc>
      </w:tr>
    </w:tbl>
    <w:p w14:paraId="5D5243E4" w14:textId="20F27D98" w:rsidR="00BA0AF0" w:rsidRDefault="00BA0AF0" w:rsidP="00F206EE">
      <w:pPr>
        <w:pStyle w:val="Heading2-nonumber"/>
        <w:numPr>
          <w:ilvl w:val="0"/>
          <w:numId w:val="22"/>
        </w:numPr>
        <w:ind w:left="567" w:hanging="567"/>
      </w:pPr>
      <w:bookmarkStart w:id="6" w:name="_Toc224153240"/>
      <w:r>
        <w:t xml:space="preserve">The </w:t>
      </w:r>
      <w:r w:rsidR="009C000A">
        <w:t xml:space="preserve">implementation of a </w:t>
      </w:r>
      <w:r>
        <w:t xml:space="preserve">funding adjustment for </w:t>
      </w:r>
      <w:r w:rsidR="009C000A">
        <w:t>hospital-acquired complications (HACs)</w:t>
      </w:r>
      <w:bookmarkEnd w:id="6"/>
    </w:p>
    <w:p w14:paraId="38035E37" w14:textId="62CAA846" w:rsidR="00BA0AF0" w:rsidRDefault="00BA0AF0" w:rsidP="00AB62C3">
      <w:pPr>
        <w:pStyle w:val="BodyText"/>
      </w:pPr>
      <w:r w:rsidRPr="00BC67A5">
        <w:t>The 2017–20 Addendum to the National Health Reform Agreement (NHRA) introduced performance</w:t>
      </w:r>
      <w:r>
        <w:noBreakHyphen/>
      </w:r>
      <w:r w:rsidRPr="00BC67A5">
        <w:t>based financial incentives into public hospital funding arrangements. These measures were designed to strengthen the focus on safety</w:t>
      </w:r>
      <w:r>
        <w:t xml:space="preserve"> and quality</w:t>
      </w:r>
      <w:r w:rsidRPr="00BC67A5">
        <w:t xml:space="preserve"> in hospital care by linking a portion of funding to performance on key safety indicators. </w:t>
      </w:r>
      <w:r>
        <w:t>T</w:t>
      </w:r>
      <w:r w:rsidRPr="00BC67A5">
        <w:t>he incentives target sentinel events (wholly preventable incidents resulting in death or serious harm), hospital</w:t>
      </w:r>
      <w:r>
        <w:noBreakHyphen/>
      </w:r>
      <w:r w:rsidRPr="00BC67A5">
        <w:t>acquired complications (HACs)</w:t>
      </w:r>
      <w:r>
        <w:t xml:space="preserve"> (box 2)</w:t>
      </w:r>
      <w:r w:rsidRPr="00BC67A5">
        <w:t xml:space="preserve"> and avoidable hospital readmissions (AHR</w:t>
      </w:r>
      <w:r>
        <w:t>s</w:t>
      </w:r>
      <w:r w:rsidRPr="00BC67A5">
        <w:t>).</w:t>
      </w:r>
      <w:r>
        <w:t xml:space="preserve"> </w:t>
      </w:r>
    </w:p>
    <w:p w14:paraId="36051A39" w14:textId="102B34AF" w:rsidR="007D1A40" w:rsidRDefault="00BA0AF0" w:rsidP="00AB62C3">
      <w:pPr>
        <w:pStyle w:val="BodyText"/>
      </w:pPr>
      <w:r>
        <w:t>T</w:t>
      </w:r>
      <w:r w:rsidRPr="009436BE">
        <w:t>he adjustment</w:t>
      </w:r>
      <w:r>
        <w:t>s</w:t>
      </w:r>
      <w:r w:rsidRPr="009436BE">
        <w:t xml:space="preserve"> w</w:t>
      </w:r>
      <w:r>
        <w:t>ere</w:t>
      </w:r>
      <w:r w:rsidRPr="009436BE">
        <w:t xml:space="preserve"> developed </w:t>
      </w:r>
      <w:r>
        <w:t xml:space="preserve">through broad consultation and implemented gradually. </w:t>
      </w:r>
      <w:r w:rsidRPr="00BC67A5">
        <w:t>The funding adjustment for sentinel events was implemented in July 2017</w:t>
      </w:r>
      <w:r>
        <w:t xml:space="preserve"> (clause I63)</w:t>
      </w:r>
      <w:r w:rsidRPr="00BC67A5">
        <w:t>, followed by the HAC adjustment in July 2018</w:t>
      </w:r>
      <w:r>
        <w:t xml:space="preserve"> (clause I68) </w:t>
      </w:r>
      <w:r w:rsidRPr="00BC67A5">
        <w:t xml:space="preserve">and the AHR adjustment in July 2021 </w:t>
      </w:r>
      <w:r w:rsidR="00F56591" w:rsidRPr="00F56591">
        <w:rPr>
          <w:rFonts w:ascii="Arial" w:hAnsi="Arial" w:cs="Arial"/>
          <w:szCs w:val="24"/>
        </w:rPr>
        <w:t>(IHACPA 2023c)</w:t>
      </w:r>
      <w:r w:rsidRPr="00E043A1">
        <w:t>.</w:t>
      </w:r>
      <w:r>
        <w:t xml:space="preserve"> </w:t>
      </w:r>
      <w:r w:rsidR="00152D4C">
        <w:t>The</w:t>
      </w:r>
      <w:r w:rsidR="007D1A40">
        <w:t xml:space="preserve"> adjustment for HACs was preceded by a ‘shadow year’ in 2017-18, in which jurisdictions were informed of how their funding would have changed</w:t>
      </w:r>
      <w:r w:rsidR="00365B11">
        <w:t xml:space="preserve"> </w:t>
      </w:r>
      <w:proofErr w:type="gramStart"/>
      <w:r w:rsidR="00365B11">
        <w:t>as a result of</w:t>
      </w:r>
      <w:proofErr w:type="gramEnd"/>
      <w:r w:rsidR="00365B11">
        <w:t xml:space="preserve"> the HAC penalty, but the adjustment was not applied. </w:t>
      </w:r>
    </w:p>
    <w:p w14:paraId="4914D6C3" w14:textId="77777777" w:rsidR="00F53E8C" w:rsidRPr="000467A2" w:rsidRDefault="00B150A2" w:rsidP="00F53E8C">
      <w:pPr>
        <w:pStyle w:val="BodyText"/>
      </w:pPr>
      <w:r w:rsidRPr="00EC463F">
        <w:rPr>
          <w:spacing w:val="-4"/>
        </w:rPr>
        <w:lastRenderedPageBreak/>
        <w:t xml:space="preserve">Sixteen </w:t>
      </w:r>
      <w:r w:rsidR="004A7898" w:rsidRPr="00EC463F">
        <w:rPr>
          <w:spacing w:val="-4"/>
        </w:rPr>
        <w:t xml:space="preserve">high-priority </w:t>
      </w:r>
      <w:r w:rsidRPr="00EC463F">
        <w:rPr>
          <w:spacing w:val="-4"/>
        </w:rPr>
        <w:t>HACs were defined, and t</w:t>
      </w:r>
      <w:r w:rsidR="0097522F" w:rsidRPr="00EC463F">
        <w:rPr>
          <w:spacing w:val="-4"/>
        </w:rPr>
        <w:t>hirteen</w:t>
      </w:r>
      <w:r w:rsidR="00304386" w:rsidRPr="00EC463F">
        <w:rPr>
          <w:spacing w:val="-4"/>
        </w:rPr>
        <w:t xml:space="preserve"> </w:t>
      </w:r>
      <w:r w:rsidRPr="00EC463F">
        <w:rPr>
          <w:spacing w:val="-4"/>
        </w:rPr>
        <w:t xml:space="preserve">of these </w:t>
      </w:r>
      <w:r w:rsidR="00BA0AF0" w:rsidRPr="00EC463F">
        <w:rPr>
          <w:spacing w:val="-4"/>
        </w:rPr>
        <w:t>were selected as the focus of t</w:t>
      </w:r>
      <w:r w:rsidRPr="00EC463F">
        <w:rPr>
          <w:spacing w:val="-4"/>
        </w:rPr>
        <w:t xml:space="preserve">he financial </w:t>
      </w:r>
      <w:r w:rsidR="00750A22" w:rsidRPr="00EC463F">
        <w:rPr>
          <w:spacing w:val="-4"/>
        </w:rPr>
        <w:t>penalty</w:t>
      </w:r>
      <w:r w:rsidR="005D6AAD" w:rsidRPr="00EC463F">
        <w:rPr>
          <w:spacing w:val="-4"/>
        </w:rPr>
        <w:t>.</w:t>
      </w:r>
      <w:r w:rsidR="00F53E8C">
        <w:rPr>
          <w:spacing w:val="-4"/>
        </w:rPr>
        <w:t xml:space="preserve"> </w:t>
      </w:r>
      <w:r w:rsidR="00F53E8C" w:rsidRPr="000467A2">
        <w:t>While these mechanisms were introduced nationally, jurisdictions varied in both the timing and method of implementation. This variation provided a natural experiment that allowed the PC to apply quasi</w:t>
      </w:r>
      <w:r w:rsidR="00F53E8C" w:rsidRPr="000467A2">
        <w:noBreakHyphen/>
        <w:t>experimental methods to study the effect of the HAC funding adjustment.</w:t>
      </w:r>
    </w:p>
    <w:p w14:paraId="277972A8" w14:textId="77777777" w:rsidR="00BA1C0B" w:rsidRPr="00BC67A5" w:rsidRDefault="00BA1C0B" w:rsidP="00CD580E">
      <w:pPr>
        <w:pStyle w:val="NoSpacing"/>
      </w:pPr>
    </w:p>
    <w:tbl>
      <w:tblPr>
        <w:tblStyle w:val="Boxtable"/>
        <w:tblW w:w="9638" w:type="dxa"/>
        <w:tblLook w:val="04A0" w:firstRow="1" w:lastRow="0" w:firstColumn="1" w:lastColumn="0" w:noHBand="0" w:noVBand="1"/>
      </w:tblPr>
      <w:tblGrid>
        <w:gridCol w:w="9638"/>
      </w:tblGrid>
      <w:tr w:rsidR="00BA0AF0" w14:paraId="6EBA46A6" w14:textId="77777777" w:rsidTr="00AB62C3">
        <w:trPr>
          <w:trHeight w:val="300"/>
          <w:tblHeader/>
        </w:trPr>
        <w:tc>
          <w:tcPr>
            <w:tcW w:w="9638" w:type="dxa"/>
            <w:shd w:val="clear" w:color="auto" w:fill="EBEBEB"/>
            <w:tcMar>
              <w:top w:w="170" w:type="dxa"/>
              <w:left w:w="170" w:type="dxa"/>
              <w:bottom w:w="113" w:type="dxa"/>
              <w:right w:w="170" w:type="dxa"/>
            </w:tcMar>
            <w:hideMark/>
          </w:tcPr>
          <w:p w14:paraId="0FEF44EA" w14:textId="540168DF" w:rsidR="00BA0AF0" w:rsidRPr="00D07B3B" w:rsidRDefault="00BA0AF0" w:rsidP="00AB62C3">
            <w:pPr>
              <w:pStyle w:val="BoxHeading1"/>
            </w:pPr>
            <w:r w:rsidRPr="00D07B3B">
              <w:t>Box</w:t>
            </w:r>
            <w:r>
              <w:t xml:space="preserve"> </w:t>
            </w:r>
            <w:r w:rsidR="00672119">
              <w:t>2</w:t>
            </w:r>
            <w:r w:rsidRPr="00D07B3B">
              <w:t xml:space="preserve"> – What are HACs?</w:t>
            </w:r>
          </w:p>
          <w:p w14:paraId="69336CB8" w14:textId="55DFEA0F" w:rsidR="00BA0AF0" w:rsidRPr="00F25D03" w:rsidRDefault="00BA0AF0" w:rsidP="00AB62C3">
            <w:pPr>
              <w:pStyle w:val="BodyText"/>
            </w:pPr>
            <w:r>
              <w:t xml:space="preserve">HACs are health complications, such as pressure ulcers, infections or fractures, that develop while a patient is in hospital, where risks can be reduced through clinical actions </w:t>
            </w:r>
            <w:r w:rsidRPr="00E043A1">
              <w:t xml:space="preserve">such as </w:t>
            </w:r>
            <w:r>
              <w:t xml:space="preserve">greater surveillance of bloods or a greater number of skin checks for ulcers </w:t>
            </w:r>
            <w:r w:rsidRPr="0023461D">
              <w:rPr>
                <w:rFonts w:ascii="Arial" w:hAnsi="Arial" w:cs="Arial"/>
              </w:rPr>
              <w:t>(ACSQHC 2024b)</w:t>
            </w:r>
            <w:r>
              <w:t>.</w:t>
            </w:r>
          </w:p>
          <w:p w14:paraId="74DEB305" w14:textId="2EA8608F" w:rsidR="00BA0AF0" w:rsidRPr="00F25D03" w:rsidRDefault="00BA0AF0" w:rsidP="00AB62C3">
            <w:pPr>
              <w:pStyle w:val="BodyText"/>
            </w:pPr>
            <w:r w:rsidRPr="00E043A1">
              <w:t>The national list of HACs was developed by the Australian Commission on Safety and Quality in Health Care (ACSQHC)</w:t>
            </w:r>
            <w:r>
              <w:t xml:space="preserve"> </w:t>
            </w:r>
            <w:r w:rsidR="00C403CD">
              <w:t>over six years</w:t>
            </w:r>
            <w:r w:rsidRPr="00E043A1">
              <w:t xml:space="preserve"> in collaboration with the Independent Health and Aged Care Pricing Authority (IHACPA) </w:t>
            </w:r>
            <w:r>
              <w:t>(ACSQHC 2024a)</w:t>
            </w:r>
            <w:r w:rsidRPr="00E043A1">
              <w:t xml:space="preserve"> </w:t>
            </w:r>
            <w:r w:rsidR="00C403CD">
              <w:t xml:space="preserve">and in consultation with </w:t>
            </w:r>
            <w:r w:rsidR="00F86539">
              <w:t>consumer representatives, health experts and policymakers</w:t>
            </w:r>
            <w:r w:rsidR="00FB3D9F">
              <w:t xml:space="preserve"> </w:t>
            </w:r>
            <w:r w:rsidR="00172BE8" w:rsidRPr="00E043A1">
              <w:rPr>
                <w:rFonts w:ascii="Arial" w:hAnsi="Arial" w:cs="Arial"/>
              </w:rPr>
              <w:t>(</w:t>
            </w:r>
            <w:proofErr w:type="spellStart"/>
            <w:r w:rsidR="00172BE8" w:rsidRPr="00E043A1">
              <w:rPr>
                <w:rFonts w:ascii="Arial" w:hAnsi="Arial" w:cs="Arial"/>
              </w:rPr>
              <w:t>Slawomirski</w:t>
            </w:r>
            <w:proofErr w:type="spellEnd"/>
            <w:r w:rsidR="00172BE8" w:rsidRPr="00E043A1">
              <w:rPr>
                <w:rFonts w:ascii="Arial" w:hAnsi="Arial" w:cs="Arial"/>
              </w:rPr>
              <w:t xml:space="preserve"> et al. 2025)</w:t>
            </w:r>
            <w:r w:rsidR="00172BE8">
              <w:rPr>
                <w:rFonts w:ascii="Arial" w:hAnsi="Arial" w:cs="Arial"/>
                <w:color w:val="000000"/>
              </w:rPr>
              <w:t>.</w:t>
            </w:r>
            <w:r w:rsidR="00F86539">
              <w:t xml:space="preserve"> </w:t>
            </w:r>
            <w:r w:rsidR="003B2FBF">
              <w:t xml:space="preserve">The </w:t>
            </w:r>
            <w:r w:rsidRPr="00E043A1">
              <w:t>16</w:t>
            </w:r>
            <w:r>
              <w:t> </w:t>
            </w:r>
            <w:r w:rsidRPr="00E043A1">
              <w:t xml:space="preserve">complication categories </w:t>
            </w:r>
            <w:r>
              <w:t>(ACSQHC 2024b)</w:t>
            </w:r>
            <w:r w:rsidR="003B2FBF">
              <w:t xml:space="preserve"> </w:t>
            </w:r>
            <w:r w:rsidR="00323428">
              <w:t>were</w:t>
            </w:r>
            <w:r w:rsidR="003B2FBF">
              <w:t xml:space="preserve"> chosen because they </w:t>
            </w:r>
            <w:r w:rsidR="00323428">
              <w:t>were well measured and likely to be amenable to hospital actions</w:t>
            </w:r>
            <w:r w:rsidR="001C1FC5">
              <w:t>; but there are many other hospital</w:t>
            </w:r>
            <w:r w:rsidR="007831A7">
              <w:t>-</w:t>
            </w:r>
            <w:r w:rsidR="001C1FC5">
              <w:t>acquired complications</w:t>
            </w:r>
            <w:r w:rsidR="00323428">
              <w:t xml:space="preserve"> </w:t>
            </w:r>
            <w:r w:rsidR="00F56591" w:rsidRPr="00F56591">
              <w:rPr>
                <w:rFonts w:ascii="Arial" w:hAnsi="Arial" w:cs="Arial"/>
                <w:szCs w:val="24"/>
              </w:rPr>
              <w:t xml:space="preserve">(Duckett and </w:t>
            </w:r>
            <w:proofErr w:type="spellStart"/>
            <w:r w:rsidR="00F56591" w:rsidRPr="00F56591">
              <w:rPr>
                <w:rFonts w:ascii="Arial" w:hAnsi="Arial" w:cs="Arial"/>
                <w:szCs w:val="24"/>
              </w:rPr>
              <w:t>Jorm</w:t>
            </w:r>
            <w:proofErr w:type="spellEnd"/>
            <w:r w:rsidR="00F56591" w:rsidRPr="00F56591">
              <w:rPr>
                <w:rFonts w:ascii="Arial" w:hAnsi="Arial" w:cs="Arial"/>
                <w:szCs w:val="24"/>
              </w:rPr>
              <w:t> 2018)</w:t>
            </w:r>
            <w:r w:rsidR="00FB3D9F">
              <w:t>.</w:t>
            </w:r>
          </w:p>
          <w:p w14:paraId="1E86C167" w14:textId="77777777" w:rsidR="00BA0AF0" w:rsidRPr="00A0482F" w:rsidRDefault="00BA0AF0" w:rsidP="00AB62C3">
            <w:pPr>
              <w:pStyle w:val="BoxHeading2"/>
            </w:pPr>
            <w:r>
              <w:t>HACs cause direct harm to patients</w:t>
            </w:r>
          </w:p>
          <w:p w14:paraId="32B64630" w14:textId="2538C85D" w:rsidR="00BA0AF0" w:rsidRPr="002A562A" w:rsidRDefault="00BA0AF0" w:rsidP="00AB62C3">
            <w:pPr>
              <w:pStyle w:val="BodyText"/>
              <w:rPr>
                <w:spacing w:val="-4"/>
              </w:rPr>
            </w:pPr>
            <w:r w:rsidRPr="002A562A">
              <w:rPr>
                <w:spacing w:val="-4"/>
              </w:rPr>
              <w:t xml:space="preserve">HACs have serious consequences for patient outcomes and experiences </w:t>
            </w:r>
            <w:r w:rsidRPr="002A562A">
              <w:rPr>
                <w:rFonts w:cs="Arial"/>
                <w:spacing w:val="-4"/>
              </w:rPr>
              <w:t>(ACSQHC 2018, p. 3)</w:t>
            </w:r>
            <w:r w:rsidRPr="002A562A">
              <w:rPr>
                <w:spacing w:val="-4"/>
              </w:rPr>
              <w:t>. Patients who acquire a HAC can experience pain</w:t>
            </w:r>
            <w:r w:rsidR="00C33C12">
              <w:rPr>
                <w:spacing w:val="-4"/>
              </w:rPr>
              <w:t xml:space="preserve"> or</w:t>
            </w:r>
            <w:r w:rsidRPr="002A562A">
              <w:rPr>
                <w:spacing w:val="-4"/>
              </w:rPr>
              <w:t xml:space="preserve"> trauma</w:t>
            </w:r>
            <w:r w:rsidR="00C33C12">
              <w:rPr>
                <w:spacing w:val="-4"/>
              </w:rPr>
              <w:t xml:space="preserve">; </w:t>
            </w:r>
            <w:r w:rsidRPr="002A562A">
              <w:rPr>
                <w:spacing w:val="-4"/>
              </w:rPr>
              <w:t>severe cases</w:t>
            </w:r>
            <w:r w:rsidR="00C33C12">
              <w:rPr>
                <w:spacing w:val="-4"/>
              </w:rPr>
              <w:t xml:space="preserve"> lead to</w:t>
            </w:r>
            <w:r w:rsidRPr="002A562A">
              <w:rPr>
                <w:spacing w:val="-4"/>
              </w:rPr>
              <w:t xml:space="preserve"> preventable death</w:t>
            </w:r>
            <w:r w:rsidR="00C33C12">
              <w:rPr>
                <w:spacing w:val="-4"/>
              </w:rPr>
              <w:t>s</w:t>
            </w:r>
            <w:r w:rsidRPr="002A562A">
              <w:rPr>
                <w:spacing w:val="-4"/>
              </w:rPr>
              <w:t xml:space="preserve"> </w:t>
            </w:r>
            <w:r w:rsidRPr="002A562A">
              <w:rPr>
                <w:rFonts w:cs="Arial"/>
                <w:spacing w:val="-4"/>
              </w:rPr>
              <w:t>(ACSQHC 2018)</w:t>
            </w:r>
            <w:r w:rsidRPr="002A562A">
              <w:rPr>
                <w:spacing w:val="-4"/>
              </w:rPr>
              <w:t>.</w:t>
            </w:r>
          </w:p>
          <w:p w14:paraId="15AF7B01" w14:textId="4F0E1F89" w:rsidR="00BA0AF0" w:rsidRPr="007F44A5" w:rsidRDefault="00BA0AF0" w:rsidP="00AB62C3">
            <w:pPr>
              <w:pStyle w:val="BodyText"/>
            </w:pPr>
            <w:r>
              <w:t xml:space="preserve">In cases where HACs are not responsible for significant harm to patients, they still prolong a patient’s recovery time. This delay in discharge due to a HAC may then result in a patient experiencing subsequent HACs </w:t>
            </w:r>
            <w:r w:rsidRPr="29711056">
              <w:rPr>
                <w:rFonts w:ascii="Arial" w:hAnsi="Arial" w:cs="Arial"/>
              </w:rPr>
              <w:t>(IHPA 2018, p. 17)</w:t>
            </w:r>
            <w:r>
              <w:t xml:space="preserve">. </w:t>
            </w:r>
          </w:p>
          <w:p w14:paraId="080E877E" w14:textId="77777777" w:rsidR="00BA0AF0" w:rsidRDefault="00BA0AF0" w:rsidP="00AB62C3">
            <w:pPr>
              <w:pStyle w:val="BoxHeading2"/>
            </w:pPr>
            <w:r>
              <w:t>HACs also increase the cost of care in hospitals</w:t>
            </w:r>
          </w:p>
          <w:p w14:paraId="3070B41B" w14:textId="7A868AF3" w:rsidR="00BA0AF0" w:rsidRPr="00B00323" w:rsidRDefault="00BA0AF0" w:rsidP="00AB62C3">
            <w:pPr>
              <w:pStyle w:val="BodyText"/>
            </w:pPr>
            <w:r>
              <w:t xml:space="preserve">HACs are also costly to the health system. A HAC will generally increase the complexity of care a patient requires and the length of their hospital stay – both factors increasing the cost of the admission </w:t>
            </w:r>
            <w:r w:rsidR="00F56591" w:rsidRPr="00F56591">
              <w:rPr>
                <w:rFonts w:ascii="Arial" w:hAnsi="Arial" w:cs="Arial"/>
                <w:szCs w:val="24"/>
              </w:rPr>
              <w:t>(IHACPA 2023c)</w:t>
            </w:r>
            <w:r>
              <w:t>. IHACPA estimated the risk</w:t>
            </w:r>
            <w:r>
              <w:noBreakHyphen/>
              <w:t>adjusted incremental cost of treating HACs (not inclusive of the entire episode of care in which the HAC occurred) was approximately $280 million in 2017</w:t>
            </w:r>
            <w:r>
              <w:noBreakHyphen/>
              <w:t xml:space="preserve">18 </w:t>
            </w:r>
            <w:r w:rsidRPr="29711056">
              <w:rPr>
                <w:rFonts w:ascii="Arial" w:hAnsi="Arial" w:cs="Arial"/>
              </w:rPr>
              <w:t>(IHPA 2017a, p. 52)</w:t>
            </w:r>
            <w:r>
              <w:t>.</w:t>
            </w:r>
          </w:p>
        </w:tc>
      </w:tr>
      <w:tr w:rsidR="00BA0AF0" w14:paraId="445162BC" w14:textId="77777777" w:rsidTr="00AB62C3">
        <w:trPr>
          <w:trHeight w:val="300"/>
        </w:trPr>
        <w:tc>
          <w:tcPr>
            <w:tcW w:w="9638" w:type="dxa"/>
            <w:shd w:val="clear" w:color="auto" w:fill="auto"/>
            <w:tcMar>
              <w:top w:w="0" w:type="dxa"/>
              <w:left w:w="170" w:type="dxa"/>
              <w:bottom w:w="0" w:type="dxa"/>
              <w:right w:w="170" w:type="dxa"/>
            </w:tcMar>
          </w:tcPr>
          <w:p w14:paraId="7B353C25" w14:textId="3CE040F2" w:rsidR="002A47C2" w:rsidRPr="002A562A" w:rsidRDefault="002A47C2" w:rsidP="002A562A">
            <w:pPr>
              <w:pStyle w:val="NoSpacing"/>
            </w:pPr>
          </w:p>
        </w:tc>
      </w:tr>
    </w:tbl>
    <w:p w14:paraId="0145938D" w14:textId="28F0B766" w:rsidR="00BA0AF0" w:rsidRPr="00A02BD3" w:rsidRDefault="00BA0AF0" w:rsidP="00AB62C3">
      <w:pPr>
        <w:pStyle w:val="Heading3"/>
        <w:rPr>
          <w:spacing w:val="-8"/>
        </w:rPr>
      </w:pPr>
      <w:r w:rsidRPr="00A02BD3">
        <w:rPr>
          <w:spacing w:val="-8"/>
        </w:rPr>
        <w:t xml:space="preserve">The funding adjustment reduces </w:t>
      </w:r>
      <w:r w:rsidR="00CA38F9" w:rsidRPr="00A02BD3">
        <w:rPr>
          <w:spacing w:val="-8"/>
        </w:rPr>
        <w:t xml:space="preserve">hospital </w:t>
      </w:r>
      <w:r w:rsidRPr="00A02BD3">
        <w:rPr>
          <w:spacing w:val="-8"/>
        </w:rPr>
        <w:t>funding for preventable HACs</w:t>
      </w:r>
    </w:p>
    <w:p w14:paraId="653A461D" w14:textId="6ECAC609" w:rsidR="00BA0AF0" w:rsidRPr="00E043A1" w:rsidRDefault="00BA0AF0" w:rsidP="00AB62C3">
      <w:pPr>
        <w:pStyle w:val="BodyText"/>
        <w:rPr>
          <w:rFonts w:ascii="Arial" w:hAnsi="Arial" w:cs="Arial"/>
        </w:rPr>
      </w:pPr>
      <w:r w:rsidRPr="0087236F">
        <w:t xml:space="preserve">The </w:t>
      </w:r>
      <w:r w:rsidRPr="00E043A1">
        <w:t>funding adjustment</w:t>
      </w:r>
      <w:r w:rsidRPr="0087236F">
        <w:t xml:space="preserve"> is designed to reduce payments to hospitals for care that involves a </w:t>
      </w:r>
      <w:r w:rsidRPr="00E043A1">
        <w:t xml:space="preserve">HAC. </w:t>
      </w:r>
      <w:r w:rsidRPr="0087236F">
        <w:rPr>
          <w:rFonts w:ascii="Arial" w:hAnsi="Arial" w:cs="Arial"/>
        </w:rPr>
        <w:t xml:space="preserve">How this adjustment is calculated for each patient episode, and how it is applied across the system, determines </w:t>
      </w:r>
      <w:r>
        <w:rPr>
          <w:rFonts w:ascii="Arial" w:hAnsi="Arial" w:cs="Arial"/>
        </w:rPr>
        <w:t>the strength and visibility of</w:t>
      </w:r>
      <w:r w:rsidRPr="0087236F">
        <w:rPr>
          <w:rFonts w:ascii="Arial" w:hAnsi="Arial" w:cs="Arial"/>
        </w:rPr>
        <w:t xml:space="preserve"> the financial incentive.</w:t>
      </w:r>
    </w:p>
    <w:p w14:paraId="07A0A1BA" w14:textId="77777777" w:rsidR="00BA0AF0" w:rsidRPr="003273D9" w:rsidRDefault="00BA0AF0" w:rsidP="00AB62C3">
      <w:pPr>
        <w:pStyle w:val="BodyText"/>
        <w:rPr>
          <w:rStyle w:val="normaltextrun"/>
          <w:rFonts w:ascii="Arial" w:hAnsi="Arial"/>
          <w:spacing w:val="-4"/>
        </w:rPr>
      </w:pPr>
      <w:r w:rsidRPr="003273D9">
        <w:rPr>
          <w:rFonts w:ascii="Arial" w:hAnsi="Arial" w:cs="Arial"/>
          <w:spacing w:val="-4"/>
        </w:rPr>
        <w:t xml:space="preserve">In simple terms, when a patient experiences a HAC, the hospital receives less funding for that episode of care. </w:t>
      </w:r>
      <w:r w:rsidRPr="003273D9">
        <w:rPr>
          <w:rFonts w:ascii="Arial" w:hAnsi="Arial"/>
          <w:spacing w:val="-4"/>
        </w:rPr>
        <w:t>The adjustment aims to create a financial incentive for hospitals to improve safety and reduce preventable harm.</w:t>
      </w:r>
    </w:p>
    <w:p w14:paraId="38691DAF" w14:textId="77777777" w:rsidR="00BA0AF0" w:rsidRPr="005371E0" w:rsidRDefault="00BA0AF0" w:rsidP="00AB62C3">
      <w:pPr>
        <w:pStyle w:val="Heading4"/>
        <w:rPr>
          <w:rStyle w:val="eop"/>
        </w:rPr>
      </w:pPr>
      <w:r w:rsidRPr="29711056">
        <w:rPr>
          <w:rStyle w:val="eop"/>
        </w:rPr>
        <w:t xml:space="preserve">How the funding adjustment is calculated </w:t>
      </w:r>
      <w:r w:rsidRPr="0087236F">
        <w:rPr>
          <w:rStyle w:val="eop"/>
        </w:rPr>
        <w:t>for each episode</w:t>
      </w:r>
    </w:p>
    <w:p w14:paraId="33A4967F" w14:textId="5B42A478" w:rsidR="00BA0AF0" w:rsidRDefault="00A3657F" w:rsidP="00AB62C3">
      <w:pPr>
        <w:pStyle w:val="BodyText"/>
      </w:pPr>
      <w:r>
        <w:t xml:space="preserve">Most of the funding for </w:t>
      </w:r>
      <w:r w:rsidR="00BA0AF0" w:rsidRPr="0087236F">
        <w:t>p</w:t>
      </w:r>
      <w:r w:rsidR="00BA0AF0">
        <w:t xml:space="preserve">ublic hospitals </w:t>
      </w:r>
      <w:r>
        <w:t xml:space="preserve">is based on the </w:t>
      </w:r>
      <w:r w:rsidR="00BA0AF0">
        <w:t>ABF model</w:t>
      </w:r>
      <w:r w:rsidR="00BA0AF0" w:rsidRPr="0087236F">
        <w:t xml:space="preserve">. Under this model, the funding for </w:t>
      </w:r>
      <w:r w:rsidR="00BA0AF0" w:rsidRPr="0087236F">
        <w:rPr>
          <w:rFonts w:ascii="Arial" w:hAnsi="Arial" w:cs="Arial"/>
          <w:color w:val="000000"/>
        </w:rPr>
        <w:t xml:space="preserve">different services is measured using </w:t>
      </w:r>
      <w:r w:rsidR="00BA0AF0" w:rsidRPr="0087236F">
        <w:t>national weighted activity units (NWAU</w:t>
      </w:r>
      <w:r w:rsidR="00BA0AF0">
        <w:t>s</w:t>
      </w:r>
      <w:r w:rsidR="00BA0AF0" w:rsidRPr="0087236F">
        <w:t>)</w:t>
      </w:r>
      <w:r w:rsidR="00371338">
        <w:t>,</w:t>
      </w:r>
      <w:r w:rsidR="00BA0AF0">
        <w:t xml:space="preserve"> with one NWAU representing </w:t>
      </w:r>
      <w:r w:rsidR="00FE0430">
        <w:lastRenderedPageBreak/>
        <w:t>a</w:t>
      </w:r>
      <w:r w:rsidR="00BA0AF0">
        <w:t xml:space="preserve"> hospital service</w:t>
      </w:r>
      <w:r w:rsidR="00FE0430">
        <w:t xml:space="preserve"> </w:t>
      </w:r>
      <w:r w:rsidR="00E54D7F">
        <w:t>whose cost is at the national average</w:t>
      </w:r>
      <w:r w:rsidR="00BA0AF0">
        <w:t>. This a</w:t>
      </w:r>
      <w:r w:rsidR="00BA0AF0" w:rsidRPr="0087236F">
        <w:t>llow</w:t>
      </w:r>
      <w:r w:rsidR="00BA0AF0">
        <w:t>s</w:t>
      </w:r>
      <w:r w:rsidR="00BA0AF0" w:rsidRPr="0087236F">
        <w:t xml:space="preserve"> for standardi</w:t>
      </w:r>
      <w:r w:rsidR="00BA0AF0">
        <w:t>s</w:t>
      </w:r>
      <w:r w:rsidR="00BA0AF0" w:rsidRPr="0087236F">
        <w:t>ation and comparison between services and across hospitals</w:t>
      </w:r>
      <w:r w:rsidR="00BA0AF0">
        <w:t xml:space="preserve"> </w:t>
      </w:r>
      <w:r w:rsidR="00BA0AF0" w:rsidRPr="00574704">
        <w:rPr>
          <w:rFonts w:ascii="Arial" w:hAnsi="Arial" w:cs="Arial"/>
        </w:rPr>
        <w:t>(NHFB 2023)</w:t>
      </w:r>
      <w:r w:rsidR="00BA0AF0">
        <w:t>.</w:t>
      </w:r>
      <w:r w:rsidR="00BA0AF0">
        <w:rPr>
          <w:rFonts w:ascii="Arial" w:hAnsi="Arial" w:cs="Arial"/>
          <w:color w:val="000000"/>
        </w:rPr>
        <w:t xml:space="preserve"> </w:t>
      </w:r>
    </w:p>
    <w:p w14:paraId="64F026B8" w14:textId="4FFF37E1" w:rsidR="00832BCD" w:rsidRPr="00110FCB" w:rsidRDefault="00A075A1" w:rsidP="00832BCD">
      <w:pPr>
        <w:pStyle w:val="BodyText"/>
        <w:rPr>
          <w:rFonts w:ascii="Arial" w:hAnsi="Arial" w:cs="Arial"/>
          <w:color w:val="000000"/>
        </w:rPr>
      </w:pPr>
      <w:r>
        <w:rPr>
          <w:rFonts w:ascii="Arial" w:hAnsi="Arial" w:cs="Arial"/>
          <w:color w:val="000000"/>
        </w:rPr>
        <w:t xml:space="preserve">A </w:t>
      </w:r>
      <w:r w:rsidR="00110FCB">
        <w:rPr>
          <w:rFonts w:ascii="Arial" w:hAnsi="Arial" w:cs="Arial"/>
          <w:color w:val="000000"/>
        </w:rPr>
        <w:t>patient episode of higher complexity has higher NWAUs</w:t>
      </w:r>
      <w:r w:rsidR="00832BCD" w:rsidRPr="00832BCD">
        <w:t xml:space="preserve">. An episode with more interventions is more likely to be assigned to </w:t>
      </w:r>
      <w:r w:rsidR="0096696C">
        <w:t xml:space="preserve">a diagnosis-related group with higher complexity, and hence </w:t>
      </w:r>
      <w:r w:rsidR="00303D1B">
        <w:t>more</w:t>
      </w:r>
      <w:r w:rsidR="00832BCD" w:rsidRPr="00832BCD">
        <w:t xml:space="preserve"> NWAU</w:t>
      </w:r>
      <w:r w:rsidR="00303D1B">
        <w:t>s</w:t>
      </w:r>
      <w:r w:rsidR="00832BCD" w:rsidRPr="00832BCD">
        <w:t>.</w:t>
      </w:r>
    </w:p>
    <w:p w14:paraId="26E8F0BD" w14:textId="4AF0A5DA" w:rsidR="00BA0AF0" w:rsidRPr="00E043A1" w:rsidRDefault="00BA0AF0" w:rsidP="00AB62C3">
      <w:pPr>
        <w:pStyle w:val="BodyText"/>
        <w:rPr>
          <w:rFonts w:ascii="Arial" w:hAnsi="Arial" w:cs="Arial"/>
          <w:color w:val="000000"/>
        </w:rPr>
      </w:pPr>
      <w:r>
        <w:rPr>
          <w:rFonts w:ascii="Arial" w:hAnsi="Arial" w:cs="Arial"/>
          <w:color w:val="000000"/>
        </w:rPr>
        <w:t xml:space="preserve">A hospital will receive funding based on the total number of NWAUs they deliver, multiplied by the </w:t>
      </w:r>
      <w:r w:rsidR="00120ACD">
        <w:rPr>
          <w:rFonts w:ascii="Arial" w:hAnsi="Arial" w:cs="Arial"/>
          <w:color w:val="000000"/>
        </w:rPr>
        <w:t>‘N</w:t>
      </w:r>
      <w:r>
        <w:rPr>
          <w:rFonts w:ascii="Arial" w:hAnsi="Arial" w:cs="Arial"/>
          <w:color w:val="000000"/>
        </w:rPr>
        <w:t xml:space="preserve">ational </w:t>
      </w:r>
      <w:r w:rsidR="00120ACD">
        <w:rPr>
          <w:rFonts w:ascii="Arial" w:hAnsi="Arial" w:cs="Arial"/>
          <w:color w:val="000000"/>
        </w:rPr>
        <w:t>E</w:t>
      </w:r>
      <w:r>
        <w:rPr>
          <w:rFonts w:ascii="Arial" w:hAnsi="Arial" w:cs="Arial"/>
          <w:color w:val="000000"/>
        </w:rPr>
        <w:t xml:space="preserve">fficient </w:t>
      </w:r>
      <w:r w:rsidR="00120ACD">
        <w:rPr>
          <w:rFonts w:ascii="Arial" w:hAnsi="Arial" w:cs="Arial"/>
          <w:color w:val="000000"/>
        </w:rPr>
        <w:t>P</w:t>
      </w:r>
      <w:r>
        <w:rPr>
          <w:rFonts w:ascii="Arial" w:hAnsi="Arial" w:cs="Arial"/>
          <w:color w:val="000000"/>
        </w:rPr>
        <w:t>rice</w:t>
      </w:r>
      <w:r w:rsidR="00120ACD">
        <w:rPr>
          <w:rFonts w:ascii="Arial" w:hAnsi="Arial" w:cs="Arial"/>
          <w:color w:val="000000"/>
        </w:rPr>
        <w:t>’</w:t>
      </w:r>
      <w:r>
        <w:rPr>
          <w:rFonts w:ascii="Arial" w:hAnsi="Arial" w:cs="Arial"/>
          <w:color w:val="000000"/>
        </w:rPr>
        <w:t xml:space="preserve"> (NEP) – the </w:t>
      </w:r>
      <w:r w:rsidR="00120ACD">
        <w:rPr>
          <w:rFonts w:ascii="Arial" w:hAnsi="Arial" w:cs="Arial"/>
          <w:color w:val="000000"/>
        </w:rPr>
        <w:t>average</w:t>
      </w:r>
      <w:r>
        <w:rPr>
          <w:rFonts w:ascii="Arial" w:hAnsi="Arial" w:cs="Arial"/>
          <w:color w:val="000000"/>
        </w:rPr>
        <w:t xml:space="preserve"> cost of delivering an NWAU </w:t>
      </w:r>
      <w:r w:rsidRPr="00774EBA">
        <w:rPr>
          <w:rFonts w:ascii="Arial" w:hAnsi="Arial" w:cs="Arial"/>
        </w:rPr>
        <w:t>(IHACPA 2025; NHFB 2023)</w:t>
      </w:r>
      <w:r>
        <w:rPr>
          <w:rFonts w:ascii="Arial" w:hAnsi="Arial" w:cs="Arial"/>
          <w:color w:val="000000"/>
        </w:rPr>
        <w:t>.</w:t>
      </w:r>
    </w:p>
    <w:p w14:paraId="516859A7" w14:textId="22B779AF" w:rsidR="00BA0AF0" w:rsidRDefault="00BA0AF0" w:rsidP="00AB62C3">
      <w:pPr>
        <w:pStyle w:val="BodyText"/>
      </w:pPr>
      <w:r>
        <w:t>Under the HAC funding adjustment</w:t>
      </w:r>
      <w:r w:rsidRPr="00E77592">
        <w:t xml:space="preserve">, </w:t>
      </w:r>
      <w:r>
        <w:t xml:space="preserve">the incidence of a HAC will </w:t>
      </w:r>
      <w:r w:rsidRPr="00E043A1">
        <w:t>reduce the NWAUs</w:t>
      </w:r>
      <w:r>
        <w:t xml:space="preserve"> (and hence the funding) attached to the associated </w:t>
      </w:r>
      <w:r w:rsidRPr="00E77592">
        <w:t>episode</w:t>
      </w:r>
      <w:r>
        <w:t>. IHACPA calculates the exact size of the reduction by:</w:t>
      </w:r>
    </w:p>
    <w:p w14:paraId="2B443116" w14:textId="77777777" w:rsidR="00BA0AF0" w:rsidRPr="00D31C8E" w:rsidRDefault="00BA0AF0" w:rsidP="00D31C8E">
      <w:pPr>
        <w:pStyle w:val="ListNumber"/>
      </w:pPr>
      <w:r w:rsidRPr="00D31C8E">
        <w:t>examining the NWAUs associated with the primary diagnosis (the reason the patient is in hospital)</w:t>
      </w:r>
    </w:p>
    <w:p w14:paraId="721BF587" w14:textId="03401C36" w:rsidR="00BA0AF0" w:rsidRPr="0087236F" w:rsidRDefault="00BA0AF0" w:rsidP="00D31C8E">
      <w:pPr>
        <w:pStyle w:val="ListNumber"/>
      </w:pPr>
      <w:r w:rsidRPr="00D31C8E">
        <w:t>applying</w:t>
      </w:r>
      <w:r>
        <w:t xml:space="preserve"> a percentage reduction based on the cost of treating the HAC and patient factors such as age and pre</w:t>
      </w:r>
      <w:r>
        <w:noBreakHyphen/>
        <w:t xml:space="preserve">existing health conditions, </w:t>
      </w:r>
      <w:r w:rsidRPr="003A6F24">
        <w:t>which are outside hospital control</w:t>
      </w:r>
      <w:r>
        <w:t xml:space="preserve"> </w:t>
      </w:r>
      <w:r w:rsidRPr="009905A0">
        <w:rPr>
          <w:rFonts w:ascii="Arial" w:hAnsi="Arial" w:cs="Arial"/>
        </w:rPr>
        <w:t>(Webster et al. 2023)</w:t>
      </w:r>
      <w:r>
        <w:t>.</w:t>
      </w:r>
      <w:r>
        <w:rPr>
          <w:rStyle w:val="FootnoteReference"/>
        </w:rPr>
        <w:footnoteReference w:id="4"/>
      </w:r>
    </w:p>
    <w:p w14:paraId="35A72265" w14:textId="2401F2B8" w:rsidR="00BA0AF0" w:rsidRDefault="00BA0AF0" w:rsidP="00AB62C3">
      <w:pPr>
        <w:pStyle w:val="BodyText"/>
        <w:rPr>
          <w:rFonts w:ascii="Arial" w:hAnsi="Arial" w:cs="Arial"/>
          <w:color w:val="000000" w:themeColor="text1"/>
        </w:rPr>
      </w:pPr>
      <w:r w:rsidRPr="0087236F">
        <w:rPr>
          <w:rFonts w:ascii="Arial" w:hAnsi="Arial" w:cs="Arial"/>
          <w:color w:val="000000" w:themeColor="text1"/>
        </w:rPr>
        <w:t>The final NWAU then excludes some or all HAC</w:t>
      </w:r>
      <w:r>
        <w:rPr>
          <w:rFonts w:ascii="Arial" w:hAnsi="Arial" w:cs="Arial"/>
          <w:color w:val="000000" w:themeColor="text1"/>
        </w:rPr>
        <w:noBreakHyphen/>
      </w:r>
      <w:r w:rsidRPr="0087236F">
        <w:rPr>
          <w:rFonts w:ascii="Arial" w:hAnsi="Arial" w:cs="Arial"/>
          <w:color w:val="000000" w:themeColor="text1"/>
        </w:rPr>
        <w:t>related costs and determines the amount of government funding the hospital receives</w:t>
      </w:r>
      <w:r>
        <w:rPr>
          <w:rFonts w:ascii="Arial" w:hAnsi="Arial" w:cs="Arial"/>
          <w:color w:val="000000" w:themeColor="text1"/>
        </w:rPr>
        <w:t xml:space="preserve"> (figure 1)</w:t>
      </w:r>
    </w:p>
    <w:p w14:paraId="67DF5B53" w14:textId="4E68E7A9" w:rsidR="00BA0AF0" w:rsidRPr="0087236F" w:rsidDel="008C56FB" w:rsidRDefault="00BA0AF0" w:rsidP="00AB62C3">
      <w:pPr>
        <w:pStyle w:val="FigureTableHeading"/>
      </w:pPr>
      <w:r w:rsidRPr="0087236F">
        <w:t>Figure</w:t>
      </w:r>
      <w:r>
        <w:t xml:space="preserve"> </w:t>
      </w:r>
      <w:r w:rsidRPr="0087236F">
        <w:t>1</w:t>
      </w:r>
      <w:r w:rsidRPr="00BD6E55">
        <w:t xml:space="preserve"> </w:t>
      </w:r>
      <w:r w:rsidRPr="0087236F">
        <w:t>– The funding adjustment is based on the incremental cost of HACs and patient complexity</w:t>
      </w:r>
    </w:p>
    <w:p w14:paraId="7EBF68CC" w14:textId="77777777" w:rsidR="00BA0AF0" w:rsidRPr="00E043A1" w:rsidRDefault="00BA0AF0" w:rsidP="002A562A">
      <w:pPr>
        <w:pStyle w:val="BodyText"/>
        <w:rPr>
          <w:lang w:val="fr-CA"/>
        </w:rPr>
      </w:pPr>
      <w:r w:rsidRPr="00125D0F">
        <w:rPr>
          <w:noProof/>
        </w:rPr>
        <w:drawing>
          <wp:inline distT="0" distB="0" distL="0" distR="0" wp14:anchorId="345808C7" wp14:editId="6A3F7FC9">
            <wp:extent cx="6120130" cy="2874645"/>
            <wp:effectExtent l="0" t="0" r="0" b="1905"/>
            <wp:docPr id="412252942" name="Picture 1" descr="Figure 1 - This flow diagram illustrates how the hospital‑acquired complication funding adjustment is calculated for an example patient. A 73‑year‑old female admitted with breathing difficulty is initially assigned 2 national weighted activity units. She acquires a healthcare‑associated infection, which attracts an incremental cost adjustment of 8.3 per cent. Because she has pre‑existing diabetes and hypertension, she is classified as moderately complex. A dampening factor of 18 per cent is applied, reducing the funding adjustment from 8.3 per cent to 1.5 per cent. The final adjusted activity is 1.97 national weighted activity units, with 0.03 units reduced due to the com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52942" name="Picture 1" descr="Figure 1 - This flow diagram illustrates how the hospital‑acquired complication funding adjustment is calculated for an example patient. A 73‑year‑old female admitted with breathing difficulty is initially assigned 2 national weighted activity units. She acquires a healthcare‑associated infection, which attracts an incremental cost adjustment of 8.3 per cent. Because she has pre‑existing diabetes and hypertension, she is classified as moderately complex. A dampening factor of 18 per cent is applied, reducing the funding adjustment from 8.3 per cent to 1.5 per cent. The final adjusted activity is 1.97 national weighted activity units, with 0.03 units reduced due to the complic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10245EA9" w14:textId="1C460ED7" w:rsidR="00BA0AF0" w:rsidRPr="00E043A1" w:rsidRDefault="00BA0AF0" w:rsidP="00AB62C3">
      <w:pPr>
        <w:pStyle w:val="Source"/>
        <w:rPr>
          <w:lang w:val="fr-CA"/>
        </w:rPr>
      </w:pPr>
      <w:r w:rsidRPr="00E043A1">
        <w:rPr>
          <w:lang w:val="fr-CA"/>
        </w:rPr>
        <w:t xml:space="preserve">Source: IHACPA </w:t>
      </w:r>
      <w:r w:rsidRPr="00E043A1">
        <w:rPr>
          <w:rFonts w:ascii="Arial" w:hAnsi="Arial" w:cs="Arial"/>
          <w:lang w:val="fr-CA"/>
        </w:rPr>
        <w:t>(2023b, p. 4)</w:t>
      </w:r>
      <w:r w:rsidRPr="00E043A1">
        <w:rPr>
          <w:lang w:val="fr-CA"/>
        </w:rPr>
        <w:t xml:space="preserve">; IHPA </w:t>
      </w:r>
      <w:r w:rsidRPr="00E043A1">
        <w:rPr>
          <w:rFonts w:ascii="Arial" w:hAnsi="Arial" w:cs="Arial"/>
          <w:lang w:val="fr-CA"/>
        </w:rPr>
        <w:t>(2018, p. 29)</w:t>
      </w:r>
      <w:r w:rsidRPr="00E043A1">
        <w:rPr>
          <w:lang w:val="fr-CA"/>
        </w:rPr>
        <w:t>.</w:t>
      </w:r>
    </w:p>
    <w:p w14:paraId="5E50394F" w14:textId="77777777" w:rsidR="00BA0AF0" w:rsidRDefault="00BA0AF0" w:rsidP="004B08F3">
      <w:pPr>
        <w:pStyle w:val="Heading4"/>
      </w:pPr>
      <w:r w:rsidRPr="005371E0">
        <w:lastRenderedPageBreak/>
        <w:t xml:space="preserve">How the funding adjustment is applied </w:t>
      </w:r>
      <w:r>
        <w:t>to</w:t>
      </w:r>
      <w:r w:rsidRPr="005371E0">
        <w:t xml:space="preserve"> </w:t>
      </w:r>
      <w:r>
        <w:t>total funding</w:t>
      </w:r>
    </w:p>
    <w:p w14:paraId="46B36337" w14:textId="0B1A76A4" w:rsidR="00BA0AF0" w:rsidRPr="00942C9D" w:rsidRDefault="00BA0AF0" w:rsidP="004B08F3">
      <w:pPr>
        <w:pStyle w:val="BodyText"/>
        <w:keepNext/>
        <w:keepLines/>
      </w:pPr>
      <w:r>
        <w:t xml:space="preserve">Under </w:t>
      </w:r>
      <w:r w:rsidR="00B41AF3">
        <w:t>the NHRA</w:t>
      </w:r>
      <w:r w:rsidR="000E0C32">
        <w:t xml:space="preserve"> 2020-25</w:t>
      </w:r>
      <w:r w:rsidR="00CA38F9">
        <w:rPr>
          <w:rStyle w:val="FootnoteReference"/>
        </w:rPr>
        <w:footnoteReference w:id="5"/>
      </w:r>
      <w:r>
        <w:t>, t</w:t>
      </w:r>
      <w:r w:rsidRPr="00942C9D">
        <w:t>he Australian Government funds public hospitals through a combination of:</w:t>
      </w:r>
    </w:p>
    <w:p w14:paraId="6AF214D0" w14:textId="77777777" w:rsidR="00BA0AF0" w:rsidRPr="00942C9D" w:rsidRDefault="00BA0AF0" w:rsidP="004B08F3">
      <w:pPr>
        <w:pStyle w:val="ListBullet"/>
        <w:keepNext/>
        <w:keepLines/>
      </w:pPr>
      <w:r w:rsidRPr="00E043A1">
        <w:t>base funding</w:t>
      </w:r>
      <w:r w:rsidRPr="00942C9D">
        <w:t xml:space="preserve"> </w:t>
      </w:r>
      <w:r>
        <w:t>–</w:t>
      </w:r>
      <w:r w:rsidRPr="00942C9D">
        <w:t xml:space="preserve"> equal to its contribution in the previous year</w:t>
      </w:r>
    </w:p>
    <w:p w14:paraId="6415559D" w14:textId="20F16120" w:rsidR="00BA0AF0" w:rsidRPr="00942C9D" w:rsidRDefault="00BA0AF0" w:rsidP="004B08F3">
      <w:pPr>
        <w:pStyle w:val="ListBullet"/>
        <w:keepNext/>
        <w:keepLines/>
      </w:pPr>
      <w:r w:rsidRPr="00E043A1">
        <w:t>growth funding</w:t>
      </w:r>
      <w:r w:rsidRPr="00942C9D">
        <w:t xml:space="preserve"> </w:t>
      </w:r>
      <w:r>
        <w:t>–</w:t>
      </w:r>
      <w:r w:rsidRPr="00942C9D">
        <w:t xml:space="preserve"> which covers 45</w:t>
      </w:r>
      <w:r>
        <w:t>%</w:t>
      </w:r>
      <w:r w:rsidRPr="00942C9D">
        <w:t xml:space="preserve"> of</w:t>
      </w:r>
      <w:r>
        <w:t xml:space="preserve"> efficient growth in hospital services, calculated from year-to-year changes in </w:t>
      </w:r>
      <w:r w:rsidRPr="00942C9D">
        <w:t xml:space="preserve">hospital activity (measured in NWAUs) </w:t>
      </w:r>
      <w:r>
        <w:t xml:space="preserve">and changes in price (measured in the NEP) </w:t>
      </w:r>
      <w:r w:rsidRPr="00FF2BB6">
        <w:rPr>
          <w:rFonts w:ascii="Arial" w:hAnsi="Arial" w:cs="Arial"/>
        </w:rPr>
        <w:t>(NHFB 2024, p. 13)</w:t>
      </w:r>
      <w:r w:rsidR="00E04352">
        <w:t>, up to a cap of 6.5% annual growth</w:t>
      </w:r>
      <w:r w:rsidRPr="00942C9D">
        <w:t>.</w:t>
      </w:r>
      <w:r w:rsidR="00E04352">
        <w:t xml:space="preserve"> (</w:t>
      </w:r>
      <w:r w:rsidR="00667B6C">
        <w:t>The effect of the cap is discussed below.)</w:t>
      </w:r>
    </w:p>
    <w:p w14:paraId="21825129" w14:textId="001D9CB6" w:rsidR="00BA0AF0" w:rsidRDefault="00BA0AF0" w:rsidP="00AB62C3">
      <w:pPr>
        <w:pStyle w:val="BodyText"/>
      </w:pPr>
      <w:r w:rsidRPr="00DE4D91">
        <w:t xml:space="preserve">The HAC adjustment </w:t>
      </w:r>
      <w:r>
        <w:t xml:space="preserve">is </w:t>
      </w:r>
      <w:r w:rsidRPr="005D703C">
        <w:t>applied to the</w:t>
      </w:r>
      <w:r w:rsidRPr="00DE4D91">
        <w:t xml:space="preserve"> </w:t>
      </w:r>
      <w:r w:rsidRPr="00E043A1">
        <w:t xml:space="preserve">growth funding </w:t>
      </w:r>
      <w:r>
        <w:t xml:space="preserve">but also </w:t>
      </w:r>
      <w:r w:rsidRPr="00E043A1">
        <w:t xml:space="preserve">affects </w:t>
      </w:r>
      <w:r>
        <w:t xml:space="preserve">the level of </w:t>
      </w:r>
      <w:r w:rsidRPr="00E043A1">
        <w:t>base funding</w:t>
      </w:r>
      <w:r w:rsidDel="00255F24">
        <w:t xml:space="preserve"> </w:t>
      </w:r>
      <w:r>
        <w:t>in subsequent years</w:t>
      </w:r>
      <w:r w:rsidRPr="00466EF7">
        <w:t>.</w:t>
      </w:r>
      <w:r w:rsidRPr="00DE4D91">
        <w:t xml:space="preserve"> It is not the total number of HAC</w:t>
      </w:r>
      <w:r>
        <w:noBreakHyphen/>
      </w:r>
      <w:r w:rsidRPr="00DE4D91">
        <w:t xml:space="preserve">affected episodes that drives the </w:t>
      </w:r>
      <w:r w:rsidR="007475D0">
        <w:t>adjustment</w:t>
      </w:r>
      <w:r w:rsidRPr="00DE4D91">
        <w:t xml:space="preserve">, but rather the </w:t>
      </w:r>
      <w:r w:rsidRPr="00E043A1">
        <w:t>change in the number of HAC</w:t>
      </w:r>
      <w:r>
        <w:noBreakHyphen/>
      </w:r>
      <w:r w:rsidRPr="00E043A1">
        <w:t>affected NWAU</w:t>
      </w:r>
      <w:r w:rsidR="00E322C4">
        <w:t>s</w:t>
      </w:r>
      <w:r w:rsidR="007475D0">
        <w:t xml:space="preserve"> between years</w:t>
      </w:r>
      <w:r w:rsidRPr="00DE4D91">
        <w:t>.</w:t>
      </w:r>
    </w:p>
    <w:p w14:paraId="1F7065AB" w14:textId="39457F2A" w:rsidR="00BA0AF0" w:rsidRPr="0087236F" w:rsidRDefault="00BA0AF0" w:rsidP="00AB62C3">
      <w:pPr>
        <w:pStyle w:val="BodyText"/>
      </w:pPr>
      <w:r>
        <w:t>I</w:t>
      </w:r>
      <w:r w:rsidRPr="0087236F">
        <w:t xml:space="preserve">f </w:t>
      </w:r>
      <w:r>
        <w:t xml:space="preserve">a hospital’s </w:t>
      </w:r>
      <w:r w:rsidRPr="0087236F">
        <w:t xml:space="preserve">total </w:t>
      </w:r>
      <w:r>
        <w:t xml:space="preserve">HACs (as measured by </w:t>
      </w:r>
      <w:r w:rsidRPr="0087236F">
        <w:t>HAC</w:t>
      </w:r>
      <w:r w:rsidRPr="0087236F">
        <w:noBreakHyphen/>
        <w:t>adjusted NWAUs</w:t>
      </w:r>
      <w:r>
        <w:t>)</w:t>
      </w:r>
      <w:r w:rsidRPr="0087236F">
        <w:t xml:space="preserve"> decrease from one year to the next, the </w:t>
      </w:r>
      <w:r w:rsidRPr="00985A1A">
        <w:t>Australian Government’s</w:t>
      </w:r>
      <w:r w:rsidRPr="0087236F">
        <w:t xml:space="preserve"> contribution increases. Alternatively, if total </w:t>
      </w:r>
      <w:r>
        <w:t>HACs</w:t>
      </w:r>
      <w:r w:rsidRPr="0087236F">
        <w:t xml:space="preserve"> increase from one year to the next, </w:t>
      </w:r>
      <w:r>
        <w:t>funding</w:t>
      </w:r>
      <w:r w:rsidRPr="0087236F">
        <w:t xml:space="preserve"> decreases relative to the base year (figure 2). </w:t>
      </w:r>
      <w:r>
        <w:t xml:space="preserve">The </w:t>
      </w:r>
      <w:r w:rsidRPr="0087236F">
        <w:t>HAC</w:t>
      </w:r>
      <w:r w:rsidRPr="0087236F">
        <w:noBreakHyphen/>
        <w:t>adjusted NWAUs</w:t>
      </w:r>
      <w:r>
        <w:t xml:space="preserve"> then become the baseline for the next year’s funding.</w:t>
      </w:r>
    </w:p>
    <w:p w14:paraId="35F90772" w14:textId="6039501D" w:rsidR="00BA0AF0" w:rsidRDefault="00BA0AF0" w:rsidP="00AB62C3">
      <w:r w:rsidRPr="0087236F">
        <w:rPr>
          <w:rFonts w:ascii="Arial" w:hAnsi="Arial" w:cs="Arial"/>
          <w:color w:val="000000" w:themeColor="text1"/>
        </w:rPr>
        <w:t xml:space="preserve">In </w:t>
      </w:r>
      <w:r>
        <w:rPr>
          <w:rFonts w:ascii="Arial" w:hAnsi="Arial" w:cs="Arial"/>
          <w:color w:val="000000" w:themeColor="text1"/>
        </w:rPr>
        <w:t>effect,</w:t>
      </w:r>
      <w:r w:rsidRPr="0087236F">
        <w:rPr>
          <w:rFonts w:ascii="Arial" w:hAnsi="Arial" w:cs="Arial"/>
          <w:color w:val="000000" w:themeColor="text1"/>
        </w:rPr>
        <w:t xml:space="preserve"> hospitals are rewarded or penalised based on the yearly change in the number </w:t>
      </w:r>
      <w:r>
        <w:rPr>
          <w:rFonts w:ascii="Arial" w:hAnsi="Arial" w:cs="Arial"/>
          <w:color w:val="000000" w:themeColor="text1"/>
        </w:rPr>
        <w:t>of HAC-affected</w:t>
      </w:r>
      <w:r w:rsidRPr="0087236F">
        <w:rPr>
          <w:rFonts w:ascii="Arial" w:hAnsi="Arial" w:cs="Arial"/>
          <w:color w:val="000000" w:themeColor="text1"/>
        </w:rPr>
        <w:t xml:space="preserve"> episodes, compared to the previous year.</w:t>
      </w:r>
      <w:r>
        <w:t xml:space="preserve"> </w:t>
      </w:r>
      <w:r w:rsidR="007475D0">
        <w:t>C</w:t>
      </w:r>
      <w:r>
        <w:t>hanges</w:t>
      </w:r>
      <w:r w:rsidR="007475D0">
        <w:t xml:space="preserve"> in one year</w:t>
      </w:r>
      <w:r>
        <w:t xml:space="preserve"> have longer lasting effects by altering future baseline funding.</w:t>
      </w:r>
    </w:p>
    <w:p w14:paraId="2D9F6E57" w14:textId="11A97A3A" w:rsidR="00BA0AF0" w:rsidRPr="002A562A" w:rsidRDefault="00BA0AF0">
      <w:pPr>
        <w:pStyle w:val="FigureTableHeading"/>
        <w:rPr>
          <w:spacing w:val="-2"/>
        </w:rPr>
      </w:pPr>
      <w:r w:rsidRPr="002A562A">
        <w:rPr>
          <w:spacing w:val="-2"/>
        </w:rPr>
        <w:t>Figure 2 – The funding adjustment impacts the marginal change in HAC</w:t>
      </w:r>
      <w:r w:rsidRPr="002A562A">
        <w:rPr>
          <w:spacing w:val="-2"/>
        </w:rPr>
        <w:noBreakHyphen/>
        <w:t>adjusted NWAUs</w:t>
      </w:r>
    </w:p>
    <w:p w14:paraId="5858D5D9" w14:textId="00CAFE08" w:rsidR="00BA0AF0" w:rsidRDefault="0058402F" w:rsidP="002A562A">
      <w:pPr>
        <w:pStyle w:val="BodyText"/>
      </w:pPr>
      <w:r w:rsidRPr="0058402F">
        <w:rPr>
          <w:noProof/>
        </w:rPr>
        <w:drawing>
          <wp:inline distT="0" distB="0" distL="0" distR="0" wp14:anchorId="59CDEFAD" wp14:editId="4C61AF83">
            <wp:extent cx="6120130" cy="3638550"/>
            <wp:effectExtent l="0" t="0" r="0" b="0"/>
            <wp:docPr id="595221743" name="Picture 2" descr="Figure 2 - This flow diagram provides an illustrative example of how the funding adjustment impacts the marginal change in HAC adjusted NWAUs.&#10;In the back-cast year: The total volume of hospital services is 1 000 000 with 10 000 HAC-adjusted NWAUs. After deducting NWAUs due to HACs, the final volume of hospital services is 990 000 NWAUS. &#10;In top row: Suppose the total volume of hospital services in the current year is 1 060 000 with 9000 HAC-adjusted NWAUs. In the current year, the final volume of hospital services is therefore 1 051 000 NWAUs. As the final volume of hospital services in the previous year was 990 000 NWAUs, this means that the growth in volume in Case A is 61 000 NWAUs.&#10;In the bottom row: Suppose the total volume of hospital services in the current year is also 1 060 000 but with 11 000 HAC-adjusted NWAUs. In the current year, the final volume of hospital services is therefore 1 049 000 NWAUs. As the final volume of hospital services in the previous year was 990 000 NWAUs, this means that the growth in volume in Case B is 59 000 NWA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21743" name="Picture 2" descr="Figure 2 - This flow diagram provides an illustrative example of how the funding adjustment impacts the marginal change in HAC adjusted NWAUs.&#10;In the back-cast year: The total volume of hospital services is 1 000 000 with 10 000 HAC-adjusted NWAUs. After deducting NWAUs due to HACs, the final volume of hospital services is 990 000 NWAUS. &#10;In top row: Suppose the total volume of hospital services in the current year is 1 060 000 with 9000 HAC-adjusted NWAUs. In the current year, the final volume of hospital services is therefore 1 051 000 NWAUs. As the final volume of hospital services in the previous year was 990 000 NWAUs, this means that the growth in volume in Case A is 61 000 NWAUs.&#10;In the bottom row: Suppose the total volume of hospital services in the current year is also 1 060 000 but with 11 000 HAC-adjusted NWAUs. In the current year, the final volume of hospital services is therefore 1 049 000 NWAUs. As the final volume of hospital services in the previous year was 990 000 NWAUs, this means that the growth in volume in Case B is 59 000 NWAUs.&#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638550"/>
                    </a:xfrm>
                    <a:prstGeom prst="rect">
                      <a:avLst/>
                    </a:prstGeom>
                    <a:noFill/>
                    <a:ln>
                      <a:noFill/>
                    </a:ln>
                  </pic:spPr>
                </pic:pic>
              </a:graphicData>
            </a:graphic>
          </wp:inline>
        </w:drawing>
      </w:r>
    </w:p>
    <w:p w14:paraId="6310C24B" w14:textId="6F13A6A5" w:rsidR="00BA0AF0" w:rsidRDefault="00BA0AF0" w:rsidP="00AB62C3">
      <w:pPr>
        <w:pStyle w:val="Source"/>
      </w:pPr>
      <w:r w:rsidRPr="00696447">
        <w:t>Source:</w:t>
      </w:r>
      <w:r>
        <w:t xml:space="preserve"> NHFB</w:t>
      </w:r>
      <w:r w:rsidRPr="00696447">
        <w:t xml:space="preserve"> </w:t>
      </w:r>
      <w:r w:rsidRPr="006B6B8E">
        <w:rPr>
          <w:rFonts w:ascii="Arial" w:hAnsi="Arial" w:cs="Arial"/>
        </w:rPr>
        <w:t>(2024, pp. 71–73)</w:t>
      </w:r>
      <w:r>
        <w:t>.</w:t>
      </w:r>
    </w:p>
    <w:p w14:paraId="4301641A" w14:textId="0CCE11FB" w:rsidR="009C000A" w:rsidRPr="00D377A0" w:rsidRDefault="007B76A0" w:rsidP="009C000A">
      <w:pPr>
        <w:pStyle w:val="Heading3"/>
      </w:pPr>
      <w:r>
        <w:lastRenderedPageBreak/>
        <w:t>Jurisdictions</w:t>
      </w:r>
      <w:r w:rsidR="008C6E55">
        <w:t xml:space="preserve"> have discretion in whether to pass on </w:t>
      </w:r>
      <w:r>
        <w:t>the HAC financial penalty</w:t>
      </w:r>
    </w:p>
    <w:p w14:paraId="7F1842CA" w14:textId="18D804E5" w:rsidR="00B113CE" w:rsidRDefault="00AF3ABD" w:rsidP="00AF3ABD">
      <w:pPr>
        <w:pStyle w:val="BodyText"/>
        <w:rPr>
          <w:rFonts w:ascii="Arial" w:hAnsi="Arial" w:cs="Arial"/>
          <w:color w:val="000000"/>
        </w:rPr>
      </w:pPr>
      <w:r w:rsidRPr="00523A74">
        <w:t xml:space="preserve">While the funding adjustment described above was introduced nationwide, </w:t>
      </w:r>
      <w:r w:rsidR="002A0F1A">
        <w:t>there were</w:t>
      </w:r>
      <w:r w:rsidR="002A0F1A">
        <w:rPr>
          <w:rFonts w:ascii="Arial" w:hAnsi="Arial" w:cs="Arial"/>
          <w:color w:val="000000"/>
        </w:rPr>
        <w:t xml:space="preserve"> several </w:t>
      </w:r>
      <w:r w:rsidR="00E1681E">
        <w:rPr>
          <w:rFonts w:ascii="Arial" w:hAnsi="Arial" w:cs="Arial"/>
          <w:color w:val="000000"/>
        </w:rPr>
        <w:t xml:space="preserve">potential </w:t>
      </w:r>
      <w:r w:rsidR="002A0F1A">
        <w:rPr>
          <w:rFonts w:ascii="Arial" w:hAnsi="Arial" w:cs="Arial"/>
          <w:color w:val="000000"/>
        </w:rPr>
        <w:t>sources of variation</w:t>
      </w:r>
      <w:r w:rsidR="008A573C">
        <w:rPr>
          <w:rFonts w:ascii="Arial" w:hAnsi="Arial" w:cs="Arial"/>
          <w:color w:val="000000"/>
        </w:rPr>
        <w:t>.</w:t>
      </w:r>
    </w:p>
    <w:p w14:paraId="1778B328" w14:textId="6147F196" w:rsidR="00B113CE" w:rsidRPr="00651734" w:rsidRDefault="008A573C" w:rsidP="002A562A">
      <w:pPr>
        <w:pStyle w:val="ListBullet"/>
        <w:rPr>
          <w:spacing w:val="-2"/>
        </w:rPr>
      </w:pPr>
      <w:r>
        <w:rPr>
          <w:spacing w:val="-2"/>
        </w:rPr>
        <w:t>S</w:t>
      </w:r>
      <w:r w:rsidR="002A0F1A" w:rsidRPr="00F23B63">
        <w:rPr>
          <w:spacing w:val="-2"/>
        </w:rPr>
        <w:t>tates and territories retained considerable discretion in how to apply the funding adjustment</w:t>
      </w:r>
      <w:r w:rsidR="00E1681E" w:rsidRPr="00F23B63">
        <w:rPr>
          <w:spacing w:val="-2"/>
        </w:rPr>
        <w:t xml:space="preserve">. </w:t>
      </w:r>
      <w:r w:rsidR="00B113CE" w:rsidRPr="00F23B63">
        <w:rPr>
          <w:spacing w:val="-2"/>
        </w:rPr>
        <w:t>The</w:t>
      </w:r>
      <w:r w:rsidR="00E1681E" w:rsidRPr="00F23B63">
        <w:rPr>
          <w:spacing w:val="-2"/>
        </w:rPr>
        <w:t>y</w:t>
      </w:r>
      <w:r w:rsidR="00B113CE" w:rsidRPr="00F23B63">
        <w:rPr>
          <w:spacing w:val="-2"/>
        </w:rPr>
        <w:t xml:space="preserve"> could choose </w:t>
      </w:r>
      <w:r w:rsidR="00E1681E" w:rsidRPr="00F23B63">
        <w:rPr>
          <w:spacing w:val="-2"/>
        </w:rPr>
        <w:t xml:space="preserve">whether </w:t>
      </w:r>
      <w:r w:rsidR="00B113CE" w:rsidRPr="00F23B63">
        <w:rPr>
          <w:spacing w:val="-2"/>
        </w:rPr>
        <w:t xml:space="preserve">to pass on the adjustment to their Local Hospital Networks (the LHNs). Some jurisdictions </w:t>
      </w:r>
      <w:r>
        <w:rPr>
          <w:spacing w:val="-2"/>
        </w:rPr>
        <w:t>c</w:t>
      </w:r>
      <w:r w:rsidR="00B113CE" w:rsidRPr="00F23B63">
        <w:rPr>
          <w:spacing w:val="-2"/>
        </w:rPr>
        <w:t xml:space="preserve">hose not to pass on the funding adjustment </w:t>
      </w:r>
      <w:r w:rsidR="00C74378" w:rsidRPr="00F23B63">
        <w:rPr>
          <w:spacing w:val="-2"/>
        </w:rPr>
        <w:t xml:space="preserve">to their LHNs in the years that we are considering (2018 </w:t>
      </w:r>
      <w:r w:rsidR="00C74378" w:rsidRPr="00651734">
        <w:rPr>
          <w:spacing w:val="-2"/>
        </w:rPr>
        <w:t>to 2020).</w:t>
      </w:r>
      <w:r w:rsidR="006D64F8" w:rsidRPr="00651734">
        <w:rPr>
          <w:spacing w:val="-2"/>
        </w:rPr>
        <w:t xml:space="preserve"> We use this difference between jurisdictions as part of our</w:t>
      </w:r>
      <w:r w:rsidR="006273D7" w:rsidRPr="00651734">
        <w:rPr>
          <w:spacing w:val="-2"/>
        </w:rPr>
        <w:t xml:space="preserve"> </w:t>
      </w:r>
      <w:r w:rsidR="006D64F8" w:rsidRPr="00651734">
        <w:rPr>
          <w:spacing w:val="-2"/>
        </w:rPr>
        <w:t>estimation strategy.</w:t>
      </w:r>
    </w:p>
    <w:p w14:paraId="42F899B9" w14:textId="0CD1800A" w:rsidR="00E1681E" w:rsidRDefault="00FC71E1" w:rsidP="002A562A">
      <w:pPr>
        <w:pStyle w:val="ListBullet"/>
      </w:pPr>
      <w:r w:rsidRPr="00651734">
        <w:t>In</w:t>
      </w:r>
      <w:r w:rsidR="00340B1E" w:rsidRPr="00651734">
        <w:t xml:space="preserve"> 2018</w:t>
      </w:r>
      <w:r w:rsidR="00651734" w:rsidRPr="00651734">
        <w:t>-</w:t>
      </w:r>
      <w:r w:rsidR="00340B1E" w:rsidRPr="00651734">
        <w:t>19, one</w:t>
      </w:r>
      <w:r w:rsidRPr="00651734">
        <w:t xml:space="preserve"> jurisdiction exceeded the 6.5</w:t>
      </w:r>
      <w:r w:rsidR="00340B1E" w:rsidRPr="00651734">
        <w:t>% cap on government funding</w:t>
      </w:r>
      <w:r w:rsidR="001F54D4" w:rsidRPr="00651734">
        <w:t>, but no other jurisdictions exceeded the cap before</w:t>
      </w:r>
      <w:r w:rsidR="001F54D4">
        <w:t xml:space="preserve"> July 2020</w:t>
      </w:r>
      <w:r w:rsidR="00385FC7">
        <w:t xml:space="preserve"> (NH</w:t>
      </w:r>
      <w:r w:rsidR="006131EA">
        <w:t>FB</w:t>
      </w:r>
      <w:r w:rsidR="00F1784F">
        <w:t xml:space="preserve"> </w:t>
      </w:r>
      <w:r w:rsidR="006131EA">
        <w:t>pers. comm</w:t>
      </w:r>
      <w:r w:rsidR="00853191">
        <w:t>,</w:t>
      </w:r>
      <w:r w:rsidR="00A349F8">
        <w:t xml:space="preserve"> 18 </w:t>
      </w:r>
      <w:r w:rsidR="00853191">
        <w:t>September 2024</w:t>
      </w:r>
      <w:r w:rsidR="005630B1">
        <w:t>)</w:t>
      </w:r>
      <w:r w:rsidR="00340B1E">
        <w:t xml:space="preserve">. </w:t>
      </w:r>
      <w:r w:rsidR="006D64F8">
        <w:t>The funding adjustment was therefore not relevant for that jurisdiction. We have</w:t>
      </w:r>
      <w:r w:rsidR="00E1681E">
        <w:t xml:space="preserve"> not chosen to make changes to the estimation strategy to take this into account. Instead</w:t>
      </w:r>
      <w:r w:rsidR="00D50DF9">
        <w:t>,</w:t>
      </w:r>
      <w:r w:rsidR="00E1681E">
        <w:t xml:space="preserve"> we have assumed that </w:t>
      </w:r>
      <w:r w:rsidR="00A00453">
        <w:t xml:space="preserve">the jurisdiction could </w:t>
      </w:r>
      <w:r w:rsidR="00265E59">
        <w:t>make</w:t>
      </w:r>
      <w:r w:rsidR="00A00453">
        <w:t xml:space="preserve"> the funding adjustment anyway,</w:t>
      </w:r>
      <w:r w:rsidR="00E1681E">
        <w:t xml:space="preserve"> in the year that it exceeded the cap</w:t>
      </w:r>
      <w:r w:rsidR="00A00453">
        <w:t>.</w:t>
      </w:r>
    </w:p>
    <w:p w14:paraId="44F30EAA" w14:textId="61876D7B" w:rsidR="00E05FED" w:rsidRPr="00E1681E" w:rsidRDefault="00E1681E" w:rsidP="002A562A">
      <w:pPr>
        <w:pStyle w:val="ListBullet"/>
      </w:pPr>
      <w:r>
        <w:t>T</w:t>
      </w:r>
      <w:r w:rsidR="00A00453" w:rsidRPr="00E1681E">
        <w:t xml:space="preserve">he LHNs retain some discretion in deciding whether to pass on this funding adjustment to each hospital, according to its HAC rates. </w:t>
      </w:r>
      <w:r w:rsidR="009334AD">
        <w:t>W</w:t>
      </w:r>
      <w:r w:rsidR="00DF3FCA" w:rsidRPr="00E1681E">
        <w:t>e do not have data on the decisions made by each LHN and cannot use this as part of our estimation strategy.</w:t>
      </w:r>
    </w:p>
    <w:p w14:paraId="14FA96A2" w14:textId="29E739FD" w:rsidR="00BA0AF0" w:rsidRDefault="008B46CF" w:rsidP="00F206EE">
      <w:pPr>
        <w:pStyle w:val="Heading2-nonumber"/>
        <w:numPr>
          <w:ilvl w:val="0"/>
          <w:numId w:val="22"/>
        </w:numPr>
        <w:ind w:left="567" w:hanging="567"/>
      </w:pPr>
      <w:bookmarkStart w:id="7" w:name="_Toc224153241"/>
      <w:r>
        <w:t>Estimating the impact of t</w:t>
      </w:r>
      <w:r w:rsidR="00BA0AF0">
        <w:t>he funding adjustmen</w:t>
      </w:r>
      <w:r>
        <w:t xml:space="preserve">t on the likelihood of a </w:t>
      </w:r>
      <w:r w:rsidR="00BA0AF0" w:rsidRPr="003F037B">
        <w:t>HA</w:t>
      </w:r>
      <w:r w:rsidR="00374215">
        <w:t>C</w:t>
      </w:r>
      <w:bookmarkEnd w:id="7"/>
    </w:p>
    <w:p w14:paraId="6C718117" w14:textId="07151CD3" w:rsidR="00BA0AF0" w:rsidRDefault="00C36CC6" w:rsidP="00AB62C3">
      <w:pPr>
        <w:pStyle w:val="BodyText"/>
      </w:pPr>
      <w:r>
        <w:t xml:space="preserve">We analysed </w:t>
      </w:r>
      <w:r w:rsidR="00743F86">
        <w:t xml:space="preserve">data from </w:t>
      </w:r>
      <w:r w:rsidR="000F0152">
        <w:t>the Admitted Patient Care National Minimum Dataset (</w:t>
      </w:r>
      <w:r w:rsidR="009F1240">
        <w:t>APC-NMDS)</w:t>
      </w:r>
      <w:r>
        <w:t xml:space="preserve">, covering every </w:t>
      </w:r>
      <w:r w:rsidR="00932006">
        <w:t xml:space="preserve">admitted </w:t>
      </w:r>
      <w:r>
        <w:t xml:space="preserve">patient episode in public hospitals in </w:t>
      </w:r>
      <w:r w:rsidRPr="00651734">
        <w:t>Australia</w:t>
      </w:r>
      <w:r w:rsidR="00932006" w:rsidRPr="00651734">
        <w:t xml:space="preserve"> from 2013-14 </w:t>
      </w:r>
      <w:r w:rsidR="00374215" w:rsidRPr="00651734">
        <w:t xml:space="preserve">onwards. </w:t>
      </w:r>
      <w:r w:rsidRPr="00651734">
        <w:t xml:space="preserve">The dataset is </w:t>
      </w:r>
      <w:r w:rsidR="009B1224" w:rsidRPr="00651734">
        <w:t>administered by the Australian Institute of Health and Welfare, through its National Health</w:t>
      </w:r>
      <w:r w:rsidR="009B1224">
        <w:t xml:space="preserve"> Data Hu</w:t>
      </w:r>
      <w:r w:rsidR="00932006">
        <w:t xml:space="preserve">b. </w:t>
      </w:r>
    </w:p>
    <w:p w14:paraId="44DD1AEF" w14:textId="52F90169" w:rsidR="003B37B2" w:rsidRPr="003B37B2" w:rsidRDefault="003B37B2" w:rsidP="00AB62C3">
      <w:pPr>
        <w:pStyle w:val="BodyText"/>
      </w:pPr>
      <w:r>
        <w:t>The onset of the COVID</w:t>
      </w:r>
      <w:r>
        <w:noBreakHyphen/>
        <w:t xml:space="preserve">19 pandemic created major disruptions to hospital admission volumes, patient and case mix, funding and resourcing from </w:t>
      </w:r>
      <w:r w:rsidR="001C2CF3">
        <w:t>March 2020</w:t>
      </w:r>
      <w:r>
        <w:t xml:space="preserve"> </w:t>
      </w:r>
      <w:r w:rsidRPr="29711056">
        <w:rPr>
          <w:rFonts w:ascii="Arial" w:hAnsi="Arial" w:cs="Arial"/>
        </w:rPr>
        <w:t xml:space="preserve">(AIHW 2022, 2023a, 2023b; IHACPA 2020). </w:t>
      </w:r>
      <w:r>
        <w:rPr>
          <w:rFonts w:ascii="Arial" w:hAnsi="Arial" w:cs="Arial"/>
        </w:rPr>
        <w:t>Participants</w:t>
      </w:r>
      <w:r w:rsidRPr="29711056">
        <w:rPr>
          <w:rFonts w:ascii="Arial" w:hAnsi="Arial" w:cs="Arial"/>
        </w:rPr>
        <w:t xml:space="preserve"> suggested these factors likely overwhelmed the effects of the HAC</w:t>
      </w:r>
      <w:r>
        <w:rPr>
          <w:rFonts w:ascii="Arial" w:hAnsi="Arial" w:cs="Arial"/>
        </w:rPr>
        <w:t xml:space="preserve"> </w:t>
      </w:r>
      <w:r w:rsidRPr="29711056">
        <w:rPr>
          <w:rFonts w:ascii="Arial" w:hAnsi="Arial" w:cs="Arial"/>
        </w:rPr>
        <w:t>funding adjustment. Additionally, IHACPA suspended the funding adjustment for patients admitted with COVID</w:t>
      </w:r>
      <w:r>
        <w:rPr>
          <w:rFonts w:ascii="Arial" w:hAnsi="Arial" w:cs="Arial"/>
        </w:rPr>
        <w:noBreakHyphen/>
        <w:t>19</w:t>
      </w:r>
      <w:r w:rsidRPr="29711056">
        <w:rPr>
          <w:rFonts w:ascii="Arial" w:hAnsi="Arial" w:cs="Arial"/>
        </w:rPr>
        <w:t>, introducing further potential bias (IHACPA 2023a, p. 42).</w:t>
      </w:r>
      <w:r>
        <w:t xml:space="preserve"> T</w:t>
      </w:r>
      <w:r w:rsidR="009B6371">
        <w:t>herefore</w:t>
      </w:r>
      <w:r w:rsidR="00C10F27">
        <w:t>,</w:t>
      </w:r>
      <w:r w:rsidR="009B6371">
        <w:t xml:space="preserve"> </w:t>
      </w:r>
      <w:r w:rsidRPr="29711056">
        <w:rPr>
          <w:rFonts w:ascii="Arial" w:hAnsi="Arial" w:cs="Arial"/>
        </w:rPr>
        <w:t>we limited our study</w:t>
      </w:r>
      <w:r>
        <w:rPr>
          <w:rFonts w:ascii="Arial" w:hAnsi="Arial" w:cs="Arial"/>
        </w:rPr>
        <w:t xml:space="preserve"> </w:t>
      </w:r>
      <w:r w:rsidRPr="29711056">
        <w:rPr>
          <w:rFonts w:ascii="Arial" w:hAnsi="Arial" w:cs="Arial"/>
        </w:rPr>
        <w:t xml:space="preserve">period </w:t>
      </w:r>
      <w:r>
        <w:t>to the 20 months from the introduction of the funding adjustment to February 2020 inclusive. This limited our ability to study the longer</w:t>
      </w:r>
      <w:r>
        <w:noBreakHyphen/>
        <w:t>term effects of the HAC funding adjustment.</w:t>
      </w:r>
    </w:p>
    <w:p w14:paraId="5972510E" w14:textId="29E6CE09" w:rsidR="00BA0AF0" w:rsidRPr="00D377A0" w:rsidRDefault="004D6ABF" w:rsidP="00AB62C3">
      <w:pPr>
        <w:pStyle w:val="Heading3"/>
      </w:pPr>
      <w:r>
        <w:t>T</w:t>
      </w:r>
      <w:r w:rsidR="008619D6">
        <w:t>reatment and control groups</w:t>
      </w:r>
    </w:p>
    <w:p w14:paraId="3985BCD6" w14:textId="3576D298" w:rsidR="00BA0AF0" w:rsidRDefault="00BA0AF0" w:rsidP="00AB62C3">
      <w:pPr>
        <w:pStyle w:val="BodyText"/>
      </w:pPr>
      <w:r>
        <w:t>Through engagement with states and territories, the PC learned five jurisdictions passed down the funding adjustment to their L</w:t>
      </w:r>
      <w:r w:rsidR="003B531D">
        <w:t xml:space="preserve">ocal </w:t>
      </w:r>
      <w:r>
        <w:t>H</w:t>
      </w:r>
      <w:r w:rsidR="003B531D">
        <w:t>ospital Networks (LH</w:t>
      </w:r>
      <w:r>
        <w:t>Ns</w:t>
      </w:r>
      <w:r w:rsidR="003B531D">
        <w:t>)</w:t>
      </w:r>
      <w:r>
        <w:t xml:space="preserve"> </w:t>
      </w:r>
      <w:r w:rsidR="009B6371">
        <w:t>from its rollout in the 2018-19 financial year, and other</w:t>
      </w:r>
      <w:r w:rsidR="002C48B4">
        <w:t xml:space="preserve"> jurisdictions </w:t>
      </w:r>
      <w:r w:rsidR="00CF37E1">
        <w:t>did not do so right away</w:t>
      </w:r>
      <w:r>
        <w:t>.</w:t>
      </w:r>
      <w:r w:rsidR="002C48B4">
        <w:t xml:space="preserve"> </w:t>
      </w:r>
      <w:r>
        <w:t xml:space="preserve">The final treatment group was made up of three of these jurisdictions, as two were excluded from this study due data availability. Two jurisdictions </w:t>
      </w:r>
      <w:r w:rsidR="003B531D">
        <w:t>who did not pass down the funding adjustment to LHNs</w:t>
      </w:r>
      <w:r w:rsidR="00A34030">
        <w:t xml:space="preserve"> in 2018</w:t>
      </w:r>
      <w:r w:rsidR="00816B8B">
        <w:t xml:space="preserve"> to </w:t>
      </w:r>
      <w:r w:rsidR="00A34030">
        <w:t>2020</w:t>
      </w:r>
      <w:r w:rsidR="003B531D">
        <w:t xml:space="preserve"> </w:t>
      </w:r>
      <w:r>
        <w:t>made up our control group</w:t>
      </w:r>
      <w:r w:rsidR="003B531D">
        <w:t>.</w:t>
      </w:r>
    </w:p>
    <w:p w14:paraId="687BC04E" w14:textId="5A2D333C" w:rsidR="008619D6" w:rsidRDefault="00386718" w:rsidP="008619D6">
      <w:pPr>
        <w:pStyle w:val="BodyText"/>
        <w:rPr>
          <w:rFonts w:ascii="Arial" w:hAnsi="Arial" w:cs="Arial"/>
          <w:color w:val="000000"/>
        </w:rPr>
      </w:pPr>
      <w:r>
        <w:rPr>
          <w:rFonts w:ascii="Arial" w:hAnsi="Arial" w:cs="Arial"/>
          <w:color w:val="000000" w:themeColor="text1"/>
        </w:rPr>
        <w:t>V</w:t>
      </w:r>
      <w:r w:rsidR="008619D6" w:rsidRPr="29711056">
        <w:rPr>
          <w:rFonts w:ascii="Arial" w:hAnsi="Arial" w:cs="Arial"/>
          <w:color w:val="000000" w:themeColor="text1"/>
        </w:rPr>
        <w:t>ariation within the treatment group in the implementation of the adjustment could not be analysed because documentation of implementation specifics, including timing and design, w</w:t>
      </w:r>
      <w:r w:rsidR="00E6134B">
        <w:rPr>
          <w:rFonts w:ascii="Arial" w:hAnsi="Arial" w:cs="Arial"/>
          <w:color w:val="000000" w:themeColor="text1"/>
        </w:rPr>
        <w:t>as</w:t>
      </w:r>
      <w:r w:rsidR="008619D6" w:rsidRPr="29711056">
        <w:rPr>
          <w:rFonts w:ascii="Arial" w:hAnsi="Arial" w:cs="Arial"/>
          <w:color w:val="000000" w:themeColor="text1"/>
        </w:rPr>
        <w:t xml:space="preserve"> not provided. </w:t>
      </w:r>
    </w:p>
    <w:p w14:paraId="29EA39B5" w14:textId="5CF4529D" w:rsidR="001733D6" w:rsidRDefault="008619D6" w:rsidP="00AB62C3">
      <w:pPr>
        <w:pStyle w:val="BodyText"/>
      </w:pPr>
      <w:r>
        <w:t>Two states and territories told the PC of pre</w:t>
      </w:r>
      <w:r>
        <w:noBreakHyphen/>
        <w:t xml:space="preserve">existing financial mechanisms aimed at improving the safety and quality of hospital care. </w:t>
      </w:r>
      <w:r w:rsidR="003B531D">
        <w:t xml:space="preserve">One jurisdiction was excluded from the estimation as it introduced its own </w:t>
      </w:r>
      <w:r w:rsidR="00882E35">
        <w:t xml:space="preserve">HAC adjustment </w:t>
      </w:r>
      <w:r w:rsidR="003B531D">
        <w:t>policy within the pre</w:t>
      </w:r>
      <w:r w:rsidR="003B531D">
        <w:noBreakHyphen/>
        <w:t xml:space="preserve">policy period that </w:t>
      </w:r>
      <w:r w:rsidR="00882E35">
        <w:t xml:space="preserve">had different characteristics to the </w:t>
      </w:r>
      <w:r w:rsidR="00032FB0">
        <w:t>Commonwealth adjustment</w:t>
      </w:r>
      <w:r w:rsidR="003B531D">
        <w:t xml:space="preserve">. </w:t>
      </w:r>
      <w:r w:rsidR="00093C9B">
        <w:t>The other</w:t>
      </w:r>
      <w:r w:rsidR="003B531D">
        <w:rPr>
          <w:rFonts w:ascii="Arial" w:hAnsi="Arial" w:cs="Arial"/>
          <w:color w:val="000000" w:themeColor="text1"/>
        </w:rPr>
        <w:t xml:space="preserve"> jurisdiction </w:t>
      </w:r>
      <w:r w:rsidR="00032FB0">
        <w:rPr>
          <w:rFonts w:ascii="Arial" w:hAnsi="Arial" w:cs="Arial"/>
          <w:color w:val="000000" w:themeColor="text1"/>
        </w:rPr>
        <w:t xml:space="preserve">made more minor changes </w:t>
      </w:r>
      <w:r w:rsidR="00093C9B">
        <w:rPr>
          <w:rFonts w:ascii="Arial" w:hAnsi="Arial" w:cs="Arial"/>
          <w:color w:val="000000" w:themeColor="text1"/>
        </w:rPr>
        <w:t xml:space="preserve">and </w:t>
      </w:r>
      <w:r w:rsidR="003B531D">
        <w:rPr>
          <w:rFonts w:ascii="Arial" w:hAnsi="Arial" w:cs="Arial"/>
          <w:color w:val="000000" w:themeColor="text1"/>
        </w:rPr>
        <w:t>remained part of the treatment group.</w:t>
      </w:r>
    </w:p>
    <w:p w14:paraId="52BC0AAF" w14:textId="0C66D08B" w:rsidR="008619D6" w:rsidRPr="00D377A0" w:rsidRDefault="008619D6" w:rsidP="008619D6">
      <w:pPr>
        <w:pStyle w:val="Heading3"/>
      </w:pPr>
      <w:r>
        <w:lastRenderedPageBreak/>
        <w:t xml:space="preserve">The likelihood of </w:t>
      </w:r>
      <w:r w:rsidR="00A34030">
        <w:t xml:space="preserve">HACs </w:t>
      </w:r>
      <w:r>
        <w:t>was estimated</w:t>
      </w:r>
    </w:p>
    <w:p w14:paraId="5AAA2F56" w14:textId="4E37627F" w:rsidR="00BA0AF0" w:rsidRPr="00952873" w:rsidRDefault="00613C78" w:rsidP="00AB62C3">
      <w:pPr>
        <w:pStyle w:val="BodyText"/>
        <w:rPr>
          <w:rFonts w:ascii="Arial" w:hAnsi="Arial"/>
          <w:spacing w:val="-2"/>
        </w:rPr>
      </w:pPr>
      <w:r w:rsidRPr="00952873">
        <w:rPr>
          <w:rFonts w:ascii="Arial" w:hAnsi="Arial" w:cs="Arial"/>
          <w:color w:val="000000" w:themeColor="text1"/>
          <w:spacing w:val="-2"/>
        </w:rPr>
        <w:t xml:space="preserve">The variation between treatment and control jurisdictions allows us to run a differences-in-differences model to </w:t>
      </w:r>
      <w:r w:rsidR="003C0539" w:rsidRPr="00952873">
        <w:rPr>
          <w:rFonts w:ascii="Arial" w:hAnsi="Arial" w:cs="Arial"/>
          <w:color w:val="000000" w:themeColor="text1"/>
          <w:spacing w:val="-2"/>
        </w:rPr>
        <w:t xml:space="preserve">identify the effect of the policy. </w:t>
      </w:r>
      <w:r w:rsidR="00685B21" w:rsidRPr="00952873">
        <w:rPr>
          <w:rFonts w:ascii="Arial" w:hAnsi="Arial" w:cs="Arial"/>
          <w:color w:val="000000" w:themeColor="text1"/>
          <w:spacing w:val="-2"/>
        </w:rPr>
        <w:t xml:space="preserve">We estimated the likelihood of a HAC in each </w:t>
      </w:r>
      <w:r w:rsidR="0027256D" w:rsidRPr="00952873">
        <w:rPr>
          <w:rFonts w:ascii="Arial" w:hAnsi="Arial" w:cs="Arial"/>
          <w:color w:val="000000" w:themeColor="text1"/>
          <w:spacing w:val="-2"/>
        </w:rPr>
        <w:t xml:space="preserve">admitted patient </w:t>
      </w:r>
      <w:r w:rsidR="00685B21" w:rsidRPr="00952873">
        <w:rPr>
          <w:rFonts w:ascii="Arial" w:hAnsi="Arial" w:cs="Arial"/>
          <w:color w:val="000000" w:themeColor="text1"/>
          <w:spacing w:val="-2"/>
        </w:rPr>
        <w:t xml:space="preserve">episode, using a logistic regression. </w:t>
      </w:r>
      <w:r w:rsidR="00BA0AF0" w:rsidRPr="00952873">
        <w:rPr>
          <w:rFonts w:ascii="Arial" w:hAnsi="Arial" w:cs="Arial"/>
          <w:color w:val="000000" w:themeColor="text1"/>
          <w:spacing w:val="-2"/>
        </w:rPr>
        <w:t xml:space="preserve">We compared the difference in the </w:t>
      </w:r>
      <w:r w:rsidR="0023067C" w:rsidRPr="00952873">
        <w:rPr>
          <w:rFonts w:ascii="Arial" w:hAnsi="Arial" w:cs="Arial"/>
          <w:color w:val="000000" w:themeColor="text1"/>
          <w:spacing w:val="-2"/>
        </w:rPr>
        <w:t xml:space="preserve">likelihood of </w:t>
      </w:r>
      <w:r w:rsidR="00BA0AF0" w:rsidRPr="00952873">
        <w:rPr>
          <w:rFonts w:ascii="Arial" w:hAnsi="Arial"/>
          <w:spacing w:val="-2"/>
        </w:rPr>
        <w:t xml:space="preserve">HACs </w:t>
      </w:r>
      <w:r w:rsidR="00BA0AF0" w:rsidRPr="00952873">
        <w:rPr>
          <w:rFonts w:ascii="Arial" w:hAnsi="Arial" w:cs="Arial"/>
          <w:color w:val="000000" w:themeColor="text1"/>
          <w:spacing w:val="-2"/>
        </w:rPr>
        <w:t xml:space="preserve">across the control and treatment groups </w:t>
      </w:r>
      <w:r w:rsidR="00BA0AF0" w:rsidRPr="00952873">
        <w:rPr>
          <w:rFonts w:ascii="Arial" w:hAnsi="Arial"/>
          <w:spacing w:val="-2"/>
        </w:rPr>
        <w:t>between July 2016 and June 2018 (the pre</w:t>
      </w:r>
      <w:r w:rsidR="00BA0AF0" w:rsidRPr="00952873">
        <w:rPr>
          <w:rFonts w:ascii="Arial" w:hAnsi="Arial"/>
          <w:spacing w:val="-2"/>
        </w:rPr>
        <w:noBreakHyphen/>
        <w:t>policy period) to the trend between July 2018 and February 2020 (the post</w:t>
      </w:r>
      <w:r w:rsidR="00BA0AF0" w:rsidRPr="00952873">
        <w:rPr>
          <w:rFonts w:ascii="Arial" w:hAnsi="Arial"/>
          <w:spacing w:val="-2"/>
        </w:rPr>
        <w:noBreakHyphen/>
        <w:t>policy period).</w:t>
      </w:r>
      <w:r w:rsidR="00172BE8" w:rsidRPr="00952873">
        <w:rPr>
          <w:rFonts w:ascii="Arial" w:hAnsi="Arial"/>
          <w:spacing w:val="-2"/>
        </w:rPr>
        <w:t xml:space="preserve"> The full details of the estimation</w:t>
      </w:r>
      <w:r w:rsidR="003C0539" w:rsidRPr="00952873">
        <w:rPr>
          <w:rFonts w:ascii="Arial" w:hAnsi="Arial"/>
          <w:spacing w:val="-2"/>
        </w:rPr>
        <w:t xml:space="preserve"> (including sensitivity checks)</w:t>
      </w:r>
      <w:r w:rsidR="00172BE8" w:rsidRPr="00952873">
        <w:rPr>
          <w:rFonts w:ascii="Arial" w:hAnsi="Arial"/>
          <w:spacing w:val="-2"/>
        </w:rPr>
        <w:t xml:space="preserve"> are in </w:t>
      </w:r>
      <w:r w:rsidR="002A562A" w:rsidRPr="00952873">
        <w:rPr>
          <w:rFonts w:ascii="Arial" w:hAnsi="Arial"/>
          <w:spacing w:val="-2"/>
        </w:rPr>
        <w:t>a</w:t>
      </w:r>
      <w:r w:rsidR="00172BE8" w:rsidRPr="00952873">
        <w:rPr>
          <w:rFonts w:ascii="Arial" w:hAnsi="Arial"/>
          <w:spacing w:val="-2"/>
        </w:rPr>
        <w:t>ppendix B.</w:t>
      </w:r>
    </w:p>
    <w:p w14:paraId="3404128A" w14:textId="2B30EEE7" w:rsidR="00F921B9" w:rsidRPr="002A562A" w:rsidRDefault="00F921B9" w:rsidP="00F921B9">
      <w:pPr>
        <w:pStyle w:val="BodyText"/>
        <w:rPr>
          <w:spacing w:val="-2"/>
        </w:rPr>
      </w:pPr>
      <w:r w:rsidRPr="002A562A">
        <w:rPr>
          <w:spacing w:val="-2"/>
        </w:rPr>
        <w:t>The analysis focused on the seven most prevalent and expensive HAC categories. In 2017</w:t>
      </w:r>
      <w:r w:rsidRPr="002A562A">
        <w:rPr>
          <w:spacing w:val="-2"/>
        </w:rPr>
        <w:noBreakHyphen/>
        <w:t xml:space="preserve">18 (the year prior to the implementation of the funding adjustment), these seven accounted for almost 90% of all HAC occurrences </w:t>
      </w:r>
      <w:r w:rsidR="004A5E70" w:rsidRPr="004A5E70">
        <w:rPr>
          <w:rFonts w:ascii="Arial" w:hAnsi="Arial" w:cs="Arial"/>
          <w:szCs w:val="24"/>
        </w:rPr>
        <w:t>(IHACPA 2026)</w:t>
      </w:r>
      <w:r w:rsidRPr="002A562A">
        <w:rPr>
          <w:rStyle w:val="FootnoteReference"/>
          <w:spacing w:val="-2"/>
        </w:rPr>
        <w:footnoteReference w:id="6"/>
      </w:r>
      <w:r w:rsidRPr="002A562A">
        <w:rPr>
          <w:spacing w:val="-2"/>
        </w:rPr>
        <w:t xml:space="preserve"> and </w:t>
      </w:r>
      <w:r w:rsidRPr="002A562A">
        <w:rPr>
          <w:rFonts w:cs="Arial"/>
          <w:color w:val="000000"/>
          <w:spacing w:val="-2"/>
        </w:rPr>
        <w:t>five of the same seven HACs required above</w:t>
      </w:r>
      <w:r w:rsidRPr="002A562A">
        <w:rPr>
          <w:rFonts w:cs="Arial"/>
          <w:color w:val="000000"/>
          <w:spacing w:val="-2"/>
        </w:rPr>
        <w:noBreakHyphen/>
        <w:t>average resources to address them</w:t>
      </w:r>
      <w:r w:rsidRPr="002A562A" w:rsidDel="0044105D">
        <w:rPr>
          <w:rFonts w:cs="Arial"/>
          <w:color w:val="000000" w:themeColor="text1"/>
          <w:spacing w:val="-2"/>
        </w:rPr>
        <w:t xml:space="preserve"> </w:t>
      </w:r>
      <w:r w:rsidRPr="002A562A">
        <w:rPr>
          <w:rFonts w:cs="Arial"/>
          <w:spacing w:val="-2"/>
        </w:rPr>
        <w:t>(IHPA 2017b, p. 2)</w:t>
      </w:r>
      <w:r w:rsidRPr="002A562A">
        <w:rPr>
          <w:spacing w:val="-2"/>
        </w:rPr>
        <w:t>.</w:t>
      </w:r>
      <w:r w:rsidRPr="002A562A">
        <w:rPr>
          <w:rStyle w:val="FootnoteReference"/>
          <w:spacing w:val="-2"/>
        </w:rPr>
        <w:footnoteReference w:id="7"/>
      </w:r>
      <w:r w:rsidR="009631A0" w:rsidRPr="002A562A">
        <w:rPr>
          <w:spacing w:val="-2"/>
        </w:rPr>
        <w:t xml:space="preserve"> We ran models on both an aggregate of these seven HACs and on each individually.</w:t>
      </w:r>
    </w:p>
    <w:p w14:paraId="4DE6EF07" w14:textId="0BA52CF0" w:rsidR="00BA0AF0" w:rsidRDefault="00BA0AF0" w:rsidP="00AB62C3">
      <w:pPr>
        <w:pStyle w:val="BodyText"/>
      </w:pPr>
      <w:r>
        <w:t>Some patient characteristics play a significant role in the risk of a HAC occurring</w:t>
      </w:r>
      <w:r w:rsidR="00E02727">
        <w:t>, as discussed above</w:t>
      </w:r>
      <w:r>
        <w:t>. To control for this, we accounted for patient risk factors in our analysis, including age, gender, the type of diagnosis related group (DRG), major diagnostic category (MDC), Charlson score (an index of comorbidity), intensive care unit (ICU) status, admission status (whether emergency admission occurred) and transfer status (whether the patient was transferred from another hospital).</w:t>
      </w:r>
    </w:p>
    <w:p w14:paraId="79C7203F" w14:textId="35438EE2" w:rsidR="001A2857" w:rsidRPr="002A562A" w:rsidRDefault="00BA0AF0" w:rsidP="00AB62C3">
      <w:pPr>
        <w:rPr>
          <w:rFonts w:ascii="Arial" w:hAnsi="Arial"/>
          <w:spacing w:val="-4"/>
        </w:rPr>
      </w:pPr>
      <w:r w:rsidRPr="002A562A">
        <w:rPr>
          <w:rFonts w:ascii="Arial" w:hAnsi="Arial" w:cs="Arial"/>
          <w:color w:val="000000" w:themeColor="text1"/>
          <w:spacing w:val="-4"/>
        </w:rPr>
        <w:t>We included hospital fixed effects to control for unobserved, time</w:t>
      </w:r>
      <w:r w:rsidRPr="002A562A">
        <w:rPr>
          <w:rFonts w:ascii="Arial" w:hAnsi="Arial" w:cs="Arial"/>
          <w:color w:val="000000" w:themeColor="text1"/>
          <w:spacing w:val="-4"/>
        </w:rPr>
        <w:noBreakHyphen/>
        <w:t>invariant differences, such as variations in quality, risk</w:t>
      </w:r>
      <w:r w:rsidRPr="002A562A">
        <w:rPr>
          <w:rFonts w:ascii="Arial" w:hAnsi="Arial" w:cs="Arial"/>
          <w:color w:val="000000" w:themeColor="text1"/>
          <w:spacing w:val="-4"/>
        </w:rPr>
        <w:noBreakHyphen/>
        <w:t xml:space="preserve">profiles or reporting intensity. </w:t>
      </w:r>
      <w:r w:rsidRPr="002A562A">
        <w:rPr>
          <w:rFonts w:ascii="Arial" w:hAnsi="Arial"/>
          <w:spacing w:val="-4"/>
        </w:rPr>
        <w:t>We also included time fixed effects to account for changes that affected all hospitals over time that could cause HACs to move independently of the financial incentive.</w:t>
      </w:r>
      <w:r w:rsidRPr="002A562A">
        <w:rPr>
          <w:rFonts w:ascii="Arial" w:hAnsi="Arial" w:cs="Arial"/>
          <w:color w:val="000000" w:themeColor="text1"/>
          <w:spacing w:val="-4"/>
        </w:rPr>
        <w:t xml:space="preserve"> This could include nation</w:t>
      </w:r>
      <w:r w:rsidRPr="002A562A">
        <w:rPr>
          <w:rFonts w:ascii="Arial" w:hAnsi="Arial" w:cs="Arial"/>
          <w:color w:val="000000" w:themeColor="text1"/>
          <w:spacing w:val="-4"/>
        </w:rPr>
        <w:noBreakHyphen/>
        <w:t xml:space="preserve">wide changes such </w:t>
      </w:r>
      <w:r w:rsidRPr="002A562A">
        <w:rPr>
          <w:rFonts w:ascii="Arial" w:hAnsi="Arial"/>
          <w:spacing w:val="-4"/>
        </w:rPr>
        <w:t>as reporting rules, coding intensity or new clinical guidelines.</w:t>
      </w:r>
      <w:r w:rsidR="00E73787" w:rsidRPr="002A562A">
        <w:rPr>
          <w:rFonts w:ascii="Arial" w:hAnsi="Arial"/>
          <w:spacing w:val="-4"/>
        </w:rPr>
        <w:t xml:space="preserve"> However, these fixed effects cannot eliminate the possibility that o</w:t>
      </w:r>
      <w:r w:rsidR="001A2857" w:rsidRPr="002A562A">
        <w:rPr>
          <w:rFonts w:ascii="Arial" w:hAnsi="Arial" w:cs="Arial"/>
          <w:color w:val="000000" w:themeColor="text1"/>
          <w:spacing w:val="-4"/>
        </w:rPr>
        <w:t xml:space="preserve">ther concurrent changes – such as hospital management practices, policies, patient demographics and service volumes – may also have affected HAC rates. </w:t>
      </w:r>
    </w:p>
    <w:p w14:paraId="121F9D1A" w14:textId="398835ED" w:rsidR="00A81B13" w:rsidRPr="00D377A0" w:rsidRDefault="00A81B13" w:rsidP="00A81B13">
      <w:pPr>
        <w:pStyle w:val="Heading3"/>
      </w:pPr>
      <w:r>
        <w:t>Relationship to prior literature</w:t>
      </w:r>
    </w:p>
    <w:p w14:paraId="4BF3807A" w14:textId="35AE96E3" w:rsidR="00716B8F" w:rsidRDefault="00A81B13" w:rsidP="00A81B13">
      <w:r>
        <w:t>A</w:t>
      </w:r>
      <w:r w:rsidR="001E3199">
        <w:t xml:space="preserve"> recent academic study </w:t>
      </w:r>
      <w:r w:rsidR="007028C3" w:rsidRPr="00E043A1">
        <w:rPr>
          <w:rFonts w:ascii="Arial" w:hAnsi="Arial" w:cs="Arial"/>
        </w:rPr>
        <w:t>(</w:t>
      </w:r>
      <w:proofErr w:type="spellStart"/>
      <w:r w:rsidR="007028C3" w:rsidRPr="00E043A1">
        <w:rPr>
          <w:rFonts w:ascii="Arial" w:hAnsi="Arial" w:cs="Arial"/>
        </w:rPr>
        <w:t>Slawomirski</w:t>
      </w:r>
      <w:proofErr w:type="spellEnd"/>
      <w:r w:rsidR="007028C3" w:rsidRPr="00E043A1">
        <w:rPr>
          <w:rFonts w:ascii="Arial" w:hAnsi="Arial" w:cs="Arial"/>
        </w:rPr>
        <w:t xml:space="preserve"> et al. 2025)</w:t>
      </w:r>
      <w:r w:rsidR="007028C3" w:rsidRPr="00E043A1">
        <w:rPr>
          <w:rFonts w:ascii="Arial" w:hAnsi="Arial" w:cs="Arial"/>
          <w:color w:val="000000"/>
        </w:rPr>
        <w:t xml:space="preserve"> </w:t>
      </w:r>
      <w:r w:rsidR="001E3199">
        <w:t xml:space="preserve">has also examined how the introduction of the penalties affected the likelihood of </w:t>
      </w:r>
      <w:r w:rsidR="003C5411">
        <w:t xml:space="preserve">thirteen </w:t>
      </w:r>
      <w:r w:rsidR="002F3F4C">
        <w:t xml:space="preserve">categories of </w:t>
      </w:r>
      <w:r w:rsidR="001E3199">
        <w:t xml:space="preserve">HACs. </w:t>
      </w:r>
      <w:r w:rsidR="00041416">
        <w:t>W</w:t>
      </w:r>
      <w:r w:rsidR="006C0E27">
        <w:t xml:space="preserve">hile </w:t>
      </w:r>
      <w:r w:rsidR="00892B97">
        <w:rPr>
          <w:rFonts w:ascii="Arial" w:hAnsi="Arial" w:cs="Arial"/>
          <w:szCs w:val="24"/>
        </w:rPr>
        <w:t xml:space="preserve">the study </w:t>
      </w:r>
      <w:r w:rsidR="00903195">
        <w:t>drew on the same dataset to answer</w:t>
      </w:r>
      <w:r w:rsidR="007028C3">
        <w:t xml:space="preserve"> the question</w:t>
      </w:r>
      <w:r w:rsidR="000D3F1F">
        <w:t xml:space="preserve">, they adopted a different methodology. They </w:t>
      </w:r>
      <w:r w:rsidR="005C1D4E">
        <w:t>examined the time-series of the</w:t>
      </w:r>
      <w:r w:rsidR="000D3F1F">
        <w:t xml:space="preserve"> aggregate </w:t>
      </w:r>
      <w:r w:rsidR="005C1D4E">
        <w:t xml:space="preserve">level of HACs (with some adjustment for the risk characteristics of each patient) and </w:t>
      </w:r>
      <w:r w:rsidR="007942CD">
        <w:t>tested for a break in the time series.</w:t>
      </w:r>
      <w:r w:rsidR="00764A1A">
        <w:t xml:space="preserve"> </w:t>
      </w:r>
      <w:r w:rsidR="00E90307">
        <w:t>T</w:t>
      </w:r>
      <w:r w:rsidR="00764A1A">
        <w:t>hey treat</w:t>
      </w:r>
      <w:r w:rsidR="00710E78">
        <w:t>ed</w:t>
      </w:r>
      <w:r w:rsidR="00764A1A">
        <w:t xml:space="preserve"> all states as having implemented the HAC penalties.</w:t>
      </w:r>
      <w:r w:rsidR="007942CD">
        <w:t xml:space="preserve"> </w:t>
      </w:r>
    </w:p>
    <w:p w14:paraId="0F238472" w14:textId="1CA6F436" w:rsidR="00577CFF" w:rsidRDefault="003C5411" w:rsidP="00A81B13">
      <w:r>
        <w:t>In contrast, we estimate the likelihood of a HAC at the level of an individual patient, adjusting for patient and hospital characteristics</w:t>
      </w:r>
      <w:r w:rsidR="00E02727">
        <w:t xml:space="preserve">, and </w:t>
      </w:r>
      <w:r w:rsidR="00710E78">
        <w:t xml:space="preserve">from our consultations </w:t>
      </w:r>
      <w:r w:rsidR="00E02727">
        <w:t xml:space="preserve">we </w:t>
      </w:r>
      <w:proofErr w:type="gramStart"/>
      <w:r w:rsidR="00E02727">
        <w:t>ar</w:t>
      </w:r>
      <w:r w:rsidR="00710E78">
        <w:t>e able to</w:t>
      </w:r>
      <w:proofErr w:type="gramEnd"/>
      <w:r w:rsidR="00710E78">
        <w:t xml:space="preserve"> distinguish the jurisdictions that implemented the penalty</w:t>
      </w:r>
      <w:r>
        <w:t>.</w:t>
      </w:r>
    </w:p>
    <w:p w14:paraId="094036E4" w14:textId="607BC7B3" w:rsidR="00A81B13" w:rsidRDefault="00F56591" w:rsidP="00A81B13">
      <w:proofErr w:type="spellStart"/>
      <w:r w:rsidRPr="00F56591">
        <w:rPr>
          <w:rFonts w:ascii="Arial" w:hAnsi="Arial" w:cs="Arial"/>
          <w:szCs w:val="24"/>
        </w:rPr>
        <w:t>Slawomirski</w:t>
      </w:r>
      <w:proofErr w:type="spellEnd"/>
      <w:r w:rsidRPr="00F56591">
        <w:rPr>
          <w:rFonts w:ascii="Arial" w:hAnsi="Arial" w:cs="Arial"/>
          <w:szCs w:val="24"/>
        </w:rPr>
        <w:t xml:space="preserve"> et al. </w:t>
      </w:r>
      <w:r w:rsidR="00342EF8">
        <w:rPr>
          <w:rFonts w:ascii="Arial" w:hAnsi="Arial" w:cs="Arial"/>
          <w:szCs w:val="24"/>
        </w:rPr>
        <w:t>(</w:t>
      </w:r>
      <w:r w:rsidRPr="00F56591">
        <w:rPr>
          <w:rFonts w:ascii="Arial" w:hAnsi="Arial" w:cs="Arial"/>
          <w:szCs w:val="24"/>
        </w:rPr>
        <w:t>2025)</w:t>
      </w:r>
      <w:r w:rsidR="007028C3" w:rsidRPr="00E043A1">
        <w:rPr>
          <w:rFonts w:ascii="Arial" w:hAnsi="Arial" w:cs="Arial"/>
          <w:color w:val="000000"/>
        </w:rPr>
        <w:t xml:space="preserve"> </w:t>
      </w:r>
      <w:r w:rsidR="00577CFF">
        <w:t>found t</w:t>
      </w:r>
      <w:r w:rsidR="007942CD">
        <w:t xml:space="preserve">hat the introduction of the HAC penalty did lead to a significant decline </w:t>
      </w:r>
      <w:r w:rsidR="007F2D58">
        <w:t>in HAC rates</w:t>
      </w:r>
      <w:r w:rsidR="003C5411">
        <w:t xml:space="preserve"> of between 17% and 26% depending on the model</w:t>
      </w:r>
      <w:r w:rsidR="007F2D58">
        <w:t xml:space="preserve">. </w:t>
      </w:r>
      <w:r w:rsidR="003C5411">
        <w:t>This magnitude is comparable to the magnitudes found in our analysis.</w:t>
      </w:r>
    </w:p>
    <w:p w14:paraId="77F14334" w14:textId="4DBA939F" w:rsidR="00BA0AF0" w:rsidRDefault="004A08FD" w:rsidP="00AB62C3">
      <w:pPr>
        <w:pStyle w:val="Heading3"/>
      </w:pPr>
      <w:r>
        <w:lastRenderedPageBreak/>
        <w:t>The funding adjustment led to a 25% decline in HACs</w:t>
      </w:r>
    </w:p>
    <w:p w14:paraId="7DAC17C0" w14:textId="2641F3E8" w:rsidR="00BA0AF0" w:rsidRPr="00793D2A" w:rsidRDefault="00BA0AF0" w:rsidP="00AB62C3">
      <w:pPr>
        <w:rPr>
          <w:spacing w:val="-2"/>
        </w:rPr>
      </w:pPr>
      <w:r w:rsidRPr="00793D2A">
        <w:rPr>
          <w:spacing w:val="-2"/>
        </w:rPr>
        <w:t xml:space="preserve">Our </w:t>
      </w:r>
      <w:r w:rsidR="0010169D" w:rsidRPr="00793D2A">
        <w:rPr>
          <w:spacing w:val="-2"/>
        </w:rPr>
        <w:t>differences-in-differences</w:t>
      </w:r>
      <w:r w:rsidRPr="00793D2A">
        <w:rPr>
          <w:spacing w:val="-2"/>
        </w:rPr>
        <w:t xml:space="preserve"> model results suggest</w:t>
      </w:r>
      <w:r w:rsidR="0010169D" w:rsidRPr="00793D2A">
        <w:rPr>
          <w:spacing w:val="-2"/>
        </w:rPr>
        <w:t>s</w:t>
      </w:r>
      <w:r w:rsidRPr="00793D2A">
        <w:rPr>
          <w:spacing w:val="-2"/>
        </w:rPr>
        <w:t xml:space="preserve"> the introduction of the funding adjustment, when controlling for patient and hospital factors, was associated with a decrease in the probability of a HAC occurring by 25.2% across the seven HACs studied (appendix B).</w:t>
      </w:r>
      <w:r w:rsidRPr="00793D2A">
        <w:rPr>
          <w:rFonts w:cs="Arial"/>
          <w:color w:val="000000"/>
          <w:spacing w:val="-2"/>
        </w:rPr>
        <w:t xml:space="preserve"> Based on the treatment group</w:t>
      </w:r>
      <w:r w:rsidR="00147454">
        <w:rPr>
          <w:rFonts w:cs="Arial"/>
          <w:color w:val="000000"/>
          <w:spacing w:val="-2"/>
        </w:rPr>
        <w:t>’</w:t>
      </w:r>
      <w:r w:rsidRPr="00793D2A">
        <w:rPr>
          <w:rFonts w:cs="Arial"/>
          <w:color w:val="000000"/>
          <w:spacing w:val="-2"/>
        </w:rPr>
        <w:t>s</w:t>
      </w:r>
      <w:r w:rsidRPr="00793D2A">
        <w:rPr>
          <w:rFonts w:cs="Arial"/>
          <w:color w:val="000000" w:themeColor="text1"/>
          <w:spacing w:val="-2"/>
        </w:rPr>
        <w:t xml:space="preserve"> 12</w:t>
      </w:r>
      <w:r w:rsidRPr="00793D2A">
        <w:rPr>
          <w:rFonts w:cs="Arial"/>
          <w:color w:val="000000" w:themeColor="text1"/>
          <w:spacing w:val="-2"/>
        </w:rPr>
        <w:noBreakHyphen/>
        <w:t>month average HAC rate as a baseline, our model indicates</w:t>
      </w:r>
      <w:r w:rsidRPr="00793D2A">
        <w:rPr>
          <w:rFonts w:cs="Arial"/>
          <w:color w:val="000000"/>
          <w:spacing w:val="-2"/>
        </w:rPr>
        <w:t xml:space="preserve"> the introduction of the funding adjustment was associated with a decrease in the likelihood of a HAC from 2.31% to 1.73%, or 0.59 percentage points </w:t>
      </w:r>
      <w:r w:rsidRPr="00793D2A">
        <w:rPr>
          <w:spacing w:val="-2"/>
        </w:rPr>
        <w:t>(figure 3)</w:t>
      </w:r>
      <w:r w:rsidRPr="00793D2A">
        <w:rPr>
          <w:rFonts w:cs="Arial"/>
          <w:color w:val="000000"/>
          <w:spacing w:val="-2"/>
        </w:rPr>
        <w:t>.</w:t>
      </w:r>
      <w:r w:rsidRPr="00793D2A">
        <w:rPr>
          <w:rStyle w:val="FootnoteReference"/>
          <w:spacing w:val="-2"/>
        </w:rPr>
        <w:footnoteReference w:id="8"/>
      </w:r>
      <w:r w:rsidRPr="00793D2A">
        <w:rPr>
          <w:rFonts w:cs="Arial"/>
          <w:color w:val="000000"/>
          <w:spacing w:val="-2"/>
        </w:rPr>
        <w:t xml:space="preserve"> This result is</w:t>
      </w:r>
      <w:r w:rsidRPr="00793D2A">
        <w:rPr>
          <w:rFonts w:cs="Arial"/>
          <w:color w:val="000000" w:themeColor="text1"/>
          <w:spacing w:val="-2"/>
        </w:rPr>
        <w:t xml:space="preserve"> relatively large</w:t>
      </w:r>
      <w:r w:rsidRPr="00793D2A">
        <w:rPr>
          <w:rFonts w:cs="Arial"/>
          <w:color w:val="000000"/>
          <w:spacing w:val="-2"/>
        </w:rPr>
        <w:t xml:space="preserve">, comparable to eight years of ageing or one Charlson score (appendix B). </w:t>
      </w:r>
    </w:p>
    <w:p w14:paraId="4E181650" w14:textId="0DDD2C80" w:rsidR="00BA0AF0" w:rsidRDefault="00BA0AF0" w:rsidP="00AB62C3">
      <w:pPr>
        <w:pStyle w:val="FigureTableHeading"/>
      </w:pPr>
      <w:r>
        <w:t>Figure 3 – The HAC rate in the treatment group fell by more than the control group in and around implementation of the funding adjustment</w:t>
      </w:r>
    </w:p>
    <w:p w14:paraId="0D1CD4C1" w14:textId="77777777" w:rsidR="00BA0AF0" w:rsidRDefault="00BA0AF0" w:rsidP="00D44382">
      <w:pPr>
        <w:pStyle w:val="BodyText"/>
        <w:spacing w:after="0"/>
      </w:pPr>
      <w:r>
        <w:rPr>
          <w:noProof/>
        </w:rPr>
        <w:drawing>
          <wp:inline distT="0" distB="0" distL="0" distR="0" wp14:anchorId="68CF39F5" wp14:editId="54965A33">
            <wp:extent cx="6111240" cy="2880360"/>
            <wp:effectExtent l="0" t="0" r="0" b="0"/>
            <wp:docPr id="972765317" name="Picture 3" descr="Figure 3 - This figure shows the average per-hospital rate of hospital-acquired complications (HACs) from mid-2016 to early 2020 for a treatment group (jurisdictions that implemented the funding adjustment) and a control group (jurisdictions that did not). HAC rates decline over time for both groups. Following implementation of the funding adjustment in mid-2018, the gap between the groups widens, with HAC rates falling more in the treatment group than in the control group.&#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65317" name="Picture 3" descr="Figure 3 - This figure shows the average per-hospital rate of hospital-acquired complications (HACs) from mid-2016 to early 2020 for a treatment group (jurisdictions that implemented the funding adjustment) and a control group (jurisdictions that did not). HAC rates decline over time for both groups. Following implementation of the funding adjustment in mid-2018, the gap between the groups widens, with HAC rates falling more in the treatment group than in the control group.&#10;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1240" cy="2880360"/>
                    </a:xfrm>
                    <a:prstGeom prst="rect">
                      <a:avLst/>
                    </a:prstGeom>
                    <a:noFill/>
                    <a:ln>
                      <a:noFill/>
                    </a:ln>
                  </pic:spPr>
                </pic:pic>
              </a:graphicData>
            </a:graphic>
          </wp:inline>
        </w:drawing>
      </w:r>
    </w:p>
    <w:p w14:paraId="261AB3DA" w14:textId="77777777" w:rsidR="00BA0AF0" w:rsidRDefault="00BA0AF0" w:rsidP="00D44382">
      <w:pPr>
        <w:pStyle w:val="Source"/>
        <w:spacing w:before="0"/>
      </w:pPr>
      <w:r>
        <w:t>Source: PC estimate using AIHW NHDH data.</w:t>
      </w:r>
    </w:p>
    <w:p w14:paraId="69726D76" w14:textId="37E95CE1" w:rsidR="00BA0AF0" w:rsidRPr="00E043A1" w:rsidDel="00B12B5E" w:rsidRDefault="00BA0AF0" w:rsidP="00AB62C3">
      <w:r w:rsidRPr="002B29B2">
        <w:t xml:space="preserve">While the funding adjustment </w:t>
      </w:r>
      <w:r>
        <w:t>was associated with</w:t>
      </w:r>
      <w:r w:rsidRPr="002B29B2">
        <w:t xml:space="preserve"> an aggregate reduction in HAC</w:t>
      </w:r>
      <w:r>
        <w:t>s</w:t>
      </w:r>
      <w:r w:rsidRPr="002B29B2">
        <w:t xml:space="preserve">, separating the analysis by HAC </w:t>
      </w:r>
      <w:r>
        <w:t>category</w:t>
      </w:r>
      <w:r w:rsidRPr="002B29B2">
        <w:t xml:space="preserve"> showed </w:t>
      </w:r>
      <w:r>
        <w:t xml:space="preserve">this effect was due to </w:t>
      </w:r>
      <w:r w:rsidRPr="00E043A1">
        <w:t>five</w:t>
      </w:r>
      <w:r>
        <w:t xml:space="preserve"> HAC categories: healthcare</w:t>
      </w:r>
      <w:r>
        <w:noBreakHyphen/>
        <w:t>associated infections (24.6% decrease in probability of occurrence), respiratory complications (26.7% decrease)</w:t>
      </w:r>
      <w:r w:rsidRPr="00E043A1">
        <w:t>, delirium (28.9% decrease), en</w:t>
      </w:r>
      <w:r w:rsidRPr="00E043A1" w:rsidDel="009545B8">
        <w:t>docrine complications</w:t>
      </w:r>
      <w:r>
        <w:t xml:space="preserve"> (27.2% decrease) and cardiac complications (30.1% </w:t>
      </w:r>
      <w:r w:rsidRPr="002B29B2" w:rsidDel="003D6EA9">
        <w:t>decrease</w:t>
      </w:r>
      <w:r w:rsidRPr="00E043A1">
        <w:t xml:space="preserve">) </w:t>
      </w:r>
      <w:r>
        <w:t>(figure</w:t>
      </w:r>
      <w:r w:rsidRPr="002B29B2" w:rsidDel="00AC2711">
        <w:t> </w:t>
      </w:r>
      <w:r>
        <w:t>4)</w:t>
      </w:r>
      <w:r w:rsidRPr="00E043A1">
        <w:t xml:space="preserve"> (appendix B)</w:t>
      </w:r>
      <w:r>
        <w:t xml:space="preserve">. Together these </w:t>
      </w:r>
      <w:r w:rsidRPr="00E043A1" w:rsidDel="00AC2711">
        <w:t>five</w:t>
      </w:r>
      <w:r w:rsidRPr="00E043A1">
        <w:t xml:space="preserve"> </w:t>
      </w:r>
      <w:r w:rsidDel="00B338B0">
        <w:t xml:space="preserve">HAC </w:t>
      </w:r>
      <w:r w:rsidDel="00DC2D81">
        <w:t>categorie</w:t>
      </w:r>
      <w:r>
        <w:t xml:space="preserve">s amount to more than </w:t>
      </w:r>
      <w:r w:rsidRPr="00E043A1" w:rsidDel="00032C9C">
        <w:t>70</w:t>
      </w:r>
      <w:r w:rsidRPr="29711056" w:rsidDel="00C55244">
        <w:t>% of annual episodes</w:t>
      </w:r>
      <w:r>
        <w:t xml:space="preserve"> of care</w:t>
      </w:r>
      <w:r w:rsidRPr="29711056" w:rsidDel="00C55244">
        <w:t xml:space="preserve"> with at least one HAC</w:t>
      </w:r>
      <w:r w:rsidRPr="00E043A1" w:rsidDel="00A65BE4">
        <w:t xml:space="preserve">. </w:t>
      </w:r>
    </w:p>
    <w:p w14:paraId="65DE3BB4" w14:textId="4011BB5A" w:rsidR="00BA0AF0" w:rsidRDefault="00BA0AF0" w:rsidP="00200E25">
      <w:pPr>
        <w:pStyle w:val="FigureTableHeading"/>
        <w:keepNext w:val="0"/>
        <w:rPr>
          <w:rFonts w:asciiTheme="minorHAnsi" w:hAnsiTheme="minorHAnsi" w:cstheme="minorHAnsi"/>
        </w:rPr>
      </w:pPr>
      <w:r w:rsidRPr="00E043A1">
        <w:rPr>
          <w:rFonts w:asciiTheme="minorHAnsi" w:hAnsiTheme="minorHAnsi" w:cstheme="minorHAnsi"/>
        </w:rPr>
        <w:t xml:space="preserve">The remaining two HAC categories </w:t>
      </w:r>
      <w:r>
        <w:rPr>
          <w:rFonts w:asciiTheme="minorHAnsi" w:hAnsiTheme="minorHAnsi" w:cstheme="minorHAnsi"/>
        </w:rPr>
        <w:t>–</w:t>
      </w:r>
      <w:r w:rsidRPr="00E043A1">
        <w:rPr>
          <w:rFonts w:asciiTheme="minorHAnsi" w:hAnsiTheme="minorHAnsi" w:cstheme="minorHAnsi"/>
        </w:rPr>
        <w:t xml:space="preserve"> surgical complications and medication complications – had statistically insignificant results, indicating that the funding adjustment did not have an observable association with the </w:t>
      </w:r>
      <w:r w:rsidR="002F465D">
        <w:rPr>
          <w:rFonts w:asciiTheme="minorHAnsi" w:hAnsiTheme="minorHAnsi" w:cstheme="minorHAnsi"/>
        </w:rPr>
        <w:t>p</w:t>
      </w:r>
      <w:r w:rsidRPr="00E043A1">
        <w:rPr>
          <w:rFonts w:asciiTheme="minorHAnsi" w:hAnsiTheme="minorHAnsi" w:cstheme="minorHAnsi"/>
        </w:rPr>
        <w:t xml:space="preserve">revention of these HACs. This variation may indicate some </w:t>
      </w:r>
      <w:r w:rsidR="00386C99">
        <w:rPr>
          <w:rFonts w:asciiTheme="minorHAnsi" w:hAnsiTheme="minorHAnsi" w:cstheme="minorHAnsi"/>
        </w:rPr>
        <w:t xml:space="preserve">categories of </w:t>
      </w:r>
      <w:r w:rsidRPr="00E043A1">
        <w:rPr>
          <w:rFonts w:asciiTheme="minorHAnsi" w:hAnsiTheme="minorHAnsi" w:cstheme="minorHAnsi"/>
        </w:rPr>
        <w:t xml:space="preserve">HACs are more difficult </w:t>
      </w:r>
      <w:r w:rsidR="00386C99">
        <w:rPr>
          <w:rFonts w:asciiTheme="minorHAnsi" w:hAnsiTheme="minorHAnsi" w:cstheme="minorHAnsi"/>
        </w:rPr>
        <w:t xml:space="preserve">for hospitals </w:t>
      </w:r>
      <w:r w:rsidRPr="00E043A1">
        <w:rPr>
          <w:rFonts w:asciiTheme="minorHAnsi" w:hAnsiTheme="minorHAnsi" w:cstheme="minorHAnsi"/>
        </w:rPr>
        <w:t xml:space="preserve">to </w:t>
      </w:r>
      <w:r w:rsidR="00386C99">
        <w:rPr>
          <w:rFonts w:asciiTheme="minorHAnsi" w:hAnsiTheme="minorHAnsi" w:cstheme="minorHAnsi"/>
        </w:rPr>
        <w:t>reduce</w:t>
      </w:r>
      <w:r>
        <w:rPr>
          <w:rFonts w:asciiTheme="minorHAnsi" w:hAnsiTheme="minorHAnsi" w:cstheme="minorHAnsi"/>
        </w:rPr>
        <w:t xml:space="preserve"> </w:t>
      </w:r>
      <w:r w:rsidRPr="00E043A1">
        <w:rPr>
          <w:rFonts w:asciiTheme="minorHAnsi" w:hAnsiTheme="minorHAnsi" w:cstheme="minorHAnsi"/>
        </w:rPr>
        <w:t>than others</w:t>
      </w:r>
      <w:r w:rsidR="00386C99">
        <w:rPr>
          <w:rFonts w:asciiTheme="minorHAnsi" w:hAnsiTheme="minorHAnsi" w:cstheme="minorHAnsi"/>
        </w:rPr>
        <w:t>.</w:t>
      </w:r>
    </w:p>
    <w:p w14:paraId="19A5618D" w14:textId="41EFF23D" w:rsidR="00BA0AF0" w:rsidRPr="002A562A" w:rsidRDefault="00BA0AF0" w:rsidP="007A1C0E">
      <w:pPr>
        <w:pStyle w:val="FigureTableHeading"/>
        <w:rPr>
          <w:spacing w:val="-2"/>
        </w:rPr>
      </w:pPr>
      <w:r w:rsidRPr="002A562A">
        <w:rPr>
          <w:spacing w:val="-2"/>
        </w:rPr>
        <w:lastRenderedPageBreak/>
        <w:t xml:space="preserve">Figure 4 – The funding adjustment was associated with a significant decline in five HACs </w:t>
      </w:r>
    </w:p>
    <w:p w14:paraId="789C2D0B" w14:textId="77777777" w:rsidR="00BA0AF0" w:rsidRPr="007A1C0E" w:rsidRDefault="00BA0AF0" w:rsidP="007A1C0E">
      <w:pPr>
        <w:pStyle w:val="BodyText"/>
        <w:keepNext/>
        <w:rPr>
          <w:b/>
          <w:bCs/>
        </w:rPr>
      </w:pPr>
      <w:r w:rsidRPr="007A1C0E">
        <w:rPr>
          <w:b/>
          <w:bCs/>
        </w:rPr>
        <w:t>a. Healthcare</w:t>
      </w:r>
      <w:r w:rsidRPr="007A1C0E">
        <w:rPr>
          <w:b/>
          <w:bCs/>
        </w:rPr>
        <w:noBreakHyphen/>
        <w:t xml:space="preserve">associated infections </w:t>
      </w:r>
    </w:p>
    <w:p w14:paraId="1A79027F" w14:textId="77777777" w:rsidR="00BA0AF0" w:rsidRPr="007A1C0E" w:rsidRDefault="00BA0AF0" w:rsidP="007A1C0E">
      <w:pPr>
        <w:pStyle w:val="BodyText"/>
        <w:spacing w:before="0" w:after="0"/>
      </w:pPr>
      <w:r w:rsidRPr="007A1C0E">
        <w:rPr>
          <w:noProof/>
        </w:rPr>
        <w:drawing>
          <wp:inline distT="0" distB="0" distL="0" distR="0" wp14:anchorId="2A8A50C6" wp14:editId="4C419B14">
            <wp:extent cx="6120130" cy="1798320"/>
            <wp:effectExtent l="0" t="0" r="0" b="0"/>
            <wp:docPr id="1534428046" name="Picture 5" descr="Figure 4 – This figure consists of five panels showing trends in selected hospital-acquired complication (HAC) rates from mid-2016 to early-2020 for treatment and control groups, with a shadow year followed by implementation of the funding adjustment in mid-2018. The panels show healthcare-associated infections, respiratory complications, delirium, endocrine complications and cardiac complications. In each case, HAC rates decline over time for both groups, but fall more sharply in the treatment group following implementation of the funding adjustment. This indicates that the overall reduction in HACs is driven by these five categories, which together account for more than 70% of HAC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28046" name="Picture 5" descr="Figure 4 – This figure consists of five panels showing trends in selected hospital-acquired complication (HAC) rates from mid-2016 to early-2020 for treatment and control groups, with a shadow year followed by implementation of the funding adjustment in mid-2018. The panels show healthcare-associated infections, respiratory complications, delirium, endocrine complications and cardiac complications. In each case, HAC rates decline over time for both groups, but fall more sharply in the treatment group following implementation of the funding adjustment. This indicates that the overall reduction in HACs is driven by these five categories, which together account for more than 70% of HAC episod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1798320"/>
                    </a:xfrm>
                    <a:prstGeom prst="rect">
                      <a:avLst/>
                    </a:prstGeom>
                    <a:noFill/>
                    <a:ln>
                      <a:noFill/>
                    </a:ln>
                  </pic:spPr>
                </pic:pic>
              </a:graphicData>
            </a:graphic>
          </wp:inline>
        </w:drawing>
      </w:r>
    </w:p>
    <w:p w14:paraId="42124ACD" w14:textId="77777777" w:rsidR="002A562A" w:rsidRPr="007A1C0E" w:rsidRDefault="00BA0AF0" w:rsidP="007A1C0E">
      <w:pPr>
        <w:pStyle w:val="BodyText"/>
        <w:spacing w:before="0"/>
        <w:rPr>
          <w:b/>
          <w:bCs/>
        </w:rPr>
      </w:pPr>
      <w:r w:rsidRPr="007A1C0E">
        <w:rPr>
          <w:b/>
          <w:bCs/>
        </w:rPr>
        <w:t>b. Respiratory complications</w:t>
      </w:r>
    </w:p>
    <w:p w14:paraId="3F26F0AC" w14:textId="7CB4E06A" w:rsidR="002A562A" w:rsidRPr="007A1C0E" w:rsidRDefault="00BA0AF0" w:rsidP="007A1C0E">
      <w:pPr>
        <w:pStyle w:val="BodyText"/>
        <w:spacing w:before="0" w:after="0"/>
        <w:rPr>
          <w:b/>
          <w:bCs/>
        </w:rPr>
      </w:pPr>
      <w:r>
        <w:rPr>
          <w:noProof/>
        </w:rPr>
        <w:drawing>
          <wp:inline distT="0" distB="0" distL="0" distR="0" wp14:anchorId="7BEF84A6" wp14:editId="06B791C1">
            <wp:extent cx="6120130" cy="1798320"/>
            <wp:effectExtent l="0" t="0" r="0" b="0"/>
            <wp:docPr id="576041734" name="Picture 6" descr="Figure 4 – This figure consists of five panels showing trends in selected hospital-acquired complication (HAC) rates from mid-2016 to early-2020 for treatment and control groups, with a shadow year followed by implementation of the funding adjustment in mid-2018. The panels show healthcare-associated infections, respiratory complications, delirium, endocrine complications and cardiac complications. In each case, HAC rates decline over time for both groups, but fall more sharply in the treatment group following implementation of the funding adjustment. This indicates that the overall reduction in HACs is driven by these five categories, which together account for more than 70% of HAC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41734" name="Picture 6" descr="Figure 4 – This figure consists of five panels showing trends in selected hospital-acquired complication (HAC) rates from mid-2016 to early-2020 for treatment and control groups, with a shadow year followed by implementation of the funding adjustment in mid-2018. The panels show healthcare-associated infections, respiratory complications, delirium, endocrine complications and cardiac complications. In each case, HAC rates decline over time for both groups, but fall more sharply in the treatment group following implementation of the funding adjustment. This indicates that the overall reduction in HACs is driven by these five categories, which together account for more than 70% of HAC episod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1798320"/>
                    </a:xfrm>
                    <a:prstGeom prst="rect">
                      <a:avLst/>
                    </a:prstGeom>
                    <a:noFill/>
                    <a:ln>
                      <a:noFill/>
                    </a:ln>
                  </pic:spPr>
                </pic:pic>
              </a:graphicData>
            </a:graphic>
          </wp:inline>
        </w:drawing>
      </w:r>
      <w:r w:rsidRPr="007A1C0E">
        <w:rPr>
          <w:b/>
          <w:bCs/>
        </w:rPr>
        <w:t>c. Delirium</w:t>
      </w:r>
    </w:p>
    <w:p w14:paraId="1701ED0A" w14:textId="77777777" w:rsidR="00D31C8E" w:rsidRPr="00D31C8E" w:rsidRDefault="00BA0AF0" w:rsidP="007A1C0E">
      <w:pPr>
        <w:pStyle w:val="BodyText"/>
        <w:spacing w:before="0" w:after="0"/>
      </w:pPr>
      <w:r>
        <w:rPr>
          <w:noProof/>
        </w:rPr>
        <w:drawing>
          <wp:inline distT="0" distB="0" distL="0" distR="0" wp14:anchorId="385FFD0F" wp14:editId="237CDDD9">
            <wp:extent cx="6120130" cy="1799590"/>
            <wp:effectExtent l="0" t="0" r="0" b="0"/>
            <wp:docPr id="1975498988" name="Picture 7" descr="Figure 4 – This figure consists of five panels showing trends in selected hospital-acquired complication (HAC) rates from mid-2016 to early-2020 for treatment and control groups, with a shadow year followed by implementation of the funding adjustment in mid-2018. The panels show healthcare-associated infections, respiratory complications, delirium, endocrine complications and cardiac complications. In each case, HAC rates decline over time for both groups, but fall more sharply in the treatment group following implementation of the funding adjustment. This indicates that the overall reduction in HACs is driven by these five categories, which together account for more than 70% of HAC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98988" name="Picture 7" descr="Figure 4 – This figure consists of five panels showing trends in selected hospital-acquired complication (HAC) rates from mid-2016 to early-2020 for treatment and control groups, with a shadow year followed by implementation of the funding adjustment in mid-2018. The panels show healthcare-associated infections, respiratory complications, delirium, endocrine complications and cardiac complications. In each case, HAC rates decline over time for both groups, but fall more sharply in the treatment group following implementation of the funding adjustment. This indicates that the overall reduction in HACs is driven by these five categories, which together account for more than 70% of HAC episod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1799590"/>
                    </a:xfrm>
                    <a:prstGeom prst="rect">
                      <a:avLst/>
                    </a:prstGeom>
                    <a:noFill/>
                    <a:ln>
                      <a:noFill/>
                    </a:ln>
                  </pic:spPr>
                </pic:pic>
              </a:graphicData>
            </a:graphic>
          </wp:inline>
        </w:drawing>
      </w:r>
    </w:p>
    <w:p w14:paraId="1BD14FF7" w14:textId="2200E29A" w:rsidR="002A562A" w:rsidRPr="007A1C0E" w:rsidRDefault="00BA0AF0" w:rsidP="007A1C0E">
      <w:pPr>
        <w:pStyle w:val="BodyText"/>
        <w:spacing w:before="0"/>
        <w:rPr>
          <w:b/>
          <w:bCs/>
        </w:rPr>
      </w:pPr>
      <w:r w:rsidRPr="007A1C0E">
        <w:rPr>
          <w:b/>
          <w:bCs/>
        </w:rPr>
        <w:t>d. Endocrine complications</w:t>
      </w:r>
    </w:p>
    <w:p w14:paraId="2F619396" w14:textId="7B8E43F0" w:rsidR="00BA0AF0" w:rsidRPr="007A1C0E" w:rsidRDefault="00BA0AF0" w:rsidP="007A1C0E">
      <w:pPr>
        <w:pStyle w:val="BodyText"/>
        <w:spacing w:before="0" w:after="0"/>
      </w:pPr>
      <w:r w:rsidRPr="007A1C0E">
        <w:rPr>
          <w:noProof/>
        </w:rPr>
        <w:drawing>
          <wp:inline distT="0" distB="0" distL="0" distR="0" wp14:anchorId="0F4B9B42" wp14:editId="20C91CB5">
            <wp:extent cx="6120130" cy="1798955"/>
            <wp:effectExtent l="0" t="0" r="0" b="0"/>
            <wp:docPr id="271887175" name="Picture 8" descr="Figure 4 – This figure consists of five panels showing trends in selected hospital-acquired complication (HAC) rates from mid-2016 to early-2020 for treatment and control groups, with a shadow year followed by implementation of the funding adjustment in mid-2018. The panels show healthcare-associated infections, respiratory complications, delirium, endocrine complications and cardiac complications. In each case, HAC rates decline over time for both groups, but fall more sharply in the treatment group following implementation of the funding adjustment. This indicates that the overall reduction in HACs is driven by these five categories, which together account for more than 70% of HAC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87175" name="Picture 8" descr="Figure 4 – This figure consists of five panels showing trends in selected hospital-acquired complication (HAC) rates from mid-2016 to early-2020 for treatment and control groups, with a shadow year followed by implementation of the funding adjustment in mid-2018. The panels show healthcare-associated infections, respiratory complications, delirium, endocrine complications and cardiac complications. In each case, HAC rates decline over time for both groups, but fall more sharply in the treatment group following implementation of the funding adjustment. This indicates that the overall reduction in HACs is driven by these five categories, which together account for more than 70% of HAC episod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1798955"/>
                    </a:xfrm>
                    <a:prstGeom prst="rect">
                      <a:avLst/>
                    </a:prstGeom>
                    <a:noFill/>
                    <a:ln>
                      <a:noFill/>
                    </a:ln>
                  </pic:spPr>
                </pic:pic>
              </a:graphicData>
            </a:graphic>
          </wp:inline>
        </w:drawing>
      </w:r>
    </w:p>
    <w:p w14:paraId="4D67A5FA" w14:textId="77777777" w:rsidR="00BA0AF0" w:rsidRPr="007A1C0E" w:rsidRDefault="00BA0AF0" w:rsidP="007A1C0E">
      <w:pPr>
        <w:pStyle w:val="BodyText"/>
        <w:keepNext/>
        <w:rPr>
          <w:b/>
          <w:bCs/>
        </w:rPr>
      </w:pPr>
      <w:r w:rsidRPr="007A1C0E">
        <w:rPr>
          <w:b/>
          <w:bCs/>
        </w:rPr>
        <w:lastRenderedPageBreak/>
        <w:t>e. Cardiac complications</w:t>
      </w:r>
    </w:p>
    <w:p w14:paraId="1C574269" w14:textId="77777777" w:rsidR="00BA0AF0" w:rsidRDefault="00BA0AF0" w:rsidP="002A562A">
      <w:pPr>
        <w:pStyle w:val="BodyText"/>
      </w:pPr>
      <w:r>
        <w:rPr>
          <w:noProof/>
        </w:rPr>
        <w:drawing>
          <wp:inline distT="0" distB="0" distL="0" distR="0" wp14:anchorId="48714051" wp14:editId="01FE77BC">
            <wp:extent cx="6120130" cy="1798955"/>
            <wp:effectExtent l="0" t="0" r="0" b="0"/>
            <wp:docPr id="1981097310" name="Picture 9" descr="Figure 4 – This figure consists of five panels showing trends in selected hospital-acquired complication (HAC) rates from mid-2016 to early-2020 for treatment and control groups, with a shadow year followed by implementation of the funding adjustment in mid-2018. The panels show healthcare-associated infections, respiratory complications, delirium, endocrine complications and cardiac complications. In each case, HAC rates decline over time for both groups, but fall more sharply in the treatment group following implementation of the funding adjustment. This indicates that the overall reduction in HACs is driven by these five categories, which together account for more than 70% of HAC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97310" name="Picture 9" descr="Figure 4 – This figure consists of five panels showing trends in selected hospital-acquired complication (HAC) rates from mid-2016 to early-2020 for treatment and control groups, with a shadow year followed by implementation of the funding adjustment in mid-2018. The panels show healthcare-associated infections, respiratory complications, delirium, endocrine complications and cardiac complications. In each case, HAC rates decline over time for both groups, but fall more sharply in the treatment group following implementation of the funding adjustment. This indicates that the overall reduction in HACs is driven by these five categories, which together account for more than 70% of HAC episod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1798955"/>
                    </a:xfrm>
                    <a:prstGeom prst="rect">
                      <a:avLst/>
                    </a:prstGeom>
                    <a:noFill/>
                    <a:ln>
                      <a:noFill/>
                    </a:ln>
                  </pic:spPr>
                </pic:pic>
              </a:graphicData>
            </a:graphic>
          </wp:inline>
        </w:drawing>
      </w:r>
    </w:p>
    <w:p w14:paraId="5A9B80C6" w14:textId="77777777" w:rsidR="00BA0AF0" w:rsidRPr="007F3468" w:rsidRDefault="00BA0AF0" w:rsidP="00AB62C3">
      <w:pPr>
        <w:pStyle w:val="Source"/>
      </w:pPr>
      <w:r>
        <w:t xml:space="preserve">Source: PC estimates using AIHW NHDH data. </w:t>
      </w:r>
    </w:p>
    <w:p w14:paraId="3A3C5BF9" w14:textId="3004B3C7" w:rsidR="00BA0AF0" w:rsidRDefault="0001281E" w:rsidP="00F206EE">
      <w:pPr>
        <w:pStyle w:val="Heading2-nonumber"/>
        <w:numPr>
          <w:ilvl w:val="0"/>
          <w:numId w:val="22"/>
        </w:numPr>
        <w:ind w:left="567" w:hanging="567"/>
      </w:pPr>
      <w:bookmarkStart w:id="8" w:name="_Toc224153242"/>
      <w:r>
        <w:t>Interpretation of the</w:t>
      </w:r>
      <w:r w:rsidR="00BA0AF0">
        <w:t xml:space="preserve"> findings</w:t>
      </w:r>
      <w:bookmarkEnd w:id="8"/>
    </w:p>
    <w:p w14:paraId="59752131" w14:textId="216ABE0C" w:rsidR="0001281E" w:rsidRPr="00B05749" w:rsidRDefault="0001281E" w:rsidP="0001281E">
      <w:pPr>
        <w:pStyle w:val="Heading3"/>
        <w:rPr>
          <w:spacing w:val="-8"/>
        </w:rPr>
      </w:pPr>
      <w:r w:rsidRPr="00B05749">
        <w:rPr>
          <w:spacing w:val="-8"/>
        </w:rPr>
        <w:t>Although the funding adjustment was small, it had a</w:t>
      </w:r>
      <w:r w:rsidR="00A46977" w:rsidRPr="00B05749">
        <w:rPr>
          <w:spacing w:val="-8"/>
        </w:rPr>
        <w:t xml:space="preserve"> significant</w:t>
      </w:r>
      <w:r w:rsidRPr="00B05749">
        <w:rPr>
          <w:spacing w:val="-8"/>
        </w:rPr>
        <w:t xml:space="preserve"> impact</w:t>
      </w:r>
    </w:p>
    <w:p w14:paraId="7D873DC6" w14:textId="67413AB6" w:rsidR="0001281E" w:rsidRDefault="0001281E" w:rsidP="0001281E">
      <w:pPr>
        <w:pStyle w:val="BodyText"/>
      </w:pPr>
      <w:r>
        <w:t xml:space="preserve">It is </w:t>
      </w:r>
      <w:r w:rsidR="00EC591A">
        <w:t>notable</w:t>
      </w:r>
      <w:r>
        <w:t xml:space="preserve"> that the HAC funding adjustment had such a </w:t>
      </w:r>
      <w:r w:rsidR="00A46977">
        <w:t>large</w:t>
      </w:r>
      <w:r>
        <w:t xml:space="preserve"> impact, </w:t>
      </w:r>
      <w:r w:rsidR="00B367C9">
        <w:t xml:space="preserve">considering </w:t>
      </w:r>
      <w:r>
        <w:t xml:space="preserve">the size of the financial penalty is relatively small. </w:t>
      </w:r>
    </w:p>
    <w:p w14:paraId="3652CD8E" w14:textId="0883FFB6" w:rsidR="0001281E" w:rsidRPr="002A562A" w:rsidRDefault="00E604E4" w:rsidP="0001281E">
      <w:pPr>
        <w:pStyle w:val="BodyText"/>
        <w:rPr>
          <w:spacing w:val="-2"/>
        </w:rPr>
      </w:pPr>
      <w:r w:rsidRPr="002A562A">
        <w:rPr>
          <w:spacing w:val="-2"/>
        </w:rPr>
        <w:t>To give a</w:t>
      </w:r>
      <w:r w:rsidR="00FD0EA9" w:rsidRPr="002A562A">
        <w:rPr>
          <w:spacing w:val="-2"/>
        </w:rPr>
        <w:t xml:space="preserve"> rough</w:t>
      </w:r>
      <w:r w:rsidRPr="002A562A">
        <w:rPr>
          <w:spacing w:val="-2"/>
        </w:rPr>
        <w:t xml:space="preserve"> idea of the </w:t>
      </w:r>
      <w:r w:rsidR="00F47721" w:rsidRPr="002A562A">
        <w:rPr>
          <w:spacing w:val="-2"/>
        </w:rPr>
        <w:t>size</w:t>
      </w:r>
      <w:r w:rsidRPr="002A562A">
        <w:rPr>
          <w:spacing w:val="-2"/>
        </w:rPr>
        <w:t xml:space="preserve"> of the financial incentive, </w:t>
      </w:r>
      <w:r w:rsidR="00292B24" w:rsidRPr="002A562A">
        <w:rPr>
          <w:spacing w:val="-2"/>
        </w:rPr>
        <w:t xml:space="preserve">we draw on IHACPA’s estimate of the </w:t>
      </w:r>
      <w:r w:rsidR="00094B11" w:rsidRPr="002A562A">
        <w:rPr>
          <w:spacing w:val="-2"/>
        </w:rPr>
        <w:t>adjustment</w:t>
      </w:r>
      <w:r w:rsidR="00F47721" w:rsidRPr="002A562A">
        <w:rPr>
          <w:spacing w:val="-2"/>
        </w:rPr>
        <w:t xml:space="preserve"> in the number of</w:t>
      </w:r>
      <w:r w:rsidR="001E2858" w:rsidRPr="002A562A">
        <w:rPr>
          <w:spacing w:val="-2"/>
        </w:rPr>
        <w:t xml:space="preserve"> NWAUs</w:t>
      </w:r>
      <w:r w:rsidR="00F47721" w:rsidRPr="002A562A">
        <w:rPr>
          <w:spacing w:val="-2"/>
        </w:rPr>
        <w:t xml:space="preserve"> </w:t>
      </w:r>
      <w:r w:rsidR="001E2858" w:rsidRPr="002A562A">
        <w:rPr>
          <w:spacing w:val="-2"/>
        </w:rPr>
        <w:t>due to HACs, i</w:t>
      </w:r>
      <w:r w:rsidR="00F47721" w:rsidRPr="002A562A">
        <w:rPr>
          <w:spacing w:val="-2"/>
        </w:rPr>
        <w:t>n each state and territory</w:t>
      </w:r>
      <w:r w:rsidR="001E2858" w:rsidRPr="002A562A">
        <w:rPr>
          <w:spacing w:val="-2"/>
        </w:rPr>
        <w:t>, in 2018-19</w:t>
      </w:r>
      <w:r w:rsidR="00094B11" w:rsidRPr="002A562A">
        <w:rPr>
          <w:spacing w:val="-2"/>
        </w:rPr>
        <w:t xml:space="preserve"> (</w:t>
      </w:r>
      <w:r w:rsidR="00787314" w:rsidRPr="002A562A">
        <w:rPr>
          <w:spacing w:val="-2"/>
        </w:rPr>
        <w:t>as described in</w:t>
      </w:r>
      <w:r w:rsidR="00094B11" w:rsidRPr="002A562A">
        <w:rPr>
          <w:spacing w:val="-2"/>
        </w:rPr>
        <w:t xml:space="preserve"> </w:t>
      </w:r>
      <w:r w:rsidR="009D2A0B">
        <w:rPr>
          <w:spacing w:val="-2"/>
        </w:rPr>
        <w:t>f</w:t>
      </w:r>
      <w:r w:rsidR="00094B11" w:rsidRPr="002A562A">
        <w:rPr>
          <w:spacing w:val="-2"/>
        </w:rPr>
        <w:t>igure 2)</w:t>
      </w:r>
      <w:r w:rsidR="00787314" w:rsidRPr="002A562A">
        <w:rPr>
          <w:spacing w:val="-2"/>
        </w:rPr>
        <w:t xml:space="preserve"> </w:t>
      </w:r>
      <w:r w:rsidR="004A5E70" w:rsidRPr="004A5E70">
        <w:rPr>
          <w:rFonts w:ascii="Arial" w:hAnsi="Arial" w:cs="Arial"/>
          <w:szCs w:val="24"/>
        </w:rPr>
        <w:t>(IHACPA 2026)</w:t>
      </w:r>
      <w:r w:rsidR="001E2858" w:rsidRPr="002A562A">
        <w:rPr>
          <w:spacing w:val="-2"/>
        </w:rPr>
        <w:t xml:space="preserve">. Based on our empirical exercise, we </w:t>
      </w:r>
      <w:r w:rsidR="00744B88" w:rsidRPr="002A562A">
        <w:rPr>
          <w:spacing w:val="-2"/>
        </w:rPr>
        <w:t>concluded</w:t>
      </w:r>
      <w:r w:rsidR="001E2858" w:rsidRPr="002A562A">
        <w:rPr>
          <w:spacing w:val="-2"/>
        </w:rPr>
        <w:t xml:space="preserve"> </w:t>
      </w:r>
      <w:r w:rsidR="002C39B8" w:rsidRPr="002A562A">
        <w:rPr>
          <w:spacing w:val="-2"/>
        </w:rPr>
        <w:t>the</w:t>
      </w:r>
      <w:r w:rsidR="00BD01F1" w:rsidRPr="002A562A">
        <w:rPr>
          <w:spacing w:val="-2"/>
        </w:rPr>
        <w:t xml:space="preserve"> three</w:t>
      </w:r>
      <w:r w:rsidR="002C39B8" w:rsidRPr="002A562A">
        <w:rPr>
          <w:spacing w:val="-2"/>
        </w:rPr>
        <w:t xml:space="preserve"> jurisdictions in</w:t>
      </w:r>
      <w:r w:rsidR="00152CB2" w:rsidRPr="002A562A">
        <w:rPr>
          <w:spacing w:val="-2"/>
        </w:rPr>
        <w:t xml:space="preserve"> the</w:t>
      </w:r>
      <w:r w:rsidR="002C39B8" w:rsidRPr="002A562A">
        <w:rPr>
          <w:spacing w:val="-2"/>
        </w:rPr>
        <w:t xml:space="preserve"> treatment</w:t>
      </w:r>
      <w:r w:rsidR="00152CB2" w:rsidRPr="002A562A">
        <w:rPr>
          <w:spacing w:val="-2"/>
        </w:rPr>
        <w:t xml:space="preserve"> </w:t>
      </w:r>
      <w:r w:rsidR="002C39B8" w:rsidRPr="002A562A">
        <w:rPr>
          <w:spacing w:val="-2"/>
        </w:rPr>
        <w:t>group reduced their HAC</w:t>
      </w:r>
      <w:r w:rsidR="00577587" w:rsidRPr="002A562A">
        <w:rPr>
          <w:spacing w:val="-2"/>
        </w:rPr>
        <w:t xml:space="preserve"> rate</w:t>
      </w:r>
      <w:r w:rsidR="002C39B8" w:rsidRPr="002A562A">
        <w:rPr>
          <w:spacing w:val="-2"/>
        </w:rPr>
        <w:t xml:space="preserve">s by about </w:t>
      </w:r>
      <w:r w:rsidR="00577587" w:rsidRPr="002A562A">
        <w:rPr>
          <w:spacing w:val="-2"/>
        </w:rPr>
        <w:t>a quarter</w:t>
      </w:r>
      <w:r w:rsidR="00F47721" w:rsidRPr="002A562A">
        <w:rPr>
          <w:spacing w:val="-2"/>
        </w:rPr>
        <w:t xml:space="preserve">, which would have </w:t>
      </w:r>
      <w:r w:rsidR="005841D9" w:rsidRPr="002A562A">
        <w:rPr>
          <w:spacing w:val="-2"/>
        </w:rPr>
        <w:t xml:space="preserve">saved </w:t>
      </w:r>
      <w:r w:rsidR="007A12B3">
        <w:rPr>
          <w:spacing w:val="-2"/>
        </w:rPr>
        <w:t>about</w:t>
      </w:r>
      <w:r w:rsidR="005841D9" w:rsidRPr="002A562A">
        <w:rPr>
          <w:spacing w:val="-2"/>
        </w:rPr>
        <w:t xml:space="preserve"> $20 million</w:t>
      </w:r>
      <w:r w:rsidR="0022251D" w:rsidRPr="002A562A">
        <w:rPr>
          <w:spacing w:val="-2"/>
        </w:rPr>
        <w:t>.</w:t>
      </w:r>
      <w:r w:rsidR="00FD6072" w:rsidRPr="002A562A">
        <w:rPr>
          <w:spacing w:val="-2"/>
        </w:rPr>
        <w:t xml:space="preserve"> This is an extremely small </w:t>
      </w:r>
      <w:r w:rsidR="005841D9" w:rsidRPr="002A562A">
        <w:rPr>
          <w:spacing w:val="-2"/>
        </w:rPr>
        <w:t>benefit</w:t>
      </w:r>
      <w:r w:rsidR="00FD6072" w:rsidRPr="002A562A">
        <w:rPr>
          <w:spacing w:val="-2"/>
        </w:rPr>
        <w:t xml:space="preserve"> in the context of </w:t>
      </w:r>
      <w:r w:rsidR="00706AAD" w:rsidRPr="002A562A">
        <w:rPr>
          <w:spacing w:val="-2"/>
        </w:rPr>
        <w:t>total hospital budgets</w:t>
      </w:r>
      <w:r w:rsidR="00D4540A">
        <w:rPr>
          <w:spacing w:val="-2"/>
        </w:rPr>
        <w:t xml:space="preserve"> which </w:t>
      </w:r>
      <w:r w:rsidR="008E59E7">
        <w:rPr>
          <w:spacing w:val="-2"/>
        </w:rPr>
        <w:t xml:space="preserve">totalled $103 billion in </w:t>
      </w:r>
      <w:r w:rsidR="00D10423">
        <w:rPr>
          <w:spacing w:val="-2"/>
        </w:rPr>
        <w:t xml:space="preserve">2023-24 </w:t>
      </w:r>
      <w:r w:rsidR="004A5E70" w:rsidRPr="004A5E70">
        <w:rPr>
          <w:rFonts w:ascii="Arial" w:hAnsi="Arial" w:cs="Arial"/>
          <w:szCs w:val="24"/>
        </w:rPr>
        <w:t>(</w:t>
      </w:r>
      <w:r w:rsidR="003A1EAB">
        <w:rPr>
          <w:rFonts w:ascii="Arial" w:hAnsi="Arial" w:cs="Arial"/>
          <w:szCs w:val="24"/>
        </w:rPr>
        <w:t xml:space="preserve">SCRGSP </w:t>
      </w:r>
      <w:r w:rsidR="004A5E70" w:rsidRPr="004A5E70">
        <w:rPr>
          <w:rFonts w:ascii="Arial" w:hAnsi="Arial" w:cs="Arial"/>
          <w:szCs w:val="24"/>
        </w:rPr>
        <w:t>2026)</w:t>
      </w:r>
      <w:r w:rsidR="005841D9" w:rsidRPr="002A562A">
        <w:rPr>
          <w:spacing w:val="-2"/>
        </w:rPr>
        <w:t>. And it</w:t>
      </w:r>
      <w:r w:rsidR="0001281E" w:rsidRPr="002A562A">
        <w:rPr>
          <w:spacing w:val="-2"/>
        </w:rPr>
        <w:t xml:space="preserve"> should be interpreted as an upper bound estimate</w:t>
      </w:r>
      <w:r w:rsidR="00AA1997">
        <w:rPr>
          <w:spacing w:val="-2"/>
        </w:rPr>
        <w:t>,</w:t>
      </w:r>
      <w:r w:rsidR="0001281E" w:rsidRPr="002A562A">
        <w:rPr>
          <w:spacing w:val="-2"/>
        </w:rPr>
        <w:t xml:space="preserve"> as it does not account for costs incurred by hospitals and LHNs in their effort to reduce HAC rates. Therefore, the adjustment may have served as more of a means of </w:t>
      </w:r>
      <w:r w:rsidR="00384641" w:rsidRPr="002A562A">
        <w:rPr>
          <w:spacing w:val="-2"/>
        </w:rPr>
        <w:t>sharpening focus on</w:t>
      </w:r>
      <w:r w:rsidR="0001281E" w:rsidRPr="002A562A">
        <w:rPr>
          <w:spacing w:val="-2"/>
        </w:rPr>
        <w:t xml:space="preserve"> HACs than</w:t>
      </w:r>
      <w:r w:rsidR="00B24143" w:rsidRPr="002A562A">
        <w:rPr>
          <w:spacing w:val="-2"/>
        </w:rPr>
        <w:t xml:space="preserve"> as</w:t>
      </w:r>
      <w:r w:rsidR="0001281E" w:rsidRPr="002A562A">
        <w:rPr>
          <w:spacing w:val="-2"/>
        </w:rPr>
        <w:t xml:space="preserve"> an actual fiscal incentive.</w:t>
      </w:r>
    </w:p>
    <w:p w14:paraId="3B99762E" w14:textId="07A90C1A" w:rsidR="004B7DB3" w:rsidRDefault="00A35912" w:rsidP="004E156C">
      <w:pPr>
        <w:pStyle w:val="BodyText"/>
      </w:pPr>
      <w:r>
        <w:t>Awareness of the adjustment itself, in addition to the actual financial incentives, may have helped shaped its impact. Several jurisdictions reported the process of developing and implementing the mechanism itself raised awareness of HACs</w:t>
      </w:r>
      <w:r w:rsidR="004E156C">
        <w:t xml:space="preserve"> and created a shared understanding of patient safety</w:t>
      </w:r>
      <w:r>
        <w:t>, with improved measurement and reporting prompting performance discussions between health departments and LHNs.</w:t>
      </w:r>
      <w:r w:rsidR="00982D6D">
        <w:t xml:space="preserve"> </w:t>
      </w:r>
      <w:r w:rsidR="004E156C">
        <w:t xml:space="preserve">The process of generating consensus on what contributes to (or detracts from) value when implementing a financial mechanism can also generate substantial benefit </w:t>
      </w:r>
      <w:r w:rsidR="004E156C" w:rsidRPr="00D357D5">
        <w:rPr>
          <w:rFonts w:ascii="Arial" w:hAnsi="Arial" w:cs="Arial"/>
        </w:rPr>
        <w:t>(</w:t>
      </w:r>
      <w:proofErr w:type="spellStart"/>
      <w:r w:rsidR="004E156C" w:rsidRPr="00D357D5">
        <w:rPr>
          <w:rFonts w:ascii="Arial" w:hAnsi="Arial" w:cs="Arial"/>
        </w:rPr>
        <w:t>Slawomirski</w:t>
      </w:r>
      <w:proofErr w:type="spellEnd"/>
      <w:r w:rsidR="004E156C" w:rsidRPr="00D357D5">
        <w:rPr>
          <w:rFonts w:ascii="Arial" w:hAnsi="Arial" w:cs="Arial"/>
        </w:rPr>
        <w:t xml:space="preserve"> et al. 2024a)</w:t>
      </w:r>
      <w:r w:rsidR="004E156C">
        <w:t>.</w:t>
      </w:r>
      <w:r w:rsidR="009B06D7">
        <w:t xml:space="preserve"> </w:t>
      </w:r>
    </w:p>
    <w:p w14:paraId="22025969" w14:textId="47135E62" w:rsidR="00145081" w:rsidRPr="00145081" w:rsidRDefault="009B06D7" w:rsidP="004A5E70">
      <w:pPr>
        <w:pStyle w:val="Quote"/>
        <w:rPr>
          <w:rFonts w:ascii="Arial" w:hAnsi="Arial" w:cs="Arial"/>
          <w:szCs w:val="24"/>
        </w:rPr>
      </w:pPr>
      <w:r w:rsidRPr="00E02BB9">
        <w:t xml:space="preserve">Implementation science would suggest that how schemes are implemented across complex, adaptive organisations like hospitals systems plays a crucial role. In fact, the financial aspect of p4p </w:t>
      </w:r>
      <w:r w:rsidR="00CC6695">
        <w:t xml:space="preserve">[paying for performance] </w:t>
      </w:r>
      <w:r w:rsidRPr="00E02BB9">
        <w:t>may be a red herring, designed to focus attention on key practices and, crucially, formalise continuous data feedback to the relevant clinical teams</w:t>
      </w:r>
      <w:r w:rsidR="000C274C">
        <w:t>.</w:t>
      </w:r>
      <w:r>
        <w:t xml:space="preserve"> </w:t>
      </w:r>
      <w:r w:rsidR="00F71E7B" w:rsidRPr="00F71E7B">
        <w:rPr>
          <w:rFonts w:ascii="Arial" w:hAnsi="Arial" w:cs="Arial"/>
          <w:szCs w:val="24"/>
        </w:rPr>
        <w:t>(</w:t>
      </w:r>
      <w:proofErr w:type="spellStart"/>
      <w:r w:rsidR="00F71E7B" w:rsidRPr="00F71E7B">
        <w:rPr>
          <w:rFonts w:ascii="Arial" w:hAnsi="Arial" w:cs="Arial"/>
          <w:szCs w:val="24"/>
        </w:rPr>
        <w:t>Slawomirski</w:t>
      </w:r>
      <w:proofErr w:type="spellEnd"/>
      <w:r w:rsidR="00F71E7B" w:rsidRPr="00F71E7B">
        <w:rPr>
          <w:rFonts w:ascii="Arial" w:hAnsi="Arial" w:cs="Arial"/>
          <w:szCs w:val="24"/>
        </w:rPr>
        <w:t xml:space="preserve"> et al. 2024b)</w:t>
      </w:r>
    </w:p>
    <w:p w14:paraId="6519FDE3" w14:textId="3647887E" w:rsidR="00A35912" w:rsidRDefault="00A35912" w:rsidP="00441340">
      <w:pPr>
        <w:pStyle w:val="BodyText"/>
      </w:pPr>
      <w:r>
        <w:t xml:space="preserve">Some </w:t>
      </w:r>
      <w:r w:rsidR="00990A64">
        <w:t xml:space="preserve">jurisdictions </w:t>
      </w:r>
      <w:r>
        <w:t>also reinforced the salience of the adjustment by reporting the financial implications of HACs on LHN budgets.</w:t>
      </w:r>
      <w:r w:rsidR="00990A64">
        <w:t xml:space="preserve"> </w:t>
      </w:r>
      <w:r>
        <w:t xml:space="preserve">In these jurisdictions, accountability for safety and quality was more clearly devolved, aligning financial incentives between governments and LHNs. In </w:t>
      </w:r>
      <w:r w:rsidR="00193808">
        <w:t>those jurisdictions</w:t>
      </w:r>
      <w:r>
        <w:t>, LHN decision</w:t>
      </w:r>
      <w:r>
        <w:noBreakHyphen/>
        <w:t>makers and clinicians were likely more aware of HACs.</w:t>
      </w:r>
    </w:p>
    <w:p w14:paraId="21A48DC4" w14:textId="77777777" w:rsidR="0001281E" w:rsidRPr="0020265B" w:rsidRDefault="0001281E" w:rsidP="0001281E">
      <w:pPr>
        <w:pStyle w:val="Heading3"/>
      </w:pPr>
      <w:r w:rsidRPr="29711056">
        <w:rPr>
          <w:rFonts w:cstheme="minorBidi"/>
        </w:rPr>
        <w:lastRenderedPageBreak/>
        <w:t xml:space="preserve">Hospitals </w:t>
      </w:r>
      <w:r>
        <w:rPr>
          <w:rFonts w:cstheme="minorBidi"/>
        </w:rPr>
        <w:t xml:space="preserve">may have </w:t>
      </w:r>
      <w:r w:rsidRPr="29711056">
        <w:rPr>
          <w:rFonts w:cstheme="minorBidi"/>
        </w:rPr>
        <w:t>pre</w:t>
      </w:r>
      <w:r>
        <w:rPr>
          <w:rFonts w:cstheme="minorBidi"/>
        </w:rPr>
        <w:noBreakHyphen/>
      </w:r>
      <w:r w:rsidRPr="29711056">
        <w:rPr>
          <w:rFonts w:cstheme="minorBidi"/>
        </w:rPr>
        <w:t>empted the introduction of the adjustment</w:t>
      </w:r>
    </w:p>
    <w:p w14:paraId="40DF4F20" w14:textId="2311C478" w:rsidR="0001281E" w:rsidRDefault="0001281E" w:rsidP="0001281E">
      <w:pPr>
        <w:pStyle w:val="BodyText"/>
      </w:pPr>
      <w:r>
        <w:t>The treatment jurisdictions saw a decline in their HAC rate in the months leading up to the implementation of the funding adjustment. A decline of similar magnitude is not apparent among the control jurisdictions (figure 3). Our analysis suggests the effect was progressively stronger month</w:t>
      </w:r>
      <w:r>
        <w:noBreakHyphen/>
        <w:t>on</w:t>
      </w:r>
      <w:r>
        <w:noBreakHyphen/>
        <w:t xml:space="preserve">month in the lead up to implementation (appendix B). </w:t>
      </w:r>
    </w:p>
    <w:p w14:paraId="51EB5DEF" w14:textId="7F14F3B4" w:rsidR="0001281E" w:rsidRDefault="0001281E" w:rsidP="0001281E">
      <w:pPr>
        <w:pStyle w:val="BodyText"/>
      </w:pPr>
      <w:r>
        <w:t>P</w:t>
      </w:r>
      <w:r w:rsidRPr="00360C94">
        <w:t>re</w:t>
      </w:r>
      <w:r>
        <w:noBreakHyphen/>
        <w:t>emptive</w:t>
      </w:r>
      <w:r w:rsidRPr="00360C94">
        <w:t xml:space="preserve"> </w:t>
      </w:r>
      <w:r>
        <w:t xml:space="preserve">practice </w:t>
      </w:r>
      <w:r w:rsidRPr="00360C94">
        <w:t>changes in anticipation of the</w:t>
      </w:r>
      <w:r>
        <w:t xml:space="preserve"> </w:t>
      </w:r>
      <w:r w:rsidRPr="00360C94">
        <w:t>funding adjustment</w:t>
      </w:r>
      <w:r>
        <w:t xml:space="preserve"> may be responsible for some of this decline, given the lead</w:t>
      </w:r>
      <w:r>
        <w:noBreakHyphen/>
        <w:t xml:space="preserve">in time to implementation. The funding adjustment was announced in April 2016 when the </w:t>
      </w:r>
      <w:r w:rsidRPr="00E043A1">
        <w:t>2017–20 Addendum</w:t>
      </w:r>
      <w:r>
        <w:t xml:space="preserve"> to the NHRA was signed </w:t>
      </w:r>
      <w:r w:rsidRPr="00570680">
        <w:rPr>
          <w:rFonts w:ascii="Arial" w:hAnsi="Arial" w:cs="Arial"/>
        </w:rPr>
        <w:t>(IHPA 2017a, p. 45)</w:t>
      </w:r>
      <w:r>
        <w:t>. IHACPA shadowed the funding adjustment prior to implementation for 12 months over the 2017</w:t>
      </w:r>
      <w:r>
        <w:noBreakHyphen/>
        <w:t xml:space="preserve">18 financial year </w:t>
      </w:r>
      <w:r w:rsidRPr="00570680">
        <w:rPr>
          <w:rFonts w:ascii="Arial" w:hAnsi="Arial" w:cs="Arial"/>
        </w:rPr>
        <w:t>(IHPA 2017a, pp. 52–53)</w:t>
      </w:r>
      <w:r>
        <w:t>. IHACPA also consulted on the design of the funding adjustment with all state and territory governments. While it is difficult to ascertain the degree of awareness at the LHN and hospital level, particularly regarding the financial impact of the funding adjustment, it is apparent that action was taken in advance of the funding adjustment to reduce HAC rates.</w:t>
      </w:r>
      <w:r w:rsidRPr="00AC3D4E">
        <w:rPr>
          <w:rStyle w:val="FootnoteReference"/>
        </w:rPr>
        <w:footnoteReference w:id="9"/>
      </w:r>
      <w:r w:rsidDel="002020AA">
        <w:t xml:space="preserve"> </w:t>
      </w:r>
      <w:r>
        <w:t>Again, this suggests that the HAC penalty mainly had an effect by focusing the attention of public hospital management on HAC rates.</w:t>
      </w:r>
    </w:p>
    <w:p w14:paraId="2DCA0F54" w14:textId="52DD6D09" w:rsidR="0001281E" w:rsidRDefault="0001281E" w:rsidP="007028C3">
      <w:r>
        <w:rPr>
          <w:rFonts w:ascii="Arial" w:hAnsi="Arial" w:cs="Arial"/>
          <w:color w:val="000000"/>
        </w:rPr>
        <w:t>However,</w:t>
      </w:r>
      <w:r>
        <w:t xml:space="preserve"> </w:t>
      </w:r>
      <w:r w:rsidRPr="00E043A1">
        <w:rPr>
          <w:rFonts w:ascii="Arial" w:hAnsi="Arial" w:cs="Arial"/>
          <w:color w:val="000000"/>
        </w:rPr>
        <w:t xml:space="preserve">the </w:t>
      </w:r>
      <w:r>
        <w:rPr>
          <w:rFonts w:ascii="Arial" w:hAnsi="Arial" w:cs="Arial"/>
          <w:color w:val="000000"/>
        </w:rPr>
        <w:t>funding adjustment</w:t>
      </w:r>
      <w:r w:rsidRPr="00E043A1">
        <w:rPr>
          <w:rFonts w:ascii="Arial" w:hAnsi="Arial" w:cs="Arial"/>
          <w:color w:val="000000"/>
        </w:rPr>
        <w:t xml:space="preserve"> was just one of several national initiatives aimed at enhancing patient safety in acute care</w:t>
      </w:r>
      <w:r>
        <w:rPr>
          <w:rFonts w:ascii="Arial" w:hAnsi="Arial" w:cs="Arial"/>
          <w:color w:val="000000"/>
        </w:rPr>
        <w:t>, including several that occurred around the same time as the adjustment’s implementation</w:t>
      </w:r>
      <w:r w:rsidRPr="00E043A1">
        <w:rPr>
          <w:rFonts w:ascii="Arial" w:hAnsi="Arial" w:cs="Arial"/>
          <w:color w:val="000000"/>
        </w:rPr>
        <w:t xml:space="preserve">. Some of these measures may have already contributed to reducing rates before the </w:t>
      </w:r>
      <w:r>
        <w:rPr>
          <w:rFonts w:ascii="Arial" w:hAnsi="Arial" w:cs="Arial"/>
          <w:color w:val="000000"/>
        </w:rPr>
        <w:t>adjustment</w:t>
      </w:r>
      <w:r w:rsidRPr="00E043A1">
        <w:rPr>
          <w:rFonts w:ascii="Arial" w:hAnsi="Arial" w:cs="Arial"/>
          <w:color w:val="000000"/>
        </w:rPr>
        <w:t xml:space="preserve"> was introduced</w:t>
      </w:r>
      <w:r>
        <w:rPr>
          <w:rFonts w:ascii="Arial" w:hAnsi="Arial" w:cs="Arial"/>
          <w:color w:val="000000"/>
        </w:rPr>
        <w:t xml:space="preserve"> </w:t>
      </w:r>
      <w:r w:rsidRPr="00E043A1">
        <w:rPr>
          <w:rFonts w:ascii="Arial" w:hAnsi="Arial" w:cs="Arial"/>
        </w:rPr>
        <w:t>(</w:t>
      </w:r>
      <w:proofErr w:type="spellStart"/>
      <w:r w:rsidRPr="00E043A1">
        <w:rPr>
          <w:rFonts w:ascii="Arial" w:hAnsi="Arial" w:cs="Arial"/>
        </w:rPr>
        <w:t>Slawomirski</w:t>
      </w:r>
      <w:proofErr w:type="spellEnd"/>
      <w:r w:rsidRPr="00E043A1">
        <w:rPr>
          <w:rFonts w:ascii="Arial" w:hAnsi="Arial" w:cs="Arial"/>
        </w:rPr>
        <w:t xml:space="preserve"> et al. 2025)</w:t>
      </w:r>
      <w:r w:rsidRPr="00E043A1">
        <w:rPr>
          <w:rFonts w:ascii="Arial" w:hAnsi="Arial" w:cs="Arial"/>
          <w:color w:val="000000"/>
        </w:rPr>
        <w:t xml:space="preserve">. </w:t>
      </w:r>
    </w:p>
    <w:p w14:paraId="3BBACCBA" w14:textId="29EDD983" w:rsidR="0001281E" w:rsidRPr="0020265B" w:rsidRDefault="0001281E" w:rsidP="0001281E">
      <w:pPr>
        <w:pStyle w:val="Heading3"/>
      </w:pPr>
      <w:r>
        <w:t>The design of the adjustment may have caused a ra</w:t>
      </w:r>
      <w:r w:rsidR="008B6813">
        <w:t>t</w:t>
      </w:r>
      <w:r>
        <w:t>chet effect</w:t>
      </w:r>
    </w:p>
    <w:p w14:paraId="05CA1249" w14:textId="7A48F45B" w:rsidR="00861507" w:rsidRDefault="0001281E" w:rsidP="00861507">
      <w:pPr>
        <w:pStyle w:val="BodyText"/>
      </w:pPr>
      <w:r>
        <w:t>Our evidence suggests that the funding adjustment may have had a once-off effect on HAC rates, rather than a sustained downward trend. As shown in figure 3, HAC rates fell sharply around the introduction of the funding adjustment and had stabilised at a lower level by 2019. IHACPA’s analysis shows a similar pattern, with HAC</w:t>
      </w:r>
      <w:r>
        <w:noBreakHyphen/>
        <w:t>adjusted NWAUs declining year</w:t>
      </w:r>
      <w:r>
        <w:noBreakHyphen/>
        <w:t>on</w:t>
      </w:r>
      <w:r>
        <w:noBreakHyphen/>
        <w:t>year between July 2018 and June 2020 in the treatment jurisdictions and 72% of the total reduction occurring in 2018</w:t>
      </w:r>
      <w:r>
        <w:noBreakHyphen/>
        <w:t xml:space="preserve">19 </w:t>
      </w:r>
      <w:r w:rsidR="004A5E70" w:rsidRPr="004A5E70">
        <w:rPr>
          <w:rFonts w:ascii="Arial" w:hAnsi="Arial" w:cs="Arial"/>
          <w:szCs w:val="24"/>
        </w:rPr>
        <w:t>(IHACPA 2026)</w:t>
      </w:r>
      <w:r>
        <w:t xml:space="preserve">. </w:t>
      </w:r>
    </w:p>
    <w:p w14:paraId="321FC3DC" w14:textId="4408A64F" w:rsidR="00861507" w:rsidRDefault="0001281E" w:rsidP="00861507">
      <w:pPr>
        <w:pStyle w:val="BodyText"/>
      </w:pPr>
      <w:r w:rsidRPr="29711056">
        <w:t>T</w:t>
      </w:r>
      <w:r w:rsidR="001D6F3E">
        <w:t>he</w:t>
      </w:r>
      <w:r w:rsidRPr="29711056">
        <w:t xml:space="preserve"> incentives embedded in the adjustment help explain this outcome. </w:t>
      </w:r>
      <w:r w:rsidR="001D6F3E">
        <w:t xml:space="preserve">First, </w:t>
      </w:r>
      <w:r w:rsidR="00BA73DA">
        <w:t>ho</w:t>
      </w:r>
      <w:r w:rsidRPr="29711056">
        <w:t>spitals</w:t>
      </w:r>
      <w:r>
        <w:t xml:space="preserve"> may have</w:t>
      </w:r>
      <w:r w:rsidRPr="29711056">
        <w:t xml:space="preserve"> focused initially on preventing the most easily avoided complications</w:t>
      </w:r>
      <w:r w:rsidR="00BA73DA">
        <w:t>.</w:t>
      </w:r>
      <w:r w:rsidRPr="29711056">
        <w:t xml:space="preserve"> Once the low</w:t>
      </w:r>
      <w:r>
        <w:noBreakHyphen/>
      </w:r>
      <w:r w:rsidRPr="29711056">
        <w:t xml:space="preserve">cost improvements </w:t>
      </w:r>
      <w:r>
        <w:t>a</w:t>
      </w:r>
      <w:r w:rsidRPr="29711056">
        <w:t>re exhausted, hospitals face weaker incentives to pursue further reductions because</w:t>
      </w:r>
      <w:r w:rsidR="001D6F3E">
        <w:t xml:space="preserve"> </w:t>
      </w:r>
      <w:r w:rsidRPr="00AA720B">
        <w:t>the remaining HACs are harder to shift, and additional efforts may not yield sufficient returns</w:t>
      </w:r>
      <w:r w:rsidR="001D6F3E">
        <w:t>.</w:t>
      </w:r>
      <w:r w:rsidR="008B6813">
        <w:t xml:space="preserve"> </w:t>
      </w:r>
      <w:r w:rsidR="008B6813" w:rsidRPr="29711056">
        <w:t>This implies that beyond the early gains, the marginal cost of further reducing HACs face</w:t>
      </w:r>
      <w:r w:rsidR="008B6813">
        <w:t>d</w:t>
      </w:r>
      <w:r w:rsidR="008B6813" w:rsidRPr="29711056">
        <w:t xml:space="preserve"> by </w:t>
      </w:r>
      <w:r w:rsidR="008B6813">
        <w:t>h</w:t>
      </w:r>
      <w:r w:rsidR="008B6813" w:rsidRPr="29711056">
        <w:t xml:space="preserve">ospitals </w:t>
      </w:r>
      <w:r w:rsidR="008B6813">
        <w:t>ma</w:t>
      </w:r>
      <w:r w:rsidR="008B6813" w:rsidRPr="29711056">
        <w:t>y exceed the benefits under the HAC</w:t>
      </w:r>
      <w:r w:rsidR="008B6813">
        <w:noBreakHyphen/>
      </w:r>
      <w:r w:rsidR="008B6813" w:rsidRPr="29711056">
        <w:t>adjustment policy. In effect, the policy has</w:t>
      </w:r>
      <w:r w:rsidR="008B6813">
        <w:t xml:space="preserve"> potentially</w:t>
      </w:r>
      <w:r w:rsidR="008B6813" w:rsidRPr="29711056">
        <w:t xml:space="preserve"> exhausted its influence in its existing form.</w:t>
      </w:r>
    </w:p>
    <w:p w14:paraId="00110EFE" w14:textId="6EE67AFB" w:rsidR="0001281E" w:rsidRDefault="001D6F3E" w:rsidP="00861507">
      <w:pPr>
        <w:pStyle w:val="BodyText"/>
      </w:pPr>
      <w:r>
        <w:t xml:space="preserve">Second, </w:t>
      </w:r>
      <w:r w:rsidR="0001281E" w:rsidRPr="00AA720B">
        <w:t>continuously achieving lower HAC rates risks creat</w:t>
      </w:r>
      <w:r w:rsidR="0001281E">
        <w:t>ing</w:t>
      </w:r>
      <w:r w:rsidR="0001281E" w:rsidRPr="00AA720B">
        <w:t xml:space="preserve"> an unsustainably low baseline that is used in future calculations. This exposes hospitals to penalties if their rate increases later, even if the rate still below the </w:t>
      </w:r>
      <w:r w:rsidR="0001281E">
        <w:t>pre-policy implementation level</w:t>
      </w:r>
      <w:r w:rsidR="008B6813">
        <w:t xml:space="preserve">. This is known </w:t>
      </w:r>
      <w:r w:rsidR="008B6813" w:rsidRPr="002A562A">
        <w:t xml:space="preserve">as a </w:t>
      </w:r>
      <w:r w:rsidR="0007361F" w:rsidRPr="002A562A">
        <w:t>‘r</w:t>
      </w:r>
      <w:r w:rsidR="008B6813" w:rsidRPr="002A562A">
        <w:t>atchet effect’ and</w:t>
      </w:r>
      <w:r w:rsidR="008B6813">
        <w:t xml:space="preserve"> </w:t>
      </w:r>
      <w:r w:rsidR="0007361F">
        <w:t xml:space="preserve">it </w:t>
      </w:r>
      <w:r w:rsidR="008B6813">
        <w:t>can</w:t>
      </w:r>
      <w:r w:rsidR="0007361F">
        <w:t xml:space="preserve"> discourage further efforts</w:t>
      </w:r>
      <w:r w:rsidR="008B6813">
        <w:t xml:space="preserve">. </w:t>
      </w:r>
    </w:p>
    <w:p w14:paraId="6CD4E1D0" w14:textId="663EEA8B" w:rsidR="00184140" w:rsidRDefault="000B1F87" w:rsidP="00184140">
      <w:pPr>
        <w:pStyle w:val="Heading3"/>
      </w:pPr>
      <w:r>
        <w:rPr>
          <w:rFonts w:cstheme="minorBidi"/>
        </w:rPr>
        <w:t>Limitation 1: Possible i</w:t>
      </w:r>
      <w:r w:rsidR="00184140">
        <w:rPr>
          <w:rFonts w:cstheme="minorBidi"/>
        </w:rPr>
        <w:t>mpact on other dimensions of care</w:t>
      </w:r>
    </w:p>
    <w:p w14:paraId="379F6A77" w14:textId="6611C88F" w:rsidR="00D8362A" w:rsidRDefault="00D8362A" w:rsidP="00EC728F">
      <w:r>
        <w:t xml:space="preserve">While these findings are encouraging, there are </w:t>
      </w:r>
      <w:r w:rsidR="00723BC8">
        <w:t>certain alternative hypotheses that cannot be ruled out without further work.</w:t>
      </w:r>
    </w:p>
    <w:p w14:paraId="41607277" w14:textId="222DC0A6" w:rsidR="00184140" w:rsidRDefault="00723BC8" w:rsidP="00EC728F">
      <w:r>
        <w:t>First, t</w:t>
      </w:r>
      <w:r w:rsidR="00184140">
        <w:t xml:space="preserve">his study has not measured the impact of the HAC </w:t>
      </w:r>
      <w:r w:rsidR="00F71EFA">
        <w:t>penalty</w:t>
      </w:r>
      <w:r w:rsidR="00184140">
        <w:t xml:space="preserve"> rollout on other dimensions of care. </w:t>
      </w:r>
      <w:r w:rsidR="000B1F87">
        <w:t>It is possible that when hospitals were encouraged to focus on HAC rates,</w:t>
      </w:r>
      <w:r w:rsidR="0007361F">
        <w:t xml:space="preserve"> </w:t>
      </w:r>
      <w:r w:rsidR="00D37338">
        <w:t xml:space="preserve">less attention could be devoted to other important dimensions of care. </w:t>
      </w:r>
      <w:r w:rsidR="00F71EFA">
        <w:t xml:space="preserve">Health professionals have limited time and attention. </w:t>
      </w:r>
      <w:r w:rsidR="000B1F87">
        <w:t xml:space="preserve">Further research is </w:t>
      </w:r>
      <w:r w:rsidR="000B1F87">
        <w:lastRenderedPageBreak/>
        <w:t xml:space="preserve">needed to determine whether the increased attention </w:t>
      </w:r>
      <w:r w:rsidR="0007361F">
        <w:t>devoted to</w:t>
      </w:r>
      <w:r w:rsidR="000B1F87">
        <w:t xml:space="preserve"> HACs </w:t>
      </w:r>
      <w:r w:rsidR="00F71EFA">
        <w:t>had negative impacts on other dimensions of care.</w:t>
      </w:r>
    </w:p>
    <w:p w14:paraId="4474A555" w14:textId="6CEB622E" w:rsidR="0001281E" w:rsidRDefault="00277E26" w:rsidP="00277E26">
      <w:pPr>
        <w:pStyle w:val="Heading3"/>
      </w:pPr>
      <w:r>
        <w:rPr>
          <w:rFonts w:cstheme="minorBidi"/>
        </w:rPr>
        <w:t>Limitation</w:t>
      </w:r>
      <w:r w:rsidR="000B1F87">
        <w:rPr>
          <w:rFonts w:cstheme="minorBidi"/>
        </w:rPr>
        <w:t xml:space="preserve"> 2: </w:t>
      </w:r>
      <w:r w:rsidR="00D37338">
        <w:rPr>
          <w:rFonts w:cstheme="minorBidi"/>
        </w:rPr>
        <w:t>Reduction in HACs or change in record-keeping</w:t>
      </w:r>
      <w:r w:rsidR="008947AC">
        <w:rPr>
          <w:rFonts w:cstheme="minorBidi"/>
        </w:rPr>
        <w:t>?</w:t>
      </w:r>
    </w:p>
    <w:p w14:paraId="585D79EE" w14:textId="3B02E77D" w:rsidR="00C60A40" w:rsidRPr="000A02FF" w:rsidRDefault="00723BC8" w:rsidP="00C60A40">
      <w:pPr>
        <w:pStyle w:val="BodyText"/>
      </w:pPr>
      <w:r>
        <w:t>Second, t</w:t>
      </w:r>
      <w:r w:rsidR="00BA0AF0">
        <w:t>he analysis relies on consistent and accurate clinical recordkeeping, yet HAC reporting has historically lacked robustness. A 2013 study commissioned by IHACPA and the ACSQHC found errors tended to produce false negatives, leading to under</w:t>
      </w:r>
      <w:r w:rsidR="00BA0AF0">
        <w:noBreakHyphen/>
        <w:t xml:space="preserve">reporting of HACs </w:t>
      </w:r>
      <w:r w:rsidR="00BA0AF0" w:rsidRPr="29711056">
        <w:rPr>
          <w:rFonts w:ascii="Arial" w:hAnsi="Arial" w:cs="Arial"/>
        </w:rPr>
        <w:t>(KPMG 2013, p. 11)</w:t>
      </w:r>
      <w:r w:rsidR="00BA0AF0">
        <w:t>.</w:t>
      </w:r>
      <w:r w:rsidR="00BA0AF0" w:rsidRPr="00C471BF">
        <w:rPr>
          <w:rFonts w:ascii="Arial (Body)" w:hAnsi="Arial (Body)"/>
          <w:color w:val="000000"/>
          <w:sz w:val="18"/>
        </w:rPr>
        <w:t xml:space="preserve"> </w:t>
      </w:r>
      <w:r w:rsidR="00BA0AF0">
        <w:t>T</w:t>
      </w:r>
      <w:r w:rsidR="00BA0AF0" w:rsidRPr="00E043A1">
        <w:t xml:space="preserve">his is </w:t>
      </w:r>
      <w:r w:rsidR="002A095D">
        <w:t xml:space="preserve">a </w:t>
      </w:r>
      <w:r w:rsidR="00BA0AF0" w:rsidRPr="00E043A1">
        <w:t xml:space="preserve">less </w:t>
      </w:r>
      <w:r w:rsidR="002A095D">
        <w:t xml:space="preserve">significant </w:t>
      </w:r>
      <w:r w:rsidR="00BA0AF0" w:rsidRPr="00E043A1">
        <w:t xml:space="preserve">concern </w:t>
      </w:r>
      <w:r w:rsidR="00BA0AF0">
        <w:t xml:space="preserve">where </w:t>
      </w:r>
      <w:r w:rsidR="00BA0AF0" w:rsidRPr="00E043A1">
        <w:t>consistent errors over time affect both the pre</w:t>
      </w:r>
      <w:r w:rsidR="00BA0AF0">
        <w:noBreakHyphen/>
      </w:r>
      <w:r w:rsidR="00BA0AF0" w:rsidRPr="00E043A1">
        <w:t>implementation and post</w:t>
      </w:r>
      <w:r w:rsidR="00BA0AF0">
        <w:noBreakHyphen/>
      </w:r>
      <w:r w:rsidR="00BA0AF0" w:rsidRPr="00E043A1">
        <w:t>implementation rates equally.</w:t>
      </w:r>
      <w:r w:rsidR="00BA0AF0">
        <w:rPr>
          <w:rFonts w:ascii="Arial (Body)" w:hAnsi="Arial (Body)"/>
          <w:color w:val="000000"/>
          <w:sz w:val="18"/>
        </w:rPr>
        <w:t xml:space="preserve"> </w:t>
      </w:r>
      <w:r w:rsidR="00BA0AF0" w:rsidRPr="00E043A1">
        <w:t>However, the prospect of financial penalisation may have incentivised an uplift in coding practices post</w:t>
      </w:r>
      <w:r w:rsidR="00BA0AF0">
        <w:noBreakHyphen/>
      </w:r>
      <w:r w:rsidR="00BA0AF0" w:rsidRPr="00E043A1">
        <w:t>implementation</w:t>
      </w:r>
      <w:r w:rsidR="0076571F">
        <w:t>,</w:t>
      </w:r>
      <w:r w:rsidR="00BA0AF0" w:rsidRPr="00E043A1">
        <w:t xml:space="preserve"> causing </w:t>
      </w:r>
      <w:r w:rsidR="00BA0AF0">
        <w:t>a break in this</w:t>
      </w:r>
      <w:r w:rsidR="00BA0AF0" w:rsidRPr="00E043A1">
        <w:t xml:space="preserve"> consistency.</w:t>
      </w:r>
      <w:r w:rsidR="00C60A40">
        <w:t xml:space="preserve"> </w:t>
      </w:r>
      <w:r w:rsidR="002E34E3">
        <w:rPr>
          <w:rFonts w:ascii="Arial" w:hAnsi="Arial" w:cs="Arial"/>
          <w:color w:val="000000"/>
        </w:rPr>
        <w:t>Stakeholders we consulted</w:t>
      </w:r>
      <w:r w:rsidR="00443B30" w:rsidRPr="00DA1583">
        <w:rPr>
          <w:rFonts w:ascii="Arial" w:hAnsi="Arial" w:cs="Arial"/>
          <w:color w:val="000000"/>
        </w:rPr>
        <w:t xml:space="preserve"> observed that the funding adjustment enhanced data accuracy by increas</w:t>
      </w:r>
      <w:r w:rsidR="00443B30">
        <w:rPr>
          <w:rFonts w:ascii="Arial" w:hAnsi="Arial" w:cs="Arial"/>
          <w:color w:val="000000"/>
        </w:rPr>
        <w:t>ed</w:t>
      </w:r>
      <w:r w:rsidR="00443B30" w:rsidRPr="00DA1583">
        <w:rPr>
          <w:rFonts w:ascii="Arial" w:hAnsi="Arial" w:cs="Arial"/>
          <w:color w:val="000000"/>
        </w:rPr>
        <w:t xml:space="preserve"> focus on HACs.</w:t>
      </w:r>
    </w:p>
    <w:p w14:paraId="7C615F51" w14:textId="26A2B00E" w:rsidR="00BA0AF0" w:rsidRPr="00E043A1" w:rsidRDefault="00BA0AF0" w:rsidP="00AB62C3">
      <w:pPr>
        <w:pStyle w:val="BodyText"/>
        <w:rPr>
          <w:rFonts w:ascii="Arial" w:hAnsi="Arial" w:cs="Arial"/>
          <w:color w:val="000000"/>
        </w:rPr>
      </w:pPr>
      <w:r w:rsidRPr="00E043A1">
        <w:rPr>
          <w:rFonts w:ascii="Arial" w:hAnsi="Arial" w:cs="Arial"/>
          <w:color w:val="000000"/>
        </w:rPr>
        <w:t xml:space="preserve">The </w:t>
      </w:r>
      <w:r>
        <w:rPr>
          <w:rFonts w:ascii="Arial" w:hAnsi="Arial" w:cs="Arial"/>
          <w:color w:val="000000"/>
        </w:rPr>
        <w:t xml:space="preserve">sharp </w:t>
      </w:r>
      <w:r w:rsidRPr="00E043A1">
        <w:rPr>
          <w:rFonts w:ascii="Arial" w:hAnsi="Arial" w:cs="Arial"/>
          <w:color w:val="000000"/>
        </w:rPr>
        <w:t xml:space="preserve">decline in </w:t>
      </w:r>
      <w:r>
        <w:rPr>
          <w:rFonts w:ascii="Arial" w:hAnsi="Arial" w:cs="Arial"/>
          <w:color w:val="000000"/>
        </w:rPr>
        <w:t xml:space="preserve">HAC </w:t>
      </w:r>
      <w:r w:rsidRPr="00E043A1">
        <w:rPr>
          <w:rFonts w:ascii="Arial" w:hAnsi="Arial" w:cs="Arial"/>
          <w:color w:val="000000"/>
        </w:rPr>
        <w:t>rates observed in July 2018 raises concerns regarding potential coding discrepancies that may have contributed significantly</w:t>
      </w:r>
      <w:r>
        <w:rPr>
          <w:rFonts w:ascii="Arial" w:hAnsi="Arial" w:cs="Arial"/>
          <w:color w:val="000000"/>
        </w:rPr>
        <w:t xml:space="preserve"> to our results</w:t>
      </w:r>
      <w:r w:rsidRPr="00E043A1">
        <w:rPr>
          <w:rFonts w:ascii="Arial" w:hAnsi="Arial" w:cs="Arial"/>
          <w:color w:val="000000"/>
        </w:rPr>
        <w:t>.</w:t>
      </w:r>
      <w:r>
        <w:rPr>
          <w:rFonts w:ascii="Arial" w:hAnsi="Arial" w:cs="Arial"/>
          <w:color w:val="000000"/>
        </w:rPr>
        <w:t xml:space="preserve"> </w:t>
      </w:r>
      <w:r w:rsidRPr="00E043A1">
        <w:rPr>
          <w:rFonts w:ascii="Arial" w:hAnsi="Arial" w:cs="Arial"/>
          <w:color w:val="000000"/>
        </w:rPr>
        <w:t xml:space="preserve">The </w:t>
      </w:r>
      <w:r w:rsidR="00EC0A33">
        <w:rPr>
          <w:rFonts w:ascii="Arial" w:hAnsi="Arial" w:cs="Arial"/>
          <w:color w:val="000000"/>
        </w:rPr>
        <w:t xml:space="preserve">HAC penalty may </w:t>
      </w:r>
      <w:r w:rsidRPr="00E043A1">
        <w:rPr>
          <w:rFonts w:ascii="Arial" w:hAnsi="Arial" w:cs="Arial"/>
          <w:color w:val="000000"/>
        </w:rPr>
        <w:t>encourage systematic under</w:t>
      </w:r>
      <w:r>
        <w:rPr>
          <w:rFonts w:ascii="Arial" w:hAnsi="Arial" w:cs="Arial"/>
          <w:color w:val="000000"/>
        </w:rPr>
        <w:noBreakHyphen/>
      </w:r>
      <w:r w:rsidRPr="00E043A1">
        <w:rPr>
          <w:rFonts w:ascii="Arial" w:hAnsi="Arial" w:cs="Arial"/>
          <w:color w:val="000000"/>
        </w:rPr>
        <w:t>reporting or misreporting of HACs to optimise funding allocation.</w:t>
      </w:r>
      <w:r w:rsidR="00911CBD">
        <w:rPr>
          <w:rFonts w:ascii="Arial" w:hAnsi="Arial" w:cs="Arial"/>
          <w:color w:val="000000"/>
        </w:rPr>
        <w:t xml:space="preserve"> </w:t>
      </w:r>
      <w:r w:rsidR="000B7DBC">
        <w:rPr>
          <w:rFonts w:ascii="Arial" w:hAnsi="Arial" w:cs="Arial"/>
          <w:color w:val="000000"/>
        </w:rPr>
        <w:t>W</w:t>
      </w:r>
      <w:r w:rsidR="00FC7014">
        <w:rPr>
          <w:rFonts w:ascii="Arial" w:hAnsi="Arial" w:cs="Arial"/>
          <w:color w:val="000000"/>
        </w:rPr>
        <w:t>e cannot rule out t</w:t>
      </w:r>
      <w:r w:rsidR="00911CBD">
        <w:rPr>
          <w:rFonts w:ascii="Arial" w:hAnsi="Arial" w:cs="Arial"/>
          <w:color w:val="000000"/>
        </w:rPr>
        <w:t xml:space="preserve">he possibility the HAC penalty had no effect on actual HAC rates, and </w:t>
      </w:r>
      <w:r w:rsidR="00EC0A33">
        <w:rPr>
          <w:rFonts w:ascii="Arial" w:hAnsi="Arial" w:cs="Arial"/>
          <w:color w:val="000000"/>
        </w:rPr>
        <w:t xml:space="preserve">it </w:t>
      </w:r>
      <w:r w:rsidR="00911CBD">
        <w:rPr>
          <w:rFonts w:ascii="Arial" w:hAnsi="Arial" w:cs="Arial"/>
          <w:color w:val="000000"/>
        </w:rPr>
        <w:t>simply contributed to a change in coding practices</w:t>
      </w:r>
      <w:r w:rsidR="005620FE">
        <w:rPr>
          <w:rFonts w:ascii="Arial" w:hAnsi="Arial" w:cs="Arial"/>
          <w:color w:val="000000"/>
        </w:rPr>
        <w:t xml:space="preserve">. </w:t>
      </w:r>
      <w:r w:rsidR="00EC0A33">
        <w:rPr>
          <w:rFonts w:ascii="Arial" w:hAnsi="Arial" w:cs="Arial"/>
          <w:color w:val="000000"/>
        </w:rPr>
        <w:t xml:space="preserve">However, </w:t>
      </w:r>
      <w:r w:rsidR="00EC73D4">
        <w:rPr>
          <w:rFonts w:ascii="Arial" w:hAnsi="Arial" w:cs="Arial"/>
          <w:color w:val="000000"/>
        </w:rPr>
        <w:t>we raised this possibility with</w:t>
      </w:r>
      <w:r w:rsidR="00C60A40">
        <w:rPr>
          <w:rFonts w:ascii="Arial" w:hAnsi="Arial" w:cs="Arial"/>
          <w:color w:val="000000"/>
        </w:rPr>
        <w:t xml:space="preserve"> </w:t>
      </w:r>
      <w:r w:rsidR="00D6780F">
        <w:rPr>
          <w:rFonts w:ascii="Arial" w:hAnsi="Arial" w:cs="Arial"/>
          <w:color w:val="000000"/>
        </w:rPr>
        <w:t>state</w:t>
      </w:r>
      <w:r w:rsidR="002A693A">
        <w:rPr>
          <w:rFonts w:ascii="Arial" w:hAnsi="Arial" w:cs="Arial"/>
          <w:color w:val="000000"/>
        </w:rPr>
        <w:t>, territory</w:t>
      </w:r>
      <w:r w:rsidR="00D6780F">
        <w:rPr>
          <w:rFonts w:ascii="Arial" w:hAnsi="Arial" w:cs="Arial"/>
          <w:color w:val="000000"/>
        </w:rPr>
        <w:t xml:space="preserve"> and </w:t>
      </w:r>
      <w:r w:rsidR="009F3E9A">
        <w:rPr>
          <w:rFonts w:ascii="Arial" w:hAnsi="Arial" w:cs="Arial"/>
          <w:color w:val="000000"/>
        </w:rPr>
        <w:t>Australian Government</w:t>
      </w:r>
      <w:r w:rsidR="00D6780F">
        <w:rPr>
          <w:rFonts w:ascii="Arial" w:hAnsi="Arial" w:cs="Arial"/>
          <w:color w:val="000000"/>
        </w:rPr>
        <w:t xml:space="preserve"> health </w:t>
      </w:r>
      <w:r w:rsidR="005620FE">
        <w:rPr>
          <w:rFonts w:ascii="Arial" w:hAnsi="Arial" w:cs="Arial"/>
          <w:color w:val="000000"/>
        </w:rPr>
        <w:t>authorities</w:t>
      </w:r>
      <w:r w:rsidR="00EC73D4">
        <w:rPr>
          <w:rFonts w:ascii="Arial" w:hAnsi="Arial" w:cs="Arial"/>
          <w:color w:val="000000"/>
        </w:rPr>
        <w:t xml:space="preserve"> in our interviews, and all considered it unlikely</w:t>
      </w:r>
      <w:r w:rsidR="005620FE">
        <w:rPr>
          <w:rFonts w:ascii="Arial" w:hAnsi="Arial" w:cs="Arial"/>
          <w:color w:val="000000"/>
        </w:rPr>
        <w:t>.</w:t>
      </w:r>
    </w:p>
    <w:p w14:paraId="3E929D0A" w14:textId="3D3ABAC9" w:rsidR="00BA0AF0" w:rsidRPr="000A02FF" w:rsidRDefault="00793FA4" w:rsidP="00AB62C3">
      <w:pPr>
        <w:pStyle w:val="BodyText"/>
      </w:pPr>
      <w:r>
        <w:rPr>
          <w:rFonts w:ascii="Arial" w:hAnsi="Arial" w:cs="Arial"/>
          <w:color w:val="000000"/>
        </w:rPr>
        <w:t>Overall</w:t>
      </w:r>
      <w:r w:rsidR="00726781">
        <w:rPr>
          <w:rFonts w:ascii="Arial" w:hAnsi="Arial" w:cs="Arial"/>
          <w:color w:val="000000"/>
        </w:rPr>
        <w:t xml:space="preserve">, </w:t>
      </w:r>
      <w:r w:rsidR="001A2857">
        <w:rPr>
          <w:rFonts w:ascii="Arial" w:hAnsi="Arial" w:cs="Arial"/>
          <w:color w:val="000000"/>
        </w:rPr>
        <w:t>t</w:t>
      </w:r>
      <w:r w:rsidR="00367618">
        <w:rPr>
          <w:rFonts w:ascii="Arial" w:hAnsi="Arial" w:cs="Arial"/>
          <w:color w:val="000000"/>
        </w:rPr>
        <w:t xml:space="preserve">he </w:t>
      </w:r>
      <w:r w:rsidR="00726781">
        <w:rPr>
          <w:rFonts w:ascii="Arial" w:hAnsi="Arial" w:cs="Arial"/>
          <w:color w:val="000000"/>
        </w:rPr>
        <w:t xml:space="preserve">available </w:t>
      </w:r>
      <w:r w:rsidR="00367618">
        <w:rPr>
          <w:rFonts w:ascii="Arial" w:hAnsi="Arial" w:cs="Arial"/>
          <w:color w:val="000000"/>
        </w:rPr>
        <w:t>evidence indicates any change in HAC coding practices was</w:t>
      </w:r>
      <w:r w:rsidR="00726781">
        <w:rPr>
          <w:rFonts w:ascii="Arial" w:hAnsi="Arial" w:cs="Arial"/>
          <w:color w:val="000000"/>
        </w:rPr>
        <w:t xml:space="preserve"> due to </w:t>
      </w:r>
      <w:r w:rsidR="00F82D68">
        <w:rPr>
          <w:rFonts w:ascii="Arial" w:hAnsi="Arial" w:cs="Arial"/>
          <w:color w:val="000000"/>
        </w:rPr>
        <w:t xml:space="preserve">an </w:t>
      </w:r>
      <w:r w:rsidR="00726781">
        <w:rPr>
          <w:rFonts w:ascii="Arial" w:hAnsi="Arial" w:cs="Arial"/>
          <w:color w:val="000000"/>
        </w:rPr>
        <w:t>increased focus on coding rather than</w:t>
      </w:r>
      <w:r w:rsidR="00E02EF5">
        <w:rPr>
          <w:rFonts w:ascii="Arial" w:hAnsi="Arial" w:cs="Arial"/>
          <w:color w:val="000000"/>
        </w:rPr>
        <w:t xml:space="preserve"> to</w:t>
      </w:r>
      <w:r w:rsidR="00726781">
        <w:rPr>
          <w:rFonts w:ascii="Arial" w:hAnsi="Arial" w:cs="Arial"/>
          <w:color w:val="000000"/>
        </w:rPr>
        <w:t xml:space="preserve"> </w:t>
      </w:r>
      <w:r w:rsidR="00EE4D4D">
        <w:rPr>
          <w:rFonts w:ascii="Arial" w:hAnsi="Arial" w:cs="Arial"/>
          <w:color w:val="000000"/>
        </w:rPr>
        <w:t xml:space="preserve">strategic manipulation. </w:t>
      </w:r>
      <w:r w:rsidR="00726781">
        <w:rPr>
          <w:rFonts w:ascii="Arial" w:hAnsi="Arial" w:cs="Arial"/>
          <w:color w:val="000000"/>
        </w:rPr>
        <w:t xml:space="preserve">If hospitals were </w:t>
      </w:r>
      <w:r w:rsidR="00904EC5">
        <w:rPr>
          <w:rFonts w:ascii="Arial" w:hAnsi="Arial" w:cs="Arial"/>
          <w:color w:val="000000"/>
        </w:rPr>
        <w:t>manipulating the scheme</w:t>
      </w:r>
      <w:r w:rsidR="00726781">
        <w:rPr>
          <w:rFonts w:ascii="Arial" w:hAnsi="Arial" w:cs="Arial"/>
          <w:color w:val="000000"/>
        </w:rPr>
        <w:t xml:space="preserve">, they </w:t>
      </w:r>
      <w:r w:rsidR="00904EC5">
        <w:rPr>
          <w:rFonts w:ascii="Arial" w:hAnsi="Arial" w:cs="Arial"/>
          <w:color w:val="000000"/>
        </w:rPr>
        <w:t>w</w:t>
      </w:r>
      <w:r w:rsidR="00726781">
        <w:rPr>
          <w:rFonts w:ascii="Arial" w:hAnsi="Arial" w:cs="Arial"/>
          <w:color w:val="000000"/>
        </w:rPr>
        <w:t>ould have increased their reported HAC rates in 2017</w:t>
      </w:r>
      <w:r w:rsidR="00433FAD">
        <w:rPr>
          <w:rFonts w:ascii="Arial" w:hAnsi="Arial" w:cs="Arial"/>
          <w:color w:val="000000"/>
        </w:rPr>
        <w:t>-</w:t>
      </w:r>
      <w:r w:rsidR="00726781">
        <w:rPr>
          <w:rFonts w:ascii="Arial" w:hAnsi="Arial" w:cs="Arial"/>
          <w:color w:val="000000"/>
        </w:rPr>
        <w:t xml:space="preserve">18 (the ‘shadow rollout’ year), </w:t>
      </w:r>
      <w:proofErr w:type="gramStart"/>
      <w:r w:rsidR="00726781">
        <w:rPr>
          <w:rFonts w:ascii="Arial" w:hAnsi="Arial" w:cs="Arial"/>
          <w:color w:val="000000"/>
        </w:rPr>
        <w:t>in order to</w:t>
      </w:r>
      <w:proofErr w:type="gramEnd"/>
      <w:r w:rsidR="00726781">
        <w:rPr>
          <w:rFonts w:ascii="Arial" w:hAnsi="Arial" w:cs="Arial"/>
          <w:color w:val="000000"/>
        </w:rPr>
        <w:t xml:space="preserve"> measure a large reduction when the scheme started in 2018-19. In fact</w:t>
      </w:r>
      <w:r>
        <w:rPr>
          <w:rFonts w:ascii="Arial" w:hAnsi="Arial" w:cs="Arial"/>
          <w:color w:val="000000"/>
        </w:rPr>
        <w:t>,</w:t>
      </w:r>
      <w:r w:rsidR="00726781">
        <w:rPr>
          <w:rFonts w:ascii="Arial" w:hAnsi="Arial" w:cs="Arial"/>
          <w:color w:val="000000"/>
        </w:rPr>
        <w:t xml:space="preserve"> t</w:t>
      </w:r>
      <w:r w:rsidR="00EE4D4D">
        <w:rPr>
          <w:rFonts w:ascii="Arial" w:hAnsi="Arial" w:cs="Arial"/>
          <w:color w:val="000000"/>
        </w:rPr>
        <w:t>he</w:t>
      </w:r>
      <w:r w:rsidR="00686BFC">
        <w:rPr>
          <w:rFonts w:ascii="Arial" w:hAnsi="Arial" w:cs="Arial"/>
          <w:color w:val="000000"/>
        </w:rPr>
        <w:t>re</w:t>
      </w:r>
      <w:r w:rsidR="00904EC5">
        <w:rPr>
          <w:rFonts w:ascii="Arial" w:hAnsi="Arial" w:cs="Arial"/>
          <w:color w:val="000000"/>
        </w:rPr>
        <w:t xml:space="preserve"> was</w:t>
      </w:r>
      <w:r w:rsidR="00686BFC">
        <w:rPr>
          <w:rFonts w:ascii="Arial" w:hAnsi="Arial" w:cs="Arial"/>
          <w:color w:val="000000"/>
        </w:rPr>
        <w:t xml:space="preserve"> a significant </w:t>
      </w:r>
      <w:r w:rsidR="00686BFC" w:rsidRPr="00904EC5">
        <w:rPr>
          <w:rFonts w:ascii="Arial" w:hAnsi="Arial" w:cs="Arial"/>
          <w:i/>
          <w:iCs/>
          <w:color w:val="000000"/>
        </w:rPr>
        <w:t>reduction</w:t>
      </w:r>
      <w:r w:rsidR="00686BFC">
        <w:rPr>
          <w:rFonts w:ascii="Arial" w:hAnsi="Arial" w:cs="Arial"/>
          <w:color w:val="000000"/>
        </w:rPr>
        <w:t xml:space="preserve"> in HAC rates in the</w:t>
      </w:r>
      <w:r w:rsidR="001D0313">
        <w:rPr>
          <w:rFonts w:ascii="Arial" w:hAnsi="Arial" w:cs="Arial"/>
          <w:color w:val="000000"/>
        </w:rPr>
        <w:t xml:space="preserve"> </w:t>
      </w:r>
      <w:r w:rsidR="00904EC5">
        <w:rPr>
          <w:rFonts w:ascii="Arial" w:hAnsi="Arial" w:cs="Arial"/>
          <w:color w:val="000000"/>
        </w:rPr>
        <w:t xml:space="preserve">shadow rollout </w:t>
      </w:r>
      <w:r w:rsidR="001D0313">
        <w:rPr>
          <w:rFonts w:ascii="Arial" w:hAnsi="Arial" w:cs="Arial"/>
          <w:color w:val="000000"/>
        </w:rPr>
        <w:t xml:space="preserve">year. </w:t>
      </w:r>
    </w:p>
    <w:p w14:paraId="4174A8E4" w14:textId="21645D66" w:rsidR="008F43A3" w:rsidRDefault="000C5F63" w:rsidP="00F206EE">
      <w:pPr>
        <w:pStyle w:val="Heading2-nonumber"/>
        <w:numPr>
          <w:ilvl w:val="0"/>
          <w:numId w:val="22"/>
        </w:numPr>
        <w:ind w:left="567" w:hanging="567"/>
      </w:pPr>
      <w:bookmarkStart w:id="9" w:name="_Toc224153243"/>
      <w:r>
        <w:t>Conclusion</w:t>
      </w:r>
      <w:bookmarkEnd w:id="9"/>
    </w:p>
    <w:p w14:paraId="766B16DC" w14:textId="712B315C" w:rsidR="008F43A3" w:rsidRDefault="008F43A3" w:rsidP="00AB62C3">
      <w:pPr>
        <w:pStyle w:val="BodyText"/>
      </w:pPr>
      <w:r>
        <w:t>The evidence for whether financial mechanisms are effective at improving outcomes, processes of care or safety and quality</w:t>
      </w:r>
      <w:r w:rsidDel="00444F43">
        <w:t xml:space="preserve"> </w:t>
      </w:r>
      <w:r>
        <w:t xml:space="preserve">is mixed, often showing modest or no effect </w:t>
      </w:r>
      <w:r w:rsidR="00F56591" w:rsidRPr="00F56591">
        <w:rPr>
          <w:rFonts w:ascii="Arial" w:hAnsi="Arial" w:cs="Arial"/>
          <w:szCs w:val="24"/>
        </w:rPr>
        <w:t xml:space="preserve">(OECD 2017, p. 98; Scott et al. 2018; Scott and </w:t>
      </w:r>
      <w:proofErr w:type="spellStart"/>
      <w:r w:rsidR="00F56591" w:rsidRPr="00F56591">
        <w:rPr>
          <w:rFonts w:ascii="Arial" w:hAnsi="Arial" w:cs="Arial"/>
          <w:szCs w:val="24"/>
        </w:rPr>
        <w:t>Ouakrim</w:t>
      </w:r>
      <w:proofErr w:type="spellEnd"/>
      <w:r w:rsidR="00F56591" w:rsidRPr="00F56591">
        <w:rPr>
          <w:rFonts w:ascii="Arial" w:hAnsi="Arial" w:cs="Arial"/>
          <w:szCs w:val="24"/>
        </w:rPr>
        <w:t xml:space="preserve"> 2011; </w:t>
      </w:r>
      <w:proofErr w:type="spellStart"/>
      <w:r w:rsidR="00F56591" w:rsidRPr="00F56591">
        <w:rPr>
          <w:rFonts w:ascii="Arial" w:hAnsi="Arial" w:cs="Arial"/>
          <w:szCs w:val="24"/>
        </w:rPr>
        <w:t>Slawomirski</w:t>
      </w:r>
      <w:proofErr w:type="spellEnd"/>
      <w:r w:rsidR="00F56591" w:rsidRPr="00F56591">
        <w:rPr>
          <w:rFonts w:ascii="Arial" w:hAnsi="Arial" w:cs="Arial"/>
          <w:szCs w:val="24"/>
        </w:rPr>
        <w:t xml:space="preserve"> et al. 2024a)</w:t>
      </w:r>
      <w:r>
        <w:t xml:space="preserve">. Factors influencing their </w:t>
      </w:r>
      <w:r w:rsidDel="007D47BE">
        <w:t>e</w:t>
      </w:r>
      <w:r>
        <w:t xml:space="preserve">ffectiveness include the nature of the target outcome, the funding and governance systems already in place and the design of the mechanism. </w:t>
      </w:r>
    </w:p>
    <w:p w14:paraId="0558F202" w14:textId="1E2822A8" w:rsidR="008F43A3" w:rsidRDefault="008F43A3" w:rsidP="00AB62C3">
      <w:pPr>
        <w:pStyle w:val="BodyText"/>
      </w:pPr>
      <w:r>
        <w:t>How a financial mechanism is implemented, even where its design is evidence</w:t>
      </w:r>
      <w:r>
        <w:noBreakHyphen/>
        <w:t xml:space="preserve">based, can also influence its effectiveness. The </w:t>
      </w:r>
      <w:r w:rsidR="00A42460">
        <w:t>characteristics</w:t>
      </w:r>
      <w:r>
        <w:t xml:space="preserve"> of the Australian hospital and healthcare systems must therefore be accounted for. The evaluation of the funding adjustment on HACs helps to ground these insights in the Australian context.</w:t>
      </w:r>
    </w:p>
    <w:p w14:paraId="4722AC03" w14:textId="516542B8" w:rsidR="008F43A3" w:rsidRDefault="00010495" w:rsidP="00652BA6">
      <w:pPr>
        <w:pStyle w:val="Heading3"/>
      </w:pPr>
      <w:r>
        <w:t>Financial incentives are dampened</w:t>
      </w:r>
      <w:r w:rsidR="00652BA6">
        <w:t xml:space="preserve"> </w:t>
      </w:r>
    </w:p>
    <w:p w14:paraId="182DCF13" w14:textId="77777777" w:rsidR="008F43A3" w:rsidRDefault="008F43A3" w:rsidP="00AB62C3">
      <w:pPr>
        <w:pStyle w:val="BodyText"/>
      </w:pPr>
      <w:r>
        <w:t xml:space="preserve">While financial penalties can act as strong motivators to change behaviour in theory, the idiosyncrasies of Australia’s hospital funding arrangements and the ongoing challenges to the financial sustainability of hospitals may temper this assumption when applying penalties to Australia’s hospitals. </w:t>
      </w:r>
    </w:p>
    <w:p w14:paraId="306DD988" w14:textId="515AD633" w:rsidR="008F43A3" w:rsidRDefault="008F43A3" w:rsidP="00AB62C3">
      <w:pPr>
        <w:pStyle w:val="BodyText"/>
      </w:pPr>
      <w:r>
        <w:t xml:space="preserve">The complex funding flows passing through states, territories and LHNs can wash away funding loss experienced </w:t>
      </w:r>
      <w:r w:rsidR="0007442C">
        <w:t>by the hospital</w:t>
      </w:r>
      <w:r>
        <w:t xml:space="preserve">. In most Australian jurisdictions, hospitals and LHNs are funded through service agreements, which set a notional budget for the level of activity they expect </w:t>
      </w:r>
      <w:proofErr w:type="gramStart"/>
      <w:r>
        <w:t>in a given year</w:t>
      </w:r>
      <w:proofErr w:type="gramEnd"/>
      <w:r>
        <w:t xml:space="preserve">. This budget is provided in advance and then reconciled at the end of the financial year to reflect the actual level of activity. Any adjustments, for example for safety and quality, are applied retrospectively during reconciliation. </w:t>
      </w:r>
    </w:p>
    <w:p w14:paraId="013EF0C8" w14:textId="77777777" w:rsidR="008F43A3" w:rsidRDefault="008F43A3" w:rsidP="00AB62C3">
      <w:pPr>
        <w:pStyle w:val="BodyText"/>
        <w:keepNext/>
      </w:pPr>
      <w:r>
        <w:lastRenderedPageBreak/>
        <w:t>The application of penalties during this process can be ineffective due to several common practices.</w:t>
      </w:r>
    </w:p>
    <w:p w14:paraId="66A7C8E0" w14:textId="77777777" w:rsidR="008F43A3" w:rsidRDefault="008F43A3" w:rsidP="00AB62C3">
      <w:pPr>
        <w:pStyle w:val="ListBullet"/>
      </w:pPr>
      <w:r>
        <w:t>Funding adjustments can be easily balanced out by changes to activity levels in hospitals (for example, by increasing activity to cover the amount that would otherwise be penalised) or by other ad hoc injections of funding (such as during the COVID</w:t>
      </w:r>
      <w:r>
        <w:noBreakHyphen/>
        <w:t>19 pandemic), particularly when the penalties are small.</w:t>
      </w:r>
    </w:p>
    <w:p w14:paraId="1ABB7EC8" w14:textId="74884C19" w:rsidR="001A4563" w:rsidRDefault="001A4563" w:rsidP="001A4563">
      <w:pPr>
        <w:pStyle w:val="ListBullet"/>
      </w:pPr>
      <w:r>
        <w:t>Reconciliation can be a complex process involving several adjustments to funding</w:t>
      </w:r>
      <w:r w:rsidR="00003B8E">
        <w:t xml:space="preserve">, </w:t>
      </w:r>
      <w:r>
        <w:t>which mean penalties can be crowded out and overlooked. In at least one state, the funding adjustments relating to changes in HACs are no longer itemised in service agreements.</w:t>
      </w:r>
    </w:p>
    <w:p w14:paraId="4DD21743" w14:textId="0A8EF886" w:rsidR="008F43A3" w:rsidRDefault="008F43A3" w:rsidP="00AB62C3">
      <w:pPr>
        <w:pStyle w:val="ListBullet"/>
      </w:pPr>
      <w:r>
        <w:t>Reconciliation processes are occasionally suspended when recalling funding may not be financially viable for an LHN to absorb, and so penalties are not always applied.</w:t>
      </w:r>
      <w:r w:rsidR="00FA5E48">
        <w:t xml:space="preserve"> More broadly, Grattan </w:t>
      </w:r>
      <w:r w:rsidR="004C1BB3">
        <w:t xml:space="preserve">Institute </w:t>
      </w:r>
      <w:r w:rsidR="00FA5E48">
        <w:t>concludes that budget bailouts are dampening financial incentives</w:t>
      </w:r>
      <w:r w:rsidR="002065F6">
        <w:t xml:space="preserve"> </w:t>
      </w:r>
      <w:r w:rsidR="00C85548" w:rsidRPr="00C85548">
        <w:rPr>
          <w:rFonts w:ascii="Arial" w:hAnsi="Arial" w:cs="Arial"/>
          <w:szCs w:val="24"/>
        </w:rPr>
        <w:t>(Breadon and Baldwin 2025)</w:t>
      </w:r>
      <w:r w:rsidR="002065F6">
        <w:t>.</w:t>
      </w:r>
    </w:p>
    <w:p w14:paraId="3590605E" w14:textId="3F057654" w:rsidR="008F43A3" w:rsidRDefault="008F43A3" w:rsidP="00AB62C3">
      <w:pPr>
        <w:pStyle w:val="BodyText"/>
      </w:pPr>
      <w:r>
        <w:t>While penalties provide a strong signal on what governments are prepared to pay for, Australia’s experience with implementing the funding adjustment on HACs suggests the signal could also be lost in the long run among the complexity of Australia’s funding arrangements.</w:t>
      </w:r>
    </w:p>
    <w:p w14:paraId="2BE57582" w14:textId="3F3E7EE3" w:rsidR="00787314" w:rsidRDefault="002B52BA" w:rsidP="00AB62C3">
      <w:pPr>
        <w:pStyle w:val="BodyText"/>
      </w:pPr>
      <w:r>
        <w:t>Stakeholders raised concerns about t</w:t>
      </w:r>
      <w:r w:rsidR="008F43A3">
        <w:t xml:space="preserve">he impact of financial penalties on hospitals with increasingly constrained resourcing </w:t>
      </w:r>
      <w:r w:rsidR="008F43A3" w:rsidRPr="00F8154D">
        <w:rPr>
          <w:rFonts w:ascii="Arial" w:hAnsi="Arial" w:cs="Arial"/>
        </w:rPr>
        <w:t>(AMA 2016, p. 1; Queensland Nurses’ Union 2016, p. 6)</w:t>
      </w:r>
      <w:r w:rsidR="008F43A3">
        <w:t>. Reductions in funding through penalties may lead to lean staffing, fewer beds and less investment in safety and quality. For example, penalties applied to hospitals in the United States exacerbated inequalities between hospitals, leaving poor</w:t>
      </w:r>
      <w:r w:rsidR="00E419EA">
        <w:t>ly</w:t>
      </w:r>
      <w:r w:rsidR="008F43A3">
        <w:t xml:space="preserve"> performing hospitals even worse off </w:t>
      </w:r>
      <w:r w:rsidR="008F43A3" w:rsidRPr="00D1277E">
        <w:rPr>
          <w:rFonts w:ascii="Arial" w:hAnsi="Arial" w:cs="Arial"/>
        </w:rPr>
        <w:t>(Hsu et al. 2020; Kim et al. 2022)</w:t>
      </w:r>
      <w:r w:rsidR="008F43A3">
        <w:t xml:space="preserve">. </w:t>
      </w:r>
    </w:p>
    <w:p w14:paraId="1A0CA0CA" w14:textId="3E206263" w:rsidR="002074FB" w:rsidRDefault="00F2685D" w:rsidP="00AB62C3">
      <w:pPr>
        <w:pStyle w:val="BodyText"/>
      </w:pPr>
      <w:r>
        <w:t>Likewise</w:t>
      </w:r>
      <w:r w:rsidR="002074FB">
        <w:t>,</w:t>
      </w:r>
      <w:r>
        <w:t xml:space="preserve"> incentives structured as rewards may disappear in practice if </w:t>
      </w:r>
      <w:r w:rsidR="004C7D3C">
        <w:t xml:space="preserve">a hospital </w:t>
      </w:r>
      <w:r w:rsidR="002469F5">
        <w:t>faces other losses it cannot absorb. The</w:t>
      </w:r>
      <w:r w:rsidR="0029519A">
        <w:t xml:space="preserve"> lesson is that financial rewards and penalties are challenging to impose when hospitals face tight budgets and </w:t>
      </w:r>
      <w:r w:rsidR="00142543">
        <w:t>complex incentives.</w:t>
      </w:r>
      <w:r w:rsidR="002469F5">
        <w:t xml:space="preserve"> </w:t>
      </w:r>
    </w:p>
    <w:p w14:paraId="7D5ED9E2" w14:textId="731E1A14" w:rsidR="002074FB" w:rsidRPr="0020265B" w:rsidRDefault="002074FB" w:rsidP="002074FB">
      <w:pPr>
        <w:pStyle w:val="Heading3"/>
      </w:pPr>
      <w:r>
        <w:t xml:space="preserve">Incentives must reach those who can shift practice </w:t>
      </w:r>
    </w:p>
    <w:p w14:paraId="6E68676D" w14:textId="277828D0" w:rsidR="008F43A3" w:rsidRPr="002A562A" w:rsidRDefault="008F43A3" w:rsidP="00AB62C3">
      <w:pPr>
        <w:pStyle w:val="BodyText"/>
        <w:rPr>
          <w:spacing w:val="2"/>
        </w:rPr>
      </w:pPr>
      <w:r w:rsidRPr="002A562A">
        <w:rPr>
          <w:spacing w:val="2"/>
        </w:rPr>
        <w:t xml:space="preserve">The complexity of Australia’s hospital funding system, which for most jurisdictions involves funding coming from two levels of government, passing through LHNs and distributed to </w:t>
      </w:r>
      <w:r w:rsidR="00D00BC2" w:rsidRPr="002A562A">
        <w:rPr>
          <w:spacing w:val="2"/>
        </w:rPr>
        <w:t xml:space="preserve">hospital </w:t>
      </w:r>
      <w:r w:rsidRPr="002A562A">
        <w:rPr>
          <w:spacing w:val="2"/>
        </w:rPr>
        <w:t>departments, creates an implementation challenge. Financial mechanisms implemented at the national level could be devolved down to relevant decision makers in the Australian hospital system but in practice this pass</w:t>
      </w:r>
      <w:r w:rsidRPr="002A562A">
        <w:rPr>
          <w:spacing w:val="2"/>
        </w:rPr>
        <w:noBreakHyphen/>
        <w:t xml:space="preserve">through has not always occurred. </w:t>
      </w:r>
    </w:p>
    <w:p w14:paraId="3654AB39" w14:textId="43F4044E" w:rsidR="008F43A3" w:rsidRPr="00E02BB9" w:rsidRDefault="008F43A3" w:rsidP="00AB62C3">
      <w:pPr>
        <w:pStyle w:val="BodyText"/>
      </w:pPr>
      <w:r>
        <w:t>While targeting financial mechanisms at the state and territory government</w:t>
      </w:r>
      <w:r>
        <w:noBreakHyphen/>
        <w:t xml:space="preserve"> or LHN</w:t>
      </w:r>
      <w:r>
        <w:noBreakHyphen/>
        <w:t xml:space="preserve">level may </w:t>
      </w:r>
      <w:r w:rsidR="00E56508">
        <w:t xml:space="preserve">signal the </w:t>
      </w:r>
      <w:r w:rsidR="00732EEF">
        <w:t xml:space="preserve">intention to </w:t>
      </w:r>
      <w:r w:rsidR="009045CF">
        <w:t>achieve</w:t>
      </w:r>
      <w:r>
        <w:t xml:space="preserve"> change</w:t>
      </w:r>
      <w:r w:rsidR="00E56508">
        <w:t>,</w:t>
      </w:r>
      <w:r>
        <w:t xml:space="preserve"> this has limitations. For financial mechanisms to be most effective at improving patient outcomes,</w:t>
      </w:r>
      <w:r w:rsidR="007358D3">
        <w:t xml:space="preserve"> </w:t>
      </w:r>
      <w:r>
        <w:t xml:space="preserve">they should have salience for </w:t>
      </w:r>
      <w:r w:rsidR="007358D3">
        <w:t>hospitals</w:t>
      </w:r>
      <w:r>
        <w:t xml:space="preserve">. This could be achieved by passing through the financial impacts </w:t>
      </w:r>
      <w:r w:rsidRPr="003E377A">
        <w:t xml:space="preserve">directly </w:t>
      </w:r>
      <w:r>
        <w:t>to</w:t>
      </w:r>
      <w:r w:rsidRPr="003E377A">
        <w:t xml:space="preserve"> hospitals who</w:t>
      </w:r>
      <w:r>
        <w:t>se</w:t>
      </w:r>
      <w:r w:rsidRPr="003E377A">
        <w:t xml:space="preserve"> efforts</w:t>
      </w:r>
      <w:r>
        <w:t xml:space="preserve"> are required</w:t>
      </w:r>
      <w:r w:rsidRPr="003E377A">
        <w:t xml:space="preserve"> to achieve target outcomes. </w:t>
      </w:r>
      <w:r w:rsidR="00742A91">
        <w:t xml:space="preserve">Hospital managers would then work to raise the salience of </w:t>
      </w:r>
      <w:r w:rsidR="003E31D8">
        <w:t>outcomes with clinicians.</w:t>
      </w:r>
      <w:r w:rsidR="00E02BB9">
        <w:t xml:space="preserve"> </w:t>
      </w:r>
    </w:p>
    <w:p w14:paraId="0D076F3C" w14:textId="0B9D1BE2" w:rsidR="00571D9D" w:rsidRPr="00E02BB9" w:rsidRDefault="003E31D8" w:rsidP="00571D9D">
      <w:pPr>
        <w:pStyle w:val="BodyText"/>
      </w:pPr>
      <w:r>
        <w:t>Internationally, financial mechanisms are typically directed at hospitals, but this feature has attracted criticism. Some argue that rewards/penalties should reach at least to the hospital department level to be effective</w:t>
      </w:r>
      <w:r>
        <w:rPr>
          <w:rStyle w:val="FootnoteReference"/>
        </w:rPr>
        <w:footnoteReference w:id="10"/>
      </w:r>
      <w:r>
        <w:t xml:space="preserve"> </w:t>
      </w:r>
      <w:r w:rsidRPr="007F0E7A">
        <w:rPr>
          <w:rFonts w:ascii="Arial" w:hAnsi="Arial" w:cs="Arial"/>
        </w:rPr>
        <w:t xml:space="preserve">(Scott and </w:t>
      </w:r>
      <w:proofErr w:type="spellStart"/>
      <w:r w:rsidRPr="007F0E7A">
        <w:rPr>
          <w:rFonts w:ascii="Arial" w:hAnsi="Arial" w:cs="Arial"/>
        </w:rPr>
        <w:t>Ouakrim</w:t>
      </w:r>
      <w:proofErr w:type="spellEnd"/>
      <w:r w:rsidRPr="007F0E7A">
        <w:rPr>
          <w:rFonts w:ascii="Arial" w:hAnsi="Arial" w:cs="Arial"/>
        </w:rPr>
        <w:t> 2011, pp. 12, 15; Scott and Yong 2016, p. 4)</w:t>
      </w:r>
      <w:r>
        <w:t xml:space="preserve">. But given </w:t>
      </w:r>
      <w:r w:rsidR="007D7DE8">
        <w:t>the</w:t>
      </w:r>
      <w:r w:rsidR="006136A4">
        <w:t xml:space="preserve"> current</w:t>
      </w:r>
      <w:r w:rsidR="007D7DE8">
        <w:t xml:space="preserve"> HAC </w:t>
      </w:r>
      <w:r w:rsidR="007D7DE8">
        <w:lastRenderedPageBreak/>
        <w:t>incentive had a strong impact</w:t>
      </w:r>
      <w:r w:rsidR="00A104A7">
        <w:t xml:space="preserve"> when passed on to LHNs</w:t>
      </w:r>
      <w:r w:rsidR="007D7DE8">
        <w:t xml:space="preserve">, </w:t>
      </w:r>
      <w:r w:rsidR="00B77240">
        <w:t>hospital</w:t>
      </w:r>
      <w:r w:rsidR="007D7DE8">
        <w:t xml:space="preserve"> managers are finding ways to shift </w:t>
      </w:r>
      <w:r w:rsidR="00A104A7">
        <w:t xml:space="preserve">practitioner </w:t>
      </w:r>
      <w:r w:rsidR="007D7DE8">
        <w:t>behaviour.</w:t>
      </w:r>
      <w:r w:rsidR="00571D9D">
        <w:t xml:space="preserve"> </w:t>
      </w:r>
    </w:p>
    <w:p w14:paraId="5B9236FE" w14:textId="21AB7019" w:rsidR="008F43A3" w:rsidRDefault="00602FB6" w:rsidP="00AB62C3">
      <w:pPr>
        <w:pStyle w:val="BodyText"/>
      </w:pPr>
      <w:r>
        <w:t>F</w:t>
      </w:r>
      <w:r w:rsidR="008F43A3">
        <w:t xml:space="preserve">inancial mechanisms should align with health practitioners’ and providers’ goals and motivations </w:t>
      </w:r>
      <w:r w:rsidR="008F43A3" w:rsidRPr="00BA6E20">
        <w:rPr>
          <w:rFonts w:ascii="Arial" w:hAnsi="Arial" w:cs="Arial"/>
        </w:rPr>
        <w:t xml:space="preserve">(Scott and </w:t>
      </w:r>
      <w:proofErr w:type="spellStart"/>
      <w:r w:rsidR="008F43A3" w:rsidRPr="00BA6E20">
        <w:rPr>
          <w:rFonts w:ascii="Arial" w:hAnsi="Arial" w:cs="Arial"/>
        </w:rPr>
        <w:t>Ouakrim</w:t>
      </w:r>
      <w:proofErr w:type="spellEnd"/>
      <w:r w:rsidR="008F43A3" w:rsidRPr="00BA6E20">
        <w:rPr>
          <w:rFonts w:ascii="Arial" w:hAnsi="Arial" w:cs="Arial"/>
        </w:rPr>
        <w:t> 2011, p. 10)</w:t>
      </w:r>
      <w:r w:rsidR="008F43A3">
        <w:t>. Healthcare workers have intrinsic motivations to provide high</w:t>
      </w:r>
      <w:r w:rsidR="008F43A3">
        <w:noBreakHyphen/>
        <w:t xml:space="preserve">quality care. Financial mechanisms that do not align with these motivations risk being met with resistance </w:t>
      </w:r>
      <w:r w:rsidR="005D626D">
        <w:t>and damaging care</w:t>
      </w:r>
      <w:r w:rsidR="008F43A3">
        <w:t>.</w:t>
      </w:r>
    </w:p>
    <w:p w14:paraId="0250F49F" w14:textId="1391B88F" w:rsidR="008F43A3" w:rsidRDefault="00652BA6" w:rsidP="00AB62C3">
      <w:pPr>
        <w:pStyle w:val="Heading3"/>
      </w:pPr>
      <w:r>
        <w:t>Next steps</w:t>
      </w:r>
    </w:p>
    <w:p w14:paraId="1D8AD5A8" w14:textId="77777777" w:rsidR="00861507" w:rsidRDefault="008F43A3" w:rsidP="00861507">
      <w:pPr>
        <w:pStyle w:val="BodyText"/>
      </w:pPr>
      <w:r>
        <w:t xml:space="preserve">Given the </w:t>
      </w:r>
      <w:r w:rsidR="001E2AAB">
        <w:t xml:space="preserve">success of the HAC penalty in reducing the HAC rate, it is worth considering what </w:t>
      </w:r>
      <w:r w:rsidR="00A95621">
        <w:t>further steps could be taken.</w:t>
      </w:r>
    </w:p>
    <w:p w14:paraId="082B9E2B" w14:textId="5D415E1B" w:rsidR="00861507" w:rsidRDefault="00861507" w:rsidP="00861507">
      <w:pPr>
        <w:pStyle w:val="BodyText"/>
      </w:pPr>
      <w:r>
        <w:t>First, there is a risk that the ‘ratchet effect’ could be disincentivising further improvements</w:t>
      </w:r>
      <w:r w:rsidR="005D626D">
        <w:t xml:space="preserve"> in HAC rates, as discussed above</w:t>
      </w:r>
      <w:r>
        <w:t>. It might be preferable to measure HAC rates against a set baseline, such as the 20</w:t>
      </w:r>
      <w:r w:rsidR="00E02BA7">
        <w:t>25-26</w:t>
      </w:r>
      <w:r>
        <w:t xml:space="preserve"> year, and to reward improvements relative to that baseline. It might also be desirable to</w:t>
      </w:r>
      <w:r w:rsidR="00BD75FC">
        <w:t xml:space="preserve"> adjust the baseline for total patient </w:t>
      </w:r>
      <w:r w:rsidR="00BC61DA">
        <w:t>numbers</w:t>
      </w:r>
      <w:r w:rsidR="001A526C">
        <w:t>, so that a hospital is not penalised if its admission numbers grow.</w:t>
      </w:r>
    </w:p>
    <w:p w14:paraId="48C09989" w14:textId="50EB0553" w:rsidR="00A95621" w:rsidRDefault="001A526C" w:rsidP="00AB62C3">
      <w:pPr>
        <w:pStyle w:val="BodyText"/>
      </w:pPr>
      <w:r>
        <w:t xml:space="preserve">Second, the HAC penalty has focused on </w:t>
      </w:r>
      <w:r w:rsidR="00BC61DA">
        <w:t>13</w:t>
      </w:r>
      <w:r w:rsidR="00750A22">
        <w:t xml:space="preserve"> </w:t>
      </w:r>
      <w:r w:rsidR="00D27499">
        <w:t>types of HAC</w:t>
      </w:r>
      <w:r w:rsidR="005D626D">
        <w:t>s</w:t>
      </w:r>
      <w:r w:rsidR="00D27499">
        <w:t xml:space="preserve">, although there are </w:t>
      </w:r>
      <w:r w:rsidR="0006157C">
        <w:t>16</w:t>
      </w:r>
      <w:r w:rsidR="00D27499">
        <w:t xml:space="preserve"> </w:t>
      </w:r>
      <w:r w:rsidR="003723BB">
        <w:t xml:space="preserve">high-priority </w:t>
      </w:r>
      <w:r w:rsidR="00D27499">
        <w:t>HAC</w:t>
      </w:r>
      <w:r w:rsidR="005D626D">
        <w:t>s</w:t>
      </w:r>
      <w:r w:rsidR="00D27499">
        <w:t xml:space="preserve"> defined. There are </w:t>
      </w:r>
      <w:r w:rsidR="00AA4CBB">
        <w:t xml:space="preserve">many </w:t>
      </w:r>
      <w:r w:rsidR="00D27499">
        <w:t xml:space="preserve">other complications that </w:t>
      </w:r>
      <w:r w:rsidR="0006157C">
        <w:t xml:space="preserve">can </w:t>
      </w:r>
      <w:r w:rsidR="00D27499">
        <w:t xml:space="preserve">arise while in hospital, and </w:t>
      </w:r>
      <w:r w:rsidR="007662C0">
        <w:t xml:space="preserve">actions taken by the hospital </w:t>
      </w:r>
      <w:r w:rsidR="00FF1441">
        <w:t>may</w:t>
      </w:r>
      <w:r w:rsidR="007662C0">
        <w:t xml:space="preserve"> affect their likelihood. It seems reasonable to </w:t>
      </w:r>
      <w:r w:rsidR="00AA4CBB">
        <w:t xml:space="preserve">explore expanding </w:t>
      </w:r>
      <w:r w:rsidR="007662C0">
        <w:t xml:space="preserve">the HAC incentive scheme to the last three </w:t>
      </w:r>
      <w:r w:rsidR="00AA4CBB">
        <w:t xml:space="preserve">high-priority </w:t>
      </w:r>
      <w:r w:rsidR="007662C0">
        <w:t>HACs, and</w:t>
      </w:r>
      <w:r w:rsidR="0090107D">
        <w:t xml:space="preserve"> to</w:t>
      </w:r>
      <w:r w:rsidR="00AA4CBB">
        <w:t xml:space="preserve"> a broader set of HACs</w:t>
      </w:r>
      <w:r w:rsidR="00A6430D">
        <w:t>.</w:t>
      </w:r>
    </w:p>
    <w:p w14:paraId="68A5F222" w14:textId="6718AEE3" w:rsidR="00377317" w:rsidRDefault="00377317" w:rsidP="00143176">
      <w:pPr>
        <w:pStyle w:val="BodyText"/>
      </w:pPr>
    </w:p>
    <w:p w14:paraId="76F10F13" w14:textId="77777777" w:rsidR="00D73A1D" w:rsidRDefault="00D73A1D" w:rsidP="00143176">
      <w:pPr>
        <w:pStyle w:val="BodyText"/>
        <w:sectPr w:rsidR="00D73A1D" w:rsidSect="008F43A3">
          <w:pgSz w:w="11906" w:h="16838" w:code="9"/>
          <w:pgMar w:top="1134" w:right="1134" w:bottom="1134" w:left="1134" w:header="794" w:footer="510" w:gutter="0"/>
          <w:cols w:space="708"/>
          <w:docGrid w:linePitch="360"/>
        </w:sectPr>
      </w:pPr>
    </w:p>
    <w:p w14:paraId="4E334A4A" w14:textId="77777777" w:rsidR="00E42C03" w:rsidRDefault="00E42C03" w:rsidP="00AB62C3">
      <w:pPr>
        <w:pStyle w:val="Heading-Appendix"/>
      </w:pPr>
      <w:bookmarkStart w:id="10" w:name="_Toc224153244"/>
      <w:r>
        <w:lastRenderedPageBreak/>
        <w:t>Consultations</w:t>
      </w:r>
      <w:bookmarkEnd w:id="10"/>
    </w:p>
    <w:p w14:paraId="20B5CBFB" w14:textId="17C6B94D" w:rsidR="00E42C03" w:rsidRDefault="00E42C03" w:rsidP="00AB62C3">
      <w:pPr>
        <w:pStyle w:val="BodyText"/>
      </w:pPr>
      <w:r>
        <w:t xml:space="preserve">In preparing this report, the </w:t>
      </w:r>
      <w:r w:rsidR="002A562A">
        <w:rPr>
          <w:rStyle w:val="BodyTextChar"/>
        </w:rPr>
        <w:t xml:space="preserve">PC </w:t>
      </w:r>
      <w:r w:rsidRPr="000F7F21">
        <w:rPr>
          <w:rStyle w:val="BodyTextChar"/>
        </w:rPr>
        <w:t>consulted with a</w:t>
      </w:r>
      <w:r>
        <w:t xml:space="preserve"> range of individuals</w:t>
      </w:r>
      <w:r w:rsidDel="003D47D4">
        <w:t xml:space="preserve"> </w:t>
      </w:r>
      <w:r>
        <w:t>and government agencies</w:t>
      </w:r>
      <w:r w:rsidDel="00FC16E8">
        <w:t xml:space="preserve"> </w:t>
      </w:r>
      <w:r>
        <w:t xml:space="preserve">(table A.1) and convened a workshop on 8 October 2024 on the analytical methodology for estimating the impact of the HAC funding adjustment (table A.2). Two external referees also provided feedback on the report (table A.3). </w:t>
      </w:r>
    </w:p>
    <w:p w14:paraId="795F2084" w14:textId="7D7B8E0D" w:rsidR="00E42C03" w:rsidRDefault="00E42C03" w:rsidP="00AB62C3">
      <w:pPr>
        <w:pStyle w:val="BodyText"/>
      </w:pPr>
      <w:r>
        <w:t xml:space="preserve">The </w:t>
      </w:r>
      <w:r w:rsidR="002A562A">
        <w:t>PC</w:t>
      </w:r>
      <w:r>
        <w:t xml:space="preserve"> is grateful to all those who participated.</w:t>
      </w:r>
    </w:p>
    <w:p w14:paraId="516F5AF8" w14:textId="4264AC9F" w:rsidR="00E42C03" w:rsidRDefault="00E42C03" w:rsidP="00AB62C3">
      <w:pPr>
        <w:pStyle w:val="FigureTableHeading"/>
      </w:pPr>
      <w:r>
        <w:t xml:space="preserve">Table </w:t>
      </w:r>
      <w:r w:rsidR="00CB39C0">
        <w:rPr>
          <w:noProof/>
        </w:rPr>
        <w:t>A</w:t>
      </w:r>
      <w:r>
        <w:t>.</w:t>
      </w:r>
      <w:r w:rsidR="00CB39C0">
        <w:rPr>
          <w:noProof/>
        </w:rPr>
        <w:t>1</w:t>
      </w:r>
      <w:r>
        <w:rPr>
          <w:noProof/>
        </w:rPr>
        <w:t xml:space="preserve"> – </w:t>
      </w:r>
      <w:r>
        <w:t>People and organisations we consulted with</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E42C03" w:rsidRPr="00D126B3" w14:paraId="33A4EF65" w14:textId="77777777" w:rsidTr="005A65CD">
        <w:tc>
          <w:tcPr>
            <w:tcW w:w="9638" w:type="dxa"/>
            <w:tcBorders>
              <w:top w:val="single" w:sz="6" w:space="0" w:color="BFBFBF" w:themeColor="background1" w:themeShade="BF"/>
              <w:bottom w:val="nil"/>
            </w:tcBorders>
            <w:shd w:val="clear" w:color="auto" w:fill="EBEBEB"/>
          </w:tcPr>
          <w:p w14:paraId="3801AF0A" w14:textId="77777777" w:rsidR="00E42C03" w:rsidRPr="00D126B3" w:rsidRDefault="00E42C03" w:rsidP="00AB62C3">
            <w:pPr>
              <w:pStyle w:val="TableBody"/>
              <w:spacing w:before="45" w:after="45"/>
              <w:ind w:right="108"/>
              <w:rPr>
                <w:rFonts w:ascii="Arial (Body)" w:hAnsi="Arial (Body)"/>
                <w:color w:val="000000"/>
              </w:rPr>
            </w:pPr>
            <w:r>
              <w:rPr>
                <w:rFonts w:ascii="Arial (Body)" w:hAnsi="Arial (Body)"/>
                <w:color w:val="000000"/>
              </w:rPr>
              <w:t>ACT Health Directorate, ACT Government</w:t>
            </w:r>
          </w:p>
        </w:tc>
      </w:tr>
      <w:tr w:rsidR="00E42C03" w:rsidRPr="00D126B3" w14:paraId="3CE8AE9D" w14:textId="77777777" w:rsidTr="00C6412A">
        <w:tc>
          <w:tcPr>
            <w:tcW w:w="9638" w:type="dxa"/>
            <w:tcBorders>
              <w:top w:val="nil"/>
              <w:bottom w:val="nil"/>
            </w:tcBorders>
            <w:shd w:val="clear" w:color="000000" w:fill="auto"/>
          </w:tcPr>
          <w:p w14:paraId="5980CA95" w14:textId="77777777" w:rsidR="00E42C03" w:rsidRPr="00D126B3" w:rsidRDefault="00E42C03" w:rsidP="00AB62C3">
            <w:pPr>
              <w:pStyle w:val="TableBody"/>
              <w:spacing w:before="45" w:after="45"/>
              <w:ind w:right="108"/>
              <w:rPr>
                <w:rFonts w:ascii="Arial (Body)" w:hAnsi="Arial (Body)"/>
                <w:color w:val="000000"/>
              </w:rPr>
            </w:pPr>
            <w:r w:rsidRPr="004E3840">
              <w:rPr>
                <w:rFonts w:ascii="Arial (Body)" w:hAnsi="Arial (Body)"/>
                <w:color w:val="000000"/>
              </w:rPr>
              <w:t>Australian Commission on Safety and Quality in Health Care</w:t>
            </w:r>
            <w:r>
              <w:rPr>
                <w:rFonts w:ascii="Arial (Body)" w:hAnsi="Arial (Body)"/>
                <w:color w:val="000000"/>
              </w:rPr>
              <w:t xml:space="preserve"> (ACSQHC)</w:t>
            </w:r>
          </w:p>
        </w:tc>
      </w:tr>
      <w:tr w:rsidR="00E42C03" w:rsidRPr="00D126B3" w14:paraId="4B3EDBE0" w14:textId="77777777" w:rsidTr="005A65CD">
        <w:tc>
          <w:tcPr>
            <w:tcW w:w="9638" w:type="dxa"/>
            <w:tcBorders>
              <w:top w:val="nil"/>
              <w:bottom w:val="nil"/>
            </w:tcBorders>
            <w:shd w:val="clear" w:color="auto" w:fill="EBEBEB"/>
          </w:tcPr>
          <w:p w14:paraId="457F99DF" w14:textId="77777777" w:rsidR="00E42C03" w:rsidRPr="005F026A" w:rsidRDefault="00E42C03" w:rsidP="00AB62C3">
            <w:pPr>
              <w:pStyle w:val="TableBody"/>
              <w:spacing w:before="45" w:after="45"/>
              <w:ind w:right="108"/>
              <w:rPr>
                <w:rFonts w:ascii="Arial (Body)" w:hAnsi="Arial (Body)"/>
                <w:color w:val="000000"/>
              </w:rPr>
            </w:pPr>
            <w:r w:rsidRPr="005F026A">
              <w:rPr>
                <w:rFonts w:ascii="Arial (Body)" w:hAnsi="Arial (Body)"/>
                <w:color w:val="000000"/>
              </w:rPr>
              <w:t>Australian Institute of Health and Welfare</w:t>
            </w:r>
            <w:r>
              <w:rPr>
                <w:rFonts w:ascii="Arial (Body)" w:hAnsi="Arial (Body)"/>
                <w:color w:val="000000"/>
              </w:rPr>
              <w:t xml:space="preserve"> (AIHW)</w:t>
            </w:r>
          </w:p>
        </w:tc>
      </w:tr>
      <w:tr w:rsidR="00E42C03" w:rsidRPr="00D126B3" w14:paraId="3E16B616" w14:textId="77777777" w:rsidTr="00AB62C3">
        <w:tc>
          <w:tcPr>
            <w:tcW w:w="9638" w:type="dxa"/>
            <w:tcBorders>
              <w:top w:val="nil"/>
              <w:bottom w:val="nil"/>
            </w:tcBorders>
            <w:shd w:val="clear" w:color="000000" w:fill="auto"/>
          </w:tcPr>
          <w:p w14:paraId="4585EE60" w14:textId="77777777" w:rsidR="00E42C03" w:rsidRPr="005F026A" w:rsidRDefault="00E42C03" w:rsidP="00AB62C3">
            <w:pPr>
              <w:pStyle w:val="TableBody"/>
              <w:spacing w:before="45" w:after="45"/>
              <w:ind w:right="108"/>
              <w:rPr>
                <w:rFonts w:ascii="Arial (Body)" w:hAnsi="Arial (Body)"/>
                <w:color w:val="000000"/>
              </w:rPr>
            </w:pPr>
            <w:r w:rsidRPr="008F2E9C">
              <w:rPr>
                <w:rFonts w:ascii="Arial (Body)" w:hAnsi="Arial (Body)"/>
                <w:color w:val="000000"/>
              </w:rPr>
              <w:t>Clinical Excellence Commission</w:t>
            </w:r>
            <w:r>
              <w:rPr>
                <w:rFonts w:ascii="Arial (Body)" w:hAnsi="Arial (Body)"/>
                <w:color w:val="000000"/>
              </w:rPr>
              <w:t>, NSW Government</w:t>
            </w:r>
          </w:p>
        </w:tc>
      </w:tr>
      <w:tr w:rsidR="00E42C03" w:rsidRPr="00D126B3" w14:paraId="238196A4" w14:textId="77777777" w:rsidTr="005A65CD">
        <w:tc>
          <w:tcPr>
            <w:tcW w:w="9638" w:type="dxa"/>
            <w:tcBorders>
              <w:top w:val="nil"/>
              <w:bottom w:val="nil"/>
            </w:tcBorders>
            <w:shd w:val="clear" w:color="auto" w:fill="EBEBEB"/>
          </w:tcPr>
          <w:p w14:paraId="08544256" w14:textId="77777777" w:rsidR="00E42C03" w:rsidRPr="005F026A" w:rsidRDefault="00E42C03" w:rsidP="00AB62C3">
            <w:pPr>
              <w:pStyle w:val="TableBody"/>
              <w:spacing w:before="45" w:after="45"/>
              <w:ind w:right="108"/>
              <w:rPr>
                <w:rFonts w:ascii="Arial (Body)" w:hAnsi="Arial (Body)"/>
                <w:color w:val="000000"/>
              </w:rPr>
            </w:pPr>
            <w:r w:rsidRPr="00950AA2">
              <w:rPr>
                <w:rFonts w:ascii="Arial (Body)" w:hAnsi="Arial (Body)"/>
                <w:color w:val="000000"/>
              </w:rPr>
              <w:t>Commission on Excellence and Innovation in Health</w:t>
            </w:r>
            <w:r>
              <w:rPr>
                <w:rFonts w:ascii="Arial (Body)" w:hAnsi="Arial (Body)"/>
                <w:color w:val="000000"/>
              </w:rPr>
              <w:t xml:space="preserve">, South Australian Government </w:t>
            </w:r>
          </w:p>
        </w:tc>
      </w:tr>
      <w:tr w:rsidR="00E42C03" w:rsidRPr="00D126B3" w14:paraId="7769B2B4" w14:textId="77777777" w:rsidTr="00AB62C3">
        <w:tc>
          <w:tcPr>
            <w:tcW w:w="9638" w:type="dxa"/>
            <w:tcBorders>
              <w:top w:val="nil"/>
              <w:bottom w:val="nil"/>
            </w:tcBorders>
          </w:tcPr>
          <w:p w14:paraId="3D7CCA4D" w14:textId="77777777" w:rsidR="00E42C03" w:rsidRPr="00950AA2" w:rsidRDefault="00E42C03" w:rsidP="00AB62C3">
            <w:pPr>
              <w:pStyle w:val="TableBody"/>
              <w:spacing w:before="45" w:after="45"/>
              <w:ind w:right="108"/>
              <w:rPr>
                <w:rFonts w:ascii="Arial (Body)" w:hAnsi="Arial (Body)"/>
                <w:color w:val="000000"/>
              </w:rPr>
            </w:pPr>
            <w:r w:rsidRPr="00DB7627">
              <w:t>Department of Health and Aged Care</w:t>
            </w:r>
            <w:r>
              <w:t>, Australian Government</w:t>
            </w:r>
          </w:p>
        </w:tc>
      </w:tr>
      <w:tr w:rsidR="00E42C03" w:rsidRPr="00D126B3" w14:paraId="7CF7F324" w14:textId="77777777" w:rsidTr="005A65CD">
        <w:tc>
          <w:tcPr>
            <w:tcW w:w="9638" w:type="dxa"/>
            <w:shd w:val="clear" w:color="auto" w:fill="EBEBEB"/>
          </w:tcPr>
          <w:p w14:paraId="2CF98F37" w14:textId="77777777" w:rsidR="00E42C03" w:rsidRPr="00D126B3" w:rsidRDefault="00E42C03" w:rsidP="00AB62C3">
            <w:pPr>
              <w:pStyle w:val="TableBody"/>
              <w:spacing w:before="45" w:after="45"/>
              <w:ind w:right="108"/>
              <w:rPr>
                <w:rFonts w:ascii="Arial (Body)" w:hAnsi="Arial (Body)"/>
                <w:color w:val="000000"/>
              </w:rPr>
            </w:pPr>
            <w:r w:rsidRPr="00ED4497">
              <w:rPr>
                <w:rFonts w:ascii="Arial (Body)" w:hAnsi="Arial (Body)"/>
                <w:color w:val="000000"/>
              </w:rPr>
              <w:t>Department of Health</w:t>
            </w:r>
            <w:r>
              <w:rPr>
                <w:rFonts w:ascii="Arial (Body)" w:hAnsi="Arial (Body)"/>
                <w:color w:val="000000"/>
              </w:rPr>
              <w:t>, SA Government</w:t>
            </w:r>
          </w:p>
        </w:tc>
      </w:tr>
      <w:tr w:rsidR="00E42C03" w:rsidRPr="00D126B3" w14:paraId="22556076" w14:textId="77777777" w:rsidTr="00AB62C3">
        <w:tc>
          <w:tcPr>
            <w:tcW w:w="9638" w:type="dxa"/>
          </w:tcPr>
          <w:p w14:paraId="4F3794D4" w14:textId="77777777" w:rsidR="00E42C03" w:rsidRPr="00ED4497" w:rsidRDefault="00E42C03" w:rsidP="00AB62C3">
            <w:pPr>
              <w:pStyle w:val="TableBody"/>
              <w:spacing w:before="45" w:after="45"/>
              <w:ind w:right="108"/>
              <w:rPr>
                <w:rFonts w:ascii="Arial (Body)" w:hAnsi="Arial (Body)"/>
                <w:color w:val="000000"/>
              </w:rPr>
            </w:pPr>
            <w:r w:rsidRPr="00ED4497">
              <w:rPr>
                <w:rFonts w:ascii="Arial (Body)" w:hAnsi="Arial (Body)"/>
                <w:color w:val="000000"/>
              </w:rPr>
              <w:t>Department of Health</w:t>
            </w:r>
            <w:r>
              <w:rPr>
                <w:rFonts w:ascii="Arial (Body)" w:hAnsi="Arial (Body)"/>
                <w:color w:val="000000"/>
              </w:rPr>
              <w:t>, Tasmanian Government</w:t>
            </w:r>
          </w:p>
        </w:tc>
      </w:tr>
      <w:tr w:rsidR="00E42C03" w:rsidRPr="00D126B3" w14:paraId="14729D53" w14:textId="77777777" w:rsidTr="005A65CD">
        <w:tc>
          <w:tcPr>
            <w:tcW w:w="9638" w:type="dxa"/>
            <w:shd w:val="clear" w:color="auto" w:fill="EBEBEB"/>
          </w:tcPr>
          <w:p w14:paraId="4062415F" w14:textId="77777777" w:rsidR="00E42C03" w:rsidRPr="00ED4497" w:rsidRDefault="00E42C03" w:rsidP="00AB62C3">
            <w:pPr>
              <w:pStyle w:val="TableBody"/>
              <w:spacing w:before="45" w:after="45"/>
              <w:ind w:right="108"/>
              <w:rPr>
                <w:rFonts w:ascii="Arial (Body)" w:hAnsi="Arial (Body)"/>
                <w:color w:val="000000"/>
              </w:rPr>
            </w:pPr>
            <w:r w:rsidRPr="00ED4497">
              <w:rPr>
                <w:rFonts w:ascii="Arial (Body)" w:hAnsi="Arial (Body)"/>
                <w:color w:val="000000"/>
              </w:rPr>
              <w:t>Department of Health</w:t>
            </w:r>
            <w:r>
              <w:rPr>
                <w:rFonts w:ascii="Arial (Body)" w:hAnsi="Arial (Body)"/>
                <w:color w:val="000000"/>
              </w:rPr>
              <w:t>, Victorian Government</w:t>
            </w:r>
          </w:p>
        </w:tc>
      </w:tr>
      <w:tr w:rsidR="00E42C03" w:rsidRPr="00D126B3" w14:paraId="7F9534AE" w14:textId="77777777" w:rsidTr="00AB62C3">
        <w:tc>
          <w:tcPr>
            <w:tcW w:w="9638" w:type="dxa"/>
          </w:tcPr>
          <w:p w14:paraId="0C0A3B64" w14:textId="77777777" w:rsidR="00E42C03" w:rsidRPr="00ED4497" w:rsidRDefault="00E42C03" w:rsidP="00AB62C3">
            <w:pPr>
              <w:pStyle w:val="TableBody"/>
              <w:spacing w:before="45" w:after="45"/>
              <w:ind w:right="108"/>
              <w:rPr>
                <w:rFonts w:ascii="Arial (Body)" w:hAnsi="Arial (Body)"/>
                <w:color w:val="000000"/>
              </w:rPr>
            </w:pPr>
            <w:r w:rsidRPr="00481997">
              <w:rPr>
                <w:rFonts w:ascii="Arial (Body)" w:hAnsi="Arial (Body)"/>
                <w:color w:val="000000"/>
              </w:rPr>
              <w:t xml:space="preserve">Department of Health, </w:t>
            </w:r>
            <w:r>
              <w:rPr>
                <w:rFonts w:ascii="Arial (Body)" w:hAnsi="Arial (Body)"/>
                <w:color w:val="000000"/>
              </w:rPr>
              <w:t>W</w:t>
            </w:r>
            <w:r w:rsidRPr="00481997">
              <w:rPr>
                <w:rFonts w:ascii="Arial (Body)" w:hAnsi="Arial (Body)"/>
                <w:color w:val="000000"/>
              </w:rPr>
              <w:t>A Government</w:t>
            </w:r>
          </w:p>
        </w:tc>
      </w:tr>
      <w:tr w:rsidR="00E42C03" w:rsidRPr="00D126B3" w14:paraId="63AA9AD6" w14:textId="77777777" w:rsidTr="005A65CD">
        <w:tc>
          <w:tcPr>
            <w:tcW w:w="9638" w:type="dxa"/>
            <w:shd w:val="clear" w:color="auto" w:fill="EBEBEB"/>
          </w:tcPr>
          <w:p w14:paraId="1A12F0BF" w14:textId="77777777" w:rsidR="00E42C03" w:rsidRPr="00481997" w:rsidRDefault="00E42C03" w:rsidP="00AB62C3">
            <w:pPr>
              <w:pStyle w:val="TableBody"/>
              <w:spacing w:before="45" w:after="45"/>
              <w:ind w:right="108"/>
              <w:rPr>
                <w:rFonts w:ascii="Arial (Body)" w:hAnsi="Arial (Body)"/>
                <w:color w:val="000000"/>
              </w:rPr>
            </w:pPr>
            <w:r w:rsidRPr="000F0D63">
              <w:rPr>
                <w:rFonts w:ascii="Arial (Body)" w:hAnsi="Arial (Body)"/>
                <w:color w:val="000000"/>
              </w:rPr>
              <w:t>Independent Health and Aged Care Pricing Authority</w:t>
            </w:r>
            <w:r>
              <w:rPr>
                <w:rFonts w:ascii="Arial (Body)" w:hAnsi="Arial (Body)"/>
                <w:color w:val="000000"/>
              </w:rPr>
              <w:t xml:space="preserve"> (IHACPA)</w:t>
            </w:r>
          </w:p>
        </w:tc>
      </w:tr>
      <w:tr w:rsidR="00E42C03" w:rsidRPr="00D126B3" w14:paraId="4539D268" w14:textId="77777777" w:rsidTr="00AB62C3">
        <w:tc>
          <w:tcPr>
            <w:tcW w:w="9638" w:type="dxa"/>
          </w:tcPr>
          <w:p w14:paraId="23030093" w14:textId="77777777" w:rsidR="00E42C03" w:rsidRPr="00483934" w:rsidRDefault="00E42C03" w:rsidP="00AB62C3">
            <w:pPr>
              <w:pStyle w:val="TableBody"/>
              <w:spacing w:before="45" w:after="45"/>
              <w:ind w:right="108"/>
              <w:rPr>
                <w:color w:val="000000"/>
              </w:rPr>
            </w:pPr>
            <w:r w:rsidRPr="00CE6D44">
              <w:rPr>
                <w:rFonts w:ascii="Arial (Body)" w:hAnsi="Arial (Body)"/>
                <w:color w:val="000000"/>
              </w:rPr>
              <w:t xml:space="preserve">Lukasz Slawomirski, </w:t>
            </w:r>
            <w:r w:rsidRPr="00D84614">
              <w:rPr>
                <w:rFonts w:ascii="Arial (Body)" w:hAnsi="Arial (Body)"/>
                <w:color w:val="000000"/>
              </w:rPr>
              <w:t>Menzies Institute for Medical Research</w:t>
            </w:r>
            <w:r>
              <w:rPr>
                <w:rFonts w:ascii="Arial (Body)" w:hAnsi="Arial (Body)"/>
                <w:color w:val="000000"/>
              </w:rPr>
              <w:t xml:space="preserve">, </w:t>
            </w:r>
            <w:r w:rsidRPr="00CE6D44">
              <w:rPr>
                <w:rFonts w:ascii="Arial (Body)" w:hAnsi="Arial (Body)"/>
                <w:color w:val="000000"/>
              </w:rPr>
              <w:t>U</w:t>
            </w:r>
            <w:r>
              <w:rPr>
                <w:rFonts w:ascii="Arial (Body)" w:hAnsi="Arial (Body)"/>
                <w:color w:val="000000"/>
              </w:rPr>
              <w:t>niversity of Tasmania</w:t>
            </w:r>
          </w:p>
        </w:tc>
      </w:tr>
      <w:tr w:rsidR="00E42C03" w:rsidRPr="00D126B3" w14:paraId="645D4633" w14:textId="77777777" w:rsidTr="005A65CD">
        <w:tc>
          <w:tcPr>
            <w:tcW w:w="9638" w:type="dxa"/>
            <w:shd w:val="clear" w:color="auto" w:fill="EBEBEB"/>
          </w:tcPr>
          <w:p w14:paraId="5649B2CD" w14:textId="77777777" w:rsidR="00E42C03" w:rsidRPr="00D126B3" w:rsidRDefault="00E42C03" w:rsidP="00AB62C3">
            <w:pPr>
              <w:pStyle w:val="TableBody"/>
              <w:spacing w:before="45" w:after="45"/>
              <w:ind w:right="108"/>
              <w:rPr>
                <w:rFonts w:ascii="Arial (Body)" w:hAnsi="Arial (Body)"/>
                <w:color w:val="000000"/>
              </w:rPr>
            </w:pPr>
            <w:r w:rsidRPr="00F1636A">
              <w:rPr>
                <w:rFonts w:ascii="Arial (Body)" w:hAnsi="Arial (Body)"/>
                <w:color w:val="000000"/>
              </w:rPr>
              <w:t>Ministry of Health</w:t>
            </w:r>
            <w:r>
              <w:rPr>
                <w:rFonts w:ascii="Arial (Body)" w:hAnsi="Arial (Body)"/>
                <w:color w:val="000000"/>
              </w:rPr>
              <w:t>, NSW Government</w:t>
            </w:r>
          </w:p>
        </w:tc>
      </w:tr>
      <w:tr w:rsidR="00E42C03" w:rsidRPr="00D126B3" w14:paraId="648E9141" w14:textId="77777777" w:rsidTr="00AB62C3">
        <w:tc>
          <w:tcPr>
            <w:tcW w:w="9638" w:type="dxa"/>
          </w:tcPr>
          <w:p w14:paraId="695B09A9" w14:textId="77777777" w:rsidR="00E42C03" w:rsidRPr="00D126B3" w:rsidRDefault="00E42C03" w:rsidP="00AB62C3">
            <w:pPr>
              <w:pStyle w:val="TableBody"/>
              <w:spacing w:before="45" w:after="45"/>
              <w:ind w:right="108"/>
              <w:rPr>
                <w:rFonts w:ascii="Arial (Body)" w:hAnsi="Arial (Body)"/>
                <w:color w:val="000000"/>
              </w:rPr>
            </w:pPr>
            <w:r w:rsidRPr="00AF24ED">
              <w:rPr>
                <w:rFonts w:ascii="Arial (Body)" w:hAnsi="Arial (Body)"/>
                <w:color w:val="000000"/>
              </w:rPr>
              <w:t>National Health Funding Body (NHFB)</w:t>
            </w:r>
          </w:p>
        </w:tc>
      </w:tr>
      <w:tr w:rsidR="00E42C03" w:rsidRPr="00D126B3" w14:paraId="30A5C8B8" w14:textId="77777777" w:rsidTr="005A65CD">
        <w:tc>
          <w:tcPr>
            <w:tcW w:w="9638" w:type="dxa"/>
            <w:tcBorders>
              <w:bottom w:val="nil"/>
            </w:tcBorders>
            <w:shd w:val="clear" w:color="auto" w:fill="EBEBEB"/>
          </w:tcPr>
          <w:p w14:paraId="4C6743ED" w14:textId="77777777" w:rsidR="00E42C03" w:rsidRPr="00D126B3" w:rsidRDefault="00E42C03" w:rsidP="00AB62C3">
            <w:pPr>
              <w:pStyle w:val="TableBody"/>
              <w:spacing w:before="45" w:after="45"/>
              <w:ind w:right="108"/>
              <w:rPr>
                <w:rFonts w:ascii="Arial (Body)" w:hAnsi="Arial (Body)"/>
                <w:color w:val="000000"/>
              </w:rPr>
            </w:pPr>
            <w:r>
              <w:rPr>
                <w:rFonts w:ascii="Arial (Body)" w:hAnsi="Arial (Body)"/>
                <w:color w:val="000000"/>
              </w:rPr>
              <w:t>NT Health</w:t>
            </w:r>
            <w:r w:rsidRPr="00481997">
              <w:rPr>
                <w:rFonts w:ascii="Arial (Body)" w:hAnsi="Arial (Body)"/>
                <w:color w:val="000000"/>
              </w:rPr>
              <w:t xml:space="preserve">, </w:t>
            </w:r>
            <w:r>
              <w:rPr>
                <w:rFonts w:ascii="Arial (Body)" w:hAnsi="Arial (Body)"/>
                <w:color w:val="000000"/>
              </w:rPr>
              <w:t>Northern Territory</w:t>
            </w:r>
            <w:r w:rsidRPr="00481997">
              <w:rPr>
                <w:rFonts w:ascii="Arial (Body)" w:hAnsi="Arial (Body)"/>
                <w:color w:val="000000"/>
              </w:rPr>
              <w:t xml:space="preserve"> Government</w:t>
            </w:r>
          </w:p>
        </w:tc>
      </w:tr>
      <w:tr w:rsidR="00E42C03" w:rsidRPr="00D126B3" w14:paraId="46320072" w14:textId="77777777" w:rsidTr="00D02AFB">
        <w:tc>
          <w:tcPr>
            <w:tcW w:w="9638" w:type="dxa"/>
            <w:tcBorders>
              <w:bottom w:val="single" w:sz="4" w:space="0" w:color="B3B3B3"/>
            </w:tcBorders>
            <w:shd w:val="clear" w:color="auto" w:fill="FFFFFF" w:themeFill="background1"/>
          </w:tcPr>
          <w:p w14:paraId="63120AB7" w14:textId="77777777" w:rsidR="00E42C03" w:rsidRPr="00D126B3" w:rsidRDefault="00E42C03" w:rsidP="00853667">
            <w:pPr>
              <w:pStyle w:val="TableBody"/>
              <w:spacing w:before="45" w:after="120"/>
              <w:ind w:right="108"/>
              <w:rPr>
                <w:rFonts w:ascii="Arial (Body)" w:hAnsi="Arial (Body)"/>
                <w:color w:val="000000"/>
              </w:rPr>
            </w:pPr>
            <w:r>
              <w:rPr>
                <w:rFonts w:ascii="Arial (Body)" w:hAnsi="Arial (Body)"/>
                <w:color w:val="000000"/>
              </w:rPr>
              <w:t>Queensland</w:t>
            </w:r>
            <w:r w:rsidRPr="00481997">
              <w:rPr>
                <w:rFonts w:ascii="Arial (Body)" w:hAnsi="Arial (Body)"/>
                <w:color w:val="000000"/>
              </w:rPr>
              <w:t xml:space="preserve"> Health, </w:t>
            </w:r>
            <w:r>
              <w:rPr>
                <w:rFonts w:ascii="Arial (Body)" w:hAnsi="Arial (Body)"/>
                <w:color w:val="000000"/>
              </w:rPr>
              <w:t>Queensland</w:t>
            </w:r>
            <w:r w:rsidRPr="00481997">
              <w:rPr>
                <w:rFonts w:ascii="Arial (Body)" w:hAnsi="Arial (Body)"/>
                <w:color w:val="000000"/>
              </w:rPr>
              <w:t xml:space="preserve"> Government</w:t>
            </w:r>
          </w:p>
        </w:tc>
      </w:tr>
    </w:tbl>
    <w:p w14:paraId="0747F9D2" w14:textId="11379E62" w:rsidR="00E42C03" w:rsidRDefault="00E42C03" w:rsidP="00AB62C3">
      <w:pPr>
        <w:pStyle w:val="FigureTableHeading"/>
      </w:pPr>
      <w:r>
        <w:t xml:space="preserve">Table </w:t>
      </w:r>
      <w:r w:rsidR="00CB39C0">
        <w:rPr>
          <w:noProof/>
        </w:rPr>
        <w:t>A</w:t>
      </w:r>
      <w:r>
        <w:t>.</w:t>
      </w:r>
      <w:r w:rsidR="00CB39C0">
        <w:rPr>
          <w:noProof/>
        </w:rPr>
        <w:t>2</w:t>
      </w:r>
      <w:r>
        <w:rPr>
          <w:noProof/>
        </w:rPr>
        <w:t xml:space="preserve"> – External workshop </w:t>
      </w:r>
      <w:r>
        <w:t>participants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E42C03" w:rsidRPr="00D126B3" w14:paraId="2C39B67E" w14:textId="77777777" w:rsidTr="005A65CD">
        <w:tc>
          <w:tcPr>
            <w:tcW w:w="9638" w:type="dxa"/>
            <w:tcBorders>
              <w:top w:val="single" w:sz="4" w:space="0" w:color="B3B3B3"/>
              <w:bottom w:val="nil"/>
            </w:tcBorders>
            <w:shd w:val="clear" w:color="auto" w:fill="EBEBEB"/>
          </w:tcPr>
          <w:p w14:paraId="6F47B00C" w14:textId="5C2F2BE5" w:rsidR="00E42C03" w:rsidRPr="0055185D" w:rsidRDefault="00E42C03" w:rsidP="00AB62C3">
            <w:pPr>
              <w:pStyle w:val="TableBody"/>
              <w:spacing w:before="45" w:after="45"/>
              <w:ind w:right="108"/>
              <w:rPr>
                <w:rFonts w:ascii="Arial (Body)" w:hAnsi="Arial (Body)"/>
                <w:color w:val="000000"/>
              </w:rPr>
            </w:pPr>
            <w:r>
              <w:rPr>
                <w:rFonts w:ascii="Arial (Body)" w:hAnsi="Arial (Body)"/>
                <w:color w:val="000000"/>
              </w:rPr>
              <w:t xml:space="preserve">Prof </w:t>
            </w:r>
            <w:r w:rsidRPr="00FF7D21">
              <w:rPr>
                <w:rFonts w:ascii="Arial (Body)" w:hAnsi="Arial (Body)"/>
                <w:color w:val="000000"/>
              </w:rPr>
              <w:t>Jeff Borland</w:t>
            </w:r>
            <w:r>
              <w:rPr>
                <w:rFonts w:ascii="Arial (Body)" w:hAnsi="Arial (Body)"/>
                <w:color w:val="000000"/>
              </w:rPr>
              <w:t xml:space="preserve"> (University of Melbourne)</w:t>
            </w:r>
          </w:p>
        </w:tc>
      </w:tr>
      <w:tr w:rsidR="00E42C03" w:rsidRPr="00D126B3" w14:paraId="4A8E2889" w14:textId="77777777" w:rsidTr="00AB62C3">
        <w:tc>
          <w:tcPr>
            <w:tcW w:w="9638" w:type="dxa"/>
            <w:tcBorders>
              <w:top w:val="nil"/>
              <w:bottom w:val="nil"/>
            </w:tcBorders>
            <w:shd w:val="clear" w:color="000000" w:fill="auto"/>
          </w:tcPr>
          <w:p w14:paraId="3D1ADC9C" w14:textId="609BE7A1" w:rsidR="00E42C03" w:rsidRPr="00D126B3" w:rsidRDefault="00E42C03" w:rsidP="00AB62C3">
            <w:pPr>
              <w:pStyle w:val="TableBody"/>
              <w:spacing w:before="45" w:after="45"/>
              <w:ind w:right="108"/>
              <w:rPr>
                <w:rFonts w:ascii="Arial (Body)" w:hAnsi="Arial (Body)"/>
                <w:color w:val="000000"/>
              </w:rPr>
            </w:pPr>
            <w:r>
              <w:rPr>
                <w:rFonts w:ascii="Arial (Body)" w:hAnsi="Arial (Body)"/>
                <w:color w:val="000000"/>
              </w:rPr>
              <w:t>Dr Susan Mendez (University of Melbourne)</w:t>
            </w:r>
          </w:p>
        </w:tc>
      </w:tr>
      <w:tr w:rsidR="00E42C03" w:rsidRPr="00D126B3" w14:paraId="3E09ABC7" w14:textId="77777777" w:rsidTr="005A65CD">
        <w:tc>
          <w:tcPr>
            <w:tcW w:w="9638" w:type="dxa"/>
            <w:shd w:val="clear" w:color="auto" w:fill="EBEBEB"/>
          </w:tcPr>
          <w:p w14:paraId="4AB5DDC5" w14:textId="4EB6F704" w:rsidR="00E42C03" w:rsidRPr="00D126B3" w:rsidRDefault="00E42C03" w:rsidP="00853667">
            <w:pPr>
              <w:pStyle w:val="TableBody"/>
              <w:spacing w:before="45" w:after="120"/>
              <w:ind w:right="108"/>
              <w:rPr>
                <w:rFonts w:ascii="Arial (Body)" w:hAnsi="Arial (Body)"/>
                <w:color w:val="000000"/>
              </w:rPr>
            </w:pPr>
            <w:r>
              <w:rPr>
                <w:rFonts w:ascii="Arial (Body)" w:hAnsi="Arial (Body)"/>
                <w:color w:val="000000"/>
              </w:rPr>
              <w:t>Prof Anthony Scott (Monash University)</w:t>
            </w:r>
          </w:p>
        </w:tc>
      </w:tr>
    </w:tbl>
    <w:p w14:paraId="140FC9A3" w14:textId="33011BF8" w:rsidR="00E42C03" w:rsidRDefault="00E42C03" w:rsidP="00AB62C3">
      <w:pPr>
        <w:pStyle w:val="FigureTableHeading"/>
      </w:pPr>
      <w:r>
        <w:t xml:space="preserve">Table </w:t>
      </w:r>
      <w:r w:rsidR="00CB39C0">
        <w:rPr>
          <w:noProof/>
        </w:rPr>
        <w:t>A</w:t>
      </w:r>
      <w:r>
        <w:t>.</w:t>
      </w:r>
      <w:r w:rsidR="00CB39C0">
        <w:rPr>
          <w:noProof/>
        </w:rPr>
        <w:t>3</w:t>
      </w:r>
      <w:r>
        <w:rPr>
          <w:noProof/>
        </w:rPr>
        <w:t xml:space="preserve"> – External </w:t>
      </w:r>
      <w:r>
        <w:t>reviewers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E42C03" w:rsidRPr="00D126B3" w14:paraId="5A10DEC1" w14:textId="77777777" w:rsidTr="005A65CD">
        <w:tc>
          <w:tcPr>
            <w:tcW w:w="9638" w:type="dxa"/>
            <w:tcBorders>
              <w:top w:val="single" w:sz="4" w:space="0" w:color="B3B3B3"/>
              <w:bottom w:val="nil"/>
            </w:tcBorders>
            <w:shd w:val="clear" w:color="auto" w:fill="EBEBEB"/>
          </w:tcPr>
          <w:p w14:paraId="3CB72B9C" w14:textId="77777777" w:rsidR="00E42C03" w:rsidRPr="00D126B3" w:rsidRDefault="00E42C03" w:rsidP="00AB62C3">
            <w:pPr>
              <w:pStyle w:val="TableBody"/>
              <w:spacing w:before="45" w:after="45"/>
              <w:ind w:right="108"/>
              <w:rPr>
                <w:rFonts w:ascii="Arial (Body)" w:hAnsi="Arial (Body)"/>
                <w:color w:val="000000"/>
              </w:rPr>
            </w:pPr>
            <w:r w:rsidRPr="00B55450">
              <w:rPr>
                <w:rFonts w:ascii="Arial (Body)" w:hAnsi="Arial (Body)"/>
                <w:color w:val="000000"/>
              </w:rPr>
              <w:t>Lukasz Slawomirski</w:t>
            </w:r>
            <w:r>
              <w:rPr>
                <w:rFonts w:ascii="Arial (Body)" w:hAnsi="Arial (Body)"/>
                <w:color w:val="000000"/>
              </w:rPr>
              <w:t xml:space="preserve"> (University of Tasmania)</w:t>
            </w:r>
          </w:p>
        </w:tc>
      </w:tr>
      <w:tr w:rsidR="00E42C03" w:rsidRPr="00D126B3" w14:paraId="7CA30013" w14:textId="77777777" w:rsidTr="00AB62C3">
        <w:tc>
          <w:tcPr>
            <w:tcW w:w="9638" w:type="dxa"/>
            <w:tcBorders>
              <w:top w:val="nil"/>
              <w:bottom w:val="single" w:sz="4" w:space="0" w:color="BFBFBF" w:themeColor="background1" w:themeShade="BF"/>
            </w:tcBorders>
            <w:shd w:val="clear" w:color="000000" w:fill="auto"/>
          </w:tcPr>
          <w:p w14:paraId="543E7F35" w14:textId="18B3C90F" w:rsidR="00E42C03" w:rsidRPr="00EE3A7E" w:rsidRDefault="00E42C03" w:rsidP="00853667">
            <w:pPr>
              <w:pStyle w:val="TableBody"/>
              <w:spacing w:after="120"/>
            </w:pPr>
            <w:r>
              <w:t>Prof Jeff Borland (University of Melbourne)</w:t>
            </w:r>
          </w:p>
        </w:tc>
      </w:tr>
    </w:tbl>
    <w:p w14:paraId="7581951A" w14:textId="77777777" w:rsidR="003E5820" w:rsidRDefault="003E5820" w:rsidP="00143176">
      <w:pPr>
        <w:pStyle w:val="BodyText"/>
        <w:sectPr w:rsidR="003E5820" w:rsidSect="00E42C03">
          <w:headerReference w:type="default" r:id="rId49"/>
          <w:footerReference w:type="even" r:id="rId50"/>
          <w:footerReference w:type="default" r:id="rId51"/>
          <w:headerReference w:type="first" r:id="rId52"/>
          <w:footerReference w:type="first" r:id="rId53"/>
          <w:pgSz w:w="11906" w:h="16838" w:code="9"/>
          <w:pgMar w:top="1134" w:right="1134" w:bottom="1134" w:left="1134" w:header="794" w:footer="510" w:gutter="0"/>
          <w:cols w:space="708"/>
          <w:docGrid w:linePitch="360"/>
        </w:sectPr>
      </w:pPr>
    </w:p>
    <w:p w14:paraId="052E264A" w14:textId="77777777" w:rsidR="00D33976" w:rsidRDefault="00D33976" w:rsidP="00AB62C3">
      <w:pPr>
        <w:pStyle w:val="Heading-Appendix"/>
      </w:pPr>
      <w:bookmarkStart w:id="11" w:name="_Toc224153245"/>
      <w:r w:rsidRPr="004104E7">
        <w:lastRenderedPageBreak/>
        <w:t>Estimating the impact of the HAC</w:t>
      </w:r>
      <w:r w:rsidRPr="004104E7">
        <w:noBreakHyphen/>
        <w:t>related funding adjustment</w:t>
      </w:r>
      <w:bookmarkEnd w:id="11"/>
    </w:p>
    <w:p w14:paraId="567F8F11" w14:textId="44F44D54" w:rsidR="00D33976" w:rsidRPr="004104E7" w:rsidRDefault="00D33976" w:rsidP="00AB62C3">
      <w:pPr>
        <w:pStyle w:val="BodyText"/>
      </w:pPr>
      <w:r w:rsidRPr="004104E7">
        <w:t>This appendix provides information on the PC’s approach to estimating the impact of the funding adjustment on hospital acquired complications (HACs). Section</w:t>
      </w:r>
      <w:r>
        <w:t>s </w:t>
      </w:r>
      <w:r w:rsidRPr="004104E7">
        <w:t>B.1</w:t>
      </w:r>
      <w:r>
        <w:t xml:space="preserve"> and B.2</w:t>
      </w:r>
      <w:r w:rsidRPr="004104E7">
        <w:t xml:space="preserve"> discuss the data and methodology, and section</w:t>
      </w:r>
      <w:r>
        <w:t> </w:t>
      </w:r>
      <w:r w:rsidRPr="004104E7">
        <w:t>B.</w:t>
      </w:r>
      <w:r>
        <w:t>3</w:t>
      </w:r>
      <w:r w:rsidRPr="004104E7">
        <w:t xml:space="preserve"> presents detailed results.</w:t>
      </w:r>
    </w:p>
    <w:p w14:paraId="76A06321" w14:textId="77777777" w:rsidR="00D33976" w:rsidRDefault="00D33976" w:rsidP="00AB62C3">
      <w:pPr>
        <w:pStyle w:val="Heading2-Appendix"/>
      </w:pPr>
      <w:bookmarkStart w:id="12" w:name="_Toc224153246"/>
      <w:r w:rsidRPr="00774294">
        <w:t>Patient level data used to estimate the impact of the funding adjustment</w:t>
      </w:r>
      <w:bookmarkEnd w:id="12"/>
    </w:p>
    <w:p w14:paraId="0207CEAC" w14:textId="77777777" w:rsidR="00D33976" w:rsidRPr="004104E7" w:rsidRDefault="00D33976" w:rsidP="00AB62C3">
      <w:pPr>
        <w:pStyle w:val="BodyText"/>
      </w:pPr>
      <w:r w:rsidRPr="004104E7">
        <w:t>Our primary question was: what effect (if any) did the HAC</w:t>
      </w:r>
      <w:r w:rsidRPr="004104E7">
        <w:noBreakHyphen/>
        <w:t>related funding adjustment have on the probability of a HAC</w:t>
      </w:r>
      <w:r w:rsidRPr="004104E7">
        <w:rPr>
          <w:i/>
          <w:iCs/>
        </w:rPr>
        <w:t xml:space="preserve"> </w:t>
      </w:r>
      <w:r w:rsidRPr="004104E7">
        <w:t>occurring?</w:t>
      </w:r>
    </w:p>
    <w:p w14:paraId="00903C55" w14:textId="54FCEAB5" w:rsidR="00D33976" w:rsidRPr="004104E7" w:rsidRDefault="00D33976" w:rsidP="00AB62C3">
      <w:pPr>
        <w:pStyle w:val="BodyText"/>
      </w:pPr>
      <w:r w:rsidRPr="004104E7">
        <w:t xml:space="preserve">To answer this question, the PC used public hospital admissions data from the Australian Institute of Health and Welfare’s (AIHW) National Health Data Hub (NHDH). The NHDH contains the Admitted Patient Care National Minimum Dataset (APC NMDS) </w:t>
      </w:r>
      <w:r w:rsidRPr="004104E7">
        <w:rPr>
          <w:rFonts w:ascii="Arial" w:hAnsi="Arial" w:cs="Arial"/>
        </w:rPr>
        <w:t>(AIHW 2024b)</w:t>
      </w:r>
      <w:r w:rsidRPr="004104E7">
        <w:t xml:space="preserve">. Data in the NMDS is mandatorily and uniformly reported by all states and territories. The APC NMDS provides annual administrative information about care provided to admitted patients in Australian hospitals </w:t>
      </w:r>
      <w:r w:rsidRPr="004104E7">
        <w:rPr>
          <w:rFonts w:ascii="Arial" w:hAnsi="Arial" w:cs="Arial"/>
        </w:rPr>
        <w:t>(METEOR 2023)</w:t>
      </w:r>
      <w:r>
        <w:t>.</w:t>
      </w:r>
      <w:r w:rsidRPr="00A46F91">
        <w:rPr>
          <w:rStyle w:val="FootnoteReference"/>
        </w:rPr>
        <w:footnoteReference w:id="11"/>
      </w:r>
    </w:p>
    <w:p w14:paraId="386743ED" w14:textId="4274303C" w:rsidR="00D33976" w:rsidRPr="004104E7" w:rsidRDefault="00D33976" w:rsidP="00AB62C3">
      <w:pPr>
        <w:pStyle w:val="BodyText"/>
      </w:pPr>
      <w:r w:rsidRPr="004104E7">
        <w:rPr>
          <w:rFonts w:ascii="Arial" w:hAnsi="Arial" w:cs="Arial"/>
          <w:color w:val="000000"/>
        </w:rPr>
        <w:t>Each observation covers an episode of care with information in three categories, spanning over 50</w:t>
      </w:r>
      <w:r>
        <w:rPr>
          <w:rFonts w:ascii="Arial" w:hAnsi="Arial" w:cs="Arial"/>
          <w:color w:val="000000"/>
        </w:rPr>
        <w:t> </w:t>
      </w:r>
      <w:r w:rsidRPr="004104E7">
        <w:rPr>
          <w:rFonts w:ascii="Arial" w:hAnsi="Arial" w:cs="Arial"/>
          <w:color w:val="000000"/>
        </w:rPr>
        <w:t xml:space="preserve">variables. The NMDS includes demographic details (age, gender, residence), hospital administration data (public or private sector), and clinical information such as admission method (elective or emergency), principal diagnosis, type of care received (acute, subacute, rehabilitation, mental health), length of stay, cause of diagnosis, preexisting chronic conditions and treatments provided </w:t>
      </w:r>
      <w:r w:rsidRPr="004104E7">
        <w:rPr>
          <w:rFonts w:ascii="Arial" w:hAnsi="Arial" w:cs="Arial"/>
        </w:rPr>
        <w:t>(METEOR 2023)</w:t>
      </w:r>
      <w:r w:rsidRPr="004104E7">
        <w:t xml:space="preserve">. </w:t>
      </w:r>
    </w:p>
    <w:p w14:paraId="6CA5AAAA" w14:textId="77777777" w:rsidR="00D33976" w:rsidRPr="004104E7" w:rsidRDefault="00D33976" w:rsidP="00AB62C3">
      <w:pPr>
        <w:pStyle w:val="Heading3"/>
      </w:pPr>
      <w:r w:rsidRPr="004104E7">
        <w:t>Certain episodes were trimmed from the dataset</w:t>
      </w:r>
    </w:p>
    <w:p w14:paraId="2A91251C" w14:textId="4A1B2294" w:rsidR="00D33976" w:rsidRPr="004104E7" w:rsidRDefault="00D33976" w:rsidP="00AB62C3">
      <w:pPr>
        <w:pStyle w:val="BodyText"/>
      </w:pPr>
      <w:r w:rsidRPr="004104E7">
        <w:t>Episodes were trimmed from the original dataset to align with Independent Health and Aged Care Pricing Authority’s (IHACPA) HAC</w:t>
      </w:r>
      <w:r>
        <w:t xml:space="preserve"> </w:t>
      </w:r>
      <w:r w:rsidRPr="004104E7">
        <w:t>identification methodology</w:t>
      </w:r>
      <w:r>
        <w:t xml:space="preserve"> </w:t>
      </w:r>
      <w:r w:rsidRPr="004104E7">
        <w:rPr>
          <w:rFonts w:ascii="Arial" w:hAnsi="Arial" w:cs="Arial"/>
        </w:rPr>
        <w:t>(ACSQHC 2019)</w:t>
      </w:r>
      <w:r w:rsidRPr="004104E7">
        <w:t>. Trimming occurred if:</w:t>
      </w:r>
    </w:p>
    <w:p w14:paraId="1D4965A3" w14:textId="18D011FD" w:rsidR="00D33976" w:rsidRPr="004104E7" w:rsidRDefault="00D33976" w:rsidP="00AB62C3">
      <w:pPr>
        <w:pStyle w:val="ListBullet"/>
      </w:pPr>
      <w:r w:rsidRPr="004104E7">
        <w:rPr>
          <w:b/>
          <w:bCs/>
        </w:rPr>
        <w:t>the funding adjustment was not applied</w:t>
      </w:r>
      <w:r w:rsidR="00271896">
        <w:rPr>
          <w:b/>
          <w:bCs/>
        </w:rPr>
        <w:t xml:space="preserve"> to that category of episode</w:t>
      </w:r>
      <w:r w:rsidRPr="00E43D18">
        <w:t>.</w:t>
      </w:r>
      <w:r w:rsidRPr="004104E7">
        <w:t xml:space="preserve"> The funding adjustment only applies to admitted acute episodes in public hospitals. Non</w:t>
      </w:r>
      <w:r w:rsidRPr="004104E7">
        <w:noBreakHyphen/>
        <w:t xml:space="preserve">acute admitted episodes, emergency presentations and all episodes in private hospitals are not subject to an adjustment even if a HAC occurs </w:t>
      </w:r>
      <w:r w:rsidR="00F56591" w:rsidRPr="00F56591">
        <w:rPr>
          <w:rFonts w:ascii="Arial" w:hAnsi="Arial" w:cs="Arial"/>
          <w:szCs w:val="24"/>
        </w:rPr>
        <w:t>(IHACPA 2023c)</w:t>
      </w:r>
      <w:r w:rsidRPr="004104E7">
        <w:t xml:space="preserve">. Mental health admissions were also excluded because these episodes fall under a different classification stream </w:t>
      </w:r>
      <w:r w:rsidRPr="004104E7">
        <w:rPr>
          <w:rFonts w:ascii="Arial" w:hAnsi="Arial" w:cs="Arial"/>
        </w:rPr>
        <w:t>(IHACPA 2024)</w:t>
      </w:r>
      <w:r w:rsidRPr="004104E7">
        <w:t>. Block</w:t>
      </w:r>
      <w:r w:rsidRPr="004104E7">
        <w:noBreakHyphen/>
        <w:t>funded public hospitals should have been trimmed but were not as these hospitals cannot be identified in the NHDH</w:t>
      </w:r>
      <w:r>
        <w:t>.</w:t>
      </w:r>
      <w:r w:rsidRPr="004104E7">
        <w:t xml:space="preserve"> </w:t>
      </w:r>
      <w:r>
        <w:t>E</w:t>
      </w:r>
      <w:r w:rsidRPr="004104E7">
        <w:t xml:space="preserve">pisodes were </w:t>
      </w:r>
      <w:r>
        <w:t xml:space="preserve">also </w:t>
      </w:r>
      <w:r w:rsidRPr="004104E7">
        <w:t>trimmed if they included same</w:t>
      </w:r>
      <w:r w:rsidRPr="004104E7">
        <w:noBreakHyphen/>
        <w:t>day chemotherapy, same</w:t>
      </w:r>
      <w:r w:rsidRPr="004104E7">
        <w:noBreakHyphen/>
        <w:t>day haemodialysis and the following care types: newborn (unqualified days), hospital boarder</w:t>
      </w:r>
      <w:r>
        <w:t>,</w:t>
      </w:r>
      <w:r w:rsidRPr="004104E7">
        <w:t xml:space="preserve"> posthumous organ procurement.</w:t>
      </w:r>
    </w:p>
    <w:p w14:paraId="23CCD61D" w14:textId="0C8D0939" w:rsidR="00D33976" w:rsidRPr="004104E7" w:rsidRDefault="00D33976" w:rsidP="00AB62C3">
      <w:pPr>
        <w:pStyle w:val="ListBullet"/>
      </w:pPr>
      <w:r w:rsidRPr="004104E7">
        <w:rPr>
          <w:b/>
          <w:bCs/>
        </w:rPr>
        <w:lastRenderedPageBreak/>
        <w:t>they were outliers</w:t>
      </w:r>
      <w:r w:rsidRPr="00E43D18">
        <w:t>.</w:t>
      </w:r>
      <w:r w:rsidRPr="004104E7">
        <w:t xml:space="preserve"> Episodes were trimmed if they were considered outliers under IHACPA’s risk</w:t>
      </w:r>
      <w:r>
        <w:noBreakHyphen/>
      </w:r>
      <w:r w:rsidRPr="004104E7">
        <w:t>adjustment methodology. These included long</w:t>
      </w:r>
      <w:r w:rsidRPr="004104E7">
        <w:noBreakHyphen/>
        <w:t>stay patients (patients with a length of stay greater than 200</w:t>
      </w:r>
      <w:r>
        <w:t> </w:t>
      </w:r>
      <w:r w:rsidRPr="004104E7">
        <w:t xml:space="preserve">days), patients </w:t>
      </w:r>
      <w:r>
        <w:t xml:space="preserve">aged </w:t>
      </w:r>
      <w:r w:rsidRPr="004104E7">
        <w:t xml:space="preserve">over 95 years and episodes where the patient died </w:t>
      </w:r>
      <w:r w:rsidR="00F56591" w:rsidRPr="00F56591">
        <w:rPr>
          <w:rFonts w:ascii="Arial" w:hAnsi="Arial" w:cs="Arial"/>
          <w:szCs w:val="24"/>
        </w:rPr>
        <w:t>(IHPA 2018, p. 12)</w:t>
      </w:r>
      <w:r w:rsidRPr="004104E7">
        <w:t xml:space="preserve">. </w:t>
      </w:r>
    </w:p>
    <w:p w14:paraId="043EDD59" w14:textId="68ECAB60" w:rsidR="00D33976" w:rsidRPr="004104E7" w:rsidRDefault="00D33976" w:rsidP="00AB62C3">
      <w:pPr>
        <w:pStyle w:val="ListBullet"/>
        <w:rPr>
          <w:b/>
          <w:bCs/>
        </w:rPr>
      </w:pPr>
      <w:r w:rsidRPr="004104E7">
        <w:rPr>
          <w:b/>
          <w:bCs/>
        </w:rPr>
        <w:t>they came from hospitals with poor quality coding</w:t>
      </w:r>
      <w:r w:rsidRPr="00E43D18">
        <w:t>.</w:t>
      </w:r>
      <w:r w:rsidRPr="004104E7">
        <w:rPr>
          <w:b/>
          <w:bCs/>
        </w:rPr>
        <w:t xml:space="preserve"> </w:t>
      </w:r>
      <w:r w:rsidRPr="004104E7">
        <w:t>Episodes were trimmed if they occurred in hospitals with high data quality risks. These included if the hospital had fewer than 100</w:t>
      </w:r>
      <w:r>
        <w:t> </w:t>
      </w:r>
      <w:r w:rsidRPr="004104E7">
        <w:t>episodes annually, if less than 1% of episodes were flagged with a condition arising during hospital</w:t>
      </w:r>
      <w:r>
        <w:t>,</w:t>
      </w:r>
      <w:r w:rsidRPr="004104E7">
        <w:t xml:space="preserve"> or if more than 10% of their episodes could not report on the condition onset status </w:t>
      </w:r>
      <w:r w:rsidR="00F56591" w:rsidRPr="00F56591">
        <w:rPr>
          <w:rFonts w:ascii="Arial" w:hAnsi="Arial" w:cs="Arial"/>
          <w:szCs w:val="24"/>
        </w:rPr>
        <w:t>(IHPA 2018, pp. 11–12)</w:t>
      </w:r>
      <w:r w:rsidRPr="004104E7">
        <w:t>.</w:t>
      </w:r>
    </w:p>
    <w:p w14:paraId="7ABE4564" w14:textId="77777777" w:rsidR="00D33976" w:rsidRPr="004104E7" w:rsidRDefault="00D33976" w:rsidP="00AB62C3">
      <w:pPr>
        <w:pStyle w:val="Heading4"/>
      </w:pPr>
      <w:r w:rsidRPr="004104E7">
        <w:t xml:space="preserve">This study focuses on seven HAC categories </w:t>
      </w:r>
    </w:p>
    <w:p w14:paraId="70791805" w14:textId="77777777" w:rsidR="00D33976" w:rsidRDefault="00D33976" w:rsidP="00AB62C3">
      <w:pPr>
        <w:pStyle w:val="BodyText"/>
      </w:pPr>
      <w:r w:rsidRPr="004104E7">
        <w:t>As the NHDH does not contain a HAC identifier, we create</w:t>
      </w:r>
      <w:r>
        <w:t>d</w:t>
      </w:r>
      <w:r w:rsidRPr="004104E7">
        <w:t xml:space="preserve"> a method of identifying when HACs occurred in an episode. We did this by mapping hundreds of diagnosis codes</w:t>
      </w:r>
      <w:r w:rsidRPr="00A46F91">
        <w:rPr>
          <w:rStyle w:val="FootnoteReference"/>
        </w:rPr>
        <w:footnoteReference w:id="12"/>
      </w:r>
      <w:r w:rsidRPr="004104E7">
        <w:t xml:space="preserve"> to Condition Onset Flags (COFs) that indicated whether a condition arose during the hospital episode (as opposed to being pre</w:t>
      </w:r>
      <w:r>
        <w:noBreakHyphen/>
      </w:r>
      <w:r w:rsidRPr="004104E7">
        <w:t xml:space="preserve">existing or the reason for admission). Conditions that occurred during the hospital episode and met IHACPA’s criteria were flagged as HACs. </w:t>
      </w:r>
    </w:p>
    <w:p w14:paraId="709B5A0B" w14:textId="77777777" w:rsidR="00D33976" w:rsidRDefault="00D33976" w:rsidP="00AB62C3">
      <w:pPr>
        <w:pStyle w:val="BodyText"/>
      </w:pPr>
      <w:r w:rsidRPr="004104E7">
        <w:t xml:space="preserve">The HAC identification process is complex and data intensive, requiring unique diagnosis-to-COF mappings for each HAC and needing to reflect changing diagnosis codes that changed over time. To balance complexity with analytical power, we chose to focus on the </w:t>
      </w:r>
      <w:r>
        <w:t>seven</w:t>
      </w:r>
      <w:r w:rsidRPr="004104E7">
        <w:t xml:space="preserve"> most prev</w:t>
      </w:r>
      <w:r>
        <w:t>al</w:t>
      </w:r>
      <w:r w:rsidRPr="004104E7">
        <w:t>ent and expensive HACs</w:t>
      </w:r>
      <w:r>
        <w:t>,</w:t>
      </w:r>
      <w:r w:rsidRPr="004104E7">
        <w:t xml:space="preserve"> account</w:t>
      </w:r>
      <w:r>
        <w:t>ing</w:t>
      </w:r>
      <w:r w:rsidRPr="004104E7">
        <w:t xml:space="preserve"> for over 90% of all</w:t>
      </w:r>
      <w:r>
        <w:t xml:space="preserve"> HAC</w:t>
      </w:r>
      <w:r w:rsidRPr="004104E7">
        <w:t xml:space="preserve"> prevalence and costs (figure</w:t>
      </w:r>
      <w:r>
        <w:t> </w:t>
      </w:r>
      <w:r w:rsidRPr="004104E7">
        <w:t>B.1).</w:t>
      </w:r>
    </w:p>
    <w:p w14:paraId="5E39E57A" w14:textId="2274BC46" w:rsidR="00D33976" w:rsidRPr="004104E7" w:rsidRDefault="00D33976" w:rsidP="002A562A">
      <w:pPr>
        <w:pStyle w:val="FigureTableHeading"/>
      </w:pPr>
      <w:r w:rsidRPr="004104E7">
        <w:t>Figure B.</w:t>
      </w:r>
      <w:r w:rsidR="00CB39C0">
        <w:rPr>
          <w:noProof/>
        </w:rPr>
        <w:t>1</w:t>
      </w:r>
      <w:r w:rsidRPr="004104E7">
        <w:rPr>
          <w:noProof/>
        </w:rPr>
        <w:t xml:space="preserve"> </w:t>
      </w:r>
      <w:r w:rsidRPr="004104E7">
        <w:t>– In 2017</w:t>
      </w:r>
      <w:r w:rsidRPr="004104E7">
        <w:noBreakHyphen/>
        <w:t>18, the largest share of total costs came from seven complication categories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75"/>
        <w:gridCol w:w="4763"/>
      </w:tblGrid>
      <w:tr w:rsidR="002A562A" w:rsidRPr="00944E8B" w14:paraId="3D0DEFF4" w14:textId="77777777" w:rsidTr="002A562A">
        <w:trPr>
          <w:tblHeader/>
        </w:trPr>
        <w:tc>
          <w:tcPr>
            <w:tcW w:w="4867" w:type="dxa"/>
          </w:tcPr>
          <w:p w14:paraId="41E19B2B" w14:textId="3786428B" w:rsidR="002A562A" w:rsidRPr="00944E8B" w:rsidRDefault="002A562A" w:rsidP="002A562A">
            <w:pPr>
              <w:pStyle w:val="BodyText"/>
              <w:spacing w:after="0"/>
              <w:rPr>
                <w:b/>
                <w:bCs/>
                <w:noProof/>
              </w:rPr>
            </w:pPr>
            <w:r w:rsidRPr="00944E8B">
              <w:rPr>
                <w:b/>
                <w:bCs/>
              </w:rPr>
              <w:t>a. Prevalence by HAC group</w:t>
            </w:r>
          </w:p>
        </w:tc>
        <w:tc>
          <w:tcPr>
            <w:tcW w:w="4771" w:type="dxa"/>
          </w:tcPr>
          <w:p w14:paraId="070A9BF6" w14:textId="3A475ECD" w:rsidR="002A562A" w:rsidRPr="00944E8B" w:rsidRDefault="002A562A" w:rsidP="002A562A">
            <w:pPr>
              <w:pStyle w:val="BodyText"/>
              <w:spacing w:after="0"/>
              <w:rPr>
                <w:b/>
                <w:bCs/>
                <w:noProof/>
              </w:rPr>
            </w:pPr>
            <w:r w:rsidRPr="00944E8B">
              <w:rPr>
                <w:b/>
                <w:bCs/>
              </w:rPr>
              <w:t>b. Incremental cost by HAC group</w:t>
            </w:r>
          </w:p>
        </w:tc>
      </w:tr>
      <w:tr w:rsidR="00D33976" w:rsidRPr="004104E7" w14:paraId="0BF85AB5" w14:textId="77777777" w:rsidTr="002A562A">
        <w:trPr>
          <w:tblHeader/>
        </w:trPr>
        <w:tc>
          <w:tcPr>
            <w:tcW w:w="4867" w:type="dxa"/>
          </w:tcPr>
          <w:p w14:paraId="6E25745A" w14:textId="5CB9A23D" w:rsidR="00D33976" w:rsidRPr="004104E7" w:rsidRDefault="00B337F1" w:rsidP="00AB62C3">
            <w:pPr>
              <w:pStyle w:val="TableBody"/>
              <w:ind w:left="0"/>
              <w:jc w:val="both"/>
            </w:pPr>
            <w:r w:rsidRPr="00B337F1">
              <w:rPr>
                <w:noProof/>
              </w:rPr>
              <w:drawing>
                <wp:inline distT="0" distB="0" distL="0" distR="0" wp14:anchorId="6657D3AA" wp14:editId="2E593BBF">
                  <wp:extent cx="2989580" cy="2734310"/>
                  <wp:effectExtent l="0" t="0" r="0" b="0"/>
                  <wp:docPr id="485625885" name="Picture 4" descr="Figure B.1.a - This bar chart reports the percentage distribution of hospital-acquired complications (HACs) for the largest seven groups. These are: healthcare-associated infections (27%), cardiac complications (16%), surgical complications (14%), delirium (13%), respiratory complications (10%), endocrine complications (7%), medication complications (2%), and all other HAC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25885" name="Picture 4" descr="Figure B.1.a - This bar chart reports the percentage distribution of hospital-acquired complications (HACs) for the largest seven groups. These are: healthcare-associated infections (27%), cardiac complications (16%), surgical complications (14%), delirium (13%), respiratory complications (10%), endocrine complications (7%), medication complications (2%), and all other HACs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89580" cy="2734310"/>
                          </a:xfrm>
                          <a:prstGeom prst="rect">
                            <a:avLst/>
                          </a:prstGeom>
                          <a:noFill/>
                          <a:ln>
                            <a:noFill/>
                          </a:ln>
                        </pic:spPr>
                      </pic:pic>
                    </a:graphicData>
                  </a:graphic>
                </wp:inline>
              </w:drawing>
            </w:r>
          </w:p>
        </w:tc>
        <w:tc>
          <w:tcPr>
            <w:tcW w:w="4771" w:type="dxa"/>
          </w:tcPr>
          <w:p w14:paraId="2DED8447" w14:textId="76D7BE24" w:rsidR="00D33976" w:rsidRPr="004104E7" w:rsidRDefault="00BC49CD" w:rsidP="004D48DB">
            <w:pPr>
              <w:pStyle w:val="TableBody"/>
              <w:ind w:left="-113"/>
            </w:pPr>
            <w:r w:rsidRPr="00BC49CD">
              <w:rPr>
                <w:noProof/>
              </w:rPr>
              <w:drawing>
                <wp:inline distT="0" distB="0" distL="0" distR="0" wp14:anchorId="10846134" wp14:editId="5A6203B3">
                  <wp:extent cx="2989580" cy="2875280"/>
                  <wp:effectExtent l="0" t="0" r="0" b="0"/>
                  <wp:docPr id="263815520" name="Picture 6" descr="Figure B.1.b - This bar chart shows the incremental cost, as a percentage, of treating the same seven HAC groups. These are: healthcare-associated infections (8.6%), cardiac complications (11.2%), surgical complications (10.5%), delirium (9.7%), respiratory complications (15.8%), endocrine complications (7.3%), medication complications (8.1%). This chart also includes a horizontal line representing the average incremental cost across all HACs at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15520" name="Picture 6" descr="Figure B.1.b - This bar chart shows the incremental cost, as a percentage, of treating the same seven HAC groups. These are: healthcare-associated infections (8.6%), cardiac complications (11.2%), surgical complications (10.5%), delirium (9.7%), respiratory complications (15.8%), endocrine complications (7.3%), medication complications (8.1%). This chart also includes a horizontal line representing the average incremental cost across all HACs at 8.5%.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89580" cy="2875280"/>
                          </a:xfrm>
                          <a:prstGeom prst="rect">
                            <a:avLst/>
                          </a:prstGeom>
                          <a:noFill/>
                          <a:ln>
                            <a:noFill/>
                          </a:ln>
                        </pic:spPr>
                      </pic:pic>
                    </a:graphicData>
                  </a:graphic>
                </wp:inline>
              </w:drawing>
            </w:r>
          </w:p>
        </w:tc>
      </w:tr>
    </w:tbl>
    <w:p w14:paraId="51BC8D19" w14:textId="2F0B5A3B" w:rsidR="00D33976" w:rsidRPr="004104E7" w:rsidRDefault="00D33976" w:rsidP="00AB62C3">
      <w:pPr>
        <w:pStyle w:val="Source"/>
        <w:rPr>
          <w:lang w:val="fr-CA"/>
        </w:rPr>
      </w:pPr>
      <w:r w:rsidRPr="004104E7">
        <w:rPr>
          <w:lang w:val="fr-CA"/>
        </w:rPr>
        <w:t>Source:</w:t>
      </w:r>
      <w:r>
        <w:rPr>
          <w:lang w:val="fr-CA"/>
        </w:rPr>
        <w:t xml:space="preserve"> IHACPA</w:t>
      </w:r>
      <w:r w:rsidRPr="004104E7">
        <w:rPr>
          <w:lang w:val="fr-CA"/>
        </w:rPr>
        <w:t xml:space="preserve"> </w:t>
      </w:r>
      <w:r w:rsidR="004A5E70" w:rsidRPr="004A5E70">
        <w:rPr>
          <w:rFonts w:ascii="Arial" w:hAnsi="Arial" w:cs="Arial"/>
          <w:lang w:val="fr-CA"/>
        </w:rPr>
        <w:t>(2026)</w:t>
      </w:r>
      <w:r w:rsidRPr="00AB62C3">
        <w:rPr>
          <w:lang w:val="fr-CA"/>
        </w:rPr>
        <w:t xml:space="preserve">; IHPA </w:t>
      </w:r>
      <w:r w:rsidRPr="00AB62C3">
        <w:rPr>
          <w:rFonts w:ascii="Arial" w:hAnsi="Arial" w:cs="Arial"/>
          <w:lang w:val="fr-CA"/>
        </w:rPr>
        <w:t>(2017b, p. 2)</w:t>
      </w:r>
      <w:r w:rsidRPr="00AB62C3">
        <w:rPr>
          <w:lang w:val="fr-CA"/>
        </w:rPr>
        <w:t>.</w:t>
      </w:r>
    </w:p>
    <w:p w14:paraId="497DCC87" w14:textId="77777777" w:rsidR="00D33976" w:rsidRDefault="00D33976" w:rsidP="00AB62C3">
      <w:pPr>
        <w:pStyle w:val="Heading2-Appendix"/>
      </w:pPr>
      <w:bookmarkStart w:id="13" w:name="_Toc224153247"/>
      <w:r>
        <w:lastRenderedPageBreak/>
        <w:t>Methodology</w:t>
      </w:r>
      <w:bookmarkEnd w:id="13"/>
    </w:p>
    <w:p w14:paraId="7A1C25B7" w14:textId="77777777" w:rsidR="00D33976" w:rsidRPr="004104E7" w:rsidRDefault="00D33976" w:rsidP="00AB62C3">
      <w:pPr>
        <w:pStyle w:val="Heading3"/>
      </w:pPr>
      <w:r w:rsidRPr="004104E7">
        <w:t>Analytical approach: difference</w:t>
      </w:r>
      <w:r w:rsidRPr="004104E7">
        <w:noBreakHyphen/>
        <w:t>in</w:t>
      </w:r>
      <w:r w:rsidRPr="004104E7">
        <w:noBreakHyphen/>
        <w:t>differences methodology</w:t>
      </w:r>
    </w:p>
    <w:p w14:paraId="24DFD30C" w14:textId="77777777" w:rsidR="00D33976" w:rsidRPr="004104E7" w:rsidRDefault="00D33976" w:rsidP="00AB62C3">
      <w:pPr>
        <w:pStyle w:val="BodyText"/>
      </w:pPr>
      <w:r w:rsidRPr="004104E7">
        <w:t>We used a difference</w:t>
      </w:r>
      <w:r>
        <w:noBreakHyphen/>
      </w:r>
      <w:r w:rsidRPr="004104E7">
        <w:t>in</w:t>
      </w:r>
      <w:r>
        <w:noBreakHyphen/>
      </w:r>
      <w:r w:rsidRPr="004104E7">
        <w:t>differences (</w:t>
      </w:r>
      <w:proofErr w:type="spellStart"/>
      <w:r w:rsidRPr="004104E7">
        <w:t>DiD</w:t>
      </w:r>
      <w:proofErr w:type="spellEnd"/>
      <w:r w:rsidRPr="004104E7">
        <w:t>) framework to determine the effect of the funding</w:t>
      </w:r>
      <w:r>
        <w:t xml:space="preserve"> </w:t>
      </w:r>
      <w:r w:rsidRPr="004104E7">
        <w:t>adjustment, given the asymmetrical implementation serves as a natural experiment (box</w:t>
      </w:r>
      <w:r>
        <w:t> </w:t>
      </w:r>
      <w:r w:rsidRPr="004104E7">
        <w:t xml:space="preserve">B.1). </w:t>
      </w:r>
    </w:p>
    <w:p w14:paraId="39B026B0" w14:textId="77777777" w:rsidR="00D33976" w:rsidRPr="004104E7" w:rsidRDefault="00D33976" w:rsidP="00AB62C3">
      <w:pPr>
        <w:pStyle w:val="BodyText"/>
      </w:pPr>
      <w:r w:rsidRPr="004104E7">
        <w:t>Our pre</w:t>
      </w:r>
      <w:r>
        <w:t>-</w:t>
      </w:r>
      <w:r w:rsidRPr="004104E7">
        <w:t>policy period was July 2016 to June 2018. To avoid the confounding effects of the COVID</w:t>
      </w:r>
      <w:r>
        <w:t>-19</w:t>
      </w:r>
      <w:r w:rsidRPr="004104E7">
        <w:t xml:space="preserve"> pandemic, our post</w:t>
      </w:r>
      <w:r>
        <w:t>-</w:t>
      </w:r>
      <w:r w:rsidRPr="004104E7">
        <w:t xml:space="preserve">policy period was limited to July 2018 to February 2020. </w:t>
      </w:r>
    </w:p>
    <w:p w14:paraId="35C8F1AC" w14:textId="77777777" w:rsidR="00D33976" w:rsidRDefault="00D33976" w:rsidP="00AB62C3">
      <w:pPr>
        <w:pStyle w:val="BodyText"/>
      </w:pPr>
      <w:r w:rsidRPr="004104E7">
        <w:t>As the funding adjustment was implemented nationally, identif</w:t>
      </w:r>
      <w:r>
        <w:t>ying</w:t>
      </w:r>
      <w:r w:rsidRPr="004104E7">
        <w:t xml:space="preserve"> an appropriate control group (where the policy was absent) to compare against a treat</w:t>
      </w:r>
      <w:r>
        <w:t>ment</w:t>
      </w:r>
      <w:r w:rsidRPr="004104E7">
        <w:t xml:space="preserve"> group (where the funding adjustment was applied)</w:t>
      </w:r>
      <w:r>
        <w:t xml:space="preserve"> was a challenge</w:t>
      </w:r>
      <w:r w:rsidRPr="004104E7">
        <w:t xml:space="preserve">. The variation in whether states and territories decided to pass down the funding adjustment to their local hospital networks (LHNs) (or absorb the impact within their health budgets) was used to divide states and territories into these groups. </w:t>
      </w:r>
    </w:p>
    <w:p w14:paraId="78EC351D" w14:textId="2C38AFEF" w:rsidR="00D33976" w:rsidRDefault="00D33976" w:rsidP="00AB62C3">
      <w:pPr>
        <w:pStyle w:val="BodyText"/>
        <w:rPr>
          <w:rFonts w:ascii="Arial" w:hAnsi="Arial" w:cs="Arial"/>
          <w:color w:val="000000"/>
        </w:rPr>
      </w:pPr>
      <w:r w:rsidRPr="004104E7">
        <w:t>The treat</w:t>
      </w:r>
      <w:r>
        <w:t>ment</w:t>
      </w:r>
      <w:r w:rsidRPr="004104E7">
        <w:t xml:space="preserve"> group contained the </w:t>
      </w:r>
      <w:r w:rsidR="00F908C8">
        <w:t>three</w:t>
      </w:r>
      <w:r w:rsidRPr="004104E7">
        <w:t xml:space="preserve"> states and territories that applied the funding adjustment before February 2020 and were included in the NHDH. The control group contained the two states and territories that did not pass on the funding adjustment before February 2020 and were included in the NHDH.</w:t>
      </w:r>
      <w:r>
        <w:t xml:space="preserve"> </w:t>
      </w:r>
      <w:r w:rsidRPr="00AF289D">
        <w:rPr>
          <w:rFonts w:ascii="Arial" w:hAnsi="Arial" w:cs="Arial"/>
          <w:color w:val="000000"/>
        </w:rPr>
        <w:t xml:space="preserve">One jurisdiction was excluded because it implemented a </w:t>
      </w:r>
      <w:r w:rsidR="00B147BF">
        <w:rPr>
          <w:rFonts w:ascii="Arial" w:hAnsi="Arial" w:cs="Arial"/>
          <w:color w:val="000000"/>
        </w:rPr>
        <w:t>HAC adjustment</w:t>
      </w:r>
      <w:r w:rsidRPr="00AF289D">
        <w:rPr>
          <w:rFonts w:ascii="Arial" w:hAnsi="Arial" w:cs="Arial"/>
          <w:color w:val="000000"/>
        </w:rPr>
        <w:t xml:space="preserve"> policy</w:t>
      </w:r>
      <w:r w:rsidR="00B147BF">
        <w:rPr>
          <w:rFonts w:ascii="Arial" w:hAnsi="Arial" w:cs="Arial"/>
          <w:color w:val="000000"/>
        </w:rPr>
        <w:t xml:space="preserve"> with different features</w:t>
      </w:r>
      <w:r w:rsidRPr="00AF289D">
        <w:rPr>
          <w:rFonts w:ascii="Arial" w:hAnsi="Arial" w:cs="Arial"/>
          <w:color w:val="000000"/>
        </w:rPr>
        <w:t xml:space="preserve"> during the pre</w:t>
      </w:r>
      <w:r>
        <w:rPr>
          <w:rFonts w:ascii="Arial" w:hAnsi="Arial" w:cs="Arial"/>
          <w:color w:val="000000"/>
        </w:rPr>
        <w:noBreakHyphen/>
      </w:r>
      <w:r w:rsidRPr="00AF289D">
        <w:rPr>
          <w:rFonts w:ascii="Arial" w:hAnsi="Arial" w:cs="Arial"/>
          <w:color w:val="000000"/>
        </w:rPr>
        <w:t>policy period.</w:t>
      </w:r>
    </w:p>
    <w:p w14:paraId="18BE8D61" w14:textId="40CF2BE2" w:rsidR="00D33976" w:rsidRPr="00F82BD9" w:rsidRDefault="00D33976" w:rsidP="00AB62C3">
      <w:pPr>
        <w:pStyle w:val="NoSpacing"/>
      </w:pPr>
    </w:p>
    <w:tbl>
      <w:tblPr>
        <w:tblStyle w:val="Boxtable"/>
        <w:tblW w:w="5000" w:type="pct"/>
        <w:tblLook w:val="04A0" w:firstRow="1" w:lastRow="0" w:firstColumn="1" w:lastColumn="0" w:noHBand="0" w:noVBand="1"/>
      </w:tblPr>
      <w:tblGrid>
        <w:gridCol w:w="9638"/>
      </w:tblGrid>
      <w:tr w:rsidR="00D33976" w14:paraId="4CA24B0D" w14:textId="77777777" w:rsidTr="00AB62C3">
        <w:trPr>
          <w:tblHeader/>
        </w:trPr>
        <w:tc>
          <w:tcPr>
            <w:tcW w:w="9638" w:type="dxa"/>
            <w:shd w:val="clear" w:color="auto" w:fill="EBEBEB"/>
            <w:tcMar>
              <w:top w:w="170" w:type="dxa"/>
              <w:left w:w="170" w:type="dxa"/>
              <w:bottom w:w="113" w:type="dxa"/>
              <w:right w:w="170" w:type="dxa"/>
            </w:tcMar>
            <w:hideMark/>
          </w:tcPr>
          <w:p w14:paraId="61426ED2" w14:textId="054B6DEC" w:rsidR="00D33976" w:rsidRDefault="00D33976" w:rsidP="00AB62C3">
            <w:pPr>
              <w:pStyle w:val="BoxHeading1"/>
            </w:pPr>
            <w:r>
              <w:t>Box B.</w:t>
            </w:r>
            <w:r w:rsidR="00CB39C0">
              <w:rPr>
                <w:noProof/>
              </w:rPr>
              <w:t>1</w:t>
            </w:r>
            <w:r>
              <w:t xml:space="preserve"> – </w:t>
            </w:r>
            <w:r w:rsidRPr="004104E7">
              <w:t>How does a difference</w:t>
            </w:r>
            <w:r>
              <w:t>-</w:t>
            </w:r>
            <w:r w:rsidRPr="004104E7">
              <w:t>in</w:t>
            </w:r>
            <w:r>
              <w:t>-</w:t>
            </w:r>
            <w:r w:rsidRPr="004104E7">
              <w:t>differences method identify a causal effect?</w:t>
            </w:r>
          </w:p>
        </w:tc>
      </w:tr>
      <w:tr w:rsidR="00D33976" w14:paraId="2AF74808" w14:textId="77777777" w:rsidTr="00AB62C3">
        <w:tc>
          <w:tcPr>
            <w:tcW w:w="9638" w:type="dxa"/>
            <w:shd w:val="clear" w:color="auto" w:fill="EBEBEB"/>
            <w:tcMar>
              <w:top w:w="28" w:type="dxa"/>
              <w:left w:w="170" w:type="dxa"/>
              <w:bottom w:w="170" w:type="dxa"/>
              <w:right w:w="170" w:type="dxa"/>
            </w:tcMar>
            <w:hideMark/>
          </w:tcPr>
          <w:p w14:paraId="0926069F" w14:textId="77777777" w:rsidR="00D33976" w:rsidRPr="004104E7" w:rsidRDefault="00D33976" w:rsidP="00AB62C3">
            <w:pPr>
              <w:pStyle w:val="BodyText"/>
            </w:pPr>
            <w:r w:rsidRPr="004104E7">
              <w:t>Difference</w:t>
            </w:r>
            <w:r w:rsidRPr="004104E7">
              <w:noBreakHyphen/>
              <w:t>in</w:t>
            </w:r>
            <w:r w:rsidRPr="004104E7">
              <w:noBreakHyphen/>
              <w:t>differences is a statistical technique that makes use of longitudinal data to estimate the effect of a specific intervention or treatment (such as a passage of law or enactment of policy). The technique compares changes in the variable of interest among a population that is subject to the treatment (treat</w:t>
            </w:r>
            <w:r>
              <w:t>ment</w:t>
            </w:r>
            <w:r w:rsidRPr="004104E7">
              <w:t xml:space="preserve"> group) and a population that is not (control group), controlling for other independent characteristics and factors.</w:t>
            </w:r>
          </w:p>
          <w:p w14:paraId="12D8AD86" w14:textId="77777777" w:rsidR="00D33976" w:rsidRPr="006E5976" w:rsidRDefault="00D33976" w:rsidP="00AB62C3">
            <w:pPr>
              <w:pStyle w:val="BodyText"/>
              <w:rPr>
                <w:spacing w:val="-4"/>
              </w:rPr>
            </w:pPr>
            <w:r w:rsidRPr="006E5976">
              <w:rPr>
                <w:spacing w:val="-4"/>
              </w:rPr>
              <w:t>To estimate a causal effect using a difference-in-differences method, several assumptions must be satisfied. Most notably, this approach requires that in the absence of the treatment, the difference between the treatment and control group is constant over time (parallel trends assumption). However, additional control variables can be added to the specification to account for time</w:t>
            </w:r>
            <w:r w:rsidRPr="006E5976">
              <w:rPr>
                <w:spacing w:val="-4"/>
              </w:rPr>
              <w:noBreakHyphen/>
              <w:t>varying factors that might affect the difference between the two groups over time. Other assumptions are that the treatment is unrelated to outcomes before the treatment, and that the composition of treatment and control groups is stable over time.</w:t>
            </w:r>
          </w:p>
          <w:p w14:paraId="1D85A428" w14:textId="1BBF9CBF" w:rsidR="00D33976" w:rsidRDefault="00D33976" w:rsidP="00AB62C3">
            <w:pPr>
              <w:pStyle w:val="Source"/>
            </w:pPr>
            <w:r>
              <w:t xml:space="preserve">Source: Angrist and Pischke </w:t>
            </w:r>
            <w:r w:rsidRPr="00E22628">
              <w:rPr>
                <w:rFonts w:ascii="Arial" w:hAnsi="Arial" w:cs="Arial"/>
              </w:rPr>
              <w:t>(2009, pp. 169–182)</w:t>
            </w:r>
            <w:r w:rsidR="006127C5">
              <w:rPr>
                <w:rFonts w:ascii="Arial" w:hAnsi="Arial" w:cs="Arial"/>
              </w:rPr>
              <w:t>,</w:t>
            </w:r>
            <w:r>
              <w:t xml:space="preserve"> PC </w:t>
            </w:r>
            <w:r w:rsidRPr="00E22628">
              <w:rPr>
                <w:rFonts w:ascii="Arial" w:hAnsi="Arial" w:cs="Arial"/>
              </w:rPr>
              <w:t>(2020, p. 338)</w:t>
            </w:r>
            <w:r>
              <w:t>.</w:t>
            </w:r>
          </w:p>
        </w:tc>
      </w:tr>
      <w:tr w:rsidR="00D33976" w14:paraId="0795297F" w14:textId="77777777" w:rsidTr="00AB62C3">
        <w:trPr>
          <w:hidden/>
        </w:trPr>
        <w:tc>
          <w:tcPr>
            <w:tcW w:w="9638" w:type="dxa"/>
            <w:shd w:val="clear" w:color="auto" w:fill="auto"/>
            <w:tcMar>
              <w:top w:w="0" w:type="dxa"/>
              <w:left w:w="170" w:type="dxa"/>
              <w:bottom w:w="0" w:type="dxa"/>
              <w:right w:w="170" w:type="dxa"/>
            </w:tcMar>
          </w:tcPr>
          <w:p w14:paraId="6B9328E7" w14:textId="6D6B313A" w:rsidR="00D33976" w:rsidRPr="00465191" w:rsidRDefault="00D33976" w:rsidP="00AB62C3">
            <w:pPr>
              <w:pStyle w:val="BodyText"/>
              <w:spacing w:before="0" w:after="0" w:line="80" w:lineRule="atLeast"/>
              <w:rPr>
                <w:smallCaps/>
                <w:vanish/>
              </w:rPr>
            </w:pPr>
          </w:p>
        </w:tc>
      </w:tr>
    </w:tbl>
    <w:p w14:paraId="00659F1E" w14:textId="77777777" w:rsidR="00D33976" w:rsidRPr="004104E7" w:rsidRDefault="00D33976" w:rsidP="00AB62C3">
      <w:pPr>
        <w:pStyle w:val="Heading3-noTOC"/>
      </w:pPr>
      <w:proofErr w:type="spellStart"/>
      <w:r w:rsidRPr="004104E7">
        <w:t>DiD</w:t>
      </w:r>
      <w:proofErr w:type="spellEnd"/>
      <w:r w:rsidRPr="004104E7">
        <w:t xml:space="preserve"> model specifications</w:t>
      </w:r>
    </w:p>
    <w:p w14:paraId="5595FB4B" w14:textId="35114F35" w:rsidR="00D33976" w:rsidRPr="002A562A" w:rsidRDefault="00D33976" w:rsidP="00AB62C3">
      <w:pPr>
        <w:pStyle w:val="BodyText"/>
        <w:rPr>
          <w:spacing w:val="-2"/>
          <w:lang w:val="en-US"/>
        </w:rPr>
      </w:pPr>
      <w:r w:rsidRPr="002A562A">
        <w:rPr>
          <w:spacing w:val="-2"/>
        </w:rPr>
        <w:t xml:space="preserve">The latent dependent variable in this analysis was the probability of a HAC occurring in admitted acute episode </w:t>
      </w:r>
      <m:oMath>
        <m:r>
          <w:rPr>
            <w:rFonts w:ascii="Cambria Math" w:hAnsi="Cambria Math"/>
            <w:spacing w:val="-2"/>
          </w:rPr>
          <m:t>i</m:t>
        </m:r>
      </m:oMath>
      <w:r w:rsidRPr="002A562A">
        <w:rPr>
          <w:rFonts w:eastAsiaTheme="minorEastAsia"/>
          <w:spacing w:val="-2"/>
        </w:rPr>
        <w:t xml:space="preserve"> at hospital</w:t>
      </w:r>
      <w:r w:rsidRPr="002A562A">
        <w:rPr>
          <w:spacing w:val="-2"/>
        </w:rPr>
        <w:t xml:space="preserve"> </w:t>
      </w:r>
      <m:oMath>
        <m:r>
          <w:rPr>
            <w:rFonts w:ascii="Cambria Math" w:hAnsi="Cambria Math"/>
            <w:spacing w:val="-2"/>
          </w:rPr>
          <m:t>j</m:t>
        </m:r>
      </m:oMath>
      <w:r w:rsidRPr="002A562A">
        <w:rPr>
          <w:rFonts w:eastAsiaTheme="minorEastAsia"/>
          <w:spacing w:val="-2"/>
        </w:rPr>
        <w:t xml:space="preserve"> in month</w:t>
      </w:r>
      <w:r w:rsidRPr="002A562A">
        <w:rPr>
          <w:rFonts w:eastAsiaTheme="minorEastAsia"/>
          <w:spacing w:val="-2"/>
        </w:rPr>
        <w:noBreakHyphen/>
        <w:t xml:space="preserve">year </w:t>
      </w:r>
      <m:oMath>
        <m:r>
          <w:rPr>
            <w:rFonts w:ascii="Cambria Math" w:eastAsiaTheme="minorEastAsia" w:hAnsi="Cambria Math"/>
            <w:spacing w:val="-2"/>
          </w:rPr>
          <m:t>t</m:t>
        </m:r>
      </m:oMath>
      <w:r w:rsidRPr="002A562A">
        <w:rPr>
          <w:spacing w:val="-2"/>
        </w:rPr>
        <w:t>. First, a binary variable was created where each observation was assigned a value of 1 if at least one HAC occurred, otherwise it was assigned a value of 0. Then a logit regression was used to estimate the DiD model.</w:t>
      </w:r>
      <w:r w:rsidRPr="002A562A">
        <w:rPr>
          <w:spacing w:val="-2"/>
          <w:lang w:val="en-US"/>
        </w:rPr>
        <w:t xml:space="preserve"> Logit regressions are a form of </w:t>
      </w:r>
      <w:proofErr w:type="spellStart"/>
      <w:r w:rsidRPr="002A562A">
        <w:rPr>
          <w:spacing w:val="-2"/>
          <w:lang w:val="en-US"/>
        </w:rPr>
        <w:t>generalised</w:t>
      </w:r>
      <w:proofErr w:type="spellEnd"/>
      <w:r w:rsidRPr="002A562A">
        <w:rPr>
          <w:spacing w:val="-2"/>
          <w:lang w:val="en-US"/>
        </w:rPr>
        <w:t xml:space="preserve"> linear model used to predict the probability of a binary outcome. This approach was selected to address the possibility of dependence between multiple HACs. That is, the presence of one HAC in an episode may increase the likelihood of subsequent </w:t>
      </w:r>
      <w:r w:rsidRPr="002A562A">
        <w:rPr>
          <w:spacing w:val="-2"/>
          <w:lang w:val="en-US"/>
        </w:rPr>
        <w:lastRenderedPageBreak/>
        <w:t xml:space="preserve">HACs but the structure of the data does not allow analysts to identify which HAC occurred first </w:t>
      </w:r>
      <w:r w:rsidR="00F56591" w:rsidRPr="00F56591">
        <w:rPr>
          <w:rFonts w:ascii="Arial" w:hAnsi="Arial" w:cs="Arial"/>
          <w:szCs w:val="24"/>
        </w:rPr>
        <w:t>(IHPA 2018, p. 17)</w:t>
      </w:r>
      <w:r w:rsidRPr="002A562A">
        <w:rPr>
          <w:spacing w:val="-2"/>
          <w:lang w:val="en-US"/>
        </w:rPr>
        <w:t>. Therefore, we only estimate the probability of one (or several) HACs occurring.</w:t>
      </w:r>
    </w:p>
    <w:p w14:paraId="75D64B54" w14:textId="77777777" w:rsidR="00D33976" w:rsidRPr="004104E7" w:rsidRDefault="00D33976" w:rsidP="00AB62C3">
      <w:pPr>
        <w:pStyle w:val="BodyText"/>
      </w:pPr>
      <w:r w:rsidRPr="004104E7">
        <w:t>We estimated the effect of the funding adjustment on the probability of a HAC occurring, taking into consideration patient risk factors and applying both hospital and month fixed effects (table</w:t>
      </w:r>
      <w:r>
        <w:t> </w:t>
      </w:r>
      <w:r w:rsidRPr="004104E7">
        <w:t>B.</w:t>
      </w:r>
      <w:r>
        <w:t>1</w:t>
      </w:r>
      <w:r w:rsidRPr="004104E7">
        <w:t>). The standard errors were clustered by hospital and month</w:t>
      </w:r>
      <w:r>
        <w:t xml:space="preserve"> </w:t>
      </w:r>
      <w:r w:rsidRPr="004104E7">
        <w:t>year to address within cluster correlation.</w:t>
      </w:r>
      <w:r w:rsidRPr="00A46F91">
        <w:rPr>
          <w:rStyle w:val="FootnoteReference"/>
        </w:rPr>
        <w:footnoteReference w:id="13"/>
      </w:r>
    </w:p>
    <w:p w14:paraId="3914D100" w14:textId="77777777" w:rsidR="00D33976" w:rsidRDefault="00D33976" w:rsidP="00AB62C3">
      <w:pPr>
        <w:pStyle w:val="BodyText"/>
      </w:pPr>
      <w:r w:rsidRPr="004104E7">
        <w:t>Equation (1) is the primary model.</w:t>
      </w:r>
    </w:p>
    <w:p w14:paraId="3AFE2EF0" w14:textId="01B316FB" w:rsidR="00FC6868" w:rsidRPr="0098389F" w:rsidRDefault="00FC6868" w:rsidP="00AB62C3">
      <w:pPr>
        <w:pStyle w:val="BodyText"/>
        <w:rPr>
          <w:sz w:val="18"/>
          <w:szCs w:val="18"/>
        </w:rPr>
      </w:pPr>
      <m:oMathPara>
        <m:oMath>
          <m:r>
            <w:rPr>
              <w:rFonts w:ascii="Cambria Math" w:hAnsi="Cambria Math"/>
              <w:sz w:val="18"/>
              <w:szCs w:val="18"/>
            </w:rPr>
            <m:t xml:space="preserve">Log Odds </m:t>
          </m:r>
          <m:d>
            <m:dPr>
              <m:ctrlPr>
                <w:rPr>
                  <w:rFonts w:ascii="Cambria Math" w:hAnsi="Cambria Math"/>
                  <w:i/>
                  <w:iCs/>
                  <w:sz w:val="18"/>
                  <w:szCs w:val="18"/>
                </w:rPr>
              </m:ctrlPr>
            </m:dPr>
            <m:e>
              <m:r>
                <w:rPr>
                  <w:rFonts w:ascii="Cambria Math" w:hAnsi="Cambria Math"/>
                  <w:sz w:val="18"/>
                  <w:szCs w:val="18"/>
                </w:rPr>
                <m:t>HA</m:t>
              </m:r>
              <m:sSub>
                <m:sSubPr>
                  <m:ctrlPr>
                    <w:rPr>
                      <w:rFonts w:ascii="Cambria Math" w:hAnsi="Cambria Math"/>
                      <w:i/>
                      <w:iCs/>
                      <w:sz w:val="18"/>
                      <w:szCs w:val="18"/>
                    </w:rPr>
                  </m:ctrlPr>
                </m:sSubPr>
                <m:e>
                  <m:r>
                    <w:rPr>
                      <w:rFonts w:ascii="Cambria Math" w:hAnsi="Cambria Math"/>
                      <w:sz w:val="18"/>
                      <w:szCs w:val="18"/>
                    </w:rPr>
                    <m:t>C</m:t>
                  </m:r>
                </m:e>
                <m:sub>
                  <m:r>
                    <w:rPr>
                      <w:rFonts w:ascii="Cambria Math" w:hAnsi="Cambria Math"/>
                      <w:sz w:val="18"/>
                      <w:szCs w:val="18"/>
                    </w:rPr>
                    <m:t>ijt</m:t>
                  </m:r>
                </m:sub>
              </m:sSub>
              <m:r>
                <w:rPr>
                  <w:rFonts w:ascii="Cambria Math" w:hAnsi="Cambria Math"/>
                  <w:sz w:val="18"/>
                  <w:szCs w:val="18"/>
                </w:rPr>
                <m:t>=1</m:t>
              </m:r>
            </m:e>
          </m:d>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β</m:t>
              </m:r>
            </m:e>
            <m:sub>
              <m:r>
                <w:rPr>
                  <w:rFonts w:ascii="Cambria Math" w:hAnsi="Cambria Math"/>
                  <w:sz w:val="18"/>
                  <w:szCs w:val="18"/>
                </w:rPr>
                <m:t>0</m:t>
              </m:r>
            </m:sub>
          </m:sSub>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β</m:t>
              </m:r>
            </m:e>
            <m:sub>
              <m:r>
                <w:rPr>
                  <w:rFonts w:ascii="Cambria Math" w:hAnsi="Cambria Math"/>
                  <w:sz w:val="18"/>
                  <w:szCs w:val="18"/>
                </w:rPr>
                <m:t>1</m:t>
              </m:r>
            </m:sub>
          </m:sSub>
          <m:r>
            <w:rPr>
              <w:rFonts w:ascii="Cambria Math" w:hAnsi="Cambria Math"/>
              <w:sz w:val="18"/>
              <w:szCs w:val="18"/>
            </w:rPr>
            <m:t>treate</m:t>
          </m:r>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ij</m:t>
              </m:r>
            </m:sub>
          </m:sSub>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β</m:t>
              </m:r>
            </m:e>
            <m:sub>
              <m:r>
                <w:rPr>
                  <w:rFonts w:ascii="Cambria Math" w:hAnsi="Cambria Math"/>
                  <w:sz w:val="18"/>
                  <w:szCs w:val="18"/>
                </w:rPr>
                <m:t>2</m:t>
              </m:r>
            </m:sub>
          </m:sSub>
          <m:r>
            <w:rPr>
              <w:rFonts w:ascii="Cambria Math" w:hAnsi="Cambria Math"/>
              <w:sz w:val="18"/>
              <w:szCs w:val="18"/>
            </w:rPr>
            <m:t>pos</m:t>
          </m:r>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β</m:t>
              </m:r>
            </m:e>
            <m:sub>
              <m:r>
                <w:rPr>
                  <w:rFonts w:ascii="Cambria Math" w:hAnsi="Cambria Math"/>
                  <w:sz w:val="18"/>
                  <w:szCs w:val="18"/>
                </w:rPr>
                <m:t>3</m:t>
              </m:r>
            </m:sub>
          </m:sSub>
          <m:d>
            <m:dPr>
              <m:ctrlPr>
                <w:rPr>
                  <w:rFonts w:ascii="Cambria Math" w:hAnsi="Cambria Math"/>
                  <w:i/>
                  <w:iCs/>
                  <w:sz w:val="18"/>
                  <w:szCs w:val="18"/>
                </w:rPr>
              </m:ctrlPr>
            </m:dPr>
            <m:e>
              <m:r>
                <w:rPr>
                  <w:rFonts w:ascii="Cambria Math" w:hAnsi="Cambria Math"/>
                  <w:sz w:val="18"/>
                  <w:szCs w:val="18"/>
                </w:rPr>
                <m:t>treate</m:t>
              </m:r>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ij</m:t>
                  </m:r>
                </m:sub>
              </m:sSub>
              <m:r>
                <w:rPr>
                  <w:rFonts w:ascii="Cambria Math" w:hAnsi="Cambria Math"/>
                  <w:sz w:val="18"/>
                  <w:szCs w:val="18"/>
                </w:rPr>
                <m:t>×pos</m:t>
              </m:r>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t</m:t>
                  </m:r>
                </m:sub>
              </m:sSub>
            </m:e>
          </m:d>
          <m:r>
            <w:rPr>
              <w:rFonts w:ascii="Cambria Math" w:hAnsi="Cambria Math"/>
              <w:sz w:val="18"/>
              <w:szCs w:val="18"/>
            </w:rPr>
            <m:t xml:space="preserve">+ </m:t>
          </m:r>
          <m:nary>
            <m:naryPr>
              <m:chr m:val="∑"/>
              <m:limLoc m:val="undOvr"/>
              <m:ctrlPr>
                <w:rPr>
                  <w:rFonts w:ascii="Cambria Math" w:hAnsi="Cambria Math"/>
                  <w:i/>
                  <w:iCs/>
                  <w:sz w:val="18"/>
                  <w:szCs w:val="18"/>
                </w:rPr>
              </m:ctrlPr>
            </m:naryPr>
            <m:sub>
              <m:r>
                <w:rPr>
                  <w:rFonts w:ascii="Cambria Math" w:hAnsi="Cambria Math"/>
                  <w:sz w:val="18"/>
                  <w:szCs w:val="18"/>
                </w:rPr>
                <m:t>n=1</m:t>
              </m:r>
            </m:sub>
            <m:sup>
              <m:r>
                <w:rPr>
                  <w:rFonts w:ascii="Cambria Math" w:hAnsi="Cambria Math"/>
                  <w:sz w:val="18"/>
                  <w:szCs w:val="18"/>
                </w:rPr>
                <m:t>k</m:t>
              </m:r>
            </m:sup>
            <m:e>
              <m:sSub>
                <m:sSubPr>
                  <m:ctrlPr>
                    <w:rPr>
                      <w:rFonts w:ascii="Cambria Math" w:hAnsi="Cambria Math"/>
                      <w:i/>
                      <w:iCs/>
                      <w:sz w:val="18"/>
                      <w:szCs w:val="18"/>
                    </w:rPr>
                  </m:ctrlPr>
                </m:sSubPr>
                <m:e>
                  <m:r>
                    <w:rPr>
                      <w:rFonts w:ascii="Cambria Math" w:hAnsi="Cambria Math"/>
                      <w:sz w:val="18"/>
                      <w:szCs w:val="18"/>
                    </w:rPr>
                    <m:t>θ</m:t>
                  </m:r>
                </m:e>
                <m:sub>
                  <m:r>
                    <w:rPr>
                      <w:rFonts w:ascii="Cambria Math" w:hAnsi="Cambria Math"/>
                      <w:sz w:val="18"/>
                      <w:szCs w:val="18"/>
                    </w:rPr>
                    <m:t>k</m:t>
                  </m:r>
                </m:sub>
              </m:sSub>
            </m:e>
          </m:nary>
          <m:sSub>
            <m:sSubPr>
              <m:ctrlPr>
                <w:rPr>
                  <w:rFonts w:ascii="Cambria Math" w:hAnsi="Cambria Math"/>
                  <w:i/>
                  <w:iCs/>
                  <w:sz w:val="18"/>
                  <w:szCs w:val="18"/>
                </w:rPr>
              </m:ctrlPr>
            </m:sSubPr>
            <m:e>
              <m:r>
                <w:rPr>
                  <w:rFonts w:ascii="Cambria Math" w:hAnsi="Cambria Math"/>
                  <w:sz w:val="18"/>
                  <w:szCs w:val="18"/>
                </w:rPr>
                <m:t>X</m:t>
              </m:r>
            </m:e>
            <m:sub>
              <m:r>
                <w:rPr>
                  <w:rFonts w:ascii="Cambria Math" w:hAnsi="Cambria Math"/>
                  <w:sz w:val="18"/>
                  <w:szCs w:val="18"/>
                </w:rPr>
                <m:t>ijt</m:t>
              </m:r>
            </m:sub>
          </m:sSub>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γ</m:t>
              </m:r>
            </m:e>
            <m:sub>
              <m:r>
                <w:rPr>
                  <w:rFonts w:ascii="Cambria Math" w:hAnsi="Cambria Math"/>
                  <w:sz w:val="18"/>
                  <w:szCs w:val="18"/>
                </w:rPr>
                <m:t>j</m:t>
              </m:r>
            </m:sub>
          </m:sSub>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λ</m:t>
              </m:r>
            </m:e>
            <m:sub>
              <m:r>
                <w:rPr>
                  <w:rFonts w:ascii="Cambria Math" w:hAnsi="Cambria Math"/>
                  <w:sz w:val="18"/>
                  <w:szCs w:val="18"/>
                </w:rPr>
                <m:t>t</m:t>
              </m:r>
            </m:sub>
          </m:sSub>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ε</m:t>
              </m:r>
            </m:e>
            <m:sub>
              <m:r>
                <w:rPr>
                  <w:rFonts w:ascii="Cambria Math" w:hAnsi="Cambria Math"/>
                  <w:sz w:val="18"/>
                  <w:szCs w:val="18"/>
                </w:rPr>
                <m:t>ijt</m:t>
              </m:r>
            </m:sub>
          </m:sSub>
          <m:r>
            <w:rPr>
              <w:rFonts w:ascii="Cambria Math" w:hAnsi="Cambria Math"/>
              <w:sz w:val="18"/>
              <w:szCs w:val="18"/>
            </w:rPr>
            <m:t xml:space="preserve"> </m:t>
          </m:r>
          <m:d>
            <m:dPr>
              <m:ctrlPr>
                <w:rPr>
                  <w:rFonts w:ascii="Cambria Math" w:hAnsi="Cambria Math"/>
                  <w:i/>
                  <w:iCs/>
                  <w:sz w:val="18"/>
                  <w:szCs w:val="18"/>
                </w:rPr>
              </m:ctrlPr>
            </m:dPr>
            <m:e>
              <m:r>
                <w:rPr>
                  <w:rFonts w:ascii="Cambria Math" w:hAnsi="Cambria Math"/>
                  <w:sz w:val="18"/>
                  <w:szCs w:val="18"/>
                </w:rPr>
                <m:t>1</m:t>
              </m:r>
            </m:e>
          </m:d>
        </m:oMath>
      </m:oMathPara>
    </w:p>
    <w:p w14:paraId="71ED233A" w14:textId="77777777" w:rsidR="00D33976" w:rsidRDefault="00D33976" w:rsidP="00AB62C3">
      <w:pPr>
        <w:pStyle w:val="BodyText"/>
      </w:pPr>
      <w:r w:rsidRPr="004104E7">
        <w:t xml:space="preserve">To estimate the effect of the funding adjustment on the probability of a specific HAC category occurring we replaced the dependent variable in equation (1) with the probability of HAC(a) occurring in admitted acute episode </w:t>
      </w:r>
      <m:oMath>
        <m:r>
          <w:rPr>
            <w:rFonts w:ascii="Cambria Math" w:hAnsi="Cambria Math"/>
          </w:rPr>
          <m:t>i</m:t>
        </m:r>
      </m:oMath>
      <w:r w:rsidRPr="004104E7">
        <w:rPr>
          <w:rFonts w:eastAsiaTheme="minorEastAsia"/>
        </w:rPr>
        <w:t xml:space="preserve"> at hospital</w:t>
      </w:r>
      <w:r w:rsidRPr="004104E7">
        <w:t xml:space="preserve"> </w:t>
      </w:r>
      <m:oMath>
        <m:r>
          <w:rPr>
            <w:rFonts w:ascii="Cambria Math" w:hAnsi="Cambria Math"/>
          </w:rPr>
          <m:t>j</m:t>
        </m:r>
      </m:oMath>
      <w:r w:rsidRPr="004104E7">
        <w:rPr>
          <w:rFonts w:eastAsiaTheme="minorEastAsia"/>
        </w:rPr>
        <w:t xml:space="preserve"> in month/year </w:t>
      </w:r>
      <m:oMath>
        <m:r>
          <w:rPr>
            <w:rFonts w:ascii="Cambria Math" w:eastAsiaTheme="minorEastAsia" w:hAnsi="Cambria Math"/>
          </w:rPr>
          <m:t>t</m:t>
        </m:r>
      </m:oMath>
      <w:r w:rsidRPr="004104E7">
        <w:t xml:space="preserve">, where </w:t>
      </w:r>
      <m:oMath>
        <m:d>
          <m:dPr>
            <m:ctrlPr>
              <w:rPr>
                <w:rFonts w:ascii="Cambria Math" w:hAnsi="Cambria Math"/>
                <w:i/>
              </w:rPr>
            </m:ctrlPr>
          </m:dPr>
          <m:e>
            <m:r>
              <w:rPr>
                <w:rFonts w:ascii="Cambria Math" w:hAnsi="Cambria Math"/>
              </w:rPr>
              <m:t>a</m:t>
            </m:r>
          </m:e>
        </m:d>
      </m:oMath>
      <w:r w:rsidRPr="004104E7">
        <w:rPr>
          <w:rFonts w:eastAsiaTheme="minorEastAsia"/>
        </w:rPr>
        <w:t xml:space="preserve"> </w:t>
      </w:r>
      <w:r w:rsidRPr="004104E7">
        <w:t xml:space="preserve">refers to a singular HAC category (equation (1.1)). </w:t>
      </w:r>
    </w:p>
    <w:p w14:paraId="35FC2B32" w14:textId="7F4F4052" w:rsidR="009A56F2" w:rsidRPr="009A56F2" w:rsidRDefault="009A56F2" w:rsidP="00AB62C3">
      <w:pPr>
        <w:pStyle w:val="BodyText"/>
        <w:rPr>
          <w:sz w:val="18"/>
          <w:szCs w:val="18"/>
        </w:rPr>
      </w:pPr>
      <m:oMathPara>
        <m:oMath>
          <m:r>
            <w:rPr>
              <w:rFonts w:ascii="Cambria Math" w:hAnsi="Cambria Math"/>
              <w:sz w:val="18"/>
              <w:szCs w:val="18"/>
            </w:rPr>
            <m:t>Log Odds</m:t>
          </m:r>
          <m:d>
            <m:dPr>
              <m:ctrlPr>
                <w:rPr>
                  <w:rFonts w:ascii="Cambria Math" w:hAnsi="Cambria Math"/>
                  <w:i/>
                  <w:iCs/>
                  <w:sz w:val="18"/>
                  <w:szCs w:val="18"/>
                </w:rPr>
              </m:ctrlPr>
            </m:dPr>
            <m:e>
              <m:r>
                <w:rPr>
                  <w:rFonts w:ascii="Cambria Math" w:hAnsi="Cambria Math"/>
                  <w:sz w:val="18"/>
                  <w:szCs w:val="18"/>
                </w:rPr>
                <m:t>HA</m:t>
              </m:r>
              <m:sSub>
                <m:sSubPr>
                  <m:ctrlPr>
                    <w:rPr>
                      <w:rFonts w:ascii="Cambria Math" w:hAnsi="Cambria Math"/>
                      <w:i/>
                      <w:iCs/>
                      <w:sz w:val="18"/>
                      <w:szCs w:val="18"/>
                    </w:rPr>
                  </m:ctrlPr>
                </m:sSubPr>
                <m:e>
                  <m:r>
                    <w:rPr>
                      <w:rFonts w:ascii="Cambria Math" w:hAnsi="Cambria Math"/>
                      <w:sz w:val="18"/>
                      <w:szCs w:val="18"/>
                    </w:rPr>
                    <m:t>C</m:t>
                  </m:r>
                  <m:d>
                    <m:dPr>
                      <m:ctrlPr>
                        <w:rPr>
                          <w:rFonts w:ascii="Cambria Math" w:hAnsi="Cambria Math"/>
                          <w:i/>
                          <w:iCs/>
                          <w:sz w:val="18"/>
                          <w:szCs w:val="18"/>
                        </w:rPr>
                      </m:ctrlPr>
                    </m:dPr>
                    <m:e>
                      <m:r>
                        <w:rPr>
                          <w:rFonts w:ascii="Cambria Math" w:hAnsi="Cambria Math"/>
                          <w:sz w:val="18"/>
                          <w:szCs w:val="18"/>
                        </w:rPr>
                        <m:t>a</m:t>
                      </m:r>
                    </m:e>
                  </m:d>
                </m:e>
                <m:sub>
                  <m:r>
                    <w:rPr>
                      <w:rFonts w:ascii="Cambria Math" w:hAnsi="Cambria Math"/>
                      <w:sz w:val="18"/>
                      <w:szCs w:val="18"/>
                    </w:rPr>
                    <m:t>ijt</m:t>
                  </m:r>
                </m:sub>
              </m:sSub>
              <m:r>
                <w:rPr>
                  <w:rFonts w:ascii="Cambria Math" w:hAnsi="Cambria Math"/>
                  <w:sz w:val="18"/>
                  <w:szCs w:val="18"/>
                </w:rPr>
                <m:t>=1</m:t>
              </m:r>
            </m:e>
          </m:d>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β</m:t>
              </m:r>
            </m:e>
            <m:sub>
              <m:r>
                <w:rPr>
                  <w:rFonts w:ascii="Cambria Math" w:hAnsi="Cambria Math"/>
                  <w:sz w:val="18"/>
                  <w:szCs w:val="18"/>
                </w:rPr>
                <m:t>0</m:t>
              </m:r>
            </m:sub>
          </m:sSub>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β</m:t>
              </m:r>
            </m:e>
            <m:sub>
              <m:r>
                <w:rPr>
                  <w:rFonts w:ascii="Cambria Math" w:hAnsi="Cambria Math"/>
                  <w:sz w:val="18"/>
                  <w:szCs w:val="18"/>
                </w:rPr>
                <m:t>1</m:t>
              </m:r>
            </m:sub>
          </m:sSub>
          <m:r>
            <w:rPr>
              <w:rFonts w:ascii="Cambria Math" w:hAnsi="Cambria Math"/>
              <w:sz w:val="18"/>
              <w:szCs w:val="18"/>
            </w:rPr>
            <m:t>treate</m:t>
          </m:r>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ij</m:t>
              </m:r>
            </m:sub>
          </m:sSub>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β</m:t>
              </m:r>
            </m:e>
            <m:sub>
              <m:r>
                <w:rPr>
                  <w:rFonts w:ascii="Cambria Math" w:hAnsi="Cambria Math"/>
                  <w:sz w:val="18"/>
                  <w:szCs w:val="18"/>
                </w:rPr>
                <m:t>2</m:t>
              </m:r>
            </m:sub>
          </m:sSub>
          <m:r>
            <w:rPr>
              <w:rFonts w:ascii="Cambria Math" w:hAnsi="Cambria Math"/>
              <w:sz w:val="18"/>
              <w:szCs w:val="18"/>
            </w:rPr>
            <m:t>pos</m:t>
          </m:r>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β</m:t>
              </m:r>
            </m:e>
            <m:sub>
              <m:r>
                <w:rPr>
                  <w:rFonts w:ascii="Cambria Math" w:hAnsi="Cambria Math"/>
                  <w:sz w:val="18"/>
                  <w:szCs w:val="18"/>
                </w:rPr>
                <m:t>3</m:t>
              </m:r>
            </m:sub>
          </m:sSub>
          <m:d>
            <m:dPr>
              <m:ctrlPr>
                <w:rPr>
                  <w:rFonts w:ascii="Cambria Math" w:hAnsi="Cambria Math"/>
                  <w:i/>
                  <w:iCs/>
                  <w:sz w:val="18"/>
                  <w:szCs w:val="18"/>
                </w:rPr>
              </m:ctrlPr>
            </m:dPr>
            <m:e>
              <m:r>
                <w:rPr>
                  <w:rFonts w:ascii="Cambria Math" w:hAnsi="Cambria Math"/>
                  <w:sz w:val="18"/>
                  <w:szCs w:val="18"/>
                </w:rPr>
                <m:t>treate</m:t>
              </m:r>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ij</m:t>
                  </m:r>
                </m:sub>
              </m:sSub>
              <m:r>
                <w:rPr>
                  <w:rFonts w:ascii="Cambria Math" w:hAnsi="Cambria Math"/>
                  <w:sz w:val="18"/>
                  <w:szCs w:val="18"/>
                </w:rPr>
                <m:t>×pos</m:t>
              </m:r>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t</m:t>
                  </m:r>
                </m:sub>
              </m:sSub>
            </m:e>
          </m:d>
          <m:r>
            <w:rPr>
              <w:rFonts w:ascii="Cambria Math" w:hAnsi="Cambria Math"/>
              <w:sz w:val="18"/>
              <w:szCs w:val="18"/>
            </w:rPr>
            <m:t xml:space="preserve">+ </m:t>
          </m:r>
          <m:nary>
            <m:naryPr>
              <m:chr m:val="∑"/>
              <m:limLoc m:val="undOvr"/>
              <m:ctrlPr>
                <w:rPr>
                  <w:rFonts w:ascii="Cambria Math" w:hAnsi="Cambria Math"/>
                  <w:i/>
                  <w:iCs/>
                  <w:sz w:val="18"/>
                  <w:szCs w:val="18"/>
                </w:rPr>
              </m:ctrlPr>
            </m:naryPr>
            <m:sub>
              <m:r>
                <w:rPr>
                  <w:rFonts w:ascii="Cambria Math" w:hAnsi="Cambria Math"/>
                  <w:sz w:val="18"/>
                  <w:szCs w:val="18"/>
                </w:rPr>
                <m:t>n=1</m:t>
              </m:r>
            </m:sub>
            <m:sup>
              <m:r>
                <w:rPr>
                  <w:rFonts w:ascii="Cambria Math" w:hAnsi="Cambria Math"/>
                  <w:sz w:val="18"/>
                  <w:szCs w:val="18"/>
                </w:rPr>
                <m:t>k</m:t>
              </m:r>
            </m:sup>
            <m:e>
              <m:sSub>
                <m:sSubPr>
                  <m:ctrlPr>
                    <w:rPr>
                      <w:rFonts w:ascii="Cambria Math" w:hAnsi="Cambria Math"/>
                      <w:i/>
                      <w:iCs/>
                      <w:sz w:val="18"/>
                      <w:szCs w:val="18"/>
                    </w:rPr>
                  </m:ctrlPr>
                </m:sSubPr>
                <m:e>
                  <m:r>
                    <w:rPr>
                      <w:rFonts w:ascii="Cambria Math" w:hAnsi="Cambria Math"/>
                      <w:sz w:val="18"/>
                      <w:szCs w:val="18"/>
                    </w:rPr>
                    <m:t>θ</m:t>
                  </m:r>
                </m:e>
                <m:sub>
                  <m:r>
                    <w:rPr>
                      <w:rFonts w:ascii="Cambria Math" w:hAnsi="Cambria Math"/>
                      <w:sz w:val="18"/>
                      <w:szCs w:val="18"/>
                    </w:rPr>
                    <m:t>k</m:t>
                  </m:r>
                </m:sub>
              </m:sSub>
            </m:e>
          </m:nary>
          <m:sSub>
            <m:sSubPr>
              <m:ctrlPr>
                <w:rPr>
                  <w:rFonts w:ascii="Cambria Math" w:hAnsi="Cambria Math"/>
                  <w:i/>
                  <w:iCs/>
                  <w:sz w:val="18"/>
                  <w:szCs w:val="18"/>
                </w:rPr>
              </m:ctrlPr>
            </m:sSubPr>
            <m:e>
              <m:r>
                <w:rPr>
                  <w:rFonts w:ascii="Cambria Math" w:hAnsi="Cambria Math"/>
                  <w:sz w:val="18"/>
                  <w:szCs w:val="18"/>
                </w:rPr>
                <m:t>X</m:t>
              </m:r>
            </m:e>
            <m:sub>
              <m:r>
                <w:rPr>
                  <w:rFonts w:ascii="Cambria Math" w:hAnsi="Cambria Math"/>
                  <w:sz w:val="18"/>
                  <w:szCs w:val="18"/>
                </w:rPr>
                <m:t>ijt</m:t>
              </m:r>
            </m:sub>
          </m:sSub>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γ</m:t>
              </m:r>
            </m:e>
            <m:sub>
              <m:r>
                <w:rPr>
                  <w:rFonts w:ascii="Cambria Math" w:hAnsi="Cambria Math"/>
                  <w:sz w:val="18"/>
                  <w:szCs w:val="18"/>
                </w:rPr>
                <m:t>j</m:t>
              </m:r>
            </m:sub>
          </m:sSub>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λ</m:t>
              </m:r>
            </m:e>
            <m:sub>
              <m:r>
                <w:rPr>
                  <w:rFonts w:ascii="Cambria Math" w:hAnsi="Cambria Math"/>
                  <w:sz w:val="18"/>
                  <w:szCs w:val="18"/>
                </w:rPr>
                <m:t>t</m:t>
              </m:r>
            </m:sub>
          </m:sSub>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ε</m:t>
              </m:r>
            </m:e>
            <m:sub>
              <m:r>
                <w:rPr>
                  <w:rFonts w:ascii="Cambria Math" w:hAnsi="Cambria Math"/>
                  <w:sz w:val="18"/>
                  <w:szCs w:val="18"/>
                </w:rPr>
                <m:t>ijt</m:t>
              </m:r>
            </m:sub>
          </m:sSub>
          <m:r>
            <w:rPr>
              <w:rFonts w:ascii="Cambria Math" w:hAnsi="Cambria Math"/>
              <w:sz w:val="18"/>
              <w:szCs w:val="18"/>
            </w:rPr>
            <m:t xml:space="preserve">           </m:t>
          </m:r>
          <m:d>
            <m:dPr>
              <m:ctrlPr>
                <w:rPr>
                  <w:rFonts w:ascii="Cambria Math" w:hAnsi="Cambria Math"/>
                  <w:i/>
                  <w:iCs/>
                  <w:sz w:val="18"/>
                  <w:szCs w:val="18"/>
                </w:rPr>
              </m:ctrlPr>
            </m:dPr>
            <m:e>
              <m:r>
                <w:rPr>
                  <w:rFonts w:ascii="Cambria Math" w:hAnsi="Cambria Math"/>
                  <w:sz w:val="18"/>
                  <w:szCs w:val="18"/>
                </w:rPr>
                <m:t>1.1</m:t>
              </m:r>
            </m:e>
          </m:d>
        </m:oMath>
      </m:oMathPara>
    </w:p>
    <w:p w14:paraId="4DC4917C" w14:textId="445371BF" w:rsidR="00D33976" w:rsidRPr="004104E7" w:rsidRDefault="00D33976" w:rsidP="00AB62C3">
      <w:pPr>
        <w:pStyle w:val="FigureTableHeading"/>
        <w:keepLines/>
        <w:rPr>
          <w:vertAlign w:val="superscript"/>
        </w:rPr>
      </w:pPr>
      <w:r w:rsidRPr="004104E7">
        <w:t>Table B.</w:t>
      </w:r>
      <w:r>
        <w:t>1</w:t>
      </w:r>
      <w:r w:rsidRPr="004104E7">
        <w:rPr>
          <w:noProof/>
        </w:rPr>
        <w:t xml:space="preserve"> – Variables in the DiD model</w:t>
      </w:r>
    </w:p>
    <w:tbl>
      <w:tblPr>
        <w:tblW w:w="5000" w:type="pct"/>
        <w:tblBorders>
          <w:bottom w:val="single" w:sz="4" w:space="0" w:color="B3B3B3"/>
          <w:insideH w:val="single" w:sz="4" w:space="0" w:color="B3B3B3"/>
        </w:tblBorders>
        <w:shd w:val="clear" w:color="000000" w:fill="auto"/>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1903"/>
        <w:gridCol w:w="7735"/>
      </w:tblGrid>
      <w:tr w:rsidR="00D33976" w:rsidRPr="006E5976" w14:paraId="624BEE48" w14:textId="77777777" w:rsidTr="00944E8B">
        <w:trPr>
          <w:tblHeader/>
        </w:trPr>
        <w:tc>
          <w:tcPr>
            <w:tcW w:w="987" w:type="pct"/>
            <w:tcBorders>
              <w:bottom w:val="single" w:sz="4" w:space="0" w:color="B3B3B3"/>
            </w:tcBorders>
            <w:vAlign w:val="bottom"/>
          </w:tcPr>
          <w:p w14:paraId="090E2CE6" w14:textId="77777777" w:rsidR="00D33976" w:rsidRPr="006E5976" w:rsidRDefault="00D33976" w:rsidP="00AB62C3">
            <w:pPr>
              <w:keepLines/>
              <w:spacing w:before="45" w:after="45"/>
              <w:ind w:left="57" w:right="108"/>
              <w:rPr>
                <w:rFonts w:ascii="Arial (Body)" w:hAnsi="Arial (Body)"/>
                <w:b/>
                <w:bCs/>
                <w:color w:val="265A9A"/>
                <w:sz w:val="18"/>
                <w:szCs w:val="18"/>
              </w:rPr>
            </w:pPr>
            <w:r w:rsidRPr="006E5976">
              <w:rPr>
                <w:rFonts w:ascii="Arial (Body)" w:hAnsi="Arial (Body)"/>
                <w:b/>
                <w:bCs/>
                <w:color w:val="265A9A" w:themeColor="background2"/>
                <w:sz w:val="18"/>
                <w:szCs w:val="18"/>
              </w:rPr>
              <w:t>Variable</w:t>
            </w:r>
          </w:p>
        </w:tc>
        <w:tc>
          <w:tcPr>
            <w:tcW w:w="4013" w:type="pct"/>
            <w:tcBorders>
              <w:bottom w:val="single" w:sz="4" w:space="0" w:color="B3B3B3"/>
            </w:tcBorders>
            <w:vAlign w:val="bottom"/>
          </w:tcPr>
          <w:p w14:paraId="7FDD27C7" w14:textId="77777777" w:rsidR="00D33976" w:rsidRPr="006E5976" w:rsidRDefault="00D33976" w:rsidP="006127C5">
            <w:pPr>
              <w:pStyle w:val="TableHeading"/>
              <w:keepLines/>
              <w:spacing w:before="45" w:after="45"/>
              <w:ind w:left="57" w:right="108"/>
              <w:rPr>
                <w:rFonts w:ascii="Arial (Body)" w:hAnsi="Arial (Body)"/>
                <w:color w:val="265A9A"/>
                <w:sz w:val="18"/>
                <w:szCs w:val="18"/>
              </w:rPr>
            </w:pPr>
            <w:r w:rsidRPr="006E5976">
              <w:rPr>
                <w:rFonts w:ascii="Arial (Body)" w:hAnsi="Arial (Body)"/>
                <w:sz w:val="18"/>
                <w:szCs w:val="18"/>
              </w:rPr>
              <w:t>Description</w:t>
            </w:r>
          </w:p>
        </w:tc>
      </w:tr>
      <w:tr w:rsidR="00D33976" w:rsidRPr="004104E7" w14:paraId="65DDCDEB" w14:textId="77777777" w:rsidTr="00944E8B">
        <w:tc>
          <w:tcPr>
            <w:tcW w:w="987" w:type="pct"/>
            <w:tcBorders>
              <w:top w:val="single" w:sz="4" w:space="0" w:color="B3B3B3"/>
              <w:bottom w:val="nil"/>
            </w:tcBorders>
            <w:shd w:val="clear" w:color="auto" w:fill="EBEBEB"/>
          </w:tcPr>
          <w:p w14:paraId="16013D11" w14:textId="77777777" w:rsidR="00D33976" w:rsidRPr="004104E7" w:rsidRDefault="00D33976" w:rsidP="006127C5">
            <w:pPr>
              <w:pStyle w:val="TableHeading"/>
              <w:keepLines/>
              <w:spacing w:before="45" w:after="45"/>
              <w:ind w:left="57" w:right="108"/>
              <w:rPr>
                <w:rFonts w:ascii="Arial (Body)" w:hAnsi="Arial (Body)"/>
                <w:color w:val="265A9A"/>
              </w:rPr>
            </w:pPr>
            <m:oMathPara>
              <m:oMathParaPr>
                <m:jc m:val="left"/>
              </m:oMathParaPr>
              <m:oMath>
                <m:r>
                  <m:rPr>
                    <m:sty m:val="bi"/>
                  </m:rPr>
                  <w:rPr>
                    <w:rFonts w:ascii="Cambria Math" w:hAnsi="Cambria Math"/>
                    <w:color w:val="265A9A"/>
                  </w:rPr>
                  <m:t>HA</m:t>
                </m:r>
                <m:sSub>
                  <m:sSubPr>
                    <m:ctrlPr>
                      <w:rPr>
                        <w:rFonts w:ascii="Cambria Math" w:hAnsi="Cambria Math"/>
                        <w:color w:val="265A9A"/>
                      </w:rPr>
                    </m:ctrlPr>
                  </m:sSubPr>
                  <m:e>
                    <m:r>
                      <m:rPr>
                        <m:sty m:val="bi"/>
                      </m:rPr>
                      <w:rPr>
                        <w:rFonts w:ascii="Cambria Math" w:hAnsi="Cambria Math"/>
                        <w:color w:val="265A9A"/>
                      </w:rPr>
                      <m:t>C</m:t>
                    </m:r>
                  </m:e>
                  <m:sub>
                    <m:r>
                      <m:rPr>
                        <m:sty m:val="bi"/>
                      </m:rPr>
                      <w:rPr>
                        <w:rFonts w:ascii="Cambria Math" w:hAnsi="Cambria Math"/>
                        <w:color w:val="265A9A"/>
                      </w:rPr>
                      <m:t>ijt</m:t>
                    </m:r>
                  </m:sub>
                </m:sSub>
              </m:oMath>
            </m:oMathPara>
          </w:p>
        </w:tc>
        <w:tc>
          <w:tcPr>
            <w:tcW w:w="4013" w:type="pct"/>
            <w:tcBorders>
              <w:top w:val="single" w:sz="4" w:space="0" w:color="B3B3B3"/>
              <w:bottom w:val="nil"/>
            </w:tcBorders>
            <w:shd w:val="clear" w:color="auto" w:fill="EBEBEB"/>
          </w:tcPr>
          <w:p w14:paraId="489060C9" w14:textId="503B2786" w:rsidR="00D33976" w:rsidRPr="004104E7" w:rsidRDefault="00D33976" w:rsidP="00AB62C3">
            <w:pPr>
              <w:pStyle w:val="TableBody"/>
              <w:keepLines/>
              <w:spacing w:before="45" w:after="45"/>
              <w:ind w:right="108"/>
              <w:rPr>
                <w:rFonts w:ascii="Arial (Body)" w:hAnsi="Arial (Body)"/>
                <w:color w:val="000000"/>
              </w:rPr>
            </w:pPr>
            <w:r w:rsidRPr="004104E7">
              <w:rPr>
                <w:rFonts w:ascii="Arial (Body)" w:hAnsi="Arial (Body)"/>
                <w:color w:val="000000"/>
              </w:rPr>
              <w:t xml:space="preserve">Binary dependent variable (= 1 if at least one HAC occurred in episode </w:t>
            </w:r>
            <m:oMath>
              <m:r>
                <w:rPr>
                  <w:rFonts w:ascii="Cambria Math" w:hAnsi="Cambria Math"/>
                  <w:color w:val="000000"/>
                </w:rPr>
                <m:t>i</m:t>
              </m:r>
            </m:oMath>
            <w:r w:rsidRPr="004104E7">
              <w:rPr>
                <w:rFonts w:ascii="Arial (Body)" w:eastAsiaTheme="minorEastAsia" w:hAnsi="Arial (Body)"/>
                <w:color w:val="000000"/>
              </w:rPr>
              <w:t xml:space="preserve"> in month/year </w:t>
            </w:r>
            <m:oMath>
              <m:r>
                <w:rPr>
                  <w:rFonts w:ascii="Cambria Math" w:eastAsiaTheme="minorEastAsia" w:hAnsi="Cambria Math"/>
                  <w:color w:val="000000"/>
                </w:rPr>
                <m:t>t</m:t>
              </m:r>
            </m:oMath>
            <w:r w:rsidRPr="004104E7">
              <w:rPr>
                <w:rFonts w:ascii="Arial (Body)" w:eastAsiaTheme="minorEastAsia" w:hAnsi="Arial (Body)"/>
                <w:color w:val="000000"/>
              </w:rPr>
              <w:t>, 0</w:t>
            </w:r>
            <w:r w:rsidR="00355A80">
              <w:rPr>
                <w:rFonts w:ascii="Arial (Body)" w:eastAsiaTheme="minorEastAsia" w:hAnsi="Arial (Body)" w:hint="eastAsia"/>
                <w:color w:val="000000"/>
              </w:rPr>
              <w:t> </w:t>
            </w:r>
            <w:r w:rsidRPr="004104E7">
              <w:rPr>
                <w:rFonts w:ascii="Arial (Body)" w:eastAsiaTheme="minorEastAsia" w:hAnsi="Arial (Body)"/>
                <w:color w:val="000000"/>
              </w:rPr>
              <w:t>otherwise)</w:t>
            </w:r>
          </w:p>
        </w:tc>
      </w:tr>
      <w:tr w:rsidR="00D33976" w:rsidRPr="004104E7" w14:paraId="50BC9A4B" w14:textId="77777777" w:rsidTr="00944E8B">
        <w:tc>
          <w:tcPr>
            <w:tcW w:w="987" w:type="pct"/>
            <w:tcBorders>
              <w:top w:val="nil"/>
              <w:bottom w:val="nil"/>
            </w:tcBorders>
          </w:tcPr>
          <w:p w14:paraId="0931947B" w14:textId="77777777" w:rsidR="00D33976" w:rsidRPr="004104E7" w:rsidRDefault="00D33976" w:rsidP="006127C5">
            <w:pPr>
              <w:pStyle w:val="TableHeading"/>
              <w:keepLines/>
              <w:spacing w:before="45" w:after="45"/>
              <w:ind w:left="57" w:right="108"/>
              <w:rPr>
                <w:rFonts w:ascii="Arial (Body)" w:eastAsiaTheme="minorEastAsia" w:hAnsi="Arial (Body)" w:hint="eastAsia"/>
                <w:color w:val="265A9A"/>
              </w:rPr>
            </w:pPr>
            <m:oMathPara>
              <m:oMathParaPr>
                <m:jc m:val="left"/>
              </m:oMathParaPr>
              <m:oMath>
                <m:r>
                  <m:rPr>
                    <m:sty m:val="bi"/>
                  </m:rPr>
                  <w:rPr>
                    <w:rFonts w:ascii="Cambria Math" w:eastAsiaTheme="minorEastAsia" w:hAnsi="Cambria Math"/>
                    <w:color w:val="265A9A"/>
                  </w:rPr>
                  <m:t>treate</m:t>
                </m:r>
                <m:sSub>
                  <m:sSubPr>
                    <m:ctrlPr>
                      <w:rPr>
                        <w:rFonts w:ascii="Cambria Math" w:eastAsiaTheme="minorEastAsia" w:hAnsi="Cambria Math"/>
                        <w:color w:val="265A9A"/>
                      </w:rPr>
                    </m:ctrlPr>
                  </m:sSubPr>
                  <m:e>
                    <m:r>
                      <m:rPr>
                        <m:sty m:val="bi"/>
                      </m:rPr>
                      <w:rPr>
                        <w:rFonts w:ascii="Cambria Math" w:eastAsiaTheme="minorEastAsia" w:hAnsi="Cambria Math"/>
                        <w:color w:val="265A9A"/>
                      </w:rPr>
                      <m:t>d</m:t>
                    </m:r>
                  </m:e>
                  <m:sub>
                    <m:r>
                      <m:rPr>
                        <m:sty m:val="bi"/>
                      </m:rPr>
                      <w:rPr>
                        <w:rFonts w:ascii="Cambria Math" w:eastAsiaTheme="minorEastAsia" w:hAnsi="Cambria Math"/>
                        <w:color w:val="265A9A"/>
                      </w:rPr>
                      <m:t>ij</m:t>
                    </m:r>
                  </m:sub>
                </m:sSub>
              </m:oMath>
            </m:oMathPara>
          </w:p>
        </w:tc>
        <w:tc>
          <w:tcPr>
            <w:tcW w:w="4013" w:type="pct"/>
            <w:tcBorders>
              <w:top w:val="nil"/>
              <w:bottom w:val="nil"/>
            </w:tcBorders>
          </w:tcPr>
          <w:p w14:paraId="4E19D992" w14:textId="77777777" w:rsidR="00D33976" w:rsidRPr="004104E7" w:rsidRDefault="00D33976" w:rsidP="00AB62C3">
            <w:pPr>
              <w:pStyle w:val="TableBody"/>
              <w:keepLines/>
              <w:spacing w:before="45" w:after="45"/>
              <w:ind w:right="108"/>
              <w:rPr>
                <w:rFonts w:ascii="Arial (Body)" w:eastAsiaTheme="minorEastAsia" w:hAnsi="Arial (Body)" w:hint="eastAsia"/>
                <w:color w:val="000000"/>
              </w:rPr>
            </w:pPr>
            <w:r w:rsidRPr="004104E7">
              <w:rPr>
                <w:rFonts w:ascii="Arial (Body)" w:eastAsiaTheme="minorEastAsia" w:hAnsi="Arial (Body)"/>
                <w:color w:val="000000" w:themeColor="text1"/>
              </w:rPr>
              <w:t xml:space="preserve">Dummy variable (= 1 if episode </w:t>
            </w:r>
            <w:r w:rsidRPr="004104E7">
              <w:rPr>
                <w:rFonts w:ascii="Cambria Math" w:eastAsiaTheme="minorEastAsia" w:hAnsi="Cambria Math" w:cs="Cambria Math"/>
                <w:color w:val="000000" w:themeColor="text1"/>
              </w:rPr>
              <w:t>𝑖</w:t>
            </w:r>
            <w:r w:rsidRPr="004104E7">
              <w:rPr>
                <w:rFonts w:ascii="Arial (Body)" w:eastAsiaTheme="minorEastAsia" w:hAnsi="Arial (Body)"/>
                <w:color w:val="000000" w:themeColor="text1"/>
              </w:rPr>
              <w:t xml:space="preserve"> happened in a treated state or territory, 0 otherwise)</w:t>
            </w:r>
          </w:p>
        </w:tc>
      </w:tr>
      <w:tr w:rsidR="00D33976" w:rsidRPr="004104E7" w14:paraId="27265F2E" w14:textId="77777777" w:rsidTr="00944E8B">
        <w:tc>
          <w:tcPr>
            <w:tcW w:w="987" w:type="pct"/>
            <w:tcBorders>
              <w:top w:val="nil"/>
              <w:bottom w:val="nil"/>
            </w:tcBorders>
            <w:shd w:val="clear" w:color="auto" w:fill="EBEBEB"/>
          </w:tcPr>
          <w:p w14:paraId="6E780A6E" w14:textId="77777777" w:rsidR="00D33976" w:rsidRPr="004104E7" w:rsidRDefault="00D33976" w:rsidP="006127C5">
            <w:pPr>
              <w:pStyle w:val="TableHeading"/>
              <w:keepLines/>
              <w:spacing w:before="45" w:after="45"/>
              <w:ind w:left="57" w:right="108"/>
              <w:rPr>
                <w:rFonts w:ascii="Arial (Body)" w:eastAsiaTheme="minorEastAsia" w:hAnsi="Arial (Body)" w:hint="eastAsia"/>
                <w:color w:val="265A9A"/>
              </w:rPr>
            </w:pPr>
            <m:oMathPara>
              <m:oMathParaPr>
                <m:jc m:val="left"/>
              </m:oMathParaPr>
              <m:oMath>
                <m:r>
                  <m:rPr>
                    <m:sty m:val="bi"/>
                  </m:rPr>
                  <w:rPr>
                    <w:rFonts w:ascii="Cambria Math" w:eastAsiaTheme="minorEastAsia" w:hAnsi="Cambria Math"/>
                    <w:color w:val="265A9A"/>
                  </w:rPr>
                  <m:t>pos</m:t>
                </m:r>
                <m:sSub>
                  <m:sSubPr>
                    <m:ctrlPr>
                      <w:rPr>
                        <w:rFonts w:ascii="Cambria Math" w:eastAsiaTheme="minorEastAsia" w:hAnsi="Cambria Math"/>
                        <w:color w:val="265A9A"/>
                      </w:rPr>
                    </m:ctrlPr>
                  </m:sSubPr>
                  <m:e>
                    <m:r>
                      <m:rPr>
                        <m:sty m:val="bi"/>
                      </m:rPr>
                      <w:rPr>
                        <w:rFonts w:ascii="Cambria Math" w:eastAsiaTheme="minorEastAsia" w:hAnsi="Cambria Math"/>
                        <w:color w:val="265A9A"/>
                      </w:rPr>
                      <m:t>t</m:t>
                    </m:r>
                  </m:e>
                  <m:sub>
                    <m:r>
                      <m:rPr>
                        <m:sty m:val="bi"/>
                      </m:rPr>
                      <w:rPr>
                        <w:rFonts w:ascii="Cambria Math" w:eastAsiaTheme="minorEastAsia" w:hAnsi="Cambria Math"/>
                        <w:color w:val="265A9A"/>
                      </w:rPr>
                      <m:t>t</m:t>
                    </m:r>
                  </m:sub>
                </m:sSub>
              </m:oMath>
            </m:oMathPara>
          </w:p>
        </w:tc>
        <w:tc>
          <w:tcPr>
            <w:tcW w:w="4013" w:type="pct"/>
            <w:tcBorders>
              <w:top w:val="nil"/>
              <w:bottom w:val="nil"/>
            </w:tcBorders>
            <w:shd w:val="clear" w:color="auto" w:fill="EBEBEB"/>
          </w:tcPr>
          <w:p w14:paraId="0E352057" w14:textId="77777777" w:rsidR="00D33976" w:rsidRPr="004104E7" w:rsidRDefault="00D33976" w:rsidP="00AB62C3">
            <w:pPr>
              <w:pStyle w:val="TableBody"/>
              <w:keepLines/>
              <w:spacing w:before="45" w:after="45"/>
              <w:ind w:right="108"/>
              <w:rPr>
                <w:rFonts w:ascii="Arial (Body)" w:eastAsiaTheme="minorEastAsia" w:hAnsi="Arial (Body)" w:hint="eastAsia"/>
                <w:color w:val="000000"/>
              </w:rPr>
            </w:pPr>
            <w:r w:rsidRPr="004104E7">
              <w:rPr>
                <w:rFonts w:ascii="Arial (Body)" w:eastAsiaTheme="minorEastAsia" w:hAnsi="Arial (Body)"/>
                <w:color w:val="000000" w:themeColor="text1"/>
              </w:rPr>
              <w:t>Dummy variable (=</w:t>
            </w:r>
            <w:r>
              <w:rPr>
                <w:rFonts w:ascii="Arial (Body)" w:eastAsiaTheme="minorEastAsia" w:hAnsi="Arial (Body)"/>
                <w:color w:val="000000" w:themeColor="text1"/>
              </w:rPr>
              <w:t xml:space="preserve"> </w:t>
            </w:r>
            <w:r w:rsidRPr="004104E7">
              <w:rPr>
                <w:rFonts w:ascii="Arial (Body)" w:eastAsiaTheme="minorEastAsia" w:hAnsi="Arial (Body)"/>
                <w:color w:val="000000" w:themeColor="text1"/>
              </w:rPr>
              <w:t xml:space="preserve">1 if episode </w:t>
            </w:r>
            <w:r w:rsidRPr="004104E7">
              <w:rPr>
                <w:rFonts w:ascii="Cambria Math" w:eastAsiaTheme="minorEastAsia" w:hAnsi="Cambria Math" w:cs="Cambria Math"/>
                <w:color w:val="000000" w:themeColor="text1"/>
              </w:rPr>
              <w:t>𝑖</w:t>
            </w:r>
            <w:r w:rsidRPr="004104E7">
              <w:rPr>
                <w:rFonts w:ascii="Arial (Body)" w:eastAsiaTheme="minorEastAsia" w:hAnsi="Arial (Body)"/>
                <w:color w:val="000000" w:themeColor="text1"/>
              </w:rPr>
              <w:t xml:space="preserve"> happened after the policy is implemented, 0 otherwise)</w:t>
            </w:r>
          </w:p>
        </w:tc>
      </w:tr>
      <w:tr w:rsidR="00D33976" w:rsidRPr="004104E7" w14:paraId="234D3AB1" w14:textId="77777777" w:rsidTr="00944E8B">
        <w:tc>
          <w:tcPr>
            <w:tcW w:w="987" w:type="pct"/>
            <w:tcBorders>
              <w:top w:val="nil"/>
              <w:bottom w:val="nil"/>
            </w:tcBorders>
          </w:tcPr>
          <w:p w14:paraId="061E3CAF" w14:textId="77777777" w:rsidR="00D33976" w:rsidRPr="004104E7" w:rsidRDefault="00D33976" w:rsidP="006127C5">
            <w:pPr>
              <w:pStyle w:val="TableHeading"/>
              <w:keepLines/>
              <w:spacing w:before="45" w:after="45"/>
              <w:ind w:left="57" w:right="108"/>
              <w:rPr>
                <w:rFonts w:ascii="Arial (Body)" w:eastAsiaTheme="minorEastAsia" w:hAnsi="Arial (Body)" w:hint="eastAsia"/>
                <w:color w:val="265A9A"/>
              </w:rPr>
            </w:pPr>
            <m:oMathPara>
              <m:oMathParaPr>
                <m:jc m:val="left"/>
              </m:oMathParaPr>
              <m:oMath>
                <m:r>
                  <m:rPr>
                    <m:sty m:val="bi"/>
                  </m:rPr>
                  <w:rPr>
                    <w:rFonts w:ascii="Cambria Math" w:eastAsiaTheme="minorEastAsia" w:hAnsi="Cambria Math"/>
                    <w:color w:val="265A9A"/>
                  </w:rPr>
                  <m:t>treate</m:t>
                </m:r>
                <m:sSub>
                  <m:sSubPr>
                    <m:ctrlPr>
                      <w:rPr>
                        <w:rFonts w:ascii="Cambria Math" w:eastAsiaTheme="minorEastAsia" w:hAnsi="Cambria Math"/>
                        <w:color w:val="265A9A"/>
                      </w:rPr>
                    </m:ctrlPr>
                  </m:sSubPr>
                  <m:e>
                    <m:r>
                      <m:rPr>
                        <m:sty m:val="bi"/>
                      </m:rPr>
                      <w:rPr>
                        <w:rFonts w:ascii="Cambria Math" w:eastAsiaTheme="minorEastAsia" w:hAnsi="Cambria Math"/>
                        <w:color w:val="265A9A"/>
                      </w:rPr>
                      <m:t>d</m:t>
                    </m:r>
                  </m:e>
                  <m:sub>
                    <m:r>
                      <m:rPr>
                        <m:sty m:val="bi"/>
                      </m:rPr>
                      <w:rPr>
                        <w:rFonts w:ascii="Cambria Math" w:eastAsiaTheme="minorEastAsia" w:hAnsi="Cambria Math"/>
                        <w:color w:val="265A9A"/>
                      </w:rPr>
                      <m:t>ij</m:t>
                    </m:r>
                  </m:sub>
                </m:sSub>
                <m:r>
                  <m:rPr>
                    <m:sty m:val="b"/>
                  </m:rPr>
                  <w:rPr>
                    <w:rFonts w:ascii="Cambria Math" w:eastAsiaTheme="minorEastAsia" w:hAnsi="Cambria Math"/>
                    <w:color w:val="265A9A"/>
                  </w:rPr>
                  <m:t>×</m:t>
                </m:r>
                <m:r>
                  <m:rPr>
                    <m:sty m:val="bi"/>
                  </m:rPr>
                  <w:rPr>
                    <w:rFonts w:ascii="Cambria Math" w:eastAsiaTheme="minorEastAsia" w:hAnsi="Cambria Math"/>
                    <w:color w:val="265A9A"/>
                  </w:rPr>
                  <m:t>pos</m:t>
                </m:r>
                <m:sSub>
                  <m:sSubPr>
                    <m:ctrlPr>
                      <w:rPr>
                        <w:rFonts w:ascii="Cambria Math" w:eastAsiaTheme="minorEastAsia" w:hAnsi="Cambria Math"/>
                        <w:color w:val="265A9A"/>
                      </w:rPr>
                    </m:ctrlPr>
                  </m:sSubPr>
                  <m:e>
                    <m:r>
                      <m:rPr>
                        <m:sty m:val="bi"/>
                      </m:rPr>
                      <w:rPr>
                        <w:rFonts w:ascii="Cambria Math" w:eastAsiaTheme="minorEastAsia" w:hAnsi="Cambria Math"/>
                        <w:color w:val="265A9A"/>
                      </w:rPr>
                      <m:t>t</m:t>
                    </m:r>
                  </m:e>
                  <m:sub>
                    <m:r>
                      <m:rPr>
                        <m:sty m:val="bi"/>
                      </m:rPr>
                      <w:rPr>
                        <w:rFonts w:ascii="Cambria Math" w:eastAsiaTheme="minorEastAsia" w:hAnsi="Cambria Math"/>
                        <w:color w:val="265A9A"/>
                      </w:rPr>
                      <m:t>t</m:t>
                    </m:r>
                  </m:sub>
                </m:sSub>
              </m:oMath>
            </m:oMathPara>
          </w:p>
        </w:tc>
        <w:tc>
          <w:tcPr>
            <w:tcW w:w="4013" w:type="pct"/>
            <w:tcBorders>
              <w:top w:val="nil"/>
              <w:bottom w:val="nil"/>
            </w:tcBorders>
          </w:tcPr>
          <w:p w14:paraId="510AB84D" w14:textId="77777777" w:rsidR="00D33976" w:rsidRPr="004104E7" w:rsidRDefault="00D33976" w:rsidP="00AB62C3">
            <w:pPr>
              <w:pStyle w:val="TableBody"/>
              <w:keepLines/>
              <w:spacing w:before="45" w:after="45"/>
              <w:ind w:right="108"/>
              <w:rPr>
                <w:rFonts w:ascii="Arial (Body)" w:eastAsiaTheme="minorEastAsia" w:hAnsi="Arial (Body)" w:hint="eastAsia"/>
                <w:color w:val="000000"/>
              </w:rPr>
            </w:pPr>
            <w:r w:rsidRPr="004104E7">
              <w:rPr>
                <w:rFonts w:ascii="Arial (Body)" w:eastAsiaTheme="minorEastAsia" w:hAnsi="Arial (Body)"/>
                <w:color w:val="000000"/>
              </w:rPr>
              <w:t>Interaction variable (=</w:t>
            </w:r>
            <w:r>
              <w:rPr>
                <w:rFonts w:ascii="Arial (Body)" w:eastAsiaTheme="minorEastAsia" w:hAnsi="Arial (Body)"/>
                <w:color w:val="000000"/>
              </w:rPr>
              <w:t xml:space="preserve"> </w:t>
            </w:r>
            <w:r w:rsidRPr="004104E7">
              <w:rPr>
                <w:rFonts w:ascii="Arial (Body)" w:eastAsiaTheme="minorEastAsia" w:hAnsi="Arial (Body)"/>
                <w:color w:val="000000"/>
              </w:rPr>
              <w:t xml:space="preserve">1 if episode </w:t>
            </w:r>
            <w:r w:rsidRPr="004104E7">
              <w:rPr>
                <w:rFonts w:ascii="Cambria Math" w:eastAsiaTheme="minorEastAsia" w:hAnsi="Cambria Math" w:cs="Cambria Math"/>
                <w:color w:val="000000"/>
              </w:rPr>
              <w:t>𝑖</w:t>
            </w:r>
            <w:r w:rsidRPr="004104E7">
              <w:rPr>
                <w:rFonts w:ascii="Arial (Body)" w:eastAsiaTheme="minorEastAsia" w:hAnsi="Arial (Body)"/>
                <w:color w:val="000000"/>
              </w:rPr>
              <w:t xml:space="preserve"> in hospital </w:t>
            </w:r>
            <m:oMath>
              <m:r>
                <w:rPr>
                  <w:rFonts w:ascii="Cambria Math" w:eastAsiaTheme="minorEastAsia" w:hAnsi="Cambria Math"/>
                  <w:color w:val="000000"/>
                </w:rPr>
                <m:t>j</m:t>
              </m:r>
            </m:oMath>
            <w:r w:rsidRPr="004104E7">
              <w:rPr>
                <w:rFonts w:ascii="Arial (Body)" w:eastAsiaTheme="minorEastAsia" w:hAnsi="Arial (Body)"/>
                <w:color w:val="000000"/>
              </w:rPr>
              <w:t xml:space="preserve"> is in a treated state or territory and month/year </w:t>
            </w:r>
            <w:r w:rsidRPr="004104E7">
              <w:rPr>
                <w:rFonts w:ascii="Cambria Math" w:eastAsiaTheme="minorEastAsia" w:hAnsi="Cambria Math" w:cs="Cambria Math"/>
                <w:color w:val="000000"/>
              </w:rPr>
              <w:t>𝑡</w:t>
            </w:r>
            <w:r w:rsidRPr="004104E7">
              <w:rPr>
                <w:rFonts w:ascii="Arial (Body)" w:eastAsiaTheme="minorEastAsia" w:hAnsi="Arial (Body)"/>
                <w:color w:val="000000"/>
              </w:rPr>
              <w:t xml:space="preserve"> is in the post</w:t>
            </w:r>
            <w:r w:rsidRPr="004104E7">
              <w:rPr>
                <w:rFonts w:ascii="Arial (Body)" w:eastAsiaTheme="minorEastAsia" w:hAnsi="Arial (Body)"/>
                <w:color w:val="000000"/>
              </w:rPr>
              <w:noBreakHyphen/>
              <w:t>policy period, 0 otherwise)</w:t>
            </w:r>
          </w:p>
        </w:tc>
      </w:tr>
      <w:tr w:rsidR="00D33976" w:rsidRPr="004104E7" w14:paraId="3861339F" w14:textId="77777777" w:rsidTr="00944E8B">
        <w:tc>
          <w:tcPr>
            <w:tcW w:w="987" w:type="pct"/>
            <w:tcBorders>
              <w:top w:val="nil"/>
              <w:bottom w:val="nil"/>
            </w:tcBorders>
            <w:shd w:val="clear" w:color="auto" w:fill="EBEBEB"/>
          </w:tcPr>
          <w:p w14:paraId="64D14E2C" w14:textId="77777777" w:rsidR="00D33976" w:rsidRPr="004104E7" w:rsidRDefault="00000000" w:rsidP="006127C5">
            <w:pPr>
              <w:pStyle w:val="TableHeading"/>
              <w:keepLines/>
              <w:spacing w:before="45" w:after="45"/>
              <w:ind w:left="57" w:right="108"/>
              <w:rPr>
                <w:rFonts w:ascii="Arial (Body)" w:eastAsiaTheme="minorEastAsia" w:hAnsi="Arial (Body)" w:hint="eastAsia"/>
                <w:color w:val="265A9A"/>
              </w:rPr>
            </w:pPr>
            <m:oMathPara>
              <m:oMathParaPr>
                <m:jc m:val="left"/>
              </m:oMathParaPr>
              <m:oMath>
                <m:sSub>
                  <m:sSubPr>
                    <m:ctrlPr>
                      <w:rPr>
                        <w:rFonts w:ascii="Cambria Math" w:eastAsiaTheme="minorEastAsia" w:hAnsi="Cambria Math"/>
                        <w:color w:val="265A9A"/>
                      </w:rPr>
                    </m:ctrlPr>
                  </m:sSubPr>
                  <m:e>
                    <m:r>
                      <m:rPr>
                        <m:sty m:val="bi"/>
                      </m:rPr>
                      <w:rPr>
                        <w:rFonts w:ascii="Cambria Math" w:eastAsiaTheme="minorEastAsia" w:hAnsi="Cambria Math"/>
                        <w:color w:val="265A9A"/>
                      </w:rPr>
                      <m:t>X</m:t>
                    </m:r>
                  </m:e>
                  <m:sub>
                    <m:r>
                      <m:rPr>
                        <m:sty m:val="bi"/>
                      </m:rPr>
                      <w:rPr>
                        <w:rFonts w:ascii="Cambria Math" w:eastAsiaTheme="minorEastAsia" w:hAnsi="Cambria Math"/>
                        <w:color w:val="265A9A"/>
                      </w:rPr>
                      <m:t>ijt</m:t>
                    </m:r>
                  </m:sub>
                </m:sSub>
              </m:oMath>
            </m:oMathPara>
          </w:p>
        </w:tc>
        <w:tc>
          <w:tcPr>
            <w:tcW w:w="4013" w:type="pct"/>
            <w:tcBorders>
              <w:top w:val="nil"/>
              <w:bottom w:val="nil"/>
            </w:tcBorders>
            <w:shd w:val="clear" w:color="auto" w:fill="EBEBEB"/>
          </w:tcPr>
          <w:p w14:paraId="4CB0DED3" w14:textId="77777777" w:rsidR="00D33976" w:rsidRPr="004104E7" w:rsidRDefault="00D33976" w:rsidP="00AB62C3">
            <w:pPr>
              <w:pStyle w:val="TableBody"/>
              <w:keepLines/>
              <w:spacing w:before="45" w:after="45"/>
              <w:ind w:right="108"/>
              <w:rPr>
                <w:rFonts w:ascii="Arial (Body)" w:eastAsiaTheme="minorEastAsia" w:hAnsi="Arial (Body)" w:hint="eastAsia"/>
                <w:color w:val="000000"/>
                <w:vertAlign w:val="superscript"/>
              </w:rPr>
            </w:pPr>
            <w:r w:rsidRPr="004104E7">
              <w:rPr>
                <w:rFonts w:ascii="Arial (Body)" w:eastAsiaTheme="minorEastAsia" w:hAnsi="Arial (Body)"/>
                <w:color w:val="000000" w:themeColor="text1"/>
              </w:rPr>
              <w:t>Patient risk factors</w:t>
            </w:r>
          </w:p>
        </w:tc>
      </w:tr>
      <w:tr w:rsidR="00D33976" w:rsidRPr="004104E7" w14:paraId="7BCF9D3D" w14:textId="77777777" w:rsidTr="00944E8B">
        <w:tc>
          <w:tcPr>
            <w:tcW w:w="987" w:type="pct"/>
            <w:tcBorders>
              <w:top w:val="nil"/>
              <w:bottom w:val="nil"/>
            </w:tcBorders>
          </w:tcPr>
          <w:p w14:paraId="040634FB" w14:textId="77777777" w:rsidR="00D33976" w:rsidRPr="004104E7" w:rsidRDefault="00000000" w:rsidP="006127C5">
            <w:pPr>
              <w:pStyle w:val="TableHeading"/>
              <w:keepLines/>
              <w:spacing w:before="45" w:after="45"/>
              <w:ind w:left="57" w:right="108"/>
              <w:rPr>
                <w:rFonts w:ascii="Arial (Body)" w:hAnsi="Arial (Body)"/>
                <w:color w:val="265A9A"/>
              </w:rPr>
            </w:pPr>
            <m:oMathPara>
              <m:oMathParaPr>
                <m:jc m:val="left"/>
              </m:oMathParaPr>
              <m:oMath>
                <m:sSub>
                  <m:sSubPr>
                    <m:ctrlPr>
                      <w:rPr>
                        <w:rFonts w:ascii="Cambria Math" w:hAnsi="Cambria Math"/>
                        <w:color w:val="265A9A"/>
                      </w:rPr>
                    </m:ctrlPr>
                  </m:sSubPr>
                  <m:e>
                    <m:r>
                      <m:rPr>
                        <m:sty m:val="bi"/>
                      </m:rPr>
                      <w:rPr>
                        <w:rFonts w:ascii="Cambria Math" w:hAnsi="Cambria Math"/>
                        <w:color w:val="265A9A"/>
                      </w:rPr>
                      <m:t>γ</m:t>
                    </m:r>
                  </m:e>
                  <m:sub>
                    <m:r>
                      <m:rPr>
                        <m:sty m:val="bi"/>
                      </m:rPr>
                      <w:rPr>
                        <w:rFonts w:ascii="Cambria Math" w:hAnsi="Cambria Math"/>
                        <w:color w:val="265A9A"/>
                      </w:rPr>
                      <m:t>i</m:t>
                    </m:r>
                  </m:sub>
                </m:sSub>
              </m:oMath>
            </m:oMathPara>
          </w:p>
        </w:tc>
        <w:tc>
          <w:tcPr>
            <w:tcW w:w="4013" w:type="pct"/>
            <w:tcBorders>
              <w:top w:val="nil"/>
              <w:bottom w:val="nil"/>
            </w:tcBorders>
          </w:tcPr>
          <w:p w14:paraId="7D2B28F8" w14:textId="77777777" w:rsidR="00D33976" w:rsidRPr="004104E7" w:rsidRDefault="00D33976" w:rsidP="00AB62C3">
            <w:pPr>
              <w:pStyle w:val="TableBody"/>
              <w:keepLines/>
              <w:spacing w:before="45" w:after="45"/>
              <w:ind w:right="108"/>
              <w:rPr>
                <w:rFonts w:ascii="Arial (Body)" w:hAnsi="Arial (Body)"/>
                <w:color w:val="000000"/>
              </w:rPr>
            </w:pPr>
            <w:r w:rsidRPr="004104E7">
              <w:rPr>
                <w:rFonts w:ascii="Arial (Body)" w:hAnsi="Arial (Body)"/>
                <w:color w:val="000000" w:themeColor="text1"/>
              </w:rPr>
              <w:t>Dummy variables (hospital fixed effects)</w:t>
            </w:r>
          </w:p>
        </w:tc>
      </w:tr>
      <w:tr w:rsidR="00D33976" w:rsidRPr="004104E7" w14:paraId="46F6C1C2" w14:textId="77777777" w:rsidTr="00944E8B">
        <w:tc>
          <w:tcPr>
            <w:tcW w:w="987" w:type="pct"/>
            <w:tcBorders>
              <w:top w:val="nil"/>
              <w:bottom w:val="nil"/>
            </w:tcBorders>
            <w:shd w:val="clear" w:color="auto" w:fill="EBEBEB"/>
          </w:tcPr>
          <w:p w14:paraId="66D023C5" w14:textId="77777777" w:rsidR="00D33976" w:rsidRPr="004104E7" w:rsidRDefault="00000000" w:rsidP="006127C5">
            <w:pPr>
              <w:pStyle w:val="TableHeading"/>
              <w:keepLines/>
              <w:spacing w:before="45" w:after="45"/>
              <w:ind w:left="57" w:right="108"/>
              <w:rPr>
                <w:rFonts w:ascii="Arial (Body)" w:hAnsi="Arial (Body)"/>
                <w:color w:val="265A9A"/>
              </w:rPr>
            </w:pPr>
            <m:oMathPara>
              <m:oMathParaPr>
                <m:jc m:val="left"/>
              </m:oMathParaPr>
              <m:oMath>
                <m:sSub>
                  <m:sSubPr>
                    <m:ctrlPr>
                      <w:rPr>
                        <w:rFonts w:ascii="Cambria Math" w:hAnsi="Cambria Math"/>
                        <w:color w:val="265A9A"/>
                      </w:rPr>
                    </m:ctrlPr>
                  </m:sSubPr>
                  <m:e>
                    <m:r>
                      <m:rPr>
                        <m:sty m:val="bi"/>
                      </m:rPr>
                      <w:rPr>
                        <w:rFonts w:ascii="Cambria Math" w:hAnsi="Cambria Math"/>
                        <w:color w:val="265A9A"/>
                      </w:rPr>
                      <m:t>λ</m:t>
                    </m:r>
                  </m:e>
                  <m:sub>
                    <m:r>
                      <m:rPr>
                        <m:sty m:val="bi"/>
                      </m:rPr>
                      <w:rPr>
                        <w:rFonts w:ascii="Cambria Math" w:hAnsi="Cambria Math"/>
                        <w:color w:val="265A9A"/>
                      </w:rPr>
                      <m:t>t</m:t>
                    </m:r>
                  </m:sub>
                </m:sSub>
              </m:oMath>
            </m:oMathPara>
          </w:p>
        </w:tc>
        <w:tc>
          <w:tcPr>
            <w:tcW w:w="4013" w:type="pct"/>
            <w:tcBorders>
              <w:top w:val="nil"/>
              <w:bottom w:val="nil"/>
            </w:tcBorders>
            <w:shd w:val="clear" w:color="auto" w:fill="EBEBEB"/>
          </w:tcPr>
          <w:p w14:paraId="59F92B16" w14:textId="77777777" w:rsidR="00D33976" w:rsidRPr="004104E7" w:rsidRDefault="00D33976" w:rsidP="00AB62C3">
            <w:pPr>
              <w:pStyle w:val="TableBody"/>
              <w:keepLines/>
              <w:spacing w:before="45" w:after="45"/>
              <w:ind w:right="108"/>
              <w:rPr>
                <w:rFonts w:ascii="Arial (Body)" w:hAnsi="Arial (Body)"/>
                <w:color w:val="000000"/>
              </w:rPr>
            </w:pPr>
            <w:r w:rsidRPr="004104E7">
              <w:rPr>
                <w:rFonts w:ascii="Arial (Body)" w:hAnsi="Arial (Body)"/>
                <w:color w:val="000000" w:themeColor="text1"/>
              </w:rPr>
              <w:t>Dummy variables (month/year fixed effects)</w:t>
            </w:r>
          </w:p>
        </w:tc>
      </w:tr>
      <w:tr w:rsidR="00D33976" w:rsidRPr="004104E7" w14:paraId="331BA373" w14:textId="77777777" w:rsidTr="00944E8B">
        <w:tc>
          <w:tcPr>
            <w:tcW w:w="987" w:type="pct"/>
            <w:tcBorders>
              <w:top w:val="nil"/>
            </w:tcBorders>
          </w:tcPr>
          <w:p w14:paraId="0374165B" w14:textId="77777777" w:rsidR="00D33976" w:rsidRPr="004104E7" w:rsidRDefault="00000000" w:rsidP="006127C5">
            <w:pPr>
              <w:pStyle w:val="TableHeading"/>
              <w:keepLines/>
              <w:spacing w:before="45" w:after="45"/>
              <w:ind w:left="57" w:right="108"/>
              <w:rPr>
                <w:rFonts w:ascii="Arial (Body)" w:hAnsi="Arial (Body)"/>
                <w:color w:val="265A9A"/>
              </w:rPr>
            </w:pPr>
            <m:oMathPara>
              <m:oMathParaPr>
                <m:jc m:val="left"/>
              </m:oMathParaPr>
              <m:oMath>
                <m:sSub>
                  <m:sSubPr>
                    <m:ctrlPr>
                      <w:rPr>
                        <w:rFonts w:ascii="Cambria Math" w:hAnsi="Cambria Math"/>
                        <w:color w:val="265A9A"/>
                      </w:rPr>
                    </m:ctrlPr>
                  </m:sSubPr>
                  <m:e>
                    <m:r>
                      <m:rPr>
                        <m:sty m:val="bi"/>
                      </m:rPr>
                      <w:rPr>
                        <w:rFonts w:ascii="Cambria Math" w:hAnsi="Cambria Math"/>
                        <w:color w:val="265A9A"/>
                      </w:rPr>
                      <m:t>ε</m:t>
                    </m:r>
                  </m:e>
                  <m:sub>
                    <m:r>
                      <m:rPr>
                        <m:sty m:val="bi"/>
                      </m:rPr>
                      <w:rPr>
                        <w:rFonts w:ascii="Cambria Math" w:hAnsi="Cambria Math"/>
                        <w:color w:val="265A9A"/>
                      </w:rPr>
                      <m:t>ijt</m:t>
                    </m:r>
                  </m:sub>
                </m:sSub>
              </m:oMath>
            </m:oMathPara>
          </w:p>
        </w:tc>
        <w:tc>
          <w:tcPr>
            <w:tcW w:w="4013" w:type="pct"/>
            <w:tcBorders>
              <w:top w:val="nil"/>
            </w:tcBorders>
          </w:tcPr>
          <w:p w14:paraId="178A6399" w14:textId="77777777" w:rsidR="00D33976" w:rsidRPr="004104E7" w:rsidRDefault="00D33976" w:rsidP="00AB62C3">
            <w:pPr>
              <w:pStyle w:val="TableBody"/>
              <w:keepLines/>
              <w:spacing w:before="45" w:after="45"/>
              <w:ind w:right="108"/>
              <w:rPr>
                <w:rFonts w:ascii="Arial (Body)" w:hAnsi="Arial (Body)"/>
                <w:color w:val="000000"/>
              </w:rPr>
            </w:pPr>
            <w:r w:rsidRPr="004104E7">
              <w:rPr>
                <w:rFonts w:ascii="Arial (Body)" w:hAnsi="Arial (Body)"/>
                <w:color w:val="000000" w:themeColor="text1"/>
              </w:rPr>
              <w:t>Random disturbance term</w:t>
            </w:r>
          </w:p>
        </w:tc>
      </w:tr>
    </w:tbl>
    <w:p w14:paraId="465A3577" w14:textId="7C34ACB2" w:rsidR="00D33976" w:rsidRPr="004104E7" w:rsidRDefault="00D33976" w:rsidP="002A562A">
      <w:pPr>
        <w:pStyle w:val="Note"/>
        <w:keepNext/>
        <w:keepLines/>
        <w:spacing w:after="240"/>
      </w:pPr>
      <w:r w:rsidRPr="004104E7">
        <w:t xml:space="preserve">The intercept and coefficients for </w:t>
      </w:r>
      <m:oMath>
        <m:r>
          <w:rPr>
            <w:rFonts w:ascii="Cambria Math" w:eastAsiaTheme="minorEastAsia" w:hAnsi="Cambria Math"/>
          </w:rPr>
          <m:t>treate</m:t>
        </m:r>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ij</m:t>
            </m:r>
          </m:sub>
        </m:sSub>
      </m:oMath>
      <w:r w:rsidRPr="004104E7">
        <w:rPr>
          <w:bCs/>
        </w:rPr>
        <w:t xml:space="preserve"> and </w:t>
      </w:r>
      <m:oMath>
        <m:sSub>
          <m:sSubPr>
            <m:ctrlPr>
              <w:rPr>
                <w:rFonts w:ascii="Cambria Math" w:hAnsi="Cambria Math"/>
                <w:bCs/>
                <w:i/>
              </w:rPr>
            </m:ctrlPr>
          </m:sSubPr>
          <m:e>
            <m:r>
              <w:rPr>
                <w:rFonts w:ascii="Cambria Math" w:hAnsi="Cambria Math"/>
              </w:rPr>
              <m:t>post</m:t>
            </m:r>
          </m:e>
          <m:sub>
            <m:r>
              <w:rPr>
                <w:rFonts w:ascii="Cambria Math" w:hAnsi="Cambria Math"/>
              </w:rPr>
              <m:t>t</m:t>
            </m:r>
          </m:sub>
        </m:sSub>
      </m:oMath>
      <w:r w:rsidRPr="004104E7">
        <w:t xml:space="preserve"> are removed when a DiD regression includes fixed effects. </w:t>
      </w:r>
    </w:p>
    <w:p w14:paraId="0DC1E309" w14:textId="77777777" w:rsidR="00D33976" w:rsidRDefault="00D33976" w:rsidP="00AB62C3">
      <w:pPr>
        <w:pStyle w:val="BodyText"/>
        <w:rPr>
          <w:rFonts w:eastAsiaTheme="minorEastAsia"/>
        </w:rPr>
      </w:pPr>
      <w:r w:rsidRPr="004104E7">
        <w:t xml:space="preserve">The coefficient of interest, </w:t>
      </w:r>
      <m:oMath>
        <m:sSub>
          <m:sSubPr>
            <m:ctrlPr>
              <w:rPr>
                <w:rFonts w:ascii="Cambria Math" w:hAnsi="Cambria Math"/>
                <w:sz w:val="18"/>
              </w:rPr>
            </m:ctrlPr>
          </m:sSubPr>
          <m:e>
            <m:r>
              <w:rPr>
                <w:rFonts w:ascii="Cambria Math" w:hAnsi="Cambria Math"/>
              </w:rPr>
              <m:t>β</m:t>
            </m:r>
          </m:e>
          <m:sub>
            <m:r>
              <m:rPr>
                <m:sty m:val="p"/>
              </m:rPr>
              <w:rPr>
                <w:rFonts w:ascii="Cambria Math" w:hAnsi="Cambria Math"/>
              </w:rPr>
              <m:t>3</m:t>
            </m:r>
            <m:ctrlPr>
              <w:rPr>
                <w:rFonts w:ascii="Cambria Math" w:hAnsi="Cambria Math"/>
              </w:rPr>
            </m:ctrlPr>
          </m:sub>
        </m:sSub>
      </m:oMath>
      <w:r w:rsidRPr="004104E7">
        <w:rPr>
          <w:rFonts w:eastAsiaTheme="minorEastAsia"/>
        </w:rPr>
        <w:t>, measures the effect of the funding adjustment on the treated group. The value is expressed in log</w:t>
      </w:r>
      <w:r w:rsidRPr="004104E7">
        <w:rPr>
          <w:rFonts w:eastAsiaTheme="minorEastAsia"/>
        </w:rPr>
        <w:noBreakHyphen/>
        <w:t xml:space="preserve">odds. To make interpreting this result more intuitive, this is converted to an odds ratio by taking the exponential i.e., </w:t>
      </w:r>
      <m:oMath>
        <m:sSup>
          <m:sSupPr>
            <m:ctrlPr>
              <w:rPr>
                <w:rFonts w:ascii="Cambria Math" w:eastAsiaTheme="minorEastAsia" w:hAnsi="Cambria Math"/>
                <w:i/>
              </w:rPr>
            </m:ctrlPr>
          </m:sSupPr>
          <m:e>
            <m:r>
              <w:rPr>
                <w:rFonts w:ascii="Cambria Math" w:hAnsi="Cambria Math"/>
              </w:rPr>
              <m:t>e</m:t>
            </m:r>
            <m:ctrlPr>
              <w:rPr>
                <w:rFonts w:ascii="Cambria Math" w:hAnsi="Cambria Math"/>
                <w:i/>
              </w:rPr>
            </m:ctrlPr>
          </m:e>
          <m:sup>
            <m:sSub>
              <m:sSubPr>
                <m:ctrlPr>
                  <w:rPr>
                    <w:rFonts w:ascii="Cambria Math" w:hAnsi="Cambria Math"/>
                    <w:i/>
                  </w:rPr>
                </m:ctrlPr>
              </m:sSubPr>
              <m:e>
                <m:r>
                  <w:rPr>
                    <w:rFonts w:ascii="Cambria Math" w:hAnsi="Cambria Math"/>
                  </w:rPr>
                  <m:t>β</m:t>
                </m:r>
              </m:e>
              <m:sub>
                <m:r>
                  <w:rPr>
                    <w:rFonts w:ascii="Cambria Math" w:hAnsi="Cambria Math"/>
                  </w:rPr>
                  <m:t>3</m:t>
                </m:r>
              </m:sub>
            </m:sSub>
          </m:sup>
        </m:sSup>
      </m:oMath>
      <w:r w:rsidRPr="004104E7">
        <w:rPr>
          <w:rFonts w:eastAsiaTheme="minorEastAsia"/>
        </w:rPr>
        <w:t xml:space="preserve">. The odds ratio for </w:t>
      </w:r>
      <m:oMath>
        <m:sSub>
          <m:sSubPr>
            <m:ctrlPr>
              <w:rPr>
                <w:rFonts w:ascii="Cambria Math" w:hAnsi="Cambria Math"/>
                <w:sz w:val="18"/>
              </w:rPr>
            </m:ctrlPr>
          </m:sSubPr>
          <m:e>
            <m:r>
              <w:rPr>
                <w:rFonts w:ascii="Cambria Math" w:hAnsi="Cambria Math"/>
              </w:rPr>
              <m:t>β</m:t>
            </m:r>
          </m:e>
          <m:sub>
            <m:r>
              <m:rPr>
                <m:sty m:val="p"/>
              </m:rPr>
              <w:rPr>
                <w:rFonts w:ascii="Cambria Math" w:hAnsi="Cambria Math"/>
              </w:rPr>
              <m:t>3</m:t>
            </m:r>
            <m:ctrlPr>
              <w:rPr>
                <w:rFonts w:ascii="Cambria Math" w:hAnsi="Cambria Math"/>
              </w:rPr>
            </m:ctrlPr>
          </m:sub>
        </m:sSub>
      </m:oMath>
      <w:r w:rsidRPr="004104E7">
        <w:rPr>
          <w:rFonts w:eastAsiaTheme="minorEastAsia"/>
        </w:rPr>
        <w:t xml:space="preserve"> tells us how the odds of a HAC occurring change for the treated group because of the funding adjustment. It is a relative term, which means it provides the direction and magnitude of the funding adjustment’s impact, relative to a baseline (or starting) probability. To determine the absolute (percentage point) change, we refer to the baseline which, in this case, is the pre</w:t>
      </w:r>
      <w:r w:rsidRPr="004104E7">
        <w:rPr>
          <w:rFonts w:eastAsiaTheme="minorEastAsia"/>
        </w:rPr>
        <w:noBreakHyphen/>
        <w:t>policy rate of episodes with at least one HAC in the treated group. Further, the odds of an event occurring is distinct from its probability. These two measures express similar concepts, but they operate on different scales. A simple formula allows us to convert one to the other (box</w:t>
      </w:r>
      <w:r>
        <w:rPr>
          <w:rFonts w:eastAsiaTheme="minorEastAsia"/>
        </w:rPr>
        <w:t> </w:t>
      </w:r>
      <w:r w:rsidRPr="004104E7">
        <w:rPr>
          <w:rFonts w:eastAsiaTheme="minorEastAsia"/>
        </w:rPr>
        <w:t xml:space="preserve">B.2). </w:t>
      </w:r>
    </w:p>
    <w:tbl>
      <w:tblPr>
        <w:tblStyle w:val="Boxtable"/>
        <w:tblW w:w="5000" w:type="pct"/>
        <w:tblLook w:val="04A0" w:firstRow="1" w:lastRow="0" w:firstColumn="1" w:lastColumn="0" w:noHBand="0" w:noVBand="1"/>
      </w:tblPr>
      <w:tblGrid>
        <w:gridCol w:w="9638"/>
      </w:tblGrid>
      <w:tr w:rsidR="00D33976" w14:paraId="177C78AC" w14:textId="77777777" w:rsidTr="00AB62C3">
        <w:trPr>
          <w:tblHeader/>
        </w:trPr>
        <w:tc>
          <w:tcPr>
            <w:tcW w:w="9638" w:type="dxa"/>
            <w:shd w:val="clear" w:color="auto" w:fill="EBEBEB"/>
            <w:tcMar>
              <w:top w:w="170" w:type="dxa"/>
              <w:left w:w="170" w:type="dxa"/>
              <w:bottom w:w="113" w:type="dxa"/>
              <w:right w:w="170" w:type="dxa"/>
            </w:tcMar>
            <w:hideMark/>
          </w:tcPr>
          <w:p w14:paraId="54E95C08" w14:textId="77777777" w:rsidR="00D33976" w:rsidRDefault="00D33976" w:rsidP="00AB62C3">
            <w:pPr>
              <w:pStyle w:val="BoxHeading1"/>
            </w:pPr>
            <w:r>
              <w:lastRenderedPageBreak/>
              <w:t xml:space="preserve">Box B.2 – </w:t>
            </w:r>
            <w:r w:rsidRPr="004104E7">
              <w:t xml:space="preserve">The difference between probability, odds and odds ratio </w:t>
            </w:r>
          </w:p>
        </w:tc>
      </w:tr>
      <w:tr w:rsidR="00D33976" w14:paraId="224D3EDA" w14:textId="77777777" w:rsidTr="00AB62C3">
        <w:tc>
          <w:tcPr>
            <w:tcW w:w="9638" w:type="dxa"/>
            <w:shd w:val="clear" w:color="auto" w:fill="EBEBEB"/>
            <w:tcMar>
              <w:top w:w="28" w:type="dxa"/>
              <w:left w:w="170" w:type="dxa"/>
              <w:bottom w:w="170" w:type="dxa"/>
              <w:right w:w="170" w:type="dxa"/>
            </w:tcMar>
            <w:hideMark/>
          </w:tcPr>
          <w:p w14:paraId="1D2E2931" w14:textId="64D4CB83" w:rsidR="00D33976" w:rsidRPr="004104E7" w:rsidRDefault="00D33976" w:rsidP="00AB62C3">
            <w:pPr>
              <w:pStyle w:val="BodyText"/>
            </w:pPr>
            <w:r w:rsidRPr="004104E7">
              <w:rPr>
                <w:b/>
                <w:bCs/>
              </w:rPr>
              <w:t>Probability</w:t>
            </w:r>
            <w:r w:rsidRPr="004104E7">
              <w:t xml:space="preserve"> refers to the likelihood that an event will occur. It ranges from 0</w:t>
            </w:r>
            <w:r w:rsidR="005B1D9F">
              <w:t xml:space="preserve"> to </w:t>
            </w:r>
            <w:r w:rsidRPr="004104E7">
              <w:t>100%.</w:t>
            </w:r>
          </w:p>
          <w:p w14:paraId="00117F22" w14:textId="77777777" w:rsidR="00D33976" w:rsidRPr="004104E7" w:rsidRDefault="00D33976" w:rsidP="00AB62C3">
            <w:pPr>
              <w:pStyle w:val="BodyText"/>
              <w:rPr>
                <w:rFonts w:eastAsiaTheme="minorEastAsia" w:cstheme="minorHAnsi"/>
              </w:rPr>
            </w:pPr>
            <w:r w:rsidRPr="004104E7">
              <w:rPr>
                <w:rFonts w:eastAsiaTheme="minorEastAsia"/>
                <w:b/>
                <w:bCs/>
              </w:rPr>
              <w:t>Odds</w:t>
            </w:r>
            <w:r w:rsidRPr="004104E7">
              <w:rPr>
                <w:rFonts w:eastAsiaTheme="minorEastAsia"/>
              </w:rPr>
              <w:t xml:space="preserve"> refer to the proportion between the probability an event will occur and the probability that it will not occur. It cannot go below zero but has no upper bound</w:t>
            </w:r>
            <w:r w:rsidRPr="004104E7">
              <w:rPr>
                <w:rFonts w:eastAsiaTheme="minorEastAsia" w:cstheme="minorHAnsi"/>
              </w:rPr>
              <w:t xml:space="preserve">. </w:t>
            </w:r>
          </w:p>
          <w:p w14:paraId="3A46E443" w14:textId="77777777" w:rsidR="00D33976" w:rsidRPr="004104E7" w:rsidRDefault="00D33976" w:rsidP="00AB62C3">
            <w:pPr>
              <w:pStyle w:val="BodyText"/>
              <w:rPr>
                <w:rFonts w:eastAsiaTheme="minorEastAsia"/>
              </w:rPr>
            </w:pPr>
            <m:oMathPara>
              <m:oMath>
                <m:r>
                  <m:rPr>
                    <m:nor/>
                  </m:rPr>
                  <w:rPr>
                    <w:rFonts w:ascii="Cambria Math" w:hAnsi="Cambria Math"/>
                  </w:rPr>
                  <m:t>Odds of experiencing a HAC</m:t>
                </m:r>
                <m:r>
                  <w:rPr>
                    <w:rFonts w:ascii="Cambria Math" w:hAnsi="Cambria Math"/>
                  </w:rPr>
                  <m:t xml:space="preserve">= </m:t>
                </m:r>
                <m:f>
                  <m:fPr>
                    <m:ctrlPr>
                      <w:rPr>
                        <w:rFonts w:ascii="Cambria Math" w:hAnsi="Cambria Math"/>
                        <w:i/>
                      </w:rPr>
                    </m:ctrlPr>
                  </m:fPr>
                  <m:num>
                    <m:r>
                      <m:rPr>
                        <m:nor/>
                      </m:rPr>
                      <w:rPr>
                        <w:rFonts w:ascii="Cambria Math" w:hAnsi="Cambria Math"/>
                      </w:rPr>
                      <m:t xml:space="preserve">probability a HAC occurs </m:t>
                    </m:r>
                  </m:num>
                  <m:den>
                    <m:r>
                      <w:rPr>
                        <w:rFonts w:ascii="Cambria Math" w:hAnsi="Cambria Math"/>
                      </w:rPr>
                      <m:t>1-</m:t>
                    </m:r>
                    <m:r>
                      <m:rPr>
                        <m:nor/>
                      </m:rPr>
                      <w:rPr>
                        <w:rFonts w:ascii="Cambria Math" w:hAnsi="Cambria Math"/>
                      </w:rPr>
                      <m:t>probability a HAC occurs</m:t>
                    </m:r>
                  </m:den>
                </m:f>
              </m:oMath>
            </m:oMathPara>
          </w:p>
          <w:p w14:paraId="4CAFBEEC" w14:textId="77777777" w:rsidR="00D33976" w:rsidRPr="004104E7" w:rsidRDefault="00D33976" w:rsidP="00AB62C3">
            <w:pPr>
              <w:pStyle w:val="BodyText"/>
              <w:rPr>
                <w:rFonts w:eastAsiaTheme="minorEastAsia"/>
              </w:rPr>
            </w:pPr>
            <w:r w:rsidRPr="004104E7">
              <w:rPr>
                <w:rFonts w:eastAsiaTheme="minorEastAsia"/>
                <w:b/>
                <w:bCs/>
              </w:rPr>
              <w:t>Odds ratio</w:t>
            </w:r>
            <w:r w:rsidRPr="004104E7">
              <w:rPr>
                <w:rFonts w:eastAsiaTheme="minorEastAsia"/>
              </w:rPr>
              <w:t xml:space="preserve"> refers to proportion between the odds that an event will occur given treatment and odds that an event will occur without treatment. Its range is unlimited in both directions. </w:t>
            </w:r>
          </w:p>
          <w:p w14:paraId="0D3C5062" w14:textId="77777777" w:rsidR="00D33976" w:rsidRPr="004104E7" w:rsidRDefault="00D33976" w:rsidP="00AB62C3">
            <w:pPr>
              <w:pStyle w:val="BodyText"/>
              <w:rPr>
                <w:rFonts w:eastAsiaTheme="minorEastAsia"/>
              </w:rPr>
            </w:pPr>
            <m:oMathPara>
              <m:oMath>
                <m:r>
                  <m:rPr>
                    <m:nor/>
                  </m:rPr>
                  <w:rPr>
                    <w:rFonts w:ascii="Cambria Math" w:eastAsiaTheme="minorEastAsia" w:hAnsi="Cambria Math"/>
                  </w:rPr>
                  <m:t xml:space="preserve">Odds ratio of a HAC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hAnsi="Cambria Math"/>
                          </w:rPr>
                          <m:t>e</m:t>
                        </m:r>
                        <m:ctrlPr>
                          <w:rPr>
                            <w:rFonts w:ascii="Cambria Math" w:hAnsi="Cambria Math"/>
                            <w:i/>
                          </w:rPr>
                        </m:ctrlPr>
                      </m:e>
                      <m:sup>
                        <m:sSub>
                          <m:sSubPr>
                            <m:ctrlPr>
                              <w:rPr>
                                <w:rFonts w:ascii="Cambria Math" w:hAnsi="Cambria Math"/>
                                <w:i/>
                              </w:rPr>
                            </m:ctrlPr>
                          </m:sSubPr>
                          <m:e>
                            <m:r>
                              <w:rPr>
                                <w:rFonts w:ascii="Cambria Math" w:hAnsi="Cambria Math"/>
                              </w:rPr>
                              <m:t>β</m:t>
                            </m:r>
                          </m:e>
                          <m:sub>
                            <m:r>
                              <w:rPr>
                                <w:rFonts w:ascii="Cambria Math" w:hAnsi="Cambria Math"/>
                              </w:rPr>
                              <m:t>3</m:t>
                            </m:r>
                          </m:sub>
                        </m:sSub>
                      </m:sup>
                    </m:sSup>
                  </m:e>
                </m:d>
                <m:r>
                  <w:rPr>
                    <w:rFonts w:ascii="Cambria Math" w:eastAsiaTheme="minorEastAsia" w:hAnsi="Cambria Math"/>
                  </w:rPr>
                  <m:t xml:space="preserve">= </m:t>
                </m:r>
                <m:f>
                  <m:fPr>
                    <m:ctrlPr>
                      <w:rPr>
                        <w:rFonts w:ascii="Cambria Math" w:eastAsiaTheme="minorEastAsia" w:hAnsi="Cambria Math"/>
                        <w:i/>
                      </w:rPr>
                    </m:ctrlPr>
                  </m:fPr>
                  <m:num>
                    <m:r>
                      <m:rPr>
                        <m:nor/>
                      </m:rPr>
                      <w:rPr>
                        <w:rFonts w:ascii="Cambria Math" w:eastAsiaTheme="minorEastAsia" w:hAnsi="Cambria Math"/>
                      </w:rPr>
                      <m:t>odds of experiencing a HAC with the funding adjustment</m:t>
                    </m:r>
                  </m:num>
                  <m:den>
                    <m:r>
                      <m:rPr>
                        <m:nor/>
                      </m:rPr>
                      <w:rPr>
                        <w:rFonts w:ascii="Cambria Math" w:eastAsiaTheme="minorEastAsia" w:hAnsi="Cambria Math"/>
                      </w:rPr>
                      <m:t>odds of experiencing a HAC without the funding adjustment</m:t>
                    </m:r>
                  </m:den>
                </m:f>
              </m:oMath>
            </m:oMathPara>
          </w:p>
          <w:p w14:paraId="5DE4819D" w14:textId="7CD4E2B4" w:rsidR="00D33976" w:rsidRDefault="00D33976" w:rsidP="00AB62C3">
            <w:pPr>
              <w:pStyle w:val="Source"/>
            </w:pPr>
            <w:r>
              <w:t xml:space="preserve">Source: Dodge </w:t>
            </w:r>
            <w:r w:rsidRPr="009F568D">
              <w:rPr>
                <w:rFonts w:ascii="Arial" w:hAnsi="Arial" w:cs="Arial"/>
              </w:rPr>
              <w:t>(2008)</w:t>
            </w:r>
            <w:r>
              <w:t>.</w:t>
            </w:r>
          </w:p>
        </w:tc>
      </w:tr>
      <w:tr w:rsidR="00D33976" w14:paraId="6EDBE253" w14:textId="77777777" w:rsidTr="00AB62C3">
        <w:trPr>
          <w:hidden/>
        </w:trPr>
        <w:tc>
          <w:tcPr>
            <w:tcW w:w="9638" w:type="dxa"/>
            <w:shd w:val="clear" w:color="auto" w:fill="auto"/>
            <w:tcMar>
              <w:top w:w="0" w:type="dxa"/>
              <w:left w:w="170" w:type="dxa"/>
              <w:bottom w:w="0" w:type="dxa"/>
              <w:right w:w="170" w:type="dxa"/>
            </w:tcMar>
          </w:tcPr>
          <w:p w14:paraId="0870EA5F" w14:textId="7D66578D" w:rsidR="00D33976" w:rsidRPr="00465191" w:rsidRDefault="00D33976" w:rsidP="00AB62C3">
            <w:pPr>
              <w:pStyle w:val="BodyText"/>
              <w:spacing w:before="0" w:after="0" w:line="80" w:lineRule="atLeast"/>
              <w:rPr>
                <w:smallCaps/>
                <w:vanish/>
              </w:rPr>
            </w:pPr>
          </w:p>
        </w:tc>
      </w:tr>
    </w:tbl>
    <w:p w14:paraId="0486839D" w14:textId="77777777" w:rsidR="00D33976" w:rsidRPr="004104E7" w:rsidRDefault="00D33976" w:rsidP="00AB62C3">
      <w:pPr>
        <w:pStyle w:val="BodyText"/>
        <w:rPr>
          <w:rFonts w:eastAsiaTheme="minorEastAsia"/>
        </w:rPr>
      </w:pPr>
      <w:r w:rsidRPr="004104E7">
        <w:rPr>
          <w:rFonts w:eastAsiaTheme="minorEastAsia"/>
        </w:rPr>
        <w:t>We estimated percentage point (absolute) and percentage (relative) change due to the funding adjustment. First, we calculated a baseline probability range (box</w:t>
      </w:r>
      <w:r>
        <w:rPr>
          <w:rFonts w:eastAsiaTheme="minorEastAsia"/>
        </w:rPr>
        <w:t> </w:t>
      </w:r>
      <w:r w:rsidRPr="004104E7">
        <w:rPr>
          <w:rFonts w:eastAsiaTheme="minorEastAsia"/>
        </w:rPr>
        <w:t>B.3), then converted it to odds and multiplied it by the odds ratio representing the impact of the funding adjustment (equation (2)).</w:t>
      </w:r>
      <w:r w:rsidRPr="00A46F91">
        <w:rPr>
          <w:rStyle w:val="FootnoteReference"/>
        </w:rPr>
        <w:footnoteReference w:id="14"/>
      </w:r>
      <w:r w:rsidRPr="004104E7">
        <w:rPr>
          <w:rFonts w:eastAsiaTheme="minorEastAsia"/>
        </w:rPr>
        <w:t xml:space="preserve"> This gives us the odds conditional on the funding adjustment. The odds can then be returned to a probability estimate conditional on the funding adjustment (equation (3)):</w:t>
      </w:r>
    </w:p>
    <w:p w14:paraId="3773E272" w14:textId="77777777" w:rsidR="00D33976" w:rsidRPr="00872647" w:rsidRDefault="00000000" w:rsidP="00AB62C3">
      <w:pPr>
        <w:pStyle w:val="BodyText"/>
        <w:rPr>
          <w:rFonts w:eastAsiaTheme="minorEastAsia"/>
          <w:sz w:val="18"/>
          <w:szCs w:val="18"/>
        </w:rPr>
      </w:pPr>
      <m:oMathPara>
        <m:oMathParaPr>
          <m:jc m:val="left"/>
        </m:oMathParaPr>
        <m:oMath>
          <m:eqArr>
            <m:eqArrPr>
              <m:maxDist m:val="1"/>
              <m:ctrlPr>
                <w:rPr>
                  <w:rFonts w:ascii="Cambria Math" w:eastAsiaTheme="minorEastAsia" w:hAnsi="Cambria Math"/>
                  <w:i/>
                  <w:sz w:val="18"/>
                  <w:szCs w:val="18"/>
                </w:rPr>
              </m:ctrlPr>
            </m:eqArrPr>
            <m:e>
              <m:r>
                <m:rPr>
                  <m:nor/>
                </m:rPr>
                <w:rPr>
                  <w:rFonts w:ascii="Cambria Math" w:eastAsiaTheme="minorEastAsia" w:hAnsi="Cambria Math"/>
                  <w:sz w:val="18"/>
                  <w:szCs w:val="18"/>
                </w:rPr>
                <m:t>odds given the funding adjustment</m:t>
              </m:r>
              <m:r>
                <w:rPr>
                  <w:rFonts w:ascii="Cambria Math" w:eastAsiaTheme="minorEastAsia" w:hAnsi="Cambria Math"/>
                  <w:sz w:val="18"/>
                  <w:szCs w:val="18"/>
                </w:rPr>
                <m:t xml:space="preserve">= </m:t>
              </m:r>
              <m:f>
                <m:fPr>
                  <m:ctrlPr>
                    <w:rPr>
                      <w:rFonts w:ascii="Cambria Math" w:eastAsiaTheme="minorEastAsia" w:hAnsi="Cambria Math"/>
                      <w:i/>
                      <w:sz w:val="18"/>
                      <w:szCs w:val="18"/>
                    </w:rPr>
                  </m:ctrlPr>
                </m:fPr>
                <m:num>
                  <m:r>
                    <m:rPr>
                      <m:nor/>
                    </m:rPr>
                    <w:rPr>
                      <w:rFonts w:ascii="Cambria Math" w:eastAsiaTheme="minorEastAsia" w:hAnsi="Cambria Math"/>
                      <w:sz w:val="18"/>
                      <w:szCs w:val="18"/>
                    </w:rPr>
                    <m:t>baseline probability</m:t>
                  </m:r>
                </m:num>
                <m:den>
                  <m:d>
                    <m:dPr>
                      <m:ctrlPr>
                        <w:rPr>
                          <w:rFonts w:ascii="Cambria Math" w:eastAsiaTheme="minorEastAsia" w:hAnsi="Cambria Math"/>
                          <w:i/>
                          <w:sz w:val="18"/>
                          <w:szCs w:val="18"/>
                        </w:rPr>
                      </m:ctrlPr>
                    </m:dPr>
                    <m:e>
                      <m:r>
                        <w:rPr>
                          <w:rFonts w:ascii="Cambria Math" w:eastAsiaTheme="minorEastAsia" w:hAnsi="Cambria Math"/>
                          <w:sz w:val="18"/>
                          <w:szCs w:val="18"/>
                        </w:rPr>
                        <m:t xml:space="preserve">1- </m:t>
                      </m:r>
                      <m:r>
                        <m:rPr>
                          <m:nor/>
                        </m:rPr>
                        <w:rPr>
                          <w:rFonts w:ascii="Cambria Math" w:eastAsiaTheme="minorEastAsia" w:hAnsi="Cambria Math"/>
                          <w:sz w:val="18"/>
                          <w:szCs w:val="18"/>
                        </w:rPr>
                        <m:t>baseline probability</m:t>
                      </m:r>
                    </m:e>
                  </m:d>
                </m:den>
              </m:f>
              <m:r>
                <w:rPr>
                  <w:rFonts w:ascii="Cambria Math" w:eastAsiaTheme="minorEastAsia" w:hAnsi="Cambria Math"/>
                  <w:sz w:val="18"/>
                  <w:szCs w:val="18"/>
                </w:rPr>
                <m:t xml:space="preserve"> ×</m:t>
              </m:r>
              <m:sSup>
                <m:sSupPr>
                  <m:ctrlPr>
                    <w:rPr>
                      <w:rFonts w:ascii="Cambria Math" w:eastAsiaTheme="minorEastAsia" w:hAnsi="Cambria Math"/>
                      <w:i/>
                      <w:sz w:val="18"/>
                      <w:szCs w:val="18"/>
                    </w:rPr>
                  </m:ctrlPr>
                </m:sSupPr>
                <m:e>
                  <m:r>
                    <w:rPr>
                      <w:rFonts w:ascii="Cambria Math" w:hAnsi="Cambria Math"/>
                      <w:sz w:val="18"/>
                      <w:szCs w:val="18"/>
                    </w:rPr>
                    <m:t>e</m:t>
                  </m:r>
                  <m:ctrlPr>
                    <w:rPr>
                      <w:rFonts w:ascii="Cambria Math" w:hAnsi="Cambria Math"/>
                      <w:i/>
                      <w:sz w:val="18"/>
                      <w:szCs w:val="18"/>
                    </w:rPr>
                  </m:ctrlPr>
                </m:e>
                <m:sup>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3</m:t>
                      </m:r>
                    </m:sub>
                  </m:sSub>
                </m:sup>
              </m:sSup>
              <m:r>
                <w:rPr>
                  <w:rFonts w:ascii="Cambria Math" w:eastAsiaTheme="minorEastAsia" w:hAnsi="Cambria Math"/>
                  <w:sz w:val="18"/>
                  <w:szCs w:val="18"/>
                </w:rPr>
                <m:t>#(2)</m:t>
              </m:r>
            </m:e>
          </m:eqArr>
        </m:oMath>
      </m:oMathPara>
    </w:p>
    <w:p w14:paraId="73C30308" w14:textId="77777777" w:rsidR="00D33976" w:rsidRPr="00872647" w:rsidRDefault="00000000" w:rsidP="00AB62C3">
      <w:pPr>
        <w:pStyle w:val="BodyText"/>
        <w:rPr>
          <w:rFonts w:eastAsiaTheme="minorEastAsia"/>
          <w:sz w:val="18"/>
          <w:szCs w:val="18"/>
        </w:rPr>
      </w:pPr>
      <m:oMathPara>
        <m:oMath>
          <m:eqArr>
            <m:eqArrPr>
              <m:maxDist m:val="1"/>
              <m:ctrlPr>
                <w:rPr>
                  <w:rFonts w:ascii="Cambria Math" w:eastAsiaTheme="minorEastAsia" w:hAnsi="Cambria Math"/>
                  <w:i/>
                  <w:sz w:val="18"/>
                  <w:szCs w:val="18"/>
                </w:rPr>
              </m:ctrlPr>
            </m:eqArrPr>
            <m:e>
              <m:r>
                <m:rPr>
                  <m:nor/>
                </m:rPr>
                <w:rPr>
                  <w:rFonts w:ascii="Cambria Math" w:eastAsiaTheme="minorEastAsia" w:hAnsi="Cambria Math"/>
                  <w:sz w:val="18"/>
                  <w:szCs w:val="18"/>
                </w:rPr>
                <m:t>probability given the funding adjustment</m:t>
              </m:r>
              <m:r>
                <w:rPr>
                  <w:rFonts w:ascii="Cambria Math" w:eastAsiaTheme="minorEastAsia" w:hAnsi="Cambria Math"/>
                  <w:sz w:val="18"/>
                  <w:szCs w:val="18"/>
                </w:rPr>
                <m:t xml:space="preserve">= </m:t>
              </m:r>
              <m:f>
                <m:fPr>
                  <m:ctrlPr>
                    <w:rPr>
                      <w:rFonts w:ascii="Cambria Math" w:eastAsiaTheme="minorEastAsia" w:hAnsi="Cambria Math"/>
                      <w:i/>
                      <w:sz w:val="18"/>
                      <w:szCs w:val="18"/>
                    </w:rPr>
                  </m:ctrlPr>
                </m:fPr>
                <m:num>
                  <m:r>
                    <m:rPr>
                      <m:nor/>
                    </m:rPr>
                    <w:rPr>
                      <w:rFonts w:ascii="Cambria Math" w:eastAsiaTheme="minorEastAsia" w:hAnsi="Cambria Math"/>
                      <w:sz w:val="18"/>
                      <w:szCs w:val="18"/>
                    </w:rPr>
                    <m:t>odds given the funding adjustment</m:t>
                  </m:r>
                </m:num>
                <m:den>
                  <m:d>
                    <m:dPr>
                      <m:ctrlPr>
                        <w:rPr>
                          <w:rFonts w:ascii="Cambria Math" w:eastAsiaTheme="minorEastAsia" w:hAnsi="Cambria Math"/>
                          <w:i/>
                          <w:sz w:val="18"/>
                          <w:szCs w:val="18"/>
                        </w:rPr>
                      </m:ctrlPr>
                    </m:dPr>
                    <m:e>
                      <m:r>
                        <m:rPr>
                          <m:nor/>
                        </m:rPr>
                        <w:rPr>
                          <w:rFonts w:ascii="Cambria Math" w:eastAsiaTheme="minorEastAsia" w:hAnsi="Cambria Math"/>
                          <w:sz w:val="18"/>
                          <w:szCs w:val="18"/>
                        </w:rPr>
                        <m:t>1 + odds given the funding adjustment</m:t>
                      </m:r>
                    </m:e>
                  </m:d>
                </m:den>
              </m:f>
              <m:r>
                <w:rPr>
                  <w:rFonts w:ascii="Cambria Math" w:eastAsiaTheme="minorEastAsia" w:hAnsi="Cambria Math"/>
                  <w:sz w:val="18"/>
                  <w:szCs w:val="18"/>
                </w:rPr>
                <m:t>#</m:t>
              </m:r>
              <m:d>
                <m:dPr>
                  <m:ctrlPr>
                    <w:rPr>
                      <w:rFonts w:ascii="Cambria Math" w:eastAsiaTheme="minorEastAsia" w:hAnsi="Cambria Math"/>
                      <w:i/>
                      <w:sz w:val="18"/>
                      <w:szCs w:val="18"/>
                    </w:rPr>
                  </m:ctrlPr>
                </m:dPr>
                <m:e>
                  <m:r>
                    <w:rPr>
                      <w:rFonts w:ascii="Cambria Math" w:eastAsiaTheme="minorEastAsia" w:hAnsi="Cambria Math"/>
                      <w:sz w:val="18"/>
                      <w:szCs w:val="18"/>
                    </w:rPr>
                    <m:t>3</m:t>
                  </m:r>
                </m:e>
              </m:d>
            </m:e>
          </m:eqArr>
        </m:oMath>
      </m:oMathPara>
    </w:p>
    <w:p w14:paraId="1B583F06" w14:textId="77777777" w:rsidR="00D33976" w:rsidRPr="004104E7" w:rsidRDefault="00D33976" w:rsidP="00AB62C3">
      <w:pPr>
        <w:pStyle w:val="BodyText"/>
        <w:rPr>
          <w:rFonts w:eastAsiaTheme="minorEastAsia"/>
        </w:rPr>
      </w:pPr>
      <w:r w:rsidRPr="004104E7">
        <w:rPr>
          <w:rFonts w:eastAsiaTheme="minorEastAsia"/>
        </w:rPr>
        <w:t>The difference between the baseline probability and the probability given the funding adjustment is the percentage point change attributable to the funding adjustment (equation (4)):</w:t>
      </w:r>
    </w:p>
    <w:p w14:paraId="130F10EA" w14:textId="3531CB6A" w:rsidR="00D33976" w:rsidRPr="00872647" w:rsidRDefault="00000000" w:rsidP="00AB62C3">
      <w:pPr>
        <w:pStyle w:val="Heading4"/>
        <w:rPr>
          <w:color w:val="auto"/>
          <w:sz w:val="18"/>
          <w:szCs w:val="18"/>
        </w:rPr>
      </w:pPr>
      <m:oMathPara>
        <m:oMath>
          <m:eqArr>
            <m:eqArrPr>
              <m:maxDist m:val="1"/>
              <m:ctrlPr>
                <w:rPr>
                  <w:rFonts w:ascii="Cambria Math" w:eastAsiaTheme="minorEastAsia" w:hAnsi="Cambria Math"/>
                  <w:i/>
                  <w:color w:val="auto"/>
                  <w:sz w:val="18"/>
                  <w:szCs w:val="18"/>
                </w:rPr>
              </m:ctrlPr>
            </m:eqArrPr>
            <m:e>
              <m:r>
                <m:rPr>
                  <m:nor/>
                </m:rPr>
                <w:rPr>
                  <w:rFonts w:ascii="Cambria Math" w:eastAsiaTheme="minorEastAsia" w:hAnsi="Cambria Math"/>
                  <w:color w:val="auto"/>
                  <w:sz w:val="18"/>
                  <w:szCs w:val="18"/>
                </w:rPr>
                <m:t>percentage change</m:t>
              </m:r>
              <m:r>
                <w:rPr>
                  <w:rFonts w:ascii="Cambria Math" w:eastAsiaTheme="minorEastAsia" w:hAnsi="Cambria Math"/>
                  <w:color w:val="auto"/>
                  <w:sz w:val="18"/>
                  <w:szCs w:val="18"/>
                </w:rPr>
                <m:t>=</m:t>
              </m:r>
              <m:d>
                <m:dPr>
                  <m:ctrlPr>
                    <w:rPr>
                      <w:rFonts w:ascii="Cambria Math" w:eastAsiaTheme="minorEastAsia" w:hAnsi="Cambria Math"/>
                      <w:i/>
                      <w:color w:val="auto"/>
                      <w:sz w:val="18"/>
                      <w:szCs w:val="18"/>
                    </w:rPr>
                  </m:ctrlPr>
                </m:dPr>
                <m:e>
                  <m:f>
                    <m:fPr>
                      <m:ctrlPr>
                        <w:rPr>
                          <w:rFonts w:ascii="Cambria Math" w:eastAsiaTheme="minorEastAsia" w:hAnsi="Cambria Math"/>
                          <w:i/>
                          <w:color w:val="auto"/>
                          <w:sz w:val="18"/>
                          <w:szCs w:val="18"/>
                        </w:rPr>
                      </m:ctrlPr>
                    </m:fPr>
                    <m:num>
                      <m:r>
                        <m:rPr>
                          <m:nor/>
                        </m:rPr>
                        <w:rPr>
                          <w:rFonts w:ascii="Cambria Math" w:eastAsiaTheme="minorEastAsia" w:hAnsi="Cambria Math"/>
                          <w:color w:val="auto"/>
                          <w:sz w:val="18"/>
                          <w:szCs w:val="18"/>
                        </w:rPr>
                        <m:t>probability given the funding adjustment</m:t>
                      </m:r>
                    </m:num>
                    <m:den>
                      <m:r>
                        <m:rPr>
                          <m:nor/>
                        </m:rPr>
                        <w:rPr>
                          <w:rFonts w:ascii="Cambria Math" w:eastAsiaTheme="minorEastAsia" w:hAnsi="Cambria Math"/>
                          <w:color w:val="auto"/>
                          <w:sz w:val="18"/>
                          <w:szCs w:val="18"/>
                        </w:rPr>
                        <m:t>baseline probability</m:t>
                      </m:r>
                    </m:den>
                  </m:f>
                </m:e>
              </m:d>
              <m:r>
                <w:rPr>
                  <w:rFonts w:ascii="Cambria Math" w:eastAsiaTheme="minorEastAsia" w:hAnsi="Cambria Math"/>
                  <w:color w:val="auto"/>
                  <w:sz w:val="18"/>
                  <w:szCs w:val="18"/>
                </w:rPr>
                <m:t>-1#</m:t>
              </m:r>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4</m:t>
                  </m:r>
                </m:e>
              </m:d>
            </m:e>
          </m:eqArr>
        </m:oMath>
      </m:oMathPara>
    </w:p>
    <w:p w14:paraId="2CA84CD2" w14:textId="4E3014A8" w:rsidR="00E8046C" w:rsidRDefault="00E8046C">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D33976" w14:paraId="2B0F4A25" w14:textId="77777777" w:rsidTr="00AB62C3">
        <w:trPr>
          <w:tblHeader/>
        </w:trPr>
        <w:tc>
          <w:tcPr>
            <w:tcW w:w="9638" w:type="dxa"/>
            <w:shd w:val="clear" w:color="auto" w:fill="EBEBEB"/>
            <w:tcMar>
              <w:top w:w="170" w:type="dxa"/>
              <w:left w:w="170" w:type="dxa"/>
              <w:bottom w:w="113" w:type="dxa"/>
              <w:right w:w="170" w:type="dxa"/>
            </w:tcMar>
            <w:hideMark/>
          </w:tcPr>
          <w:p w14:paraId="1909E127" w14:textId="77777777" w:rsidR="00D33976" w:rsidRDefault="00D33976" w:rsidP="00AB62C3">
            <w:pPr>
              <w:pStyle w:val="BoxHeading1"/>
            </w:pPr>
            <w:r>
              <w:lastRenderedPageBreak/>
              <w:t xml:space="preserve">Box B.3 – </w:t>
            </w:r>
            <w:r w:rsidRPr="004104E7">
              <w:t>Two estimates of the baseline probability of a HAC occurring</w:t>
            </w:r>
          </w:p>
        </w:tc>
      </w:tr>
      <w:tr w:rsidR="00D33976" w14:paraId="22B21352" w14:textId="77777777" w:rsidTr="00AB62C3">
        <w:tc>
          <w:tcPr>
            <w:tcW w:w="9638" w:type="dxa"/>
            <w:shd w:val="clear" w:color="auto" w:fill="EBEBEB"/>
            <w:tcMar>
              <w:top w:w="28" w:type="dxa"/>
              <w:left w:w="170" w:type="dxa"/>
              <w:bottom w:w="170" w:type="dxa"/>
              <w:right w:w="170" w:type="dxa"/>
            </w:tcMar>
            <w:hideMark/>
          </w:tcPr>
          <w:p w14:paraId="049C3108" w14:textId="77777777" w:rsidR="00D33976" w:rsidRPr="004104E7" w:rsidRDefault="00D33976" w:rsidP="00AB62C3">
            <w:pPr>
              <w:pStyle w:val="BodyText"/>
            </w:pPr>
            <w:r w:rsidRPr="004104E7">
              <w:t xml:space="preserve">We took two estimates of the baseline probability of a HAC occurring as the upper and lower bounds of a baseline probability range. </w:t>
            </w:r>
          </w:p>
          <w:p w14:paraId="7711AD3C" w14:textId="77777777" w:rsidR="00D33976" w:rsidRPr="004104E7" w:rsidRDefault="00D33976" w:rsidP="00AB62C3">
            <w:pPr>
              <w:pStyle w:val="BoxHeading2"/>
            </w:pPr>
            <w:r w:rsidRPr="004104E7">
              <w:t>Estimate 1: IHACPA reported rate of episodes with at least one HAC in 2017</w:t>
            </w:r>
            <w:r w:rsidRPr="004104E7">
              <w:noBreakHyphen/>
              <w:t>18.</w:t>
            </w:r>
          </w:p>
          <w:p w14:paraId="7C2FD2E0" w14:textId="7431EBE8" w:rsidR="00D33976" w:rsidRPr="004104E7" w:rsidRDefault="00D33976" w:rsidP="00AB62C3">
            <w:pPr>
              <w:pStyle w:val="BodyText"/>
            </w:pPr>
            <w:r w:rsidRPr="004104E7">
              <w:t xml:space="preserve">Using the number of episodes with at least one HAC reported by IHACPA for the seven HAC categories studied, and the </w:t>
            </w:r>
            <w:r w:rsidR="009A23E5">
              <w:t>three</w:t>
            </w:r>
            <w:r w:rsidRPr="004104E7">
              <w:t xml:space="preserve"> states and territories in our treat</w:t>
            </w:r>
            <w:r>
              <w:t>ment</w:t>
            </w:r>
            <w:r w:rsidRPr="004104E7">
              <w:t xml:space="preserve"> group we estimated that the baseline probability of a HAC occurring in 2017</w:t>
            </w:r>
            <w:r w:rsidRPr="004104E7">
              <w:noBreakHyphen/>
              <w:t xml:space="preserve">18 (the year prior to the implementation of the funding adjustment) was 3.08% </w:t>
            </w:r>
            <w:r w:rsidR="004A5E70" w:rsidRPr="004A5E70">
              <w:rPr>
                <w:rFonts w:ascii="Arial" w:hAnsi="Arial" w:cs="Arial"/>
                <w:szCs w:val="24"/>
              </w:rPr>
              <w:t>(IHACPA 2026)</w:t>
            </w:r>
            <w:r w:rsidRPr="004104E7">
              <w:t>.</w:t>
            </w:r>
          </w:p>
          <w:p w14:paraId="51B9D3C9" w14:textId="77777777" w:rsidR="00D33976" w:rsidRPr="004104E7" w:rsidRDefault="00D33976" w:rsidP="00AB62C3">
            <w:pPr>
              <w:pStyle w:val="BodyText"/>
              <w:rPr>
                <w:b/>
                <w:bCs/>
              </w:rPr>
            </w:pPr>
            <w:r w:rsidRPr="004104E7">
              <w:rPr>
                <w:b/>
                <w:bCs/>
              </w:rPr>
              <w:t>Estimate 2: PC estimate of the rate of episodes with at least one HAC in the pre</w:t>
            </w:r>
            <w:r w:rsidRPr="004104E7">
              <w:rPr>
                <w:b/>
              </w:rPr>
              <w:noBreakHyphen/>
            </w:r>
            <w:r w:rsidRPr="004104E7">
              <w:rPr>
                <w:b/>
                <w:bCs/>
              </w:rPr>
              <w:t>policy period.</w:t>
            </w:r>
          </w:p>
          <w:p w14:paraId="60FE9BF6" w14:textId="41F40B01" w:rsidR="00D33976" w:rsidRDefault="00D33976" w:rsidP="00AB62C3">
            <w:pPr>
              <w:pStyle w:val="BodyText"/>
            </w:pPr>
            <w:r w:rsidRPr="004104E7">
              <w:t>Using the number of episodes with at least one HAC across the states and territories in the treated group, for the seven HAC categories studied we estimated that the baseline probability of a HAC occurring between July 2016 and 2018 was 2.</w:t>
            </w:r>
            <w:r w:rsidR="0028649A">
              <w:t>3</w:t>
            </w:r>
            <w:r w:rsidRPr="004104E7">
              <w:t>1% (table</w:t>
            </w:r>
            <w:r>
              <w:t> </w:t>
            </w:r>
            <w:r w:rsidRPr="004104E7">
              <w:t>B.3).</w:t>
            </w:r>
          </w:p>
        </w:tc>
      </w:tr>
      <w:tr w:rsidR="00D33976" w14:paraId="0EDDF05B" w14:textId="77777777" w:rsidTr="00AB62C3">
        <w:trPr>
          <w:hidden/>
        </w:trPr>
        <w:tc>
          <w:tcPr>
            <w:tcW w:w="9638" w:type="dxa"/>
            <w:shd w:val="clear" w:color="auto" w:fill="auto"/>
            <w:tcMar>
              <w:top w:w="0" w:type="dxa"/>
              <w:left w:w="170" w:type="dxa"/>
              <w:bottom w:w="0" w:type="dxa"/>
              <w:right w:w="170" w:type="dxa"/>
            </w:tcMar>
          </w:tcPr>
          <w:p w14:paraId="249BFA4C" w14:textId="16EE8C14" w:rsidR="00D33976" w:rsidRPr="00465191" w:rsidRDefault="00D33976" w:rsidP="00AB62C3">
            <w:pPr>
              <w:pStyle w:val="BodyText"/>
              <w:spacing w:before="0" w:after="0" w:line="80" w:lineRule="atLeast"/>
              <w:rPr>
                <w:smallCaps/>
                <w:vanish/>
              </w:rPr>
            </w:pPr>
          </w:p>
        </w:tc>
      </w:tr>
    </w:tbl>
    <w:p w14:paraId="735A961E" w14:textId="77777777" w:rsidR="00D33976" w:rsidRPr="004104E7" w:rsidRDefault="00D33976" w:rsidP="00AB62C3">
      <w:pPr>
        <w:pStyle w:val="Heading4"/>
      </w:pPr>
      <w:r w:rsidRPr="004104E7">
        <w:t>Accounting for the role of patient risk factors …</w:t>
      </w:r>
    </w:p>
    <w:p w14:paraId="753DEC8A" w14:textId="0B98C367" w:rsidR="00D33976" w:rsidRPr="004104E7" w:rsidRDefault="00D33976" w:rsidP="00AB62C3">
      <w:pPr>
        <w:pStyle w:val="NoSpacing"/>
      </w:pPr>
      <w:r>
        <w:t>P</w:t>
      </w:r>
      <w:r w:rsidRPr="004104E7">
        <w:t xml:space="preserve">atient characteristics play a significant role in the risk of a HAC occurring. Patient risk factors will vary by patient mix, creating differences over time and between hospitals. These will not be accounted for in a standard </w:t>
      </w:r>
      <w:proofErr w:type="spellStart"/>
      <w:r w:rsidRPr="004104E7">
        <w:t>DiD</w:t>
      </w:r>
      <w:proofErr w:type="spellEnd"/>
      <w:r w:rsidRPr="004104E7">
        <w:t xml:space="preserve"> regression and are therefore important to identify and control for in the analysis.</w:t>
      </w:r>
    </w:p>
    <w:p w14:paraId="63A85CD9" w14:textId="3927DE4B" w:rsidR="00D33976" w:rsidRPr="004104E7" w:rsidRDefault="00D33976" w:rsidP="00AB62C3">
      <w:pPr>
        <w:pStyle w:val="BodyText"/>
      </w:pPr>
      <w:r w:rsidRPr="004104E7">
        <w:t>IHACPA investigated a range of potential patient risk factors using statistical analysis and clinical review to determine the significance and relevance of each factor. Based on this process, a final set of risk factors for complication categories 1</w:t>
      </w:r>
      <w:r w:rsidR="00BE57B0">
        <w:t>–</w:t>
      </w:r>
      <w:r w:rsidRPr="004104E7">
        <w:t xml:space="preserve">14 was determined </w:t>
      </w:r>
      <w:r w:rsidR="00F56591" w:rsidRPr="00F56591">
        <w:rPr>
          <w:rFonts w:ascii="Arial" w:hAnsi="Arial" w:cs="Arial"/>
          <w:szCs w:val="24"/>
        </w:rPr>
        <w:t>(IHPA 2018, p. 19)</w:t>
      </w:r>
      <w:r w:rsidRPr="004104E7">
        <w:t>. We included the full set of patient risk factors in our analysis</w:t>
      </w:r>
      <w:r w:rsidR="002625DA">
        <w:t>:</w:t>
      </w:r>
    </w:p>
    <w:p w14:paraId="4CFECE44" w14:textId="77777777" w:rsidR="00D33976" w:rsidRPr="004104E7" w:rsidRDefault="00D33976" w:rsidP="00AB62C3">
      <w:pPr>
        <w:pStyle w:val="ListBullet"/>
      </w:pPr>
      <w:r w:rsidRPr="004104E7">
        <w:t>Patient age: ranging from 0 to 95 years old</w:t>
      </w:r>
    </w:p>
    <w:p w14:paraId="663BF3F2" w14:textId="77777777" w:rsidR="00D33976" w:rsidRPr="004104E7" w:rsidRDefault="00D33976" w:rsidP="00AB62C3">
      <w:pPr>
        <w:pStyle w:val="ListBullet"/>
      </w:pPr>
      <w:r w:rsidRPr="004104E7">
        <w:t>Patient gender</w:t>
      </w:r>
      <w:r w:rsidRPr="00A46F91">
        <w:rPr>
          <w:rStyle w:val="FootnoteReference"/>
        </w:rPr>
        <w:footnoteReference w:id="15"/>
      </w:r>
    </w:p>
    <w:p w14:paraId="250A84AD" w14:textId="77777777" w:rsidR="00D33976" w:rsidRPr="004104E7" w:rsidRDefault="00D33976" w:rsidP="00AB62C3">
      <w:pPr>
        <w:pStyle w:val="ListBullet"/>
      </w:pPr>
      <w:r w:rsidRPr="004104E7">
        <w:t xml:space="preserve">Diagnosis related group (DRG) </w:t>
      </w:r>
      <w:proofErr w:type="gramStart"/>
      <w:r w:rsidRPr="004104E7">
        <w:t>type:</w:t>
      </w:r>
      <w:proofErr w:type="gramEnd"/>
      <w:r w:rsidRPr="004104E7">
        <w:t xml:space="preserve"> categorises all episodes into either medical or intervention</w:t>
      </w:r>
    </w:p>
    <w:p w14:paraId="1F909AB2" w14:textId="77777777" w:rsidR="00D33976" w:rsidRPr="004104E7" w:rsidRDefault="00D33976" w:rsidP="00AB62C3">
      <w:pPr>
        <w:pStyle w:val="ListBullet"/>
      </w:pPr>
      <w:r w:rsidRPr="004104E7">
        <w:t>Major diagnostic category: 24 groups identifying the types of condition</w:t>
      </w:r>
    </w:p>
    <w:p w14:paraId="098B5AD6" w14:textId="77777777" w:rsidR="00D33976" w:rsidRPr="004104E7" w:rsidRDefault="00D33976" w:rsidP="00AB62C3">
      <w:pPr>
        <w:pStyle w:val="ListBullet"/>
      </w:pPr>
      <w:r w:rsidRPr="004104E7">
        <w:t xml:space="preserve">Charlson score: an index of comorbidity – ranging from 0 to 16 – that considers the number and severity of existing health conditions on the probability of mortality within one year of hospitalisation </w:t>
      </w:r>
    </w:p>
    <w:p w14:paraId="422871C0" w14:textId="77777777" w:rsidR="00D33976" w:rsidRPr="004104E7" w:rsidRDefault="00D33976" w:rsidP="00AB62C3">
      <w:pPr>
        <w:pStyle w:val="ListBullet"/>
      </w:pPr>
      <w:r w:rsidRPr="004104E7">
        <w:t>Intensive care unit (ICU) status:</w:t>
      </w:r>
      <w:r>
        <w:t xml:space="preserve"> </w:t>
      </w:r>
      <w:r w:rsidRPr="004104E7">
        <w:t>whether the patient entered the ICU during the episode</w:t>
      </w:r>
    </w:p>
    <w:p w14:paraId="24A09A75" w14:textId="77777777" w:rsidR="00D33976" w:rsidRPr="004104E7" w:rsidRDefault="00D33976" w:rsidP="00AB62C3">
      <w:pPr>
        <w:pStyle w:val="ListBullet"/>
      </w:pPr>
      <w:r w:rsidRPr="004104E7">
        <w:t>Admission status: whether admission occurred on an emergency, rather than elective, basis</w:t>
      </w:r>
    </w:p>
    <w:p w14:paraId="40524DD3" w14:textId="64B080A8" w:rsidR="00D33976" w:rsidRPr="004104E7" w:rsidRDefault="00D33976" w:rsidP="00AB62C3">
      <w:pPr>
        <w:pStyle w:val="ListBullet"/>
      </w:pPr>
      <w:r w:rsidRPr="004104E7">
        <w:t>Transfer status: whether the patient was transferred from another hospital</w:t>
      </w:r>
      <w:r w:rsidR="002625DA">
        <w:t>.</w:t>
      </w:r>
    </w:p>
    <w:p w14:paraId="308070E5" w14:textId="77777777" w:rsidR="00D33976" w:rsidRPr="004104E7" w:rsidRDefault="00D33976" w:rsidP="00AB62C3">
      <w:pPr>
        <w:pStyle w:val="Heading4"/>
      </w:pPr>
      <w:r w:rsidRPr="004104E7">
        <w:t>… and variation between hospitals and over time</w:t>
      </w:r>
    </w:p>
    <w:p w14:paraId="4A77C17B" w14:textId="77777777" w:rsidR="00D33976" w:rsidRPr="004104E7" w:rsidRDefault="00D33976" w:rsidP="00AB62C3">
      <w:pPr>
        <w:pStyle w:val="BodyText"/>
        <w:rPr>
          <w:rFonts w:eastAsiaTheme="minorEastAsia"/>
        </w:rPr>
      </w:pPr>
      <w:r w:rsidRPr="004104E7">
        <w:t>There are also likely to be unobservable factors that can affect HAC rates. Such factors could be constant across hospitals but vary over time (such as the introduction of a nation</w:t>
      </w:r>
      <w:r w:rsidRPr="004104E7">
        <w:noBreakHyphen/>
        <w:t xml:space="preserve">wide public health campaign), or constant over time but vary across hospitals (such as the demographic characteristics of patients at each </w:t>
      </w:r>
      <w:r w:rsidRPr="004104E7">
        <w:lastRenderedPageBreak/>
        <w:t>hospital). As the same hospital establishments were studied over the same period, we controlled for these differences by including both time</w:t>
      </w:r>
      <w:r w:rsidRPr="00A46F91">
        <w:rPr>
          <w:rStyle w:val="FootnoteReference"/>
        </w:rPr>
        <w:footnoteReference w:id="16"/>
      </w:r>
      <w:r w:rsidRPr="004104E7">
        <w:t xml:space="preserve"> and hospital fixed effects.</w:t>
      </w:r>
    </w:p>
    <w:p w14:paraId="6F465FAD" w14:textId="77777777" w:rsidR="00D33976" w:rsidRDefault="00D33976" w:rsidP="00AB62C3">
      <w:pPr>
        <w:pStyle w:val="Heading2-Appendix"/>
      </w:pPr>
      <w:bookmarkStart w:id="14" w:name="_Toc224153248"/>
      <w:r>
        <w:t>Results</w:t>
      </w:r>
      <w:bookmarkEnd w:id="14"/>
    </w:p>
    <w:p w14:paraId="79D16170" w14:textId="77777777" w:rsidR="00D33976" w:rsidRPr="004104E7" w:rsidRDefault="00D33976" w:rsidP="00AB62C3">
      <w:pPr>
        <w:pStyle w:val="Heading3"/>
      </w:pPr>
      <w:r w:rsidRPr="004104E7">
        <w:t>Summary statistics</w:t>
      </w:r>
    </w:p>
    <w:p w14:paraId="7093ED9C" w14:textId="77777777" w:rsidR="00D33976" w:rsidRPr="004104E7" w:rsidRDefault="00D33976" w:rsidP="00AB62C3">
      <w:pPr>
        <w:pStyle w:val="BodyText"/>
      </w:pPr>
      <w:r w:rsidRPr="004104E7">
        <w:t>Descriptive statistics show the variation in HAC rates between the treatment and control groups and by HAC categories in the pre</w:t>
      </w:r>
      <w:r w:rsidRPr="004104E7">
        <w:noBreakHyphen/>
        <w:t xml:space="preserve"> and post</w:t>
      </w:r>
      <w:r w:rsidRPr="004104E7">
        <w:noBreakHyphen/>
        <w:t>policy periods (table</w:t>
      </w:r>
      <w:r>
        <w:t> </w:t>
      </w:r>
      <w:r w:rsidRPr="004104E7">
        <w:t>B.</w:t>
      </w:r>
      <w:r>
        <w:t>2</w:t>
      </w:r>
      <w:r w:rsidRPr="004104E7">
        <w:t>).</w:t>
      </w:r>
    </w:p>
    <w:p w14:paraId="760F7779" w14:textId="77777777" w:rsidR="00D33976" w:rsidRPr="004104E7" w:rsidRDefault="00D33976" w:rsidP="00AB62C3">
      <w:pPr>
        <w:pStyle w:val="FigureTableHeading"/>
      </w:pPr>
      <w:r w:rsidRPr="004104E7">
        <w:t>Table B.</w:t>
      </w:r>
      <w:r>
        <w:t>2</w:t>
      </w:r>
      <w:r w:rsidRPr="004104E7">
        <w:rPr>
          <w:noProof/>
        </w:rPr>
        <w:t xml:space="preserve"> –</w:t>
      </w:r>
      <w:r w:rsidRPr="004104E7">
        <w:t xml:space="preserve"> Summary statistics for treatment and control groups before and after the funding adjustment</w:t>
      </w:r>
    </w:p>
    <w:tbl>
      <w:tblPr>
        <w:tblW w:w="5000" w:type="pct"/>
        <w:tblBorders>
          <w:bottom w:val="single" w:sz="4" w:space="0" w:color="B3B3B3"/>
          <w:insideH w:val="single" w:sz="4" w:space="0" w:color="B3B3B3"/>
        </w:tblBorders>
        <w:shd w:val="clear" w:color="000000" w:fill="auto"/>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3214"/>
        <w:gridCol w:w="1606"/>
        <w:gridCol w:w="1606"/>
        <w:gridCol w:w="1606"/>
        <w:gridCol w:w="1606"/>
      </w:tblGrid>
      <w:tr w:rsidR="00D33976" w:rsidRPr="00066754" w14:paraId="60B7D83C" w14:textId="77777777" w:rsidTr="00944E8B">
        <w:trPr>
          <w:tblHeader/>
        </w:trPr>
        <w:tc>
          <w:tcPr>
            <w:tcW w:w="1667" w:type="pct"/>
            <w:tcBorders>
              <w:bottom w:val="single" w:sz="4" w:space="0" w:color="B3B3B3"/>
            </w:tcBorders>
            <w:vAlign w:val="bottom"/>
          </w:tcPr>
          <w:p w14:paraId="4A675C43" w14:textId="77777777" w:rsidR="00D33976" w:rsidRPr="00066754" w:rsidRDefault="00D33976" w:rsidP="00AB62C3">
            <w:pPr>
              <w:spacing w:before="45" w:after="45"/>
              <w:ind w:left="57" w:right="108"/>
              <w:rPr>
                <w:rFonts w:ascii="Arial (Body)" w:hAnsi="Arial (Body)"/>
                <w:b/>
                <w:color w:val="265A9A"/>
                <w:sz w:val="18"/>
                <w:szCs w:val="18"/>
              </w:rPr>
            </w:pPr>
          </w:p>
        </w:tc>
        <w:tc>
          <w:tcPr>
            <w:tcW w:w="833" w:type="pct"/>
            <w:tcBorders>
              <w:bottom w:val="single" w:sz="4" w:space="0" w:color="B3B3B3"/>
            </w:tcBorders>
            <w:vAlign w:val="bottom"/>
          </w:tcPr>
          <w:p w14:paraId="7A4B4131" w14:textId="77777777" w:rsidR="00D33976" w:rsidRPr="00066754" w:rsidRDefault="00D33976" w:rsidP="00AB62C3">
            <w:pPr>
              <w:pStyle w:val="TableHeading"/>
              <w:spacing w:before="45" w:after="45"/>
              <w:ind w:right="108"/>
              <w:contextualSpacing w:val="0"/>
              <w:jc w:val="right"/>
              <w:rPr>
                <w:rFonts w:ascii="Arial (Body)" w:hAnsi="Arial (Body)"/>
                <w:color w:val="265A9A"/>
                <w:sz w:val="18"/>
                <w:szCs w:val="18"/>
              </w:rPr>
            </w:pPr>
            <w:r w:rsidRPr="00066754">
              <w:rPr>
                <w:rFonts w:ascii="Arial (Body)" w:hAnsi="Arial (Body)"/>
                <w:color w:val="265A9A"/>
                <w:sz w:val="18"/>
                <w:szCs w:val="18"/>
              </w:rPr>
              <w:t>Pre</w:t>
            </w:r>
            <w:r w:rsidRPr="00066754">
              <w:rPr>
                <w:rFonts w:ascii="Arial (Body)" w:hAnsi="Arial (Body)"/>
                <w:color w:val="265A9A"/>
                <w:sz w:val="18"/>
                <w:szCs w:val="18"/>
              </w:rPr>
              <w:noBreakHyphen/>
              <w:t>treatment</w:t>
            </w:r>
          </w:p>
        </w:tc>
        <w:tc>
          <w:tcPr>
            <w:tcW w:w="833" w:type="pct"/>
            <w:tcBorders>
              <w:bottom w:val="single" w:sz="4" w:space="0" w:color="B3B3B3"/>
            </w:tcBorders>
            <w:vAlign w:val="bottom"/>
          </w:tcPr>
          <w:p w14:paraId="3410E040" w14:textId="77777777" w:rsidR="00D33976" w:rsidRPr="00066754" w:rsidRDefault="00D33976" w:rsidP="00AB62C3">
            <w:pPr>
              <w:pStyle w:val="TableHeading"/>
              <w:spacing w:before="45" w:after="45"/>
              <w:ind w:right="108"/>
              <w:contextualSpacing w:val="0"/>
              <w:jc w:val="right"/>
              <w:rPr>
                <w:rFonts w:ascii="Arial (Body)" w:hAnsi="Arial (Body)"/>
                <w:color w:val="265A9A"/>
                <w:sz w:val="18"/>
                <w:szCs w:val="18"/>
              </w:rPr>
            </w:pPr>
            <w:r w:rsidRPr="00066754">
              <w:rPr>
                <w:rFonts w:ascii="Arial (Body)" w:hAnsi="Arial (Body)"/>
                <w:color w:val="265A9A"/>
                <w:sz w:val="18"/>
                <w:szCs w:val="18"/>
              </w:rPr>
              <w:t>Post</w:t>
            </w:r>
            <w:r w:rsidRPr="00066754">
              <w:rPr>
                <w:rFonts w:ascii="Arial (Body)" w:hAnsi="Arial (Body)"/>
                <w:color w:val="265A9A"/>
                <w:sz w:val="18"/>
                <w:szCs w:val="18"/>
              </w:rPr>
              <w:noBreakHyphen/>
              <w:t>treatment</w:t>
            </w:r>
          </w:p>
        </w:tc>
        <w:tc>
          <w:tcPr>
            <w:tcW w:w="833" w:type="pct"/>
            <w:tcBorders>
              <w:bottom w:val="single" w:sz="4" w:space="0" w:color="B3B3B3"/>
            </w:tcBorders>
            <w:vAlign w:val="bottom"/>
          </w:tcPr>
          <w:p w14:paraId="0677BD03" w14:textId="77777777" w:rsidR="00D33976" w:rsidRPr="00066754" w:rsidRDefault="00D33976" w:rsidP="00AB62C3">
            <w:pPr>
              <w:pStyle w:val="TableHeading"/>
              <w:spacing w:before="45" w:after="45"/>
              <w:ind w:right="108"/>
              <w:contextualSpacing w:val="0"/>
              <w:jc w:val="right"/>
              <w:rPr>
                <w:rFonts w:ascii="Arial (Body)" w:hAnsi="Arial (Body)"/>
                <w:color w:val="265A9A"/>
                <w:sz w:val="18"/>
                <w:szCs w:val="18"/>
              </w:rPr>
            </w:pPr>
            <w:r w:rsidRPr="00066754">
              <w:rPr>
                <w:rFonts w:ascii="Arial (Body)" w:hAnsi="Arial (Body)"/>
                <w:color w:val="265A9A"/>
                <w:sz w:val="18"/>
                <w:szCs w:val="18"/>
              </w:rPr>
              <w:t>Pre</w:t>
            </w:r>
            <w:r w:rsidRPr="00066754">
              <w:rPr>
                <w:rFonts w:ascii="Arial (Body)" w:hAnsi="Arial (Body)"/>
                <w:color w:val="265A9A"/>
                <w:sz w:val="18"/>
                <w:szCs w:val="18"/>
              </w:rPr>
              <w:noBreakHyphen/>
              <w:t>control</w:t>
            </w:r>
          </w:p>
        </w:tc>
        <w:tc>
          <w:tcPr>
            <w:tcW w:w="833" w:type="pct"/>
            <w:tcBorders>
              <w:bottom w:val="single" w:sz="4" w:space="0" w:color="B3B3B3"/>
            </w:tcBorders>
            <w:vAlign w:val="bottom"/>
          </w:tcPr>
          <w:p w14:paraId="3A9AD3B0" w14:textId="77777777" w:rsidR="00D33976" w:rsidRPr="00066754" w:rsidRDefault="00D33976" w:rsidP="00AB62C3">
            <w:pPr>
              <w:pStyle w:val="TableHeading"/>
              <w:spacing w:before="45" w:after="45"/>
              <w:ind w:right="108"/>
              <w:contextualSpacing w:val="0"/>
              <w:jc w:val="right"/>
              <w:rPr>
                <w:rFonts w:ascii="Arial (Body)" w:hAnsi="Arial (Body)"/>
                <w:color w:val="265A9A"/>
                <w:sz w:val="18"/>
                <w:szCs w:val="18"/>
              </w:rPr>
            </w:pPr>
            <w:r w:rsidRPr="00066754">
              <w:rPr>
                <w:rFonts w:ascii="Arial (Body)" w:hAnsi="Arial (Body)"/>
                <w:color w:val="265A9A"/>
                <w:sz w:val="18"/>
                <w:szCs w:val="18"/>
              </w:rPr>
              <w:t>Post</w:t>
            </w:r>
            <w:r w:rsidRPr="00066754">
              <w:rPr>
                <w:rFonts w:ascii="Arial (Body)" w:hAnsi="Arial (Body)"/>
                <w:color w:val="265A9A"/>
                <w:sz w:val="18"/>
                <w:szCs w:val="18"/>
              </w:rPr>
              <w:noBreakHyphen/>
              <w:t>control</w:t>
            </w:r>
          </w:p>
        </w:tc>
      </w:tr>
      <w:tr w:rsidR="00D33976" w:rsidRPr="004104E7" w14:paraId="140158E7" w14:textId="77777777" w:rsidTr="00944E8B">
        <w:tc>
          <w:tcPr>
            <w:tcW w:w="1667" w:type="pct"/>
            <w:tcBorders>
              <w:top w:val="single" w:sz="4" w:space="0" w:color="B3B3B3"/>
              <w:bottom w:val="nil"/>
            </w:tcBorders>
            <w:shd w:val="clear" w:color="auto" w:fill="EBEBEB"/>
          </w:tcPr>
          <w:p w14:paraId="07EF52B6" w14:textId="77777777" w:rsidR="00D33976" w:rsidRPr="00066754" w:rsidRDefault="00D33976" w:rsidP="00AB62C3">
            <w:pPr>
              <w:pStyle w:val="TableHeading"/>
              <w:spacing w:before="45" w:after="45"/>
              <w:ind w:right="108"/>
              <w:rPr>
                <w:rFonts w:ascii="Arial (Body)" w:hAnsi="Arial (Body)"/>
                <w:color w:val="265A9A"/>
                <w:sz w:val="18"/>
                <w:szCs w:val="18"/>
              </w:rPr>
            </w:pPr>
            <w:r w:rsidRPr="00066754">
              <w:rPr>
                <w:rFonts w:ascii="Arial (Body)" w:hAnsi="Arial (Body)"/>
                <w:color w:val="265A9A"/>
                <w:sz w:val="18"/>
                <w:szCs w:val="18"/>
              </w:rPr>
              <w:t>Number of hospitals</w:t>
            </w:r>
          </w:p>
        </w:tc>
        <w:tc>
          <w:tcPr>
            <w:tcW w:w="833" w:type="pct"/>
            <w:tcBorders>
              <w:top w:val="single" w:sz="4" w:space="0" w:color="B3B3B3"/>
              <w:bottom w:val="nil"/>
            </w:tcBorders>
            <w:shd w:val="clear" w:color="auto" w:fill="EBEBEB"/>
          </w:tcPr>
          <w:p w14:paraId="0344CC97" w14:textId="77777777" w:rsidR="00D33976" w:rsidRPr="004104E7" w:rsidRDefault="00D33976" w:rsidP="00AB62C3">
            <w:pPr>
              <w:pStyle w:val="TableBody"/>
              <w:spacing w:before="45" w:after="45"/>
              <w:ind w:right="108"/>
              <w:jc w:val="right"/>
              <w:rPr>
                <w:rFonts w:ascii="Arial (Body)" w:hAnsi="Arial (Body)"/>
                <w:color w:val="000000"/>
              </w:rPr>
            </w:pPr>
            <w:r w:rsidRPr="004104E7">
              <w:t>188</w:t>
            </w:r>
          </w:p>
        </w:tc>
        <w:tc>
          <w:tcPr>
            <w:tcW w:w="833" w:type="pct"/>
            <w:tcBorders>
              <w:top w:val="single" w:sz="4" w:space="0" w:color="B3B3B3"/>
              <w:bottom w:val="nil"/>
            </w:tcBorders>
            <w:shd w:val="clear" w:color="auto" w:fill="EBEBEB"/>
          </w:tcPr>
          <w:p w14:paraId="01696060" w14:textId="77777777" w:rsidR="00D33976" w:rsidRPr="004104E7" w:rsidRDefault="00D33976" w:rsidP="00AB62C3">
            <w:pPr>
              <w:pStyle w:val="TableBody"/>
              <w:spacing w:before="45" w:after="45"/>
              <w:ind w:right="108"/>
              <w:jc w:val="right"/>
              <w:rPr>
                <w:rFonts w:ascii="Arial (Body)" w:hAnsi="Arial (Body)"/>
                <w:color w:val="000000"/>
              </w:rPr>
            </w:pPr>
            <w:r w:rsidRPr="004104E7">
              <w:t>218</w:t>
            </w:r>
          </w:p>
        </w:tc>
        <w:tc>
          <w:tcPr>
            <w:tcW w:w="833" w:type="pct"/>
            <w:tcBorders>
              <w:top w:val="single" w:sz="4" w:space="0" w:color="B3B3B3"/>
              <w:bottom w:val="nil"/>
            </w:tcBorders>
            <w:shd w:val="clear" w:color="auto" w:fill="EBEBEB"/>
          </w:tcPr>
          <w:p w14:paraId="42A2FA1A" w14:textId="77777777" w:rsidR="00D33976" w:rsidRPr="004104E7" w:rsidRDefault="00D33976" w:rsidP="00AB62C3">
            <w:pPr>
              <w:pStyle w:val="TableBody"/>
              <w:spacing w:before="45" w:after="45"/>
              <w:ind w:right="108"/>
              <w:jc w:val="right"/>
              <w:rPr>
                <w:rFonts w:ascii="Arial (Body)" w:hAnsi="Arial (Body)"/>
                <w:color w:val="000000"/>
              </w:rPr>
            </w:pPr>
            <w:r w:rsidRPr="004104E7">
              <w:t>110</w:t>
            </w:r>
          </w:p>
        </w:tc>
        <w:tc>
          <w:tcPr>
            <w:tcW w:w="833" w:type="pct"/>
            <w:tcBorders>
              <w:top w:val="single" w:sz="4" w:space="0" w:color="B3B3B3"/>
              <w:bottom w:val="nil"/>
            </w:tcBorders>
            <w:shd w:val="clear" w:color="auto" w:fill="EBEBEB"/>
          </w:tcPr>
          <w:p w14:paraId="01617CE7" w14:textId="77777777" w:rsidR="00D33976" w:rsidRPr="004104E7" w:rsidRDefault="00D33976" w:rsidP="00AB62C3">
            <w:pPr>
              <w:pStyle w:val="TableBody"/>
              <w:spacing w:before="45" w:after="45"/>
              <w:ind w:right="108"/>
              <w:jc w:val="right"/>
              <w:rPr>
                <w:rFonts w:ascii="Arial (Body)" w:hAnsi="Arial (Body)"/>
                <w:color w:val="000000"/>
              </w:rPr>
            </w:pPr>
            <w:r w:rsidRPr="004104E7">
              <w:t>106</w:t>
            </w:r>
          </w:p>
        </w:tc>
      </w:tr>
      <w:tr w:rsidR="00D33976" w:rsidRPr="004104E7" w14:paraId="26C11C0A" w14:textId="77777777" w:rsidTr="00944E8B">
        <w:tc>
          <w:tcPr>
            <w:tcW w:w="1667" w:type="pct"/>
            <w:tcBorders>
              <w:top w:val="nil"/>
              <w:bottom w:val="nil"/>
            </w:tcBorders>
          </w:tcPr>
          <w:p w14:paraId="12BC4521" w14:textId="77777777" w:rsidR="00D33976" w:rsidRPr="00066754" w:rsidRDefault="00D33976" w:rsidP="00AB62C3">
            <w:pPr>
              <w:pStyle w:val="TableHeading"/>
              <w:spacing w:before="45" w:after="45"/>
              <w:ind w:right="108"/>
              <w:rPr>
                <w:rFonts w:ascii="Arial (Body)" w:hAnsi="Arial (Body)"/>
                <w:color w:val="265A9A"/>
                <w:sz w:val="18"/>
                <w:szCs w:val="18"/>
              </w:rPr>
            </w:pPr>
            <w:r w:rsidRPr="00066754">
              <w:rPr>
                <w:rFonts w:ascii="Arial (Body)" w:hAnsi="Arial (Body)"/>
                <w:color w:val="265A9A"/>
                <w:sz w:val="18"/>
                <w:szCs w:val="18"/>
              </w:rPr>
              <w:t>Number of episodes</w:t>
            </w:r>
          </w:p>
        </w:tc>
        <w:tc>
          <w:tcPr>
            <w:tcW w:w="833" w:type="pct"/>
            <w:tcBorders>
              <w:top w:val="nil"/>
              <w:bottom w:val="nil"/>
            </w:tcBorders>
          </w:tcPr>
          <w:p w14:paraId="5BB4AC3C" w14:textId="77777777" w:rsidR="00D33976" w:rsidRPr="004104E7" w:rsidRDefault="00D33976" w:rsidP="00AB62C3">
            <w:pPr>
              <w:pStyle w:val="TableBody"/>
              <w:spacing w:before="45" w:after="45"/>
              <w:ind w:right="108"/>
              <w:jc w:val="right"/>
              <w:rPr>
                <w:rFonts w:ascii="Arial (Body)" w:hAnsi="Arial (Body)"/>
                <w:color w:val="000000"/>
              </w:rPr>
            </w:pPr>
            <w:r w:rsidRPr="004104E7">
              <w:t>2</w:t>
            </w:r>
            <w:r>
              <w:t>,</w:t>
            </w:r>
            <w:r w:rsidRPr="004104E7">
              <w:t>211</w:t>
            </w:r>
            <w:r>
              <w:t>,</w:t>
            </w:r>
            <w:r w:rsidRPr="004104E7">
              <w:t>540</w:t>
            </w:r>
          </w:p>
        </w:tc>
        <w:tc>
          <w:tcPr>
            <w:tcW w:w="833" w:type="pct"/>
            <w:tcBorders>
              <w:top w:val="nil"/>
              <w:bottom w:val="nil"/>
            </w:tcBorders>
          </w:tcPr>
          <w:p w14:paraId="3D40668E" w14:textId="77777777" w:rsidR="00D33976" w:rsidRPr="004104E7" w:rsidRDefault="00D33976" w:rsidP="00AB62C3">
            <w:pPr>
              <w:pStyle w:val="TableBody"/>
              <w:spacing w:before="45" w:after="45"/>
              <w:ind w:right="108"/>
              <w:jc w:val="right"/>
              <w:rPr>
                <w:rFonts w:ascii="Arial (Body)" w:hAnsi="Arial (Body)"/>
                <w:color w:val="000000"/>
              </w:rPr>
            </w:pPr>
            <w:r w:rsidRPr="004104E7">
              <w:t>1</w:t>
            </w:r>
            <w:r>
              <w:t>,</w:t>
            </w:r>
            <w:r w:rsidRPr="004104E7">
              <w:t>951</w:t>
            </w:r>
            <w:r>
              <w:t>,</w:t>
            </w:r>
            <w:r w:rsidRPr="004104E7">
              <w:t>791</w:t>
            </w:r>
          </w:p>
        </w:tc>
        <w:tc>
          <w:tcPr>
            <w:tcW w:w="833" w:type="pct"/>
            <w:tcBorders>
              <w:top w:val="nil"/>
              <w:bottom w:val="nil"/>
            </w:tcBorders>
          </w:tcPr>
          <w:p w14:paraId="6AAB3531" w14:textId="77777777" w:rsidR="00D33976" w:rsidRPr="004104E7" w:rsidRDefault="00D33976" w:rsidP="00AB62C3">
            <w:pPr>
              <w:pStyle w:val="TableBody"/>
              <w:spacing w:before="45" w:after="45"/>
              <w:ind w:right="108"/>
              <w:jc w:val="right"/>
              <w:rPr>
                <w:rFonts w:ascii="Arial (Body)" w:hAnsi="Arial (Body)"/>
                <w:color w:val="000000"/>
              </w:rPr>
            </w:pPr>
            <w:r w:rsidRPr="004104E7">
              <w:t>1</w:t>
            </w:r>
            <w:r>
              <w:t>,</w:t>
            </w:r>
            <w:r w:rsidRPr="004104E7">
              <w:t>874</w:t>
            </w:r>
            <w:r>
              <w:t>,</w:t>
            </w:r>
            <w:r w:rsidRPr="004104E7">
              <w:t>218</w:t>
            </w:r>
          </w:p>
        </w:tc>
        <w:tc>
          <w:tcPr>
            <w:tcW w:w="833" w:type="pct"/>
            <w:tcBorders>
              <w:top w:val="nil"/>
              <w:bottom w:val="nil"/>
            </w:tcBorders>
          </w:tcPr>
          <w:p w14:paraId="45249050" w14:textId="77777777" w:rsidR="00D33976" w:rsidRPr="004104E7" w:rsidRDefault="00D33976" w:rsidP="00AB62C3">
            <w:pPr>
              <w:pStyle w:val="TableBody"/>
              <w:spacing w:before="45" w:after="45"/>
              <w:ind w:right="108"/>
              <w:jc w:val="right"/>
              <w:rPr>
                <w:rFonts w:ascii="Arial (Body)" w:hAnsi="Arial (Body)"/>
                <w:color w:val="000000"/>
              </w:rPr>
            </w:pPr>
            <w:r w:rsidRPr="004104E7">
              <w:t>1</w:t>
            </w:r>
            <w:r>
              <w:t>,</w:t>
            </w:r>
            <w:r w:rsidRPr="004104E7">
              <w:t>606</w:t>
            </w:r>
            <w:r>
              <w:t>,</w:t>
            </w:r>
            <w:r w:rsidRPr="004104E7">
              <w:t>085</w:t>
            </w:r>
          </w:p>
        </w:tc>
      </w:tr>
      <w:tr w:rsidR="00D33976" w:rsidRPr="004104E7" w14:paraId="65D4184C" w14:textId="77777777" w:rsidTr="00944E8B">
        <w:tc>
          <w:tcPr>
            <w:tcW w:w="1667" w:type="pct"/>
            <w:tcBorders>
              <w:top w:val="nil"/>
              <w:bottom w:val="nil"/>
            </w:tcBorders>
            <w:shd w:val="clear" w:color="auto" w:fill="EBEBEB"/>
          </w:tcPr>
          <w:p w14:paraId="595D7057" w14:textId="77777777" w:rsidR="00D33976" w:rsidRPr="00066754" w:rsidRDefault="00D33976" w:rsidP="00AB62C3">
            <w:pPr>
              <w:pStyle w:val="TableHeading"/>
              <w:spacing w:before="45" w:after="45"/>
              <w:ind w:right="108"/>
              <w:rPr>
                <w:rFonts w:ascii="Arial (Body)" w:hAnsi="Arial (Body)"/>
                <w:color w:val="265A9A"/>
                <w:sz w:val="18"/>
                <w:szCs w:val="18"/>
              </w:rPr>
            </w:pPr>
            <w:r w:rsidRPr="00066754">
              <w:rPr>
                <w:rFonts w:ascii="Arial (Body)" w:hAnsi="Arial (Body)"/>
                <w:color w:val="265A9A"/>
                <w:sz w:val="18"/>
                <w:szCs w:val="18"/>
              </w:rPr>
              <w:t>Total episodes with a HAC</w:t>
            </w:r>
          </w:p>
        </w:tc>
        <w:tc>
          <w:tcPr>
            <w:tcW w:w="833" w:type="pct"/>
            <w:tcBorders>
              <w:top w:val="nil"/>
              <w:bottom w:val="nil"/>
            </w:tcBorders>
            <w:shd w:val="clear" w:color="auto" w:fill="EBEBEB"/>
          </w:tcPr>
          <w:p w14:paraId="70ABA919" w14:textId="77777777" w:rsidR="00D33976" w:rsidRPr="008161AE" w:rsidRDefault="00D33976" w:rsidP="00AB62C3">
            <w:pPr>
              <w:pStyle w:val="TableBody"/>
              <w:spacing w:before="45" w:after="45"/>
              <w:ind w:right="108"/>
              <w:jc w:val="right"/>
              <w:rPr>
                <w:rFonts w:ascii="Arial (Body)" w:hAnsi="Arial (Body)"/>
                <w:color w:val="000000"/>
              </w:rPr>
            </w:pPr>
            <w:r w:rsidRPr="008161AE">
              <w:t>57,090</w:t>
            </w:r>
          </w:p>
        </w:tc>
        <w:tc>
          <w:tcPr>
            <w:tcW w:w="833" w:type="pct"/>
            <w:tcBorders>
              <w:top w:val="nil"/>
              <w:bottom w:val="nil"/>
            </w:tcBorders>
            <w:shd w:val="clear" w:color="auto" w:fill="EBEBEB"/>
          </w:tcPr>
          <w:p w14:paraId="048308B7" w14:textId="77777777" w:rsidR="00D33976" w:rsidRPr="008161AE" w:rsidRDefault="00D33976" w:rsidP="00AB62C3">
            <w:pPr>
              <w:pStyle w:val="TableBody"/>
              <w:spacing w:before="45" w:after="45"/>
              <w:ind w:right="108"/>
              <w:jc w:val="right"/>
              <w:rPr>
                <w:rFonts w:ascii="Arial (Body)" w:hAnsi="Arial (Body)"/>
                <w:color w:val="000000"/>
              </w:rPr>
            </w:pPr>
            <w:r w:rsidRPr="008161AE">
              <w:t>32,059</w:t>
            </w:r>
          </w:p>
        </w:tc>
        <w:tc>
          <w:tcPr>
            <w:tcW w:w="833" w:type="pct"/>
            <w:tcBorders>
              <w:top w:val="nil"/>
              <w:bottom w:val="nil"/>
            </w:tcBorders>
            <w:shd w:val="clear" w:color="auto" w:fill="EBEBEB"/>
          </w:tcPr>
          <w:p w14:paraId="31F205DC" w14:textId="77777777" w:rsidR="00D33976" w:rsidRPr="008161AE" w:rsidRDefault="00D33976" w:rsidP="00AB62C3">
            <w:pPr>
              <w:pStyle w:val="TableBody"/>
              <w:spacing w:before="45" w:after="45"/>
              <w:ind w:right="108"/>
              <w:jc w:val="right"/>
              <w:rPr>
                <w:rFonts w:ascii="Arial (Body)" w:hAnsi="Arial (Body)"/>
                <w:color w:val="000000"/>
              </w:rPr>
            </w:pPr>
            <w:r w:rsidRPr="008161AE">
              <w:t>54,123</w:t>
            </w:r>
          </w:p>
        </w:tc>
        <w:tc>
          <w:tcPr>
            <w:tcW w:w="833" w:type="pct"/>
            <w:tcBorders>
              <w:top w:val="nil"/>
              <w:bottom w:val="nil"/>
            </w:tcBorders>
            <w:shd w:val="clear" w:color="auto" w:fill="EBEBEB"/>
          </w:tcPr>
          <w:p w14:paraId="2CD7974C" w14:textId="77777777" w:rsidR="00D33976" w:rsidRPr="008161AE" w:rsidRDefault="00D33976" w:rsidP="00AB62C3">
            <w:pPr>
              <w:pStyle w:val="TableBody"/>
              <w:spacing w:before="45" w:after="45"/>
              <w:ind w:right="108"/>
              <w:jc w:val="right"/>
              <w:rPr>
                <w:rFonts w:ascii="Arial (Body)" w:hAnsi="Arial (Body)"/>
                <w:color w:val="000000"/>
              </w:rPr>
            </w:pPr>
            <w:r w:rsidRPr="008161AE">
              <w:t>37,677</w:t>
            </w:r>
          </w:p>
        </w:tc>
      </w:tr>
      <w:tr w:rsidR="00D33976" w:rsidRPr="004104E7" w14:paraId="2F892EF3" w14:textId="77777777" w:rsidTr="00944E8B">
        <w:tc>
          <w:tcPr>
            <w:tcW w:w="1667" w:type="pct"/>
            <w:tcBorders>
              <w:top w:val="nil"/>
              <w:bottom w:val="nil"/>
            </w:tcBorders>
          </w:tcPr>
          <w:p w14:paraId="14B505B6" w14:textId="65F21079" w:rsidR="00D33976" w:rsidRPr="00066754" w:rsidRDefault="00D33976" w:rsidP="006566FF">
            <w:pPr>
              <w:pStyle w:val="TableHeading"/>
              <w:spacing w:before="45" w:after="45"/>
              <w:ind w:right="108"/>
              <w:rPr>
                <w:rFonts w:ascii="Arial (Body)" w:hAnsi="Arial (Body)"/>
                <w:b w:val="0"/>
                <w:color w:val="265A9A"/>
                <w:sz w:val="18"/>
                <w:szCs w:val="18"/>
              </w:rPr>
            </w:pPr>
            <w:r w:rsidRPr="00066754">
              <w:rPr>
                <w:rFonts w:ascii="Arial (Body)" w:hAnsi="Arial (Body)"/>
                <w:b w:val="0"/>
                <w:color w:val="265A9A"/>
                <w:sz w:val="18"/>
                <w:szCs w:val="18"/>
              </w:rPr>
              <w:t>Healthcare</w:t>
            </w:r>
            <w:r w:rsidRPr="00066754">
              <w:rPr>
                <w:rFonts w:ascii="Arial (Body)" w:hAnsi="Arial (Body)"/>
                <w:b w:val="0"/>
                <w:color w:val="265A9A"/>
                <w:sz w:val="18"/>
                <w:szCs w:val="18"/>
              </w:rPr>
              <w:noBreakHyphen/>
              <w:t>associated infection</w:t>
            </w:r>
          </w:p>
        </w:tc>
        <w:tc>
          <w:tcPr>
            <w:tcW w:w="833" w:type="pct"/>
            <w:tcBorders>
              <w:top w:val="nil"/>
              <w:bottom w:val="nil"/>
            </w:tcBorders>
          </w:tcPr>
          <w:p w14:paraId="7FA8D262" w14:textId="77777777" w:rsidR="00D33976" w:rsidRPr="004104E7" w:rsidRDefault="00D33976" w:rsidP="00AB62C3">
            <w:pPr>
              <w:pStyle w:val="TableBody"/>
              <w:spacing w:before="45" w:after="45"/>
              <w:ind w:right="108"/>
              <w:jc w:val="right"/>
              <w:rPr>
                <w:rFonts w:ascii="Arial (Body)" w:hAnsi="Arial (Body)"/>
                <w:color w:val="000000"/>
              </w:rPr>
            </w:pPr>
            <w:r w:rsidRPr="004104E7">
              <w:t>25</w:t>
            </w:r>
            <w:r>
              <w:t>,</w:t>
            </w:r>
            <w:r w:rsidRPr="004104E7">
              <w:t>302</w:t>
            </w:r>
          </w:p>
        </w:tc>
        <w:tc>
          <w:tcPr>
            <w:tcW w:w="833" w:type="pct"/>
            <w:tcBorders>
              <w:top w:val="nil"/>
              <w:bottom w:val="nil"/>
            </w:tcBorders>
          </w:tcPr>
          <w:p w14:paraId="0A9BED72" w14:textId="77777777" w:rsidR="00D33976" w:rsidRPr="004104E7" w:rsidRDefault="00D33976" w:rsidP="00AB62C3">
            <w:pPr>
              <w:pStyle w:val="TableBody"/>
              <w:spacing w:before="45" w:after="45"/>
              <w:ind w:right="108"/>
              <w:jc w:val="right"/>
              <w:rPr>
                <w:rFonts w:ascii="Arial (Body)" w:hAnsi="Arial (Body)"/>
                <w:color w:val="000000"/>
              </w:rPr>
            </w:pPr>
            <w:r w:rsidRPr="004104E7">
              <w:t>14</w:t>
            </w:r>
            <w:r>
              <w:t>,</w:t>
            </w:r>
            <w:r w:rsidRPr="004104E7">
              <w:t>722</w:t>
            </w:r>
          </w:p>
        </w:tc>
        <w:tc>
          <w:tcPr>
            <w:tcW w:w="833" w:type="pct"/>
            <w:tcBorders>
              <w:top w:val="nil"/>
              <w:bottom w:val="nil"/>
            </w:tcBorders>
          </w:tcPr>
          <w:p w14:paraId="1AF0DB00" w14:textId="77777777" w:rsidR="00D33976" w:rsidRPr="004104E7" w:rsidRDefault="00D33976" w:rsidP="00AB62C3">
            <w:pPr>
              <w:pStyle w:val="TableBody"/>
              <w:spacing w:before="45" w:after="45"/>
              <w:ind w:right="108"/>
              <w:jc w:val="right"/>
              <w:rPr>
                <w:rFonts w:ascii="Arial (Body)" w:hAnsi="Arial (Body)"/>
                <w:color w:val="000000"/>
              </w:rPr>
            </w:pPr>
            <w:r w:rsidRPr="004104E7">
              <w:t>24</w:t>
            </w:r>
            <w:r>
              <w:t>,</w:t>
            </w:r>
            <w:r w:rsidRPr="004104E7">
              <w:t>216</w:t>
            </w:r>
          </w:p>
        </w:tc>
        <w:tc>
          <w:tcPr>
            <w:tcW w:w="833" w:type="pct"/>
            <w:tcBorders>
              <w:top w:val="nil"/>
              <w:bottom w:val="nil"/>
            </w:tcBorders>
          </w:tcPr>
          <w:p w14:paraId="250E4566" w14:textId="77777777" w:rsidR="00D33976" w:rsidRPr="004104E7" w:rsidRDefault="00D33976" w:rsidP="00AB62C3">
            <w:pPr>
              <w:pStyle w:val="TableBody"/>
              <w:spacing w:before="45" w:after="45"/>
              <w:ind w:right="108"/>
              <w:jc w:val="right"/>
              <w:rPr>
                <w:rFonts w:ascii="Arial (Body)" w:hAnsi="Arial (Body)"/>
                <w:color w:val="000000"/>
              </w:rPr>
            </w:pPr>
            <w:r w:rsidRPr="004104E7">
              <w:t>17</w:t>
            </w:r>
            <w:r>
              <w:t>,</w:t>
            </w:r>
            <w:r w:rsidRPr="004104E7">
              <w:t>482</w:t>
            </w:r>
          </w:p>
        </w:tc>
      </w:tr>
      <w:tr w:rsidR="00D33976" w:rsidRPr="004104E7" w14:paraId="01029F6B" w14:textId="77777777" w:rsidTr="00944E8B">
        <w:tc>
          <w:tcPr>
            <w:tcW w:w="1667" w:type="pct"/>
            <w:tcBorders>
              <w:top w:val="nil"/>
              <w:bottom w:val="nil"/>
            </w:tcBorders>
            <w:shd w:val="clear" w:color="auto" w:fill="EBEBEB"/>
          </w:tcPr>
          <w:p w14:paraId="3CDAF266" w14:textId="18F3836F" w:rsidR="00D33976" w:rsidRPr="00066754" w:rsidRDefault="00D33976" w:rsidP="006566FF">
            <w:pPr>
              <w:pStyle w:val="TableHeading"/>
              <w:spacing w:before="45" w:after="45"/>
              <w:ind w:right="108"/>
              <w:rPr>
                <w:rFonts w:ascii="Arial (Body)" w:hAnsi="Arial (Body)"/>
                <w:b w:val="0"/>
                <w:color w:val="265A9A"/>
                <w:sz w:val="18"/>
                <w:szCs w:val="18"/>
              </w:rPr>
            </w:pPr>
            <w:r w:rsidRPr="00066754">
              <w:rPr>
                <w:rFonts w:ascii="Arial (Body)" w:hAnsi="Arial (Body)"/>
                <w:b w:val="0"/>
                <w:color w:val="265A9A"/>
                <w:sz w:val="18"/>
                <w:szCs w:val="18"/>
              </w:rPr>
              <w:t>Surgical complications</w:t>
            </w:r>
          </w:p>
        </w:tc>
        <w:tc>
          <w:tcPr>
            <w:tcW w:w="833" w:type="pct"/>
            <w:tcBorders>
              <w:top w:val="nil"/>
              <w:bottom w:val="nil"/>
            </w:tcBorders>
            <w:shd w:val="clear" w:color="auto" w:fill="EBEBEB"/>
          </w:tcPr>
          <w:p w14:paraId="36920FE4" w14:textId="77777777" w:rsidR="00D33976" w:rsidRPr="004104E7" w:rsidRDefault="00D33976" w:rsidP="00AB62C3">
            <w:pPr>
              <w:pStyle w:val="TableBody"/>
              <w:spacing w:before="45" w:after="45"/>
              <w:ind w:right="108"/>
              <w:jc w:val="right"/>
              <w:rPr>
                <w:rFonts w:ascii="Arial (Body)" w:hAnsi="Arial (Body)"/>
                <w:color w:val="000000"/>
              </w:rPr>
            </w:pPr>
            <w:r w:rsidRPr="004104E7">
              <w:t>7</w:t>
            </w:r>
            <w:r>
              <w:t>,</w:t>
            </w:r>
            <w:r w:rsidRPr="004104E7">
              <w:t>358</w:t>
            </w:r>
          </w:p>
        </w:tc>
        <w:tc>
          <w:tcPr>
            <w:tcW w:w="833" w:type="pct"/>
            <w:tcBorders>
              <w:top w:val="nil"/>
              <w:bottom w:val="nil"/>
            </w:tcBorders>
            <w:shd w:val="clear" w:color="auto" w:fill="EBEBEB"/>
          </w:tcPr>
          <w:p w14:paraId="1C7879B1" w14:textId="77777777" w:rsidR="00D33976" w:rsidRPr="004104E7" w:rsidRDefault="00D33976" w:rsidP="00AB62C3">
            <w:pPr>
              <w:pStyle w:val="TableBody"/>
              <w:spacing w:before="45" w:after="45"/>
              <w:ind w:right="108"/>
              <w:jc w:val="right"/>
              <w:rPr>
                <w:rFonts w:ascii="Arial (Body)" w:hAnsi="Arial (Body)"/>
                <w:color w:val="000000"/>
              </w:rPr>
            </w:pPr>
            <w:r w:rsidRPr="004104E7">
              <w:t>2</w:t>
            </w:r>
            <w:r>
              <w:t>,</w:t>
            </w:r>
            <w:r w:rsidRPr="004104E7">
              <w:t>222</w:t>
            </w:r>
          </w:p>
        </w:tc>
        <w:tc>
          <w:tcPr>
            <w:tcW w:w="833" w:type="pct"/>
            <w:tcBorders>
              <w:top w:val="nil"/>
              <w:bottom w:val="nil"/>
            </w:tcBorders>
            <w:shd w:val="clear" w:color="auto" w:fill="EBEBEB"/>
          </w:tcPr>
          <w:p w14:paraId="54E1494D" w14:textId="77777777" w:rsidR="00D33976" w:rsidRPr="004104E7" w:rsidRDefault="00D33976" w:rsidP="00AB62C3">
            <w:pPr>
              <w:pStyle w:val="TableBody"/>
              <w:spacing w:before="45" w:after="45"/>
              <w:ind w:right="108"/>
              <w:jc w:val="right"/>
              <w:rPr>
                <w:rFonts w:ascii="Arial (Body)" w:hAnsi="Arial (Body)"/>
                <w:color w:val="000000"/>
              </w:rPr>
            </w:pPr>
            <w:r w:rsidRPr="004104E7">
              <w:t>6</w:t>
            </w:r>
            <w:r>
              <w:t>,</w:t>
            </w:r>
            <w:r w:rsidRPr="004104E7">
              <w:t>745</w:t>
            </w:r>
          </w:p>
        </w:tc>
        <w:tc>
          <w:tcPr>
            <w:tcW w:w="833" w:type="pct"/>
            <w:tcBorders>
              <w:top w:val="nil"/>
              <w:bottom w:val="nil"/>
            </w:tcBorders>
            <w:shd w:val="clear" w:color="auto" w:fill="EBEBEB"/>
          </w:tcPr>
          <w:p w14:paraId="61C5EC2F" w14:textId="77777777" w:rsidR="00D33976" w:rsidRPr="004104E7" w:rsidRDefault="00D33976" w:rsidP="00AB62C3">
            <w:pPr>
              <w:pStyle w:val="TableBody"/>
              <w:spacing w:before="45" w:after="45"/>
              <w:ind w:right="108"/>
              <w:jc w:val="right"/>
              <w:rPr>
                <w:rFonts w:ascii="Arial (Body)" w:hAnsi="Arial (Body)"/>
                <w:color w:val="000000"/>
              </w:rPr>
            </w:pPr>
            <w:r w:rsidRPr="004104E7">
              <w:t>2</w:t>
            </w:r>
            <w:r>
              <w:t>,</w:t>
            </w:r>
            <w:r w:rsidRPr="004104E7">
              <w:t>006</w:t>
            </w:r>
          </w:p>
        </w:tc>
      </w:tr>
      <w:tr w:rsidR="00D33976" w:rsidRPr="004104E7" w14:paraId="5461CB08" w14:textId="77777777" w:rsidTr="00944E8B">
        <w:tc>
          <w:tcPr>
            <w:tcW w:w="1667" w:type="pct"/>
            <w:tcBorders>
              <w:top w:val="nil"/>
              <w:bottom w:val="nil"/>
            </w:tcBorders>
          </w:tcPr>
          <w:p w14:paraId="5CAA8544" w14:textId="4D46373F" w:rsidR="00D33976" w:rsidRPr="00066754" w:rsidRDefault="00D33976" w:rsidP="006566FF">
            <w:pPr>
              <w:pStyle w:val="TableHeading"/>
              <w:spacing w:before="45" w:after="45"/>
              <w:ind w:right="108"/>
              <w:rPr>
                <w:rFonts w:ascii="Arial (Body)" w:hAnsi="Arial (Body)"/>
                <w:b w:val="0"/>
                <w:color w:val="265A9A"/>
                <w:sz w:val="18"/>
                <w:szCs w:val="18"/>
              </w:rPr>
            </w:pPr>
            <w:r w:rsidRPr="00066754">
              <w:rPr>
                <w:rFonts w:ascii="Arial (Body)" w:hAnsi="Arial (Body)"/>
                <w:b w:val="0"/>
                <w:color w:val="265A9A"/>
                <w:sz w:val="18"/>
                <w:szCs w:val="18"/>
              </w:rPr>
              <w:t>Respiratory complications</w:t>
            </w:r>
          </w:p>
        </w:tc>
        <w:tc>
          <w:tcPr>
            <w:tcW w:w="833" w:type="pct"/>
            <w:tcBorders>
              <w:top w:val="nil"/>
              <w:bottom w:val="nil"/>
            </w:tcBorders>
          </w:tcPr>
          <w:p w14:paraId="14C760CB" w14:textId="77777777" w:rsidR="00D33976" w:rsidRPr="004104E7" w:rsidRDefault="00D33976" w:rsidP="00AB62C3">
            <w:pPr>
              <w:pStyle w:val="TableBody"/>
              <w:spacing w:before="45" w:after="45"/>
              <w:ind w:right="108"/>
              <w:jc w:val="right"/>
              <w:rPr>
                <w:rFonts w:ascii="Arial (Body)" w:hAnsi="Arial (Body)"/>
                <w:color w:val="000000"/>
              </w:rPr>
            </w:pPr>
            <w:r w:rsidRPr="004104E7">
              <w:t>5</w:t>
            </w:r>
            <w:r>
              <w:t>,</w:t>
            </w:r>
            <w:r w:rsidRPr="004104E7">
              <w:t>214</w:t>
            </w:r>
          </w:p>
        </w:tc>
        <w:tc>
          <w:tcPr>
            <w:tcW w:w="833" w:type="pct"/>
            <w:tcBorders>
              <w:top w:val="nil"/>
              <w:bottom w:val="nil"/>
            </w:tcBorders>
          </w:tcPr>
          <w:p w14:paraId="3FD8F794" w14:textId="77777777" w:rsidR="00D33976" w:rsidRPr="004104E7" w:rsidRDefault="00D33976" w:rsidP="00AB62C3">
            <w:pPr>
              <w:pStyle w:val="TableBody"/>
              <w:spacing w:before="45" w:after="45"/>
              <w:ind w:right="108"/>
              <w:jc w:val="right"/>
              <w:rPr>
                <w:rFonts w:ascii="Arial (Body)" w:hAnsi="Arial (Body)"/>
                <w:color w:val="000000"/>
              </w:rPr>
            </w:pPr>
            <w:r w:rsidRPr="004104E7">
              <w:t>2</w:t>
            </w:r>
            <w:r>
              <w:t>,</w:t>
            </w:r>
            <w:r w:rsidRPr="004104E7">
              <w:t>531</w:t>
            </w:r>
          </w:p>
        </w:tc>
        <w:tc>
          <w:tcPr>
            <w:tcW w:w="833" w:type="pct"/>
            <w:tcBorders>
              <w:top w:val="nil"/>
              <w:bottom w:val="nil"/>
            </w:tcBorders>
          </w:tcPr>
          <w:p w14:paraId="019ECC93" w14:textId="77777777" w:rsidR="00D33976" w:rsidRPr="004104E7" w:rsidRDefault="00D33976" w:rsidP="00AB62C3">
            <w:pPr>
              <w:pStyle w:val="TableBody"/>
              <w:spacing w:before="45" w:after="45"/>
              <w:ind w:right="108"/>
              <w:jc w:val="right"/>
              <w:rPr>
                <w:rFonts w:ascii="Arial (Body)" w:hAnsi="Arial (Body)"/>
                <w:color w:val="000000"/>
              </w:rPr>
            </w:pPr>
            <w:r w:rsidRPr="004104E7">
              <w:t>3</w:t>
            </w:r>
            <w:r>
              <w:t>,</w:t>
            </w:r>
            <w:r w:rsidRPr="004104E7">
              <w:t>317</w:t>
            </w:r>
          </w:p>
        </w:tc>
        <w:tc>
          <w:tcPr>
            <w:tcW w:w="833" w:type="pct"/>
            <w:tcBorders>
              <w:top w:val="nil"/>
              <w:bottom w:val="nil"/>
            </w:tcBorders>
          </w:tcPr>
          <w:p w14:paraId="441AD4C8" w14:textId="77777777" w:rsidR="00D33976" w:rsidRPr="004104E7" w:rsidRDefault="00D33976" w:rsidP="00AB62C3">
            <w:pPr>
              <w:pStyle w:val="TableBody"/>
              <w:spacing w:before="45" w:after="45"/>
              <w:ind w:right="108"/>
              <w:jc w:val="right"/>
              <w:rPr>
                <w:rFonts w:ascii="Arial (Body)" w:hAnsi="Arial (Body)"/>
                <w:color w:val="000000"/>
              </w:rPr>
            </w:pPr>
            <w:r w:rsidRPr="004104E7">
              <w:t>2</w:t>
            </w:r>
            <w:r>
              <w:t>,</w:t>
            </w:r>
            <w:r w:rsidRPr="004104E7">
              <w:t>083</w:t>
            </w:r>
          </w:p>
        </w:tc>
      </w:tr>
      <w:tr w:rsidR="00D33976" w:rsidRPr="004104E7" w14:paraId="415A4FB4" w14:textId="77777777" w:rsidTr="00944E8B">
        <w:tc>
          <w:tcPr>
            <w:tcW w:w="1667" w:type="pct"/>
            <w:tcBorders>
              <w:top w:val="nil"/>
              <w:bottom w:val="nil"/>
            </w:tcBorders>
            <w:shd w:val="clear" w:color="auto" w:fill="EBEBEB"/>
          </w:tcPr>
          <w:p w14:paraId="46B6D70F" w14:textId="25C729FB" w:rsidR="00D33976" w:rsidRPr="00066754" w:rsidRDefault="00D33976" w:rsidP="006566FF">
            <w:pPr>
              <w:pStyle w:val="TableHeading"/>
              <w:spacing w:before="45" w:after="45"/>
              <w:ind w:right="108"/>
              <w:rPr>
                <w:rFonts w:ascii="Arial (Body)" w:hAnsi="Arial (Body)"/>
                <w:b w:val="0"/>
                <w:color w:val="265A9A"/>
                <w:sz w:val="18"/>
                <w:szCs w:val="18"/>
              </w:rPr>
            </w:pPr>
            <w:r w:rsidRPr="00066754">
              <w:rPr>
                <w:rFonts w:ascii="Arial (Body)" w:hAnsi="Arial (Body)"/>
                <w:b w:val="0"/>
                <w:color w:val="265A9A"/>
                <w:sz w:val="18"/>
                <w:szCs w:val="18"/>
              </w:rPr>
              <w:t>Medication complications</w:t>
            </w:r>
          </w:p>
        </w:tc>
        <w:tc>
          <w:tcPr>
            <w:tcW w:w="833" w:type="pct"/>
            <w:tcBorders>
              <w:top w:val="nil"/>
              <w:bottom w:val="nil"/>
            </w:tcBorders>
            <w:shd w:val="clear" w:color="auto" w:fill="EBEBEB"/>
          </w:tcPr>
          <w:p w14:paraId="6F653C87" w14:textId="77777777" w:rsidR="00D33976" w:rsidRPr="004104E7" w:rsidRDefault="00D33976" w:rsidP="00AB62C3">
            <w:pPr>
              <w:pStyle w:val="TableBody"/>
              <w:spacing w:before="45" w:after="45"/>
              <w:ind w:right="108"/>
              <w:jc w:val="right"/>
              <w:rPr>
                <w:rFonts w:ascii="Arial (Body)" w:hAnsi="Arial (Body)"/>
                <w:color w:val="000000"/>
              </w:rPr>
            </w:pPr>
            <w:r w:rsidRPr="004104E7">
              <w:t>2</w:t>
            </w:r>
            <w:r>
              <w:t>,</w:t>
            </w:r>
            <w:r w:rsidRPr="004104E7">
              <w:t>762</w:t>
            </w:r>
          </w:p>
        </w:tc>
        <w:tc>
          <w:tcPr>
            <w:tcW w:w="833" w:type="pct"/>
            <w:tcBorders>
              <w:top w:val="nil"/>
              <w:bottom w:val="nil"/>
            </w:tcBorders>
            <w:shd w:val="clear" w:color="auto" w:fill="EBEBEB"/>
          </w:tcPr>
          <w:p w14:paraId="19CFFE55" w14:textId="77777777" w:rsidR="00D33976" w:rsidRPr="004104E7" w:rsidRDefault="00D33976" w:rsidP="00AB62C3">
            <w:pPr>
              <w:pStyle w:val="TableBody"/>
              <w:spacing w:before="45" w:after="45"/>
              <w:ind w:right="108"/>
              <w:jc w:val="right"/>
              <w:rPr>
                <w:rFonts w:ascii="Arial (Body)" w:hAnsi="Arial (Body)"/>
                <w:color w:val="000000"/>
              </w:rPr>
            </w:pPr>
            <w:r w:rsidRPr="004104E7">
              <w:t>1</w:t>
            </w:r>
            <w:r>
              <w:t>,</w:t>
            </w:r>
            <w:r w:rsidRPr="004104E7">
              <w:t>677</w:t>
            </w:r>
          </w:p>
        </w:tc>
        <w:tc>
          <w:tcPr>
            <w:tcW w:w="833" w:type="pct"/>
            <w:tcBorders>
              <w:top w:val="nil"/>
              <w:bottom w:val="nil"/>
            </w:tcBorders>
            <w:shd w:val="clear" w:color="auto" w:fill="EBEBEB"/>
          </w:tcPr>
          <w:p w14:paraId="5B5CBCF2" w14:textId="77777777" w:rsidR="00D33976" w:rsidRPr="004104E7" w:rsidRDefault="00D33976" w:rsidP="00AB62C3">
            <w:pPr>
              <w:pStyle w:val="TableBody"/>
              <w:spacing w:before="45" w:after="45"/>
              <w:ind w:right="108"/>
              <w:jc w:val="right"/>
              <w:rPr>
                <w:rFonts w:ascii="Arial (Body)" w:hAnsi="Arial (Body)"/>
                <w:color w:val="000000"/>
              </w:rPr>
            </w:pPr>
            <w:r w:rsidRPr="004104E7">
              <w:t>2</w:t>
            </w:r>
            <w:r>
              <w:t>,</w:t>
            </w:r>
            <w:r w:rsidRPr="004104E7">
              <w:t>336</w:t>
            </w:r>
          </w:p>
        </w:tc>
        <w:tc>
          <w:tcPr>
            <w:tcW w:w="833" w:type="pct"/>
            <w:tcBorders>
              <w:top w:val="nil"/>
              <w:bottom w:val="nil"/>
            </w:tcBorders>
            <w:shd w:val="clear" w:color="auto" w:fill="EBEBEB"/>
          </w:tcPr>
          <w:p w14:paraId="0FC9875A" w14:textId="77777777" w:rsidR="00D33976" w:rsidRPr="004104E7" w:rsidRDefault="00D33976" w:rsidP="00AB62C3">
            <w:pPr>
              <w:pStyle w:val="TableBody"/>
              <w:spacing w:before="45" w:after="45"/>
              <w:ind w:right="108"/>
              <w:jc w:val="right"/>
              <w:rPr>
                <w:rFonts w:ascii="Arial (Body)" w:hAnsi="Arial (Body)"/>
                <w:color w:val="000000"/>
              </w:rPr>
            </w:pPr>
            <w:r w:rsidRPr="004104E7">
              <w:t>1</w:t>
            </w:r>
            <w:r>
              <w:t>,</w:t>
            </w:r>
            <w:r w:rsidRPr="004104E7">
              <w:t>122</w:t>
            </w:r>
          </w:p>
        </w:tc>
      </w:tr>
      <w:tr w:rsidR="00D33976" w:rsidRPr="004104E7" w14:paraId="67CB19CF" w14:textId="77777777" w:rsidTr="00944E8B">
        <w:tc>
          <w:tcPr>
            <w:tcW w:w="1667" w:type="pct"/>
            <w:tcBorders>
              <w:top w:val="nil"/>
              <w:bottom w:val="nil"/>
            </w:tcBorders>
          </w:tcPr>
          <w:p w14:paraId="40B07539" w14:textId="04CD3D93" w:rsidR="00D33976" w:rsidRPr="00066754" w:rsidRDefault="00D33976" w:rsidP="006566FF">
            <w:pPr>
              <w:pStyle w:val="TableHeading"/>
              <w:spacing w:before="45" w:after="45"/>
              <w:ind w:right="108"/>
              <w:rPr>
                <w:rFonts w:ascii="Arial (Body)" w:hAnsi="Arial (Body)"/>
                <w:b w:val="0"/>
                <w:color w:val="265A9A"/>
                <w:sz w:val="18"/>
                <w:szCs w:val="18"/>
              </w:rPr>
            </w:pPr>
            <w:r w:rsidRPr="00066754">
              <w:rPr>
                <w:rFonts w:ascii="Arial (Body)" w:hAnsi="Arial (Body)"/>
                <w:b w:val="0"/>
                <w:color w:val="265A9A"/>
                <w:sz w:val="18"/>
                <w:szCs w:val="18"/>
              </w:rPr>
              <w:t>Delirium</w:t>
            </w:r>
          </w:p>
        </w:tc>
        <w:tc>
          <w:tcPr>
            <w:tcW w:w="833" w:type="pct"/>
            <w:tcBorders>
              <w:top w:val="nil"/>
              <w:bottom w:val="nil"/>
            </w:tcBorders>
          </w:tcPr>
          <w:p w14:paraId="4C8DD476" w14:textId="77777777" w:rsidR="00D33976" w:rsidRPr="004104E7" w:rsidRDefault="00D33976" w:rsidP="00AB62C3">
            <w:pPr>
              <w:pStyle w:val="TableBody"/>
              <w:spacing w:before="45" w:after="45"/>
              <w:ind w:right="108"/>
              <w:jc w:val="right"/>
              <w:rPr>
                <w:rFonts w:ascii="Arial (Body)" w:hAnsi="Arial (Body)"/>
                <w:color w:val="000000"/>
              </w:rPr>
            </w:pPr>
            <w:r w:rsidRPr="004104E7">
              <w:t>12</w:t>
            </w:r>
            <w:r>
              <w:t>,</w:t>
            </w:r>
            <w:r w:rsidRPr="004104E7">
              <w:t>019</w:t>
            </w:r>
          </w:p>
        </w:tc>
        <w:tc>
          <w:tcPr>
            <w:tcW w:w="833" w:type="pct"/>
            <w:tcBorders>
              <w:top w:val="nil"/>
              <w:bottom w:val="nil"/>
            </w:tcBorders>
          </w:tcPr>
          <w:p w14:paraId="781C9B04" w14:textId="77777777" w:rsidR="00D33976" w:rsidRPr="004104E7" w:rsidRDefault="00D33976" w:rsidP="00AB62C3">
            <w:pPr>
              <w:pStyle w:val="TableBody"/>
              <w:spacing w:before="45" w:after="45"/>
              <w:ind w:right="108"/>
              <w:jc w:val="right"/>
              <w:rPr>
                <w:rFonts w:ascii="Arial (Body)" w:hAnsi="Arial (Body)"/>
                <w:color w:val="000000"/>
              </w:rPr>
            </w:pPr>
            <w:r w:rsidRPr="004104E7">
              <w:t>7</w:t>
            </w:r>
            <w:r>
              <w:t>,</w:t>
            </w:r>
            <w:r w:rsidRPr="004104E7">
              <w:t>160</w:t>
            </w:r>
          </w:p>
        </w:tc>
        <w:tc>
          <w:tcPr>
            <w:tcW w:w="833" w:type="pct"/>
            <w:tcBorders>
              <w:top w:val="nil"/>
              <w:bottom w:val="nil"/>
            </w:tcBorders>
          </w:tcPr>
          <w:p w14:paraId="7C73D4B9" w14:textId="77777777" w:rsidR="00D33976" w:rsidRPr="004104E7" w:rsidRDefault="00D33976" w:rsidP="00AB62C3">
            <w:pPr>
              <w:pStyle w:val="TableBody"/>
              <w:spacing w:before="45" w:after="45"/>
              <w:ind w:right="108"/>
              <w:jc w:val="right"/>
              <w:rPr>
                <w:rFonts w:ascii="Arial (Body)" w:hAnsi="Arial (Body)"/>
                <w:color w:val="000000"/>
              </w:rPr>
            </w:pPr>
            <w:r w:rsidRPr="004104E7">
              <w:t>11</w:t>
            </w:r>
            <w:r>
              <w:t>,</w:t>
            </w:r>
            <w:r w:rsidRPr="004104E7">
              <w:t>430</w:t>
            </w:r>
          </w:p>
        </w:tc>
        <w:tc>
          <w:tcPr>
            <w:tcW w:w="833" w:type="pct"/>
            <w:tcBorders>
              <w:top w:val="nil"/>
              <w:bottom w:val="nil"/>
            </w:tcBorders>
          </w:tcPr>
          <w:p w14:paraId="02B4A92F" w14:textId="77777777" w:rsidR="00D33976" w:rsidRPr="004104E7" w:rsidRDefault="00D33976" w:rsidP="00AB62C3">
            <w:pPr>
              <w:pStyle w:val="TableBody"/>
              <w:spacing w:before="45" w:after="45"/>
              <w:ind w:right="108"/>
              <w:jc w:val="right"/>
              <w:rPr>
                <w:rFonts w:ascii="Arial (Body)" w:hAnsi="Arial (Body)"/>
                <w:color w:val="000000"/>
              </w:rPr>
            </w:pPr>
            <w:r w:rsidRPr="004104E7">
              <w:t>8</w:t>
            </w:r>
            <w:r>
              <w:t>,</w:t>
            </w:r>
            <w:r w:rsidRPr="004104E7">
              <w:t>926</w:t>
            </w:r>
          </w:p>
        </w:tc>
      </w:tr>
      <w:tr w:rsidR="00D33976" w:rsidRPr="004104E7" w14:paraId="28BE63A0" w14:textId="77777777" w:rsidTr="00944E8B">
        <w:tc>
          <w:tcPr>
            <w:tcW w:w="1667" w:type="pct"/>
            <w:tcBorders>
              <w:top w:val="nil"/>
              <w:bottom w:val="nil"/>
            </w:tcBorders>
            <w:shd w:val="clear" w:color="auto" w:fill="EBEBEB"/>
          </w:tcPr>
          <w:p w14:paraId="75A9FAB5" w14:textId="22ECD401" w:rsidR="00D33976" w:rsidRPr="00066754" w:rsidRDefault="00D33976" w:rsidP="006566FF">
            <w:pPr>
              <w:pStyle w:val="TableHeading"/>
              <w:spacing w:before="45" w:after="45"/>
              <w:ind w:right="108"/>
              <w:rPr>
                <w:rFonts w:ascii="Arial (Body)" w:hAnsi="Arial (Body)"/>
                <w:b w:val="0"/>
                <w:color w:val="265A9A"/>
                <w:sz w:val="18"/>
                <w:szCs w:val="18"/>
              </w:rPr>
            </w:pPr>
            <w:r w:rsidRPr="00066754">
              <w:rPr>
                <w:rFonts w:ascii="Arial (Body)" w:hAnsi="Arial (Body)"/>
                <w:b w:val="0"/>
                <w:color w:val="265A9A"/>
                <w:sz w:val="18"/>
                <w:szCs w:val="18"/>
              </w:rPr>
              <w:t>Endocrine complications</w:t>
            </w:r>
          </w:p>
        </w:tc>
        <w:tc>
          <w:tcPr>
            <w:tcW w:w="833" w:type="pct"/>
            <w:tcBorders>
              <w:top w:val="nil"/>
              <w:bottom w:val="nil"/>
            </w:tcBorders>
            <w:shd w:val="clear" w:color="auto" w:fill="EBEBEB"/>
          </w:tcPr>
          <w:p w14:paraId="1503E0CD" w14:textId="77777777" w:rsidR="00D33976" w:rsidRPr="004104E7" w:rsidRDefault="00D33976" w:rsidP="00AB62C3">
            <w:pPr>
              <w:pStyle w:val="TableBody"/>
              <w:spacing w:before="45" w:after="45"/>
              <w:ind w:right="108"/>
              <w:jc w:val="right"/>
              <w:rPr>
                <w:rFonts w:ascii="Arial (Body)" w:hAnsi="Arial (Body)"/>
                <w:color w:val="000000"/>
              </w:rPr>
            </w:pPr>
            <w:r w:rsidRPr="004104E7">
              <w:t>6</w:t>
            </w:r>
            <w:r>
              <w:t>,</w:t>
            </w:r>
            <w:r w:rsidRPr="004104E7">
              <w:t>421</w:t>
            </w:r>
          </w:p>
        </w:tc>
        <w:tc>
          <w:tcPr>
            <w:tcW w:w="833" w:type="pct"/>
            <w:tcBorders>
              <w:top w:val="nil"/>
              <w:bottom w:val="nil"/>
            </w:tcBorders>
            <w:shd w:val="clear" w:color="auto" w:fill="EBEBEB"/>
          </w:tcPr>
          <w:p w14:paraId="50D3D371" w14:textId="77777777" w:rsidR="00D33976" w:rsidRPr="004104E7" w:rsidRDefault="00D33976" w:rsidP="00AB62C3">
            <w:pPr>
              <w:pStyle w:val="TableBody"/>
              <w:spacing w:before="45" w:after="45"/>
              <w:ind w:right="108"/>
              <w:jc w:val="right"/>
              <w:rPr>
                <w:rFonts w:ascii="Arial (Body)" w:hAnsi="Arial (Body)"/>
                <w:color w:val="000000"/>
              </w:rPr>
            </w:pPr>
            <w:r w:rsidRPr="004104E7">
              <w:t>3</w:t>
            </w:r>
            <w:r>
              <w:t>,</w:t>
            </w:r>
            <w:r w:rsidRPr="004104E7">
              <w:t>727</w:t>
            </w:r>
          </w:p>
        </w:tc>
        <w:tc>
          <w:tcPr>
            <w:tcW w:w="833" w:type="pct"/>
            <w:tcBorders>
              <w:top w:val="nil"/>
              <w:bottom w:val="nil"/>
            </w:tcBorders>
            <w:shd w:val="clear" w:color="auto" w:fill="EBEBEB"/>
          </w:tcPr>
          <w:p w14:paraId="69636E04" w14:textId="77777777" w:rsidR="00D33976" w:rsidRPr="004104E7" w:rsidRDefault="00D33976" w:rsidP="00AB62C3">
            <w:pPr>
              <w:pStyle w:val="TableBody"/>
              <w:spacing w:before="45" w:after="45"/>
              <w:ind w:right="108"/>
              <w:jc w:val="right"/>
              <w:rPr>
                <w:rFonts w:ascii="Arial (Body)" w:hAnsi="Arial (Body)"/>
                <w:color w:val="000000"/>
              </w:rPr>
            </w:pPr>
            <w:r w:rsidRPr="004104E7">
              <w:t>7</w:t>
            </w:r>
            <w:r>
              <w:t>,</w:t>
            </w:r>
            <w:r w:rsidRPr="004104E7">
              <w:t>173</w:t>
            </w:r>
          </w:p>
        </w:tc>
        <w:tc>
          <w:tcPr>
            <w:tcW w:w="833" w:type="pct"/>
            <w:tcBorders>
              <w:top w:val="nil"/>
              <w:bottom w:val="nil"/>
            </w:tcBorders>
            <w:shd w:val="clear" w:color="auto" w:fill="EBEBEB"/>
          </w:tcPr>
          <w:p w14:paraId="268072BC" w14:textId="77777777" w:rsidR="00D33976" w:rsidRPr="004104E7" w:rsidRDefault="00D33976" w:rsidP="00AB62C3">
            <w:pPr>
              <w:pStyle w:val="TableBody"/>
              <w:spacing w:before="45" w:after="45"/>
              <w:ind w:right="108"/>
              <w:jc w:val="right"/>
              <w:rPr>
                <w:rFonts w:ascii="Arial (Body)" w:hAnsi="Arial (Body)"/>
                <w:color w:val="000000"/>
              </w:rPr>
            </w:pPr>
            <w:r w:rsidRPr="004104E7">
              <w:t>5</w:t>
            </w:r>
            <w:r>
              <w:t>,</w:t>
            </w:r>
            <w:r w:rsidRPr="004104E7">
              <w:t>477</w:t>
            </w:r>
          </w:p>
        </w:tc>
      </w:tr>
      <w:tr w:rsidR="00D33976" w:rsidRPr="004104E7" w14:paraId="3D2E11DF" w14:textId="77777777" w:rsidTr="00944E8B">
        <w:tc>
          <w:tcPr>
            <w:tcW w:w="1667" w:type="pct"/>
            <w:tcBorders>
              <w:top w:val="nil"/>
            </w:tcBorders>
          </w:tcPr>
          <w:p w14:paraId="2B00B5FC" w14:textId="67BCA363" w:rsidR="00D33976" w:rsidRPr="00066754" w:rsidRDefault="00D33976" w:rsidP="006566FF">
            <w:pPr>
              <w:pStyle w:val="TableHeading"/>
              <w:spacing w:before="45" w:after="45"/>
              <w:ind w:right="108"/>
              <w:rPr>
                <w:rFonts w:ascii="Arial (Body)" w:hAnsi="Arial (Body)"/>
                <w:b w:val="0"/>
                <w:color w:val="265A9A"/>
                <w:sz w:val="18"/>
                <w:szCs w:val="18"/>
              </w:rPr>
            </w:pPr>
            <w:r w:rsidRPr="00066754">
              <w:rPr>
                <w:rFonts w:ascii="Arial (Body)" w:hAnsi="Arial (Body)"/>
                <w:b w:val="0"/>
                <w:color w:val="265A9A"/>
                <w:sz w:val="18"/>
                <w:szCs w:val="18"/>
              </w:rPr>
              <w:t>Cardiac complications</w:t>
            </w:r>
          </w:p>
        </w:tc>
        <w:tc>
          <w:tcPr>
            <w:tcW w:w="833" w:type="pct"/>
            <w:tcBorders>
              <w:top w:val="nil"/>
            </w:tcBorders>
          </w:tcPr>
          <w:p w14:paraId="55525B9D" w14:textId="77777777" w:rsidR="00D33976" w:rsidRPr="004104E7" w:rsidRDefault="00D33976" w:rsidP="00AB62C3">
            <w:pPr>
              <w:pStyle w:val="TableBody"/>
              <w:spacing w:before="45" w:after="45"/>
              <w:ind w:right="108"/>
              <w:jc w:val="right"/>
              <w:rPr>
                <w:rFonts w:ascii="Arial (Body)" w:hAnsi="Arial (Body)"/>
                <w:color w:val="000000"/>
              </w:rPr>
            </w:pPr>
            <w:r w:rsidRPr="004104E7">
              <w:t>12</w:t>
            </w:r>
            <w:r>
              <w:t>,</w:t>
            </w:r>
            <w:r w:rsidRPr="004104E7">
              <w:t>827</w:t>
            </w:r>
          </w:p>
        </w:tc>
        <w:tc>
          <w:tcPr>
            <w:tcW w:w="833" w:type="pct"/>
            <w:tcBorders>
              <w:top w:val="nil"/>
            </w:tcBorders>
          </w:tcPr>
          <w:p w14:paraId="5391726C" w14:textId="77777777" w:rsidR="00D33976" w:rsidRPr="004104E7" w:rsidRDefault="00D33976" w:rsidP="00AB62C3">
            <w:pPr>
              <w:pStyle w:val="TableBody"/>
              <w:spacing w:before="45" w:after="45"/>
              <w:ind w:right="108"/>
              <w:jc w:val="right"/>
              <w:rPr>
                <w:rFonts w:ascii="Arial (Body)" w:hAnsi="Arial (Body)"/>
                <w:color w:val="000000"/>
              </w:rPr>
            </w:pPr>
            <w:r w:rsidRPr="004104E7">
              <w:t>7</w:t>
            </w:r>
            <w:r>
              <w:t>,</w:t>
            </w:r>
            <w:r w:rsidRPr="004104E7">
              <w:t>040</w:t>
            </w:r>
          </w:p>
        </w:tc>
        <w:tc>
          <w:tcPr>
            <w:tcW w:w="833" w:type="pct"/>
            <w:tcBorders>
              <w:top w:val="nil"/>
            </w:tcBorders>
          </w:tcPr>
          <w:p w14:paraId="0DDF71A7" w14:textId="77777777" w:rsidR="00D33976" w:rsidRPr="004104E7" w:rsidRDefault="00D33976" w:rsidP="00AB62C3">
            <w:pPr>
              <w:pStyle w:val="TableBody"/>
              <w:spacing w:before="45" w:after="45"/>
              <w:ind w:right="108"/>
              <w:jc w:val="right"/>
              <w:rPr>
                <w:rFonts w:ascii="Arial (Body)" w:hAnsi="Arial (Body)"/>
                <w:color w:val="000000"/>
              </w:rPr>
            </w:pPr>
            <w:r w:rsidRPr="004104E7">
              <w:t>12</w:t>
            </w:r>
            <w:r>
              <w:t>,</w:t>
            </w:r>
            <w:r w:rsidRPr="004104E7">
              <w:t>303</w:t>
            </w:r>
          </w:p>
        </w:tc>
        <w:tc>
          <w:tcPr>
            <w:tcW w:w="833" w:type="pct"/>
            <w:tcBorders>
              <w:top w:val="nil"/>
            </w:tcBorders>
          </w:tcPr>
          <w:p w14:paraId="5017D408" w14:textId="77777777" w:rsidR="00D33976" w:rsidRPr="004104E7" w:rsidRDefault="00D33976" w:rsidP="00AB62C3">
            <w:pPr>
              <w:pStyle w:val="TableBody"/>
              <w:spacing w:before="45" w:after="45"/>
              <w:ind w:right="108"/>
              <w:jc w:val="right"/>
              <w:rPr>
                <w:rFonts w:ascii="Arial (Body)" w:hAnsi="Arial (Body)"/>
                <w:color w:val="000000"/>
              </w:rPr>
            </w:pPr>
            <w:r w:rsidRPr="004104E7">
              <w:t>9</w:t>
            </w:r>
            <w:r>
              <w:t>,</w:t>
            </w:r>
            <w:r w:rsidRPr="004104E7">
              <w:t>131</w:t>
            </w:r>
          </w:p>
        </w:tc>
      </w:tr>
    </w:tbl>
    <w:p w14:paraId="2B705F1F" w14:textId="77777777" w:rsidR="00D33976" w:rsidRPr="004104E7" w:rsidRDefault="00D33976" w:rsidP="00AB62C3">
      <w:pPr>
        <w:pStyle w:val="Source"/>
      </w:pPr>
      <w:r w:rsidRPr="004104E7">
        <w:t xml:space="preserve">Source: </w:t>
      </w:r>
      <w:r>
        <w:t>PC</w:t>
      </w:r>
      <w:r w:rsidRPr="004104E7">
        <w:t xml:space="preserve"> estimates based on AIHW NHDH data.</w:t>
      </w:r>
    </w:p>
    <w:p w14:paraId="10FDEA34" w14:textId="77777777" w:rsidR="00D33976" w:rsidRPr="004104E7" w:rsidRDefault="00D33976" w:rsidP="00AB62C3">
      <w:pPr>
        <w:pStyle w:val="Heading3"/>
      </w:pPr>
      <w:r w:rsidRPr="004104E7">
        <w:t>Logit regression results</w:t>
      </w:r>
    </w:p>
    <w:p w14:paraId="780E7A5E" w14:textId="05636B1C" w:rsidR="00D33976" w:rsidRPr="00932B54" w:rsidRDefault="00D33976" w:rsidP="00AB62C3">
      <w:pPr>
        <w:pStyle w:val="BodyText"/>
        <w:rPr>
          <w:spacing w:val="-2"/>
        </w:rPr>
      </w:pPr>
      <w:r w:rsidRPr="00932B54">
        <w:rPr>
          <w:spacing w:val="-2"/>
        </w:rPr>
        <w:t xml:space="preserve">The effect of the funding adjustment was tested using equation (1) and returned a 0.299 log-odds decrease in </w:t>
      </w:r>
      <w:r w:rsidRPr="00932B54">
        <w:t>the probability of a HAC occurring in treated states and territories (table B.3). The coefficient of interest in</w:t>
      </w:r>
      <w:r w:rsidRPr="00932B54">
        <w:rPr>
          <w:spacing w:val="-2"/>
        </w:rPr>
        <w:t xml:space="preserve"> equation was statistically significant (p &lt; 0.001), with 95% confidence intervals of −0.287 and −0.131. All</w:t>
      </w:r>
      <w:r w:rsidR="00932B54" w:rsidRPr="00932B54">
        <w:rPr>
          <w:spacing w:val="-2"/>
        </w:rPr>
        <w:t> </w:t>
      </w:r>
      <w:r w:rsidRPr="00932B54">
        <w:rPr>
          <w:spacing w:val="-2"/>
        </w:rPr>
        <w:t xml:space="preserve">patient risk factors were statistically significant. </w:t>
      </w:r>
    </w:p>
    <w:p w14:paraId="5E79722A" w14:textId="77777777" w:rsidR="00D33976" w:rsidRPr="00A96788" w:rsidRDefault="00D33976" w:rsidP="00A96788">
      <w:pPr>
        <w:pStyle w:val="BodyText"/>
      </w:pPr>
      <w:r w:rsidRPr="00A96788">
        <w:br w:type="page"/>
      </w:r>
    </w:p>
    <w:p w14:paraId="741DA593" w14:textId="77777777" w:rsidR="00D33976" w:rsidRPr="004104E7" w:rsidRDefault="00D33976" w:rsidP="00AB62C3">
      <w:pPr>
        <w:pStyle w:val="FigureTableHeading"/>
        <w:rPr>
          <w:noProof/>
        </w:rPr>
      </w:pPr>
      <w:r w:rsidRPr="004104E7">
        <w:lastRenderedPageBreak/>
        <w:t>Table B.</w:t>
      </w:r>
      <w:r>
        <w:t>3</w:t>
      </w:r>
      <w:r w:rsidRPr="004104E7">
        <w:rPr>
          <w:noProof/>
        </w:rPr>
        <w:t xml:space="preserve"> – HACs rates fell more in the treat</w:t>
      </w:r>
      <w:r>
        <w:rPr>
          <w:noProof/>
        </w:rPr>
        <w:t>ment</w:t>
      </w:r>
      <w:r w:rsidRPr="004104E7">
        <w:rPr>
          <w:noProof/>
        </w:rPr>
        <w:t xml:space="preserve"> group compared to control group </w:t>
      </w:r>
    </w:p>
    <w:p w14:paraId="3065DCF5" w14:textId="43BC7E7A" w:rsidR="00D33976" w:rsidRPr="004104E7" w:rsidRDefault="00D33976" w:rsidP="00AB62C3">
      <w:pPr>
        <w:pStyle w:val="FigureTableSubheading"/>
        <w:rPr>
          <w:noProof/>
          <w:vertAlign w:val="superscript"/>
        </w:rPr>
      </w:pPr>
      <w:r w:rsidRPr="004104E7">
        <w:rPr>
          <w:noProof/>
        </w:rPr>
        <w:t>Results for equation 1</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536"/>
        <w:gridCol w:w="1332"/>
        <w:gridCol w:w="1536"/>
        <w:gridCol w:w="2234"/>
      </w:tblGrid>
      <w:tr w:rsidR="00D33976" w:rsidRPr="00932B54" w14:paraId="148A2EC4" w14:textId="77777777" w:rsidTr="00545C83">
        <w:trPr>
          <w:trHeight w:val="300"/>
          <w:tblHeader/>
        </w:trPr>
        <w:tc>
          <w:tcPr>
            <w:tcW w:w="2353" w:type="pct"/>
            <w:tcBorders>
              <w:bottom w:val="single" w:sz="4" w:space="0" w:color="B3B3B3"/>
            </w:tcBorders>
            <w:vAlign w:val="bottom"/>
          </w:tcPr>
          <w:p w14:paraId="4EDA73DA" w14:textId="77777777" w:rsidR="00D33976" w:rsidRPr="00932B54" w:rsidRDefault="00D33976" w:rsidP="00AB62C3">
            <w:pPr>
              <w:spacing w:before="45" w:after="45"/>
              <w:ind w:left="57" w:right="108"/>
              <w:rPr>
                <w:rFonts w:cstheme="minorHAnsi"/>
                <w:b/>
                <w:color w:val="265A9A"/>
                <w:sz w:val="18"/>
                <w:szCs w:val="18"/>
              </w:rPr>
            </w:pPr>
          </w:p>
        </w:tc>
        <w:tc>
          <w:tcPr>
            <w:tcW w:w="691" w:type="pct"/>
            <w:tcBorders>
              <w:bottom w:val="single" w:sz="4" w:space="0" w:color="B3B3B3"/>
            </w:tcBorders>
            <w:vAlign w:val="bottom"/>
          </w:tcPr>
          <w:p w14:paraId="2D9B4BA9" w14:textId="77777777" w:rsidR="00D33976" w:rsidRPr="00932B54" w:rsidRDefault="00D33976" w:rsidP="00AB62C3">
            <w:pPr>
              <w:pStyle w:val="TableHeading"/>
              <w:spacing w:before="45" w:after="45"/>
              <w:ind w:right="108"/>
              <w:contextualSpacing w:val="0"/>
              <w:jc w:val="right"/>
              <w:rPr>
                <w:rFonts w:cstheme="minorHAnsi"/>
                <w:color w:val="265A9A"/>
                <w:sz w:val="18"/>
                <w:szCs w:val="18"/>
              </w:rPr>
            </w:pPr>
            <w:r w:rsidRPr="00932B54">
              <w:rPr>
                <w:rFonts w:cstheme="minorHAnsi"/>
                <w:sz w:val="18"/>
                <w:szCs w:val="18"/>
              </w:rPr>
              <w:t>Coefficient</w:t>
            </w:r>
          </w:p>
        </w:tc>
        <w:tc>
          <w:tcPr>
            <w:tcW w:w="797" w:type="pct"/>
            <w:tcBorders>
              <w:bottom w:val="single" w:sz="4" w:space="0" w:color="B3B3B3"/>
            </w:tcBorders>
            <w:vAlign w:val="bottom"/>
          </w:tcPr>
          <w:p w14:paraId="39B26797" w14:textId="64B4871E" w:rsidR="00D33976" w:rsidRPr="00932B54" w:rsidRDefault="00D33976" w:rsidP="00AB62C3">
            <w:pPr>
              <w:pStyle w:val="TableHeading"/>
              <w:spacing w:before="45" w:after="45"/>
              <w:ind w:right="108"/>
              <w:contextualSpacing w:val="0"/>
              <w:jc w:val="right"/>
              <w:rPr>
                <w:rFonts w:cstheme="minorHAnsi"/>
                <w:color w:val="265A9A"/>
                <w:sz w:val="18"/>
                <w:szCs w:val="18"/>
              </w:rPr>
            </w:pPr>
            <w:r w:rsidRPr="00932B54">
              <w:rPr>
                <w:rFonts w:cstheme="minorHAnsi"/>
                <w:sz w:val="18"/>
                <w:szCs w:val="18"/>
              </w:rPr>
              <w:t xml:space="preserve">Standard </w:t>
            </w:r>
            <w:r w:rsidR="00BA7F34" w:rsidRPr="00932B54">
              <w:rPr>
                <w:rFonts w:cstheme="minorHAnsi"/>
                <w:sz w:val="18"/>
                <w:szCs w:val="18"/>
              </w:rPr>
              <w:t>e</w:t>
            </w:r>
            <w:r w:rsidRPr="00932B54">
              <w:rPr>
                <w:rFonts w:cstheme="minorHAnsi"/>
                <w:sz w:val="18"/>
                <w:szCs w:val="18"/>
              </w:rPr>
              <w:t>rror</w:t>
            </w:r>
          </w:p>
        </w:tc>
        <w:tc>
          <w:tcPr>
            <w:tcW w:w="1159" w:type="pct"/>
            <w:tcBorders>
              <w:bottom w:val="single" w:sz="4" w:space="0" w:color="B3B3B3"/>
            </w:tcBorders>
            <w:vAlign w:val="bottom"/>
          </w:tcPr>
          <w:p w14:paraId="0C3CD37E" w14:textId="48E7584D" w:rsidR="00D33976" w:rsidRPr="00932B54" w:rsidRDefault="00D33976" w:rsidP="00AB62C3">
            <w:pPr>
              <w:pStyle w:val="TableHeading"/>
              <w:spacing w:before="45" w:after="45"/>
              <w:ind w:right="108"/>
              <w:contextualSpacing w:val="0"/>
              <w:jc w:val="right"/>
              <w:rPr>
                <w:rFonts w:cstheme="minorHAnsi"/>
                <w:color w:val="265A9A"/>
                <w:sz w:val="18"/>
                <w:szCs w:val="18"/>
              </w:rPr>
            </w:pPr>
            <w:r w:rsidRPr="00932B54">
              <w:rPr>
                <w:rFonts w:cstheme="minorHAnsi"/>
                <w:color w:val="265A9A"/>
                <w:sz w:val="18"/>
                <w:szCs w:val="18"/>
              </w:rPr>
              <w:t>95% CI</w:t>
            </w:r>
          </w:p>
        </w:tc>
      </w:tr>
      <w:tr w:rsidR="00D33976" w:rsidRPr="00932B54" w14:paraId="312DB119" w14:textId="77777777" w:rsidTr="00944E8B">
        <w:trPr>
          <w:trHeight w:val="300"/>
        </w:trPr>
        <w:tc>
          <w:tcPr>
            <w:tcW w:w="2353" w:type="pct"/>
            <w:tcBorders>
              <w:top w:val="single" w:sz="4" w:space="0" w:color="B3B3B3"/>
              <w:bottom w:val="nil"/>
            </w:tcBorders>
            <w:shd w:val="clear" w:color="auto" w:fill="EBEBEB"/>
          </w:tcPr>
          <w:p w14:paraId="1430CC34" w14:textId="77777777" w:rsidR="00D33976" w:rsidRPr="00932B54" w:rsidRDefault="00D33976" w:rsidP="00AB62C3">
            <w:pPr>
              <w:pStyle w:val="TableHeading"/>
              <w:spacing w:before="45" w:after="45"/>
              <w:ind w:right="108"/>
              <w:rPr>
                <w:rFonts w:cstheme="minorHAnsi"/>
                <w:color w:val="265A9A"/>
                <w:sz w:val="18"/>
                <w:szCs w:val="18"/>
              </w:rPr>
            </w:pPr>
            <w:r w:rsidRPr="00932B54">
              <w:rPr>
                <w:rFonts w:cstheme="minorHAnsi"/>
                <w:color w:val="265A9A"/>
                <w:sz w:val="18"/>
                <w:szCs w:val="18"/>
              </w:rPr>
              <w:t>Effect of the funding adjustment</w:t>
            </w:r>
          </w:p>
        </w:tc>
        <w:tc>
          <w:tcPr>
            <w:tcW w:w="691" w:type="pct"/>
            <w:tcBorders>
              <w:top w:val="single" w:sz="4" w:space="0" w:color="B3B3B3"/>
              <w:bottom w:val="nil"/>
            </w:tcBorders>
            <w:shd w:val="clear" w:color="auto" w:fill="EBEBEB"/>
          </w:tcPr>
          <w:p w14:paraId="2F16A6CE"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-0.299***</w:t>
            </w:r>
          </w:p>
        </w:tc>
        <w:tc>
          <w:tcPr>
            <w:tcW w:w="797" w:type="pct"/>
            <w:tcBorders>
              <w:top w:val="single" w:sz="4" w:space="0" w:color="B3B3B3"/>
              <w:bottom w:val="nil"/>
            </w:tcBorders>
            <w:shd w:val="clear" w:color="auto" w:fill="EBEBEB"/>
          </w:tcPr>
          <w:p w14:paraId="130A045B"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0.049</w:t>
            </w:r>
          </w:p>
        </w:tc>
        <w:tc>
          <w:tcPr>
            <w:tcW w:w="1159" w:type="pct"/>
            <w:tcBorders>
              <w:top w:val="single" w:sz="4" w:space="0" w:color="B3B3B3"/>
              <w:bottom w:val="nil"/>
            </w:tcBorders>
            <w:shd w:val="clear" w:color="auto" w:fill="EBEBEB"/>
          </w:tcPr>
          <w:p w14:paraId="0255D088"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[-0.395 to -0.202]</w:t>
            </w:r>
          </w:p>
        </w:tc>
      </w:tr>
      <w:tr w:rsidR="00D33976" w:rsidRPr="00932B54" w14:paraId="6AF05A3A" w14:textId="77777777" w:rsidTr="00545C83">
        <w:trPr>
          <w:trHeight w:val="300"/>
        </w:trPr>
        <w:tc>
          <w:tcPr>
            <w:tcW w:w="2353" w:type="pct"/>
            <w:tcBorders>
              <w:top w:val="nil"/>
              <w:bottom w:val="nil"/>
            </w:tcBorders>
          </w:tcPr>
          <w:p w14:paraId="40EFCEB2" w14:textId="77777777" w:rsidR="00D33976" w:rsidRPr="00932B54" w:rsidRDefault="00D33976" w:rsidP="00AB62C3">
            <w:pPr>
              <w:pStyle w:val="TableHeading"/>
              <w:spacing w:before="45" w:after="45"/>
              <w:ind w:right="108"/>
              <w:rPr>
                <w:rFonts w:cstheme="minorHAnsi"/>
                <w:color w:val="265A9A"/>
                <w:sz w:val="18"/>
                <w:szCs w:val="18"/>
              </w:rPr>
            </w:pPr>
            <w:r w:rsidRPr="00932B54">
              <w:rPr>
                <w:rFonts w:cstheme="minorHAnsi"/>
                <w:color w:val="265A9A"/>
                <w:sz w:val="18"/>
                <w:szCs w:val="18"/>
              </w:rPr>
              <w:t xml:space="preserve">Age </w:t>
            </w:r>
          </w:p>
        </w:tc>
        <w:tc>
          <w:tcPr>
            <w:tcW w:w="691" w:type="pct"/>
            <w:tcBorders>
              <w:top w:val="nil"/>
              <w:bottom w:val="nil"/>
            </w:tcBorders>
          </w:tcPr>
          <w:p w14:paraId="4AD95F80"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0.031***</w:t>
            </w:r>
          </w:p>
        </w:tc>
        <w:tc>
          <w:tcPr>
            <w:tcW w:w="797" w:type="pct"/>
            <w:tcBorders>
              <w:top w:val="nil"/>
              <w:bottom w:val="nil"/>
            </w:tcBorders>
          </w:tcPr>
          <w:p w14:paraId="10318D5E"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0.001</w:t>
            </w:r>
          </w:p>
        </w:tc>
        <w:tc>
          <w:tcPr>
            <w:tcW w:w="1159" w:type="pct"/>
            <w:tcBorders>
              <w:top w:val="nil"/>
              <w:bottom w:val="nil"/>
            </w:tcBorders>
          </w:tcPr>
          <w:p w14:paraId="5808F6C9"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[0.029 to 0.033]</w:t>
            </w:r>
          </w:p>
        </w:tc>
      </w:tr>
      <w:tr w:rsidR="00D33976" w:rsidRPr="00932B54" w14:paraId="007401AC" w14:textId="77777777" w:rsidTr="00944E8B">
        <w:trPr>
          <w:trHeight w:val="300"/>
        </w:trPr>
        <w:tc>
          <w:tcPr>
            <w:tcW w:w="2353" w:type="pct"/>
            <w:tcBorders>
              <w:bottom w:val="nil"/>
            </w:tcBorders>
            <w:shd w:val="clear" w:color="auto" w:fill="EBEBEB"/>
          </w:tcPr>
          <w:p w14:paraId="21C261C7" w14:textId="77777777" w:rsidR="00D33976" w:rsidRPr="00932B54" w:rsidRDefault="00D33976" w:rsidP="00AB62C3">
            <w:pPr>
              <w:pStyle w:val="TableHeading"/>
              <w:spacing w:before="45" w:after="45"/>
              <w:ind w:right="108"/>
              <w:rPr>
                <w:rFonts w:cstheme="minorHAnsi"/>
                <w:color w:val="265A9A"/>
                <w:sz w:val="18"/>
                <w:szCs w:val="18"/>
              </w:rPr>
            </w:pPr>
            <w:r w:rsidRPr="00932B54">
              <w:rPr>
                <w:rFonts w:cstheme="minorHAnsi"/>
                <w:sz w:val="18"/>
                <w:szCs w:val="18"/>
              </w:rPr>
              <w:t>Female (relative to male)</w:t>
            </w:r>
          </w:p>
        </w:tc>
        <w:tc>
          <w:tcPr>
            <w:tcW w:w="691" w:type="pct"/>
            <w:tcBorders>
              <w:bottom w:val="nil"/>
            </w:tcBorders>
            <w:shd w:val="clear" w:color="auto" w:fill="EBEBEB"/>
          </w:tcPr>
          <w:p w14:paraId="392DC8C4"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0.031***</w:t>
            </w:r>
          </w:p>
        </w:tc>
        <w:tc>
          <w:tcPr>
            <w:tcW w:w="797" w:type="pct"/>
            <w:tcBorders>
              <w:bottom w:val="nil"/>
            </w:tcBorders>
            <w:shd w:val="clear" w:color="auto" w:fill="EBEBEB"/>
          </w:tcPr>
          <w:p w14:paraId="2C7BC6E5"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0.009</w:t>
            </w:r>
          </w:p>
        </w:tc>
        <w:tc>
          <w:tcPr>
            <w:tcW w:w="1159" w:type="pct"/>
            <w:tcBorders>
              <w:bottom w:val="nil"/>
            </w:tcBorders>
            <w:shd w:val="clear" w:color="auto" w:fill="EBEBEB"/>
          </w:tcPr>
          <w:p w14:paraId="238A01CE"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[0.013 to 0.049]</w:t>
            </w:r>
          </w:p>
        </w:tc>
      </w:tr>
      <w:tr w:rsidR="00D33976" w:rsidRPr="00932B54" w14:paraId="050BDD2F" w14:textId="77777777" w:rsidTr="00545C83">
        <w:trPr>
          <w:trHeight w:val="300"/>
        </w:trPr>
        <w:tc>
          <w:tcPr>
            <w:tcW w:w="2353" w:type="pct"/>
            <w:tcBorders>
              <w:top w:val="nil"/>
              <w:bottom w:val="nil"/>
            </w:tcBorders>
          </w:tcPr>
          <w:p w14:paraId="7D70E20C" w14:textId="77777777" w:rsidR="00D33976" w:rsidRPr="00932B54" w:rsidRDefault="00D33976" w:rsidP="00AB62C3">
            <w:pPr>
              <w:pStyle w:val="TableHeading"/>
              <w:spacing w:before="45" w:after="45"/>
              <w:ind w:right="108"/>
              <w:rPr>
                <w:rFonts w:cstheme="minorHAnsi"/>
                <w:color w:val="265A9A"/>
                <w:sz w:val="18"/>
                <w:szCs w:val="18"/>
              </w:rPr>
            </w:pPr>
            <w:r w:rsidRPr="00932B54">
              <w:rPr>
                <w:rFonts w:cstheme="minorHAnsi"/>
                <w:color w:val="265A9A"/>
                <w:sz w:val="18"/>
                <w:szCs w:val="18"/>
              </w:rPr>
              <w:t>ICU status</w:t>
            </w:r>
          </w:p>
        </w:tc>
        <w:tc>
          <w:tcPr>
            <w:tcW w:w="691" w:type="pct"/>
            <w:tcBorders>
              <w:top w:val="nil"/>
              <w:bottom w:val="nil"/>
            </w:tcBorders>
          </w:tcPr>
          <w:p w14:paraId="6E9CD9E6"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2.130***</w:t>
            </w:r>
          </w:p>
        </w:tc>
        <w:tc>
          <w:tcPr>
            <w:tcW w:w="797" w:type="pct"/>
            <w:tcBorders>
              <w:top w:val="nil"/>
              <w:bottom w:val="nil"/>
            </w:tcBorders>
          </w:tcPr>
          <w:p w14:paraId="12603562"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0.057</w:t>
            </w:r>
          </w:p>
        </w:tc>
        <w:tc>
          <w:tcPr>
            <w:tcW w:w="1159" w:type="pct"/>
            <w:tcBorders>
              <w:top w:val="nil"/>
              <w:bottom w:val="nil"/>
            </w:tcBorders>
          </w:tcPr>
          <w:p w14:paraId="0FECA894"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[2.018 to 2.241]</w:t>
            </w:r>
          </w:p>
        </w:tc>
      </w:tr>
      <w:tr w:rsidR="00D33976" w:rsidRPr="00932B54" w14:paraId="06833757" w14:textId="77777777" w:rsidTr="00944E8B">
        <w:trPr>
          <w:trHeight w:val="300"/>
        </w:trPr>
        <w:tc>
          <w:tcPr>
            <w:tcW w:w="2353" w:type="pct"/>
            <w:tcBorders>
              <w:bottom w:val="nil"/>
            </w:tcBorders>
            <w:shd w:val="clear" w:color="auto" w:fill="EBEBEB"/>
          </w:tcPr>
          <w:p w14:paraId="3330F605" w14:textId="77777777" w:rsidR="00D33976" w:rsidRPr="00932B54" w:rsidRDefault="00D33976" w:rsidP="00AB62C3">
            <w:pPr>
              <w:pStyle w:val="TableHeading"/>
              <w:spacing w:before="45" w:after="45"/>
              <w:ind w:right="108"/>
              <w:rPr>
                <w:rFonts w:cstheme="minorHAnsi"/>
                <w:color w:val="265A9A"/>
                <w:sz w:val="18"/>
                <w:szCs w:val="18"/>
              </w:rPr>
            </w:pPr>
            <w:r w:rsidRPr="00932B54">
              <w:rPr>
                <w:rFonts w:cstheme="minorHAnsi"/>
                <w:color w:val="265A9A"/>
                <w:sz w:val="18"/>
                <w:szCs w:val="18"/>
              </w:rPr>
              <w:t xml:space="preserve">Emergency admission </w:t>
            </w:r>
          </w:p>
        </w:tc>
        <w:tc>
          <w:tcPr>
            <w:tcW w:w="691" w:type="pct"/>
            <w:tcBorders>
              <w:bottom w:val="nil"/>
            </w:tcBorders>
            <w:shd w:val="clear" w:color="auto" w:fill="EBEBEB"/>
          </w:tcPr>
          <w:p w14:paraId="785ADC27"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0.603***</w:t>
            </w:r>
          </w:p>
        </w:tc>
        <w:tc>
          <w:tcPr>
            <w:tcW w:w="797" w:type="pct"/>
            <w:tcBorders>
              <w:bottom w:val="nil"/>
            </w:tcBorders>
            <w:shd w:val="clear" w:color="auto" w:fill="EBEBEB"/>
          </w:tcPr>
          <w:p w14:paraId="50BCC92A"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0.040</w:t>
            </w:r>
          </w:p>
        </w:tc>
        <w:tc>
          <w:tcPr>
            <w:tcW w:w="1159" w:type="pct"/>
            <w:tcBorders>
              <w:bottom w:val="nil"/>
            </w:tcBorders>
            <w:shd w:val="clear" w:color="auto" w:fill="EBEBEB"/>
          </w:tcPr>
          <w:p w14:paraId="757E39FB"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[0.526 to 0.681]</w:t>
            </w:r>
          </w:p>
        </w:tc>
      </w:tr>
      <w:tr w:rsidR="00D33976" w:rsidRPr="00932B54" w14:paraId="495417F3" w14:textId="77777777" w:rsidTr="00545C83">
        <w:trPr>
          <w:trHeight w:val="300"/>
        </w:trPr>
        <w:tc>
          <w:tcPr>
            <w:tcW w:w="2353" w:type="pct"/>
            <w:tcBorders>
              <w:top w:val="nil"/>
              <w:bottom w:val="nil"/>
            </w:tcBorders>
          </w:tcPr>
          <w:p w14:paraId="72EEC078" w14:textId="77777777" w:rsidR="00D33976" w:rsidRPr="00932B54" w:rsidRDefault="00D33976" w:rsidP="00AB62C3">
            <w:pPr>
              <w:pStyle w:val="TableHeading"/>
              <w:spacing w:before="45" w:after="45"/>
              <w:ind w:right="108"/>
              <w:rPr>
                <w:rFonts w:cstheme="minorHAnsi"/>
                <w:color w:val="265A9A"/>
                <w:sz w:val="18"/>
                <w:szCs w:val="18"/>
              </w:rPr>
            </w:pPr>
            <w:r w:rsidRPr="00932B54">
              <w:rPr>
                <w:rFonts w:cstheme="minorHAnsi"/>
                <w:color w:val="265A9A"/>
                <w:sz w:val="18"/>
                <w:szCs w:val="18"/>
              </w:rPr>
              <w:t>Transfer status</w:t>
            </w:r>
          </w:p>
        </w:tc>
        <w:tc>
          <w:tcPr>
            <w:tcW w:w="691" w:type="pct"/>
            <w:tcBorders>
              <w:top w:val="nil"/>
              <w:bottom w:val="nil"/>
            </w:tcBorders>
          </w:tcPr>
          <w:p w14:paraId="4C5AC0D1"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0.448***</w:t>
            </w:r>
          </w:p>
        </w:tc>
        <w:tc>
          <w:tcPr>
            <w:tcW w:w="797" w:type="pct"/>
            <w:tcBorders>
              <w:top w:val="nil"/>
              <w:bottom w:val="nil"/>
            </w:tcBorders>
          </w:tcPr>
          <w:p w14:paraId="50A3EA44"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0.044</w:t>
            </w:r>
          </w:p>
        </w:tc>
        <w:tc>
          <w:tcPr>
            <w:tcW w:w="1159" w:type="pct"/>
            <w:tcBorders>
              <w:top w:val="nil"/>
              <w:bottom w:val="nil"/>
            </w:tcBorders>
          </w:tcPr>
          <w:p w14:paraId="3B5F1276"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[0.361 to 0.534]</w:t>
            </w:r>
          </w:p>
        </w:tc>
      </w:tr>
      <w:tr w:rsidR="00D33976" w:rsidRPr="00932B54" w14:paraId="75EA7E05" w14:textId="77777777" w:rsidTr="00944E8B">
        <w:trPr>
          <w:trHeight w:val="300"/>
        </w:trPr>
        <w:tc>
          <w:tcPr>
            <w:tcW w:w="2353" w:type="pct"/>
            <w:tcBorders>
              <w:bottom w:val="nil"/>
            </w:tcBorders>
            <w:shd w:val="clear" w:color="auto" w:fill="EBEBEB"/>
          </w:tcPr>
          <w:p w14:paraId="3A27B260" w14:textId="77777777" w:rsidR="00D33976" w:rsidRPr="00932B54" w:rsidRDefault="00D33976" w:rsidP="00AB62C3">
            <w:pPr>
              <w:pStyle w:val="TableHeading"/>
              <w:spacing w:before="45" w:after="45"/>
              <w:ind w:right="108"/>
              <w:rPr>
                <w:rFonts w:cstheme="minorHAnsi"/>
                <w:color w:val="265A9A"/>
                <w:sz w:val="18"/>
                <w:szCs w:val="18"/>
              </w:rPr>
            </w:pPr>
            <w:r w:rsidRPr="00932B54">
              <w:rPr>
                <w:rFonts w:cstheme="minorHAnsi"/>
                <w:color w:val="265A9A"/>
                <w:sz w:val="18"/>
                <w:szCs w:val="18"/>
              </w:rPr>
              <w:t>Charlson score</w:t>
            </w:r>
          </w:p>
        </w:tc>
        <w:tc>
          <w:tcPr>
            <w:tcW w:w="691" w:type="pct"/>
            <w:tcBorders>
              <w:bottom w:val="nil"/>
            </w:tcBorders>
            <w:shd w:val="clear" w:color="auto" w:fill="EBEBEB"/>
          </w:tcPr>
          <w:p w14:paraId="1FF2D256"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0.268***</w:t>
            </w:r>
          </w:p>
        </w:tc>
        <w:tc>
          <w:tcPr>
            <w:tcW w:w="797" w:type="pct"/>
            <w:tcBorders>
              <w:bottom w:val="nil"/>
            </w:tcBorders>
            <w:shd w:val="clear" w:color="auto" w:fill="EBEBEB"/>
          </w:tcPr>
          <w:p w14:paraId="417BEF54"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0.006</w:t>
            </w:r>
          </w:p>
        </w:tc>
        <w:tc>
          <w:tcPr>
            <w:tcW w:w="1159" w:type="pct"/>
            <w:tcBorders>
              <w:bottom w:val="nil"/>
            </w:tcBorders>
            <w:shd w:val="clear" w:color="auto" w:fill="EBEBEB"/>
          </w:tcPr>
          <w:p w14:paraId="4A994B4C"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[0.256 to 0.28]</w:t>
            </w:r>
          </w:p>
        </w:tc>
      </w:tr>
      <w:tr w:rsidR="00D33976" w:rsidRPr="00932B54" w14:paraId="77AF6CB4" w14:textId="77777777" w:rsidTr="00545C83">
        <w:trPr>
          <w:trHeight w:val="300"/>
        </w:trPr>
        <w:tc>
          <w:tcPr>
            <w:tcW w:w="2353" w:type="pct"/>
            <w:tcBorders>
              <w:top w:val="nil"/>
              <w:bottom w:val="nil"/>
            </w:tcBorders>
          </w:tcPr>
          <w:p w14:paraId="3FF176BC" w14:textId="77777777" w:rsidR="00D33976" w:rsidRPr="00932B54" w:rsidRDefault="00D33976" w:rsidP="00AB62C3">
            <w:pPr>
              <w:pStyle w:val="TableHeading"/>
              <w:spacing w:before="45" w:after="45"/>
              <w:ind w:right="108"/>
              <w:rPr>
                <w:rFonts w:cstheme="minorHAnsi"/>
                <w:color w:val="265A9A"/>
                <w:sz w:val="18"/>
                <w:szCs w:val="18"/>
              </w:rPr>
            </w:pPr>
            <w:r w:rsidRPr="00932B54">
              <w:rPr>
                <w:rFonts w:cstheme="minorHAnsi"/>
                <w:sz w:val="18"/>
                <w:szCs w:val="18"/>
              </w:rPr>
              <w:t>Intervention (relative to medical)</w:t>
            </w:r>
          </w:p>
        </w:tc>
        <w:tc>
          <w:tcPr>
            <w:tcW w:w="691" w:type="pct"/>
            <w:tcBorders>
              <w:top w:val="nil"/>
              <w:bottom w:val="nil"/>
            </w:tcBorders>
          </w:tcPr>
          <w:p w14:paraId="2D64D9F2"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1.144***</w:t>
            </w:r>
          </w:p>
        </w:tc>
        <w:tc>
          <w:tcPr>
            <w:tcW w:w="797" w:type="pct"/>
            <w:tcBorders>
              <w:top w:val="nil"/>
              <w:bottom w:val="nil"/>
            </w:tcBorders>
          </w:tcPr>
          <w:p w14:paraId="1109F5FA"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0.038</w:t>
            </w:r>
          </w:p>
        </w:tc>
        <w:tc>
          <w:tcPr>
            <w:tcW w:w="1159" w:type="pct"/>
            <w:tcBorders>
              <w:top w:val="nil"/>
              <w:bottom w:val="nil"/>
            </w:tcBorders>
          </w:tcPr>
          <w:p w14:paraId="462E4239"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[1.028 to 1.176]</w:t>
            </w:r>
          </w:p>
        </w:tc>
      </w:tr>
      <w:tr w:rsidR="00D33976" w:rsidRPr="00932B54" w14:paraId="3A1EC1E0" w14:textId="77777777" w:rsidTr="00944E8B">
        <w:trPr>
          <w:trHeight w:val="300"/>
        </w:trPr>
        <w:tc>
          <w:tcPr>
            <w:tcW w:w="2353" w:type="pct"/>
            <w:tcBorders>
              <w:bottom w:val="nil"/>
            </w:tcBorders>
            <w:shd w:val="clear" w:color="auto" w:fill="EBEBEB"/>
          </w:tcPr>
          <w:p w14:paraId="1FEA3A17" w14:textId="77777777" w:rsidR="00D33976" w:rsidRPr="00932B54" w:rsidRDefault="00D33976" w:rsidP="00AB62C3">
            <w:pPr>
              <w:pStyle w:val="TableHeading"/>
              <w:spacing w:before="45" w:after="45"/>
              <w:ind w:right="108"/>
              <w:rPr>
                <w:rFonts w:cstheme="minorHAnsi"/>
                <w:color w:val="265A9A"/>
                <w:sz w:val="18"/>
                <w:szCs w:val="18"/>
              </w:rPr>
            </w:pPr>
            <w:r w:rsidRPr="00932B54">
              <w:rPr>
                <w:rFonts w:cstheme="minorHAnsi"/>
                <w:sz w:val="18"/>
                <w:szCs w:val="18"/>
              </w:rPr>
              <w:t>MDC (relative to 00 Pre MDC)</w:t>
            </w:r>
          </w:p>
        </w:tc>
        <w:tc>
          <w:tcPr>
            <w:tcW w:w="691" w:type="pct"/>
            <w:tcBorders>
              <w:bottom w:val="nil"/>
            </w:tcBorders>
            <w:shd w:val="clear" w:color="auto" w:fill="EBEBEB"/>
          </w:tcPr>
          <w:p w14:paraId="77C35234" w14:textId="77777777" w:rsidR="00D33976" w:rsidRPr="00932B54" w:rsidRDefault="00D33976" w:rsidP="00AB62C3">
            <w:pPr>
              <w:pStyle w:val="TableBody"/>
              <w:spacing w:before="45" w:after="45"/>
              <w:ind w:right="108"/>
              <w:jc w:val="right"/>
              <w:rPr>
                <w:rFonts w:cstheme="minorHAnsi"/>
                <w:color w:val="000000"/>
                <w:szCs w:val="18"/>
              </w:rPr>
            </w:pPr>
          </w:p>
        </w:tc>
        <w:tc>
          <w:tcPr>
            <w:tcW w:w="797" w:type="pct"/>
            <w:tcBorders>
              <w:bottom w:val="nil"/>
            </w:tcBorders>
            <w:shd w:val="clear" w:color="auto" w:fill="EBEBEB"/>
          </w:tcPr>
          <w:p w14:paraId="1B358A88" w14:textId="77777777" w:rsidR="00D33976" w:rsidRPr="00932B54" w:rsidRDefault="00D33976" w:rsidP="00AB62C3">
            <w:pPr>
              <w:pStyle w:val="TableBody"/>
              <w:spacing w:before="45" w:after="45"/>
              <w:ind w:right="108"/>
              <w:jc w:val="right"/>
              <w:rPr>
                <w:rFonts w:cstheme="minorHAnsi"/>
                <w:color w:val="000000"/>
                <w:szCs w:val="18"/>
              </w:rPr>
            </w:pPr>
          </w:p>
        </w:tc>
        <w:tc>
          <w:tcPr>
            <w:tcW w:w="1159" w:type="pct"/>
            <w:tcBorders>
              <w:bottom w:val="nil"/>
            </w:tcBorders>
            <w:shd w:val="clear" w:color="auto" w:fill="EBEBEB"/>
          </w:tcPr>
          <w:p w14:paraId="70103DC6" w14:textId="77777777" w:rsidR="00D33976" w:rsidRPr="00932B54" w:rsidRDefault="00D33976" w:rsidP="00AB62C3">
            <w:pPr>
              <w:pStyle w:val="TableBody"/>
              <w:spacing w:before="45" w:after="45"/>
              <w:ind w:right="108"/>
              <w:jc w:val="right"/>
              <w:rPr>
                <w:rFonts w:cstheme="minorHAnsi"/>
                <w:color w:val="000000"/>
                <w:szCs w:val="18"/>
              </w:rPr>
            </w:pPr>
          </w:p>
        </w:tc>
      </w:tr>
      <w:tr w:rsidR="00D33976" w:rsidRPr="00932B54" w14:paraId="2E20C144" w14:textId="77777777" w:rsidTr="00545C83">
        <w:trPr>
          <w:trHeight w:val="300"/>
        </w:trPr>
        <w:tc>
          <w:tcPr>
            <w:tcW w:w="2353" w:type="pct"/>
            <w:tcBorders>
              <w:top w:val="nil"/>
              <w:bottom w:val="nil"/>
            </w:tcBorders>
          </w:tcPr>
          <w:p w14:paraId="49008C69" w14:textId="2DB5D627" w:rsidR="00D33976" w:rsidRPr="00932B54" w:rsidRDefault="00D33976" w:rsidP="00A96788">
            <w:pPr>
              <w:pStyle w:val="TableHeading"/>
              <w:spacing w:before="45" w:after="45"/>
              <w:ind w:left="170" w:right="108"/>
              <w:rPr>
                <w:rFonts w:cstheme="minorHAnsi"/>
                <w:b w:val="0"/>
                <w:color w:val="265A9A"/>
                <w:sz w:val="18"/>
                <w:szCs w:val="18"/>
              </w:rPr>
            </w:pPr>
            <w:r w:rsidRPr="00932B54">
              <w:rPr>
                <w:rFonts w:cstheme="minorHAnsi"/>
                <w:b w:val="0"/>
                <w:sz w:val="18"/>
                <w:szCs w:val="18"/>
              </w:rPr>
              <w:t>01 Nervous system</w:t>
            </w:r>
          </w:p>
        </w:tc>
        <w:tc>
          <w:tcPr>
            <w:tcW w:w="691" w:type="pct"/>
            <w:tcBorders>
              <w:top w:val="nil"/>
              <w:bottom w:val="nil"/>
            </w:tcBorders>
          </w:tcPr>
          <w:p w14:paraId="35177069"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-1.754***</w:t>
            </w:r>
          </w:p>
        </w:tc>
        <w:tc>
          <w:tcPr>
            <w:tcW w:w="797" w:type="pct"/>
            <w:tcBorders>
              <w:top w:val="nil"/>
              <w:bottom w:val="nil"/>
            </w:tcBorders>
          </w:tcPr>
          <w:p w14:paraId="5F4044EF"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0.121</w:t>
            </w:r>
          </w:p>
        </w:tc>
        <w:tc>
          <w:tcPr>
            <w:tcW w:w="1159" w:type="pct"/>
            <w:tcBorders>
              <w:top w:val="nil"/>
              <w:bottom w:val="nil"/>
            </w:tcBorders>
          </w:tcPr>
          <w:p w14:paraId="3FA16808"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[-1.992 to -1.517]</w:t>
            </w:r>
          </w:p>
        </w:tc>
      </w:tr>
      <w:tr w:rsidR="00D33976" w:rsidRPr="00932B54" w14:paraId="3EF33A28" w14:textId="77777777" w:rsidTr="00944E8B">
        <w:trPr>
          <w:trHeight w:val="300"/>
        </w:trPr>
        <w:tc>
          <w:tcPr>
            <w:tcW w:w="2353" w:type="pct"/>
            <w:tcBorders>
              <w:bottom w:val="nil"/>
            </w:tcBorders>
            <w:shd w:val="clear" w:color="auto" w:fill="EBEBEB"/>
          </w:tcPr>
          <w:p w14:paraId="39A316AF" w14:textId="33E55F73" w:rsidR="00D33976" w:rsidRPr="00932B54" w:rsidRDefault="00D33976" w:rsidP="00A96788">
            <w:pPr>
              <w:pStyle w:val="TableHeading"/>
              <w:spacing w:before="45" w:after="45"/>
              <w:ind w:left="170" w:right="108"/>
              <w:rPr>
                <w:rFonts w:cstheme="minorHAnsi"/>
                <w:b w:val="0"/>
                <w:color w:val="265A9A"/>
                <w:sz w:val="18"/>
                <w:szCs w:val="18"/>
              </w:rPr>
            </w:pPr>
            <w:r w:rsidRPr="00932B54">
              <w:rPr>
                <w:rFonts w:cstheme="minorHAnsi"/>
                <w:b w:val="0"/>
                <w:sz w:val="18"/>
                <w:szCs w:val="18"/>
              </w:rPr>
              <w:t>02 Eye diseases and disorders</w:t>
            </w:r>
          </w:p>
        </w:tc>
        <w:tc>
          <w:tcPr>
            <w:tcW w:w="691" w:type="pct"/>
            <w:tcBorders>
              <w:bottom w:val="nil"/>
            </w:tcBorders>
            <w:shd w:val="clear" w:color="auto" w:fill="EBEBEB"/>
          </w:tcPr>
          <w:p w14:paraId="40AA0E44"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-3. 835***</w:t>
            </w:r>
          </w:p>
        </w:tc>
        <w:tc>
          <w:tcPr>
            <w:tcW w:w="797" w:type="pct"/>
            <w:tcBorders>
              <w:bottom w:val="nil"/>
            </w:tcBorders>
            <w:shd w:val="clear" w:color="auto" w:fill="EBEBEB"/>
          </w:tcPr>
          <w:p w14:paraId="56F2269C"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0.152</w:t>
            </w:r>
          </w:p>
        </w:tc>
        <w:tc>
          <w:tcPr>
            <w:tcW w:w="1159" w:type="pct"/>
            <w:tcBorders>
              <w:bottom w:val="nil"/>
            </w:tcBorders>
            <w:shd w:val="clear" w:color="auto" w:fill="EBEBEB"/>
          </w:tcPr>
          <w:p w14:paraId="22C01BB2"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[-4.133 to -3.537]</w:t>
            </w:r>
          </w:p>
        </w:tc>
      </w:tr>
      <w:tr w:rsidR="00D33976" w:rsidRPr="00932B54" w14:paraId="7C505486" w14:textId="77777777" w:rsidTr="00545C83">
        <w:trPr>
          <w:trHeight w:val="300"/>
        </w:trPr>
        <w:tc>
          <w:tcPr>
            <w:tcW w:w="2353" w:type="pct"/>
            <w:tcBorders>
              <w:top w:val="nil"/>
              <w:bottom w:val="nil"/>
            </w:tcBorders>
          </w:tcPr>
          <w:p w14:paraId="140AD6BE" w14:textId="774DC382" w:rsidR="00D33976" w:rsidRPr="00932B54" w:rsidRDefault="00D33976" w:rsidP="00A96788">
            <w:pPr>
              <w:pStyle w:val="TableHeading"/>
              <w:spacing w:before="45" w:after="45"/>
              <w:ind w:left="170" w:right="108"/>
              <w:rPr>
                <w:rFonts w:cstheme="minorHAnsi"/>
                <w:b w:val="0"/>
                <w:color w:val="265A9A"/>
                <w:sz w:val="18"/>
                <w:szCs w:val="18"/>
              </w:rPr>
            </w:pPr>
            <w:r w:rsidRPr="00932B54">
              <w:rPr>
                <w:rFonts w:cstheme="minorHAnsi"/>
                <w:b w:val="0"/>
                <w:sz w:val="18"/>
                <w:szCs w:val="18"/>
              </w:rPr>
              <w:t>03 Ear, nose, mouth and throat</w:t>
            </w:r>
          </w:p>
        </w:tc>
        <w:tc>
          <w:tcPr>
            <w:tcW w:w="691" w:type="pct"/>
            <w:tcBorders>
              <w:top w:val="nil"/>
              <w:bottom w:val="nil"/>
            </w:tcBorders>
          </w:tcPr>
          <w:p w14:paraId="7EDCF210"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-2.693***</w:t>
            </w:r>
          </w:p>
        </w:tc>
        <w:tc>
          <w:tcPr>
            <w:tcW w:w="797" w:type="pct"/>
            <w:tcBorders>
              <w:top w:val="nil"/>
              <w:bottom w:val="nil"/>
            </w:tcBorders>
          </w:tcPr>
          <w:p w14:paraId="7D3F551B"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0.114</w:t>
            </w:r>
          </w:p>
        </w:tc>
        <w:tc>
          <w:tcPr>
            <w:tcW w:w="1159" w:type="pct"/>
            <w:tcBorders>
              <w:top w:val="nil"/>
              <w:bottom w:val="nil"/>
            </w:tcBorders>
          </w:tcPr>
          <w:p w14:paraId="01B0F269"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[-2.916 to -2.47]</w:t>
            </w:r>
          </w:p>
        </w:tc>
      </w:tr>
      <w:tr w:rsidR="00D33976" w:rsidRPr="00932B54" w14:paraId="7B486A17" w14:textId="77777777" w:rsidTr="00944E8B">
        <w:trPr>
          <w:trHeight w:val="300"/>
        </w:trPr>
        <w:tc>
          <w:tcPr>
            <w:tcW w:w="2353" w:type="pct"/>
            <w:tcBorders>
              <w:bottom w:val="nil"/>
            </w:tcBorders>
            <w:shd w:val="clear" w:color="auto" w:fill="EBEBEB"/>
          </w:tcPr>
          <w:p w14:paraId="30C7833B" w14:textId="7D5250DA" w:rsidR="00D33976" w:rsidRPr="00932B54" w:rsidRDefault="00D33976" w:rsidP="00A96788">
            <w:pPr>
              <w:pStyle w:val="TableHeading"/>
              <w:spacing w:before="45" w:after="45"/>
              <w:ind w:left="170" w:right="108"/>
              <w:rPr>
                <w:rFonts w:cstheme="minorHAnsi"/>
                <w:b w:val="0"/>
                <w:color w:val="265A9A"/>
                <w:sz w:val="18"/>
                <w:szCs w:val="18"/>
              </w:rPr>
            </w:pPr>
            <w:r w:rsidRPr="00932B54">
              <w:rPr>
                <w:rFonts w:cstheme="minorHAnsi"/>
                <w:b w:val="0"/>
                <w:sz w:val="18"/>
                <w:szCs w:val="18"/>
              </w:rPr>
              <w:t>04 Respiratory system</w:t>
            </w:r>
          </w:p>
        </w:tc>
        <w:tc>
          <w:tcPr>
            <w:tcW w:w="691" w:type="pct"/>
            <w:tcBorders>
              <w:bottom w:val="nil"/>
            </w:tcBorders>
            <w:shd w:val="clear" w:color="auto" w:fill="EBEBEB"/>
          </w:tcPr>
          <w:p w14:paraId="71024439"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-1.924***</w:t>
            </w:r>
          </w:p>
        </w:tc>
        <w:tc>
          <w:tcPr>
            <w:tcW w:w="797" w:type="pct"/>
            <w:tcBorders>
              <w:bottom w:val="nil"/>
            </w:tcBorders>
            <w:shd w:val="clear" w:color="auto" w:fill="EBEBEB"/>
          </w:tcPr>
          <w:p w14:paraId="7F003E15"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0.104</w:t>
            </w:r>
          </w:p>
        </w:tc>
        <w:tc>
          <w:tcPr>
            <w:tcW w:w="1159" w:type="pct"/>
            <w:tcBorders>
              <w:bottom w:val="nil"/>
            </w:tcBorders>
            <w:shd w:val="clear" w:color="auto" w:fill="EBEBEB"/>
          </w:tcPr>
          <w:p w14:paraId="475AA3BD"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[-2.127 to -1.72]</w:t>
            </w:r>
          </w:p>
        </w:tc>
      </w:tr>
      <w:tr w:rsidR="00D33976" w:rsidRPr="00932B54" w14:paraId="3331B2C1" w14:textId="77777777" w:rsidTr="00545C83">
        <w:trPr>
          <w:trHeight w:val="300"/>
        </w:trPr>
        <w:tc>
          <w:tcPr>
            <w:tcW w:w="2353" w:type="pct"/>
            <w:tcBorders>
              <w:top w:val="nil"/>
              <w:bottom w:val="nil"/>
            </w:tcBorders>
          </w:tcPr>
          <w:p w14:paraId="241AEBCB" w14:textId="7CD97D8C" w:rsidR="00D33976" w:rsidRPr="00932B54" w:rsidRDefault="00D33976" w:rsidP="00A96788">
            <w:pPr>
              <w:pStyle w:val="TableHeading"/>
              <w:spacing w:before="45" w:after="45"/>
              <w:ind w:left="170" w:right="108"/>
              <w:rPr>
                <w:rFonts w:cstheme="minorHAnsi"/>
                <w:b w:val="0"/>
                <w:color w:val="265A9A"/>
                <w:sz w:val="18"/>
                <w:szCs w:val="18"/>
              </w:rPr>
            </w:pPr>
            <w:r w:rsidRPr="00932B54">
              <w:rPr>
                <w:rFonts w:cstheme="minorHAnsi"/>
                <w:b w:val="0"/>
                <w:sz w:val="18"/>
                <w:szCs w:val="18"/>
              </w:rPr>
              <w:t>05 Circulatory system</w:t>
            </w:r>
          </w:p>
        </w:tc>
        <w:tc>
          <w:tcPr>
            <w:tcW w:w="691" w:type="pct"/>
            <w:tcBorders>
              <w:top w:val="nil"/>
              <w:bottom w:val="nil"/>
            </w:tcBorders>
          </w:tcPr>
          <w:p w14:paraId="37D492E7"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-1.839***</w:t>
            </w:r>
          </w:p>
        </w:tc>
        <w:tc>
          <w:tcPr>
            <w:tcW w:w="797" w:type="pct"/>
            <w:tcBorders>
              <w:top w:val="nil"/>
              <w:bottom w:val="nil"/>
            </w:tcBorders>
          </w:tcPr>
          <w:p w14:paraId="71147EAF"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0.116</w:t>
            </w:r>
          </w:p>
        </w:tc>
        <w:tc>
          <w:tcPr>
            <w:tcW w:w="1159" w:type="pct"/>
            <w:tcBorders>
              <w:top w:val="nil"/>
              <w:bottom w:val="nil"/>
            </w:tcBorders>
          </w:tcPr>
          <w:p w14:paraId="3A4CE674"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[-2.066 to -1.612]</w:t>
            </w:r>
          </w:p>
        </w:tc>
      </w:tr>
      <w:tr w:rsidR="00D33976" w:rsidRPr="00932B54" w14:paraId="2A8D4175" w14:textId="77777777" w:rsidTr="00944E8B">
        <w:trPr>
          <w:trHeight w:val="300"/>
        </w:trPr>
        <w:tc>
          <w:tcPr>
            <w:tcW w:w="2353" w:type="pct"/>
            <w:tcBorders>
              <w:bottom w:val="nil"/>
            </w:tcBorders>
            <w:shd w:val="clear" w:color="auto" w:fill="EBEBEB"/>
          </w:tcPr>
          <w:p w14:paraId="14A35BF3" w14:textId="66CECE8D" w:rsidR="00D33976" w:rsidRPr="00932B54" w:rsidRDefault="00D33976" w:rsidP="00A96788">
            <w:pPr>
              <w:pStyle w:val="TableHeading"/>
              <w:spacing w:before="45" w:after="45"/>
              <w:ind w:left="170" w:right="108"/>
              <w:rPr>
                <w:rFonts w:cstheme="minorHAnsi"/>
                <w:b w:val="0"/>
                <w:color w:val="265A9A"/>
                <w:sz w:val="18"/>
                <w:szCs w:val="18"/>
              </w:rPr>
            </w:pPr>
            <w:r w:rsidRPr="00932B54">
              <w:rPr>
                <w:rFonts w:cstheme="minorHAnsi"/>
                <w:b w:val="0"/>
                <w:sz w:val="18"/>
                <w:szCs w:val="18"/>
              </w:rPr>
              <w:t>06 Digestive system</w:t>
            </w:r>
          </w:p>
        </w:tc>
        <w:tc>
          <w:tcPr>
            <w:tcW w:w="691" w:type="pct"/>
            <w:tcBorders>
              <w:bottom w:val="nil"/>
            </w:tcBorders>
            <w:shd w:val="clear" w:color="auto" w:fill="EBEBEB"/>
          </w:tcPr>
          <w:p w14:paraId="5A0B37D7"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-1.915***</w:t>
            </w:r>
          </w:p>
        </w:tc>
        <w:tc>
          <w:tcPr>
            <w:tcW w:w="797" w:type="pct"/>
            <w:tcBorders>
              <w:bottom w:val="nil"/>
            </w:tcBorders>
            <w:shd w:val="clear" w:color="auto" w:fill="EBEBEB"/>
          </w:tcPr>
          <w:p w14:paraId="7B6A26A4"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0.117</w:t>
            </w:r>
          </w:p>
        </w:tc>
        <w:tc>
          <w:tcPr>
            <w:tcW w:w="1159" w:type="pct"/>
            <w:tcBorders>
              <w:bottom w:val="nil"/>
            </w:tcBorders>
            <w:shd w:val="clear" w:color="auto" w:fill="EBEBEB"/>
          </w:tcPr>
          <w:p w14:paraId="3259653A"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[-2.151 to -1.694]</w:t>
            </w:r>
          </w:p>
        </w:tc>
      </w:tr>
      <w:tr w:rsidR="00D33976" w:rsidRPr="00932B54" w14:paraId="4908DECA" w14:textId="77777777" w:rsidTr="00545C83">
        <w:trPr>
          <w:trHeight w:val="300"/>
        </w:trPr>
        <w:tc>
          <w:tcPr>
            <w:tcW w:w="2353" w:type="pct"/>
            <w:tcBorders>
              <w:top w:val="nil"/>
              <w:bottom w:val="nil"/>
            </w:tcBorders>
          </w:tcPr>
          <w:p w14:paraId="0814E1C0" w14:textId="599C7333" w:rsidR="00D33976" w:rsidRPr="00932B54" w:rsidRDefault="00D33976" w:rsidP="00257B55">
            <w:pPr>
              <w:pStyle w:val="TableHeading"/>
              <w:spacing w:before="45" w:after="45"/>
              <w:ind w:left="170" w:right="108"/>
              <w:rPr>
                <w:rFonts w:cstheme="minorHAnsi"/>
                <w:b w:val="0"/>
                <w:color w:val="265A9A"/>
                <w:sz w:val="18"/>
                <w:szCs w:val="18"/>
              </w:rPr>
            </w:pPr>
            <w:r w:rsidRPr="00932B54">
              <w:rPr>
                <w:rFonts w:cstheme="minorHAnsi"/>
                <w:b w:val="0"/>
                <w:sz w:val="18"/>
                <w:szCs w:val="18"/>
              </w:rPr>
              <w:t>07 Hepatobiliary system and pancreas</w:t>
            </w:r>
          </w:p>
        </w:tc>
        <w:tc>
          <w:tcPr>
            <w:tcW w:w="691" w:type="pct"/>
            <w:tcBorders>
              <w:top w:val="nil"/>
              <w:bottom w:val="nil"/>
            </w:tcBorders>
          </w:tcPr>
          <w:p w14:paraId="242537BA"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-1.689***</w:t>
            </w:r>
          </w:p>
        </w:tc>
        <w:tc>
          <w:tcPr>
            <w:tcW w:w="797" w:type="pct"/>
            <w:tcBorders>
              <w:top w:val="nil"/>
              <w:bottom w:val="nil"/>
            </w:tcBorders>
          </w:tcPr>
          <w:p w14:paraId="42D79E28"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0.106</w:t>
            </w:r>
          </w:p>
        </w:tc>
        <w:tc>
          <w:tcPr>
            <w:tcW w:w="1159" w:type="pct"/>
            <w:tcBorders>
              <w:top w:val="nil"/>
              <w:bottom w:val="nil"/>
            </w:tcBorders>
          </w:tcPr>
          <w:p w14:paraId="64DB3839"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[-1.897 to -1.481]</w:t>
            </w:r>
          </w:p>
        </w:tc>
      </w:tr>
      <w:tr w:rsidR="00D33976" w:rsidRPr="00932B54" w14:paraId="332B96CA" w14:textId="77777777" w:rsidTr="00944E8B">
        <w:trPr>
          <w:trHeight w:val="300"/>
        </w:trPr>
        <w:tc>
          <w:tcPr>
            <w:tcW w:w="2353" w:type="pct"/>
            <w:tcBorders>
              <w:bottom w:val="nil"/>
            </w:tcBorders>
            <w:shd w:val="clear" w:color="auto" w:fill="EBEBEB"/>
          </w:tcPr>
          <w:p w14:paraId="7457BD6D" w14:textId="61FC40F2" w:rsidR="00D33976" w:rsidRPr="00932B54" w:rsidRDefault="00D33976" w:rsidP="00257B55">
            <w:pPr>
              <w:pStyle w:val="TableHeading"/>
              <w:spacing w:before="45" w:after="45"/>
              <w:ind w:left="170" w:right="108"/>
              <w:rPr>
                <w:rFonts w:cstheme="minorHAnsi"/>
                <w:b w:val="0"/>
                <w:color w:val="265A9A"/>
                <w:sz w:val="18"/>
                <w:szCs w:val="18"/>
              </w:rPr>
            </w:pPr>
            <w:r w:rsidRPr="00932B54">
              <w:rPr>
                <w:rFonts w:cstheme="minorHAnsi"/>
                <w:b w:val="0"/>
                <w:sz w:val="18"/>
                <w:szCs w:val="18"/>
              </w:rPr>
              <w:t xml:space="preserve">08 Musculoskeletal system </w:t>
            </w:r>
          </w:p>
        </w:tc>
        <w:tc>
          <w:tcPr>
            <w:tcW w:w="691" w:type="pct"/>
            <w:tcBorders>
              <w:bottom w:val="nil"/>
            </w:tcBorders>
            <w:shd w:val="clear" w:color="auto" w:fill="EBEBEB"/>
          </w:tcPr>
          <w:p w14:paraId="650AFAD4"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-1.333***</w:t>
            </w:r>
          </w:p>
        </w:tc>
        <w:tc>
          <w:tcPr>
            <w:tcW w:w="797" w:type="pct"/>
            <w:tcBorders>
              <w:bottom w:val="nil"/>
            </w:tcBorders>
            <w:shd w:val="clear" w:color="auto" w:fill="EBEBEB"/>
          </w:tcPr>
          <w:p w14:paraId="71457725"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0.119</w:t>
            </w:r>
          </w:p>
        </w:tc>
        <w:tc>
          <w:tcPr>
            <w:tcW w:w="1159" w:type="pct"/>
            <w:tcBorders>
              <w:bottom w:val="nil"/>
            </w:tcBorders>
            <w:shd w:val="clear" w:color="auto" w:fill="EBEBEB"/>
          </w:tcPr>
          <w:p w14:paraId="10F8C85F"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[-1.566 to -1.1]</w:t>
            </w:r>
          </w:p>
        </w:tc>
      </w:tr>
      <w:tr w:rsidR="00D33976" w:rsidRPr="00932B54" w14:paraId="44E747B9" w14:textId="77777777" w:rsidTr="00545C83">
        <w:trPr>
          <w:trHeight w:val="300"/>
        </w:trPr>
        <w:tc>
          <w:tcPr>
            <w:tcW w:w="2353" w:type="pct"/>
            <w:tcBorders>
              <w:top w:val="nil"/>
              <w:bottom w:val="nil"/>
            </w:tcBorders>
          </w:tcPr>
          <w:p w14:paraId="2A4498A7" w14:textId="25546074" w:rsidR="00D33976" w:rsidRPr="00932B54" w:rsidRDefault="00D33976" w:rsidP="00257B55">
            <w:pPr>
              <w:pStyle w:val="TableHeading"/>
              <w:spacing w:before="45" w:after="45"/>
              <w:ind w:left="170" w:right="108"/>
              <w:rPr>
                <w:rFonts w:cstheme="minorHAnsi"/>
                <w:b w:val="0"/>
                <w:color w:val="265A9A"/>
                <w:sz w:val="18"/>
                <w:szCs w:val="18"/>
              </w:rPr>
            </w:pPr>
            <w:r w:rsidRPr="00932B54">
              <w:rPr>
                <w:rFonts w:cstheme="minorHAnsi"/>
                <w:b w:val="0"/>
                <w:sz w:val="18"/>
                <w:szCs w:val="18"/>
              </w:rPr>
              <w:t>09 Skin, subcutaneous tissue and breast</w:t>
            </w:r>
          </w:p>
        </w:tc>
        <w:tc>
          <w:tcPr>
            <w:tcW w:w="691" w:type="pct"/>
            <w:tcBorders>
              <w:top w:val="nil"/>
              <w:bottom w:val="nil"/>
            </w:tcBorders>
          </w:tcPr>
          <w:p w14:paraId="24A10D45"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-2.265***</w:t>
            </w:r>
          </w:p>
        </w:tc>
        <w:tc>
          <w:tcPr>
            <w:tcW w:w="797" w:type="pct"/>
            <w:tcBorders>
              <w:top w:val="nil"/>
              <w:bottom w:val="nil"/>
            </w:tcBorders>
          </w:tcPr>
          <w:p w14:paraId="5186D84C"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0.123</w:t>
            </w:r>
          </w:p>
        </w:tc>
        <w:tc>
          <w:tcPr>
            <w:tcW w:w="1159" w:type="pct"/>
            <w:tcBorders>
              <w:top w:val="nil"/>
              <w:bottom w:val="nil"/>
            </w:tcBorders>
          </w:tcPr>
          <w:p w14:paraId="3D24B958"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[-2.505 to -2.025]</w:t>
            </w:r>
          </w:p>
        </w:tc>
      </w:tr>
      <w:tr w:rsidR="00D33976" w:rsidRPr="00932B54" w14:paraId="60CC3882" w14:textId="77777777" w:rsidTr="00944E8B">
        <w:trPr>
          <w:trHeight w:val="300"/>
        </w:trPr>
        <w:tc>
          <w:tcPr>
            <w:tcW w:w="2353" w:type="pct"/>
            <w:tcBorders>
              <w:bottom w:val="nil"/>
            </w:tcBorders>
            <w:shd w:val="clear" w:color="auto" w:fill="EBEBEB"/>
          </w:tcPr>
          <w:p w14:paraId="77B76D7A" w14:textId="31050221" w:rsidR="00D33976" w:rsidRPr="00932B54" w:rsidRDefault="00D33976" w:rsidP="00545C83">
            <w:pPr>
              <w:pStyle w:val="TableHeading"/>
              <w:spacing w:before="45" w:after="45"/>
              <w:ind w:left="170"/>
              <w:rPr>
                <w:rFonts w:cstheme="minorHAnsi"/>
                <w:b w:val="0"/>
                <w:color w:val="265A9A"/>
                <w:sz w:val="18"/>
                <w:szCs w:val="18"/>
              </w:rPr>
            </w:pPr>
            <w:r w:rsidRPr="00932B54">
              <w:rPr>
                <w:rFonts w:cstheme="minorHAnsi"/>
                <w:b w:val="0"/>
                <w:sz w:val="18"/>
                <w:szCs w:val="18"/>
              </w:rPr>
              <w:t>10 Endocrine, nutritional and metabolic diseases</w:t>
            </w:r>
          </w:p>
        </w:tc>
        <w:tc>
          <w:tcPr>
            <w:tcW w:w="691" w:type="pct"/>
            <w:tcBorders>
              <w:bottom w:val="nil"/>
            </w:tcBorders>
            <w:shd w:val="clear" w:color="auto" w:fill="EBEBEB"/>
          </w:tcPr>
          <w:p w14:paraId="52EFE964"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-1.652***</w:t>
            </w:r>
          </w:p>
        </w:tc>
        <w:tc>
          <w:tcPr>
            <w:tcW w:w="797" w:type="pct"/>
            <w:tcBorders>
              <w:bottom w:val="nil"/>
            </w:tcBorders>
            <w:shd w:val="clear" w:color="auto" w:fill="EBEBEB"/>
          </w:tcPr>
          <w:p w14:paraId="58D975C5"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0.112</w:t>
            </w:r>
          </w:p>
        </w:tc>
        <w:tc>
          <w:tcPr>
            <w:tcW w:w="1159" w:type="pct"/>
            <w:tcBorders>
              <w:bottom w:val="nil"/>
            </w:tcBorders>
            <w:shd w:val="clear" w:color="auto" w:fill="EBEBEB"/>
          </w:tcPr>
          <w:p w14:paraId="2987FB9B"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[-1.871 to -1.434]</w:t>
            </w:r>
          </w:p>
        </w:tc>
      </w:tr>
      <w:tr w:rsidR="00D33976" w:rsidRPr="00932B54" w14:paraId="1CE0EA79" w14:textId="77777777" w:rsidTr="00545C83">
        <w:trPr>
          <w:trHeight w:val="300"/>
        </w:trPr>
        <w:tc>
          <w:tcPr>
            <w:tcW w:w="2353" w:type="pct"/>
            <w:tcBorders>
              <w:top w:val="nil"/>
              <w:bottom w:val="nil"/>
            </w:tcBorders>
          </w:tcPr>
          <w:p w14:paraId="15A0ACD8" w14:textId="282F8A7A" w:rsidR="00D33976" w:rsidRPr="00932B54" w:rsidRDefault="00D33976" w:rsidP="00257B55">
            <w:pPr>
              <w:pStyle w:val="TableHeading"/>
              <w:spacing w:before="45" w:after="45"/>
              <w:ind w:left="170" w:right="108"/>
              <w:rPr>
                <w:rFonts w:cstheme="minorHAnsi"/>
                <w:b w:val="0"/>
                <w:color w:val="265A9A"/>
                <w:sz w:val="18"/>
                <w:szCs w:val="18"/>
              </w:rPr>
            </w:pPr>
            <w:r w:rsidRPr="00932B54">
              <w:rPr>
                <w:rFonts w:cstheme="minorHAnsi"/>
                <w:b w:val="0"/>
                <w:sz w:val="18"/>
                <w:szCs w:val="18"/>
              </w:rPr>
              <w:t>11 Kidney and urinary tract</w:t>
            </w:r>
          </w:p>
        </w:tc>
        <w:tc>
          <w:tcPr>
            <w:tcW w:w="691" w:type="pct"/>
            <w:tcBorders>
              <w:top w:val="nil"/>
              <w:bottom w:val="nil"/>
            </w:tcBorders>
          </w:tcPr>
          <w:p w14:paraId="5013973C"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szCs w:val="18"/>
              </w:rPr>
              <w:noBreakHyphen/>
              <w:t>2.042***</w:t>
            </w:r>
          </w:p>
        </w:tc>
        <w:tc>
          <w:tcPr>
            <w:tcW w:w="797" w:type="pct"/>
            <w:tcBorders>
              <w:top w:val="nil"/>
              <w:bottom w:val="nil"/>
            </w:tcBorders>
          </w:tcPr>
          <w:p w14:paraId="1A9DBE8D"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0.120</w:t>
            </w:r>
          </w:p>
        </w:tc>
        <w:tc>
          <w:tcPr>
            <w:tcW w:w="1159" w:type="pct"/>
            <w:tcBorders>
              <w:top w:val="nil"/>
              <w:bottom w:val="nil"/>
            </w:tcBorders>
          </w:tcPr>
          <w:p w14:paraId="30A3F453"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[-2.278 to -1.807]</w:t>
            </w:r>
          </w:p>
        </w:tc>
      </w:tr>
      <w:tr w:rsidR="00D33976" w:rsidRPr="00932B54" w14:paraId="1AC95C56" w14:textId="77777777" w:rsidTr="00944E8B">
        <w:trPr>
          <w:trHeight w:val="300"/>
        </w:trPr>
        <w:tc>
          <w:tcPr>
            <w:tcW w:w="2353" w:type="pct"/>
            <w:tcBorders>
              <w:bottom w:val="nil"/>
            </w:tcBorders>
            <w:shd w:val="clear" w:color="auto" w:fill="EBEBEB"/>
          </w:tcPr>
          <w:p w14:paraId="7B8FE105" w14:textId="42E01FAB" w:rsidR="00D33976" w:rsidRPr="00932B54" w:rsidRDefault="00D33976" w:rsidP="00257B55">
            <w:pPr>
              <w:pStyle w:val="TableHeading"/>
              <w:spacing w:before="45" w:after="45"/>
              <w:ind w:left="170" w:right="108"/>
              <w:rPr>
                <w:rFonts w:cstheme="minorHAnsi"/>
                <w:b w:val="0"/>
                <w:color w:val="265A9A"/>
                <w:sz w:val="18"/>
                <w:szCs w:val="18"/>
              </w:rPr>
            </w:pPr>
            <w:r w:rsidRPr="00932B54">
              <w:rPr>
                <w:rFonts w:cstheme="minorHAnsi"/>
                <w:b w:val="0"/>
                <w:sz w:val="18"/>
                <w:szCs w:val="18"/>
              </w:rPr>
              <w:t>12 Male reproductive system</w:t>
            </w:r>
          </w:p>
        </w:tc>
        <w:tc>
          <w:tcPr>
            <w:tcW w:w="691" w:type="pct"/>
            <w:tcBorders>
              <w:bottom w:val="nil"/>
            </w:tcBorders>
            <w:shd w:val="clear" w:color="auto" w:fill="EBEBEB"/>
          </w:tcPr>
          <w:p w14:paraId="59B87E71"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-2.450***</w:t>
            </w:r>
          </w:p>
        </w:tc>
        <w:tc>
          <w:tcPr>
            <w:tcW w:w="797" w:type="pct"/>
            <w:tcBorders>
              <w:bottom w:val="nil"/>
            </w:tcBorders>
            <w:shd w:val="clear" w:color="auto" w:fill="EBEBEB"/>
          </w:tcPr>
          <w:p w14:paraId="15D7982F"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0.125</w:t>
            </w:r>
          </w:p>
        </w:tc>
        <w:tc>
          <w:tcPr>
            <w:tcW w:w="1159" w:type="pct"/>
            <w:tcBorders>
              <w:bottom w:val="nil"/>
            </w:tcBorders>
            <w:shd w:val="clear" w:color="auto" w:fill="EBEBEB"/>
          </w:tcPr>
          <w:p w14:paraId="0AF60278"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[-2.696 to -2.205]</w:t>
            </w:r>
          </w:p>
        </w:tc>
      </w:tr>
      <w:tr w:rsidR="00D33976" w:rsidRPr="00932B54" w14:paraId="7B4F04A5" w14:textId="77777777" w:rsidTr="00545C83">
        <w:trPr>
          <w:trHeight w:val="300"/>
        </w:trPr>
        <w:tc>
          <w:tcPr>
            <w:tcW w:w="2353" w:type="pct"/>
            <w:tcBorders>
              <w:top w:val="nil"/>
              <w:bottom w:val="nil"/>
            </w:tcBorders>
          </w:tcPr>
          <w:p w14:paraId="39E7FF32" w14:textId="2B2BC98D" w:rsidR="00D33976" w:rsidRPr="00932B54" w:rsidRDefault="00D33976" w:rsidP="00257B55">
            <w:pPr>
              <w:pStyle w:val="TableHeading"/>
              <w:spacing w:before="45" w:after="45"/>
              <w:ind w:left="170" w:right="108"/>
              <w:rPr>
                <w:rFonts w:cstheme="minorHAnsi"/>
                <w:b w:val="0"/>
                <w:color w:val="265A9A"/>
                <w:sz w:val="18"/>
                <w:szCs w:val="18"/>
              </w:rPr>
            </w:pPr>
            <w:r w:rsidRPr="00932B54">
              <w:rPr>
                <w:rFonts w:cstheme="minorHAnsi"/>
                <w:b w:val="0"/>
                <w:sz w:val="18"/>
                <w:szCs w:val="18"/>
              </w:rPr>
              <w:t>13 Female reproductive system</w:t>
            </w:r>
          </w:p>
        </w:tc>
        <w:tc>
          <w:tcPr>
            <w:tcW w:w="691" w:type="pct"/>
            <w:tcBorders>
              <w:top w:val="nil"/>
              <w:bottom w:val="nil"/>
            </w:tcBorders>
          </w:tcPr>
          <w:p w14:paraId="14360499"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-2.264***</w:t>
            </w:r>
          </w:p>
        </w:tc>
        <w:tc>
          <w:tcPr>
            <w:tcW w:w="797" w:type="pct"/>
            <w:tcBorders>
              <w:top w:val="nil"/>
              <w:bottom w:val="nil"/>
            </w:tcBorders>
          </w:tcPr>
          <w:p w14:paraId="775B167A"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0.141</w:t>
            </w:r>
          </w:p>
        </w:tc>
        <w:tc>
          <w:tcPr>
            <w:tcW w:w="1159" w:type="pct"/>
            <w:tcBorders>
              <w:top w:val="nil"/>
              <w:bottom w:val="nil"/>
            </w:tcBorders>
          </w:tcPr>
          <w:p w14:paraId="7C7A4FA9"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[-2.541 to -1.987]</w:t>
            </w:r>
          </w:p>
        </w:tc>
      </w:tr>
      <w:tr w:rsidR="00D33976" w:rsidRPr="00932B54" w14:paraId="12E5C8A8" w14:textId="77777777" w:rsidTr="00944E8B">
        <w:trPr>
          <w:trHeight w:val="300"/>
        </w:trPr>
        <w:tc>
          <w:tcPr>
            <w:tcW w:w="2353" w:type="pct"/>
            <w:tcBorders>
              <w:bottom w:val="nil"/>
            </w:tcBorders>
            <w:shd w:val="clear" w:color="auto" w:fill="EBEBEB"/>
          </w:tcPr>
          <w:p w14:paraId="217230B2" w14:textId="49DFE550" w:rsidR="00D33976" w:rsidRPr="00932B54" w:rsidRDefault="00D33976" w:rsidP="00257B55">
            <w:pPr>
              <w:pStyle w:val="TableHeading"/>
              <w:spacing w:before="45" w:after="45"/>
              <w:ind w:left="170" w:right="108"/>
              <w:rPr>
                <w:rFonts w:cstheme="minorHAnsi"/>
                <w:b w:val="0"/>
                <w:color w:val="265A9A"/>
                <w:sz w:val="18"/>
                <w:szCs w:val="18"/>
              </w:rPr>
            </w:pPr>
            <w:r w:rsidRPr="00932B54">
              <w:rPr>
                <w:rFonts w:cstheme="minorHAnsi"/>
                <w:b w:val="0"/>
                <w:sz w:val="18"/>
                <w:szCs w:val="18"/>
              </w:rPr>
              <w:t>14 Pregnancy, childbirth and puerperium</w:t>
            </w:r>
          </w:p>
        </w:tc>
        <w:tc>
          <w:tcPr>
            <w:tcW w:w="691" w:type="pct"/>
            <w:tcBorders>
              <w:bottom w:val="nil"/>
            </w:tcBorders>
            <w:shd w:val="clear" w:color="auto" w:fill="EBEBEB"/>
          </w:tcPr>
          <w:p w14:paraId="34C2CECB"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szCs w:val="18"/>
              </w:rPr>
              <w:noBreakHyphen/>
              <w:t>0.579***</w:t>
            </w:r>
          </w:p>
        </w:tc>
        <w:tc>
          <w:tcPr>
            <w:tcW w:w="797" w:type="pct"/>
            <w:tcBorders>
              <w:bottom w:val="nil"/>
            </w:tcBorders>
            <w:shd w:val="clear" w:color="auto" w:fill="EBEBEB"/>
          </w:tcPr>
          <w:p w14:paraId="30840914"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0.151</w:t>
            </w:r>
          </w:p>
        </w:tc>
        <w:tc>
          <w:tcPr>
            <w:tcW w:w="1159" w:type="pct"/>
            <w:tcBorders>
              <w:bottom w:val="nil"/>
            </w:tcBorders>
            <w:shd w:val="clear" w:color="auto" w:fill="EBEBEB"/>
          </w:tcPr>
          <w:p w14:paraId="545D1B1B"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[-0.875 to -0.283]</w:t>
            </w:r>
          </w:p>
        </w:tc>
      </w:tr>
      <w:tr w:rsidR="00D33976" w:rsidRPr="00932B54" w14:paraId="7E29E2B3" w14:textId="77777777" w:rsidTr="00545C83">
        <w:trPr>
          <w:trHeight w:val="300"/>
        </w:trPr>
        <w:tc>
          <w:tcPr>
            <w:tcW w:w="2353" w:type="pct"/>
            <w:tcBorders>
              <w:top w:val="nil"/>
              <w:bottom w:val="nil"/>
            </w:tcBorders>
          </w:tcPr>
          <w:p w14:paraId="144F9373" w14:textId="2D6D05A8" w:rsidR="00D33976" w:rsidRPr="00932B54" w:rsidRDefault="00D33976" w:rsidP="00257B55">
            <w:pPr>
              <w:pStyle w:val="TableHeading"/>
              <w:spacing w:before="45" w:after="45"/>
              <w:ind w:left="170" w:right="108"/>
              <w:rPr>
                <w:rFonts w:cstheme="minorHAnsi"/>
                <w:b w:val="0"/>
                <w:color w:val="265A9A"/>
                <w:sz w:val="18"/>
                <w:szCs w:val="18"/>
              </w:rPr>
            </w:pPr>
            <w:r w:rsidRPr="00932B54">
              <w:rPr>
                <w:rFonts w:cstheme="minorHAnsi"/>
                <w:b w:val="0"/>
                <w:sz w:val="18"/>
                <w:szCs w:val="18"/>
              </w:rPr>
              <w:t>15 Newborns and other neonates</w:t>
            </w:r>
          </w:p>
        </w:tc>
        <w:tc>
          <w:tcPr>
            <w:tcW w:w="691" w:type="pct"/>
            <w:tcBorders>
              <w:top w:val="nil"/>
              <w:bottom w:val="nil"/>
            </w:tcBorders>
          </w:tcPr>
          <w:p w14:paraId="4BD86204"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1.665***</w:t>
            </w:r>
          </w:p>
        </w:tc>
        <w:tc>
          <w:tcPr>
            <w:tcW w:w="797" w:type="pct"/>
            <w:tcBorders>
              <w:top w:val="nil"/>
              <w:bottom w:val="nil"/>
            </w:tcBorders>
          </w:tcPr>
          <w:p w14:paraId="473518FB"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0.405</w:t>
            </w:r>
          </w:p>
        </w:tc>
        <w:tc>
          <w:tcPr>
            <w:tcW w:w="1159" w:type="pct"/>
            <w:tcBorders>
              <w:top w:val="nil"/>
              <w:bottom w:val="nil"/>
            </w:tcBorders>
          </w:tcPr>
          <w:p w14:paraId="5B0C33BE"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[0.87 to 2.459]</w:t>
            </w:r>
          </w:p>
        </w:tc>
      </w:tr>
      <w:tr w:rsidR="00D33976" w:rsidRPr="00932B54" w14:paraId="76778960" w14:textId="77777777" w:rsidTr="00944E8B">
        <w:trPr>
          <w:trHeight w:val="300"/>
        </w:trPr>
        <w:tc>
          <w:tcPr>
            <w:tcW w:w="2353" w:type="pct"/>
            <w:tcBorders>
              <w:bottom w:val="nil"/>
            </w:tcBorders>
            <w:shd w:val="clear" w:color="auto" w:fill="EBEBEB"/>
          </w:tcPr>
          <w:p w14:paraId="27EAF5B3" w14:textId="4A7EBE78" w:rsidR="00D33976" w:rsidRPr="00932B54" w:rsidRDefault="00D33976" w:rsidP="00A96788">
            <w:pPr>
              <w:pStyle w:val="TableHeading"/>
              <w:spacing w:before="45" w:after="45"/>
              <w:ind w:left="170"/>
              <w:rPr>
                <w:rFonts w:cstheme="minorHAnsi"/>
                <w:b w:val="0"/>
                <w:color w:val="265A9A"/>
                <w:sz w:val="18"/>
                <w:szCs w:val="18"/>
              </w:rPr>
            </w:pPr>
            <w:r w:rsidRPr="00932B54">
              <w:rPr>
                <w:rFonts w:cstheme="minorHAnsi"/>
                <w:b w:val="0"/>
                <w:sz w:val="18"/>
                <w:szCs w:val="18"/>
              </w:rPr>
              <w:t>16 Blood, blood forming organs and immunology</w:t>
            </w:r>
          </w:p>
        </w:tc>
        <w:tc>
          <w:tcPr>
            <w:tcW w:w="691" w:type="pct"/>
            <w:tcBorders>
              <w:bottom w:val="nil"/>
            </w:tcBorders>
            <w:shd w:val="clear" w:color="auto" w:fill="EBEBEB"/>
          </w:tcPr>
          <w:p w14:paraId="7BE0937D"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-2.209***</w:t>
            </w:r>
          </w:p>
        </w:tc>
        <w:tc>
          <w:tcPr>
            <w:tcW w:w="797" w:type="pct"/>
            <w:tcBorders>
              <w:bottom w:val="nil"/>
            </w:tcBorders>
            <w:shd w:val="clear" w:color="auto" w:fill="EBEBEB"/>
          </w:tcPr>
          <w:p w14:paraId="71871CD7"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0.113</w:t>
            </w:r>
          </w:p>
        </w:tc>
        <w:tc>
          <w:tcPr>
            <w:tcW w:w="1159" w:type="pct"/>
            <w:tcBorders>
              <w:bottom w:val="nil"/>
            </w:tcBorders>
            <w:shd w:val="clear" w:color="auto" w:fill="EBEBEB"/>
          </w:tcPr>
          <w:p w14:paraId="676A5CD0"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[-2.431 to -1.987]</w:t>
            </w:r>
          </w:p>
        </w:tc>
      </w:tr>
      <w:tr w:rsidR="00D33976" w:rsidRPr="00932B54" w14:paraId="02AB9792" w14:textId="77777777" w:rsidTr="00545C83">
        <w:trPr>
          <w:trHeight w:val="300"/>
        </w:trPr>
        <w:tc>
          <w:tcPr>
            <w:tcW w:w="2353" w:type="pct"/>
            <w:tcBorders>
              <w:top w:val="nil"/>
              <w:bottom w:val="nil"/>
            </w:tcBorders>
          </w:tcPr>
          <w:p w14:paraId="62DE24B4" w14:textId="7B5DE386" w:rsidR="00D33976" w:rsidRPr="00932B54" w:rsidRDefault="00D33976" w:rsidP="00257B55">
            <w:pPr>
              <w:pStyle w:val="TableHeading"/>
              <w:spacing w:before="45" w:after="45"/>
              <w:ind w:left="170" w:right="108"/>
              <w:rPr>
                <w:rFonts w:cstheme="minorHAnsi"/>
                <w:b w:val="0"/>
                <w:color w:val="265A9A"/>
                <w:sz w:val="18"/>
                <w:szCs w:val="18"/>
              </w:rPr>
            </w:pPr>
            <w:r w:rsidRPr="00932B54">
              <w:rPr>
                <w:rFonts w:cstheme="minorHAnsi"/>
                <w:b w:val="0"/>
                <w:sz w:val="18"/>
                <w:szCs w:val="18"/>
              </w:rPr>
              <w:t>17 Neoplastic disorders</w:t>
            </w:r>
          </w:p>
        </w:tc>
        <w:tc>
          <w:tcPr>
            <w:tcW w:w="691" w:type="pct"/>
            <w:tcBorders>
              <w:top w:val="nil"/>
              <w:bottom w:val="nil"/>
            </w:tcBorders>
          </w:tcPr>
          <w:p w14:paraId="7F32FEE7"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-1.305***</w:t>
            </w:r>
          </w:p>
        </w:tc>
        <w:tc>
          <w:tcPr>
            <w:tcW w:w="797" w:type="pct"/>
            <w:tcBorders>
              <w:top w:val="nil"/>
              <w:bottom w:val="nil"/>
            </w:tcBorders>
          </w:tcPr>
          <w:p w14:paraId="6269EB3D"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0.148</w:t>
            </w:r>
          </w:p>
        </w:tc>
        <w:tc>
          <w:tcPr>
            <w:tcW w:w="1159" w:type="pct"/>
            <w:tcBorders>
              <w:top w:val="nil"/>
              <w:bottom w:val="nil"/>
            </w:tcBorders>
          </w:tcPr>
          <w:p w14:paraId="14725ECD"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[-1.595 to -1.015]</w:t>
            </w:r>
          </w:p>
        </w:tc>
      </w:tr>
      <w:tr w:rsidR="00D33976" w:rsidRPr="00932B54" w14:paraId="22285029" w14:textId="77777777" w:rsidTr="00944E8B">
        <w:trPr>
          <w:trHeight w:val="300"/>
        </w:trPr>
        <w:tc>
          <w:tcPr>
            <w:tcW w:w="2353" w:type="pct"/>
            <w:tcBorders>
              <w:bottom w:val="nil"/>
            </w:tcBorders>
            <w:shd w:val="clear" w:color="auto" w:fill="EBEBEB"/>
          </w:tcPr>
          <w:p w14:paraId="0BE27F41" w14:textId="5BEE7507" w:rsidR="00D33976" w:rsidRPr="00932B54" w:rsidRDefault="00D33976" w:rsidP="00257B55">
            <w:pPr>
              <w:pStyle w:val="TableHeading"/>
              <w:spacing w:before="45" w:after="45"/>
              <w:ind w:left="170" w:right="108"/>
              <w:rPr>
                <w:rFonts w:cstheme="minorHAnsi"/>
                <w:b w:val="0"/>
                <w:color w:val="265A9A"/>
                <w:sz w:val="18"/>
                <w:szCs w:val="18"/>
              </w:rPr>
            </w:pPr>
            <w:r w:rsidRPr="00932B54">
              <w:rPr>
                <w:rFonts w:cstheme="minorHAnsi"/>
                <w:b w:val="0"/>
                <w:sz w:val="18"/>
                <w:szCs w:val="18"/>
              </w:rPr>
              <w:t>18 Infectious and parasitic diseases</w:t>
            </w:r>
          </w:p>
        </w:tc>
        <w:tc>
          <w:tcPr>
            <w:tcW w:w="691" w:type="pct"/>
            <w:tcBorders>
              <w:bottom w:val="nil"/>
            </w:tcBorders>
            <w:shd w:val="clear" w:color="auto" w:fill="EBEBEB"/>
          </w:tcPr>
          <w:p w14:paraId="0B389179"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-1.437***</w:t>
            </w:r>
          </w:p>
        </w:tc>
        <w:tc>
          <w:tcPr>
            <w:tcW w:w="797" w:type="pct"/>
            <w:tcBorders>
              <w:bottom w:val="nil"/>
            </w:tcBorders>
            <w:shd w:val="clear" w:color="auto" w:fill="EBEBEB"/>
          </w:tcPr>
          <w:p w14:paraId="1431838D"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0.090</w:t>
            </w:r>
          </w:p>
        </w:tc>
        <w:tc>
          <w:tcPr>
            <w:tcW w:w="1159" w:type="pct"/>
            <w:tcBorders>
              <w:bottom w:val="nil"/>
            </w:tcBorders>
            <w:shd w:val="clear" w:color="auto" w:fill="EBEBEB"/>
          </w:tcPr>
          <w:p w14:paraId="4A907012"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[-1.613 to -1.26]</w:t>
            </w:r>
          </w:p>
        </w:tc>
      </w:tr>
      <w:tr w:rsidR="00D33976" w:rsidRPr="00932B54" w14:paraId="4B9C7FFF" w14:textId="77777777" w:rsidTr="00545C83">
        <w:trPr>
          <w:trHeight w:val="300"/>
        </w:trPr>
        <w:tc>
          <w:tcPr>
            <w:tcW w:w="2353" w:type="pct"/>
            <w:tcBorders>
              <w:top w:val="nil"/>
              <w:bottom w:val="nil"/>
            </w:tcBorders>
          </w:tcPr>
          <w:p w14:paraId="7F9804C4" w14:textId="0E5A870A" w:rsidR="00D33976" w:rsidRPr="00932B54" w:rsidRDefault="00D33976" w:rsidP="00545C83">
            <w:pPr>
              <w:pStyle w:val="TableHeading"/>
              <w:spacing w:before="45" w:after="45"/>
              <w:ind w:left="170"/>
              <w:rPr>
                <w:rFonts w:cstheme="minorHAnsi"/>
                <w:b w:val="0"/>
                <w:color w:val="265A9A"/>
                <w:spacing w:val="-4"/>
                <w:sz w:val="18"/>
                <w:szCs w:val="18"/>
              </w:rPr>
            </w:pPr>
            <w:r w:rsidRPr="00932B54">
              <w:rPr>
                <w:rFonts w:cstheme="minorHAnsi"/>
                <w:b w:val="0"/>
                <w:spacing w:val="-4"/>
                <w:sz w:val="18"/>
                <w:szCs w:val="18"/>
              </w:rPr>
              <w:t>19 Mental, behavioural and neurodevelopmental</w:t>
            </w:r>
          </w:p>
        </w:tc>
        <w:tc>
          <w:tcPr>
            <w:tcW w:w="691" w:type="pct"/>
            <w:tcBorders>
              <w:top w:val="nil"/>
              <w:bottom w:val="nil"/>
            </w:tcBorders>
          </w:tcPr>
          <w:p w14:paraId="05FBC52C"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szCs w:val="18"/>
              </w:rPr>
              <w:noBreakHyphen/>
              <w:t>7.634***</w:t>
            </w:r>
          </w:p>
        </w:tc>
        <w:tc>
          <w:tcPr>
            <w:tcW w:w="797" w:type="pct"/>
            <w:tcBorders>
              <w:top w:val="nil"/>
              <w:bottom w:val="nil"/>
            </w:tcBorders>
          </w:tcPr>
          <w:p w14:paraId="26C7E71A"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0.111</w:t>
            </w:r>
          </w:p>
        </w:tc>
        <w:tc>
          <w:tcPr>
            <w:tcW w:w="1159" w:type="pct"/>
            <w:tcBorders>
              <w:top w:val="nil"/>
              <w:bottom w:val="nil"/>
            </w:tcBorders>
          </w:tcPr>
          <w:p w14:paraId="5DF99A2C"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[-7.852 to -7.416]</w:t>
            </w:r>
          </w:p>
        </w:tc>
      </w:tr>
      <w:tr w:rsidR="00D33976" w:rsidRPr="00932B54" w14:paraId="790F982A" w14:textId="77777777" w:rsidTr="00944E8B">
        <w:trPr>
          <w:trHeight w:val="300"/>
        </w:trPr>
        <w:tc>
          <w:tcPr>
            <w:tcW w:w="2353" w:type="pct"/>
            <w:tcBorders>
              <w:bottom w:val="nil"/>
            </w:tcBorders>
            <w:shd w:val="clear" w:color="auto" w:fill="EBEBEB"/>
          </w:tcPr>
          <w:p w14:paraId="4DE736B2" w14:textId="21F0D085" w:rsidR="00D33976" w:rsidRPr="00932B54" w:rsidRDefault="00D33976" w:rsidP="00545C83">
            <w:pPr>
              <w:pStyle w:val="TableHeading"/>
              <w:spacing w:before="45" w:after="45"/>
              <w:ind w:left="170" w:right="108"/>
              <w:rPr>
                <w:rFonts w:cstheme="minorHAnsi"/>
                <w:b w:val="0"/>
                <w:color w:val="265A9A"/>
                <w:sz w:val="18"/>
                <w:szCs w:val="18"/>
              </w:rPr>
            </w:pPr>
            <w:r w:rsidRPr="00932B54">
              <w:rPr>
                <w:rFonts w:cstheme="minorHAnsi"/>
                <w:b w:val="0"/>
                <w:sz w:val="18"/>
                <w:szCs w:val="18"/>
              </w:rPr>
              <w:t>21 Injury, poison and toxic effect drugs</w:t>
            </w:r>
          </w:p>
        </w:tc>
        <w:tc>
          <w:tcPr>
            <w:tcW w:w="691" w:type="pct"/>
            <w:tcBorders>
              <w:bottom w:val="nil"/>
            </w:tcBorders>
            <w:shd w:val="clear" w:color="auto" w:fill="EBEBEB"/>
          </w:tcPr>
          <w:p w14:paraId="3A2A3B6F"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-1.803***</w:t>
            </w:r>
          </w:p>
        </w:tc>
        <w:tc>
          <w:tcPr>
            <w:tcW w:w="797" w:type="pct"/>
            <w:tcBorders>
              <w:bottom w:val="nil"/>
            </w:tcBorders>
            <w:shd w:val="clear" w:color="auto" w:fill="EBEBEB"/>
          </w:tcPr>
          <w:p w14:paraId="0136D2F7"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0.116</w:t>
            </w:r>
          </w:p>
        </w:tc>
        <w:tc>
          <w:tcPr>
            <w:tcW w:w="1159" w:type="pct"/>
            <w:tcBorders>
              <w:bottom w:val="nil"/>
            </w:tcBorders>
            <w:shd w:val="clear" w:color="auto" w:fill="EBEBEB"/>
          </w:tcPr>
          <w:p w14:paraId="2F4805B4"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[-2.03 to -1.575]</w:t>
            </w:r>
          </w:p>
        </w:tc>
      </w:tr>
      <w:tr w:rsidR="00D33976" w:rsidRPr="00932B54" w14:paraId="3E9FDB22" w14:textId="77777777" w:rsidTr="00545C83">
        <w:trPr>
          <w:trHeight w:val="300"/>
        </w:trPr>
        <w:tc>
          <w:tcPr>
            <w:tcW w:w="2353" w:type="pct"/>
            <w:tcBorders>
              <w:top w:val="nil"/>
              <w:bottom w:val="nil"/>
            </w:tcBorders>
          </w:tcPr>
          <w:p w14:paraId="664D7D6D" w14:textId="6C1F84A3" w:rsidR="00D33976" w:rsidRPr="00932B54" w:rsidRDefault="00D33976" w:rsidP="00545C83">
            <w:pPr>
              <w:pStyle w:val="TableHeading"/>
              <w:spacing w:before="45" w:after="45"/>
              <w:ind w:left="170" w:right="108"/>
              <w:rPr>
                <w:rFonts w:cstheme="minorHAnsi"/>
                <w:b w:val="0"/>
                <w:color w:val="265A9A"/>
                <w:sz w:val="18"/>
                <w:szCs w:val="18"/>
              </w:rPr>
            </w:pPr>
            <w:r w:rsidRPr="00932B54">
              <w:rPr>
                <w:rFonts w:cstheme="minorHAnsi"/>
                <w:b w:val="0"/>
                <w:sz w:val="18"/>
                <w:szCs w:val="18"/>
              </w:rPr>
              <w:t>22 Burns</w:t>
            </w:r>
          </w:p>
        </w:tc>
        <w:tc>
          <w:tcPr>
            <w:tcW w:w="691" w:type="pct"/>
            <w:tcBorders>
              <w:top w:val="nil"/>
              <w:bottom w:val="nil"/>
            </w:tcBorders>
          </w:tcPr>
          <w:p w14:paraId="45D1B210"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-1.125***</w:t>
            </w:r>
          </w:p>
        </w:tc>
        <w:tc>
          <w:tcPr>
            <w:tcW w:w="797" w:type="pct"/>
            <w:tcBorders>
              <w:top w:val="nil"/>
              <w:bottom w:val="nil"/>
            </w:tcBorders>
          </w:tcPr>
          <w:p w14:paraId="18A8E622"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0.146</w:t>
            </w:r>
          </w:p>
        </w:tc>
        <w:tc>
          <w:tcPr>
            <w:tcW w:w="1159" w:type="pct"/>
            <w:tcBorders>
              <w:top w:val="nil"/>
              <w:bottom w:val="nil"/>
            </w:tcBorders>
          </w:tcPr>
          <w:p w14:paraId="2291636C"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[-1.411 to -0.838]</w:t>
            </w:r>
          </w:p>
        </w:tc>
      </w:tr>
      <w:tr w:rsidR="00D33976" w:rsidRPr="00932B54" w14:paraId="4A8521B8" w14:textId="77777777" w:rsidTr="00944E8B">
        <w:trPr>
          <w:trHeight w:val="300"/>
        </w:trPr>
        <w:tc>
          <w:tcPr>
            <w:tcW w:w="2353" w:type="pct"/>
            <w:tcBorders>
              <w:bottom w:val="single" w:sz="4" w:space="0" w:color="B3B3B3"/>
            </w:tcBorders>
            <w:shd w:val="clear" w:color="auto" w:fill="EBEBEB"/>
          </w:tcPr>
          <w:p w14:paraId="15A68A56" w14:textId="10305BA7" w:rsidR="00D33976" w:rsidRPr="00932B54" w:rsidRDefault="00D33976" w:rsidP="00545C83">
            <w:pPr>
              <w:pStyle w:val="TableHeading"/>
              <w:spacing w:before="45" w:after="45"/>
              <w:ind w:left="170" w:right="108"/>
              <w:rPr>
                <w:rFonts w:cstheme="minorHAnsi"/>
                <w:b w:val="0"/>
                <w:color w:val="265A9A"/>
                <w:sz w:val="18"/>
                <w:szCs w:val="18"/>
              </w:rPr>
            </w:pPr>
            <w:r w:rsidRPr="00932B54">
              <w:rPr>
                <w:rFonts w:cstheme="minorHAnsi"/>
                <w:b w:val="0"/>
                <w:sz w:val="18"/>
                <w:szCs w:val="18"/>
              </w:rPr>
              <w:t>23 Factors influencing health status</w:t>
            </w:r>
          </w:p>
        </w:tc>
        <w:tc>
          <w:tcPr>
            <w:tcW w:w="691" w:type="pct"/>
            <w:tcBorders>
              <w:bottom w:val="single" w:sz="4" w:space="0" w:color="B3B3B3"/>
            </w:tcBorders>
            <w:shd w:val="clear" w:color="auto" w:fill="EBEBEB"/>
          </w:tcPr>
          <w:p w14:paraId="3115B6B2"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-2.624***</w:t>
            </w:r>
          </w:p>
        </w:tc>
        <w:tc>
          <w:tcPr>
            <w:tcW w:w="797" w:type="pct"/>
            <w:tcBorders>
              <w:bottom w:val="single" w:sz="4" w:space="0" w:color="B3B3B3"/>
            </w:tcBorders>
            <w:shd w:val="clear" w:color="auto" w:fill="EBEBEB"/>
          </w:tcPr>
          <w:p w14:paraId="290EA002"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szCs w:val="18"/>
              </w:rPr>
              <w:t>0.139</w:t>
            </w:r>
          </w:p>
        </w:tc>
        <w:tc>
          <w:tcPr>
            <w:tcW w:w="1159" w:type="pct"/>
            <w:tcBorders>
              <w:bottom w:val="single" w:sz="4" w:space="0" w:color="B3B3B3"/>
            </w:tcBorders>
            <w:shd w:val="clear" w:color="auto" w:fill="EBEBEB"/>
          </w:tcPr>
          <w:p w14:paraId="311D424C" w14:textId="77777777" w:rsidR="00D33976" w:rsidRPr="00932B54" w:rsidRDefault="00D33976" w:rsidP="00AB62C3">
            <w:pPr>
              <w:pStyle w:val="TableBody"/>
              <w:spacing w:before="45" w:after="45"/>
              <w:ind w:right="108"/>
              <w:jc w:val="right"/>
              <w:rPr>
                <w:rFonts w:cstheme="minorHAnsi"/>
                <w:color w:val="000000"/>
                <w:szCs w:val="18"/>
              </w:rPr>
            </w:pPr>
            <w:r w:rsidRPr="00932B54">
              <w:rPr>
                <w:rFonts w:cstheme="minorHAnsi"/>
                <w:color w:val="000000" w:themeColor="text1"/>
                <w:szCs w:val="18"/>
              </w:rPr>
              <w:t>[-2.898 to -2.351]</w:t>
            </w:r>
          </w:p>
        </w:tc>
      </w:tr>
    </w:tbl>
    <w:p w14:paraId="706B6DF3" w14:textId="3E1E36A8" w:rsidR="00D33976" w:rsidRPr="004104E7" w:rsidRDefault="00D33976" w:rsidP="00AB62C3">
      <w:pPr>
        <w:pStyle w:val="Note"/>
      </w:pPr>
      <w:r w:rsidRPr="004104E7">
        <w:t>Number of observations (n) = 7,621,032</w:t>
      </w:r>
      <w:r w:rsidR="00532BFE">
        <w:t>.</w:t>
      </w:r>
      <w:r w:rsidRPr="004104E7">
        <w:t xml:space="preserve"> *** </w:t>
      </w:r>
      <w:r w:rsidRPr="004104E7">
        <w:rPr>
          <w:rFonts w:ascii="Cambria Math" w:hAnsi="Cambria Math" w:cs="Cambria Math"/>
        </w:rPr>
        <w:t>𝑝</w:t>
      </w:r>
      <w:r w:rsidRPr="004104E7">
        <w:t xml:space="preserve"> &lt; 0.001, ** </w:t>
      </w:r>
      <w:r w:rsidRPr="004104E7">
        <w:rPr>
          <w:rFonts w:ascii="Cambria Math" w:hAnsi="Cambria Math" w:cs="Cambria Math"/>
        </w:rPr>
        <w:t>𝑝</w:t>
      </w:r>
      <w:r w:rsidRPr="004104E7">
        <w:t xml:space="preserve"> &lt; 0.01, * </w:t>
      </w:r>
      <w:r w:rsidRPr="004104E7">
        <w:rPr>
          <w:rFonts w:ascii="Cambria Math" w:hAnsi="Cambria Math" w:cs="Cambria Math"/>
        </w:rPr>
        <w:t>𝑝</w:t>
      </w:r>
      <w:r w:rsidRPr="004104E7">
        <w:t xml:space="preserve"> &lt; 0.05</w:t>
      </w:r>
      <w:r w:rsidR="00532BFE">
        <w:t>.</w:t>
      </w:r>
    </w:p>
    <w:p w14:paraId="646608DF" w14:textId="77777777" w:rsidR="00D33976" w:rsidRPr="004104E7" w:rsidRDefault="00D33976" w:rsidP="00AB62C3">
      <w:pPr>
        <w:pStyle w:val="Source"/>
      </w:pPr>
      <w:r w:rsidRPr="004104E7">
        <w:t xml:space="preserve">Source: </w:t>
      </w:r>
      <w:r>
        <w:t>PC</w:t>
      </w:r>
      <w:r w:rsidRPr="004104E7">
        <w:t xml:space="preserve"> estimates based on AIHW NHDH data.</w:t>
      </w:r>
    </w:p>
    <w:p w14:paraId="396F4E1F" w14:textId="40CA6D33" w:rsidR="00D33976" w:rsidRPr="004104E7" w:rsidRDefault="00D33976" w:rsidP="00AB62C3">
      <w:pPr>
        <w:pStyle w:val="BodyText"/>
      </w:pPr>
      <w:r w:rsidRPr="004104E7">
        <w:lastRenderedPageBreak/>
        <w:t>Taking the results from our primary model, and using equations (2) to (5) and the baseline probabilities reported in box</w:t>
      </w:r>
      <w:r>
        <w:t> </w:t>
      </w:r>
      <w:r w:rsidRPr="004104E7">
        <w:t>B.3, we estimated that the probability of a HAC occurring in the treat</w:t>
      </w:r>
      <w:r>
        <w:t>ment</w:t>
      </w:r>
      <w:r w:rsidRPr="004104E7">
        <w:t xml:space="preserve"> group – across the seven HAC categories studied – </w:t>
      </w:r>
      <w:r>
        <w:t xml:space="preserve">associated with the introduction of the </w:t>
      </w:r>
      <w:r w:rsidRPr="004104E7">
        <w:t>funding adjustment fell by 25.38%, from 2.31% to 1.73% (or 0.59</w:t>
      </w:r>
      <w:r>
        <w:t> </w:t>
      </w:r>
      <w:r w:rsidRPr="004104E7">
        <w:t xml:space="preserve">percentage points) using the </w:t>
      </w:r>
      <w:r w:rsidR="004E42EA">
        <w:t>lower</w:t>
      </w:r>
      <w:r w:rsidR="004E42EA" w:rsidRPr="004104E7">
        <w:t xml:space="preserve"> </w:t>
      </w:r>
      <w:r w:rsidRPr="004104E7">
        <w:t xml:space="preserve">bound estimate of baseline probability. Using the upper bound estimate, the </w:t>
      </w:r>
      <w:r>
        <w:t xml:space="preserve">associated </w:t>
      </w:r>
      <w:r w:rsidRPr="004104E7">
        <w:t>percentage reduction becomes 25.23%, which is equivalent to a drop from 3.08% to 2.31% (or 0.78</w:t>
      </w:r>
      <w:r>
        <w:t> </w:t>
      </w:r>
      <w:r w:rsidRPr="004104E7">
        <w:t xml:space="preserve">percentage points). </w:t>
      </w:r>
    </w:p>
    <w:p w14:paraId="7E14BF71" w14:textId="77777777" w:rsidR="00D33976" w:rsidRPr="004104E7" w:rsidRDefault="00D33976" w:rsidP="00AB62C3">
      <w:pPr>
        <w:pStyle w:val="Heading4"/>
      </w:pPr>
      <w:r w:rsidRPr="004104E7">
        <w:t>Estimating the effect of the funding adjustment on each HAC category</w:t>
      </w:r>
    </w:p>
    <w:p w14:paraId="7D015D7D" w14:textId="77777777" w:rsidR="00D33976" w:rsidRPr="004104E7" w:rsidRDefault="00D33976" w:rsidP="00AB62C3">
      <w:pPr>
        <w:pStyle w:val="BodyText"/>
      </w:pPr>
      <w:r>
        <w:t>W</w:t>
      </w:r>
      <w:r w:rsidRPr="004104E7">
        <w:t>e ran seven separate logit regressions using equation (1.1)</w:t>
      </w:r>
      <w:r>
        <w:t xml:space="preserve"> t</w:t>
      </w:r>
      <w:r w:rsidRPr="004104E7">
        <w:t>o understand the effect of the funding adjustment on each HAC category, and therefore, identify the HAC categories driving the results in table</w:t>
      </w:r>
      <w:r>
        <w:t> </w:t>
      </w:r>
      <w:r w:rsidRPr="004104E7">
        <w:t>B.4</w:t>
      </w:r>
      <w:r>
        <w:t>.</w:t>
      </w:r>
    </w:p>
    <w:p w14:paraId="386C85F6" w14:textId="77777777" w:rsidR="00D33976" w:rsidRDefault="00D33976" w:rsidP="00AB62C3">
      <w:pPr>
        <w:pStyle w:val="BodyText"/>
      </w:pPr>
      <w:r w:rsidRPr="004104E7">
        <w:t xml:space="preserve">Of the seven HAC categories included in the study, four showed a statistically significant decline </w:t>
      </w:r>
      <w:r>
        <w:t xml:space="preserve">associated with the introduction of the </w:t>
      </w:r>
      <w:r w:rsidRPr="004104E7">
        <w:t>funding adjustment. These were healthcare</w:t>
      </w:r>
      <w:r w:rsidRPr="004104E7">
        <w:noBreakHyphen/>
        <w:t xml:space="preserve">associated infections, respiratory complications, delirium and cardiac complications. However, as discussed above, the parallel trends assumption is not met when episodes with delirium formed the dependent variable. This means we cannot infer that the decline in patients experiencing delirium in hospital was </w:t>
      </w:r>
      <w:r>
        <w:t xml:space="preserve">associated with </w:t>
      </w:r>
      <w:r w:rsidRPr="004104E7">
        <w:t xml:space="preserve">the policy, so these results are excluded. </w:t>
      </w:r>
    </w:p>
    <w:p w14:paraId="365C0A74" w14:textId="77777777" w:rsidR="00D33976" w:rsidRDefault="00D33976" w:rsidP="00AB62C3">
      <w:pPr>
        <w:pStyle w:val="BodyText"/>
      </w:pPr>
      <w:r w:rsidRPr="004104E7">
        <w:t>The full results for healthcare</w:t>
      </w:r>
      <w:r w:rsidRPr="004104E7">
        <w:noBreakHyphen/>
        <w:t>associated infections complications, respiratory and cardiac complications are provided in table</w:t>
      </w:r>
      <w:r>
        <w:t> </w:t>
      </w:r>
      <w:r w:rsidRPr="004104E7">
        <w:t>B.5. Understanding why these three HAC categories showed a significant response to the funding adjustment require</w:t>
      </w:r>
      <w:r>
        <w:t>s</w:t>
      </w:r>
      <w:r w:rsidRPr="004104E7">
        <w:t xml:space="preserve"> further research</w:t>
      </w:r>
      <w:r>
        <w:t xml:space="preserve"> </w:t>
      </w:r>
      <w:r w:rsidRPr="004104E7">
        <w:t xml:space="preserve">beyond the scope of this report, particularly regarding the actions LHNs and hospitals took in response to the funding adjustment. </w:t>
      </w:r>
    </w:p>
    <w:p w14:paraId="0409E70D" w14:textId="77777777" w:rsidR="00D33976" w:rsidRPr="004104E7" w:rsidRDefault="00D33976" w:rsidP="00F57D91">
      <w:pPr>
        <w:pStyle w:val="BodyText"/>
      </w:pPr>
      <w:r w:rsidRPr="004104E7">
        <w:t>The probability of healthcare</w:t>
      </w:r>
      <w:r w:rsidRPr="004104E7">
        <w:noBreakHyphen/>
        <w:t>associated infections occurring in the treat</w:t>
      </w:r>
      <w:r>
        <w:t>ment</w:t>
      </w:r>
      <w:r w:rsidRPr="004104E7">
        <w:t xml:space="preserve"> group due to the funding adjustment fell by 16%. Using the upper bound baseline probability this is a reduction from 1.05% to 0.88% (or 0.17</w:t>
      </w:r>
      <w:r>
        <w:t> </w:t>
      </w:r>
      <w:r w:rsidRPr="004104E7">
        <w:t>percentage points). Taking the lower bound estimate, this is a reduction from 0.86% to 0.72% (or 0.14</w:t>
      </w:r>
      <w:r>
        <w:t> </w:t>
      </w:r>
      <w:r w:rsidRPr="004104E7">
        <w:t xml:space="preserve">percentage points). </w:t>
      </w:r>
    </w:p>
    <w:p w14:paraId="0AF18836" w14:textId="77777777" w:rsidR="00D33976" w:rsidRPr="004104E7" w:rsidRDefault="00D33976" w:rsidP="00F57D91">
      <w:pPr>
        <w:pStyle w:val="BodyText"/>
      </w:pPr>
      <w:r w:rsidRPr="004104E7">
        <w:t>The probability of respiratory complications occurring in the treated group due to the funding adjustment fell by 23%. Using the upper bound baseline probability this is a reduction from 0.29% to 0.22% (or 0.07</w:t>
      </w:r>
      <w:r>
        <w:t> </w:t>
      </w:r>
      <w:r w:rsidRPr="004104E7">
        <w:t>percentage points). Taking the lower bound estimate, this is a reduction from 0.17% to 0.13% (or 0.04</w:t>
      </w:r>
      <w:r>
        <w:t> </w:t>
      </w:r>
      <w:r w:rsidRPr="004104E7">
        <w:t xml:space="preserve">percentage points). </w:t>
      </w:r>
    </w:p>
    <w:p w14:paraId="6F0332B7" w14:textId="77777777" w:rsidR="00D33976" w:rsidRDefault="00D33976" w:rsidP="00F57D91">
      <w:pPr>
        <w:pStyle w:val="BodyText"/>
      </w:pPr>
      <w:r w:rsidRPr="004104E7">
        <w:t>The probability of cardiac complications occurring in the treated group due to the funding adjustment fell by 28%. Using the upper bound baseline probability this is a reduction from 0.51% to 0.37% (or 0.14</w:t>
      </w:r>
      <w:r>
        <w:t> </w:t>
      </w:r>
      <w:r w:rsidRPr="004104E7">
        <w:t>percentage points). Taking the lower bound estimate, this is a reduction from 0.43% to 0.31% (or 0.12</w:t>
      </w:r>
      <w:r>
        <w:t> </w:t>
      </w:r>
      <w:r w:rsidRPr="004104E7">
        <w:t xml:space="preserve">percentage points). </w:t>
      </w:r>
    </w:p>
    <w:p w14:paraId="68BD9209" w14:textId="1DBB2E7B" w:rsidR="00D33976" w:rsidRPr="004104E7" w:rsidRDefault="00D33976" w:rsidP="00AB62C3">
      <w:pPr>
        <w:pStyle w:val="FigureTableHeading"/>
        <w:rPr>
          <w:vertAlign w:val="superscript"/>
        </w:rPr>
      </w:pPr>
      <w:r>
        <w:t>Table</w:t>
      </w:r>
      <w:r w:rsidRPr="004104E7">
        <w:t xml:space="preserve"> B.</w:t>
      </w:r>
      <w:r>
        <w:t>4</w:t>
      </w:r>
      <w:r w:rsidRPr="004104E7">
        <w:rPr>
          <w:noProof/>
        </w:rPr>
        <w:t xml:space="preserve"> –</w:t>
      </w:r>
      <w:r w:rsidRPr="004104E7">
        <w:t xml:space="preserve"> Results for equation 1.1 with HAC-specific variable as dependant variable</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7"/>
        <w:gridCol w:w="991"/>
        <w:gridCol w:w="441"/>
        <w:gridCol w:w="551"/>
        <w:gridCol w:w="825"/>
        <w:gridCol w:w="168"/>
        <w:gridCol w:w="991"/>
        <w:gridCol w:w="218"/>
        <w:gridCol w:w="775"/>
        <w:gridCol w:w="601"/>
        <w:gridCol w:w="391"/>
        <w:gridCol w:w="989"/>
      </w:tblGrid>
      <w:tr w:rsidR="00D33976" w:rsidRPr="00D80530" w14:paraId="410F3073" w14:textId="77777777" w:rsidTr="00AB62C3">
        <w:trPr>
          <w:tblHeader/>
        </w:trPr>
        <w:tc>
          <w:tcPr>
            <w:tcW w:w="1399" w:type="pct"/>
            <w:tcBorders>
              <w:bottom w:val="single" w:sz="4" w:space="0" w:color="B3B3B3"/>
            </w:tcBorders>
            <w:shd w:val="clear" w:color="000000" w:fill="auto"/>
            <w:vAlign w:val="bottom"/>
          </w:tcPr>
          <w:p w14:paraId="4B985157" w14:textId="77777777" w:rsidR="00D33976" w:rsidRPr="00D80530" w:rsidRDefault="00D33976" w:rsidP="00AB62C3">
            <w:pPr>
              <w:spacing w:before="45" w:after="45"/>
              <w:ind w:left="57" w:right="108"/>
              <w:rPr>
                <w:rFonts w:cstheme="minorHAnsi"/>
                <w:b/>
                <w:color w:val="265A9A"/>
                <w:sz w:val="18"/>
                <w:szCs w:val="18"/>
              </w:rPr>
            </w:pPr>
          </w:p>
        </w:tc>
        <w:tc>
          <w:tcPr>
            <w:tcW w:w="514" w:type="pct"/>
            <w:tcBorders>
              <w:bottom w:val="single" w:sz="4" w:space="0" w:color="B3B3B3"/>
            </w:tcBorders>
            <w:shd w:val="clear" w:color="000000" w:fill="auto"/>
            <w:vAlign w:val="bottom"/>
          </w:tcPr>
          <w:p w14:paraId="2D7549ED" w14:textId="77777777" w:rsidR="00D33976" w:rsidRPr="00D80530" w:rsidRDefault="00D33976" w:rsidP="00740B6C">
            <w:pPr>
              <w:pStyle w:val="TableHeading"/>
              <w:spacing w:before="45" w:after="45"/>
              <w:ind w:right="108"/>
              <w:contextualSpacing w:val="0"/>
              <w:jc w:val="right"/>
              <w:rPr>
                <w:rFonts w:cstheme="minorHAnsi"/>
                <w:color w:val="265A9A"/>
                <w:sz w:val="18"/>
                <w:szCs w:val="18"/>
              </w:rPr>
            </w:pPr>
            <w:r w:rsidRPr="00D80530">
              <w:rPr>
                <w:rFonts w:cstheme="minorHAnsi"/>
                <w:color w:val="265A9A"/>
                <w:sz w:val="18"/>
                <w:szCs w:val="18"/>
              </w:rPr>
              <w:t>HAC3</w:t>
            </w:r>
          </w:p>
        </w:tc>
        <w:tc>
          <w:tcPr>
            <w:tcW w:w="515" w:type="pct"/>
            <w:gridSpan w:val="2"/>
            <w:tcBorders>
              <w:bottom w:val="single" w:sz="4" w:space="0" w:color="B3B3B3"/>
            </w:tcBorders>
            <w:shd w:val="clear" w:color="000000" w:fill="auto"/>
            <w:vAlign w:val="bottom"/>
          </w:tcPr>
          <w:p w14:paraId="07A1E257" w14:textId="77777777" w:rsidR="00D33976" w:rsidRPr="00D80530" w:rsidRDefault="00D33976" w:rsidP="00740B6C">
            <w:pPr>
              <w:pStyle w:val="TableHeading"/>
              <w:spacing w:before="45" w:after="45"/>
              <w:ind w:right="108"/>
              <w:contextualSpacing w:val="0"/>
              <w:jc w:val="right"/>
              <w:rPr>
                <w:rFonts w:cstheme="minorHAnsi"/>
                <w:color w:val="265A9A"/>
                <w:sz w:val="18"/>
                <w:szCs w:val="18"/>
              </w:rPr>
            </w:pPr>
            <w:r w:rsidRPr="00D80530">
              <w:rPr>
                <w:rFonts w:cstheme="minorHAnsi"/>
                <w:color w:val="265A9A"/>
                <w:sz w:val="18"/>
                <w:szCs w:val="18"/>
              </w:rPr>
              <w:t>HAC4</w:t>
            </w:r>
          </w:p>
        </w:tc>
        <w:tc>
          <w:tcPr>
            <w:tcW w:w="515" w:type="pct"/>
            <w:gridSpan w:val="2"/>
            <w:tcBorders>
              <w:bottom w:val="single" w:sz="4" w:space="0" w:color="B3B3B3"/>
            </w:tcBorders>
            <w:shd w:val="clear" w:color="000000" w:fill="auto"/>
            <w:vAlign w:val="bottom"/>
          </w:tcPr>
          <w:p w14:paraId="6874E3E4" w14:textId="77777777" w:rsidR="00D33976" w:rsidRPr="00D80530" w:rsidRDefault="00D33976" w:rsidP="00740B6C">
            <w:pPr>
              <w:pStyle w:val="TableHeading"/>
              <w:spacing w:before="45" w:after="45"/>
              <w:ind w:right="108"/>
              <w:contextualSpacing w:val="0"/>
              <w:jc w:val="right"/>
              <w:rPr>
                <w:rFonts w:cstheme="minorHAnsi"/>
                <w:color w:val="265A9A"/>
                <w:sz w:val="18"/>
                <w:szCs w:val="18"/>
              </w:rPr>
            </w:pPr>
            <w:r w:rsidRPr="00D80530">
              <w:rPr>
                <w:rFonts w:cstheme="minorHAnsi"/>
                <w:color w:val="265A9A"/>
                <w:sz w:val="18"/>
                <w:szCs w:val="18"/>
              </w:rPr>
              <w:t>HAC6</w:t>
            </w:r>
          </w:p>
        </w:tc>
        <w:tc>
          <w:tcPr>
            <w:tcW w:w="514" w:type="pct"/>
            <w:tcBorders>
              <w:bottom w:val="single" w:sz="4" w:space="0" w:color="B3B3B3"/>
            </w:tcBorders>
            <w:shd w:val="clear" w:color="000000" w:fill="auto"/>
            <w:vAlign w:val="bottom"/>
          </w:tcPr>
          <w:p w14:paraId="67579C2F" w14:textId="77777777" w:rsidR="00D33976" w:rsidRPr="00D80530" w:rsidRDefault="00D33976" w:rsidP="00740B6C">
            <w:pPr>
              <w:pStyle w:val="TableHeading"/>
              <w:spacing w:before="45" w:after="45"/>
              <w:ind w:right="108"/>
              <w:contextualSpacing w:val="0"/>
              <w:jc w:val="right"/>
              <w:rPr>
                <w:rFonts w:cstheme="minorHAnsi"/>
                <w:color w:val="265A9A"/>
                <w:sz w:val="18"/>
                <w:szCs w:val="18"/>
              </w:rPr>
            </w:pPr>
            <w:r w:rsidRPr="00D80530">
              <w:rPr>
                <w:rFonts w:cstheme="minorHAnsi"/>
                <w:color w:val="265A9A"/>
                <w:sz w:val="18"/>
                <w:szCs w:val="18"/>
              </w:rPr>
              <w:t>HAC10</w:t>
            </w:r>
          </w:p>
        </w:tc>
        <w:tc>
          <w:tcPr>
            <w:tcW w:w="515" w:type="pct"/>
            <w:gridSpan w:val="2"/>
            <w:tcBorders>
              <w:bottom w:val="single" w:sz="4" w:space="0" w:color="B3B3B3"/>
            </w:tcBorders>
            <w:shd w:val="clear" w:color="000000" w:fill="auto"/>
            <w:vAlign w:val="bottom"/>
          </w:tcPr>
          <w:p w14:paraId="270FA8AB" w14:textId="77777777" w:rsidR="00D33976" w:rsidRPr="00D80530" w:rsidRDefault="00D33976" w:rsidP="00740B6C">
            <w:pPr>
              <w:pStyle w:val="TableHeading"/>
              <w:spacing w:before="45" w:after="45"/>
              <w:ind w:right="108"/>
              <w:contextualSpacing w:val="0"/>
              <w:jc w:val="right"/>
              <w:rPr>
                <w:rFonts w:cstheme="minorHAnsi"/>
                <w:color w:val="265A9A"/>
                <w:sz w:val="18"/>
                <w:szCs w:val="18"/>
              </w:rPr>
            </w:pPr>
            <w:r w:rsidRPr="00D80530">
              <w:rPr>
                <w:rFonts w:cstheme="minorHAnsi"/>
                <w:color w:val="265A9A"/>
                <w:sz w:val="18"/>
                <w:szCs w:val="18"/>
              </w:rPr>
              <w:t>HAC11</w:t>
            </w:r>
          </w:p>
        </w:tc>
        <w:tc>
          <w:tcPr>
            <w:tcW w:w="515" w:type="pct"/>
            <w:gridSpan w:val="2"/>
            <w:tcBorders>
              <w:bottom w:val="single" w:sz="4" w:space="0" w:color="B3B3B3"/>
            </w:tcBorders>
            <w:shd w:val="clear" w:color="000000" w:fill="auto"/>
            <w:vAlign w:val="bottom"/>
          </w:tcPr>
          <w:p w14:paraId="1EC669B0" w14:textId="77777777" w:rsidR="00D33976" w:rsidRPr="00D80530" w:rsidRDefault="00D33976" w:rsidP="00740B6C">
            <w:pPr>
              <w:pStyle w:val="TableHeading"/>
              <w:spacing w:before="45" w:after="45"/>
              <w:ind w:right="108"/>
              <w:contextualSpacing w:val="0"/>
              <w:jc w:val="right"/>
              <w:rPr>
                <w:rFonts w:cstheme="minorHAnsi"/>
                <w:color w:val="265A9A"/>
                <w:sz w:val="18"/>
                <w:szCs w:val="18"/>
              </w:rPr>
            </w:pPr>
            <w:r w:rsidRPr="00D80530">
              <w:rPr>
                <w:rFonts w:cstheme="minorHAnsi"/>
                <w:color w:val="265A9A"/>
                <w:sz w:val="18"/>
                <w:szCs w:val="18"/>
              </w:rPr>
              <w:t>HAC13</w:t>
            </w:r>
          </w:p>
        </w:tc>
        <w:tc>
          <w:tcPr>
            <w:tcW w:w="513" w:type="pct"/>
            <w:tcBorders>
              <w:bottom w:val="single" w:sz="4" w:space="0" w:color="B3B3B3"/>
            </w:tcBorders>
            <w:shd w:val="clear" w:color="000000" w:fill="auto"/>
            <w:vAlign w:val="bottom"/>
          </w:tcPr>
          <w:p w14:paraId="3CD135F1" w14:textId="77777777" w:rsidR="00D33976" w:rsidRPr="00D80530" w:rsidRDefault="00D33976" w:rsidP="00740B6C">
            <w:pPr>
              <w:pStyle w:val="TableHeading"/>
              <w:spacing w:before="45" w:after="45"/>
              <w:ind w:right="108"/>
              <w:contextualSpacing w:val="0"/>
              <w:jc w:val="right"/>
              <w:rPr>
                <w:rFonts w:cstheme="minorHAnsi"/>
                <w:color w:val="265A9A"/>
                <w:sz w:val="18"/>
                <w:szCs w:val="18"/>
              </w:rPr>
            </w:pPr>
            <w:r w:rsidRPr="00D80530">
              <w:rPr>
                <w:rFonts w:cstheme="minorHAnsi"/>
                <w:color w:val="265A9A"/>
                <w:sz w:val="18"/>
                <w:szCs w:val="18"/>
              </w:rPr>
              <w:t>HAC14</w:t>
            </w:r>
          </w:p>
        </w:tc>
      </w:tr>
      <w:tr w:rsidR="00D33976" w:rsidRPr="00D80530" w14:paraId="19693323" w14:textId="77777777" w:rsidTr="00944E8B">
        <w:tc>
          <w:tcPr>
            <w:tcW w:w="1399" w:type="pct"/>
            <w:tcBorders>
              <w:top w:val="single" w:sz="4" w:space="0" w:color="B3B3B3"/>
              <w:bottom w:val="nil"/>
            </w:tcBorders>
            <w:shd w:val="clear" w:color="auto" w:fill="EBEBEB"/>
          </w:tcPr>
          <w:p w14:paraId="7EC273B4" w14:textId="77777777" w:rsidR="00D33976" w:rsidRPr="00D80530" w:rsidRDefault="00D33976" w:rsidP="00AB62C3">
            <w:pPr>
              <w:pStyle w:val="TableHeading"/>
              <w:spacing w:before="45" w:after="45"/>
              <w:ind w:right="108"/>
              <w:rPr>
                <w:rFonts w:cstheme="minorHAnsi"/>
                <w:color w:val="265A9A"/>
                <w:sz w:val="18"/>
                <w:szCs w:val="18"/>
              </w:rPr>
            </w:pPr>
            <w:r w:rsidRPr="00D80530">
              <w:rPr>
                <w:rFonts w:cstheme="minorHAnsi"/>
                <w:color w:val="265A9A"/>
                <w:sz w:val="18"/>
                <w:szCs w:val="18"/>
              </w:rPr>
              <w:t>Treatment effect</w:t>
            </w:r>
          </w:p>
        </w:tc>
        <w:tc>
          <w:tcPr>
            <w:tcW w:w="514" w:type="pct"/>
            <w:tcBorders>
              <w:top w:val="single" w:sz="4" w:space="0" w:color="B3B3B3"/>
              <w:bottom w:val="nil"/>
            </w:tcBorders>
            <w:shd w:val="clear" w:color="auto" w:fill="EBEBEB"/>
          </w:tcPr>
          <w:p w14:paraId="04DDCEFC" w14:textId="77777777" w:rsidR="00D33976" w:rsidRPr="00D80530" w:rsidRDefault="00D33976" w:rsidP="00AB62C3">
            <w:pPr>
              <w:pStyle w:val="TableBody"/>
              <w:spacing w:before="45" w:after="45"/>
              <w:ind w:right="108"/>
              <w:jc w:val="right"/>
              <w:rPr>
                <w:rFonts w:cstheme="minorHAnsi"/>
                <w:b/>
                <w:bCs/>
                <w:color w:val="000000"/>
                <w:szCs w:val="18"/>
              </w:rPr>
            </w:pPr>
            <w:r w:rsidRPr="00D80530">
              <w:rPr>
                <w:rFonts w:cstheme="minorHAnsi"/>
                <w:b/>
                <w:bCs/>
                <w:szCs w:val="18"/>
              </w:rPr>
              <w:t>-0.285***</w:t>
            </w:r>
          </w:p>
        </w:tc>
        <w:tc>
          <w:tcPr>
            <w:tcW w:w="515" w:type="pct"/>
            <w:gridSpan w:val="2"/>
            <w:tcBorders>
              <w:top w:val="single" w:sz="4" w:space="0" w:color="B3B3B3"/>
              <w:bottom w:val="nil"/>
            </w:tcBorders>
            <w:shd w:val="clear" w:color="auto" w:fill="EBEBEB"/>
          </w:tcPr>
          <w:p w14:paraId="4C5A4022" w14:textId="77777777" w:rsidR="00D33976" w:rsidRPr="00D80530" w:rsidRDefault="00D33976" w:rsidP="00AB62C3">
            <w:pPr>
              <w:pStyle w:val="TableBody"/>
              <w:spacing w:before="45" w:after="45"/>
              <w:ind w:right="108"/>
              <w:jc w:val="right"/>
              <w:rPr>
                <w:rFonts w:cstheme="minorHAnsi"/>
                <w:b/>
                <w:bCs/>
                <w:color w:val="000000"/>
                <w:szCs w:val="18"/>
              </w:rPr>
            </w:pPr>
            <w:r w:rsidRPr="00D80530">
              <w:rPr>
                <w:rFonts w:cstheme="minorHAnsi"/>
                <w:b/>
                <w:bCs/>
                <w:szCs w:val="18"/>
              </w:rPr>
              <w:t>-0.039</w:t>
            </w:r>
          </w:p>
        </w:tc>
        <w:tc>
          <w:tcPr>
            <w:tcW w:w="515" w:type="pct"/>
            <w:gridSpan w:val="2"/>
            <w:tcBorders>
              <w:top w:val="single" w:sz="4" w:space="0" w:color="B3B3B3"/>
              <w:bottom w:val="nil"/>
            </w:tcBorders>
            <w:shd w:val="clear" w:color="auto" w:fill="EBEBEB"/>
          </w:tcPr>
          <w:p w14:paraId="3D5B4719" w14:textId="77777777" w:rsidR="00D33976" w:rsidRPr="00D80530" w:rsidRDefault="00D33976" w:rsidP="00AB62C3">
            <w:pPr>
              <w:pStyle w:val="TableBody"/>
              <w:spacing w:before="45" w:after="45"/>
              <w:ind w:right="108"/>
              <w:jc w:val="right"/>
              <w:rPr>
                <w:rFonts w:cstheme="minorHAnsi"/>
                <w:b/>
                <w:bCs/>
                <w:color w:val="000000"/>
                <w:szCs w:val="18"/>
              </w:rPr>
            </w:pPr>
            <w:r w:rsidRPr="00D80530">
              <w:rPr>
                <w:rFonts w:cstheme="minorHAnsi"/>
                <w:b/>
                <w:bCs/>
                <w:szCs w:val="18"/>
              </w:rPr>
              <w:t>-0.311***</w:t>
            </w:r>
          </w:p>
        </w:tc>
        <w:tc>
          <w:tcPr>
            <w:tcW w:w="514" w:type="pct"/>
            <w:tcBorders>
              <w:top w:val="single" w:sz="4" w:space="0" w:color="B3B3B3"/>
              <w:bottom w:val="nil"/>
            </w:tcBorders>
            <w:shd w:val="clear" w:color="auto" w:fill="EBEBEB"/>
          </w:tcPr>
          <w:p w14:paraId="71C34F63" w14:textId="77777777" w:rsidR="00D33976" w:rsidRPr="00D80530" w:rsidRDefault="00D33976" w:rsidP="00AB62C3">
            <w:pPr>
              <w:pStyle w:val="TableBody"/>
              <w:spacing w:before="45" w:after="45"/>
              <w:ind w:right="108"/>
              <w:jc w:val="right"/>
              <w:rPr>
                <w:rFonts w:cstheme="minorHAnsi"/>
                <w:b/>
                <w:bCs/>
                <w:color w:val="000000"/>
                <w:szCs w:val="18"/>
              </w:rPr>
            </w:pPr>
            <w:r w:rsidRPr="00D80530">
              <w:rPr>
                <w:rFonts w:cstheme="minorHAnsi"/>
                <w:b/>
                <w:bCs/>
                <w:szCs w:val="18"/>
              </w:rPr>
              <w:t>0.19*</w:t>
            </w:r>
          </w:p>
        </w:tc>
        <w:tc>
          <w:tcPr>
            <w:tcW w:w="515" w:type="pct"/>
            <w:gridSpan w:val="2"/>
            <w:tcBorders>
              <w:top w:val="single" w:sz="4" w:space="0" w:color="B3B3B3"/>
              <w:bottom w:val="nil"/>
            </w:tcBorders>
            <w:shd w:val="clear" w:color="auto" w:fill="EBEBEB"/>
          </w:tcPr>
          <w:p w14:paraId="6CC989D7" w14:textId="77777777" w:rsidR="00D33976" w:rsidRPr="00D80530" w:rsidRDefault="00D33976" w:rsidP="00AB62C3">
            <w:pPr>
              <w:pStyle w:val="TableBody"/>
              <w:spacing w:before="45" w:after="45"/>
              <w:ind w:right="108"/>
              <w:jc w:val="right"/>
              <w:rPr>
                <w:rFonts w:cstheme="minorHAnsi"/>
                <w:b/>
                <w:bCs/>
                <w:color w:val="000000"/>
                <w:szCs w:val="18"/>
              </w:rPr>
            </w:pPr>
            <w:r w:rsidRPr="00D80530">
              <w:rPr>
                <w:rFonts w:cstheme="minorHAnsi"/>
                <w:b/>
                <w:bCs/>
                <w:szCs w:val="18"/>
              </w:rPr>
              <w:t>-0.342***</w:t>
            </w:r>
          </w:p>
        </w:tc>
        <w:tc>
          <w:tcPr>
            <w:tcW w:w="515" w:type="pct"/>
            <w:gridSpan w:val="2"/>
            <w:tcBorders>
              <w:top w:val="single" w:sz="4" w:space="0" w:color="B3B3B3"/>
              <w:bottom w:val="nil"/>
            </w:tcBorders>
            <w:shd w:val="clear" w:color="auto" w:fill="EBEBEB"/>
          </w:tcPr>
          <w:p w14:paraId="0AB9E722" w14:textId="77777777" w:rsidR="00D33976" w:rsidRPr="00D80530" w:rsidRDefault="00D33976" w:rsidP="00AB62C3">
            <w:pPr>
              <w:pStyle w:val="TableBody"/>
              <w:spacing w:before="45" w:after="45"/>
              <w:ind w:right="108"/>
              <w:jc w:val="right"/>
              <w:rPr>
                <w:rFonts w:cstheme="minorHAnsi"/>
                <w:b/>
                <w:bCs/>
                <w:color w:val="000000"/>
                <w:szCs w:val="18"/>
              </w:rPr>
            </w:pPr>
            <w:r w:rsidRPr="00D80530">
              <w:rPr>
                <w:rFonts w:cstheme="minorHAnsi"/>
                <w:b/>
                <w:bCs/>
                <w:szCs w:val="18"/>
              </w:rPr>
              <w:t>-0.318**</w:t>
            </w:r>
          </w:p>
        </w:tc>
        <w:tc>
          <w:tcPr>
            <w:tcW w:w="513" w:type="pct"/>
            <w:tcBorders>
              <w:top w:val="single" w:sz="4" w:space="0" w:color="B3B3B3"/>
              <w:bottom w:val="nil"/>
            </w:tcBorders>
            <w:shd w:val="clear" w:color="auto" w:fill="EBEBEB"/>
          </w:tcPr>
          <w:p w14:paraId="18E4B7BB" w14:textId="77777777" w:rsidR="00D33976" w:rsidRPr="00D80530" w:rsidRDefault="00D33976" w:rsidP="00AB62C3">
            <w:pPr>
              <w:pStyle w:val="TableBody"/>
              <w:spacing w:before="45" w:after="45"/>
              <w:ind w:right="108"/>
              <w:jc w:val="right"/>
              <w:rPr>
                <w:rFonts w:cstheme="minorHAnsi"/>
                <w:b/>
                <w:bCs/>
                <w:color w:val="000000"/>
                <w:szCs w:val="18"/>
              </w:rPr>
            </w:pPr>
            <w:r w:rsidRPr="00D80530">
              <w:rPr>
                <w:rFonts w:cstheme="minorHAnsi"/>
                <w:b/>
                <w:bCs/>
                <w:szCs w:val="18"/>
              </w:rPr>
              <w:t>-0.371***</w:t>
            </w:r>
          </w:p>
        </w:tc>
      </w:tr>
      <w:tr w:rsidR="00D33976" w:rsidRPr="00D80530" w14:paraId="29875E9A" w14:textId="77777777" w:rsidTr="00AB62C3">
        <w:tc>
          <w:tcPr>
            <w:tcW w:w="1399" w:type="pct"/>
            <w:tcBorders>
              <w:top w:val="nil"/>
              <w:bottom w:val="nil"/>
            </w:tcBorders>
            <w:shd w:val="clear" w:color="000000" w:fill="auto"/>
          </w:tcPr>
          <w:p w14:paraId="73DB9403" w14:textId="77777777" w:rsidR="00D33976" w:rsidRPr="00D80530" w:rsidRDefault="00D33976" w:rsidP="00AB62C3">
            <w:pPr>
              <w:pStyle w:val="TableHeading"/>
              <w:spacing w:before="45" w:after="45"/>
              <w:ind w:right="108"/>
              <w:rPr>
                <w:rFonts w:cstheme="minorHAnsi"/>
                <w:b w:val="0"/>
                <w:bCs/>
                <w:color w:val="265A9A"/>
                <w:sz w:val="18"/>
                <w:szCs w:val="18"/>
              </w:rPr>
            </w:pPr>
            <w:r w:rsidRPr="00D80530">
              <w:rPr>
                <w:rFonts w:cstheme="minorHAnsi"/>
                <w:b w:val="0"/>
                <w:bCs/>
                <w:color w:val="265A9A"/>
                <w:sz w:val="18"/>
                <w:szCs w:val="18"/>
              </w:rPr>
              <w:t xml:space="preserve">Age </w:t>
            </w:r>
          </w:p>
        </w:tc>
        <w:tc>
          <w:tcPr>
            <w:tcW w:w="514" w:type="pct"/>
            <w:tcBorders>
              <w:top w:val="nil"/>
              <w:bottom w:val="nil"/>
            </w:tcBorders>
            <w:shd w:val="clear" w:color="000000" w:fill="auto"/>
          </w:tcPr>
          <w:p w14:paraId="49CA302C"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0.026***</w:t>
            </w:r>
          </w:p>
        </w:tc>
        <w:tc>
          <w:tcPr>
            <w:tcW w:w="515" w:type="pct"/>
            <w:gridSpan w:val="2"/>
            <w:tcBorders>
              <w:top w:val="nil"/>
              <w:bottom w:val="nil"/>
            </w:tcBorders>
            <w:shd w:val="clear" w:color="000000" w:fill="auto"/>
          </w:tcPr>
          <w:p w14:paraId="6CA6F634"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0.013***</w:t>
            </w:r>
          </w:p>
        </w:tc>
        <w:tc>
          <w:tcPr>
            <w:tcW w:w="515" w:type="pct"/>
            <w:gridSpan w:val="2"/>
            <w:tcBorders>
              <w:top w:val="nil"/>
              <w:bottom w:val="nil"/>
            </w:tcBorders>
            <w:shd w:val="clear" w:color="000000" w:fill="auto"/>
          </w:tcPr>
          <w:p w14:paraId="5C400A25"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0.029***</w:t>
            </w:r>
          </w:p>
        </w:tc>
        <w:tc>
          <w:tcPr>
            <w:tcW w:w="514" w:type="pct"/>
            <w:tcBorders>
              <w:top w:val="nil"/>
              <w:bottom w:val="nil"/>
            </w:tcBorders>
            <w:shd w:val="clear" w:color="000000" w:fill="auto"/>
          </w:tcPr>
          <w:p w14:paraId="1FD224F4"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0.027***</w:t>
            </w:r>
          </w:p>
        </w:tc>
        <w:tc>
          <w:tcPr>
            <w:tcW w:w="515" w:type="pct"/>
            <w:gridSpan w:val="2"/>
            <w:tcBorders>
              <w:top w:val="nil"/>
              <w:bottom w:val="nil"/>
            </w:tcBorders>
            <w:shd w:val="clear" w:color="000000" w:fill="auto"/>
          </w:tcPr>
          <w:p w14:paraId="5BE0739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0.061***</w:t>
            </w:r>
          </w:p>
        </w:tc>
        <w:tc>
          <w:tcPr>
            <w:tcW w:w="515" w:type="pct"/>
            <w:gridSpan w:val="2"/>
            <w:tcBorders>
              <w:top w:val="nil"/>
              <w:bottom w:val="nil"/>
            </w:tcBorders>
            <w:shd w:val="clear" w:color="000000" w:fill="auto"/>
          </w:tcPr>
          <w:p w14:paraId="4CC0391B"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0.012***</w:t>
            </w:r>
          </w:p>
        </w:tc>
        <w:tc>
          <w:tcPr>
            <w:tcW w:w="513" w:type="pct"/>
            <w:tcBorders>
              <w:top w:val="nil"/>
              <w:bottom w:val="nil"/>
            </w:tcBorders>
            <w:shd w:val="clear" w:color="000000" w:fill="auto"/>
          </w:tcPr>
          <w:p w14:paraId="055BB04E"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0.042***</w:t>
            </w:r>
          </w:p>
        </w:tc>
      </w:tr>
      <w:tr w:rsidR="00D33976" w:rsidRPr="00D80530" w14:paraId="4088C5C6" w14:textId="77777777" w:rsidTr="00944E8B">
        <w:tc>
          <w:tcPr>
            <w:tcW w:w="1399" w:type="pct"/>
            <w:tcBorders>
              <w:bottom w:val="nil"/>
            </w:tcBorders>
            <w:shd w:val="clear" w:color="auto" w:fill="EBEBEB"/>
          </w:tcPr>
          <w:p w14:paraId="4945119C" w14:textId="77777777" w:rsidR="00D33976" w:rsidRPr="00D80530" w:rsidRDefault="00D33976" w:rsidP="00AB62C3">
            <w:pPr>
              <w:pStyle w:val="TableHeading"/>
              <w:spacing w:before="45" w:after="45"/>
              <w:ind w:right="108"/>
              <w:rPr>
                <w:rFonts w:cstheme="minorHAnsi"/>
                <w:b w:val="0"/>
                <w:bCs/>
                <w:color w:val="265A9A"/>
                <w:sz w:val="18"/>
                <w:szCs w:val="18"/>
              </w:rPr>
            </w:pPr>
            <w:r w:rsidRPr="00D80530">
              <w:rPr>
                <w:rFonts w:cstheme="minorHAnsi"/>
                <w:b w:val="0"/>
                <w:bCs/>
                <w:color w:val="265A9A"/>
                <w:sz w:val="18"/>
                <w:szCs w:val="18"/>
              </w:rPr>
              <w:t>Female (relative to male)</w:t>
            </w:r>
          </w:p>
        </w:tc>
        <w:tc>
          <w:tcPr>
            <w:tcW w:w="514" w:type="pct"/>
            <w:tcBorders>
              <w:bottom w:val="nil"/>
            </w:tcBorders>
            <w:shd w:val="clear" w:color="auto" w:fill="EBEBEB"/>
          </w:tcPr>
          <w:p w14:paraId="79C17B70"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0.17***</w:t>
            </w:r>
          </w:p>
        </w:tc>
        <w:tc>
          <w:tcPr>
            <w:tcW w:w="515" w:type="pct"/>
            <w:gridSpan w:val="2"/>
            <w:tcBorders>
              <w:bottom w:val="nil"/>
            </w:tcBorders>
            <w:shd w:val="clear" w:color="auto" w:fill="EBEBEB"/>
          </w:tcPr>
          <w:p w14:paraId="0EA97BD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-0.076**</w:t>
            </w:r>
          </w:p>
        </w:tc>
        <w:tc>
          <w:tcPr>
            <w:tcW w:w="515" w:type="pct"/>
            <w:gridSpan w:val="2"/>
            <w:tcBorders>
              <w:bottom w:val="nil"/>
            </w:tcBorders>
            <w:shd w:val="clear" w:color="auto" w:fill="EBEBEB"/>
          </w:tcPr>
          <w:p w14:paraId="170190A6"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-0.241***</w:t>
            </w:r>
          </w:p>
        </w:tc>
        <w:tc>
          <w:tcPr>
            <w:tcW w:w="514" w:type="pct"/>
            <w:tcBorders>
              <w:bottom w:val="nil"/>
            </w:tcBorders>
            <w:shd w:val="clear" w:color="auto" w:fill="EBEBEB"/>
          </w:tcPr>
          <w:p w14:paraId="3216EF19"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0.053</w:t>
            </w:r>
          </w:p>
        </w:tc>
        <w:tc>
          <w:tcPr>
            <w:tcW w:w="515" w:type="pct"/>
            <w:gridSpan w:val="2"/>
            <w:tcBorders>
              <w:bottom w:val="nil"/>
            </w:tcBorders>
            <w:shd w:val="clear" w:color="auto" w:fill="EBEBEB"/>
          </w:tcPr>
          <w:p w14:paraId="34DF4DC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-0.134***</w:t>
            </w:r>
          </w:p>
        </w:tc>
        <w:tc>
          <w:tcPr>
            <w:tcW w:w="515" w:type="pct"/>
            <w:gridSpan w:val="2"/>
            <w:tcBorders>
              <w:bottom w:val="nil"/>
            </w:tcBorders>
            <w:shd w:val="clear" w:color="auto" w:fill="EBEBEB"/>
          </w:tcPr>
          <w:p w14:paraId="75B88264"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0.021</w:t>
            </w:r>
          </w:p>
        </w:tc>
        <w:tc>
          <w:tcPr>
            <w:tcW w:w="513" w:type="pct"/>
            <w:tcBorders>
              <w:bottom w:val="nil"/>
            </w:tcBorders>
            <w:shd w:val="clear" w:color="auto" w:fill="EBEBEB"/>
          </w:tcPr>
          <w:p w14:paraId="426F3D20"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-0.059***</w:t>
            </w:r>
          </w:p>
        </w:tc>
      </w:tr>
      <w:tr w:rsidR="00D33976" w:rsidRPr="00D80530" w14:paraId="634625A2" w14:textId="77777777" w:rsidTr="00AB62C3">
        <w:tc>
          <w:tcPr>
            <w:tcW w:w="1399" w:type="pct"/>
            <w:tcBorders>
              <w:top w:val="nil"/>
              <w:bottom w:val="nil"/>
            </w:tcBorders>
            <w:shd w:val="clear" w:color="000000" w:fill="auto"/>
          </w:tcPr>
          <w:p w14:paraId="5A180BE7" w14:textId="77777777" w:rsidR="00D33976" w:rsidRPr="00D80530" w:rsidRDefault="00D33976" w:rsidP="00AB62C3">
            <w:pPr>
              <w:pStyle w:val="TableHeading"/>
              <w:spacing w:before="45" w:after="45"/>
              <w:ind w:right="108"/>
              <w:rPr>
                <w:rFonts w:cstheme="minorHAnsi"/>
                <w:b w:val="0"/>
                <w:bCs/>
                <w:color w:val="265A9A"/>
                <w:sz w:val="18"/>
                <w:szCs w:val="18"/>
              </w:rPr>
            </w:pPr>
            <w:r w:rsidRPr="00D80530">
              <w:rPr>
                <w:rFonts w:cstheme="minorHAnsi"/>
                <w:b w:val="0"/>
                <w:bCs/>
                <w:color w:val="265A9A"/>
                <w:sz w:val="18"/>
                <w:szCs w:val="18"/>
              </w:rPr>
              <w:t>ICU status</w:t>
            </w:r>
          </w:p>
        </w:tc>
        <w:tc>
          <w:tcPr>
            <w:tcW w:w="514" w:type="pct"/>
            <w:tcBorders>
              <w:top w:val="nil"/>
              <w:bottom w:val="nil"/>
            </w:tcBorders>
            <w:shd w:val="clear" w:color="000000" w:fill="auto"/>
          </w:tcPr>
          <w:p w14:paraId="678D87F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1.952***</w:t>
            </w:r>
          </w:p>
        </w:tc>
        <w:tc>
          <w:tcPr>
            <w:tcW w:w="515" w:type="pct"/>
            <w:gridSpan w:val="2"/>
            <w:tcBorders>
              <w:top w:val="nil"/>
              <w:bottom w:val="nil"/>
            </w:tcBorders>
            <w:shd w:val="clear" w:color="000000" w:fill="auto"/>
          </w:tcPr>
          <w:p w14:paraId="3BA6E467"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1.835***</w:t>
            </w:r>
          </w:p>
        </w:tc>
        <w:tc>
          <w:tcPr>
            <w:tcW w:w="515" w:type="pct"/>
            <w:gridSpan w:val="2"/>
            <w:tcBorders>
              <w:top w:val="nil"/>
              <w:bottom w:val="nil"/>
            </w:tcBorders>
            <w:shd w:val="clear" w:color="000000" w:fill="auto"/>
          </w:tcPr>
          <w:p w14:paraId="0C95280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2.146***</w:t>
            </w:r>
          </w:p>
        </w:tc>
        <w:tc>
          <w:tcPr>
            <w:tcW w:w="514" w:type="pct"/>
            <w:tcBorders>
              <w:top w:val="nil"/>
              <w:bottom w:val="nil"/>
            </w:tcBorders>
            <w:shd w:val="clear" w:color="000000" w:fill="auto"/>
          </w:tcPr>
          <w:p w14:paraId="512E2C06"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1.73***</w:t>
            </w:r>
          </w:p>
        </w:tc>
        <w:tc>
          <w:tcPr>
            <w:tcW w:w="515" w:type="pct"/>
            <w:gridSpan w:val="2"/>
            <w:tcBorders>
              <w:top w:val="nil"/>
              <w:bottom w:val="nil"/>
            </w:tcBorders>
            <w:shd w:val="clear" w:color="000000" w:fill="auto"/>
          </w:tcPr>
          <w:p w14:paraId="735BCFF2"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1.979***</w:t>
            </w:r>
          </w:p>
        </w:tc>
        <w:tc>
          <w:tcPr>
            <w:tcW w:w="515" w:type="pct"/>
            <w:gridSpan w:val="2"/>
            <w:tcBorders>
              <w:top w:val="nil"/>
              <w:bottom w:val="nil"/>
            </w:tcBorders>
            <w:shd w:val="clear" w:color="000000" w:fill="auto"/>
          </w:tcPr>
          <w:p w14:paraId="24457B17"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1.364***</w:t>
            </w:r>
          </w:p>
        </w:tc>
        <w:tc>
          <w:tcPr>
            <w:tcW w:w="513" w:type="pct"/>
            <w:tcBorders>
              <w:top w:val="nil"/>
              <w:bottom w:val="nil"/>
            </w:tcBorders>
            <w:shd w:val="clear" w:color="000000" w:fill="auto"/>
          </w:tcPr>
          <w:p w14:paraId="188FE4B8"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2.525***</w:t>
            </w:r>
          </w:p>
        </w:tc>
      </w:tr>
      <w:tr w:rsidR="00D33976" w:rsidRPr="00D80530" w14:paraId="11F1CAB5" w14:textId="77777777" w:rsidTr="00944E8B">
        <w:tc>
          <w:tcPr>
            <w:tcW w:w="1399" w:type="pct"/>
            <w:tcBorders>
              <w:bottom w:val="nil"/>
            </w:tcBorders>
            <w:shd w:val="clear" w:color="auto" w:fill="EBEBEB"/>
          </w:tcPr>
          <w:p w14:paraId="151E99F0" w14:textId="77777777" w:rsidR="00D33976" w:rsidRPr="00D80530" w:rsidRDefault="00D33976" w:rsidP="00AB62C3">
            <w:pPr>
              <w:pStyle w:val="TableHeading"/>
              <w:spacing w:before="45" w:after="45"/>
              <w:ind w:right="108"/>
              <w:rPr>
                <w:rFonts w:cstheme="minorHAnsi"/>
                <w:b w:val="0"/>
                <w:bCs/>
                <w:color w:val="265A9A"/>
                <w:sz w:val="18"/>
                <w:szCs w:val="18"/>
              </w:rPr>
            </w:pPr>
            <w:r w:rsidRPr="00D80530">
              <w:rPr>
                <w:rFonts w:cstheme="minorHAnsi"/>
                <w:b w:val="0"/>
                <w:bCs/>
                <w:color w:val="265A9A"/>
                <w:sz w:val="18"/>
                <w:szCs w:val="18"/>
              </w:rPr>
              <w:t xml:space="preserve">Emergency admission </w:t>
            </w:r>
          </w:p>
        </w:tc>
        <w:tc>
          <w:tcPr>
            <w:tcW w:w="514" w:type="pct"/>
            <w:tcBorders>
              <w:bottom w:val="nil"/>
            </w:tcBorders>
            <w:shd w:val="clear" w:color="auto" w:fill="EBEBEB"/>
          </w:tcPr>
          <w:p w14:paraId="520436B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0.567***</w:t>
            </w:r>
          </w:p>
        </w:tc>
        <w:tc>
          <w:tcPr>
            <w:tcW w:w="515" w:type="pct"/>
            <w:gridSpan w:val="2"/>
            <w:tcBorders>
              <w:bottom w:val="nil"/>
            </w:tcBorders>
            <w:shd w:val="clear" w:color="auto" w:fill="EBEBEB"/>
          </w:tcPr>
          <w:p w14:paraId="06B51DD3"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0.023</w:t>
            </w:r>
          </w:p>
        </w:tc>
        <w:tc>
          <w:tcPr>
            <w:tcW w:w="515" w:type="pct"/>
            <w:gridSpan w:val="2"/>
            <w:tcBorders>
              <w:bottom w:val="nil"/>
            </w:tcBorders>
            <w:shd w:val="clear" w:color="auto" w:fill="EBEBEB"/>
          </w:tcPr>
          <w:p w14:paraId="6D45D25C"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0.603***</w:t>
            </w:r>
          </w:p>
        </w:tc>
        <w:tc>
          <w:tcPr>
            <w:tcW w:w="514" w:type="pct"/>
            <w:tcBorders>
              <w:bottom w:val="nil"/>
            </w:tcBorders>
            <w:shd w:val="clear" w:color="auto" w:fill="EBEBEB"/>
          </w:tcPr>
          <w:p w14:paraId="2AA401CB"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0.667***</w:t>
            </w:r>
          </w:p>
        </w:tc>
        <w:tc>
          <w:tcPr>
            <w:tcW w:w="515" w:type="pct"/>
            <w:gridSpan w:val="2"/>
            <w:tcBorders>
              <w:bottom w:val="nil"/>
            </w:tcBorders>
            <w:shd w:val="clear" w:color="auto" w:fill="EBEBEB"/>
          </w:tcPr>
          <w:p w14:paraId="70E591A6"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0.86***</w:t>
            </w:r>
          </w:p>
        </w:tc>
        <w:tc>
          <w:tcPr>
            <w:tcW w:w="515" w:type="pct"/>
            <w:gridSpan w:val="2"/>
            <w:tcBorders>
              <w:bottom w:val="nil"/>
            </w:tcBorders>
            <w:shd w:val="clear" w:color="auto" w:fill="EBEBEB"/>
          </w:tcPr>
          <w:p w14:paraId="32118365"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0.755***</w:t>
            </w:r>
          </w:p>
        </w:tc>
        <w:tc>
          <w:tcPr>
            <w:tcW w:w="513" w:type="pct"/>
            <w:tcBorders>
              <w:bottom w:val="nil"/>
            </w:tcBorders>
            <w:shd w:val="clear" w:color="auto" w:fill="EBEBEB"/>
          </w:tcPr>
          <w:p w14:paraId="64EA775B"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0.42***</w:t>
            </w:r>
          </w:p>
        </w:tc>
      </w:tr>
      <w:tr w:rsidR="00D33976" w:rsidRPr="00D80530" w14:paraId="28392B4F" w14:textId="77777777" w:rsidTr="00AB62C3">
        <w:tc>
          <w:tcPr>
            <w:tcW w:w="1399" w:type="pct"/>
            <w:tcBorders>
              <w:top w:val="nil"/>
              <w:bottom w:val="nil"/>
            </w:tcBorders>
            <w:shd w:val="clear" w:color="000000" w:fill="auto"/>
          </w:tcPr>
          <w:p w14:paraId="03FA43C5" w14:textId="77777777" w:rsidR="00D33976" w:rsidRPr="00D80530" w:rsidRDefault="00D33976" w:rsidP="00AB62C3">
            <w:pPr>
              <w:pStyle w:val="TableHeading"/>
              <w:spacing w:before="45" w:after="45"/>
              <w:ind w:right="108"/>
              <w:rPr>
                <w:rFonts w:cstheme="minorHAnsi"/>
                <w:b w:val="0"/>
                <w:bCs/>
                <w:color w:val="265A9A"/>
                <w:sz w:val="18"/>
                <w:szCs w:val="18"/>
              </w:rPr>
            </w:pPr>
            <w:r w:rsidRPr="00D80530">
              <w:rPr>
                <w:rFonts w:cstheme="minorHAnsi"/>
                <w:b w:val="0"/>
                <w:bCs/>
                <w:color w:val="265A9A"/>
                <w:sz w:val="18"/>
                <w:szCs w:val="18"/>
              </w:rPr>
              <w:t>Transfer status</w:t>
            </w:r>
          </w:p>
        </w:tc>
        <w:tc>
          <w:tcPr>
            <w:tcW w:w="514" w:type="pct"/>
            <w:tcBorders>
              <w:top w:val="nil"/>
              <w:bottom w:val="nil"/>
            </w:tcBorders>
            <w:shd w:val="clear" w:color="000000" w:fill="auto"/>
          </w:tcPr>
          <w:p w14:paraId="33069104"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0.428***</w:t>
            </w:r>
          </w:p>
        </w:tc>
        <w:tc>
          <w:tcPr>
            <w:tcW w:w="515" w:type="pct"/>
            <w:gridSpan w:val="2"/>
            <w:tcBorders>
              <w:top w:val="nil"/>
              <w:bottom w:val="nil"/>
            </w:tcBorders>
            <w:shd w:val="clear" w:color="000000" w:fill="auto"/>
          </w:tcPr>
          <w:p w14:paraId="1DF625F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0.297***</w:t>
            </w:r>
          </w:p>
        </w:tc>
        <w:tc>
          <w:tcPr>
            <w:tcW w:w="515" w:type="pct"/>
            <w:gridSpan w:val="2"/>
            <w:tcBorders>
              <w:top w:val="nil"/>
              <w:bottom w:val="nil"/>
            </w:tcBorders>
            <w:shd w:val="clear" w:color="000000" w:fill="auto"/>
          </w:tcPr>
          <w:p w14:paraId="071C2518"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0.188***</w:t>
            </w:r>
          </w:p>
        </w:tc>
        <w:tc>
          <w:tcPr>
            <w:tcW w:w="514" w:type="pct"/>
            <w:tcBorders>
              <w:top w:val="nil"/>
              <w:bottom w:val="nil"/>
            </w:tcBorders>
            <w:shd w:val="clear" w:color="000000" w:fill="auto"/>
          </w:tcPr>
          <w:p w14:paraId="5DC7B673"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0.332***</w:t>
            </w:r>
          </w:p>
        </w:tc>
        <w:tc>
          <w:tcPr>
            <w:tcW w:w="515" w:type="pct"/>
            <w:gridSpan w:val="2"/>
            <w:tcBorders>
              <w:top w:val="nil"/>
              <w:bottom w:val="nil"/>
            </w:tcBorders>
            <w:shd w:val="clear" w:color="000000" w:fill="auto"/>
          </w:tcPr>
          <w:p w14:paraId="51AF4479"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0.405***</w:t>
            </w:r>
          </w:p>
        </w:tc>
        <w:tc>
          <w:tcPr>
            <w:tcW w:w="515" w:type="pct"/>
            <w:gridSpan w:val="2"/>
            <w:tcBorders>
              <w:top w:val="nil"/>
              <w:bottom w:val="nil"/>
            </w:tcBorders>
            <w:shd w:val="clear" w:color="000000" w:fill="auto"/>
          </w:tcPr>
          <w:p w14:paraId="4BE2C8F9"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0.432***</w:t>
            </w:r>
          </w:p>
        </w:tc>
        <w:tc>
          <w:tcPr>
            <w:tcW w:w="513" w:type="pct"/>
            <w:tcBorders>
              <w:top w:val="nil"/>
              <w:bottom w:val="nil"/>
            </w:tcBorders>
            <w:shd w:val="clear" w:color="000000" w:fill="auto"/>
          </w:tcPr>
          <w:p w14:paraId="5644CB54"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0.265***</w:t>
            </w:r>
          </w:p>
        </w:tc>
      </w:tr>
      <w:tr w:rsidR="00D33976" w:rsidRPr="00D80530" w14:paraId="16C0E041" w14:textId="77777777" w:rsidTr="00944E8B">
        <w:tc>
          <w:tcPr>
            <w:tcW w:w="1399" w:type="pct"/>
            <w:tcBorders>
              <w:bottom w:val="nil"/>
            </w:tcBorders>
            <w:shd w:val="clear" w:color="auto" w:fill="EBEBEB"/>
          </w:tcPr>
          <w:p w14:paraId="343F4EB7" w14:textId="77777777" w:rsidR="00D33976" w:rsidRPr="00D80530" w:rsidRDefault="00D33976" w:rsidP="00AB62C3">
            <w:pPr>
              <w:pStyle w:val="TableHeading"/>
              <w:spacing w:before="45" w:after="45"/>
              <w:ind w:right="108"/>
              <w:rPr>
                <w:rFonts w:cstheme="minorHAnsi"/>
                <w:b w:val="0"/>
                <w:bCs/>
                <w:color w:val="265A9A"/>
                <w:sz w:val="18"/>
                <w:szCs w:val="18"/>
              </w:rPr>
            </w:pPr>
            <w:r w:rsidRPr="00D80530">
              <w:rPr>
                <w:rFonts w:cstheme="minorHAnsi"/>
                <w:b w:val="0"/>
                <w:bCs/>
                <w:color w:val="265A9A"/>
                <w:sz w:val="18"/>
                <w:szCs w:val="18"/>
              </w:rPr>
              <w:t>Charlson score</w:t>
            </w:r>
          </w:p>
        </w:tc>
        <w:tc>
          <w:tcPr>
            <w:tcW w:w="514" w:type="pct"/>
            <w:tcBorders>
              <w:bottom w:val="nil"/>
            </w:tcBorders>
            <w:shd w:val="clear" w:color="auto" w:fill="EBEBEB"/>
          </w:tcPr>
          <w:p w14:paraId="7BBB9439"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0.27***</w:t>
            </w:r>
          </w:p>
        </w:tc>
        <w:tc>
          <w:tcPr>
            <w:tcW w:w="515" w:type="pct"/>
            <w:gridSpan w:val="2"/>
            <w:tcBorders>
              <w:bottom w:val="nil"/>
            </w:tcBorders>
            <w:shd w:val="clear" w:color="auto" w:fill="EBEBEB"/>
          </w:tcPr>
          <w:p w14:paraId="6632556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0.176***</w:t>
            </w:r>
          </w:p>
        </w:tc>
        <w:tc>
          <w:tcPr>
            <w:tcW w:w="515" w:type="pct"/>
            <w:gridSpan w:val="2"/>
            <w:tcBorders>
              <w:bottom w:val="nil"/>
            </w:tcBorders>
            <w:shd w:val="clear" w:color="auto" w:fill="EBEBEB"/>
          </w:tcPr>
          <w:p w14:paraId="34042737"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0.203***</w:t>
            </w:r>
          </w:p>
        </w:tc>
        <w:tc>
          <w:tcPr>
            <w:tcW w:w="514" w:type="pct"/>
            <w:tcBorders>
              <w:bottom w:val="nil"/>
            </w:tcBorders>
            <w:shd w:val="clear" w:color="auto" w:fill="EBEBEB"/>
          </w:tcPr>
          <w:p w14:paraId="1E61430C"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0.751***</w:t>
            </w:r>
          </w:p>
        </w:tc>
        <w:tc>
          <w:tcPr>
            <w:tcW w:w="515" w:type="pct"/>
            <w:gridSpan w:val="2"/>
            <w:tcBorders>
              <w:bottom w:val="nil"/>
            </w:tcBorders>
            <w:shd w:val="clear" w:color="auto" w:fill="EBEBEB"/>
          </w:tcPr>
          <w:p w14:paraId="1455E393"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0.199***</w:t>
            </w:r>
          </w:p>
        </w:tc>
        <w:tc>
          <w:tcPr>
            <w:tcW w:w="515" w:type="pct"/>
            <w:gridSpan w:val="2"/>
            <w:tcBorders>
              <w:bottom w:val="nil"/>
            </w:tcBorders>
            <w:shd w:val="clear" w:color="auto" w:fill="EBEBEB"/>
          </w:tcPr>
          <w:p w14:paraId="3E084B6E"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0.374***</w:t>
            </w:r>
          </w:p>
        </w:tc>
        <w:tc>
          <w:tcPr>
            <w:tcW w:w="513" w:type="pct"/>
            <w:tcBorders>
              <w:bottom w:val="nil"/>
            </w:tcBorders>
            <w:shd w:val="clear" w:color="auto" w:fill="EBEBEB"/>
          </w:tcPr>
          <w:p w14:paraId="5F428A4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0.156***</w:t>
            </w:r>
          </w:p>
        </w:tc>
      </w:tr>
      <w:tr w:rsidR="00D33976" w:rsidRPr="00D80530" w14:paraId="63866B18" w14:textId="77777777" w:rsidTr="00AB62C3">
        <w:tc>
          <w:tcPr>
            <w:tcW w:w="1399" w:type="pct"/>
            <w:tcBorders>
              <w:top w:val="nil"/>
              <w:bottom w:val="nil"/>
            </w:tcBorders>
            <w:shd w:val="clear" w:color="000000" w:fill="auto"/>
          </w:tcPr>
          <w:p w14:paraId="0067D224" w14:textId="77777777" w:rsidR="00D33976" w:rsidRPr="00D80530" w:rsidRDefault="00D33976" w:rsidP="00AB62C3">
            <w:pPr>
              <w:pStyle w:val="TableHeading"/>
              <w:spacing w:before="45" w:after="45"/>
              <w:ind w:right="108"/>
              <w:rPr>
                <w:rFonts w:cstheme="minorHAnsi"/>
                <w:b w:val="0"/>
                <w:bCs/>
                <w:color w:val="265A9A"/>
                <w:sz w:val="18"/>
                <w:szCs w:val="18"/>
              </w:rPr>
            </w:pPr>
            <w:r w:rsidRPr="00D80530">
              <w:rPr>
                <w:rFonts w:cstheme="minorHAnsi"/>
                <w:b w:val="0"/>
                <w:bCs/>
                <w:color w:val="265A9A"/>
                <w:sz w:val="18"/>
                <w:szCs w:val="18"/>
              </w:rPr>
              <w:lastRenderedPageBreak/>
              <w:t>Intervention DRG</w:t>
            </w:r>
          </w:p>
        </w:tc>
        <w:tc>
          <w:tcPr>
            <w:tcW w:w="514" w:type="pct"/>
            <w:tcBorders>
              <w:top w:val="nil"/>
              <w:bottom w:val="nil"/>
            </w:tcBorders>
            <w:shd w:val="clear" w:color="000000" w:fill="auto"/>
          </w:tcPr>
          <w:p w14:paraId="29F56F38"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0.957***</w:t>
            </w:r>
          </w:p>
        </w:tc>
        <w:tc>
          <w:tcPr>
            <w:tcW w:w="515" w:type="pct"/>
            <w:gridSpan w:val="2"/>
            <w:tcBorders>
              <w:top w:val="nil"/>
              <w:bottom w:val="nil"/>
            </w:tcBorders>
            <w:shd w:val="clear" w:color="000000" w:fill="auto"/>
          </w:tcPr>
          <w:p w14:paraId="47B87D67"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1.971***</w:t>
            </w:r>
          </w:p>
        </w:tc>
        <w:tc>
          <w:tcPr>
            <w:tcW w:w="515" w:type="pct"/>
            <w:gridSpan w:val="2"/>
            <w:tcBorders>
              <w:top w:val="nil"/>
              <w:bottom w:val="nil"/>
            </w:tcBorders>
            <w:shd w:val="clear" w:color="000000" w:fill="auto"/>
          </w:tcPr>
          <w:p w14:paraId="0BAFBA47"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1.076***</w:t>
            </w:r>
          </w:p>
        </w:tc>
        <w:tc>
          <w:tcPr>
            <w:tcW w:w="514" w:type="pct"/>
            <w:tcBorders>
              <w:top w:val="nil"/>
              <w:bottom w:val="nil"/>
            </w:tcBorders>
            <w:shd w:val="clear" w:color="000000" w:fill="auto"/>
          </w:tcPr>
          <w:p w14:paraId="6F89F1C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0.234***</w:t>
            </w:r>
          </w:p>
        </w:tc>
        <w:tc>
          <w:tcPr>
            <w:tcW w:w="515" w:type="pct"/>
            <w:gridSpan w:val="2"/>
            <w:tcBorders>
              <w:top w:val="nil"/>
              <w:bottom w:val="nil"/>
            </w:tcBorders>
            <w:shd w:val="clear" w:color="000000" w:fill="auto"/>
          </w:tcPr>
          <w:p w14:paraId="1A0E7EF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1.315***</w:t>
            </w:r>
          </w:p>
        </w:tc>
        <w:tc>
          <w:tcPr>
            <w:tcW w:w="515" w:type="pct"/>
            <w:gridSpan w:val="2"/>
            <w:tcBorders>
              <w:top w:val="nil"/>
              <w:bottom w:val="nil"/>
            </w:tcBorders>
            <w:shd w:val="clear" w:color="000000" w:fill="auto"/>
          </w:tcPr>
          <w:p w14:paraId="392ACC96"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0.642***</w:t>
            </w:r>
          </w:p>
        </w:tc>
        <w:tc>
          <w:tcPr>
            <w:tcW w:w="513" w:type="pct"/>
            <w:tcBorders>
              <w:top w:val="nil"/>
              <w:bottom w:val="nil"/>
            </w:tcBorders>
            <w:shd w:val="clear" w:color="000000" w:fill="auto"/>
          </w:tcPr>
          <w:p w14:paraId="39F76910"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1.193***</w:t>
            </w:r>
          </w:p>
        </w:tc>
      </w:tr>
      <w:tr w:rsidR="00D33976" w:rsidRPr="00D80530" w14:paraId="4D7619D6" w14:textId="77777777" w:rsidTr="00944E8B">
        <w:tc>
          <w:tcPr>
            <w:tcW w:w="2142" w:type="pct"/>
            <w:gridSpan w:val="3"/>
            <w:tcBorders>
              <w:bottom w:val="nil"/>
            </w:tcBorders>
            <w:shd w:val="clear" w:color="auto" w:fill="EBEBEB"/>
          </w:tcPr>
          <w:p w14:paraId="36C76138" w14:textId="77777777" w:rsidR="00D33976" w:rsidRPr="00D80530" w:rsidRDefault="00D33976" w:rsidP="00AB62C3">
            <w:pPr>
              <w:pStyle w:val="TableBody"/>
              <w:spacing w:before="45" w:after="45"/>
              <w:ind w:right="108"/>
              <w:rPr>
                <w:rFonts w:cstheme="minorHAnsi"/>
                <w:color w:val="000000"/>
                <w:szCs w:val="18"/>
              </w:rPr>
            </w:pPr>
            <w:r w:rsidRPr="00D80530">
              <w:rPr>
                <w:rFonts w:cstheme="minorHAnsi"/>
                <w:color w:val="265A9A"/>
                <w:szCs w:val="18"/>
              </w:rPr>
              <w:t>MDC (relative to 00 Pre MDC)</w:t>
            </w:r>
          </w:p>
        </w:tc>
        <w:tc>
          <w:tcPr>
            <w:tcW w:w="714" w:type="pct"/>
            <w:gridSpan w:val="2"/>
            <w:tcBorders>
              <w:bottom w:val="nil"/>
            </w:tcBorders>
            <w:shd w:val="clear" w:color="auto" w:fill="EBEBEB"/>
          </w:tcPr>
          <w:p w14:paraId="19E97198" w14:textId="77777777" w:rsidR="00D33976" w:rsidRPr="00D80530" w:rsidRDefault="00D33976" w:rsidP="00AB62C3">
            <w:pPr>
              <w:pStyle w:val="TableBody"/>
              <w:spacing w:before="45" w:after="45"/>
              <w:ind w:right="108"/>
              <w:rPr>
                <w:rFonts w:cstheme="minorHAnsi"/>
                <w:color w:val="000000"/>
                <w:szCs w:val="18"/>
              </w:rPr>
            </w:pPr>
          </w:p>
        </w:tc>
        <w:tc>
          <w:tcPr>
            <w:tcW w:w="714" w:type="pct"/>
            <w:gridSpan w:val="3"/>
            <w:tcBorders>
              <w:bottom w:val="nil"/>
            </w:tcBorders>
            <w:shd w:val="clear" w:color="auto" w:fill="EBEBEB"/>
          </w:tcPr>
          <w:p w14:paraId="2BB79C4D" w14:textId="77777777" w:rsidR="00D33976" w:rsidRPr="00D80530" w:rsidRDefault="00D33976" w:rsidP="00AB62C3">
            <w:pPr>
              <w:pStyle w:val="TableBody"/>
              <w:spacing w:before="45" w:after="45"/>
              <w:ind w:right="108"/>
              <w:rPr>
                <w:rFonts w:cstheme="minorHAnsi"/>
                <w:color w:val="000000"/>
                <w:szCs w:val="18"/>
              </w:rPr>
            </w:pPr>
          </w:p>
        </w:tc>
        <w:tc>
          <w:tcPr>
            <w:tcW w:w="714" w:type="pct"/>
            <w:gridSpan w:val="2"/>
            <w:tcBorders>
              <w:bottom w:val="nil"/>
            </w:tcBorders>
            <w:shd w:val="clear" w:color="auto" w:fill="EBEBEB"/>
          </w:tcPr>
          <w:p w14:paraId="3DF405C6" w14:textId="77777777" w:rsidR="00D33976" w:rsidRPr="00D80530" w:rsidRDefault="00D33976" w:rsidP="00AB62C3">
            <w:pPr>
              <w:pStyle w:val="TableBody"/>
              <w:spacing w:before="45" w:after="45"/>
              <w:ind w:right="108"/>
              <w:rPr>
                <w:rFonts w:cstheme="minorHAnsi"/>
                <w:color w:val="000000"/>
                <w:szCs w:val="18"/>
              </w:rPr>
            </w:pPr>
          </w:p>
        </w:tc>
        <w:tc>
          <w:tcPr>
            <w:tcW w:w="716" w:type="pct"/>
            <w:gridSpan w:val="2"/>
            <w:tcBorders>
              <w:bottom w:val="nil"/>
            </w:tcBorders>
            <w:shd w:val="clear" w:color="auto" w:fill="EBEBEB"/>
          </w:tcPr>
          <w:p w14:paraId="558E4190" w14:textId="77777777" w:rsidR="00D33976" w:rsidRPr="00D80530" w:rsidRDefault="00D33976" w:rsidP="00AB62C3">
            <w:pPr>
              <w:pStyle w:val="TableBody"/>
              <w:spacing w:before="45" w:after="45"/>
              <w:ind w:right="108"/>
              <w:rPr>
                <w:rFonts w:cstheme="minorHAnsi"/>
                <w:color w:val="000000"/>
                <w:szCs w:val="18"/>
              </w:rPr>
            </w:pPr>
          </w:p>
        </w:tc>
      </w:tr>
      <w:tr w:rsidR="00D33976" w:rsidRPr="00D80530" w14:paraId="12967BFA" w14:textId="77777777" w:rsidTr="00AB62C3">
        <w:tc>
          <w:tcPr>
            <w:tcW w:w="1399" w:type="pct"/>
            <w:tcBorders>
              <w:top w:val="nil"/>
              <w:bottom w:val="nil"/>
            </w:tcBorders>
            <w:shd w:val="clear" w:color="000000" w:fill="auto"/>
          </w:tcPr>
          <w:p w14:paraId="46CA0F7E" w14:textId="2E8D70F5" w:rsidR="00D33976" w:rsidRPr="00D80530" w:rsidRDefault="00D33976" w:rsidP="005A293F">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01 Nervous</w:t>
            </w:r>
          </w:p>
        </w:tc>
        <w:tc>
          <w:tcPr>
            <w:tcW w:w="514" w:type="pct"/>
            <w:tcBorders>
              <w:top w:val="nil"/>
              <w:bottom w:val="nil"/>
            </w:tcBorders>
            <w:shd w:val="clear" w:color="000000" w:fill="auto"/>
          </w:tcPr>
          <w:p w14:paraId="50C12C10"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-1.651***</w:t>
            </w:r>
          </w:p>
        </w:tc>
        <w:tc>
          <w:tcPr>
            <w:tcW w:w="515" w:type="pct"/>
            <w:gridSpan w:val="2"/>
            <w:tcBorders>
              <w:top w:val="nil"/>
              <w:bottom w:val="nil"/>
            </w:tcBorders>
            <w:shd w:val="clear" w:color="000000" w:fill="auto"/>
          </w:tcPr>
          <w:p w14:paraId="1DC4531B"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-1.611***</w:t>
            </w:r>
          </w:p>
        </w:tc>
        <w:tc>
          <w:tcPr>
            <w:tcW w:w="515" w:type="pct"/>
            <w:gridSpan w:val="2"/>
            <w:tcBorders>
              <w:top w:val="nil"/>
              <w:bottom w:val="nil"/>
            </w:tcBorders>
            <w:shd w:val="clear" w:color="000000" w:fill="auto"/>
          </w:tcPr>
          <w:p w14:paraId="0FB4FED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-0.738***</w:t>
            </w:r>
          </w:p>
        </w:tc>
        <w:tc>
          <w:tcPr>
            <w:tcW w:w="514" w:type="pct"/>
            <w:tcBorders>
              <w:top w:val="nil"/>
              <w:bottom w:val="nil"/>
            </w:tcBorders>
            <w:shd w:val="clear" w:color="000000" w:fill="auto"/>
          </w:tcPr>
          <w:p w14:paraId="2DA225C6"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-0.772***</w:t>
            </w:r>
          </w:p>
        </w:tc>
        <w:tc>
          <w:tcPr>
            <w:tcW w:w="515" w:type="pct"/>
            <w:gridSpan w:val="2"/>
            <w:tcBorders>
              <w:top w:val="nil"/>
              <w:bottom w:val="nil"/>
            </w:tcBorders>
            <w:shd w:val="clear" w:color="000000" w:fill="auto"/>
          </w:tcPr>
          <w:p w14:paraId="408FED54"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-1.416***</w:t>
            </w:r>
          </w:p>
        </w:tc>
        <w:tc>
          <w:tcPr>
            <w:tcW w:w="515" w:type="pct"/>
            <w:gridSpan w:val="2"/>
            <w:tcBorders>
              <w:top w:val="nil"/>
              <w:bottom w:val="nil"/>
            </w:tcBorders>
            <w:shd w:val="clear" w:color="000000" w:fill="auto"/>
          </w:tcPr>
          <w:p w14:paraId="6C908588"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-1.521***</w:t>
            </w:r>
          </w:p>
        </w:tc>
        <w:tc>
          <w:tcPr>
            <w:tcW w:w="513" w:type="pct"/>
            <w:tcBorders>
              <w:top w:val="nil"/>
              <w:bottom w:val="nil"/>
            </w:tcBorders>
            <w:shd w:val="clear" w:color="000000" w:fill="auto"/>
          </w:tcPr>
          <w:p w14:paraId="7F5FA053"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-1.352***</w:t>
            </w:r>
          </w:p>
        </w:tc>
      </w:tr>
      <w:tr w:rsidR="00D33976" w:rsidRPr="00D80530" w14:paraId="2D1E65F8" w14:textId="77777777" w:rsidTr="00944E8B">
        <w:tc>
          <w:tcPr>
            <w:tcW w:w="1399" w:type="pct"/>
            <w:tcBorders>
              <w:bottom w:val="nil"/>
            </w:tcBorders>
            <w:shd w:val="clear" w:color="auto" w:fill="EBEBEB"/>
          </w:tcPr>
          <w:p w14:paraId="321EE7FC" w14:textId="572B86E9" w:rsidR="00D33976" w:rsidRPr="00D80530" w:rsidRDefault="00D33976" w:rsidP="005A293F">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 xml:space="preserve">02 Eye diseases </w:t>
            </w:r>
          </w:p>
        </w:tc>
        <w:tc>
          <w:tcPr>
            <w:tcW w:w="514" w:type="pct"/>
            <w:tcBorders>
              <w:bottom w:val="nil"/>
            </w:tcBorders>
            <w:shd w:val="clear" w:color="auto" w:fill="EBEBEB"/>
          </w:tcPr>
          <w:p w14:paraId="66B670EE"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-4.286***</w:t>
            </w:r>
          </w:p>
        </w:tc>
        <w:tc>
          <w:tcPr>
            <w:tcW w:w="515" w:type="pct"/>
            <w:gridSpan w:val="2"/>
            <w:tcBorders>
              <w:bottom w:val="nil"/>
            </w:tcBorders>
            <w:shd w:val="clear" w:color="auto" w:fill="EBEBEB"/>
          </w:tcPr>
          <w:p w14:paraId="0017581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-2.98***</w:t>
            </w:r>
          </w:p>
        </w:tc>
        <w:tc>
          <w:tcPr>
            <w:tcW w:w="515" w:type="pct"/>
            <w:gridSpan w:val="2"/>
            <w:tcBorders>
              <w:bottom w:val="nil"/>
            </w:tcBorders>
            <w:shd w:val="clear" w:color="auto" w:fill="EBEBEB"/>
          </w:tcPr>
          <w:p w14:paraId="1A9C41D4"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-4.053***</w:t>
            </w:r>
          </w:p>
        </w:tc>
        <w:tc>
          <w:tcPr>
            <w:tcW w:w="514" w:type="pct"/>
            <w:tcBorders>
              <w:bottom w:val="nil"/>
            </w:tcBorders>
            <w:shd w:val="clear" w:color="auto" w:fill="EBEBEB"/>
          </w:tcPr>
          <w:p w14:paraId="77962E11"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-2.747***</w:t>
            </w:r>
          </w:p>
        </w:tc>
        <w:tc>
          <w:tcPr>
            <w:tcW w:w="515" w:type="pct"/>
            <w:gridSpan w:val="2"/>
            <w:tcBorders>
              <w:bottom w:val="nil"/>
            </w:tcBorders>
            <w:shd w:val="clear" w:color="auto" w:fill="EBEBEB"/>
          </w:tcPr>
          <w:p w14:paraId="577237AE"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-3.614***</w:t>
            </w:r>
          </w:p>
        </w:tc>
        <w:tc>
          <w:tcPr>
            <w:tcW w:w="515" w:type="pct"/>
            <w:gridSpan w:val="2"/>
            <w:tcBorders>
              <w:bottom w:val="nil"/>
            </w:tcBorders>
            <w:shd w:val="clear" w:color="auto" w:fill="EBEBEB"/>
          </w:tcPr>
          <w:p w14:paraId="53CEFF6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-2.563***</w:t>
            </w:r>
          </w:p>
        </w:tc>
        <w:tc>
          <w:tcPr>
            <w:tcW w:w="513" w:type="pct"/>
            <w:tcBorders>
              <w:bottom w:val="nil"/>
            </w:tcBorders>
            <w:shd w:val="clear" w:color="auto" w:fill="EBEBEB"/>
          </w:tcPr>
          <w:p w14:paraId="4729E40B"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-2.931***</w:t>
            </w:r>
          </w:p>
        </w:tc>
      </w:tr>
      <w:tr w:rsidR="00D33976" w:rsidRPr="00D80530" w14:paraId="10CFDB7F" w14:textId="77777777" w:rsidTr="00AB62C3">
        <w:tc>
          <w:tcPr>
            <w:tcW w:w="1399" w:type="pct"/>
            <w:tcBorders>
              <w:top w:val="nil"/>
              <w:bottom w:val="nil"/>
            </w:tcBorders>
            <w:shd w:val="clear" w:color="000000" w:fill="auto"/>
          </w:tcPr>
          <w:p w14:paraId="023AAB1F" w14:textId="1B8217DC" w:rsidR="00D33976" w:rsidRPr="00D80530" w:rsidRDefault="00D33976" w:rsidP="005A293F">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03 ENMT</w:t>
            </w:r>
          </w:p>
        </w:tc>
        <w:tc>
          <w:tcPr>
            <w:tcW w:w="514" w:type="pct"/>
            <w:tcBorders>
              <w:top w:val="nil"/>
              <w:bottom w:val="nil"/>
            </w:tcBorders>
            <w:shd w:val="clear" w:color="000000" w:fill="auto"/>
          </w:tcPr>
          <w:p w14:paraId="1FC37771"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-2.979***</w:t>
            </w:r>
          </w:p>
        </w:tc>
        <w:tc>
          <w:tcPr>
            <w:tcW w:w="515" w:type="pct"/>
            <w:gridSpan w:val="2"/>
            <w:tcBorders>
              <w:top w:val="nil"/>
              <w:bottom w:val="nil"/>
            </w:tcBorders>
            <w:shd w:val="clear" w:color="000000" w:fill="auto"/>
          </w:tcPr>
          <w:p w14:paraId="28C9DFDA"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-2.176***</w:t>
            </w:r>
          </w:p>
        </w:tc>
        <w:tc>
          <w:tcPr>
            <w:tcW w:w="515" w:type="pct"/>
            <w:gridSpan w:val="2"/>
            <w:tcBorders>
              <w:top w:val="nil"/>
              <w:bottom w:val="nil"/>
            </w:tcBorders>
            <w:shd w:val="clear" w:color="000000" w:fill="auto"/>
          </w:tcPr>
          <w:p w14:paraId="639D88B5"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-1.835***</w:t>
            </w:r>
          </w:p>
        </w:tc>
        <w:tc>
          <w:tcPr>
            <w:tcW w:w="514" w:type="pct"/>
            <w:tcBorders>
              <w:top w:val="nil"/>
              <w:bottom w:val="nil"/>
            </w:tcBorders>
            <w:shd w:val="clear" w:color="000000" w:fill="auto"/>
          </w:tcPr>
          <w:p w14:paraId="2D9271C7"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-1.761***</w:t>
            </w:r>
          </w:p>
        </w:tc>
        <w:tc>
          <w:tcPr>
            <w:tcW w:w="515" w:type="pct"/>
            <w:gridSpan w:val="2"/>
            <w:tcBorders>
              <w:top w:val="nil"/>
              <w:bottom w:val="nil"/>
            </w:tcBorders>
            <w:shd w:val="clear" w:color="000000" w:fill="auto"/>
          </w:tcPr>
          <w:p w14:paraId="6623B9F4"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-2.381***</w:t>
            </w:r>
          </w:p>
        </w:tc>
        <w:tc>
          <w:tcPr>
            <w:tcW w:w="515" w:type="pct"/>
            <w:gridSpan w:val="2"/>
            <w:tcBorders>
              <w:top w:val="nil"/>
              <w:bottom w:val="nil"/>
            </w:tcBorders>
            <w:shd w:val="clear" w:color="000000" w:fill="auto"/>
          </w:tcPr>
          <w:p w14:paraId="03A1BD9B"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-2.113***</w:t>
            </w:r>
          </w:p>
        </w:tc>
        <w:tc>
          <w:tcPr>
            <w:tcW w:w="513" w:type="pct"/>
            <w:tcBorders>
              <w:top w:val="nil"/>
              <w:bottom w:val="nil"/>
            </w:tcBorders>
            <w:shd w:val="clear" w:color="000000" w:fill="auto"/>
          </w:tcPr>
          <w:p w14:paraId="6EF38F5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-1.882***</w:t>
            </w:r>
          </w:p>
        </w:tc>
      </w:tr>
      <w:tr w:rsidR="00D33976" w:rsidRPr="00D80530" w14:paraId="24A1717C" w14:textId="77777777" w:rsidTr="00944E8B">
        <w:tc>
          <w:tcPr>
            <w:tcW w:w="1399" w:type="pct"/>
            <w:tcBorders>
              <w:bottom w:val="nil"/>
            </w:tcBorders>
            <w:shd w:val="clear" w:color="auto" w:fill="EBEBEB"/>
          </w:tcPr>
          <w:p w14:paraId="11246298" w14:textId="6CD7FCE4" w:rsidR="00D33976" w:rsidRPr="00D80530" w:rsidRDefault="00D33976" w:rsidP="005A293F">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 xml:space="preserve">04 Respiratory </w:t>
            </w:r>
          </w:p>
        </w:tc>
        <w:tc>
          <w:tcPr>
            <w:tcW w:w="514" w:type="pct"/>
            <w:tcBorders>
              <w:bottom w:val="nil"/>
            </w:tcBorders>
            <w:shd w:val="clear" w:color="auto" w:fill="EBEBEB"/>
          </w:tcPr>
          <w:p w14:paraId="3BE71153"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-2.241***</w:t>
            </w:r>
          </w:p>
        </w:tc>
        <w:tc>
          <w:tcPr>
            <w:tcW w:w="515" w:type="pct"/>
            <w:gridSpan w:val="2"/>
            <w:tcBorders>
              <w:bottom w:val="nil"/>
            </w:tcBorders>
            <w:shd w:val="clear" w:color="auto" w:fill="EBEBEB"/>
          </w:tcPr>
          <w:p w14:paraId="2A906828"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-1.512***</w:t>
            </w:r>
          </w:p>
        </w:tc>
        <w:tc>
          <w:tcPr>
            <w:tcW w:w="515" w:type="pct"/>
            <w:gridSpan w:val="2"/>
            <w:tcBorders>
              <w:bottom w:val="nil"/>
            </w:tcBorders>
            <w:shd w:val="clear" w:color="auto" w:fill="EBEBEB"/>
          </w:tcPr>
          <w:p w14:paraId="00F8998E"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-1.495***</w:t>
            </w:r>
          </w:p>
        </w:tc>
        <w:tc>
          <w:tcPr>
            <w:tcW w:w="514" w:type="pct"/>
            <w:tcBorders>
              <w:bottom w:val="nil"/>
            </w:tcBorders>
            <w:shd w:val="clear" w:color="auto" w:fill="EBEBEB"/>
          </w:tcPr>
          <w:p w14:paraId="5C2799F3"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-0.641***</w:t>
            </w:r>
          </w:p>
        </w:tc>
        <w:tc>
          <w:tcPr>
            <w:tcW w:w="515" w:type="pct"/>
            <w:gridSpan w:val="2"/>
            <w:tcBorders>
              <w:bottom w:val="nil"/>
            </w:tcBorders>
            <w:shd w:val="clear" w:color="auto" w:fill="EBEBEB"/>
          </w:tcPr>
          <w:p w14:paraId="7649F669"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-1.744***</w:t>
            </w:r>
          </w:p>
        </w:tc>
        <w:tc>
          <w:tcPr>
            <w:tcW w:w="515" w:type="pct"/>
            <w:gridSpan w:val="2"/>
            <w:tcBorders>
              <w:bottom w:val="nil"/>
            </w:tcBorders>
            <w:shd w:val="clear" w:color="auto" w:fill="EBEBEB"/>
          </w:tcPr>
          <w:p w14:paraId="0E7F1E79"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-1.405***</w:t>
            </w:r>
          </w:p>
        </w:tc>
        <w:tc>
          <w:tcPr>
            <w:tcW w:w="513" w:type="pct"/>
            <w:tcBorders>
              <w:bottom w:val="nil"/>
            </w:tcBorders>
            <w:shd w:val="clear" w:color="auto" w:fill="EBEBEB"/>
          </w:tcPr>
          <w:p w14:paraId="3DC0B30B"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-0.784***</w:t>
            </w:r>
          </w:p>
        </w:tc>
      </w:tr>
      <w:tr w:rsidR="00D33976" w:rsidRPr="00D80530" w14:paraId="2257E7E2" w14:textId="77777777" w:rsidTr="00AB62C3">
        <w:tc>
          <w:tcPr>
            <w:tcW w:w="1399" w:type="pct"/>
            <w:tcBorders>
              <w:top w:val="nil"/>
              <w:bottom w:val="nil"/>
            </w:tcBorders>
            <w:shd w:val="clear" w:color="000000" w:fill="auto"/>
          </w:tcPr>
          <w:p w14:paraId="608B5645" w14:textId="2698EB32" w:rsidR="00D33976" w:rsidRPr="00D80530" w:rsidRDefault="00D33976" w:rsidP="005A293F">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 xml:space="preserve">05 Circulatory </w:t>
            </w:r>
          </w:p>
        </w:tc>
        <w:tc>
          <w:tcPr>
            <w:tcW w:w="514" w:type="pct"/>
            <w:tcBorders>
              <w:top w:val="nil"/>
              <w:bottom w:val="nil"/>
            </w:tcBorders>
            <w:shd w:val="clear" w:color="000000" w:fill="auto"/>
          </w:tcPr>
          <w:p w14:paraId="5C79860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-2.099***</w:t>
            </w:r>
          </w:p>
        </w:tc>
        <w:tc>
          <w:tcPr>
            <w:tcW w:w="515" w:type="pct"/>
            <w:gridSpan w:val="2"/>
            <w:tcBorders>
              <w:top w:val="nil"/>
              <w:bottom w:val="nil"/>
            </w:tcBorders>
            <w:shd w:val="clear" w:color="000000" w:fill="auto"/>
          </w:tcPr>
          <w:p w14:paraId="3D18C3FE"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-0.912***</w:t>
            </w:r>
          </w:p>
        </w:tc>
        <w:tc>
          <w:tcPr>
            <w:tcW w:w="515" w:type="pct"/>
            <w:gridSpan w:val="2"/>
            <w:tcBorders>
              <w:top w:val="nil"/>
              <w:bottom w:val="nil"/>
            </w:tcBorders>
            <w:shd w:val="clear" w:color="000000" w:fill="auto"/>
          </w:tcPr>
          <w:p w14:paraId="7A23B93E"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-2.131***</w:t>
            </w:r>
          </w:p>
        </w:tc>
        <w:tc>
          <w:tcPr>
            <w:tcW w:w="514" w:type="pct"/>
            <w:tcBorders>
              <w:top w:val="nil"/>
              <w:bottom w:val="nil"/>
            </w:tcBorders>
            <w:shd w:val="clear" w:color="000000" w:fill="auto"/>
          </w:tcPr>
          <w:p w14:paraId="478674C9"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-0.634***</w:t>
            </w:r>
          </w:p>
        </w:tc>
        <w:tc>
          <w:tcPr>
            <w:tcW w:w="515" w:type="pct"/>
            <w:gridSpan w:val="2"/>
            <w:tcBorders>
              <w:top w:val="nil"/>
              <w:bottom w:val="nil"/>
            </w:tcBorders>
            <w:shd w:val="clear" w:color="000000" w:fill="auto"/>
          </w:tcPr>
          <w:p w14:paraId="0C3B2734"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-1.979***</w:t>
            </w:r>
          </w:p>
        </w:tc>
        <w:tc>
          <w:tcPr>
            <w:tcW w:w="515" w:type="pct"/>
            <w:gridSpan w:val="2"/>
            <w:tcBorders>
              <w:top w:val="nil"/>
              <w:bottom w:val="nil"/>
            </w:tcBorders>
            <w:shd w:val="clear" w:color="000000" w:fill="auto"/>
          </w:tcPr>
          <w:p w14:paraId="545BA3B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-1.393***</w:t>
            </w:r>
          </w:p>
        </w:tc>
        <w:tc>
          <w:tcPr>
            <w:tcW w:w="513" w:type="pct"/>
            <w:tcBorders>
              <w:top w:val="nil"/>
              <w:bottom w:val="nil"/>
            </w:tcBorders>
            <w:shd w:val="clear" w:color="000000" w:fill="auto"/>
          </w:tcPr>
          <w:p w14:paraId="5AA5B685"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-0.496***</w:t>
            </w:r>
          </w:p>
        </w:tc>
      </w:tr>
      <w:tr w:rsidR="00D33976" w:rsidRPr="00D80530" w14:paraId="462BB503" w14:textId="77777777" w:rsidTr="00944E8B">
        <w:tc>
          <w:tcPr>
            <w:tcW w:w="1399" w:type="pct"/>
            <w:tcBorders>
              <w:bottom w:val="nil"/>
            </w:tcBorders>
            <w:shd w:val="clear" w:color="auto" w:fill="EBEBEB"/>
          </w:tcPr>
          <w:p w14:paraId="21677B3B" w14:textId="588D2C57" w:rsidR="00D33976" w:rsidRPr="00D80530" w:rsidRDefault="00D33976" w:rsidP="005A293F">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06 Digestive system</w:t>
            </w:r>
          </w:p>
        </w:tc>
        <w:tc>
          <w:tcPr>
            <w:tcW w:w="514" w:type="pct"/>
            <w:tcBorders>
              <w:bottom w:val="nil"/>
            </w:tcBorders>
            <w:shd w:val="clear" w:color="auto" w:fill="EBEBEB"/>
          </w:tcPr>
          <w:p w14:paraId="19EF4DC5"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-1.821***</w:t>
            </w:r>
          </w:p>
        </w:tc>
        <w:tc>
          <w:tcPr>
            <w:tcW w:w="515" w:type="pct"/>
            <w:gridSpan w:val="2"/>
            <w:tcBorders>
              <w:bottom w:val="nil"/>
            </w:tcBorders>
            <w:shd w:val="clear" w:color="auto" w:fill="EBEBEB"/>
          </w:tcPr>
          <w:p w14:paraId="0C872F0C"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-0.97***</w:t>
            </w:r>
          </w:p>
        </w:tc>
        <w:tc>
          <w:tcPr>
            <w:tcW w:w="515" w:type="pct"/>
            <w:gridSpan w:val="2"/>
            <w:tcBorders>
              <w:bottom w:val="nil"/>
            </w:tcBorders>
            <w:shd w:val="clear" w:color="auto" w:fill="EBEBEB"/>
          </w:tcPr>
          <w:p w14:paraId="3924A6D7"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-1.204***</w:t>
            </w:r>
          </w:p>
        </w:tc>
        <w:tc>
          <w:tcPr>
            <w:tcW w:w="514" w:type="pct"/>
            <w:tcBorders>
              <w:bottom w:val="nil"/>
            </w:tcBorders>
            <w:shd w:val="clear" w:color="auto" w:fill="EBEBEB"/>
          </w:tcPr>
          <w:p w14:paraId="4E216AE2"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-1.273***</w:t>
            </w:r>
          </w:p>
        </w:tc>
        <w:tc>
          <w:tcPr>
            <w:tcW w:w="515" w:type="pct"/>
            <w:gridSpan w:val="2"/>
            <w:tcBorders>
              <w:bottom w:val="nil"/>
            </w:tcBorders>
            <w:shd w:val="clear" w:color="auto" w:fill="EBEBEB"/>
          </w:tcPr>
          <w:p w14:paraId="730E45B4"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-1.988***</w:t>
            </w:r>
          </w:p>
        </w:tc>
        <w:tc>
          <w:tcPr>
            <w:tcW w:w="515" w:type="pct"/>
            <w:gridSpan w:val="2"/>
            <w:tcBorders>
              <w:bottom w:val="nil"/>
            </w:tcBorders>
            <w:shd w:val="clear" w:color="auto" w:fill="EBEBEB"/>
          </w:tcPr>
          <w:p w14:paraId="0594EFEC"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-1.186***</w:t>
            </w:r>
          </w:p>
        </w:tc>
        <w:tc>
          <w:tcPr>
            <w:tcW w:w="513" w:type="pct"/>
            <w:tcBorders>
              <w:bottom w:val="nil"/>
            </w:tcBorders>
            <w:shd w:val="clear" w:color="auto" w:fill="EBEBEB"/>
          </w:tcPr>
          <w:p w14:paraId="3DC4E902"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-1.202***</w:t>
            </w:r>
          </w:p>
        </w:tc>
      </w:tr>
      <w:tr w:rsidR="00D33976" w:rsidRPr="00D80530" w14:paraId="7DEA6760" w14:textId="77777777" w:rsidTr="00AB62C3">
        <w:tc>
          <w:tcPr>
            <w:tcW w:w="1399" w:type="pct"/>
            <w:tcBorders>
              <w:top w:val="nil"/>
              <w:bottom w:val="nil"/>
            </w:tcBorders>
            <w:shd w:val="clear" w:color="000000" w:fill="auto"/>
          </w:tcPr>
          <w:p w14:paraId="15CC1247" w14:textId="083DE708" w:rsidR="00D33976" w:rsidRPr="00D80530" w:rsidRDefault="00D33976" w:rsidP="005A293F">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 xml:space="preserve">07 Hepatobiliary </w:t>
            </w:r>
          </w:p>
        </w:tc>
        <w:tc>
          <w:tcPr>
            <w:tcW w:w="514" w:type="pct"/>
            <w:tcBorders>
              <w:top w:val="nil"/>
              <w:bottom w:val="nil"/>
            </w:tcBorders>
            <w:shd w:val="clear" w:color="000000" w:fill="auto"/>
          </w:tcPr>
          <w:p w14:paraId="50E5EDA2"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-1.54***</w:t>
            </w:r>
          </w:p>
        </w:tc>
        <w:tc>
          <w:tcPr>
            <w:tcW w:w="515" w:type="pct"/>
            <w:gridSpan w:val="2"/>
            <w:tcBorders>
              <w:top w:val="nil"/>
              <w:bottom w:val="nil"/>
            </w:tcBorders>
            <w:shd w:val="clear" w:color="000000" w:fill="auto"/>
          </w:tcPr>
          <w:p w14:paraId="1FDA3067"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-1.433***</w:t>
            </w:r>
          </w:p>
        </w:tc>
        <w:tc>
          <w:tcPr>
            <w:tcW w:w="515" w:type="pct"/>
            <w:gridSpan w:val="2"/>
            <w:tcBorders>
              <w:top w:val="nil"/>
              <w:bottom w:val="nil"/>
            </w:tcBorders>
            <w:shd w:val="clear" w:color="000000" w:fill="auto"/>
          </w:tcPr>
          <w:p w14:paraId="107F9D03"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-1.591***</w:t>
            </w:r>
          </w:p>
        </w:tc>
        <w:tc>
          <w:tcPr>
            <w:tcW w:w="514" w:type="pct"/>
            <w:tcBorders>
              <w:top w:val="nil"/>
              <w:bottom w:val="nil"/>
            </w:tcBorders>
            <w:shd w:val="clear" w:color="000000" w:fill="auto"/>
          </w:tcPr>
          <w:p w14:paraId="0AB73B68"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-0.93***</w:t>
            </w:r>
          </w:p>
        </w:tc>
        <w:tc>
          <w:tcPr>
            <w:tcW w:w="515" w:type="pct"/>
            <w:gridSpan w:val="2"/>
            <w:tcBorders>
              <w:top w:val="nil"/>
              <w:bottom w:val="nil"/>
            </w:tcBorders>
            <w:shd w:val="clear" w:color="000000" w:fill="auto"/>
          </w:tcPr>
          <w:p w14:paraId="326ECAEA"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-1.702***</w:t>
            </w:r>
          </w:p>
        </w:tc>
        <w:tc>
          <w:tcPr>
            <w:tcW w:w="515" w:type="pct"/>
            <w:gridSpan w:val="2"/>
            <w:tcBorders>
              <w:top w:val="nil"/>
              <w:bottom w:val="nil"/>
            </w:tcBorders>
            <w:shd w:val="clear" w:color="000000" w:fill="auto"/>
          </w:tcPr>
          <w:p w14:paraId="5F6B4D72"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-0.989***</w:t>
            </w:r>
          </w:p>
        </w:tc>
        <w:tc>
          <w:tcPr>
            <w:tcW w:w="513" w:type="pct"/>
            <w:tcBorders>
              <w:top w:val="nil"/>
              <w:bottom w:val="nil"/>
            </w:tcBorders>
            <w:shd w:val="clear" w:color="000000" w:fill="auto"/>
          </w:tcPr>
          <w:p w14:paraId="3286F178"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-0.96***</w:t>
            </w:r>
          </w:p>
        </w:tc>
      </w:tr>
      <w:tr w:rsidR="00D33976" w:rsidRPr="00D80530" w14:paraId="57B20440" w14:textId="77777777" w:rsidTr="00944E8B">
        <w:tc>
          <w:tcPr>
            <w:tcW w:w="1399" w:type="pct"/>
            <w:tcBorders>
              <w:bottom w:val="nil"/>
            </w:tcBorders>
            <w:shd w:val="clear" w:color="auto" w:fill="EBEBEB"/>
          </w:tcPr>
          <w:p w14:paraId="248CC576" w14:textId="26D4FB3A" w:rsidR="00D33976" w:rsidRPr="00D80530" w:rsidRDefault="00D33976" w:rsidP="005A293F">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 xml:space="preserve">08 Musculoskeletal </w:t>
            </w:r>
          </w:p>
        </w:tc>
        <w:tc>
          <w:tcPr>
            <w:tcW w:w="514" w:type="pct"/>
            <w:tcBorders>
              <w:bottom w:val="nil"/>
            </w:tcBorders>
            <w:shd w:val="clear" w:color="auto" w:fill="EBEBEB"/>
          </w:tcPr>
          <w:p w14:paraId="478015C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-1.262***</w:t>
            </w:r>
          </w:p>
        </w:tc>
        <w:tc>
          <w:tcPr>
            <w:tcW w:w="515" w:type="pct"/>
            <w:gridSpan w:val="2"/>
            <w:tcBorders>
              <w:bottom w:val="nil"/>
            </w:tcBorders>
            <w:shd w:val="clear" w:color="auto" w:fill="EBEBEB"/>
          </w:tcPr>
          <w:p w14:paraId="17D18D27"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-0.893***</w:t>
            </w:r>
          </w:p>
        </w:tc>
        <w:tc>
          <w:tcPr>
            <w:tcW w:w="515" w:type="pct"/>
            <w:gridSpan w:val="2"/>
            <w:tcBorders>
              <w:bottom w:val="nil"/>
            </w:tcBorders>
            <w:shd w:val="clear" w:color="auto" w:fill="EBEBEB"/>
          </w:tcPr>
          <w:p w14:paraId="5D20DAAC"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-1.227***</w:t>
            </w:r>
          </w:p>
        </w:tc>
        <w:tc>
          <w:tcPr>
            <w:tcW w:w="514" w:type="pct"/>
            <w:tcBorders>
              <w:bottom w:val="nil"/>
            </w:tcBorders>
            <w:shd w:val="clear" w:color="auto" w:fill="EBEBEB"/>
          </w:tcPr>
          <w:p w14:paraId="5071D997"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-0.435***</w:t>
            </w:r>
          </w:p>
        </w:tc>
        <w:tc>
          <w:tcPr>
            <w:tcW w:w="515" w:type="pct"/>
            <w:gridSpan w:val="2"/>
            <w:tcBorders>
              <w:bottom w:val="nil"/>
            </w:tcBorders>
            <w:shd w:val="clear" w:color="auto" w:fill="EBEBEB"/>
          </w:tcPr>
          <w:p w14:paraId="3AB55F48"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-0.75***</w:t>
            </w:r>
          </w:p>
        </w:tc>
        <w:tc>
          <w:tcPr>
            <w:tcW w:w="515" w:type="pct"/>
            <w:gridSpan w:val="2"/>
            <w:tcBorders>
              <w:bottom w:val="nil"/>
            </w:tcBorders>
            <w:shd w:val="clear" w:color="auto" w:fill="EBEBEB"/>
          </w:tcPr>
          <w:p w14:paraId="5B15166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-1.305***</w:t>
            </w:r>
          </w:p>
        </w:tc>
        <w:tc>
          <w:tcPr>
            <w:tcW w:w="513" w:type="pct"/>
            <w:tcBorders>
              <w:bottom w:val="nil"/>
            </w:tcBorders>
            <w:shd w:val="clear" w:color="auto" w:fill="EBEBEB"/>
          </w:tcPr>
          <w:p w14:paraId="530A92E4"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-0.86***</w:t>
            </w:r>
          </w:p>
        </w:tc>
      </w:tr>
      <w:tr w:rsidR="00D33976" w:rsidRPr="00D80530" w14:paraId="7858101B" w14:textId="77777777" w:rsidTr="00AB62C3">
        <w:tc>
          <w:tcPr>
            <w:tcW w:w="1399" w:type="pct"/>
            <w:tcBorders>
              <w:top w:val="nil"/>
              <w:bottom w:val="nil"/>
            </w:tcBorders>
            <w:shd w:val="clear" w:color="000000" w:fill="auto"/>
          </w:tcPr>
          <w:p w14:paraId="6359F9C4" w14:textId="26C0A7A3" w:rsidR="00D33976" w:rsidRPr="00D80530" w:rsidRDefault="00D33976" w:rsidP="005A293F">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09 Skin</w:t>
            </w:r>
          </w:p>
        </w:tc>
        <w:tc>
          <w:tcPr>
            <w:tcW w:w="514" w:type="pct"/>
            <w:tcBorders>
              <w:top w:val="nil"/>
              <w:bottom w:val="nil"/>
            </w:tcBorders>
            <w:shd w:val="clear" w:color="000000" w:fill="auto"/>
          </w:tcPr>
          <w:p w14:paraId="0DCFD156"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-2.27***</w:t>
            </w:r>
          </w:p>
        </w:tc>
        <w:tc>
          <w:tcPr>
            <w:tcW w:w="515" w:type="pct"/>
            <w:gridSpan w:val="2"/>
            <w:tcBorders>
              <w:top w:val="nil"/>
              <w:bottom w:val="nil"/>
            </w:tcBorders>
            <w:shd w:val="clear" w:color="000000" w:fill="auto"/>
          </w:tcPr>
          <w:p w14:paraId="789E90C1"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-1.404***</w:t>
            </w:r>
          </w:p>
        </w:tc>
        <w:tc>
          <w:tcPr>
            <w:tcW w:w="515" w:type="pct"/>
            <w:gridSpan w:val="2"/>
            <w:tcBorders>
              <w:top w:val="nil"/>
              <w:bottom w:val="nil"/>
            </w:tcBorders>
            <w:shd w:val="clear" w:color="000000" w:fill="auto"/>
          </w:tcPr>
          <w:p w14:paraId="76242503"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-2.141***</w:t>
            </w:r>
          </w:p>
        </w:tc>
        <w:tc>
          <w:tcPr>
            <w:tcW w:w="514" w:type="pct"/>
            <w:tcBorders>
              <w:top w:val="nil"/>
              <w:bottom w:val="nil"/>
            </w:tcBorders>
            <w:shd w:val="clear" w:color="000000" w:fill="auto"/>
          </w:tcPr>
          <w:p w14:paraId="63ACC951"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-1.065***</w:t>
            </w:r>
          </w:p>
        </w:tc>
        <w:tc>
          <w:tcPr>
            <w:tcW w:w="515" w:type="pct"/>
            <w:gridSpan w:val="2"/>
            <w:tcBorders>
              <w:top w:val="nil"/>
              <w:bottom w:val="nil"/>
            </w:tcBorders>
            <w:shd w:val="clear" w:color="000000" w:fill="auto"/>
          </w:tcPr>
          <w:p w14:paraId="76B4118C"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-2.191***</w:t>
            </w:r>
          </w:p>
        </w:tc>
        <w:tc>
          <w:tcPr>
            <w:tcW w:w="515" w:type="pct"/>
            <w:gridSpan w:val="2"/>
            <w:tcBorders>
              <w:top w:val="nil"/>
              <w:bottom w:val="nil"/>
            </w:tcBorders>
            <w:shd w:val="clear" w:color="000000" w:fill="auto"/>
          </w:tcPr>
          <w:p w14:paraId="751221F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-1.563***</w:t>
            </w:r>
          </w:p>
        </w:tc>
        <w:tc>
          <w:tcPr>
            <w:tcW w:w="513" w:type="pct"/>
            <w:tcBorders>
              <w:top w:val="nil"/>
              <w:bottom w:val="nil"/>
            </w:tcBorders>
            <w:shd w:val="clear" w:color="000000" w:fill="auto"/>
          </w:tcPr>
          <w:p w14:paraId="53AEEA1C"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-1.483***</w:t>
            </w:r>
          </w:p>
        </w:tc>
      </w:tr>
      <w:tr w:rsidR="00D33976" w:rsidRPr="00D80530" w14:paraId="02F9AB4D" w14:textId="77777777" w:rsidTr="00944E8B">
        <w:tc>
          <w:tcPr>
            <w:tcW w:w="1399" w:type="pct"/>
            <w:tcBorders>
              <w:bottom w:val="nil"/>
            </w:tcBorders>
            <w:shd w:val="clear" w:color="auto" w:fill="EBEBEB"/>
          </w:tcPr>
          <w:p w14:paraId="656ED723" w14:textId="42B32611" w:rsidR="00D33976" w:rsidRPr="00D80530" w:rsidRDefault="00D33976" w:rsidP="005A293F">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10 Endocrine</w:t>
            </w:r>
          </w:p>
        </w:tc>
        <w:tc>
          <w:tcPr>
            <w:tcW w:w="514" w:type="pct"/>
            <w:tcBorders>
              <w:bottom w:val="nil"/>
            </w:tcBorders>
            <w:shd w:val="clear" w:color="auto" w:fill="EBEBEB"/>
          </w:tcPr>
          <w:p w14:paraId="68405951"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-1.932***</w:t>
            </w:r>
          </w:p>
        </w:tc>
        <w:tc>
          <w:tcPr>
            <w:tcW w:w="515" w:type="pct"/>
            <w:gridSpan w:val="2"/>
            <w:tcBorders>
              <w:bottom w:val="nil"/>
            </w:tcBorders>
            <w:shd w:val="clear" w:color="auto" w:fill="EBEBEB"/>
          </w:tcPr>
          <w:p w14:paraId="07AF5F15"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-1.272***</w:t>
            </w:r>
          </w:p>
        </w:tc>
        <w:tc>
          <w:tcPr>
            <w:tcW w:w="515" w:type="pct"/>
            <w:gridSpan w:val="2"/>
            <w:tcBorders>
              <w:bottom w:val="nil"/>
            </w:tcBorders>
            <w:shd w:val="clear" w:color="auto" w:fill="EBEBEB"/>
          </w:tcPr>
          <w:p w14:paraId="6DDF5642"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-1.73***</w:t>
            </w:r>
          </w:p>
        </w:tc>
        <w:tc>
          <w:tcPr>
            <w:tcW w:w="514" w:type="pct"/>
            <w:tcBorders>
              <w:bottom w:val="nil"/>
            </w:tcBorders>
            <w:shd w:val="clear" w:color="auto" w:fill="EBEBEB"/>
          </w:tcPr>
          <w:p w14:paraId="2BFD1392"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-1.266***</w:t>
            </w:r>
          </w:p>
        </w:tc>
        <w:tc>
          <w:tcPr>
            <w:tcW w:w="515" w:type="pct"/>
            <w:gridSpan w:val="2"/>
            <w:tcBorders>
              <w:bottom w:val="nil"/>
            </w:tcBorders>
            <w:shd w:val="clear" w:color="auto" w:fill="EBEBEB"/>
          </w:tcPr>
          <w:p w14:paraId="26E4899A"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-1.739***</w:t>
            </w:r>
          </w:p>
        </w:tc>
        <w:tc>
          <w:tcPr>
            <w:tcW w:w="515" w:type="pct"/>
            <w:gridSpan w:val="2"/>
            <w:tcBorders>
              <w:bottom w:val="nil"/>
            </w:tcBorders>
            <w:shd w:val="clear" w:color="auto" w:fill="EBEBEB"/>
          </w:tcPr>
          <w:p w14:paraId="287FB050"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-0.077</w:t>
            </w:r>
          </w:p>
        </w:tc>
        <w:tc>
          <w:tcPr>
            <w:tcW w:w="513" w:type="pct"/>
            <w:tcBorders>
              <w:bottom w:val="nil"/>
            </w:tcBorders>
            <w:shd w:val="clear" w:color="auto" w:fill="EBEBEB"/>
          </w:tcPr>
          <w:p w14:paraId="459BBEF6"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-1.09***</w:t>
            </w:r>
          </w:p>
        </w:tc>
      </w:tr>
      <w:tr w:rsidR="00D33976" w:rsidRPr="00D80530" w14:paraId="601CB959" w14:textId="77777777" w:rsidTr="00AB62C3">
        <w:tc>
          <w:tcPr>
            <w:tcW w:w="1399" w:type="pct"/>
            <w:tcBorders>
              <w:top w:val="nil"/>
              <w:bottom w:val="nil"/>
            </w:tcBorders>
            <w:shd w:val="clear" w:color="000000" w:fill="auto"/>
          </w:tcPr>
          <w:p w14:paraId="3F2D6AD6" w14:textId="3000365B" w:rsidR="00D33976" w:rsidRPr="00D80530" w:rsidRDefault="00D33976" w:rsidP="005A293F">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 xml:space="preserve">11 Kidney </w:t>
            </w:r>
          </w:p>
        </w:tc>
        <w:tc>
          <w:tcPr>
            <w:tcW w:w="514" w:type="pct"/>
            <w:tcBorders>
              <w:top w:val="nil"/>
              <w:bottom w:val="nil"/>
            </w:tcBorders>
            <w:shd w:val="clear" w:color="000000" w:fill="auto"/>
          </w:tcPr>
          <w:p w14:paraId="4C68609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-1.912***</w:t>
            </w:r>
          </w:p>
        </w:tc>
        <w:tc>
          <w:tcPr>
            <w:tcW w:w="515" w:type="pct"/>
            <w:gridSpan w:val="2"/>
            <w:tcBorders>
              <w:top w:val="nil"/>
              <w:bottom w:val="nil"/>
            </w:tcBorders>
            <w:shd w:val="clear" w:color="000000" w:fill="auto"/>
          </w:tcPr>
          <w:p w14:paraId="5B4F8C2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-1.544***</w:t>
            </w:r>
          </w:p>
        </w:tc>
        <w:tc>
          <w:tcPr>
            <w:tcW w:w="515" w:type="pct"/>
            <w:gridSpan w:val="2"/>
            <w:tcBorders>
              <w:top w:val="nil"/>
              <w:bottom w:val="nil"/>
            </w:tcBorders>
            <w:shd w:val="clear" w:color="000000" w:fill="auto"/>
          </w:tcPr>
          <w:p w14:paraId="15C18114"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-2.169***</w:t>
            </w:r>
          </w:p>
        </w:tc>
        <w:tc>
          <w:tcPr>
            <w:tcW w:w="514" w:type="pct"/>
            <w:tcBorders>
              <w:top w:val="nil"/>
              <w:bottom w:val="nil"/>
            </w:tcBorders>
            <w:shd w:val="clear" w:color="000000" w:fill="auto"/>
          </w:tcPr>
          <w:p w14:paraId="3B8190DE"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-1.201***</w:t>
            </w:r>
          </w:p>
        </w:tc>
        <w:tc>
          <w:tcPr>
            <w:tcW w:w="515" w:type="pct"/>
            <w:gridSpan w:val="2"/>
            <w:tcBorders>
              <w:top w:val="nil"/>
              <w:bottom w:val="nil"/>
            </w:tcBorders>
            <w:shd w:val="clear" w:color="000000" w:fill="auto"/>
          </w:tcPr>
          <w:p w14:paraId="749F5BC1"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-2.028***</w:t>
            </w:r>
          </w:p>
        </w:tc>
        <w:tc>
          <w:tcPr>
            <w:tcW w:w="515" w:type="pct"/>
            <w:gridSpan w:val="2"/>
            <w:tcBorders>
              <w:top w:val="nil"/>
              <w:bottom w:val="nil"/>
            </w:tcBorders>
            <w:shd w:val="clear" w:color="000000" w:fill="auto"/>
          </w:tcPr>
          <w:p w14:paraId="208FE36A"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-1.321***</w:t>
            </w:r>
          </w:p>
        </w:tc>
        <w:tc>
          <w:tcPr>
            <w:tcW w:w="513" w:type="pct"/>
            <w:tcBorders>
              <w:top w:val="nil"/>
              <w:bottom w:val="nil"/>
            </w:tcBorders>
            <w:shd w:val="clear" w:color="000000" w:fill="auto"/>
          </w:tcPr>
          <w:p w14:paraId="4B142D5A"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-1.239***</w:t>
            </w:r>
          </w:p>
        </w:tc>
      </w:tr>
      <w:tr w:rsidR="00D33976" w:rsidRPr="00D80530" w14:paraId="307604DA" w14:textId="77777777" w:rsidTr="00944E8B">
        <w:tc>
          <w:tcPr>
            <w:tcW w:w="1399" w:type="pct"/>
            <w:tcBorders>
              <w:bottom w:val="nil"/>
            </w:tcBorders>
            <w:shd w:val="clear" w:color="auto" w:fill="EBEBEB"/>
          </w:tcPr>
          <w:p w14:paraId="48FF7B80" w14:textId="604D5B11" w:rsidR="00D33976" w:rsidRPr="00D80530" w:rsidRDefault="00D33976" w:rsidP="005A293F">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 xml:space="preserve">12 Male reproductive </w:t>
            </w:r>
          </w:p>
        </w:tc>
        <w:tc>
          <w:tcPr>
            <w:tcW w:w="514" w:type="pct"/>
            <w:tcBorders>
              <w:bottom w:val="nil"/>
            </w:tcBorders>
            <w:shd w:val="clear" w:color="auto" w:fill="EBEBEB"/>
          </w:tcPr>
          <w:p w14:paraId="0C31B41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-2.327***</w:t>
            </w:r>
          </w:p>
        </w:tc>
        <w:tc>
          <w:tcPr>
            <w:tcW w:w="515" w:type="pct"/>
            <w:gridSpan w:val="2"/>
            <w:tcBorders>
              <w:bottom w:val="nil"/>
            </w:tcBorders>
            <w:shd w:val="clear" w:color="auto" w:fill="EBEBEB"/>
          </w:tcPr>
          <w:p w14:paraId="69D7BBD6"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-1.959***</w:t>
            </w:r>
          </w:p>
        </w:tc>
        <w:tc>
          <w:tcPr>
            <w:tcW w:w="515" w:type="pct"/>
            <w:gridSpan w:val="2"/>
            <w:tcBorders>
              <w:bottom w:val="nil"/>
            </w:tcBorders>
            <w:shd w:val="clear" w:color="auto" w:fill="EBEBEB"/>
          </w:tcPr>
          <w:p w14:paraId="144DF1E3"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-2.75***</w:t>
            </w:r>
          </w:p>
        </w:tc>
        <w:tc>
          <w:tcPr>
            <w:tcW w:w="514" w:type="pct"/>
            <w:tcBorders>
              <w:bottom w:val="nil"/>
            </w:tcBorders>
            <w:shd w:val="clear" w:color="auto" w:fill="EBEBEB"/>
          </w:tcPr>
          <w:p w14:paraId="0D454F95"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-1.449***</w:t>
            </w:r>
          </w:p>
        </w:tc>
        <w:tc>
          <w:tcPr>
            <w:tcW w:w="515" w:type="pct"/>
            <w:gridSpan w:val="2"/>
            <w:tcBorders>
              <w:bottom w:val="nil"/>
            </w:tcBorders>
            <w:shd w:val="clear" w:color="auto" w:fill="EBEBEB"/>
          </w:tcPr>
          <w:p w14:paraId="370AD0DC"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-2.096***</w:t>
            </w:r>
          </w:p>
        </w:tc>
        <w:tc>
          <w:tcPr>
            <w:tcW w:w="515" w:type="pct"/>
            <w:gridSpan w:val="2"/>
            <w:tcBorders>
              <w:bottom w:val="nil"/>
            </w:tcBorders>
            <w:shd w:val="clear" w:color="auto" w:fill="EBEBEB"/>
          </w:tcPr>
          <w:p w14:paraId="34FB5792"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-2.257***</w:t>
            </w:r>
          </w:p>
        </w:tc>
        <w:tc>
          <w:tcPr>
            <w:tcW w:w="513" w:type="pct"/>
            <w:tcBorders>
              <w:bottom w:val="nil"/>
            </w:tcBorders>
            <w:shd w:val="clear" w:color="auto" w:fill="EBEBEB"/>
          </w:tcPr>
          <w:p w14:paraId="295B591A"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-1.626***</w:t>
            </w:r>
          </w:p>
        </w:tc>
      </w:tr>
      <w:tr w:rsidR="00D33976" w:rsidRPr="00D80530" w14:paraId="734854AD" w14:textId="77777777" w:rsidTr="00AB62C3">
        <w:tc>
          <w:tcPr>
            <w:tcW w:w="1399" w:type="pct"/>
            <w:tcBorders>
              <w:top w:val="nil"/>
              <w:bottom w:val="nil"/>
            </w:tcBorders>
            <w:shd w:val="clear" w:color="000000" w:fill="auto"/>
          </w:tcPr>
          <w:p w14:paraId="3AA4E0D5" w14:textId="65944E52" w:rsidR="00D33976" w:rsidRPr="00D80530" w:rsidRDefault="00D33976" w:rsidP="005A293F">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 xml:space="preserve">13 Female reproductive </w:t>
            </w:r>
          </w:p>
        </w:tc>
        <w:tc>
          <w:tcPr>
            <w:tcW w:w="514" w:type="pct"/>
            <w:tcBorders>
              <w:top w:val="nil"/>
              <w:bottom w:val="nil"/>
            </w:tcBorders>
            <w:shd w:val="clear" w:color="000000" w:fill="auto"/>
          </w:tcPr>
          <w:p w14:paraId="625229B6"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-2.241***</w:t>
            </w:r>
          </w:p>
        </w:tc>
        <w:tc>
          <w:tcPr>
            <w:tcW w:w="515" w:type="pct"/>
            <w:gridSpan w:val="2"/>
            <w:tcBorders>
              <w:top w:val="nil"/>
              <w:bottom w:val="nil"/>
            </w:tcBorders>
            <w:shd w:val="clear" w:color="000000" w:fill="auto"/>
          </w:tcPr>
          <w:p w14:paraId="05171F43"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-1.59***</w:t>
            </w:r>
          </w:p>
        </w:tc>
        <w:tc>
          <w:tcPr>
            <w:tcW w:w="515" w:type="pct"/>
            <w:gridSpan w:val="2"/>
            <w:tcBorders>
              <w:top w:val="nil"/>
              <w:bottom w:val="nil"/>
            </w:tcBorders>
            <w:shd w:val="clear" w:color="000000" w:fill="auto"/>
          </w:tcPr>
          <w:p w14:paraId="6316EF48"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-2.001***</w:t>
            </w:r>
          </w:p>
        </w:tc>
        <w:tc>
          <w:tcPr>
            <w:tcW w:w="514" w:type="pct"/>
            <w:tcBorders>
              <w:top w:val="nil"/>
              <w:bottom w:val="nil"/>
            </w:tcBorders>
            <w:shd w:val="clear" w:color="000000" w:fill="auto"/>
          </w:tcPr>
          <w:p w14:paraId="01E681D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-1.413***</w:t>
            </w:r>
          </w:p>
        </w:tc>
        <w:tc>
          <w:tcPr>
            <w:tcW w:w="515" w:type="pct"/>
            <w:gridSpan w:val="2"/>
            <w:tcBorders>
              <w:top w:val="nil"/>
              <w:bottom w:val="nil"/>
            </w:tcBorders>
            <w:shd w:val="clear" w:color="000000" w:fill="auto"/>
          </w:tcPr>
          <w:p w14:paraId="0310B38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-2.229***</w:t>
            </w:r>
          </w:p>
        </w:tc>
        <w:tc>
          <w:tcPr>
            <w:tcW w:w="515" w:type="pct"/>
            <w:gridSpan w:val="2"/>
            <w:tcBorders>
              <w:top w:val="nil"/>
              <w:bottom w:val="nil"/>
            </w:tcBorders>
            <w:shd w:val="clear" w:color="000000" w:fill="auto"/>
          </w:tcPr>
          <w:p w14:paraId="32C5383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-2.045***</w:t>
            </w:r>
          </w:p>
        </w:tc>
        <w:tc>
          <w:tcPr>
            <w:tcW w:w="513" w:type="pct"/>
            <w:tcBorders>
              <w:top w:val="nil"/>
              <w:bottom w:val="nil"/>
            </w:tcBorders>
            <w:shd w:val="clear" w:color="000000" w:fill="auto"/>
          </w:tcPr>
          <w:p w14:paraId="530B4AFB"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-1.421***</w:t>
            </w:r>
          </w:p>
        </w:tc>
      </w:tr>
      <w:tr w:rsidR="00D33976" w:rsidRPr="00D80530" w14:paraId="3B430908" w14:textId="77777777" w:rsidTr="00944E8B">
        <w:tc>
          <w:tcPr>
            <w:tcW w:w="1399" w:type="pct"/>
            <w:tcBorders>
              <w:bottom w:val="nil"/>
            </w:tcBorders>
            <w:shd w:val="clear" w:color="auto" w:fill="EBEBEB"/>
          </w:tcPr>
          <w:p w14:paraId="38E5545A" w14:textId="7CA34A82" w:rsidR="00D33976" w:rsidRPr="00D80530" w:rsidRDefault="00D33976" w:rsidP="005A293F">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 xml:space="preserve">14 Pregnancy, and childbirth </w:t>
            </w:r>
          </w:p>
        </w:tc>
        <w:tc>
          <w:tcPr>
            <w:tcW w:w="514" w:type="pct"/>
            <w:tcBorders>
              <w:bottom w:val="nil"/>
            </w:tcBorders>
            <w:shd w:val="clear" w:color="auto" w:fill="EBEBEB"/>
          </w:tcPr>
          <w:p w14:paraId="50E1E2E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-0.397*</w:t>
            </w:r>
          </w:p>
        </w:tc>
        <w:tc>
          <w:tcPr>
            <w:tcW w:w="515" w:type="pct"/>
            <w:gridSpan w:val="2"/>
            <w:tcBorders>
              <w:bottom w:val="nil"/>
            </w:tcBorders>
            <w:shd w:val="clear" w:color="auto" w:fill="EBEBEB"/>
          </w:tcPr>
          <w:p w14:paraId="04CB7CF6"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-0.296*</w:t>
            </w:r>
          </w:p>
        </w:tc>
        <w:tc>
          <w:tcPr>
            <w:tcW w:w="515" w:type="pct"/>
            <w:gridSpan w:val="2"/>
            <w:tcBorders>
              <w:bottom w:val="nil"/>
            </w:tcBorders>
            <w:shd w:val="clear" w:color="auto" w:fill="EBEBEB"/>
          </w:tcPr>
          <w:p w14:paraId="0D859B33"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-1.603***</w:t>
            </w:r>
          </w:p>
        </w:tc>
        <w:tc>
          <w:tcPr>
            <w:tcW w:w="514" w:type="pct"/>
            <w:tcBorders>
              <w:bottom w:val="nil"/>
            </w:tcBorders>
            <w:shd w:val="clear" w:color="auto" w:fill="EBEBEB"/>
          </w:tcPr>
          <w:p w14:paraId="599F9EFC"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-1.261***</w:t>
            </w:r>
          </w:p>
        </w:tc>
        <w:tc>
          <w:tcPr>
            <w:tcW w:w="515" w:type="pct"/>
            <w:gridSpan w:val="2"/>
            <w:tcBorders>
              <w:bottom w:val="nil"/>
            </w:tcBorders>
            <w:shd w:val="clear" w:color="auto" w:fill="EBEBEB"/>
          </w:tcPr>
          <w:p w14:paraId="5BA310D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-2.075***</w:t>
            </w:r>
          </w:p>
        </w:tc>
        <w:tc>
          <w:tcPr>
            <w:tcW w:w="515" w:type="pct"/>
            <w:gridSpan w:val="2"/>
            <w:tcBorders>
              <w:bottom w:val="nil"/>
            </w:tcBorders>
            <w:shd w:val="clear" w:color="auto" w:fill="EBEBEB"/>
          </w:tcPr>
          <w:p w14:paraId="19CB275C"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-0.145</w:t>
            </w:r>
          </w:p>
        </w:tc>
        <w:tc>
          <w:tcPr>
            <w:tcW w:w="513" w:type="pct"/>
            <w:tcBorders>
              <w:bottom w:val="nil"/>
            </w:tcBorders>
            <w:shd w:val="clear" w:color="auto" w:fill="EBEBEB"/>
          </w:tcPr>
          <w:p w14:paraId="21B1C0E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-0.545***</w:t>
            </w:r>
          </w:p>
        </w:tc>
      </w:tr>
      <w:tr w:rsidR="00D33976" w:rsidRPr="00D80530" w14:paraId="13BAEA6E" w14:textId="77777777" w:rsidTr="00AB62C3">
        <w:tc>
          <w:tcPr>
            <w:tcW w:w="1399" w:type="pct"/>
            <w:tcBorders>
              <w:top w:val="nil"/>
              <w:bottom w:val="nil"/>
            </w:tcBorders>
            <w:shd w:val="clear" w:color="000000" w:fill="auto"/>
          </w:tcPr>
          <w:p w14:paraId="15BE55F2" w14:textId="0D7E42D5" w:rsidR="00D33976" w:rsidRPr="00D80530" w:rsidRDefault="00D33976" w:rsidP="005A293F">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 xml:space="preserve">15 Newborns </w:t>
            </w:r>
          </w:p>
        </w:tc>
        <w:tc>
          <w:tcPr>
            <w:tcW w:w="514" w:type="pct"/>
            <w:tcBorders>
              <w:top w:val="nil"/>
              <w:bottom w:val="nil"/>
            </w:tcBorders>
            <w:shd w:val="clear" w:color="000000" w:fill="auto"/>
          </w:tcPr>
          <w:p w14:paraId="41F3D6D1"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2.11***</w:t>
            </w:r>
          </w:p>
        </w:tc>
        <w:tc>
          <w:tcPr>
            <w:tcW w:w="515" w:type="pct"/>
            <w:gridSpan w:val="2"/>
            <w:tcBorders>
              <w:top w:val="nil"/>
              <w:bottom w:val="nil"/>
            </w:tcBorders>
            <w:shd w:val="clear" w:color="000000" w:fill="auto"/>
          </w:tcPr>
          <w:p w14:paraId="4284E8B7"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0.874***</w:t>
            </w:r>
          </w:p>
        </w:tc>
        <w:tc>
          <w:tcPr>
            <w:tcW w:w="515" w:type="pct"/>
            <w:gridSpan w:val="2"/>
            <w:tcBorders>
              <w:top w:val="nil"/>
              <w:bottom w:val="nil"/>
            </w:tcBorders>
            <w:shd w:val="clear" w:color="000000" w:fill="auto"/>
          </w:tcPr>
          <w:p w14:paraId="7FE097A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-0.593**</w:t>
            </w:r>
          </w:p>
        </w:tc>
        <w:tc>
          <w:tcPr>
            <w:tcW w:w="514" w:type="pct"/>
            <w:tcBorders>
              <w:top w:val="nil"/>
              <w:bottom w:val="nil"/>
            </w:tcBorders>
            <w:shd w:val="clear" w:color="000000" w:fill="auto"/>
          </w:tcPr>
          <w:p w14:paraId="6628014B"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-1.969*</w:t>
            </w:r>
          </w:p>
        </w:tc>
        <w:tc>
          <w:tcPr>
            <w:tcW w:w="515" w:type="pct"/>
            <w:gridSpan w:val="2"/>
            <w:tcBorders>
              <w:top w:val="nil"/>
              <w:bottom w:val="nil"/>
            </w:tcBorders>
            <w:shd w:val="clear" w:color="000000" w:fill="auto"/>
          </w:tcPr>
          <w:p w14:paraId="27C689AB"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-3.757***</w:t>
            </w:r>
          </w:p>
        </w:tc>
        <w:tc>
          <w:tcPr>
            <w:tcW w:w="515" w:type="pct"/>
            <w:gridSpan w:val="2"/>
            <w:tcBorders>
              <w:top w:val="nil"/>
              <w:bottom w:val="nil"/>
            </w:tcBorders>
            <w:shd w:val="clear" w:color="000000" w:fill="auto"/>
          </w:tcPr>
          <w:p w14:paraId="069C1C6C"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-0.07</w:t>
            </w:r>
          </w:p>
        </w:tc>
        <w:tc>
          <w:tcPr>
            <w:tcW w:w="513" w:type="pct"/>
            <w:tcBorders>
              <w:top w:val="nil"/>
              <w:bottom w:val="nil"/>
            </w:tcBorders>
            <w:shd w:val="clear" w:color="000000" w:fill="auto"/>
          </w:tcPr>
          <w:p w14:paraId="2DFB10A9"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-0.181</w:t>
            </w:r>
          </w:p>
        </w:tc>
      </w:tr>
      <w:tr w:rsidR="00D33976" w:rsidRPr="00D80530" w14:paraId="58DA1FA5" w14:textId="77777777" w:rsidTr="00944E8B">
        <w:tc>
          <w:tcPr>
            <w:tcW w:w="1399" w:type="pct"/>
            <w:tcBorders>
              <w:bottom w:val="nil"/>
            </w:tcBorders>
            <w:shd w:val="clear" w:color="auto" w:fill="EBEBEB"/>
          </w:tcPr>
          <w:p w14:paraId="04C038EF" w14:textId="60EF9039" w:rsidR="00D33976" w:rsidRPr="00D80530" w:rsidRDefault="00D33976" w:rsidP="005A293F">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16 Blood</w:t>
            </w:r>
          </w:p>
        </w:tc>
        <w:tc>
          <w:tcPr>
            <w:tcW w:w="514" w:type="pct"/>
            <w:tcBorders>
              <w:bottom w:val="nil"/>
            </w:tcBorders>
            <w:shd w:val="clear" w:color="auto" w:fill="EBEBEB"/>
          </w:tcPr>
          <w:p w14:paraId="5D54DA6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-2.039***</w:t>
            </w:r>
          </w:p>
        </w:tc>
        <w:tc>
          <w:tcPr>
            <w:tcW w:w="515" w:type="pct"/>
            <w:gridSpan w:val="2"/>
            <w:tcBorders>
              <w:bottom w:val="nil"/>
            </w:tcBorders>
            <w:shd w:val="clear" w:color="auto" w:fill="EBEBEB"/>
          </w:tcPr>
          <w:p w14:paraId="1B4C6AE1"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-1.831***</w:t>
            </w:r>
          </w:p>
        </w:tc>
        <w:tc>
          <w:tcPr>
            <w:tcW w:w="515" w:type="pct"/>
            <w:gridSpan w:val="2"/>
            <w:tcBorders>
              <w:bottom w:val="nil"/>
            </w:tcBorders>
            <w:shd w:val="clear" w:color="auto" w:fill="EBEBEB"/>
          </w:tcPr>
          <w:p w14:paraId="5DAD0710"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-2.063***</w:t>
            </w:r>
          </w:p>
        </w:tc>
        <w:tc>
          <w:tcPr>
            <w:tcW w:w="514" w:type="pct"/>
            <w:tcBorders>
              <w:bottom w:val="nil"/>
            </w:tcBorders>
            <w:shd w:val="clear" w:color="auto" w:fill="EBEBEB"/>
          </w:tcPr>
          <w:p w14:paraId="51F4DC09"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-1.788***</w:t>
            </w:r>
          </w:p>
        </w:tc>
        <w:tc>
          <w:tcPr>
            <w:tcW w:w="515" w:type="pct"/>
            <w:gridSpan w:val="2"/>
            <w:tcBorders>
              <w:bottom w:val="nil"/>
            </w:tcBorders>
            <w:shd w:val="clear" w:color="auto" w:fill="EBEBEB"/>
          </w:tcPr>
          <w:p w14:paraId="39AA1C56"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-2.312***</w:t>
            </w:r>
          </w:p>
        </w:tc>
        <w:tc>
          <w:tcPr>
            <w:tcW w:w="515" w:type="pct"/>
            <w:gridSpan w:val="2"/>
            <w:tcBorders>
              <w:bottom w:val="nil"/>
            </w:tcBorders>
            <w:shd w:val="clear" w:color="auto" w:fill="EBEBEB"/>
          </w:tcPr>
          <w:p w14:paraId="4E0DEBA1"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-1.663***</w:t>
            </w:r>
          </w:p>
        </w:tc>
        <w:tc>
          <w:tcPr>
            <w:tcW w:w="513" w:type="pct"/>
            <w:tcBorders>
              <w:bottom w:val="nil"/>
            </w:tcBorders>
            <w:shd w:val="clear" w:color="auto" w:fill="EBEBEB"/>
          </w:tcPr>
          <w:p w14:paraId="071557E8"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-1.236***</w:t>
            </w:r>
          </w:p>
        </w:tc>
      </w:tr>
      <w:tr w:rsidR="00D33976" w:rsidRPr="00D80530" w14:paraId="23867911" w14:textId="77777777" w:rsidTr="00AB62C3">
        <w:tc>
          <w:tcPr>
            <w:tcW w:w="1399" w:type="pct"/>
            <w:tcBorders>
              <w:top w:val="nil"/>
              <w:bottom w:val="nil"/>
            </w:tcBorders>
            <w:shd w:val="clear" w:color="000000" w:fill="auto"/>
          </w:tcPr>
          <w:p w14:paraId="42FCD7E8" w14:textId="4928B07F" w:rsidR="00D33976" w:rsidRPr="00D80530" w:rsidRDefault="00D33976" w:rsidP="005A293F">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 xml:space="preserve">17 Neoplastic </w:t>
            </w:r>
          </w:p>
        </w:tc>
        <w:tc>
          <w:tcPr>
            <w:tcW w:w="514" w:type="pct"/>
            <w:tcBorders>
              <w:top w:val="nil"/>
              <w:bottom w:val="nil"/>
            </w:tcBorders>
            <w:shd w:val="clear" w:color="000000" w:fill="auto"/>
          </w:tcPr>
          <w:p w14:paraId="78F3A663"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-0.845***</w:t>
            </w:r>
          </w:p>
        </w:tc>
        <w:tc>
          <w:tcPr>
            <w:tcW w:w="515" w:type="pct"/>
            <w:gridSpan w:val="2"/>
            <w:tcBorders>
              <w:top w:val="nil"/>
              <w:bottom w:val="nil"/>
            </w:tcBorders>
            <w:shd w:val="clear" w:color="000000" w:fill="auto"/>
          </w:tcPr>
          <w:p w14:paraId="36430C44"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-1.027***</w:t>
            </w:r>
          </w:p>
        </w:tc>
        <w:tc>
          <w:tcPr>
            <w:tcW w:w="515" w:type="pct"/>
            <w:gridSpan w:val="2"/>
            <w:tcBorders>
              <w:top w:val="nil"/>
              <w:bottom w:val="nil"/>
            </w:tcBorders>
            <w:shd w:val="clear" w:color="000000" w:fill="auto"/>
          </w:tcPr>
          <w:p w14:paraId="453A608C"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-1.67***</w:t>
            </w:r>
          </w:p>
        </w:tc>
        <w:tc>
          <w:tcPr>
            <w:tcW w:w="514" w:type="pct"/>
            <w:tcBorders>
              <w:top w:val="nil"/>
              <w:bottom w:val="nil"/>
            </w:tcBorders>
            <w:shd w:val="clear" w:color="000000" w:fill="auto"/>
          </w:tcPr>
          <w:p w14:paraId="6B96BE83"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-1.175***</w:t>
            </w:r>
          </w:p>
        </w:tc>
        <w:tc>
          <w:tcPr>
            <w:tcW w:w="515" w:type="pct"/>
            <w:gridSpan w:val="2"/>
            <w:tcBorders>
              <w:top w:val="nil"/>
              <w:bottom w:val="nil"/>
            </w:tcBorders>
            <w:shd w:val="clear" w:color="000000" w:fill="auto"/>
          </w:tcPr>
          <w:p w14:paraId="111797C3"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-1.48***</w:t>
            </w:r>
          </w:p>
        </w:tc>
        <w:tc>
          <w:tcPr>
            <w:tcW w:w="515" w:type="pct"/>
            <w:gridSpan w:val="2"/>
            <w:tcBorders>
              <w:top w:val="nil"/>
              <w:bottom w:val="nil"/>
            </w:tcBorders>
            <w:shd w:val="clear" w:color="000000" w:fill="auto"/>
          </w:tcPr>
          <w:p w14:paraId="5125C42B"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-0.865***</w:t>
            </w:r>
          </w:p>
        </w:tc>
        <w:tc>
          <w:tcPr>
            <w:tcW w:w="513" w:type="pct"/>
            <w:tcBorders>
              <w:top w:val="nil"/>
              <w:bottom w:val="nil"/>
            </w:tcBorders>
            <w:shd w:val="clear" w:color="000000" w:fill="auto"/>
          </w:tcPr>
          <w:p w14:paraId="30E38588"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-0.681***</w:t>
            </w:r>
          </w:p>
        </w:tc>
      </w:tr>
      <w:tr w:rsidR="00D33976" w:rsidRPr="00D80530" w14:paraId="46565DD5" w14:textId="77777777" w:rsidTr="00944E8B">
        <w:tc>
          <w:tcPr>
            <w:tcW w:w="1399" w:type="pct"/>
            <w:tcBorders>
              <w:bottom w:val="nil"/>
            </w:tcBorders>
            <w:shd w:val="clear" w:color="auto" w:fill="EBEBEB"/>
          </w:tcPr>
          <w:p w14:paraId="78DF3FAA" w14:textId="683C68B8" w:rsidR="00D33976" w:rsidRPr="00D80530" w:rsidRDefault="00D33976" w:rsidP="00AC391D">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18 Infectious diseases</w:t>
            </w:r>
          </w:p>
        </w:tc>
        <w:tc>
          <w:tcPr>
            <w:tcW w:w="514" w:type="pct"/>
            <w:tcBorders>
              <w:bottom w:val="nil"/>
            </w:tcBorders>
            <w:shd w:val="clear" w:color="auto" w:fill="EBEBEB"/>
          </w:tcPr>
          <w:p w14:paraId="279A4955"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-1.749***</w:t>
            </w:r>
          </w:p>
        </w:tc>
        <w:tc>
          <w:tcPr>
            <w:tcW w:w="515" w:type="pct"/>
            <w:gridSpan w:val="2"/>
            <w:tcBorders>
              <w:bottom w:val="nil"/>
            </w:tcBorders>
            <w:shd w:val="clear" w:color="auto" w:fill="EBEBEB"/>
          </w:tcPr>
          <w:p w14:paraId="64FBFCF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-0.736***</w:t>
            </w:r>
          </w:p>
        </w:tc>
        <w:tc>
          <w:tcPr>
            <w:tcW w:w="515" w:type="pct"/>
            <w:gridSpan w:val="2"/>
            <w:tcBorders>
              <w:bottom w:val="nil"/>
            </w:tcBorders>
            <w:shd w:val="clear" w:color="auto" w:fill="EBEBEB"/>
          </w:tcPr>
          <w:p w14:paraId="3225A88A"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-1.491***</w:t>
            </w:r>
          </w:p>
        </w:tc>
        <w:tc>
          <w:tcPr>
            <w:tcW w:w="514" w:type="pct"/>
            <w:tcBorders>
              <w:bottom w:val="nil"/>
            </w:tcBorders>
            <w:shd w:val="clear" w:color="auto" w:fill="EBEBEB"/>
          </w:tcPr>
          <w:p w14:paraId="69BF912B"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-0.502***</w:t>
            </w:r>
          </w:p>
        </w:tc>
        <w:tc>
          <w:tcPr>
            <w:tcW w:w="515" w:type="pct"/>
            <w:gridSpan w:val="2"/>
            <w:tcBorders>
              <w:bottom w:val="nil"/>
            </w:tcBorders>
            <w:shd w:val="clear" w:color="auto" w:fill="EBEBEB"/>
          </w:tcPr>
          <w:p w14:paraId="7531130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-1.209***</w:t>
            </w:r>
          </w:p>
        </w:tc>
        <w:tc>
          <w:tcPr>
            <w:tcW w:w="515" w:type="pct"/>
            <w:gridSpan w:val="2"/>
            <w:tcBorders>
              <w:bottom w:val="nil"/>
            </w:tcBorders>
            <w:shd w:val="clear" w:color="auto" w:fill="EBEBEB"/>
          </w:tcPr>
          <w:p w14:paraId="76B50AA0"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-0.799***</w:t>
            </w:r>
          </w:p>
        </w:tc>
        <w:tc>
          <w:tcPr>
            <w:tcW w:w="513" w:type="pct"/>
            <w:tcBorders>
              <w:bottom w:val="nil"/>
            </w:tcBorders>
            <w:shd w:val="clear" w:color="auto" w:fill="EBEBEB"/>
          </w:tcPr>
          <w:p w14:paraId="1A6596C9"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-0.326***</w:t>
            </w:r>
          </w:p>
        </w:tc>
      </w:tr>
      <w:tr w:rsidR="00D33976" w:rsidRPr="00D80530" w14:paraId="14133A60" w14:textId="77777777" w:rsidTr="00AB62C3">
        <w:tc>
          <w:tcPr>
            <w:tcW w:w="1399" w:type="pct"/>
            <w:tcBorders>
              <w:top w:val="nil"/>
              <w:bottom w:val="nil"/>
            </w:tcBorders>
            <w:shd w:val="clear" w:color="000000" w:fill="auto"/>
          </w:tcPr>
          <w:p w14:paraId="7A5A92C9" w14:textId="4535CE4D" w:rsidR="00D33976" w:rsidRPr="00D80530" w:rsidRDefault="00D33976" w:rsidP="00AC391D">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 xml:space="preserve">19 Mental and behavioural </w:t>
            </w:r>
          </w:p>
        </w:tc>
        <w:tc>
          <w:tcPr>
            <w:tcW w:w="514" w:type="pct"/>
            <w:tcBorders>
              <w:top w:val="nil"/>
              <w:bottom w:val="nil"/>
            </w:tcBorders>
            <w:shd w:val="clear" w:color="000000" w:fill="auto"/>
          </w:tcPr>
          <w:p w14:paraId="7FBE2420"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-7.849***</w:t>
            </w:r>
          </w:p>
        </w:tc>
        <w:tc>
          <w:tcPr>
            <w:tcW w:w="515" w:type="pct"/>
            <w:gridSpan w:val="2"/>
            <w:tcBorders>
              <w:top w:val="nil"/>
              <w:bottom w:val="nil"/>
            </w:tcBorders>
            <w:shd w:val="clear" w:color="000000" w:fill="auto"/>
          </w:tcPr>
          <w:p w14:paraId="3C7CCA40"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-5.89***</w:t>
            </w:r>
          </w:p>
        </w:tc>
        <w:tc>
          <w:tcPr>
            <w:tcW w:w="515" w:type="pct"/>
            <w:gridSpan w:val="2"/>
            <w:tcBorders>
              <w:top w:val="nil"/>
              <w:bottom w:val="nil"/>
            </w:tcBorders>
            <w:shd w:val="clear" w:color="000000" w:fill="auto"/>
          </w:tcPr>
          <w:p w14:paraId="1A67BF03"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-6.492***</w:t>
            </w:r>
          </w:p>
        </w:tc>
        <w:tc>
          <w:tcPr>
            <w:tcW w:w="514" w:type="pct"/>
            <w:tcBorders>
              <w:top w:val="nil"/>
              <w:bottom w:val="nil"/>
            </w:tcBorders>
            <w:shd w:val="clear" w:color="000000" w:fill="auto"/>
          </w:tcPr>
          <w:p w14:paraId="19178DB0"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-7.262***</w:t>
            </w:r>
          </w:p>
        </w:tc>
        <w:tc>
          <w:tcPr>
            <w:tcW w:w="515" w:type="pct"/>
            <w:gridSpan w:val="2"/>
            <w:tcBorders>
              <w:top w:val="nil"/>
              <w:bottom w:val="nil"/>
            </w:tcBorders>
            <w:shd w:val="clear" w:color="000000" w:fill="auto"/>
          </w:tcPr>
          <w:p w14:paraId="37A36A3C"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-8.493***</w:t>
            </w:r>
          </w:p>
        </w:tc>
        <w:tc>
          <w:tcPr>
            <w:tcW w:w="515" w:type="pct"/>
            <w:gridSpan w:val="2"/>
            <w:tcBorders>
              <w:top w:val="nil"/>
              <w:bottom w:val="nil"/>
            </w:tcBorders>
            <w:shd w:val="clear" w:color="000000" w:fill="auto"/>
          </w:tcPr>
          <w:p w14:paraId="132F5CB6"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-7.634***</w:t>
            </w:r>
          </w:p>
        </w:tc>
        <w:tc>
          <w:tcPr>
            <w:tcW w:w="513" w:type="pct"/>
            <w:tcBorders>
              <w:top w:val="nil"/>
              <w:bottom w:val="nil"/>
            </w:tcBorders>
            <w:shd w:val="clear" w:color="000000" w:fill="auto"/>
          </w:tcPr>
          <w:p w14:paraId="1B046E96"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-5.965***</w:t>
            </w:r>
          </w:p>
        </w:tc>
      </w:tr>
      <w:tr w:rsidR="00D33976" w:rsidRPr="00D80530" w14:paraId="7831F6EA" w14:textId="77777777" w:rsidTr="00944E8B">
        <w:tc>
          <w:tcPr>
            <w:tcW w:w="1399" w:type="pct"/>
            <w:tcBorders>
              <w:bottom w:val="nil"/>
            </w:tcBorders>
            <w:shd w:val="clear" w:color="auto" w:fill="EBEBEB"/>
          </w:tcPr>
          <w:p w14:paraId="40B32C19" w14:textId="4515BFD8" w:rsidR="00D33976" w:rsidRPr="00D80530" w:rsidRDefault="00D33976" w:rsidP="00AC391D">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21 Injury and poison</w:t>
            </w:r>
          </w:p>
        </w:tc>
        <w:tc>
          <w:tcPr>
            <w:tcW w:w="514" w:type="pct"/>
            <w:tcBorders>
              <w:bottom w:val="nil"/>
            </w:tcBorders>
            <w:shd w:val="clear" w:color="auto" w:fill="EBEBEB"/>
          </w:tcPr>
          <w:p w14:paraId="34AF8FE7"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-1.58***</w:t>
            </w:r>
          </w:p>
        </w:tc>
        <w:tc>
          <w:tcPr>
            <w:tcW w:w="515" w:type="pct"/>
            <w:gridSpan w:val="2"/>
            <w:tcBorders>
              <w:bottom w:val="nil"/>
            </w:tcBorders>
            <w:shd w:val="clear" w:color="auto" w:fill="EBEBEB"/>
          </w:tcPr>
          <w:p w14:paraId="4E305C12"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-1.084***</w:t>
            </w:r>
          </w:p>
        </w:tc>
        <w:tc>
          <w:tcPr>
            <w:tcW w:w="515" w:type="pct"/>
            <w:gridSpan w:val="2"/>
            <w:tcBorders>
              <w:bottom w:val="nil"/>
            </w:tcBorders>
            <w:shd w:val="clear" w:color="auto" w:fill="EBEBEB"/>
          </w:tcPr>
          <w:p w14:paraId="3048FF7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-1.037***</w:t>
            </w:r>
          </w:p>
        </w:tc>
        <w:tc>
          <w:tcPr>
            <w:tcW w:w="514" w:type="pct"/>
            <w:tcBorders>
              <w:bottom w:val="nil"/>
            </w:tcBorders>
            <w:shd w:val="clear" w:color="auto" w:fill="EBEBEB"/>
          </w:tcPr>
          <w:p w14:paraId="7B7E869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-1.195***</w:t>
            </w:r>
          </w:p>
        </w:tc>
        <w:tc>
          <w:tcPr>
            <w:tcW w:w="515" w:type="pct"/>
            <w:gridSpan w:val="2"/>
            <w:tcBorders>
              <w:bottom w:val="nil"/>
            </w:tcBorders>
            <w:shd w:val="clear" w:color="auto" w:fill="EBEBEB"/>
          </w:tcPr>
          <w:p w14:paraId="3FFF79A6"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-1.372***</w:t>
            </w:r>
          </w:p>
        </w:tc>
        <w:tc>
          <w:tcPr>
            <w:tcW w:w="515" w:type="pct"/>
            <w:gridSpan w:val="2"/>
            <w:tcBorders>
              <w:bottom w:val="nil"/>
            </w:tcBorders>
            <w:shd w:val="clear" w:color="auto" w:fill="EBEBEB"/>
          </w:tcPr>
          <w:p w14:paraId="46EAA0C2"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-1.399***</w:t>
            </w:r>
          </w:p>
        </w:tc>
        <w:tc>
          <w:tcPr>
            <w:tcW w:w="513" w:type="pct"/>
            <w:tcBorders>
              <w:bottom w:val="nil"/>
            </w:tcBorders>
            <w:shd w:val="clear" w:color="auto" w:fill="EBEBEB"/>
          </w:tcPr>
          <w:p w14:paraId="322608F2"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-1.389***</w:t>
            </w:r>
          </w:p>
        </w:tc>
      </w:tr>
      <w:tr w:rsidR="00D33976" w:rsidRPr="00D80530" w14:paraId="5AE8D502" w14:textId="77777777" w:rsidTr="00AB62C3">
        <w:tc>
          <w:tcPr>
            <w:tcW w:w="1399" w:type="pct"/>
            <w:tcBorders>
              <w:top w:val="nil"/>
              <w:bottom w:val="nil"/>
            </w:tcBorders>
            <w:shd w:val="clear" w:color="000000" w:fill="auto"/>
          </w:tcPr>
          <w:p w14:paraId="2FDA6865" w14:textId="7A29B64F" w:rsidR="00D33976" w:rsidRPr="00D80530" w:rsidRDefault="00D33976" w:rsidP="00AC391D">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22 Burns</w:t>
            </w:r>
          </w:p>
        </w:tc>
        <w:tc>
          <w:tcPr>
            <w:tcW w:w="514" w:type="pct"/>
            <w:tcBorders>
              <w:top w:val="nil"/>
              <w:bottom w:val="nil"/>
            </w:tcBorders>
            <w:shd w:val="clear" w:color="000000" w:fill="auto"/>
          </w:tcPr>
          <w:p w14:paraId="68E3A80E"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-0.73***</w:t>
            </w:r>
          </w:p>
        </w:tc>
        <w:tc>
          <w:tcPr>
            <w:tcW w:w="515" w:type="pct"/>
            <w:gridSpan w:val="2"/>
            <w:tcBorders>
              <w:top w:val="nil"/>
              <w:bottom w:val="nil"/>
            </w:tcBorders>
            <w:shd w:val="clear" w:color="000000" w:fill="auto"/>
          </w:tcPr>
          <w:p w14:paraId="00B3183A"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-0.63**</w:t>
            </w:r>
          </w:p>
        </w:tc>
        <w:tc>
          <w:tcPr>
            <w:tcW w:w="515" w:type="pct"/>
            <w:gridSpan w:val="2"/>
            <w:tcBorders>
              <w:top w:val="nil"/>
              <w:bottom w:val="nil"/>
            </w:tcBorders>
            <w:shd w:val="clear" w:color="000000" w:fill="auto"/>
          </w:tcPr>
          <w:p w14:paraId="71B51533"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-0.99***</w:t>
            </w:r>
          </w:p>
        </w:tc>
        <w:tc>
          <w:tcPr>
            <w:tcW w:w="514" w:type="pct"/>
            <w:tcBorders>
              <w:top w:val="nil"/>
              <w:bottom w:val="nil"/>
            </w:tcBorders>
            <w:shd w:val="clear" w:color="000000" w:fill="auto"/>
          </w:tcPr>
          <w:p w14:paraId="4AFB4535"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-0.6***</w:t>
            </w:r>
          </w:p>
        </w:tc>
        <w:tc>
          <w:tcPr>
            <w:tcW w:w="515" w:type="pct"/>
            <w:gridSpan w:val="2"/>
            <w:tcBorders>
              <w:top w:val="nil"/>
              <w:bottom w:val="nil"/>
            </w:tcBorders>
            <w:shd w:val="clear" w:color="000000" w:fill="auto"/>
          </w:tcPr>
          <w:p w14:paraId="249AD50D"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-0.517*</w:t>
            </w:r>
          </w:p>
        </w:tc>
        <w:tc>
          <w:tcPr>
            <w:tcW w:w="515" w:type="pct"/>
            <w:gridSpan w:val="2"/>
            <w:tcBorders>
              <w:top w:val="nil"/>
              <w:bottom w:val="nil"/>
            </w:tcBorders>
            <w:shd w:val="clear" w:color="000000" w:fill="auto"/>
          </w:tcPr>
          <w:p w14:paraId="62EC228C"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-0.805***</w:t>
            </w:r>
          </w:p>
        </w:tc>
        <w:tc>
          <w:tcPr>
            <w:tcW w:w="513" w:type="pct"/>
            <w:tcBorders>
              <w:top w:val="nil"/>
              <w:bottom w:val="nil"/>
            </w:tcBorders>
            <w:shd w:val="clear" w:color="000000" w:fill="auto"/>
          </w:tcPr>
          <w:p w14:paraId="17F631FF"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-1.189***</w:t>
            </w:r>
          </w:p>
        </w:tc>
      </w:tr>
      <w:tr w:rsidR="00D33976" w:rsidRPr="00D80530" w14:paraId="4E57F7BA" w14:textId="77777777" w:rsidTr="00944E8B">
        <w:tc>
          <w:tcPr>
            <w:tcW w:w="1399" w:type="pct"/>
            <w:tcBorders>
              <w:bottom w:val="single" w:sz="4" w:space="0" w:color="B3B3B3"/>
            </w:tcBorders>
            <w:shd w:val="clear" w:color="auto" w:fill="EBEBEB"/>
          </w:tcPr>
          <w:p w14:paraId="3140919B" w14:textId="59C14E5D" w:rsidR="00D33976" w:rsidRPr="00D80530" w:rsidRDefault="00D33976" w:rsidP="00AC391D">
            <w:pPr>
              <w:pStyle w:val="TableHeading"/>
              <w:spacing w:before="45" w:after="45"/>
              <w:ind w:left="170" w:right="108"/>
              <w:rPr>
                <w:rFonts w:cstheme="minorHAnsi"/>
                <w:b w:val="0"/>
                <w:bCs/>
                <w:color w:val="265A9A"/>
                <w:sz w:val="18"/>
                <w:szCs w:val="18"/>
              </w:rPr>
            </w:pPr>
            <w:r w:rsidRPr="00D80530">
              <w:rPr>
                <w:rFonts w:cstheme="minorHAnsi"/>
                <w:b w:val="0"/>
                <w:bCs/>
                <w:color w:val="265A9A"/>
                <w:sz w:val="18"/>
                <w:szCs w:val="18"/>
              </w:rPr>
              <w:t xml:space="preserve">23 Other factors </w:t>
            </w:r>
          </w:p>
        </w:tc>
        <w:tc>
          <w:tcPr>
            <w:tcW w:w="514" w:type="pct"/>
            <w:tcBorders>
              <w:bottom w:val="single" w:sz="4" w:space="0" w:color="B3B3B3"/>
            </w:tcBorders>
            <w:shd w:val="clear" w:color="auto" w:fill="EBEBEB"/>
          </w:tcPr>
          <w:p w14:paraId="151EC605"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-2.425***</w:t>
            </w:r>
          </w:p>
        </w:tc>
        <w:tc>
          <w:tcPr>
            <w:tcW w:w="515" w:type="pct"/>
            <w:gridSpan w:val="2"/>
            <w:tcBorders>
              <w:bottom w:val="single" w:sz="4" w:space="0" w:color="B3B3B3"/>
            </w:tcBorders>
            <w:shd w:val="clear" w:color="auto" w:fill="EBEBEB"/>
          </w:tcPr>
          <w:p w14:paraId="589F7812"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-2.166***</w:t>
            </w:r>
          </w:p>
        </w:tc>
        <w:tc>
          <w:tcPr>
            <w:tcW w:w="515" w:type="pct"/>
            <w:gridSpan w:val="2"/>
            <w:tcBorders>
              <w:bottom w:val="single" w:sz="4" w:space="0" w:color="B3B3B3"/>
            </w:tcBorders>
            <w:shd w:val="clear" w:color="auto" w:fill="EBEBEB"/>
          </w:tcPr>
          <w:p w14:paraId="78CE249A"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-2.211***</w:t>
            </w:r>
          </w:p>
        </w:tc>
        <w:tc>
          <w:tcPr>
            <w:tcW w:w="514" w:type="pct"/>
            <w:tcBorders>
              <w:bottom w:val="single" w:sz="4" w:space="0" w:color="B3B3B3"/>
            </w:tcBorders>
            <w:shd w:val="clear" w:color="auto" w:fill="EBEBEB"/>
          </w:tcPr>
          <w:p w14:paraId="175F0E86"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-1.701***</w:t>
            </w:r>
          </w:p>
        </w:tc>
        <w:tc>
          <w:tcPr>
            <w:tcW w:w="515" w:type="pct"/>
            <w:gridSpan w:val="2"/>
            <w:tcBorders>
              <w:bottom w:val="single" w:sz="4" w:space="0" w:color="B3B3B3"/>
            </w:tcBorders>
            <w:shd w:val="clear" w:color="auto" w:fill="EBEBEB"/>
          </w:tcPr>
          <w:p w14:paraId="34BCF7C8"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-2.884***</w:t>
            </w:r>
          </w:p>
        </w:tc>
        <w:tc>
          <w:tcPr>
            <w:tcW w:w="515" w:type="pct"/>
            <w:gridSpan w:val="2"/>
            <w:tcBorders>
              <w:bottom w:val="single" w:sz="4" w:space="0" w:color="B3B3B3"/>
            </w:tcBorders>
            <w:shd w:val="clear" w:color="auto" w:fill="EBEBEB"/>
          </w:tcPr>
          <w:p w14:paraId="507A89F9"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-1.919***</w:t>
            </w:r>
          </w:p>
        </w:tc>
        <w:tc>
          <w:tcPr>
            <w:tcW w:w="513" w:type="pct"/>
            <w:tcBorders>
              <w:bottom w:val="single" w:sz="4" w:space="0" w:color="B3B3B3"/>
            </w:tcBorders>
            <w:shd w:val="clear" w:color="auto" w:fill="EBEBEB"/>
          </w:tcPr>
          <w:p w14:paraId="080BF8E4" w14:textId="77777777" w:rsidR="00D33976" w:rsidRPr="00D80530" w:rsidRDefault="00D33976" w:rsidP="00AB62C3">
            <w:pPr>
              <w:pStyle w:val="TableBody"/>
              <w:spacing w:before="45" w:after="45"/>
              <w:ind w:right="108"/>
              <w:jc w:val="right"/>
              <w:rPr>
                <w:rFonts w:cstheme="minorHAnsi"/>
                <w:color w:val="000000"/>
                <w:szCs w:val="18"/>
              </w:rPr>
            </w:pPr>
            <w:r w:rsidRPr="00D80530">
              <w:rPr>
                <w:rFonts w:cstheme="minorHAnsi"/>
                <w:szCs w:val="18"/>
              </w:rPr>
              <w:t>-2.144***</w:t>
            </w:r>
          </w:p>
        </w:tc>
      </w:tr>
    </w:tbl>
    <w:p w14:paraId="1FC77D8E" w14:textId="426C84BB" w:rsidR="00D33976" w:rsidRPr="004104E7" w:rsidRDefault="00D33976" w:rsidP="00AB62C3">
      <w:pPr>
        <w:pStyle w:val="Note"/>
      </w:pPr>
      <w:r w:rsidRPr="004104E7">
        <w:t>Number of observations (n) = 7,621,032</w:t>
      </w:r>
      <w:r w:rsidR="004C7602">
        <w:t>.</w:t>
      </w:r>
      <w:r w:rsidRPr="004104E7">
        <w:t xml:space="preserve"> *** </w:t>
      </w:r>
      <w:r w:rsidRPr="004104E7">
        <w:rPr>
          <w:rFonts w:ascii="Cambria Math" w:hAnsi="Cambria Math" w:cs="Cambria Math"/>
        </w:rPr>
        <w:t>𝑝</w:t>
      </w:r>
      <w:r w:rsidRPr="004104E7">
        <w:t xml:space="preserve"> &lt; 0.001, ** </w:t>
      </w:r>
      <w:r w:rsidRPr="004104E7">
        <w:rPr>
          <w:rFonts w:ascii="Cambria Math" w:hAnsi="Cambria Math" w:cs="Cambria Math"/>
        </w:rPr>
        <w:t>𝑝</w:t>
      </w:r>
      <w:r w:rsidRPr="004104E7">
        <w:t xml:space="preserve"> &lt; 0.01, * </w:t>
      </w:r>
      <w:r w:rsidRPr="004104E7">
        <w:rPr>
          <w:rFonts w:ascii="Cambria Math" w:hAnsi="Cambria Math" w:cs="Cambria Math"/>
        </w:rPr>
        <w:t>𝑝</w:t>
      </w:r>
      <w:r w:rsidRPr="004104E7">
        <w:t xml:space="preserve"> &lt; 0.05</w:t>
      </w:r>
      <w:r w:rsidR="003344E1">
        <w:t>.</w:t>
      </w:r>
    </w:p>
    <w:p w14:paraId="4328620A" w14:textId="77777777" w:rsidR="00D33976" w:rsidRDefault="00D33976" w:rsidP="00AB62C3">
      <w:pPr>
        <w:pStyle w:val="Source"/>
      </w:pPr>
      <w:r w:rsidRPr="004104E7">
        <w:t xml:space="preserve">Source: </w:t>
      </w:r>
      <w:r>
        <w:t>PC</w:t>
      </w:r>
      <w:r w:rsidRPr="004104E7">
        <w:t xml:space="preserve"> estimates based on AIHW NHDH data.</w:t>
      </w:r>
    </w:p>
    <w:p w14:paraId="7F45EEF9" w14:textId="67838992" w:rsidR="00D33976" w:rsidRPr="004104E7" w:rsidRDefault="00D33976" w:rsidP="00AB62C3">
      <w:pPr>
        <w:pStyle w:val="Heading3"/>
      </w:pPr>
      <w:r>
        <w:t>Parallel</w:t>
      </w:r>
      <w:r w:rsidRPr="004104E7">
        <w:t xml:space="preserve"> trends assumption</w:t>
      </w:r>
    </w:p>
    <w:p w14:paraId="38EDC264" w14:textId="77777777" w:rsidR="00D33976" w:rsidRPr="004104E7" w:rsidRDefault="00D33976" w:rsidP="00AB62C3">
      <w:pPr>
        <w:pStyle w:val="BodyText"/>
      </w:pPr>
      <w:r w:rsidRPr="004104E7">
        <w:t xml:space="preserve">A crucial precondition for a </w:t>
      </w:r>
      <w:proofErr w:type="spellStart"/>
      <w:r w:rsidRPr="004104E7">
        <w:t>DiD</w:t>
      </w:r>
      <w:proofErr w:type="spellEnd"/>
      <w:r w:rsidRPr="004104E7">
        <w:t xml:space="preserve"> regression is that the parallel trends assumption is satisfied (box</w:t>
      </w:r>
      <w:r>
        <w:t> </w:t>
      </w:r>
      <w:r w:rsidRPr="004104E7">
        <w:t>B.1). In other words, if the control group is an adequate counterfactual for the treat</w:t>
      </w:r>
      <w:r>
        <w:t>ment</w:t>
      </w:r>
      <w:r w:rsidRPr="004104E7">
        <w:t xml:space="preserve"> group, then both groups should behave similarly prior to the funding adjustment. A visual examination of the rate of episodes with at least one HAC between the treat</w:t>
      </w:r>
      <w:r>
        <w:t>ment</w:t>
      </w:r>
      <w:r w:rsidRPr="004104E7">
        <w:t xml:space="preserve"> and control groups before the funding adjustment was implemented shows that while the magnitude of HAC rates differed, the two groups followed similar trends (figure</w:t>
      </w:r>
      <w:r>
        <w:t> </w:t>
      </w:r>
      <w:r w:rsidRPr="004104E7">
        <w:t xml:space="preserve">B.2). </w:t>
      </w:r>
    </w:p>
    <w:p w14:paraId="14473A97" w14:textId="77777777" w:rsidR="00D33976" w:rsidRPr="004104E7" w:rsidRDefault="00D33976" w:rsidP="00AB62C3">
      <w:pPr>
        <w:pStyle w:val="FigureTableHeading"/>
      </w:pPr>
      <w:r w:rsidRPr="004104E7">
        <w:lastRenderedPageBreak/>
        <w:t>Figure B.2</w:t>
      </w:r>
      <w:r w:rsidRPr="004104E7">
        <w:rPr>
          <w:noProof/>
        </w:rPr>
        <w:t xml:space="preserve"> </w:t>
      </w:r>
      <w:r w:rsidRPr="004104E7">
        <w:t>– Aggregate HAC rates followed similar trends before the funding adjustment</w:t>
      </w:r>
    </w:p>
    <w:p w14:paraId="0B9F788B" w14:textId="77777777" w:rsidR="00D33976" w:rsidRPr="004104E7" w:rsidRDefault="00D33976" w:rsidP="003E521F">
      <w:pPr>
        <w:pStyle w:val="BodyText"/>
      </w:pPr>
      <w:r w:rsidRPr="004104E7">
        <w:rPr>
          <w:noProof/>
        </w:rPr>
        <w:drawing>
          <wp:inline distT="0" distB="0" distL="0" distR="0" wp14:anchorId="5B52920D" wp14:editId="18FB4EB4">
            <wp:extent cx="6120130" cy="2875915"/>
            <wp:effectExtent l="0" t="0" r="0" b="0"/>
            <wp:docPr id="135180017" name="Picture 1" descr="Figure B.2 - This line chart shows hospital‑acquired complication rates for treatment and control groups before implementation, indicating broadly parallel trends prior to the funding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0017" name="Picture 1" descr="Figure B.2 - This line chart shows hospital‑acquired complication rates for treatment and control groups before implementation, indicating broadly parallel trends prior to the funding adjustme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p>
    <w:p w14:paraId="7FE01D1F" w14:textId="77777777" w:rsidR="00D33976" w:rsidRPr="00224A91" w:rsidRDefault="00D33976" w:rsidP="00224A91">
      <w:pPr>
        <w:pStyle w:val="Source"/>
      </w:pPr>
      <w:r w:rsidRPr="004104E7">
        <w:t>Source: AIHW NHDH data.</w:t>
      </w:r>
    </w:p>
    <w:p w14:paraId="53CA2A0B" w14:textId="77777777" w:rsidR="00D33976" w:rsidRPr="00927C7A" w:rsidRDefault="00D33976" w:rsidP="00AB62C3">
      <w:pPr>
        <w:pStyle w:val="BodyText"/>
        <w:rPr>
          <w:spacing w:val="-2"/>
        </w:rPr>
      </w:pPr>
      <w:r w:rsidRPr="00927C7A">
        <w:rPr>
          <w:spacing w:val="-2"/>
        </w:rPr>
        <w:t>However, this was not always the case when the data was disaggregated across the HAC categories in our study. Second, parallel trends were also examined by testing for the presence of placebo effects (table B.6). To test for placebo effects, we applied two modifications to equations (1) and (1.1). The study was restricted to the pre</w:t>
      </w:r>
      <w:r w:rsidRPr="00927C7A">
        <w:rPr>
          <w:spacing w:val="-2"/>
        </w:rPr>
        <w:noBreakHyphen/>
        <w:t xml:space="preserve">policy period (July 2016 to June 2018), and placebo interventions were tested at two different points in time. The placebo (1) intervention was set in January 2017 and the placebo (2) intervention in July 2017. </w:t>
      </w:r>
    </w:p>
    <w:p w14:paraId="0DBBC489" w14:textId="4C3500E5" w:rsidR="00D33976" w:rsidRPr="004104E7" w:rsidRDefault="00D33976" w:rsidP="00AB62C3">
      <w:pPr>
        <w:pStyle w:val="BodyText"/>
      </w:pPr>
      <w:r w:rsidRPr="004104E7">
        <w:t>Since the parallel trends assumption relies on the treat</w:t>
      </w:r>
      <w:r>
        <w:t>ment</w:t>
      </w:r>
      <w:r w:rsidRPr="004104E7">
        <w:t xml:space="preserve"> and control groups following similar patterns in the pre</w:t>
      </w:r>
      <w:r w:rsidRPr="004104E7">
        <w:noBreakHyphen/>
        <w:t>policy period, there should be no statistically significant impact associated with the placebo interventions. When p</w:t>
      </w:r>
      <w:r w:rsidRPr="004104E7">
        <w:noBreakHyphen/>
        <w:t>values are greater than 0.05, the coefficients for placebo (1) and placebo (2) are statistically insignificant. The primary model (equation 1) passed the placebo effects test, however equation</w:t>
      </w:r>
      <w:r w:rsidR="00927C7A">
        <w:t> </w:t>
      </w:r>
      <w:r w:rsidRPr="004104E7">
        <w:t xml:space="preserve">(1.1) failed when the dependent variable was episodes with the HACs surgical complications, medication complications or delirium. </w:t>
      </w:r>
    </w:p>
    <w:p w14:paraId="776F7BC1" w14:textId="77777777" w:rsidR="00D33976" w:rsidRPr="004104E7" w:rsidRDefault="00D33976" w:rsidP="00AB62C3">
      <w:pPr>
        <w:pStyle w:val="BodyText"/>
      </w:pPr>
      <w:r w:rsidRPr="004104E7">
        <w:t xml:space="preserve">Finally, the placebo effects test returned insignificant results for all supplementary analyses reported in this appendix suggesting that results in the main </w:t>
      </w:r>
      <w:proofErr w:type="spellStart"/>
      <w:r w:rsidRPr="004104E7">
        <w:t>DiD</w:t>
      </w:r>
      <w:proofErr w:type="spellEnd"/>
      <w:r w:rsidRPr="004104E7">
        <w:t xml:space="preserve"> specification remain robust.</w:t>
      </w:r>
    </w:p>
    <w:p w14:paraId="0AEB9FF7" w14:textId="77777777" w:rsidR="00D33976" w:rsidRPr="004104E7" w:rsidRDefault="00D33976" w:rsidP="00AB62C3">
      <w:pPr>
        <w:pStyle w:val="Heading3"/>
      </w:pPr>
      <w:r w:rsidRPr="004104E7">
        <w:t>Policy-base sensitivity analysis</w:t>
      </w:r>
    </w:p>
    <w:p w14:paraId="0C647C28" w14:textId="77777777" w:rsidR="00D33976" w:rsidRPr="004104E7" w:rsidRDefault="00D33976" w:rsidP="00AB62C3">
      <w:pPr>
        <w:pStyle w:val="BodyText"/>
      </w:pPr>
      <w:r w:rsidRPr="004104E7">
        <w:t>We conducted two further sensitivity tests, removing ICU and testing for pre-emptive effects.</w:t>
      </w:r>
    </w:p>
    <w:p w14:paraId="05FBD191" w14:textId="3B2FE85A" w:rsidR="00D33976" w:rsidRPr="004104E7" w:rsidRDefault="00D33976" w:rsidP="00AB62C3">
      <w:pPr>
        <w:pStyle w:val="BodyText"/>
      </w:pPr>
      <w:r w:rsidRPr="004104E7">
        <w:t>First</w:t>
      </w:r>
      <w:r>
        <w:t>,</w:t>
      </w:r>
      <w:r w:rsidRPr="004104E7">
        <w:t xml:space="preserve"> we tested the model’s sensitivity to ICU admissions</w:t>
      </w:r>
      <w:r>
        <w:t xml:space="preserve">. </w:t>
      </w:r>
      <w:r w:rsidRPr="004104E7">
        <w:t xml:space="preserve">A hospital patient entering the ICU during an episode of care increases the risk of that patient experiencing a HAC. For this reason, it is one of the patient risk factors included in equation (1). However, it may also be the case that experiencing one or more HACs increases the risk of a patient entering ICU. This is known as reverse causality and its presence can obfuscate the direction of causality, invalidating our results. To test that the inclusion of episodes of care where patients entered ICU was not </w:t>
      </w:r>
      <w:r w:rsidR="00B16E1F">
        <w:t>causing</w:t>
      </w:r>
      <w:r w:rsidRPr="004104E7">
        <w:t xml:space="preserve"> the statistically significant result in equation (1), a modified regression was run excluding any episodes of care where a patient spent time in ICU. Table</w:t>
      </w:r>
      <w:r>
        <w:t> </w:t>
      </w:r>
      <w:r w:rsidRPr="004104E7">
        <w:t xml:space="preserve">B.6 shows the coefficient of interest remains statistically significant at the 0.1% level and the magnitude of the effect remains similar to the primary model. </w:t>
      </w:r>
    </w:p>
    <w:p w14:paraId="28A362A5" w14:textId="77777777" w:rsidR="00D33976" w:rsidRPr="004104E7" w:rsidRDefault="00D33976" w:rsidP="00AB62C3">
      <w:pPr>
        <w:pStyle w:val="BodyText"/>
      </w:pPr>
      <w:r w:rsidRPr="004104E7">
        <w:lastRenderedPageBreak/>
        <w:t>In figure</w:t>
      </w:r>
      <w:r>
        <w:t> </w:t>
      </w:r>
      <w:r w:rsidRPr="004104E7">
        <w:t>B.2, a decline in HAC rates begins before the implementation date of the funding adjustment. This decline is larger for the treat</w:t>
      </w:r>
      <w:r>
        <w:t>ment</w:t>
      </w:r>
      <w:r w:rsidRPr="004104E7">
        <w:t xml:space="preserve"> group than the control group. A decline in HAC rates during the second half of 2017</w:t>
      </w:r>
      <w:r w:rsidRPr="004104E7">
        <w:noBreakHyphen/>
        <w:t>18 suggests the presence of pre</w:t>
      </w:r>
      <w:r w:rsidRPr="004104E7">
        <w:noBreakHyphen/>
        <w:t xml:space="preserve">emptive effects. </w:t>
      </w:r>
    </w:p>
    <w:p w14:paraId="1F0C2BE9" w14:textId="0795A126" w:rsidR="00D33976" w:rsidRPr="004104E7" w:rsidRDefault="00D33976" w:rsidP="00AB62C3">
      <w:pPr>
        <w:pStyle w:val="BodyText"/>
      </w:pPr>
      <w:r w:rsidRPr="004104E7">
        <w:t>The funding adjustment was announced in April 2016. This announcement included that implementation would begin in 2018</w:t>
      </w:r>
      <w:r w:rsidRPr="004104E7">
        <w:noBreakHyphen/>
        <w:t xml:space="preserve">19 and that the effect of the adjustment would be shadowed for the preceding year </w:t>
      </w:r>
      <w:r w:rsidRPr="004104E7">
        <w:rPr>
          <w:rFonts w:ascii="Arial" w:hAnsi="Arial" w:cs="Arial"/>
        </w:rPr>
        <w:t>(DHAC 2016, pp. 17–18)</w:t>
      </w:r>
      <w:r w:rsidRPr="004104E7">
        <w:t xml:space="preserve">. In September </w:t>
      </w:r>
      <w:r>
        <w:t>2016</w:t>
      </w:r>
      <w:r w:rsidRPr="004104E7">
        <w:t>, states and territories were invited to consult on the proposed design of the adjustment</w:t>
      </w:r>
      <w:r>
        <w:t>. T</w:t>
      </w:r>
      <w:r w:rsidRPr="004104E7">
        <w:t xml:space="preserve">he final design was published in July 2017 </w:t>
      </w:r>
      <w:r w:rsidRPr="004104E7">
        <w:rPr>
          <w:rFonts w:ascii="Arial" w:hAnsi="Arial" w:cs="Arial"/>
        </w:rPr>
        <w:t>(IHPA 2016, 2017b)</w:t>
      </w:r>
      <w:r w:rsidRPr="004104E7">
        <w:t xml:space="preserve">. Stakeholders reported the policy announcement and subsequent development made HACs more salient to state and territory health departments well before the funding adjustment was implemented. Efforts </w:t>
      </w:r>
      <w:r>
        <w:t>to</w:t>
      </w:r>
      <w:r w:rsidRPr="004104E7">
        <w:t xml:space="preserve"> manag</w:t>
      </w:r>
      <w:r>
        <w:t>e</w:t>
      </w:r>
      <w:r w:rsidRPr="004104E7">
        <w:t xml:space="preserve"> and mitigat</w:t>
      </w:r>
      <w:r>
        <w:t>e</w:t>
      </w:r>
      <w:r w:rsidRPr="004104E7">
        <w:t xml:space="preserve"> HACs likely led to this decline prior to July 2018. </w:t>
      </w:r>
    </w:p>
    <w:p w14:paraId="30FD4690" w14:textId="491C49A6" w:rsidR="00D33976" w:rsidRPr="004104E7" w:rsidRDefault="00D33976" w:rsidP="00AB62C3">
      <w:pPr>
        <w:pStyle w:val="BodyText"/>
      </w:pPr>
      <w:r w:rsidRPr="004104E7">
        <w:t>To test this hypothesis, we ran three additional regressions with modified intervention dates. Pre</w:t>
      </w:r>
      <w:r w:rsidRPr="004104E7">
        <w:noBreakHyphen/>
        <w:t>emptive test (1) set the intervention date in January 2018, pre</w:t>
      </w:r>
      <w:r w:rsidRPr="004104E7">
        <w:noBreakHyphen/>
        <w:t>emptive test (2) set it in March 2018, and pre</w:t>
      </w:r>
      <w:r w:rsidRPr="004104E7">
        <w:noBreakHyphen/>
        <w:t>emptive test (3) in May 2018. If the decline in HAC rates is due to changes made by jurisdictions in the treat</w:t>
      </w:r>
      <w:r>
        <w:t>ment</w:t>
      </w:r>
      <w:r w:rsidRPr="004104E7">
        <w:t xml:space="preserve"> group in anticipation of the funding adjustment, there should be a statistically significant difference compared to the control group. Table</w:t>
      </w:r>
      <w:r>
        <w:t> </w:t>
      </w:r>
      <w:r w:rsidRPr="004104E7">
        <w:t>B.6 shows for all three pre</w:t>
      </w:r>
      <w:r w:rsidRPr="004104E7">
        <w:noBreakHyphen/>
        <w:t xml:space="preserve">emptive tests the effect of the funding adjustment remains statistically significant at the 0.1% level. Further, the size of the effect increased as the test intervention date approached the true intervention date, implying that the anticipatory changes in expectation of the funding adjustment increased over time. </w:t>
      </w:r>
    </w:p>
    <w:p w14:paraId="7F88CFA3" w14:textId="77777777" w:rsidR="00D33976" w:rsidRPr="004104E7" w:rsidRDefault="00D33976" w:rsidP="00AB62C3">
      <w:pPr>
        <w:pStyle w:val="FigureTableHeading"/>
      </w:pPr>
      <w:r w:rsidRPr="004104E7">
        <w:t>Table B.6</w:t>
      </w:r>
      <w:r w:rsidRPr="004104E7">
        <w:rPr>
          <w:noProof/>
        </w:rPr>
        <w:t xml:space="preserve"> – Sensitivity analyses bolstered the robustness of our results</w:t>
      </w:r>
    </w:p>
    <w:p w14:paraId="3E928B70" w14:textId="6FEC6BE7" w:rsidR="00D33976" w:rsidRPr="004104E7" w:rsidRDefault="00D33976" w:rsidP="00AB62C3">
      <w:pPr>
        <w:pStyle w:val="FigureTableSubheading"/>
      </w:pPr>
      <w:r w:rsidRPr="004104E7">
        <w:t>Results for modified equation 1 with sensitivity analyses</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726"/>
        <w:gridCol w:w="1230"/>
        <w:gridCol w:w="1230"/>
        <w:gridCol w:w="1230"/>
        <w:gridCol w:w="1222"/>
      </w:tblGrid>
      <w:tr w:rsidR="00D33976" w:rsidRPr="00927C7A" w14:paraId="2FC6BA5B" w14:textId="77777777" w:rsidTr="005A65CD">
        <w:trPr>
          <w:tblHeader/>
        </w:trPr>
        <w:tc>
          <w:tcPr>
            <w:tcW w:w="2452" w:type="pct"/>
            <w:tcBorders>
              <w:bottom w:val="single" w:sz="4" w:space="0" w:color="B3B3B3"/>
            </w:tcBorders>
            <w:vAlign w:val="bottom"/>
          </w:tcPr>
          <w:p w14:paraId="16FC1ED5" w14:textId="77777777" w:rsidR="00D33976" w:rsidRPr="00927C7A" w:rsidRDefault="00D33976" w:rsidP="00AB62C3">
            <w:pPr>
              <w:spacing w:before="45" w:after="45"/>
              <w:ind w:left="57" w:right="108"/>
              <w:rPr>
                <w:rFonts w:cstheme="minorHAnsi"/>
                <w:b/>
                <w:color w:val="265A9A"/>
                <w:sz w:val="18"/>
                <w:szCs w:val="18"/>
              </w:rPr>
            </w:pPr>
          </w:p>
        </w:tc>
        <w:tc>
          <w:tcPr>
            <w:tcW w:w="638" w:type="pct"/>
            <w:tcBorders>
              <w:bottom w:val="single" w:sz="4" w:space="0" w:color="B3B3B3"/>
            </w:tcBorders>
            <w:vAlign w:val="bottom"/>
          </w:tcPr>
          <w:p w14:paraId="61378E5E" w14:textId="77777777" w:rsidR="00D33976" w:rsidRPr="00927C7A" w:rsidRDefault="00D33976" w:rsidP="00740B6C">
            <w:pPr>
              <w:pStyle w:val="TableHeading"/>
              <w:spacing w:before="45" w:after="45" w:line="240" w:lineRule="atLeast"/>
              <w:ind w:right="108"/>
              <w:contextualSpacing w:val="0"/>
              <w:jc w:val="right"/>
              <w:rPr>
                <w:rFonts w:cstheme="minorHAnsi"/>
                <w:color w:val="265A9A"/>
                <w:sz w:val="18"/>
                <w:szCs w:val="18"/>
              </w:rPr>
            </w:pPr>
            <w:r w:rsidRPr="00927C7A">
              <w:rPr>
                <w:rFonts w:cstheme="minorHAnsi"/>
                <w:color w:val="265A9A"/>
                <w:sz w:val="18"/>
                <w:szCs w:val="18"/>
              </w:rPr>
              <w:t xml:space="preserve">Excluding ICU </w:t>
            </w:r>
          </w:p>
        </w:tc>
        <w:tc>
          <w:tcPr>
            <w:tcW w:w="638" w:type="pct"/>
            <w:tcBorders>
              <w:bottom w:val="single" w:sz="4" w:space="0" w:color="B3B3B3"/>
            </w:tcBorders>
            <w:vAlign w:val="bottom"/>
          </w:tcPr>
          <w:p w14:paraId="2B5DA6CF" w14:textId="77777777" w:rsidR="00D33976" w:rsidRPr="00927C7A" w:rsidRDefault="00D33976" w:rsidP="00740B6C">
            <w:pPr>
              <w:pStyle w:val="TableHeading"/>
              <w:spacing w:before="45" w:after="45" w:line="240" w:lineRule="atLeast"/>
              <w:ind w:right="108"/>
              <w:contextualSpacing w:val="0"/>
              <w:jc w:val="right"/>
              <w:rPr>
                <w:rFonts w:cstheme="minorHAnsi"/>
                <w:color w:val="265A9A"/>
                <w:sz w:val="18"/>
                <w:szCs w:val="18"/>
              </w:rPr>
            </w:pPr>
            <w:r w:rsidRPr="00927C7A">
              <w:rPr>
                <w:rFonts w:cstheme="minorHAnsi"/>
                <w:color w:val="265A9A"/>
                <w:sz w:val="18"/>
                <w:szCs w:val="18"/>
              </w:rPr>
              <w:t>Pre</w:t>
            </w:r>
            <w:r w:rsidRPr="00927C7A">
              <w:rPr>
                <w:rFonts w:cstheme="minorHAnsi"/>
                <w:color w:val="265A9A"/>
                <w:sz w:val="18"/>
                <w:szCs w:val="18"/>
              </w:rPr>
              <w:noBreakHyphen/>
              <w:t>emptive test (1)</w:t>
            </w:r>
          </w:p>
        </w:tc>
        <w:tc>
          <w:tcPr>
            <w:tcW w:w="638" w:type="pct"/>
            <w:tcBorders>
              <w:bottom w:val="single" w:sz="4" w:space="0" w:color="B3B3B3"/>
            </w:tcBorders>
            <w:vAlign w:val="bottom"/>
          </w:tcPr>
          <w:p w14:paraId="42D513F0" w14:textId="77777777" w:rsidR="00D33976" w:rsidRPr="00927C7A" w:rsidRDefault="00D33976" w:rsidP="00740B6C">
            <w:pPr>
              <w:pStyle w:val="TableHeading"/>
              <w:spacing w:before="45" w:after="45" w:line="240" w:lineRule="atLeast"/>
              <w:ind w:right="108"/>
              <w:contextualSpacing w:val="0"/>
              <w:jc w:val="right"/>
              <w:rPr>
                <w:rFonts w:cstheme="minorHAnsi"/>
                <w:color w:val="265A9A"/>
                <w:sz w:val="18"/>
                <w:szCs w:val="18"/>
              </w:rPr>
            </w:pPr>
            <w:r w:rsidRPr="00927C7A">
              <w:rPr>
                <w:rFonts w:cstheme="minorHAnsi"/>
                <w:color w:val="265A9A"/>
                <w:sz w:val="18"/>
                <w:szCs w:val="18"/>
              </w:rPr>
              <w:t>Pre</w:t>
            </w:r>
            <w:r w:rsidRPr="00927C7A">
              <w:rPr>
                <w:rFonts w:cstheme="minorHAnsi"/>
                <w:color w:val="265A9A"/>
                <w:sz w:val="18"/>
                <w:szCs w:val="18"/>
              </w:rPr>
              <w:noBreakHyphen/>
              <w:t>emptive test (2)</w:t>
            </w:r>
          </w:p>
        </w:tc>
        <w:tc>
          <w:tcPr>
            <w:tcW w:w="634" w:type="pct"/>
            <w:tcBorders>
              <w:bottom w:val="single" w:sz="4" w:space="0" w:color="B3B3B3"/>
            </w:tcBorders>
            <w:vAlign w:val="bottom"/>
          </w:tcPr>
          <w:p w14:paraId="036AB5A2" w14:textId="77777777" w:rsidR="00D33976" w:rsidRPr="00927C7A" w:rsidRDefault="00D33976" w:rsidP="00740B6C">
            <w:pPr>
              <w:pStyle w:val="TableHeading"/>
              <w:spacing w:before="45" w:after="45" w:line="240" w:lineRule="atLeast"/>
              <w:ind w:right="108"/>
              <w:contextualSpacing w:val="0"/>
              <w:jc w:val="right"/>
              <w:rPr>
                <w:rFonts w:cstheme="minorHAnsi"/>
                <w:color w:val="265A9A"/>
                <w:sz w:val="18"/>
                <w:szCs w:val="18"/>
              </w:rPr>
            </w:pPr>
            <w:r w:rsidRPr="00927C7A">
              <w:rPr>
                <w:rFonts w:cstheme="minorHAnsi"/>
                <w:color w:val="265A9A"/>
                <w:sz w:val="18"/>
                <w:szCs w:val="18"/>
              </w:rPr>
              <w:t>Pre</w:t>
            </w:r>
            <w:r w:rsidRPr="00927C7A">
              <w:rPr>
                <w:rFonts w:cstheme="minorHAnsi"/>
                <w:color w:val="265A9A"/>
                <w:sz w:val="18"/>
                <w:szCs w:val="18"/>
              </w:rPr>
              <w:noBreakHyphen/>
              <w:t>emptive test (3)</w:t>
            </w:r>
          </w:p>
        </w:tc>
      </w:tr>
      <w:tr w:rsidR="00D33976" w:rsidRPr="00927C7A" w14:paraId="5105D171" w14:textId="77777777" w:rsidTr="005A65CD">
        <w:tc>
          <w:tcPr>
            <w:tcW w:w="2452" w:type="pct"/>
            <w:tcBorders>
              <w:top w:val="single" w:sz="4" w:space="0" w:color="B3B3B3"/>
              <w:bottom w:val="nil"/>
            </w:tcBorders>
            <w:shd w:val="clear" w:color="auto" w:fill="EBEBEB"/>
          </w:tcPr>
          <w:p w14:paraId="75E7F8DE" w14:textId="77777777" w:rsidR="00D33976" w:rsidRPr="00927C7A" w:rsidRDefault="00D33976" w:rsidP="00AB62C3">
            <w:pPr>
              <w:pStyle w:val="TableHeading"/>
              <w:spacing w:before="45" w:after="45"/>
              <w:ind w:right="108"/>
              <w:rPr>
                <w:rFonts w:cstheme="minorHAnsi"/>
                <w:color w:val="265A9A"/>
                <w:sz w:val="18"/>
                <w:szCs w:val="18"/>
              </w:rPr>
            </w:pPr>
            <w:r w:rsidRPr="00927C7A">
              <w:rPr>
                <w:rFonts w:cstheme="minorHAnsi"/>
                <w:color w:val="265A9A"/>
                <w:sz w:val="18"/>
                <w:szCs w:val="18"/>
              </w:rPr>
              <w:t>Effect of the funding adjustment</w:t>
            </w:r>
          </w:p>
        </w:tc>
        <w:tc>
          <w:tcPr>
            <w:tcW w:w="638" w:type="pct"/>
            <w:tcBorders>
              <w:top w:val="single" w:sz="4" w:space="0" w:color="B3B3B3"/>
              <w:bottom w:val="nil"/>
            </w:tcBorders>
            <w:shd w:val="clear" w:color="auto" w:fill="EBEBEB"/>
            <w:vAlign w:val="bottom"/>
          </w:tcPr>
          <w:p w14:paraId="5F43453F"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-0.301***</w:t>
            </w:r>
          </w:p>
        </w:tc>
        <w:tc>
          <w:tcPr>
            <w:tcW w:w="638" w:type="pct"/>
            <w:tcBorders>
              <w:top w:val="single" w:sz="4" w:space="0" w:color="B3B3B3"/>
              <w:bottom w:val="nil"/>
            </w:tcBorders>
            <w:shd w:val="clear" w:color="auto" w:fill="EBEBEB"/>
          </w:tcPr>
          <w:p w14:paraId="32C4719B"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-0.230***</w:t>
            </w:r>
          </w:p>
        </w:tc>
        <w:tc>
          <w:tcPr>
            <w:tcW w:w="638" w:type="pct"/>
            <w:tcBorders>
              <w:top w:val="single" w:sz="4" w:space="0" w:color="B3B3B3"/>
              <w:bottom w:val="nil"/>
            </w:tcBorders>
            <w:shd w:val="clear" w:color="auto" w:fill="EBEBEB"/>
          </w:tcPr>
          <w:p w14:paraId="35471A7B"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-0.251***</w:t>
            </w:r>
          </w:p>
        </w:tc>
        <w:tc>
          <w:tcPr>
            <w:tcW w:w="634" w:type="pct"/>
            <w:tcBorders>
              <w:top w:val="single" w:sz="4" w:space="0" w:color="B3B3B3"/>
              <w:bottom w:val="nil"/>
            </w:tcBorders>
            <w:shd w:val="clear" w:color="auto" w:fill="EBEBEB"/>
          </w:tcPr>
          <w:p w14:paraId="03CFABFE"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-0.279***</w:t>
            </w:r>
          </w:p>
        </w:tc>
      </w:tr>
      <w:tr w:rsidR="00D33976" w:rsidRPr="00927C7A" w14:paraId="1BA8C952" w14:textId="77777777" w:rsidTr="005A65CD">
        <w:tc>
          <w:tcPr>
            <w:tcW w:w="2452" w:type="pct"/>
            <w:tcBorders>
              <w:top w:val="nil"/>
              <w:bottom w:val="nil"/>
            </w:tcBorders>
          </w:tcPr>
          <w:p w14:paraId="6740AF4B" w14:textId="77777777" w:rsidR="00D33976" w:rsidRPr="00927C7A" w:rsidRDefault="00D33976" w:rsidP="00AB62C3">
            <w:pPr>
              <w:pStyle w:val="TableHeading"/>
              <w:spacing w:before="45" w:after="45"/>
              <w:ind w:right="108"/>
              <w:rPr>
                <w:rFonts w:cstheme="minorHAnsi"/>
                <w:color w:val="265A9A"/>
                <w:sz w:val="18"/>
                <w:szCs w:val="18"/>
              </w:rPr>
            </w:pPr>
            <w:r w:rsidRPr="00927C7A">
              <w:rPr>
                <w:rFonts w:cstheme="minorHAnsi"/>
                <w:color w:val="265A9A"/>
                <w:sz w:val="18"/>
                <w:szCs w:val="18"/>
              </w:rPr>
              <w:t xml:space="preserve">Age </w:t>
            </w:r>
          </w:p>
        </w:tc>
        <w:tc>
          <w:tcPr>
            <w:tcW w:w="638" w:type="pct"/>
            <w:tcBorders>
              <w:top w:val="nil"/>
              <w:bottom w:val="nil"/>
            </w:tcBorders>
            <w:vAlign w:val="bottom"/>
          </w:tcPr>
          <w:p w14:paraId="3791C8E2"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0.034***</w:t>
            </w:r>
          </w:p>
        </w:tc>
        <w:tc>
          <w:tcPr>
            <w:tcW w:w="638" w:type="pct"/>
            <w:tcBorders>
              <w:top w:val="nil"/>
              <w:bottom w:val="nil"/>
            </w:tcBorders>
          </w:tcPr>
          <w:p w14:paraId="6ED44A82"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0.031***</w:t>
            </w:r>
          </w:p>
        </w:tc>
        <w:tc>
          <w:tcPr>
            <w:tcW w:w="638" w:type="pct"/>
            <w:tcBorders>
              <w:top w:val="nil"/>
              <w:bottom w:val="nil"/>
            </w:tcBorders>
          </w:tcPr>
          <w:p w14:paraId="613B5735"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0.031***</w:t>
            </w:r>
          </w:p>
        </w:tc>
        <w:tc>
          <w:tcPr>
            <w:tcW w:w="634" w:type="pct"/>
            <w:tcBorders>
              <w:top w:val="nil"/>
              <w:bottom w:val="nil"/>
            </w:tcBorders>
          </w:tcPr>
          <w:p w14:paraId="3C8D815E"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0.031***</w:t>
            </w:r>
          </w:p>
        </w:tc>
      </w:tr>
      <w:tr w:rsidR="00D33976" w:rsidRPr="00927C7A" w14:paraId="009E1F26" w14:textId="77777777" w:rsidTr="005A65CD">
        <w:tc>
          <w:tcPr>
            <w:tcW w:w="2452" w:type="pct"/>
            <w:tcBorders>
              <w:bottom w:val="nil"/>
            </w:tcBorders>
            <w:shd w:val="clear" w:color="auto" w:fill="EBEBEB"/>
          </w:tcPr>
          <w:p w14:paraId="353FFDEC" w14:textId="77777777" w:rsidR="00D33976" w:rsidRPr="00927C7A" w:rsidRDefault="00D33976" w:rsidP="00AB62C3">
            <w:pPr>
              <w:pStyle w:val="TableHeading"/>
              <w:spacing w:before="45" w:after="45"/>
              <w:ind w:right="108"/>
              <w:rPr>
                <w:rFonts w:cstheme="minorHAnsi"/>
                <w:color w:val="265A9A"/>
                <w:sz w:val="18"/>
                <w:szCs w:val="18"/>
              </w:rPr>
            </w:pPr>
            <w:r w:rsidRPr="00927C7A">
              <w:rPr>
                <w:rFonts w:cstheme="minorHAnsi"/>
                <w:color w:val="265A9A"/>
                <w:sz w:val="18"/>
                <w:szCs w:val="18"/>
              </w:rPr>
              <w:t>Female (relative to male)</w:t>
            </w:r>
          </w:p>
        </w:tc>
        <w:tc>
          <w:tcPr>
            <w:tcW w:w="638" w:type="pct"/>
            <w:tcBorders>
              <w:bottom w:val="nil"/>
            </w:tcBorders>
            <w:shd w:val="clear" w:color="auto" w:fill="EBEBEB"/>
            <w:vAlign w:val="bottom"/>
          </w:tcPr>
          <w:p w14:paraId="72FD03E0"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0.064***</w:t>
            </w:r>
          </w:p>
        </w:tc>
        <w:tc>
          <w:tcPr>
            <w:tcW w:w="638" w:type="pct"/>
            <w:tcBorders>
              <w:bottom w:val="nil"/>
            </w:tcBorders>
            <w:shd w:val="clear" w:color="auto" w:fill="EBEBEB"/>
          </w:tcPr>
          <w:p w14:paraId="6F8A8A9A"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0.031***</w:t>
            </w:r>
          </w:p>
        </w:tc>
        <w:tc>
          <w:tcPr>
            <w:tcW w:w="638" w:type="pct"/>
            <w:tcBorders>
              <w:bottom w:val="nil"/>
            </w:tcBorders>
            <w:shd w:val="clear" w:color="auto" w:fill="EBEBEB"/>
          </w:tcPr>
          <w:p w14:paraId="30F43B3E"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0.031***</w:t>
            </w:r>
          </w:p>
        </w:tc>
        <w:tc>
          <w:tcPr>
            <w:tcW w:w="634" w:type="pct"/>
            <w:tcBorders>
              <w:bottom w:val="nil"/>
            </w:tcBorders>
            <w:shd w:val="clear" w:color="auto" w:fill="EBEBEB"/>
          </w:tcPr>
          <w:p w14:paraId="249198C2"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0.031***</w:t>
            </w:r>
          </w:p>
        </w:tc>
      </w:tr>
      <w:tr w:rsidR="00D33976" w:rsidRPr="00927C7A" w14:paraId="6EDF8885" w14:textId="77777777" w:rsidTr="005A65CD">
        <w:tc>
          <w:tcPr>
            <w:tcW w:w="2452" w:type="pct"/>
            <w:tcBorders>
              <w:bottom w:val="nil"/>
            </w:tcBorders>
          </w:tcPr>
          <w:p w14:paraId="4D1DB205" w14:textId="77777777" w:rsidR="00D33976" w:rsidRPr="00927C7A" w:rsidRDefault="00D33976" w:rsidP="00AB62C3">
            <w:pPr>
              <w:pStyle w:val="TableHeading"/>
              <w:spacing w:before="45" w:after="45"/>
              <w:ind w:right="108"/>
              <w:rPr>
                <w:rFonts w:cstheme="minorHAnsi"/>
                <w:color w:val="265A9A"/>
                <w:sz w:val="18"/>
                <w:szCs w:val="18"/>
              </w:rPr>
            </w:pPr>
            <w:r w:rsidRPr="00927C7A">
              <w:rPr>
                <w:rFonts w:cstheme="minorHAnsi"/>
                <w:color w:val="265A9A"/>
                <w:sz w:val="18"/>
                <w:szCs w:val="18"/>
              </w:rPr>
              <w:t>ICU status</w:t>
            </w:r>
          </w:p>
        </w:tc>
        <w:tc>
          <w:tcPr>
            <w:tcW w:w="638" w:type="pct"/>
            <w:tcBorders>
              <w:bottom w:val="nil"/>
            </w:tcBorders>
            <w:vAlign w:val="bottom"/>
          </w:tcPr>
          <w:p w14:paraId="07435305"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N/A</w:t>
            </w:r>
          </w:p>
        </w:tc>
        <w:tc>
          <w:tcPr>
            <w:tcW w:w="638" w:type="pct"/>
            <w:tcBorders>
              <w:bottom w:val="nil"/>
            </w:tcBorders>
          </w:tcPr>
          <w:p w14:paraId="3CD4A6A8"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2.129***</w:t>
            </w:r>
          </w:p>
        </w:tc>
        <w:tc>
          <w:tcPr>
            <w:tcW w:w="638" w:type="pct"/>
            <w:tcBorders>
              <w:bottom w:val="nil"/>
            </w:tcBorders>
          </w:tcPr>
          <w:p w14:paraId="450A4B94"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2.129***</w:t>
            </w:r>
          </w:p>
        </w:tc>
        <w:tc>
          <w:tcPr>
            <w:tcW w:w="634" w:type="pct"/>
            <w:tcBorders>
              <w:bottom w:val="nil"/>
            </w:tcBorders>
          </w:tcPr>
          <w:p w14:paraId="370250B9"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2.130***</w:t>
            </w:r>
          </w:p>
        </w:tc>
      </w:tr>
      <w:tr w:rsidR="00D33976" w:rsidRPr="00927C7A" w14:paraId="46ADFDBD" w14:textId="77777777" w:rsidTr="005A65CD">
        <w:tc>
          <w:tcPr>
            <w:tcW w:w="2452" w:type="pct"/>
            <w:tcBorders>
              <w:top w:val="nil"/>
              <w:bottom w:val="nil"/>
            </w:tcBorders>
            <w:shd w:val="clear" w:color="auto" w:fill="EBEBEB"/>
          </w:tcPr>
          <w:p w14:paraId="108542D1" w14:textId="77777777" w:rsidR="00D33976" w:rsidRPr="00927C7A" w:rsidRDefault="00D33976" w:rsidP="00AB62C3">
            <w:pPr>
              <w:pStyle w:val="TableHeading"/>
              <w:spacing w:before="45" w:after="45"/>
              <w:ind w:right="108"/>
              <w:rPr>
                <w:rFonts w:cstheme="minorHAnsi"/>
                <w:color w:val="265A9A"/>
                <w:sz w:val="18"/>
                <w:szCs w:val="18"/>
              </w:rPr>
            </w:pPr>
            <w:r w:rsidRPr="00927C7A">
              <w:rPr>
                <w:rFonts w:cstheme="minorHAnsi"/>
                <w:color w:val="265A9A"/>
                <w:sz w:val="18"/>
                <w:szCs w:val="18"/>
              </w:rPr>
              <w:t xml:space="preserve">Emergency admission </w:t>
            </w:r>
          </w:p>
        </w:tc>
        <w:tc>
          <w:tcPr>
            <w:tcW w:w="638" w:type="pct"/>
            <w:tcBorders>
              <w:top w:val="nil"/>
              <w:bottom w:val="nil"/>
            </w:tcBorders>
            <w:shd w:val="clear" w:color="auto" w:fill="EBEBEB"/>
            <w:vAlign w:val="bottom"/>
          </w:tcPr>
          <w:p w14:paraId="63610000"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0.635***</w:t>
            </w:r>
          </w:p>
        </w:tc>
        <w:tc>
          <w:tcPr>
            <w:tcW w:w="638" w:type="pct"/>
            <w:tcBorders>
              <w:top w:val="nil"/>
              <w:bottom w:val="nil"/>
            </w:tcBorders>
            <w:shd w:val="clear" w:color="auto" w:fill="EBEBEB"/>
          </w:tcPr>
          <w:p w14:paraId="1B49E30F"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0.604***</w:t>
            </w:r>
          </w:p>
        </w:tc>
        <w:tc>
          <w:tcPr>
            <w:tcW w:w="638" w:type="pct"/>
            <w:tcBorders>
              <w:top w:val="nil"/>
              <w:bottom w:val="nil"/>
            </w:tcBorders>
            <w:shd w:val="clear" w:color="auto" w:fill="EBEBEB"/>
          </w:tcPr>
          <w:p w14:paraId="7C986EDE"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0.604***</w:t>
            </w:r>
          </w:p>
        </w:tc>
        <w:tc>
          <w:tcPr>
            <w:tcW w:w="634" w:type="pct"/>
            <w:tcBorders>
              <w:top w:val="nil"/>
              <w:bottom w:val="nil"/>
            </w:tcBorders>
            <w:shd w:val="clear" w:color="auto" w:fill="EBEBEB"/>
          </w:tcPr>
          <w:p w14:paraId="7EE2323B"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0.604***</w:t>
            </w:r>
          </w:p>
        </w:tc>
      </w:tr>
      <w:tr w:rsidR="00D33976" w:rsidRPr="00927C7A" w14:paraId="7A03DC09" w14:textId="77777777" w:rsidTr="005A65CD">
        <w:tc>
          <w:tcPr>
            <w:tcW w:w="2452" w:type="pct"/>
            <w:tcBorders>
              <w:bottom w:val="nil"/>
            </w:tcBorders>
          </w:tcPr>
          <w:p w14:paraId="1BEC22B0" w14:textId="77777777" w:rsidR="00D33976" w:rsidRPr="00927C7A" w:rsidRDefault="00D33976" w:rsidP="00AB62C3">
            <w:pPr>
              <w:pStyle w:val="TableHeading"/>
              <w:spacing w:before="45" w:after="45"/>
              <w:ind w:right="108"/>
              <w:rPr>
                <w:rFonts w:cstheme="minorHAnsi"/>
                <w:color w:val="265A9A"/>
                <w:sz w:val="18"/>
                <w:szCs w:val="18"/>
              </w:rPr>
            </w:pPr>
            <w:r w:rsidRPr="00927C7A">
              <w:rPr>
                <w:rFonts w:cstheme="minorHAnsi"/>
                <w:color w:val="265A9A"/>
                <w:sz w:val="18"/>
                <w:szCs w:val="18"/>
              </w:rPr>
              <w:t>Transfer status</w:t>
            </w:r>
          </w:p>
        </w:tc>
        <w:tc>
          <w:tcPr>
            <w:tcW w:w="638" w:type="pct"/>
            <w:tcBorders>
              <w:bottom w:val="nil"/>
            </w:tcBorders>
            <w:vAlign w:val="bottom"/>
          </w:tcPr>
          <w:p w14:paraId="4CFB8A69"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1.151***</w:t>
            </w:r>
          </w:p>
        </w:tc>
        <w:tc>
          <w:tcPr>
            <w:tcW w:w="638" w:type="pct"/>
            <w:tcBorders>
              <w:bottom w:val="nil"/>
            </w:tcBorders>
          </w:tcPr>
          <w:p w14:paraId="68F9BB21"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0.447***</w:t>
            </w:r>
          </w:p>
        </w:tc>
        <w:tc>
          <w:tcPr>
            <w:tcW w:w="638" w:type="pct"/>
            <w:tcBorders>
              <w:bottom w:val="nil"/>
            </w:tcBorders>
          </w:tcPr>
          <w:p w14:paraId="4F8CCAC9"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0.447***</w:t>
            </w:r>
          </w:p>
        </w:tc>
        <w:tc>
          <w:tcPr>
            <w:tcW w:w="634" w:type="pct"/>
            <w:tcBorders>
              <w:bottom w:val="nil"/>
            </w:tcBorders>
          </w:tcPr>
          <w:p w14:paraId="674C6D24"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0.447***</w:t>
            </w:r>
          </w:p>
        </w:tc>
      </w:tr>
      <w:tr w:rsidR="00D33976" w:rsidRPr="00927C7A" w14:paraId="06E47756" w14:textId="77777777" w:rsidTr="005A65CD">
        <w:tc>
          <w:tcPr>
            <w:tcW w:w="2452" w:type="pct"/>
            <w:tcBorders>
              <w:top w:val="nil"/>
              <w:bottom w:val="nil"/>
            </w:tcBorders>
            <w:shd w:val="clear" w:color="auto" w:fill="EBEBEB"/>
          </w:tcPr>
          <w:p w14:paraId="011D3CEF" w14:textId="77777777" w:rsidR="00D33976" w:rsidRPr="00927C7A" w:rsidRDefault="00D33976" w:rsidP="00AB62C3">
            <w:pPr>
              <w:pStyle w:val="TableHeading"/>
              <w:spacing w:before="45" w:after="45"/>
              <w:ind w:right="108"/>
              <w:rPr>
                <w:rFonts w:cstheme="minorHAnsi"/>
                <w:color w:val="265A9A"/>
                <w:sz w:val="18"/>
                <w:szCs w:val="18"/>
              </w:rPr>
            </w:pPr>
            <w:r w:rsidRPr="00927C7A">
              <w:rPr>
                <w:rFonts w:cstheme="minorHAnsi"/>
                <w:color w:val="265A9A"/>
                <w:sz w:val="18"/>
                <w:szCs w:val="18"/>
              </w:rPr>
              <w:t>Charlson score</w:t>
            </w:r>
          </w:p>
        </w:tc>
        <w:tc>
          <w:tcPr>
            <w:tcW w:w="638" w:type="pct"/>
            <w:tcBorders>
              <w:top w:val="nil"/>
              <w:bottom w:val="nil"/>
            </w:tcBorders>
            <w:shd w:val="clear" w:color="auto" w:fill="EBEBEB"/>
            <w:vAlign w:val="bottom"/>
          </w:tcPr>
          <w:p w14:paraId="59B75372"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0.300***</w:t>
            </w:r>
          </w:p>
        </w:tc>
        <w:tc>
          <w:tcPr>
            <w:tcW w:w="638" w:type="pct"/>
            <w:tcBorders>
              <w:top w:val="nil"/>
              <w:bottom w:val="nil"/>
            </w:tcBorders>
            <w:shd w:val="clear" w:color="auto" w:fill="EBEBEB"/>
          </w:tcPr>
          <w:p w14:paraId="69092636"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0.268***</w:t>
            </w:r>
          </w:p>
        </w:tc>
        <w:tc>
          <w:tcPr>
            <w:tcW w:w="638" w:type="pct"/>
            <w:tcBorders>
              <w:top w:val="nil"/>
              <w:bottom w:val="nil"/>
            </w:tcBorders>
            <w:shd w:val="clear" w:color="auto" w:fill="EBEBEB"/>
          </w:tcPr>
          <w:p w14:paraId="1F0BDD34"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0.268***</w:t>
            </w:r>
          </w:p>
        </w:tc>
        <w:tc>
          <w:tcPr>
            <w:tcW w:w="634" w:type="pct"/>
            <w:tcBorders>
              <w:top w:val="nil"/>
              <w:bottom w:val="nil"/>
            </w:tcBorders>
            <w:shd w:val="clear" w:color="auto" w:fill="EBEBEB"/>
          </w:tcPr>
          <w:p w14:paraId="2531E9D6"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0.268***</w:t>
            </w:r>
          </w:p>
        </w:tc>
      </w:tr>
      <w:tr w:rsidR="00D33976" w:rsidRPr="00927C7A" w14:paraId="60B642BE" w14:textId="77777777" w:rsidTr="005A65CD">
        <w:tc>
          <w:tcPr>
            <w:tcW w:w="2452" w:type="pct"/>
            <w:tcBorders>
              <w:bottom w:val="nil"/>
            </w:tcBorders>
          </w:tcPr>
          <w:p w14:paraId="05C2C163" w14:textId="77777777" w:rsidR="00D33976" w:rsidRPr="00927C7A" w:rsidRDefault="00D33976" w:rsidP="00AB62C3">
            <w:pPr>
              <w:pStyle w:val="TableHeading"/>
              <w:spacing w:before="45" w:after="45"/>
              <w:ind w:right="108"/>
              <w:rPr>
                <w:rFonts w:cstheme="minorHAnsi"/>
                <w:color w:val="265A9A"/>
                <w:sz w:val="18"/>
                <w:szCs w:val="18"/>
              </w:rPr>
            </w:pPr>
            <w:r w:rsidRPr="00927C7A">
              <w:rPr>
                <w:rFonts w:cstheme="minorHAnsi"/>
                <w:color w:val="265A9A"/>
                <w:sz w:val="18"/>
                <w:szCs w:val="18"/>
              </w:rPr>
              <w:t>Intervention (relative to medical)</w:t>
            </w:r>
          </w:p>
        </w:tc>
        <w:tc>
          <w:tcPr>
            <w:tcW w:w="638" w:type="pct"/>
            <w:tcBorders>
              <w:bottom w:val="nil"/>
            </w:tcBorders>
            <w:vAlign w:val="bottom"/>
          </w:tcPr>
          <w:p w14:paraId="1B81ADB6"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1.391***</w:t>
            </w:r>
          </w:p>
        </w:tc>
        <w:tc>
          <w:tcPr>
            <w:tcW w:w="638" w:type="pct"/>
            <w:tcBorders>
              <w:bottom w:val="nil"/>
            </w:tcBorders>
          </w:tcPr>
          <w:p w14:paraId="58F1E22D"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1.102***</w:t>
            </w:r>
          </w:p>
        </w:tc>
        <w:tc>
          <w:tcPr>
            <w:tcW w:w="638" w:type="pct"/>
            <w:tcBorders>
              <w:bottom w:val="nil"/>
            </w:tcBorders>
          </w:tcPr>
          <w:p w14:paraId="527EC7FD"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1.102***</w:t>
            </w:r>
          </w:p>
        </w:tc>
        <w:tc>
          <w:tcPr>
            <w:tcW w:w="634" w:type="pct"/>
            <w:tcBorders>
              <w:bottom w:val="nil"/>
            </w:tcBorders>
          </w:tcPr>
          <w:p w14:paraId="64CB2779"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1.102***</w:t>
            </w:r>
          </w:p>
        </w:tc>
      </w:tr>
      <w:tr w:rsidR="00D33976" w:rsidRPr="00927C7A" w14:paraId="2A5A8BC8" w14:textId="77777777" w:rsidTr="005A65CD">
        <w:tc>
          <w:tcPr>
            <w:tcW w:w="2452" w:type="pct"/>
            <w:tcBorders>
              <w:top w:val="nil"/>
              <w:bottom w:val="nil"/>
            </w:tcBorders>
            <w:shd w:val="clear" w:color="auto" w:fill="EBEBEB"/>
          </w:tcPr>
          <w:p w14:paraId="4B2B618B" w14:textId="77777777" w:rsidR="00D33976" w:rsidRPr="00927C7A" w:rsidRDefault="00D33976" w:rsidP="00AB62C3">
            <w:pPr>
              <w:pStyle w:val="TableHeading"/>
              <w:spacing w:before="45" w:after="45"/>
              <w:ind w:right="108"/>
              <w:rPr>
                <w:rFonts w:cstheme="minorHAnsi"/>
                <w:color w:val="265A9A"/>
                <w:sz w:val="18"/>
                <w:szCs w:val="18"/>
              </w:rPr>
            </w:pPr>
            <w:r w:rsidRPr="00927C7A">
              <w:rPr>
                <w:rFonts w:cstheme="minorHAnsi"/>
                <w:color w:val="265A9A"/>
                <w:sz w:val="18"/>
                <w:szCs w:val="18"/>
              </w:rPr>
              <w:t>MDC (relative to 00 Pre MDC)</w:t>
            </w:r>
          </w:p>
        </w:tc>
        <w:tc>
          <w:tcPr>
            <w:tcW w:w="638" w:type="pct"/>
            <w:tcBorders>
              <w:top w:val="nil"/>
              <w:bottom w:val="nil"/>
            </w:tcBorders>
            <w:shd w:val="clear" w:color="auto" w:fill="EBEBEB"/>
            <w:vAlign w:val="bottom"/>
          </w:tcPr>
          <w:p w14:paraId="5A49E843" w14:textId="77777777" w:rsidR="00D33976" w:rsidRPr="00927C7A" w:rsidRDefault="00D33976" w:rsidP="00AB62C3">
            <w:pPr>
              <w:pStyle w:val="TableBody"/>
              <w:spacing w:before="45" w:after="45"/>
              <w:ind w:right="108"/>
              <w:jc w:val="right"/>
              <w:rPr>
                <w:rFonts w:cstheme="minorHAnsi"/>
                <w:szCs w:val="18"/>
              </w:rPr>
            </w:pPr>
          </w:p>
        </w:tc>
        <w:tc>
          <w:tcPr>
            <w:tcW w:w="638" w:type="pct"/>
            <w:tcBorders>
              <w:top w:val="nil"/>
              <w:bottom w:val="nil"/>
            </w:tcBorders>
            <w:shd w:val="clear" w:color="auto" w:fill="EBEBEB"/>
          </w:tcPr>
          <w:p w14:paraId="60603937" w14:textId="77777777" w:rsidR="00D33976" w:rsidRPr="00927C7A" w:rsidRDefault="00D33976" w:rsidP="00AB62C3">
            <w:pPr>
              <w:pStyle w:val="TableBody"/>
              <w:spacing w:before="45" w:after="45"/>
              <w:ind w:right="108"/>
              <w:jc w:val="right"/>
              <w:rPr>
                <w:rFonts w:cstheme="minorHAnsi"/>
                <w:color w:val="000000"/>
                <w:szCs w:val="18"/>
              </w:rPr>
            </w:pPr>
          </w:p>
        </w:tc>
        <w:tc>
          <w:tcPr>
            <w:tcW w:w="638" w:type="pct"/>
            <w:tcBorders>
              <w:top w:val="nil"/>
              <w:bottom w:val="nil"/>
            </w:tcBorders>
            <w:shd w:val="clear" w:color="auto" w:fill="EBEBEB"/>
          </w:tcPr>
          <w:p w14:paraId="667FDBE1" w14:textId="77777777" w:rsidR="00D33976" w:rsidRPr="00927C7A" w:rsidRDefault="00D33976" w:rsidP="00AB62C3">
            <w:pPr>
              <w:pStyle w:val="TableBody"/>
              <w:spacing w:before="45" w:after="45"/>
              <w:ind w:right="108"/>
              <w:jc w:val="right"/>
              <w:rPr>
                <w:rFonts w:cstheme="minorHAnsi"/>
                <w:color w:val="000000"/>
                <w:szCs w:val="18"/>
              </w:rPr>
            </w:pPr>
          </w:p>
        </w:tc>
        <w:tc>
          <w:tcPr>
            <w:tcW w:w="634" w:type="pct"/>
            <w:tcBorders>
              <w:top w:val="nil"/>
              <w:bottom w:val="nil"/>
            </w:tcBorders>
            <w:shd w:val="clear" w:color="auto" w:fill="EBEBEB"/>
          </w:tcPr>
          <w:p w14:paraId="52232BF7" w14:textId="77777777" w:rsidR="00D33976" w:rsidRPr="00927C7A" w:rsidRDefault="00D33976" w:rsidP="00AB62C3">
            <w:pPr>
              <w:pStyle w:val="TableBody"/>
              <w:spacing w:before="45" w:after="45"/>
              <w:ind w:right="108"/>
              <w:jc w:val="right"/>
              <w:rPr>
                <w:rFonts w:cstheme="minorHAnsi"/>
                <w:color w:val="000000"/>
                <w:szCs w:val="18"/>
              </w:rPr>
            </w:pPr>
          </w:p>
        </w:tc>
      </w:tr>
      <w:tr w:rsidR="00D33976" w:rsidRPr="00927C7A" w14:paraId="7D33F199" w14:textId="77777777" w:rsidTr="005A65CD">
        <w:tc>
          <w:tcPr>
            <w:tcW w:w="2452" w:type="pct"/>
            <w:tcBorders>
              <w:bottom w:val="nil"/>
            </w:tcBorders>
            <w:shd w:val="clear" w:color="auto" w:fill="EBEBEB"/>
          </w:tcPr>
          <w:p w14:paraId="6EB14475" w14:textId="1FF58A15"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01 Nervous system</w:t>
            </w:r>
          </w:p>
        </w:tc>
        <w:tc>
          <w:tcPr>
            <w:tcW w:w="638" w:type="pct"/>
            <w:tcBorders>
              <w:bottom w:val="nil"/>
            </w:tcBorders>
            <w:shd w:val="clear" w:color="auto" w:fill="EBEBEB"/>
            <w:vAlign w:val="bottom"/>
          </w:tcPr>
          <w:p w14:paraId="219C1D50"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-2.479***</w:t>
            </w:r>
          </w:p>
        </w:tc>
        <w:tc>
          <w:tcPr>
            <w:tcW w:w="638" w:type="pct"/>
            <w:tcBorders>
              <w:bottom w:val="nil"/>
            </w:tcBorders>
            <w:shd w:val="clear" w:color="auto" w:fill="EBEBEB"/>
          </w:tcPr>
          <w:p w14:paraId="7D1D539C"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-1.753***</w:t>
            </w:r>
          </w:p>
        </w:tc>
        <w:tc>
          <w:tcPr>
            <w:tcW w:w="638" w:type="pct"/>
            <w:tcBorders>
              <w:bottom w:val="nil"/>
            </w:tcBorders>
            <w:shd w:val="clear" w:color="auto" w:fill="EBEBEB"/>
          </w:tcPr>
          <w:p w14:paraId="691D87CC"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-1.754***</w:t>
            </w:r>
          </w:p>
        </w:tc>
        <w:tc>
          <w:tcPr>
            <w:tcW w:w="634" w:type="pct"/>
            <w:tcBorders>
              <w:bottom w:val="nil"/>
            </w:tcBorders>
            <w:shd w:val="clear" w:color="auto" w:fill="EBEBEB"/>
          </w:tcPr>
          <w:p w14:paraId="2CEF8E54"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-1.754***</w:t>
            </w:r>
          </w:p>
        </w:tc>
      </w:tr>
      <w:tr w:rsidR="00D33976" w:rsidRPr="00927C7A" w14:paraId="558583B7" w14:textId="77777777" w:rsidTr="005A65CD">
        <w:tc>
          <w:tcPr>
            <w:tcW w:w="2452" w:type="pct"/>
            <w:tcBorders>
              <w:top w:val="nil"/>
              <w:bottom w:val="nil"/>
            </w:tcBorders>
            <w:shd w:val="clear" w:color="auto" w:fill="EBEBEB"/>
          </w:tcPr>
          <w:p w14:paraId="4CC8668E" w14:textId="48696349"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02 Eye diseases and disorders</w:t>
            </w:r>
          </w:p>
        </w:tc>
        <w:tc>
          <w:tcPr>
            <w:tcW w:w="638" w:type="pct"/>
            <w:tcBorders>
              <w:top w:val="nil"/>
              <w:bottom w:val="nil"/>
            </w:tcBorders>
            <w:shd w:val="clear" w:color="auto" w:fill="EBEBEB"/>
            <w:vAlign w:val="bottom"/>
          </w:tcPr>
          <w:p w14:paraId="3F1325AF"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-4.583***</w:t>
            </w:r>
          </w:p>
        </w:tc>
        <w:tc>
          <w:tcPr>
            <w:tcW w:w="638" w:type="pct"/>
            <w:tcBorders>
              <w:top w:val="nil"/>
              <w:bottom w:val="nil"/>
            </w:tcBorders>
            <w:shd w:val="clear" w:color="auto" w:fill="EBEBEB"/>
          </w:tcPr>
          <w:p w14:paraId="5C998B15"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-3.835***</w:t>
            </w:r>
          </w:p>
        </w:tc>
        <w:tc>
          <w:tcPr>
            <w:tcW w:w="638" w:type="pct"/>
            <w:tcBorders>
              <w:top w:val="nil"/>
              <w:bottom w:val="nil"/>
            </w:tcBorders>
            <w:shd w:val="clear" w:color="auto" w:fill="EBEBEB"/>
          </w:tcPr>
          <w:p w14:paraId="09797CAC"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-3.835***</w:t>
            </w:r>
          </w:p>
        </w:tc>
        <w:tc>
          <w:tcPr>
            <w:tcW w:w="634" w:type="pct"/>
            <w:tcBorders>
              <w:top w:val="nil"/>
              <w:bottom w:val="nil"/>
            </w:tcBorders>
            <w:shd w:val="clear" w:color="auto" w:fill="EBEBEB"/>
          </w:tcPr>
          <w:p w14:paraId="14B0965F"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-3.835***</w:t>
            </w:r>
          </w:p>
        </w:tc>
      </w:tr>
      <w:tr w:rsidR="00D33976" w:rsidRPr="00927C7A" w14:paraId="207D12B1" w14:textId="77777777" w:rsidTr="005A65CD">
        <w:tc>
          <w:tcPr>
            <w:tcW w:w="2452" w:type="pct"/>
            <w:tcBorders>
              <w:bottom w:val="nil"/>
            </w:tcBorders>
            <w:shd w:val="clear" w:color="auto" w:fill="EBEBEB"/>
          </w:tcPr>
          <w:p w14:paraId="7E1AEF13" w14:textId="5FD66E1C"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03 Ear, nose, mouth and throat</w:t>
            </w:r>
          </w:p>
        </w:tc>
        <w:tc>
          <w:tcPr>
            <w:tcW w:w="638" w:type="pct"/>
            <w:tcBorders>
              <w:bottom w:val="nil"/>
            </w:tcBorders>
            <w:shd w:val="clear" w:color="auto" w:fill="EBEBEB"/>
            <w:vAlign w:val="bottom"/>
          </w:tcPr>
          <w:p w14:paraId="6A52A5CF"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-3.429***</w:t>
            </w:r>
          </w:p>
        </w:tc>
        <w:tc>
          <w:tcPr>
            <w:tcW w:w="638" w:type="pct"/>
            <w:tcBorders>
              <w:bottom w:val="nil"/>
            </w:tcBorders>
            <w:shd w:val="clear" w:color="auto" w:fill="EBEBEB"/>
          </w:tcPr>
          <w:p w14:paraId="7FAFE46A"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-2.692***</w:t>
            </w:r>
          </w:p>
        </w:tc>
        <w:tc>
          <w:tcPr>
            <w:tcW w:w="638" w:type="pct"/>
            <w:tcBorders>
              <w:bottom w:val="nil"/>
            </w:tcBorders>
            <w:shd w:val="clear" w:color="auto" w:fill="EBEBEB"/>
          </w:tcPr>
          <w:p w14:paraId="19DABE21"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-2.693***</w:t>
            </w:r>
          </w:p>
        </w:tc>
        <w:tc>
          <w:tcPr>
            <w:tcW w:w="634" w:type="pct"/>
            <w:tcBorders>
              <w:bottom w:val="nil"/>
            </w:tcBorders>
            <w:shd w:val="clear" w:color="auto" w:fill="EBEBEB"/>
          </w:tcPr>
          <w:p w14:paraId="77BCC922"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-2.693***</w:t>
            </w:r>
          </w:p>
        </w:tc>
      </w:tr>
      <w:tr w:rsidR="00D33976" w:rsidRPr="00927C7A" w14:paraId="63789AEF" w14:textId="77777777" w:rsidTr="005A65CD">
        <w:tc>
          <w:tcPr>
            <w:tcW w:w="2452" w:type="pct"/>
            <w:tcBorders>
              <w:top w:val="nil"/>
              <w:bottom w:val="nil"/>
            </w:tcBorders>
            <w:shd w:val="clear" w:color="auto" w:fill="EBEBEB"/>
          </w:tcPr>
          <w:p w14:paraId="7942D528" w14:textId="221846AB"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04 Respiratory system</w:t>
            </w:r>
          </w:p>
        </w:tc>
        <w:tc>
          <w:tcPr>
            <w:tcW w:w="638" w:type="pct"/>
            <w:tcBorders>
              <w:top w:val="nil"/>
              <w:bottom w:val="nil"/>
            </w:tcBorders>
            <w:shd w:val="clear" w:color="auto" w:fill="EBEBEB"/>
            <w:vAlign w:val="bottom"/>
          </w:tcPr>
          <w:p w14:paraId="13F85CF7"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-2.607***</w:t>
            </w:r>
          </w:p>
        </w:tc>
        <w:tc>
          <w:tcPr>
            <w:tcW w:w="638" w:type="pct"/>
            <w:tcBorders>
              <w:top w:val="nil"/>
              <w:bottom w:val="nil"/>
            </w:tcBorders>
            <w:shd w:val="clear" w:color="auto" w:fill="EBEBEB"/>
          </w:tcPr>
          <w:p w14:paraId="3A1325E8"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-1.922***</w:t>
            </w:r>
          </w:p>
        </w:tc>
        <w:tc>
          <w:tcPr>
            <w:tcW w:w="638" w:type="pct"/>
            <w:tcBorders>
              <w:top w:val="nil"/>
              <w:bottom w:val="nil"/>
            </w:tcBorders>
            <w:shd w:val="clear" w:color="auto" w:fill="EBEBEB"/>
          </w:tcPr>
          <w:p w14:paraId="0BA1F546"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-1.923***</w:t>
            </w:r>
          </w:p>
        </w:tc>
        <w:tc>
          <w:tcPr>
            <w:tcW w:w="634" w:type="pct"/>
            <w:tcBorders>
              <w:top w:val="nil"/>
              <w:bottom w:val="nil"/>
            </w:tcBorders>
            <w:shd w:val="clear" w:color="auto" w:fill="EBEBEB"/>
          </w:tcPr>
          <w:p w14:paraId="5F4B368D"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-1.923***</w:t>
            </w:r>
          </w:p>
        </w:tc>
      </w:tr>
      <w:tr w:rsidR="00D33976" w:rsidRPr="00927C7A" w14:paraId="294DBEAC" w14:textId="77777777" w:rsidTr="005A65CD">
        <w:tc>
          <w:tcPr>
            <w:tcW w:w="2452" w:type="pct"/>
            <w:tcBorders>
              <w:bottom w:val="nil"/>
            </w:tcBorders>
            <w:shd w:val="clear" w:color="auto" w:fill="EBEBEB"/>
          </w:tcPr>
          <w:p w14:paraId="24DCA941" w14:textId="185BE5DD"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05 Circulatory system</w:t>
            </w:r>
          </w:p>
        </w:tc>
        <w:tc>
          <w:tcPr>
            <w:tcW w:w="638" w:type="pct"/>
            <w:tcBorders>
              <w:bottom w:val="nil"/>
            </w:tcBorders>
            <w:shd w:val="clear" w:color="auto" w:fill="EBEBEB"/>
            <w:vAlign w:val="bottom"/>
          </w:tcPr>
          <w:p w14:paraId="4055E1B4"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-2.815***</w:t>
            </w:r>
          </w:p>
        </w:tc>
        <w:tc>
          <w:tcPr>
            <w:tcW w:w="638" w:type="pct"/>
            <w:tcBorders>
              <w:bottom w:val="nil"/>
            </w:tcBorders>
            <w:shd w:val="clear" w:color="auto" w:fill="EBEBEB"/>
          </w:tcPr>
          <w:p w14:paraId="39C08DFC"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-1.837***</w:t>
            </w:r>
          </w:p>
        </w:tc>
        <w:tc>
          <w:tcPr>
            <w:tcW w:w="638" w:type="pct"/>
            <w:tcBorders>
              <w:bottom w:val="nil"/>
            </w:tcBorders>
            <w:shd w:val="clear" w:color="auto" w:fill="EBEBEB"/>
          </w:tcPr>
          <w:p w14:paraId="2B13BCFD"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-1.838***</w:t>
            </w:r>
          </w:p>
        </w:tc>
        <w:tc>
          <w:tcPr>
            <w:tcW w:w="634" w:type="pct"/>
            <w:tcBorders>
              <w:bottom w:val="nil"/>
            </w:tcBorders>
            <w:shd w:val="clear" w:color="auto" w:fill="EBEBEB"/>
          </w:tcPr>
          <w:p w14:paraId="2F45F17B"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-1.838***</w:t>
            </w:r>
          </w:p>
        </w:tc>
      </w:tr>
      <w:tr w:rsidR="00D33976" w:rsidRPr="00927C7A" w14:paraId="04CED33A" w14:textId="77777777" w:rsidTr="005A65CD">
        <w:tc>
          <w:tcPr>
            <w:tcW w:w="2452" w:type="pct"/>
            <w:tcBorders>
              <w:top w:val="nil"/>
              <w:bottom w:val="nil"/>
            </w:tcBorders>
            <w:shd w:val="clear" w:color="auto" w:fill="EBEBEB"/>
          </w:tcPr>
          <w:p w14:paraId="26988ECC" w14:textId="188E1DAA"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06 Digestive system</w:t>
            </w:r>
          </w:p>
        </w:tc>
        <w:tc>
          <w:tcPr>
            <w:tcW w:w="638" w:type="pct"/>
            <w:tcBorders>
              <w:top w:val="nil"/>
              <w:bottom w:val="nil"/>
            </w:tcBorders>
            <w:shd w:val="clear" w:color="auto" w:fill="EBEBEB"/>
            <w:vAlign w:val="bottom"/>
          </w:tcPr>
          <w:p w14:paraId="45AAF86F"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-2.753***</w:t>
            </w:r>
          </w:p>
        </w:tc>
        <w:tc>
          <w:tcPr>
            <w:tcW w:w="638" w:type="pct"/>
            <w:tcBorders>
              <w:top w:val="nil"/>
              <w:bottom w:val="nil"/>
            </w:tcBorders>
            <w:shd w:val="clear" w:color="auto" w:fill="EBEBEB"/>
          </w:tcPr>
          <w:p w14:paraId="4B098960"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-1.921***</w:t>
            </w:r>
          </w:p>
        </w:tc>
        <w:tc>
          <w:tcPr>
            <w:tcW w:w="638" w:type="pct"/>
            <w:tcBorders>
              <w:top w:val="nil"/>
              <w:bottom w:val="nil"/>
            </w:tcBorders>
            <w:shd w:val="clear" w:color="auto" w:fill="EBEBEB"/>
          </w:tcPr>
          <w:p w14:paraId="47E7F38D"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-1.922***</w:t>
            </w:r>
          </w:p>
        </w:tc>
        <w:tc>
          <w:tcPr>
            <w:tcW w:w="634" w:type="pct"/>
            <w:tcBorders>
              <w:top w:val="nil"/>
              <w:bottom w:val="nil"/>
            </w:tcBorders>
            <w:shd w:val="clear" w:color="auto" w:fill="EBEBEB"/>
          </w:tcPr>
          <w:p w14:paraId="28775399"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-1.922***</w:t>
            </w:r>
          </w:p>
        </w:tc>
      </w:tr>
      <w:tr w:rsidR="00D33976" w:rsidRPr="00927C7A" w14:paraId="30E4F0E5" w14:textId="77777777" w:rsidTr="005A65CD">
        <w:tc>
          <w:tcPr>
            <w:tcW w:w="2452" w:type="pct"/>
            <w:tcBorders>
              <w:bottom w:val="nil"/>
            </w:tcBorders>
            <w:shd w:val="clear" w:color="auto" w:fill="EBEBEB"/>
          </w:tcPr>
          <w:p w14:paraId="0D8A05DB" w14:textId="1F14B616"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07 Hepatobiliary system and pancreas</w:t>
            </w:r>
          </w:p>
        </w:tc>
        <w:tc>
          <w:tcPr>
            <w:tcW w:w="638" w:type="pct"/>
            <w:tcBorders>
              <w:bottom w:val="nil"/>
            </w:tcBorders>
            <w:shd w:val="clear" w:color="auto" w:fill="EBEBEB"/>
            <w:vAlign w:val="bottom"/>
          </w:tcPr>
          <w:p w14:paraId="030F555D"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-2.444***</w:t>
            </w:r>
          </w:p>
        </w:tc>
        <w:tc>
          <w:tcPr>
            <w:tcW w:w="638" w:type="pct"/>
            <w:tcBorders>
              <w:bottom w:val="nil"/>
            </w:tcBorders>
            <w:shd w:val="clear" w:color="auto" w:fill="EBEBEB"/>
          </w:tcPr>
          <w:p w14:paraId="7E4A8A1A"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-1.688***</w:t>
            </w:r>
          </w:p>
        </w:tc>
        <w:tc>
          <w:tcPr>
            <w:tcW w:w="638" w:type="pct"/>
            <w:tcBorders>
              <w:bottom w:val="nil"/>
            </w:tcBorders>
            <w:shd w:val="clear" w:color="auto" w:fill="EBEBEB"/>
          </w:tcPr>
          <w:p w14:paraId="0CA105EE"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-1.688***</w:t>
            </w:r>
          </w:p>
        </w:tc>
        <w:tc>
          <w:tcPr>
            <w:tcW w:w="634" w:type="pct"/>
            <w:tcBorders>
              <w:bottom w:val="nil"/>
            </w:tcBorders>
            <w:shd w:val="clear" w:color="auto" w:fill="EBEBEB"/>
          </w:tcPr>
          <w:p w14:paraId="186D3708"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-1.689***</w:t>
            </w:r>
          </w:p>
        </w:tc>
      </w:tr>
      <w:tr w:rsidR="00D33976" w:rsidRPr="00927C7A" w14:paraId="0D4474AF" w14:textId="77777777" w:rsidTr="005A65CD">
        <w:tc>
          <w:tcPr>
            <w:tcW w:w="2452" w:type="pct"/>
            <w:tcBorders>
              <w:top w:val="nil"/>
              <w:bottom w:val="nil"/>
            </w:tcBorders>
            <w:shd w:val="clear" w:color="auto" w:fill="EBEBEB"/>
          </w:tcPr>
          <w:p w14:paraId="59FA4380" w14:textId="789A2DB9"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08 Musculoskeletal system and connective tissue</w:t>
            </w:r>
          </w:p>
        </w:tc>
        <w:tc>
          <w:tcPr>
            <w:tcW w:w="638" w:type="pct"/>
            <w:tcBorders>
              <w:top w:val="nil"/>
              <w:bottom w:val="nil"/>
            </w:tcBorders>
            <w:shd w:val="clear" w:color="auto" w:fill="EBEBEB"/>
            <w:vAlign w:val="bottom"/>
          </w:tcPr>
          <w:p w14:paraId="70FC7C2F"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-2.088***</w:t>
            </w:r>
          </w:p>
        </w:tc>
        <w:tc>
          <w:tcPr>
            <w:tcW w:w="638" w:type="pct"/>
            <w:tcBorders>
              <w:top w:val="nil"/>
              <w:bottom w:val="nil"/>
            </w:tcBorders>
            <w:shd w:val="clear" w:color="auto" w:fill="EBEBEB"/>
          </w:tcPr>
          <w:p w14:paraId="21350C7D"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-1.331***</w:t>
            </w:r>
          </w:p>
        </w:tc>
        <w:tc>
          <w:tcPr>
            <w:tcW w:w="638" w:type="pct"/>
            <w:tcBorders>
              <w:top w:val="nil"/>
              <w:bottom w:val="nil"/>
            </w:tcBorders>
            <w:shd w:val="clear" w:color="auto" w:fill="EBEBEB"/>
          </w:tcPr>
          <w:p w14:paraId="0B2CE32B"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-1.332***</w:t>
            </w:r>
          </w:p>
        </w:tc>
        <w:tc>
          <w:tcPr>
            <w:tcW w:w="634" w:type="pct"/>
            <w:tcBorders>
              <w:top w:val="nil"/>
              <w:bottom w:val="nil"/>
            </w:tcBorders>
            <w:shd w:val="clear" w:color="auto" w:fill="EBEBEB"/>
          </w:tcPr>
          <w:p w14:paraId="54138E3C"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-1.332***</w:t>
            </w:r>
          </w:p>
        </w:tc>
      </w:tr>
      <w:tr w:rsidR="00D33976" w:rsidRPr="00927C7A" w14:paraId="1BE3BBAF" w14:textId="77777777" w:rsidTr="005A65CD">
        <w:tc>
          <w:tcPr>
            <w:tcW w:w="2452" w:type="pct"/>
            <w:tcBorders>
              <w:bottom w:val="nil"/>
            </w:tcBorders>
            <w:shd w:val="clear" w:color="auto" w:fill="EBEBEB"/>
          </w:tcPr>
          <w:p w14:paraId="163D0BBC" w14:textId="4DD91A34"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lastRenderedPageBreak/>
              <w:t>09 Skin, subcutaneous tissue and breast</w:t>
            </w:r>
          </w:p>
        </w:tc>
        <w:tc>
          <w:tcPr>
            <w:tcW w:w="638" w:type="pct"/>
            <w:tcBorders>
              <w:bottom w:val="nil"/>
            </w:tcBorders>
            <w:shd w:val="clear" w:color="auto" w:fill="EBEBEB"/>
            <w:vAlign w:val="bottom"/>
          </w:tcPr>
          <w:p w14:paraId="3EF7DA94"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-3.063***</w:t>
            </w:r>
          </w:p>
        </w:tc>
        <w:tc>
          <w:tcPr>
            <w:tcW w:w="638" w:type="pct"/>
            <w:tcBorders>
              <w:bottom w:val="nil"/>
            </w:tcBorders>
            <w:shd w:val="clear" w:color="auto" w:fill="EBEBEB"/>
          </w:tcPr>
          <w:p w14:paraId="45892AD8"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-2.263***</w:t>
            </w:r>
          </w:p>
        </w:tc>
        <w:tc>
          <w:tcPr>
            <w:tcW w:w="638" w:type="pct"/>
            <w:tcBorders>
              <w:bottom w:val="nil"/>
            </w:tcBorders>
            <w:shd w:val="clear" w:color="auto" w:fill="EBEBEB"/>
          </w:tcPr>
          <w:p w14:paraId="3A3D7A75"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-2.264***</w:t>
            </w:r>
          </w:p>
        </w:tc>
        <w:tc>
          <w:tcPr>
            <w:tcW w:w="634" w:type="pct"/>
            <w:tcBorders>
              <w:bottom w:val="nil"/>
            </w:tcBorders>
            <w:shd w:val="clear" w:color="auto" w:fill="EBEBEB"/>
          </w:tcPr>
          <w:p w14:paraId="638FBA1C"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-2.264***</w:t>
            </w:r>
          </w:p>
        </w:tc>
      </w:tr>
      <w:tr w:rsidR="00D33976" w:rsidRPr="00927C7A" w14:paraId="351823B4" w14:textId="77777777" w:rsidTr="005A65CD">
        <w:tc>
          <w:tcPr>
            <w:tcW w:w="2452" w:type="pct"/>
            <w:tcBorders>
              <w:top w:val="nil"/>
              <w:bottom w:val="nil"/>
            </w:tcBorders>
            <w:shd w:val="clear" w:color="auto" w:fill="EBEBEB"/>
          </w:tcPr>
          <w:p w14:paraId="0AA3F78D" w14:textId="756121D9"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10 Endocrine, nutritional and metabolic diseases</w:t>
            </w:r>
          </w:p>
        </w:tc>
        <w:tc>
          <w:tcPr>
            <w:tcW w:w="638" w:type="pct"/>
            <w:tcBorders>
              <w:top w:val="nil"/>
              <w:bottom w:val="nil"/>
            </w:tcBorders>
            <w:shd w:val="clear" w:color="auto" w:fill="EBEBEB"/>
            <w:vAlign w:val="bottom"/>
          </w:tcPr>
          <w:p w14:paraId="4F5CA0EE"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-2.340***</w:t>
            </w:r>
          </w:p>
        </w:tc>
        <w:tc>
          <w:tcPr>
            <w:tcW w:w="638" w:type="pct"/>
            <w:tcBorders>
              <w:top w:val="nil"/>
              <w:bottom w:val="nil"/>
            </w:tcBorders>
            <w:shd w:val="clear" w:color="auto" w:fill="EBEBEB"/>
          </w:tcPr>
          <w:p w14:paraId="2F96B9F5"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-1.651***</w:t>
            </w:r>
          </w:p>
        </w:tc>
        <w:tc>
          <w:tcPr>
            <w:tcW w:w="638" w:type="pct"/>
            <w:tcBorders>
              <w:top w:val="nil"/>
              <w:bottom w:val="nil"/>
            </w:tcBorders>
            <w:shd w:val="clear" w:color="auto" w:fill="EBEBEB"/>
          </w:tcPr>
          <w:p w14:paraId="4468AA45"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-1.652***</w:t>
            </w:r>
          </w:p>
        </w:tc>
        <w:tc>
          <w:tcPr>
            <w:tcW w:w="634" w:type="pct"/>
            <w:tcBorders>
              <w:top w:val="nil"/>
              <w:bottom w:val="nil"/>
            </w:tcBorders>
            <w:shd w:val="clear" w:color="auto" w:fill="EBEBEB"/>
          </w:tcPr>
          <w:p w14:paraId="7E58F0BB"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-1.652***</w:t>
            </w:r>
          </w:p>
        </w:tc>
      </w:tr>
      <w:tr w:rsidR="00D33976" w:rsidRPr="00927C7A" w14:paraId="0F892AF1" w14:textId="77777777" w:rsidTr="005A65CD">
        <w:tc>
          <w:tcPr>
            <w:tcW w:w="2452" w:type="pct"/>
            <w:tcBorders>
              <w:bottom w:val="nil"/>
            </w:tcBorders>
            <w:shd w:val="clear" w:color="auto" w:fill="EBEBEB"/>
          </w:tcPr>
          <w:p w14:paraId="7A1E8E46" w14:textId="6BCE186C"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11 Kidney and urinary tract</w:t>
            </w:r>
          </w:p>
        </w:tc>
        <w:tc>
          <w:tcPr>
            <w:tcW w:w="638" w:type="pct"/>
            <w:tcBorders>
              <w:bottom w:val="nil"/>
            </w:tcBorders>
            <w:shd w:val="clear" w:color="auto" w:fill="EBEBEB"/>
            <w:vAlign w:val="bottom"/>
          </w:tcPr>
          <w:p w14:paraId="01450420"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-2.845***</w:t>
            </w:r>
          </w:p>
        </w:tc>
        <w:tc>
          <w:tcPr>
            <w:tcW w:w="638" w:type="pct"/>
            <w:tcBorders>
              <w:bottom w:val="nil"/>
            </w:tcBorders>
            <w:shd w:val="clear" w:color="auto" w:fill="EBEBEB"/>
          </w:tcPr>
          <w:p w14:paraId="4FBBFA4B"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-2.041***</w:t>
            </w:r>
          </w:p>
        </w:tc>
        <w:tc>
          <w:tcPr>
            <w:tcW w:w="638" w:type="pct"/>
            <w:tcBorders>
              <w:bottom w:val="nil"/>
            </w:tcBorders>
            <w:shd w:val="clear" w:color="auto" w:fill="EBEBEB"/>
          </w:tcPr>
          <w:p w14:paraId="797DF1B3"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-2.042***</w:t>
            </w:r>
          </w:p>
        </w:tc>
        <w:tc>
          <w:tcPr>
            <w:tcW w:w="634" w:type="pct"/>
            <w:tcBorders>
              <w:bottom w:val="nil"/>
            </w:tcBorders>
            <w:shd w:val="clear" w:color="auto" w:fill="EBEBEB"/>
          </w:tcPr>
          <w:p w14:paraId="6FAE5F41"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-2.042***</w:t>
            </w:r>
          </w:p>
        </w:tc>
      </w:tr>
      <w:tr w:rsidR="00D33976" w:rsidRPr="00927C7A" w14:paraId="52344276" w14:textId="77777777" w:rsidTr="005A65CD">
        <w:tc>
          <w:tcPr>
            <w:tcW w:w="2452" w:type="pct"/>
            <w:tcBorders>
              <w:top w:val="nil"/>
              <w:bottom w:val="nil"/>
            </w:tcBorders>
            <w:shd w:val="clear" w:color="auto" w:fill="EBEBEB"/>
          </w:tcPr>
          <w:p w14:paraId="1C410970" w14:textId="5C9E67A7"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12 Male reproductive system</w:t>
            </w:r>
          </w:p>
        </w:tc>
        <w:tc>
          <w:tcPr>
            <w:tcW w:w="638" w:type="pct"/>
            <w:tcBorders>
              <w:top w:val="nil"/>
              <w:bottom w:val="nil"/>
            </w:tcBorders>
            <w:shd w:val="clear" w:color="auto" w:fill="EBEBEB"/>
            <w:vAlign w:val="bottom"/>
          </w:tcPr>
          <w:p w14:paraId="0613D5C6"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-3.193***</w:t>
            </w:r>
          </w:p>
        </w:tc>
        <w:tc>
          <w:tcPr>
            <w:tcW w:w="638" w:type="pct"/>
            <w:tcBorders>
              <w:top w:val="nil"/>
              <w:bottom w:val="nil"/>
            </w:tcBorders>
            <w:shd w:val="clear" w:color="auto" w:fill="EBEBEB"/>
          </w:tcPr>
          <w:p w14:paraId="41FCB65E"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-2.449***</w:t>
            </w:r>
          </w:p>
        </w:tc>
        <w:tc>
          <w:tcPr>
            <w:tcW w:w="638" w:type="pct"/>
            <w:tcBorders>
              <w:top w:val="nil"/>
              <w:bottom w:val="nil"/>
            </w:tcBorders>
            <w:shd w:val="clear" w:color="auto" w:fill="EBEBEB"/>
          </w:tcPr>
          <w:p w14:paraId="16ECF8C9"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-2.450***</w:t>
            </w:r>
          </w:p>
        </w:tc>
        <w:tc>
          <w:tcPr>
            <w:tcW w:w="634" w:type="pct"/>
            <w:tcBorders>
              <w:top w:val="nil"/>
              <w:bottom w:val="nil"/>
            </w:tcBorders>
            <w:shd w:val="clear" w:color="auto" w:fill="EBEBEB"/>
          </w:tcPr>
          <w:p w14:paraId="1C10F92F"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-2.450***</w:t>
            </w:r>
          </w:p>
        </w:tc>
      </w:tr>
      <w:tr w:rsidR="00D33976" w:rsidRPr="00927C7A" w14:paraId="6E30FFC0" w14:textId="77777777" w:rsidTr="005A65CD">
        <w:tc>
          <w:tcPr>
            <w:tcW w:w="2452" w:type="pct"/>
            <w:tcBorders>
              <w:bottom w:val="nil"/>
            </w:tcBorders>
            <w:shd w:val="clear" w:color="auto" w:fill="EBEBEB"/>
          </w:tcPr>
          <w:p w14:paraId="39E68029" w14:textId="7769399A"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13 Female reproductive system</w:t>
            </w:r>
          </w:p>
        </w:tc>
        <w:tc>
          <w:tcPr>
            <w:tcW w:w="638" w:type="pct"/>
            <w:tcBorders>
              <w:bottom w:val="nil"/>
            </w:tcBorders>
            <w:shd w:val="clear" w:color="auto" w:fill="EBEBEB"/>
            <w:vAlign w:val="bottom"/>
          </w:tcPr>
          <w:p w14:paraId="5ACF6FD2"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-2.987***</w:t>
            </w:r>
          </w:p>
        </w:tc>
        <w:tc>
          <w:tcPr>
            <w:tcW w:w="638" w:type="pct"/>
            <w:tcBorders>
              <w:bottom w:val="nil"/>
            </w:tcBorders>
            <w:shd w:val="clear" w:color="auto" w:fill="EBEBEB"/>
          </w:tcPr>
          <w:p w14:paraId="6301BDB4"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-2.263***</w:t>
            </w:r>
          </w:p>
        </w:tc>
        <w:tc>
          <w:tcPr>
            <w:tcW w:w="638" w:type="pct"/>
            <w:tcBorders>
              <w:bottom w:val="nil"/>
            </w:tcBorders>
            <w:shd w:val="clear" w:color="auto" w:fill="EBEBEB"/>
          </w:tcPr>
          <w:p w14:paraId="54D78A3E"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-2.263***</w:t>
            </w:r>
          </w:p>
        </w:tc>
        <w:tc>
          <w:tcPr>
            <w:tcW w:w="634" w:type="pct"/>
            <w:tcBorders>
              <w:bottom w:val="nil"/>
            </w:tcBorders>
            <w:shd w:val="clear" w:color="auto" w:fill="EBEBEB"/>
          </w:tcPr>
          <w:p w14:paraId="6BDF3CEB"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-2.264***</w:t>
            </w:r>
          </w:p>
        </w:tc>
      </w:tr>
      <w:tr w:rsidR="00D33976" w:rsidRPr="00927C7A" w14:paraId="4264410A" w14:textId="77777777" w:rsidTr="005A65CD">
        <w:tc>
          <w:tcPr>
            <w:tcW w:w="2452" w:type="pct"/>
            <w:tcBorders>
              <w:top w:val="nil"/>
              <w:bottom w:val="nil"/>
            </w:tcBorders>
            <w:shd w:val="clear" w:color="auto" w:fill="EBEBEB"/>
          </w:tcPr>
          <w:p w14:paraId="68D056AB" w14:textId="76D46A34"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14 Pregnancy, childbirth and puerperium</w:t>
            </w:r>
          </w:p>
        </w:tc>
        <w:tc>
          <w:tcPr>
            <w:tcW w:w="638" w:type="pct"/>
            <w:tcBorders>
              <w:top w:val="nil"/>
              <w:bottom w:val="nil"/>
            </w:tcBorders>
            <w:shd w:val="clear" w:color="auto" w:fill="EBEBEB"/>
            <w:vAlign w:val="bottom"/>
          </w:tcPr>
          <w:p w14:paraId="1B99C9F2"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-1.157***</w:t>
            </w:r>
          </w:p>
        </w:tc>
        <w:tc>
          <w:tcPr>
            <w:tcW w:w="638" w:type="pct"/>
            <w:tcBorders>
              <w:top w:val="nil"/>
              <w:bottom w:val="nil"/>
            </w:tcBorders>
            <w:shd w:val="clear" w:color="auto" w:fill="EBEBEB"/>
          </w:tcPr>
          <w:p w14:paraId="75E50AFF"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-0.578***</w:t>
            </w:r>
          </w:p>
        </w:tc>
        <w:tc>
          <w:tcPr>
            <w:tcW w:w="638" w:type="pct"/>
            <w:tcBorders>
              <w:top w:val="nil"/>
              <w:bottom w:val="nil"/>
            </w:tcBorders>
            <w:shd w:val="clear" w:color="auto" w:fill="EBEBEB"/>
          </w:tcPr>
          <w:p w14:paraId="6EE3E0C7"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-0.578***</w:t>
            </w:r>
          </w:p>
        </w:tc>
        <w:tc>
          <w:tcPr>
            <w:tcW w:w="634" w:type="pct"/>
            <w:tcBorders>
              <w:top w:val="nil"/>
              <w:bottom w:val="nil"/>
            </w:tcBorders>
            <w:shd w:val="clear" w:color="auto" w:fill="EBEBEB"/>
          </w:tcPr>
          <w:p w14:paraId="37333425"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-0.579***</w:t>
            </w:r>
          </w:p>
        </w:tc>
      </w:tr>
      <w:tr w:rsidR="00D33976" w:rsidRPr="00927C7A" w14:paraId="32A61F4A" w14:textId="77777777" w:rsidTr="005A65CD">
        <w:tc>
          <w:tcPr>
            <w:tcW w:w="2452" w:type="pct"/>
            <w:tcBorders>
              <w:bottom w:val="nil"/>
            </w:tcBorders>
            <w:shd w:val="clear" w:color="auto" w:fill="EBEBEB"/>
          </w:tcPr>
          <w:p w14:paraId="1B1FEF0E" w14:textId="24AA1359"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15 Newborns and other neonates</w:t>
            </w:r>
          </w:p>
        </w:tc>
        <w:tc>
          <w:tcPr>
            <w:tcW w:w="638" w:type="pct"/>
            <w:tcBorders>
              <w:bottom w:val="nil"/>
            </w:tcBorders>
            <w:shd w:val="clear" w:color="auto" w:fill="EBEBEB"/>
            <w:vAlign w:val="bottom"/>
          </w:tcPr>
          <w:p w14:paraId="3322BE6F"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1.770***</w:t>
            </w:r>
          </w:p>
        </w:tc>
        <w:tc>
          <w:tcPr>
            <w:tcW w:w="638" w:type="pct"/>
            <w:tcBorders>
              <w:bottom w:val="nil"/>
            </w:tcBorders>
            <w:shd w:val="clear" w:color="auto" w:fill="EBEBEB"/>
          </w:tcPr>
          <w:p w14:paraId="56F073B3"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1.666***</w:t>
            </w:r>
          </w:p>
        </w:tc>
        <w:tc>
          <w:tcPr>
            <w:tcW w:w="638" w:type="pct"/>
            <w:tcBorders>
              <w:bottom w:val="nil"/>
            </w:tcBorders>
            <w:shd w:val="clear" w:color="auto" w:fill="EBEBEB"/>
          </w:tcPr>
          <w:p w14:paraId="61938FE3"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1.665***</w:t>
            </w:r>
          </w:p>
        </w:tc>
        <w:tc>
          <w:tcPr>
            <w:tcW w:w="634" w:type="pct"/>
            <w:tcBorders>
              <w:bottom w:val="nil"/>
            </w:tcBorders>
            <w:shd w:val="clear" w:color="auto" w:fill="EBEBEB"/>
          </w:tcPr>
          <w:p w14:paraId="7503ECF3"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1.665***</w:t>
            </w:r>
          </w:p>
        </w:tc>
      </w:tr>
      <w:tr w:rsidR="00D33976" w:rsidRPr="00927C7A" w14:paraId="3FD5EE69" w14:textId="77777777" w:rsidTr="005A65CD">
        <w:tc>
          <w:tcPr>
            <w:tcW w:w="2452" w:type="pct"/>
            <w:tcBorders>
              <w:top w:val="nil"/>
              <w:bottom w:val="nil"/>
            </w:tcBorders>
            <w:shd w:val="clear" w:color="auto" w:fill="EBEBEB"/>
          </w:tcPr>
          <w:p w14:paraId="2A0B1AD9" w14:textId="2AB8628A"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 xml:space="preserve">16 Blood, blood forming organs and immunology </w:t>
            </w:r>
          </w:p>
        </w:tc>
        <w:tc>
          <w:tcPr>
            <w:tcW w:w="638" w:type="pct"/>
            <w:tcBorders>
              <w:top w:val="nil"/>
              <w:bottom w:val="nil"/>
            </w:tcBorders>
            <w:shd w:val="clear" w:color="auto" w:fill="EBEBEB"/>
            <w:vAlign w:val="bottom"/>
          </w:tcPr>
          <w:p w14:paraId="0711BCD2"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-2.939***</w:t>
            </w:r>
          </w:p>
        </w:tc>
        <w:tc>
          <w:tcPr>
            <w:tcW w:w="638" w:type="pct"/>
            <w:tcBorders>
              <w:top w:val="nil"/>
              <w:bottom w:val="nil"/>
            </w:tcBorders>
            <w:shd w:val="clear" w:color="auto" w:fill="EBEBEB"/>
          </w:tcPr>
          <w:p w14:paraId="4E856A6D"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-2.208***</w:t>
            </w:r>
          </w:p>
        </w:tc>
        <w:tc>
          <w:tcPr>
            <w:tcW w:w="638" w:type="pct"/>
            <w:tcBorders>
              <w:top w:val="nil"/>
              <w:bottom w:val="nil"/>
            </w:tcBorders>
            <w:shd w:val="clear" w:color="auto" w:fill="EBEBEB"/>
          </w:tcPr>
          <w:p w14:paraId="6F50C2E4"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-2.209***</w:t>
            </w:r>
          </w:p>
        </w:tc>
        <w:tc>
          <w:tcPr>
            <w:tcW w:w="634" w:type="pct"/>
            <w:tcBorders>
              <w:top w:val="nil"/>
              <w:bottom w:val="nil"/>
            </w:tcBorders>
            <w:shd w:val="clear" w:color="auto" w:fill="EBEBEB"/>
          </w:tcPr>
          <w:p w14:paraId="0851A93B"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-2.209***</w:t>
            </w:r>
          </w:p>
        </w:tc>
      </w:tr>
      <w:tr w:rsidR="00D33976" w:rsidRPr="00927C7A" w14:paraId="6D12C2E8" w14:textId="77777777" w:rsidTr="005A65CD">
        <w:tc>
          <w:tcPr>
            <w:tcW w:w="2452" w:type="pct"/>
            <w:tcBorders>
              <w:bottom w:val="nil"/>
            </w:tcBorders>
            <w:shd w:val="clear" w:color="auto" w:fill="EBEBEB"/>
          </w:tcPr>
          <w:p w14:paraId="0D2811E8" w14:textId="16D6AEDB"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17 Neoplastic disorders</w:t>
            </w:r>
          </w:p>
        </w:tc>
        <w:tc>
          <w:tcPr>
            <w:tcW w:w="638" w:type="pct"/>
            <w:tcBorders>
              <w:bottom w:val="nil"/>
            </w:tcBorders>
            <w:shd w:val="clear" w:color="auto" w:fill="EBEBEB"/>
            <w:vAlign w:val="bottom"/>
          </w:tcPr>
          <w:p w14:paraId="5543AA00"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-2.086***</w:t>
            </w:r>
          </w:p>
        </w:tc>
        <w:tc>
          <w:tcPr>
            <w:tcW w:w="638" w:type="pct"/>
            <w:tcBorders>
              <w:bottom w:val="nil"/>
            </w:tcBorders>
            <w:shd w:val="clear" w:color="auto" w:fill="EBEBEB"/>
          </w:tcPr>
          <w:p w14:paraId="1FDDAF19"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-1.304***</w:t>
            </w:r>
          </w:p>
        </w:tc>
        <w:tc>
          <w:tcPr>
            <w:tcW w:w="638" w:type="pct"/>
            <w:tcBorders>
              <w:bottom w:val="nil"/>
            </w:tcBorders>
            <w:shd w:val="clear" w:color="auto" w:fill="EBEBEB"/>
          </w:tcPr>
          <w:p w14:paraId="1693178B"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-1.304***</w:t>
            </w:r>
          </w:p>
        </w:tc>
        <w:tc>
          <w:tcPr>
            <w:tcW w:w="634" w:type="pct"/>
            <w:tcBorders>
              <w:bottom w:val="nil"/>
            </w:tcBorders>
            <w:shd w:val="clear" w:color="auto" w:fill="EBEBEB"/>
          </w:tcPr>
          <w:p w14:paraId="23FAF196"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-1.304***</w:t>
            </w:r>
          </w:p>
        </w:tc>
      </w:tr>
      <w:tr w:rsidR="00D33976" w:rsidRPr="00927C7A" w14:paraId="44005AD6" w14:textId="77777777" w:rsidTr="005A65CD">
        <w:tc>
          <w:tcPr>
            <w:tcW w:w="2452" w:type="pct"/>
            <w:tcBorders>
              <w:top w:val="nil"/>
              <w:bottom w:val="nil"/>
            </w:tcBorders>
            <w:shd w:val="clear" w:color="auto" w:fill="EBEBEB"/>
          </w:tcPr>
          <w:p w14:paraId="03CC4010" w14:textId="3FF9247C"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18 Infectious and parasitic diseases</w:t>
            </w:r>
          </w:p>
        </w:tc>
        <w:tc>
          <w:tcPr>
            <w:tcW w:w="638" w:type="pct"/>
            <w:tcBorders>
              <w:top w:val="nil"/>
              <w:bottom w:val="nil"/>
            </w:tcBorders>
            <w:shd w:val="clear" w:color="auto" w:fill="EBEBEB"/>
            <w:vAlign w:val="bottom"/>
          </w:tcPr>
          <w:p w14:paraId="4DC24A01"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-2.093***</w:t>
            </w:r>
          </w:p>
        </w:tc>
        <w:tc>
          <w:tcPr>
            <w:tcW w:w="638" w:type="pct"/>
            <w:tcBorders>
              <w:top w:val="nil"/>
              <w:bottom w:val="nil"/>
            </w:tcBorders>
            <w:shd w:val="clear" w:color="auto" w:fill="EBEBEB"/>
          </w:tcPr>
          <w:p w14:paraId="319DD7F0"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-1.436***</w:t>
            </w:r>
          </w:p>
        </w:tc>
        <w:tc>
          <w:tcPr>
            <w:tcW w:w="638" w:type="pct"/>
            <w:tcBorders>
              <w:top w:val="nil"/>
              <w:bottom w:val="nil"/>
            </w:tcBorders>
            <w:shd w:val="clear" w:color="auto" w:fill="EBEBEB"/>
          </w:tcPr>
          <w:p w14:paraId="0F71E849"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-1.436***</w:t>
            </w:r>
          </w:p>
        </w:tc>
        <w:tc>
          <w:tcPr>
            <w:tcW w:w="634" w:type="pct"/>
            <w:tcBorders>
              <w:top w:val="nil"/>
              <w:bottom w:val="nil"/>
            </w:tcBorders>
            <w:shd w:val="clear" w:color="auto" w:fill="EBEBEB"/>
          </w:tcPr>
          <w:p w14:paraId="1FE8E0AF"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-1.436***</w:t>
            </w:r>
          </w:p>
        </w:tc>
      </w:tr>
      <w:tr w:rsidR="00D33976" w:rsidRPr="00927C7A" w14:paraId="69203AEF" w14:textId="77777777" w:rsidTr="005A65CD">
        <w:tc>
          <w:tcPr>
            <w:tcW w:w="2452" w:type="pct"/>
            <w:tcBorders>
              <w:bottom w:val="nil"/>
            </w:tcBorders>
            <w:shd w:val="clear" w:color="auto" w:fill="EBEBEB"/>
          </w:tcPr>
          <w:p w14:paraId="5CA9A599" w14:textId="7529FCBB"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 xml:space="preserve">19 Mental, behavioural and neurodevelopmental </w:t>
            </w:r>
          </w:p>
        </w:tc>
        <w:tc>
          <w:tcPr>
            <w:tcW w:w="638" w:type="pct"/>
            <w:tcBorders>
              <w:bottom w:val="nil"/>
            </w:tcBorders>
            <w:shd w:val="clear" w:color="auto" w:fill="EBEBEB"/>
            <w:vAlign w:val="bottom"/>
          </w:tcPr>
          <w:p w14:paraId="7342C0F6"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-8.369***</w:t>
            </w:r>
          </w:p>
        </w:tc>
        <w:tc>
          <w:tcPr>
            <w:tcW w:w="638" w:type="pct"/>
            <w:tcBorders>
              <w:bottom w:val="nil"/>
            </w:tcBorders>
            <w:shd w:val="clear" w:color="auto" w:fill="EBEBEB"/>
          </w:tcPr>
          <w:p w14:paraId="62F18A29"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-7.634***</w:t>
            </w:r>
          </w:p>
        </w:tc>
        <w:tc>
          <w:tcPr>
            <w:tcW w:w="638" w:type="pct"/>
            <w:tcBorders>
              <w:bottom w:val="nil"/>
            </w:tcBorders>
            <w:shd w:val="clear" w:color="auto" w:fill="EBEBEB"/>
          </w:tcPr>
          <w:p w14:paraId="674E3D34"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-7.632***</w:t>
            </w:r>
          </w:p>
        </w:tc>
        <w:tc>
          <w:tcPr>
            <w:tcW w:w="634" w:type="pct"/>
            <w:tcBorders>
              <w:bottom w:val="nil"/>
            </w:tcBorders>
            <w:shd w:val="clear" w:color="auto" w:fill="EBEBEB"/>
          </w:tcPr>
          <w:p w14:paraId="3F8EECD3"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-7.636***</w:t>
            </w:r>
          </w:p>
        </w:tc>
      </w:tr>
      <w:tr w:rsidR="00D33976" w:rsidRPr="00927C7A" w14:paraId="210D15D6" w14:textId="77777777" w:rsidTr="005A65CD">
        <w:tc>
          <w:tcPr>
            <w:tcW w:w="2452" w:type="pct"/>
            <w:tcBorders>
              <w:top w:val="nil"/>
              <w:bottom w:val="nil"/>
            </w:tcBorders>
            <w:shd w:val="clear" w:color="auto" w:fill="EBEBEB"/>
          </w:tcPr>
          <w:p w14:paraId="1481CC54" w14:textId="10AF046C"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21 Injury, poison and toxic effect drugs</w:t>
            </w:r>
          </w:p>
        </w:tc>
        <w:tc>
          <w:tcPr>
            <w:tcW w:w="638" w:type="pct"/>
            <w:tcBorders>
              <w:top w:val="nil"/>
              <w:bottom w:val="nil"/>
            </w:tcBorders>
            <w:shd w:val="clear" w:color="auto" w:fill="EBEBEB"/>
            <w:vAlign w:val="bottom"/>
          </w:tcPr>
          <w:p w14:paraId="52885C66"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-2.822***</w:t>
            </w:r>
          </w:p>
        </w:tc>
        <w:tc>
          <w:tcPr>
            <w:tcW w:w="638" w:type="pct"/>
            <w:tcBorders>
              <w:top w:val="nil"/>
              <w:bottom w:val="nil"/>
            </w:tcBorders>
            <w:shd w:val="clear" w:color="auto" w:fill="EBEBEB"/>
          </w:tcPr>
          <w:p w14:paraId="544DA380"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-1.801***</w:t>
            </w:r>
          </w:p>
        </w:tc>
        <w:tc>
          <w:tcPr>
            <w:tcW w:w="638" w:type="pct"/>
            <w:tcBorders>
              <w:top w:val="nil"/>
              <w:bottom w:val="nil"/>
            </w:tcBorders>
            <w:shd w:val="clear" w:color="auto" w:fill="EBEBEB"/>
          </w:tcPr>
          <w:p w14:paraId="4186354D"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-1.802***</w:t>
            </w:r>
          </w:p>
        </w:tc>
        <w:tc>
          <w:tcPr>
            <w:tcW w:w="634" w:type="pct"/>
            <w:tcBorders>
              <w:top w:val="nil"/>
              <w:bottom w:val="nil"/>
            </w:tcBorders>
            <w:shd w:val="clear" w:color="auto" w:fill="EBEBEB"/>
          </w:tcPr>
          <w:p w14:paraId="54B78F9B"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-1.802***</w:t>
            </w:r>
          </w:p>
        </w:tc>
      </w:tr>
      <w:tr w:rsidR="00D33976" w:rsidRPr="00927C7A" w14:paraId="3688B961" w14:textId="77777777" w:rsidTr="005A65CD">
        <w:tc>
          <w:tcPr>
            <w:tcW w:w="2452" w:type="pct"/>
            <w:tcBorders>
              <w:bottom w:val="nil"/>
            </w:tcBorders>
            <w:shd w:val="clear" w:color="auto" w:fill="EBEBEB"/>
          </w:tcPr>
          <w:p w14:paraId="0E0B7522" w14:textId="5A7BE176"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22 Burns</w:t>
            </w:r>
          </w:p>
        </w:tc>
        <w:tc>
          <w:tcPr>
            <w:tcW w:w="638" w:type="pct"/>
            <w:tcBorders>
              <w:bottom w:val="nil"/>
            </w:tcBorders>
            <w:shd w:val="clear" w:color="auto" w:fill="EBEBEB"/>
            <w:vAlign w:val="bottom"/>
          </w:tcPr>
          <w:p w14:paraId="68994A47"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-2.084***</w:t>
            </w:r>
          </w:p>
        </w:tc>
        <w:tc>
          <w:tcPr>
            <w:tcW w:w="638" w:type="pct"/>
            <w:tcBorders>
              <w:bottom w:val="nil"/>
            </w:tcBorders>
            <w:shd w:val="clear" w:color="auto" w:fill="EBEBEB"/>
          </w:tcPr>
          <w:p w14:paraId="5BC37715"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-1.124***</w:t>
            </w:r>
          </w:p>
        </w:tc>
        <w:tc>
          <w:tcPr>
            <w:tcW w:w="638" w:type="pct"/>
            <w:tcBorders>
              <w:bottom w:val="nil"/>
            </w:tcBorders>
            <w:shd w:val="clear" w:color="auto" w:fill="EBEBEB"/>
          </w:tcPr>
          <w:p w14:paraId="74BC530B"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-1.124***</w:t>
            </w:r>
          </w:p>
        </w:tc>
        <w:tc>
          <w:tcPr>
            <w:tcW w:w="634" w:type="pct"/>
            <w:tcBorders>
              <w:bottom w:val="nil"/>
            </w:tcBorders>
            <w:shd w:val="clear" w:color="auto" w:fill="EBEBEB"/>
          </w:tcPr>
          <w:p w14:paraId="77CAB4D8"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-1.124***</w:t>
            </w:r>
          </w:p>
        </w:tc>
      </w:tr>
      <w:tr w:rsidR="00D33976" w:rsidRPr="00927C7A" w14:paraId="7B0EFACB" w14:textId="77777777" w:rsidTr="005A65CD">
        <w:tc>
          <w:tcPr>
            <w:tcW w:w="2452" w:type="pct"/>
            <w:tcBorders>
              <w:top w:val="nil"/>
            </w:tcBorders>
            <w:shd w:val="clear" w:color="auto" w:fill="EBEBEB"/>
          </w:tcPr>
          <w:p w14:paraId="363CA245" w14:textId="3144D722" w:rsidR="00D33976" w:rsidRPr="00927C7A" w:rsidRDefault="00D33976" w:rsidP="003459DD">
            <w:pPr>
              <w:pStyle w:val="TableHeading"/>
              <w:spacing w:before="45" w:after="45"/>
              <w:ind w:left="170" w:right="108"/>
              <w:rPr>
                <w:rFonts w:cstheme="minorHAnsi"/>
                <w:b w:val="0"/>
                <w:bCs/>
                <w:color w:val="265A9A"/>
                <w:sz w:val="18"/>
                <w:szCs w:val="18"/>
              </w:rPr>
            </w:pPr>
            <w:r w:rsidRPr="00927C7A">
              <w:rPr>
                <w:rFonts w:cstheme="minorHAnsi"/>
                <w:b w:val="0"/>
                <w:bCs/>
                <w:color w:val="265A9A"/>
                <w:sz w:val="18"/>
                <w:szCs w:val="18"/>
              </w:rPr>
              <w:t>23 Factors influencing health status</w:t>
            </w:r>
          </w:p>
        </w:tc>
        <w:tc>
          <w:tcPr>
            <w:tcW w:w="638" w:type="pct"/>
            <w:tcBorders>
              <w:top w:val="nil"/>
            </w:tcBorders>
            <w:shd w:val="clear" w:color="auto" w:fill="EBEBEB"/>
            <w:vAlign w:val="bottom"/>
          </w:tcPr>
          <w:p w14:paraId="4F29F759" w14:textId="77777777" w:rsidR="00D33976" w:rsidRPr="00927C7A" w:rsidRDefault="00D33976" w:rsidP="00AB62C3">
            <w:pPr>
              <w:pStyle w:val="TableBody"/>
              <w:spacing w:before="45" w:after="45"/>
              <w:ind w:right="108"/>
              <w:jc w:val="right"/>
              <w:rPr>
                <w:rFonts w:cstheme="minorHAnsi"/>
                <w:szCs w:val="18"/>
              </w:rPr>
            </w:pPr>
            <w:r w:rsidRPr="00927C7A">
              <w:rPr>
                <w:rFonts w:cstheme="minorHAnsi"/>
                <w:szCs w:val="18"/>
              </w:rPr>
              <w:t>-3.584***</w:t>
            </w:r>
          </w:p>
        </w:tc>
        <w:tc>
          <w:tcPr>
            <w:tcW w:w="638" w:type="pct"/>
            <w:tcBorders>
              <w:top w:val="nil"/>
            </w:tcBorders>
            <w:shd w:val="clear" w:color="auto" w:fill="EBEBEB"/>
          </w:tcPr>
          <w:p w14:paraId="1802F9B6"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-2.623***</w:t>
            </w:r>
          </w:p>
        </w:tc>
        <w:tc>
          <w:tcPr>
            <w:tcW w:w="638" w:type="pct"/>
            <w:tcBorders>
              <w:top w:val="nil"/>
            </w:tcBorders>
            <w:shd w:val="clear" w:color="auto" w:fill="EBEBEB"/>
          </w:tcPr>
          <w:p w14:paraId="45326F91"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-2.624***</w:t>
            </w:r>
          </w:p>
        </w:tc>
        <w:tc>
          <w:tcPr>
            <w:tcW w:w="634" w:type="pct"/>
            <w:tcBorders>
              <w:top w:val="nil"/>
            </w:tcBorders>
            <w:shd w:val="clear" w:color="auto" w:fill="EBEBEB"/>
          </w:tcPr>
          <w:p w14:paraId="3AEEED36" w14:textId="77777777" w:rsidR="00D33976" w:rsidRPr="00927C7A" w:rsidRDefault="00D33976" w:rsidP="00AB62C3">
            <w:pPr>
              <w:pStyle w:val="TableBody"/>
              <w:spacing w:before="45" w:after="45"/>
              <w:ind w:right="108"/>
              <w:jc w:val="right"/>
              <w:rPr>
                <w:rFonts w:cstheme="minorHAnsi"/>
                <w:color w:val="000000"/>
                <w:szCs w:val="18"/>
              </w:rPr>
            </w:pPr>
            <w:r w:rsidRPr="00927C7A">
              <w:rPr>
                <w:rFonts w:cstheme="minorHAnsi"/>
                <w:szCs w:val="18"/>
              </w:rPr>
              <w:t>-2.624***</w:t>
            </w:r>
          </w:p>
        </w:tc>
      </w:tr>
    </w:tbl>
    <w:p w14:paraId="08B83735" w14:textId="62A0D803" w:rsidR="00D33976" w:rsidRPr="004104E7" w:rsidRDefault="00D33976" w:rsidP="00AB62C3">
      <w:pPr>
        <w:pStyle w:val="Note"/>
      </w:pPr>
      <w:r w:rsidRPr="004104E7">
        <w:t>Number of observations (n) = 7,432,889; 7,621,032</w:t>
      </w:r>
      <w:r w:rsidR="003459DD">
        <w:t>.</w:t>
      </w:r>
      <w:r w:rsidRPr="004104E7">
        <w:t xml:space="preserve"> *** </w:t>
      </w:r>
      <w:r w:rsidRPr="004104E7">
        <w:rPr>
          <w:rFonts w:ascii="Cambria Math" w:hAnsi="Cambria Math" w:cs="Cambria Math"/>
        </w:rPr>
        <w:t>𝑝</w:t>
      </w:r>
      <w:r w:rsidRPr="004104E7">
        <w:t xml:space="preserve"> &lt; 0.001, ** </w:t>
      </w:r>
      <w:r w:rsidRPr="004104E7">
        <w:rPr>
          <w:rFonts w:ascii="Cambria Math" w:hAnsi="Cambria Math" w:cs="Cambria Math"/>
        </w:rPr>
        <w:t>𝑝</w:t>
      </w:r>
      <w:r w:rsidRPr="004104E7">
        <w:t xml:space="preserve"> &lt; 0.01, * </w:t>
      </w:r>
      <w:r w:rsidRPr="004104E7">
        <w:rPr>
          <w:rFonts w:ascii="Cambria Math" w:hAnsi="Cambria Math" w:cs="Cambria Math"/>
        </w:rPr>
        <w:t>𝑝</w:t>
      </w:r>
      <w:r w:rsidRPr="004104E7">
        <w:t xml:space="preserve"> &lt; 0.05</w:t>
      </w:r>
      <w:r w:rsidR="005A293F">
        <w:t>.</w:t>
      </w:r>
    </w:p>
    <w:p w14:paraId="41BE2A05" w14:textId="77777777" w:rsidR="00A146B1" w:rsidRDefault="00D33976" w:rsidP="00AB62C3">
      <w:pPr>
        <w:pStyle w:val="Source"/>
        <w:sectPr w:rsidR="00A146B1" w:rsidSect="00D33976">
          <w:headerReference w:type="default" r:id="rId57"/>
          <w:footerReference w:type="even" r:id="rId58"/>
          <w:footerReference w:type="default" r:id="rId59"/>
          <w:headerReference w:type="first" r:id="rId60"/>
          <w:footerReference w:type="first" r:id="rId61"/>
          <w:pgSz w:w="11906" w:h="16838" w:code="9"/>
          <w:pgMar w:top="1134" w:right="1134" w:bottom="1134" w:left="1134" w:header="794" w:footer="510" w:gutter="0"/>
          <w:cols w:space="708"/>
          <w:docGrid w:linePitch="360"/>
        </w:sectPr>
      </w:pPr>
      <w:r w:rsidRPr="004104E7">
        <w:t xml:space="preserve">Source: </w:t>
      </w:r>
      <w:r>
        <w:t>PC</w:t>
      </w:r>
      <w:r w:rsidRPr="004104E7">
        <w:t xml:space="preserve"> estimates based on AIHW NHDH data.</w:t>
      </w:r>
    </w:p>
    <w:p w14:paraId="6C37EDDB" w14:textId="2C382688" w:rsidR="00A146B1" w:rsidRDefault="00A146B1" w:rsidP="00004B7A">
      <w:pPr>
        <w:pStyle w:val="Heading1-nobackground"/>
      </w:pPr>
      <w:r>
        <w:lastRenderedPageBreak/>
        <w:t>References</w:t>
      </w:r>
    </w:p>
    <w:p w14:paraId="2914C0BE" w14:textId="335F9F98" w:rsidR="00601919" w:rsidRDefault="00601919" w:rsidP="00601919">
      <w:pPr>
        <w:pStyle w:val="Reference"/>
        <w:sectPr w:rsidR="00601919" w:rsidSect="00D33976">
          <w:pgSz w:w="11906" w:h="16838" w:code="9"/>
          <w:pgMar w:top="1134" w:right="1134" w:bottom="1134" w:left="1134" w:header="794" w:footer="510" w:gutter="0"/>
          <w:cols w:space="708"/>
          <w:docGrid w:linePitch="360"/>
        </w:sectPr>
      </w:pPr>
    </w:p>
    <w:p w14:paraId="04D2941F" w14:textId="0CD1E553" w:rsidR="004A5E70" w:rsidRDefault="004A5E70" w:rsidP="00E47E09">
      <w:pPr>
        <w:pStyle w:val="Reference"/>
      </w:pPr>
      <w:r>
        <w:t xml:space="preserve">ACSQHC (Australian Commission on Safety and Quality in Health Care) 2018, </w:t>
      </w:r>
      <w:r>
        <w:rPr>
          <w:i/>
          <w:iCs/>
        </w:rPr>
        <w:t>Hospital-Acquired Complications Fact Sheets</w:t>
      </w:r>
      <w:r>
        <w:t>, https://www.safetyandquality.gov.au/sites/default/</w:t>
      </w:r>
      <w:r w:rsidR="00061AA6">
        <w:br/>
      </w:r>
      <w:r>
        <w:t>files/migrated/Short-Hospital-Acquired-Complications-Factsheets-all-HACs.pdf (accessed 17 July 2024).</w:t>
      </w:r>
    </w:p>
    <w:p w14:paraId="1D892AAD" w14:textId="13830F4D" w:rsidR="004A5E70" w:rsidRDefault="004A5E70" w:rsidP="00E47E09">
      <w:pPr>
        <w:pStyle w:val="Reference"/>
      </w:pPr>
      <w:r>
        <w:t>——</w:t>
      </w:r>
      <w:r w:rsidR="00C52899">
        <w:t> </w:t>
      </w:r>
      <w:r>
        <w:t xml:space="preserve">2019, </w:t>
      </w:r>
      <w:r>
        <w:rPr>
          <w:i/>
          <w:iCs/>
        </w:rPr>
        <w:t>Hospital-Acquired Complications (HACs) List - Specifications - Version 3.1</w:t>
      </w:r>
      <w:r>
        <w:t>, https://www.safetyandquality.gov.au/publications-and-resources/resource-library/hospital-acquired-complications-hacs-list-specifications-version-31-12th-edn (accessed 12</w:t>
      </w:r>
      <w:r w:rsidR="00404342">
        <w:t> </w:t>
      </w:r>
      <w:r>
        <w:t>December 2024).</w:t>
      </w:r>
    </w:p>
    <w:p w14:paraId="3236F847" w14:textId="54F9E509" w:rsidR="004A5E70" w:rsidRDefault="004A5E70" w:rsidP="00E47E09">
      <w:pPr>
        <w:pStyle w:val="Reference"/>
      </w:pPr>
      <w:r>
        <w:t>——</w:t>
      </w:r>
      <w:r w:rsidR="00C52899">
        <w:t> </w:t>
      </w:r>
      <w:r>
        <w:t xml:space="preserve">2024a, </w:t>
      </w:r>
      <w:r>
        <w:rPr>
          <w:i/>
          <w:iCs/>
        </w:rPr>
        <w:t>Development of the hospital-acquired complications (HACs) list</w:t>
      </w:r>
      <w:r>
        <w:t>, https://www.safetyandquality.gov.au/our-work/indicators/</w:t>
      </w:r>
      <w:r w:rsidR="00A45B33">
        <w:br/>
      </w:r>
      <w:r>
        <w:t>hospital-acquired-complications/development-of-the-hospital-acquired-complications-hacs-list (accessed 21</w:t>
      </w:r>
      <w:r w:rsidR="00A45B33">
        <w:t> </w:t>
      </w:r>
      <w:r>
        <w:t>June 2024).</w:t>
      </w:r>
    </w:p>
    <w:p w14:paraId="01DF95F0" w14:textId="3B6D1153" w:rsidR="004A5E70" w:rsidRDefault="004A5E70" w:rsidP="00E47E09">
      <w:pPr>
        <w:pStyle w:val="Reference"/>
      </w:pPr>
      <w:r>
        <w:t>——</w:t>
      </w:r>
      <w:r w:rsidR="00C52899">
        <w:t> </w:t>
      </w:r>
      <w:r>
        <w:t xml:space="preserve">2024b, </w:t>
      </w:r>
      <w:r>
        <w:rPr>
          <w:i/>
          <w:iCs/>
        </w:rPr>
        <w:t>Hospital-acquired complications (HACs)</w:t>
      </w:r>
      <w:r>
        <w:t>, Government, Australian Commission on Safety and Quality in Health Care.</w:t>
      </w:r>
    </w:p>
    <w:p w14:paraId="7987B901" w14:textId="77777777" w:rsidR="004A5E70" w:rsidRDefault="004A5E70" w:rsidP="00E47E09">
      <w:pPr>
        <w:pStyle w:val="Reference"/>
      </w:pPr>
      <w:r>
        <w:t>AIHW (Australian Institute of Health and Welfare) 2022, ‘COVID-19 disruptions led to lowest number of public elective surgeries performed in over a decade’, 7 December, https://www.aihw.gov.au/news-media/media-releases/2021/december/covid-19-disruptions-led-to-lowest-number-of-publi (accessed 17 July 2024).</w:t>
      </w:r>
    </w:p>
    <w:p w14:paraId="66D14AA2" w14:textId="0ED85D6F" w:rsidR="004A5E70" w:rsidRDefault="004A5E70" w:rsidP="00E47E09">
      <w:pPr>
        <w:pStyle w:val="Reference"/>
      </w:pPr>
      <w:r>
        <w:t>——</w:t>
      </w:r>
      <w:r w:rsidR="00C52899">
        <w:t> </w:t>
      </w:r>
      <w:r>
        <w:t>2023a, ‘$48 billion health system response to COVID-19 in Australia’, 29 November, https://www.aihw.gov.au/news-media/media-releases/2023/2023-november/48-billion-health-system-response-to-covid-19-in-australia (accessed 24 July 2024).</w:t>
      </w:r>
    </w:p>
    <w:p w14:paraId="06290F95" w14:textId="19BE9055" w:rsidR="004A5E70" w:rsidRDefault="004A5E70" w:rsidP="00E47E09">
      <w:pPr>
        <w:pStyle w:val="Reference"/>
      </w:pPr>
      <w:r>
        <w:t>——</w:t>
      </w:r>
      <w:r w:rsidR="00C52899">
        <w:t> </w:t>
      </w:r>
      <w:r>
        <w:t>2023b, ‘Hospitalisation numbers continued to be affected by the pandemic in 2021–22’, 31 May, https://www.aihw.gov.au/news-media/media-releases/2023/may/hospitalisation-numbers-continued-to-be-affected-b (accessed 13 November 2024).</w:t>
      </w:r>
    </w:p>
    <w:p w14:paraId="70477BBA" w14:textId="14230F7D" w:rsidR="004A5E70" w:rsidRDefault="004A5E70" w:rsidP="00E47E09">
      <w:pPr>
        <w:pStyle w:val="Reference"/>
      </w:pPr>
      <w:r>
        <w:t>——</w:t>
      </w:r>
      <w:r w:rsidR="00C52899">
        <w:t> </w:t>
      </w:r>
      <w:r>
        <w:t xml:space="preserve">2024a, </w:t>
      </w:r>
      <w:r>
        <w:rPr>
          <w:i/>
          <w:iCs/>
        </w:rPr>
        <w:t>National Health Data Hub</w:t>
      </w:r>
      <w:r>
        <w:t>, https://www.aihw.gov.au/reports-data/nhdh (accessed 13 December 2024).</w:t>
      </w:r>
    </w:p>
    <w:p w14:paraId="01627C0B" w14:textId="02D24FC7" w:rsidR="004A5E70" w:rsidRDefault="004A5E70" w:rsidP="00E47E09">
      <w:pPr>
        <w:pStyle w:val="Reference"/>
      </w:pPr>
      <w:r>
        <w:t>——</w:t>
      </w:r>
      <w:r w:rsidR="00C52899">
        <w:t> </w:t>
      </w:r>
      <w:r>
        <w:t xml:space="preserve">2024b, </w:t>
      </w:r>
      <w:r>
        <w:rPr>
          <w:i/>
          <w:iCs/>
        </w:rPr>
        <w:t>National Health Data Hub: Data and Data Items</w:t>
      </w:r>
      <w:r>
        <w:t>, https://www.aihw.gov.au/reports-data/nhdh/data (accessed 12 December 2024).</w:t>
      </w:r>
    </w:p>
    <w:p w14:paraId="3A3D7402" w14:textId="77777777" w:rsidR="004A5E70" w:rsidRDefault="004A5E70" w:rsidP="00E47E09">
      <w:pPr>
        <w:pStyle w:val="Reference"/>
      </w:pPr>
      <w:r>
        <w:t xml:space="preserve">AMA (Australian Medical Association) 2016, </w:t>
      </w:r>
      <w:r>
        <w:rPr>
          <w:i/>
          <w:iCs/>
        </w:rPr>
        <w:t>AMA Submission on the IHPA Consultation Paper on the Pricing Framework for Australian Public Hospital Services 2017-18</w:t>
      </w:r>
      <w:r>
        <w:t>, 31 October.</w:t>
      </w:r>
    </w:p>
    <w:p w14:paraId="62984B8A" w14:textId="36ED224F" w:rsidR="004A5E70" w:rsidRDefault="004A5E70" w:rsidP="00E47E09">
      <w:pPr>
        <w:pStyle w:val="Reference"/>
      </w:pPr>
      <w:r>
        <w:t>——</w:t>
      </w:r>
      <w:r w:rsidR="00C52899">
        <w:t> </w:t>
      </w:r>
      <w:r>
        <w:t xml:space="preserve">2023, </w:t>
      </w:r>
      <w:r>
        <w:rPr>
          <w:i/>
          <w:iCs/>
        </w:rPr>
        <w:t>What happens when we fund hospitals to perform</w:t>
      </w:r>
      <w:r>
        <w:t>.</w:t>
      </w:r>
    </w:p>
    <w:p w14:paraId="0796D822" w14:textId="77777777" w:rsidR="004A5E70" w:rsidRDefault="004A5E70" w:rsidP="00E47E09">
      <w:pPr>
        <w:pStyle w:val="Reference"/>
      </w:pPr>
      <w:r>
        <w:t xml:space="preserve">Angrist, JD and Pischke, J-S 2009, </w:t>
      </w:r>
      <w:r>
        <w:rPr>
          <w:i/>
          <w:iCs/>
        </w:rPr>
        <w:t>Mostly harmless econometrics: an empiricist’s companion</w:t>
      </w:r>
      <w:r>
        <w:t>, Princeton University Press, Princeton, New Jersey Oxford.</w:t>
      </w:r>
    </w:p>
    <w:p w14:paraId="40EE5283" w14:textId="77777777" w:rsidR="004A5E70" w:rsidRPr="00F17A05" w:rsidRDefault="004A5E70" w:rsidP="00E47E09">
      <w:pPr>
        <w:pStyle w:val="Reference"/>
        <w:rPr>
          <w:spacing w:val="-2"/>
        </w:rPr>
      </w:pPr>
      <w:r w:rsidRPr="00F17A05">
        <w:rPr>
          <w:spacing w:val="-2"/>
        </w:rPr>
        <w:t xml:space="preserve">Breadon, P and Baldwin, E 2025, </w:t>
      </w:r>
      <w:r w:rsidRPr="00F17A05">
        <w:rPr>
          <w:i/>
          <w:iCs/>
          <w:spacing w:val="-2"/>
        </w:rPr>
        <w:t>Smarter spending: Getting better care for every hospital dollar</w:t>
      </w:r>
      <w:r w:rsidRPr="00F17A05">
        <w:rPr>
          <w:spacing w:val="-2"/>
        </w:rPr>
        <w:t>, November, Grattan Institute.</w:t>
      </w:r>
    </w:p>
    <w:p w14:paraId="11E05458" w14:textId="14158A9D" w:rsidR="004A5E70" w:rsidRDefault="004A5E70" w:rsidP="00E47E09">
      <w:pPr>
        <w:pStyle w:val="Reference"/>
      </w:pPr>
      <w:r>
        <w:t xml:space="preserve">Centres for Medicare &amp; Medicaid Services 2024, </w:t>
      </w:r>
      <w:r>
        <w:rPr>
          <w:i/>
          <w:iCs/>
        </w:rPr>
        <w:t>The Hospital Value-Based Purchasing Program</w:t>
      </w:r>
      <w:r>
        <w:t>, https://www.cms.gov/medicare/quality/initiatives/hospital-quality-initiative/hospital-value-based-purchasing (accessed 1</w:t>
      </w:r>
      <w:r w:rsidR="00F17A05">
        <w:t> </w:t>
      </w:r>
      <w:r>
        <w:t>July 2024).</w:t>
      </w:r>
    </w:p>
    <w:p w14:paraId="661064E5" w14:textId="77777777" w:rsidR="004A5E70" w:rsidRPr="00F17A05" w:rsidRDefault="004A5E70" w:rsidP="00E47E09">
      <w:pPr>
        <w:pStyle w:val="Reference"/>
        <w:rPr>
          <w:spacing w:val="-4"/>
        </w:rPr>
      </w:pPr>
      <w:r w:rsidRPr="00F17A05">
        <w:rPr>
          <w:spacing w:val="-4"/>
        </w:rPr>
        <w:t xml:space="preserve">DHAC (Department of Health and Aged Care) 2016, </w:t>
      </w:r>
      <w:r w:rsidRPr="00F17A05">
        <w:rPr>
          <w:i/>
          <w:iCs/>
          <w:spacing w:val="-4"/>
        </w:rPr>
        <w:t>2017 - 2020 Addendum to the National Health Reform Agreement</w:t>
      </w:r>
      <w:r w:rsidRPr="00F17A05">
        <w:rPr>
          <w:spacing w:val="-4"/>
        </w:rPr>
        <w:t>, April.</w:t>
      </w:r>
    </w:p>
    <w:p w14:paraId="1DFB967C" w14:textId="77777777" w:rsidR="004A5E70" w:rsidRDefault="004A5E70" w:rsidP="00E47E09">
      <w:pPr>
        <w:pStyle w:val="Reference"/>
      </w:pPr>
      <w:r>
        <w:t xml:space="preserve">Dodge, Y 2008, ‘Odds and Odds Ratio’, </w:t>
      </w:r>
      <w:r>
        <w:rPr>
          <w:i/>
          <w:iCs/>
        </w:rPr>
        <w:t>The Concise Encyclopedia of Statistics</w:t>
      </w:r>
      <w:r>
        <w:t>, Springer New York, New York, NY, pp. 391–393, http://link.springer.com/10.1007/978-0-387-32833-1_292 (accessed 3 June 2025).</w:t>
      </w:r>
    </w:p>
    <w:p w14:paraId="57C8DF19" w14:textId="6E9EB09B" w:rsidR="004A5E70" w:rsidRPr="00F17A05" w:rsidRDefault="004A5E70" w:rsidP="00E47E09">
      <w:pPr>
        <w:pStyle w:val="Reference"/>
        <w:rPr>
          <w:spacing w:val="-4"/>
        </w:rPr>
      </w:pPr>
      <w:r w:rsidRPr="00F17A05">
        <w:rPr>
          <w:spacing w:val="-4"/>
        </w:rPr>
        <w:t xml:space="preserve">Duckett, S and </w:t>
      </w:r>
      <w:proofErr w:type="spellStart"/>
      <w:r w:rsidRPr="00F17A05">
        <w:rPr>
          <w:spacing w:val="-4"/>
        </w:rPr>
        <w:t>Jorm</w:t>
      </w:r>
      <w:proofErr w:type="spellEnd"/>
      <w:r w:rsidRPr="00F17A05">
        <w:rPr>
          <w:spacing w:val="-4"/>
        </w:rPr>
        <w:t xml:space="preserve">, C 2018, </w:t>
      </w:r>
      <w:r w:rsidRPr="00F17A05">
        <w:rPr>
          <w:i/>
          <w:iCs/>
          <w:spacing w:val="-4"/>
        </w:rPr>
        <w:t>All complications should count: Using our data to make hospitals safer</w:t>
      </w:r>
      <w:r w:rsidRPr="00F17A05">
        <w:rPr>
          <w:spacing w:val="-4"/>
        </w:rPr>
        <w:t>, February, Grattan Institute, https://grattan.edu.au/wp-content/uploads/2018/02/897-All-complications-should-count.pdf (accessed 21 June 2024).</w:t>
      </w:r>
    </w:p>
    <w:p w14:paraId="5023A9EF" w14:textId="77777777" w:rsidR="004A5E70" w:rsidRDefault="004A5E70" w:rsidP="00E47E09">
      <w:pPr>
        <w:pStyle w:val="Reference"/>
      </w:pPr>
      <w:r>
        <w:t xml:space="preserve">Hsu, HE, Wang, R, Broadwell, C, Horan, K, Jin, R, Rhee, C and Lee, GM 2020, ‘Association between federal value-based incentive programs and health care–associated infection rates in safety-net and non–safety-net hospitals’, American Medical Association, </w:t>
      </w:r>
      <w:r>
        <w:rPr>
          <w:i/>
          <w:iCs/>
        </w:rPr>
        <w:t>JAMA network open</w:t>
      </w:r>
      <w:r>
        <w:t>, vol. 3, no. 7, pp. e209700–e209700.</w:t>
      </w:r>
    </w:p>
    <w:p w14:paraId="033B063A" w14:textId="77777777" w:rsidR="004A5E70" w:rsidRDefault="004A5E70" w:rsidP="00E47E09">
      <w:pPr>
        <w:pStyle w:val="Reference"/>
      </w:pPr>
      <w:r>
        <w:t xml:space="preserve">Huus, AM and </w:t>
      </w:r>
      <w:proofErr w:type="spellStart"/>
      <w:r>
        <w:t>Baardseng</w:t>
      </w:r>
      <w:proofErr w:type="spellEnd"/>
      <w:r>
        <w:t xml:space="preserve">, TN 2019, ‘Quality-based financing – the Norwegian experience’, </w:t>
      </w:r>
      <w:r>
        <w:rPr>
          <w:i/>
          <w:iCs/>
        </w:rPr>
        <w:t>OECD Journal on Budgeting</w:t>
      </w:r>
      <w:r>
        <w:t>, vol. 19, no. 3.</w:t>
      </w:r>
    </w:p>
    <w:p w14:paraId="0A6A8EBA" w14:textId="77777777" w:rsidR="004A5E70" w:rsidRDefault="004A5E70" w:rsidP="00E47E09">
      <w:pPr>
        <w:pStyle w:val="Reference"/>
      </w:pPr>
      <w:r>
        <w:t xml:space="preserve">Huxtable, R 2023, </w:t>
      </w:r>
      <w:r>
        <w:rPr>
          <w:i/>
          <w:iCs/>
        </w:rPr>
        <w:t>Mid-Term review of the National Health Reform Agreement Addendum 2020-2025</w:t>
      </w:r>
      <w:r>
        <w:t>.</w:t>
      </w:r>
    </w:p>
    <w:p w14:paraId="34F23D21" w14:textId="16AEF2D9" w:rsidR="004A5E70" w:rsidRPr="003B5935" w:rsidRDefault="004A5E70" w:rsidP="00E47E09">
      <w:pPr>
        <w:pStyle w:val="Reference"/>
        <w:rPr>
          <w:spacing w:val="-4"/>
        </w:rPr>
      </w:pPr>
      <w:r w:rsidRPr="003B5935">
        <w:rPr>
          <w:spacing w:val="-4"/>
        </w:rPr>
        <w:t xml:space="preserve">IHACPA (Independent Health and Aged Care Pricing Authority) 2020, </w:t>
      </w:r>
      <w:r w:rsidRPr="003B5935">
        <w:rPr>
          <w:i/>
          <w:iCs/>
          <w:spacing w:val="-4"/>
        </w:rPr>
        <w:t>COVID-19 Response: Costing and pricing guidelines</w:t>
      </w:r>
      <w:r w:rsidRPr="003B5935">
        <w:rPr>
          <w:spacing w:val="-4"/>
        </w:rPr>
        <w:t>, 23</w:t>
      </w:r>
      <w:r w:rsidR="003B5935">
        <w:rPr>
          <w:spacing w:val="-4"/>
        </w:rPr>
        <w:t> </w:t>
      </w:r>
      <w:r w:rsidRPr="003B5935">
        <w:rPr>
          <w:spacing w:val="-4"/>
        </w:rPr>
        <w:t>June, https://www.ihacpa.gov.au/sites/default/files/2022-02/COVID-19%20Response%20-%20Costing%20and%</w:t>
      </w:r>
      <w:r w:rsidR="00F17A05">
        <w:rPr>
          <w:spacing w:val="-4"/>
        </w:rPr>
        <w:br/>
      </w:r>
      <w:r w:rsidRPr="003B5935">
        <w:rPr>
          <w:spacing w:val="-4"/>
        </w:rPr>
        <w:t>20pricing%20guidelines.pdf (accessed 13 November 2024).</w:t>
      </w:r>
    </w:p>
    <w:p w14:paraId="4C1FF75D" w14:textId="2CA00C06" w:rsidR="004A5E70" w:rsidRDefault="004A5E70" w:rsidP="00E47E09">
      <w:pPr>
        <w:pStyle w:val="Reference"/>
      </w:pPr>
      <w:r>
        <w:t>——</w:t>
      </w:r>
      <w:r w:rsidR="00C52899">
        <w:t> </w:t>
      </w:r>
      <w:r>
        <w:t xml:space="preserve">2023a, </w:t>
      </w:r>
      <w:r>
        <w:rPr>
          <w:i/>
          <w:iCs/>
        </w:rPr>
        <w:t>National Benchmarking Portal Technical Specifications</w:t>
      </w:r>
      <w:r>
        <w:t>, April, https://www.ihacpa.gov.au/sites/</w:t>
      </w:r>
      <w:r w:rsidR="00B70BF1">
        <w:br/>
      </w:r>
      <w:r>
        <w:t>default/files/2023-05/National%20Benchmarking</w:t>
      </w:r>
      <w:r w:rsidR="00B70BF1">
        <w:br/>
      </w:r>
      <w:r>
        <w:t>%20Portal%20-%20Technical%20Specifications%</w:t>
      </w:r>
      <w:r w:rsidR="00B70BF1">
        <w:br/>
      </w:r>
      <w:r>
        <w:t>20April%202023.PDF (accessed 13 November 2024).</w:t>
      </w:r>
    </w:p>
    <w:p w14:paraId="01619A52" w14:textId="1D0C8048" w:rsidR="004A5E70" w:rsidRDefault="004A5E70" w:rsidP="00E47E09">
      <w:pPr>
        <w:pStyle w:val="Reference"/>
      </w:pPr>
      <w:r>
        <w:t>——</w:t>
      </w:r>
      <w:r w:rsidR="00C52899">
        <w:t> </w:t>
      </w:r>
      <w:r>
        <w:t xml:space="preserve">2023b, </w:t>
      </w:r>
      <w:r>
        <w:rPr>
          <w:i/>
          <w:iCs/>
        </w:rPr>
        <w:t>Pricing and funding for safety and quality: Hospital acquired complications</w:t>
      </w:r>
      <w:r>
        <w:t>, January, https://www.ihacpa.gov.au/</w:t>
      </w:r>
      <w:r w:rsidR="00B70BF1">
        <w:br/>
      </w:r>
      <w:r>
        <w:t>sites/default/files/2023-01/</w:t>
      </w:r>
      <w:proofErr w:type="spellStart"/>
      <w:r>
        <w:t>IHACPA_Hospital_Acquired</w:t>
      </w:r>
      <w:proofErr w:type="spellEnd"/>
      <w:r>
        <w:t>_</w:t>
      </w:r>
      <w:r w:rsidR="00B70BF1">
        <w:br/>
      </w:r>
      <w:r>
        <w:t>Complications_Fact_Sheet.PDF (accessed 17 July 2024).</w:t>
      </w:r>
    </w:p>
    <w:p w14:paraId="1869EA66" w14:textId="77E26927" w:rsidR="004A5E70" w:rsidRDefault="004A5E70" w:rsidP="00E47E09">
      <w:pPr>
        <w:pStyle w:val="Reference"/>
      </w:pPr>
      <w:r>
        <w:t>——</w:t>
      </w:r>
      <w:r w:rsidR="00C52899">
        <w:t> </w:t>
      </w:r>
      <w:r>
        <w:t xml:space="preserve">2023c, </w:t>
      </w:r>
      <w:r>
        <w:rPr>
          <w:i/>
          <w:iCs/>
        </w:rPr>
        <w:t>Safety and quality</w:t>
      </w:r>
      <w:r>
        <w:t>, Government, IHACPA, https://www.ihacpa.gov.au/health-care/pricing/safety-and-quality (accessed 24 April 2024).</w:t>
      </w:r>
    </w:p>
    <w:p w14:paraId="3251FDC9" w14:textId="3EA051DE" w:rsidR="004A5E70" w:rsidRDefault="004A5E70" w:rsidP="00E47E09">
      <w:pPr>
        <w:pStyle w:val="Reference"/>
      </w:pPr>
      <w:r>
        <w:t>——</w:t>
      </w:r>
      <w:r w:rsidR="00C52899">
        <w:t> </w:t>
      </w:r>
      <w:r>
        <w:t xml:space="preserve">2024, </w:t>
      </w:r>
      <w:r>
        <w:rPr>
          <w:i/>
          <w:iCs/>
        </w:rPr>
        <w:t>Mental health care</w:t>
      </w:r>
      <w:r>
        <w:t>, https://www.ihacpa.gov.au/</w:t>
      </w:r>
      <w:r w:rsidR="00404342">
        <w:br/>
      </w:r>
      <w:proofErr w:type="gramStart"/>
      <w:r>
        <w:t>health-care</w:t>
      </w:r>
      <w:proofErr w:type="gramEnd"/>
      <w:r>
        <w:t>/classification/mental-</w:t>
      </w:r>
      <w:proofErr w:type="gramStart"/>
      <w:r>
        <w:t>health-care</w:t>
      </w:r>
      <w:proofErr w:type="gramEnd"/>
      <w:r>
        <w:t xml:space="preserve"> (accessed 13</w:t>
      </w:r>
      <w:r w:rsidR="00404342">
        <w:t> </w:t>
      </w:r>
      <w:r>
        <w:t>December 2024).</w:t>
      </w:r>
    </w:p>
    <w:p w14:paraId="0E81C5E0" w14:textId="63AE2448" w:rsidR="004A5E70" w:rsidRDefault="004A5E70" w:rsidP="00E47E09">
      <w:pPr>
        <w:pStyle w:val="Reference"/>
      </w:pPr>
      <w:r>
        <w:t>——</w:t>
      </w:r>
      <w:r w:rsidR="00C52899">
        <w:t> </w:t>
      </w:r>
      <w:r>
        <w:t xml:space="preserve">2025, </w:t>
      </w:r>
      <w:r>
        <w:rPr>
          <w:i/>
          <w:iCs/>
        </w:rPr>
        <w:t>National Efficient Price Determination</w:t>
      </w:r>
      <w:r>
        <w:t>, https://www.ihacpa.gov.au/health-care/pricing/national-efficient-price-determination (accessed 16 May 2025).</w:t>
      </w:r>
    </w:p>
    <w:p w14:paraId="2390E6E6" w14:textId="6CA13880" w:rsidR="004A5E70" w:rsidRDefault="004A5E70" w:rsidP="00E47E09">
      <w:pPr>
        <w:pStyle w:val="Reference"/>
      </w:pPr>
      <w:r>
        <w:t>——</w:t>
      </w:r>
      <w:r w:rsidR="00C52899">
        <w:t> </w:t>
      </w:r>
      <w:r>
        <w:t xml:space="preserve">2026, </w:t>
      </w:r>
      <w:r>
        <w:rPr>
          <w:i/>
          <w:iCs/>
        </w:rPr>
        <w:t>Hospital Acquired Complications</w:t>
      </w:r>
      <w:r>
        <w:t>, National Benchmarking Portal, https://benchmarking.ihacpa.gov.au/</w:t>
      </w:r>
      <w:r w:rsidR="00404342">
        <w:br/>
      </w:r>
      <w:proofErr w:type="gramStart"/>
      <w:r>
        <w:t>extensions/ihpanbp/index.html?_</w:t>
      </w:r>
      <w:proofErr w:type="gramEnd"/>
      <w:r>
        <w:t>gl=1*im2wc8*_ga*ODY2MDAyNzM3LjE3MDc4</w:t>
      </w:r>
      <w:proofErr w:type="gramStart"/>
      <w:r>
        <w:t>MDIzODE.*</w:t>
      </w:r>
      <w:proofErr w:type="gramEnd"/>
      <w:r>
        <w:t>_ga_RT9SCTSN40*MTcxODc2NDExMi42OC4wLjE3MTg3NjQxMTIuMC4</w:t>
      </w:r>
      <w:proofErr w:type="gramStart"/>
      <w:r>
        <w:t>wLjA.#</w:t>
      </w:r>
      <w:proofErr w:type="gramEnd"/>
      <w:r>
        <w:t>/periodic-insights/hac-trends (accessed 21 June 2024).</w:t>
      </w:r>
    </w:p>
    <w:p w14:paraId="08F6D073" w14:textId="77777777" w:rsidR="004A5E70" w:rsidRDefault="004A5E70" w:rsidP="00E47E09">
      <w:pPr>
        <w:pStyle w:val="Reference"/>
      </w:pPr>
      <w:r>
        <w:t xml:space="preserve">IHPA (Independent Health Pricing Authority) 2017a, </w:t>
      </w:r>
      <w:r>
        <w:rPr>
          <w:i/>
          <w:iCs/>
        </w:rPr>
        <w:t>Pricing Framework for Australian Public Hospital Services 2018-19</w:t>
      </w:r>
      <w:r>
        <w:t>, November, https://www.ihacpa.gov.au/sites/default/files/2022-02/Pricing%20Framework%20for%20Australian%20Public%20</w:t>
      </w:r>
      <w:r>
        <w:lastRenderedPageBreak/>
        <w:t>Hospital%20Services%202018%E2%80%9319.pdf (accessed 17 July 2024).</w:t>
      </w:r>
    </w:p>
    <w:p w14:paraId="7FA78129" w14:textId="0A130D3E" w:rsidR="004A5E70" w:rsidRDefault="004A5E70" w:rsidP="00E47E09">
      <w:pPr>
        <w:pStyle w:val="Reference"/>
      </w:pPr>
      <w:r>
        <w:t>——</w:t>
      </w:r>
      <w:r w:rsidR="00C52899">
        <w:t> </w:t>
      </w:r>
      <w:r>
        <w:t xml:space="preserve">2016, </w:t>
      </w:r>
      <w:r>
        <w:rPr>
          <w:i/>
          <w:iCs/>
        </w:rPr>
        <w:t>Consultation Paper on the Pricing Framework for Australian Public Hospital Services 2017-18</w:t>
      </w:r>
      <w:r>
        <w:t>, September, https://www.ihacpa.gov.au/sites/default/files/2022-02/consultation_paper_on_the_pricing_framework_2017-18_0.pdf (accessed 16 May 2025).</w:t>
      </w:r>
    </w:p>
    <w:p w14:paraId="5812FEFC" w14:textId="6490F28C" w:rsidR="004A5E70" w:rsidRDefault="004A5E70" w:rsidP="00E47E09">
      <w:pPr>
        <w:pStyle w:val="Reference"/>
      </w:pPr>
      <w:r>
        <w:t>——</w:t>
      </w:r>
      <w:r w:rsidR="00C52899">
        <w:t> </w:t>
      </w:r>
      <w:r>
        <w:t xml:space="preserve">2017b, </w:t>
      </w:r>
      <w:r>
        <w:rPr>
          <w:i/>
          <w:iCs/>
        </w:rPr>
        <w:t>Risk adjustment model for Hospital Acquired Complications – Technical Specifications</w:t>
      </w:r>
      <w:r>
        <w:t>, July, https://www.ihacpa.gov.au/sites/default/files/2022-02/risk_adjustment_model_for_hospital_acquired_complications_-_technical_specifications_v1.0_july_2017.pdf (accessed 21 June 2024).</w:t>
      </w:r>
    </w:p>
    <w:p w14:paraId="6BCD0028" w14:textId="63E135C7" w:rsidR="004A5E70" w:rsidRDefault="004A5E70" w:rsidP="00E47E09">
      <w:pPr>
        <w:pStyle w:val="Reference"/>
      </w:pPr>
      <w:r>
        <w:t>——</w:t>
      </w:r>
      <w:r w:rsidR="00C52899">
        <w:t> </w:t>
      </w:r>
      <w:r>
        <w:t xml:space="preserve">2018, </w:t>
      </w:r>
      <w:r>
        <w:rPr>
          <w:i/>
          <w:iCs/>
        </w:rPr>
        <w:t>Pricing and funding for safety and quality: Risk adjustment model for Hospital Acquired Complications</w:t>
      </w:r>
      <w:r>
        <w:t>, March, https://www.ihacpa.gov.au/sites/default/files/2022-02/Pricing%</w:t>
      </w:r>
      <w:r w:rsidR="00404342">
        <w:br/>
      </w:r>
      <w:r>
        <w:t>20and%20funding%20for%20safety%20and%20quality%20-%20Risk%20adjustment%20model%20for%20Hospital%</w:t>
      </w:r>
      <w:r w:rsidR="00404342">
        <w:br/>
      </w:r>
      <w:r>
        <w:t>20Acquired%20Complications%202018-19.pdf (accessed 23</w:t>
      </w:r>
      <w:r w:rsidR="00404342">
        <w:t> </w:t>
      </w:r>
      <w:r>
        <w:t>July 2022).</w:t>
      </w:r>
    </w:p>
    <w:p w14:paraId="328BECFA" w14:textId="77777777" w:rsidR="004A5E70" w:rsidRDefault="004A5E70" w:rsidP="00E47E09">
      <w:pPr>
        <w:pStyle w:val="Reference"/>
      </w:pPr>
      <w:r>
        <w:t xml:space="preserve">Kim, H, Mahmood, A, Hammarlund, N and Chang, CF 2022, ‘Hospital value-based payment programs and disparity in the United States: A review of current evidence and future perspectives’, </w:t>
      </w:r>
      <w:r>
        <w:rPr>
          <w:i/>
          <w:iCs/>
        </w:rPr>
        <w:t>Frontiers in Public Health</w:t>
      </w:r>
      <w:r>
        <w:t>.</w:t>
      </w:r>
    </w:p>
    <w:p w14:paraId="3D0F02C5" w14:textId="77777777" w:rsidR="004A5E70" w:rsidRDefault="004A5E70" w:rsidP="00E47E09">
      <w:pPr>
        <w:pStyle w:val="Reference"/>
      </w:pPr>
      <w:r>
        <w:t xml:space="preserve">KPMG 2013, </w:t>
      </w:r>
      <w:r>
        <w:rPr>
          <w:i/>
          <w:iCs/>
        </w:rPr>
        <w:t>National set of high priority hospital complications - Final report</w:t>
      </w:r>
      <w:r>
        <w:t>, 19 December, Australian Commission on Safety and Quality in Health Care, https://www.safetyandquality.gov.au/sites/default/files/migrated/National-set-of-high-priority-hospital-complications-Dec-2013.pdf (accessed 21 June 2024).</w:t>
      </w:r>
    </w:p>
    <w:p w14:paraId="03EA1224" w14:textId="77777777" w:rsidR="004A5E70" w:rsidRDefault="004A5E70" w:rsidP="00E47E09">
      <w:pPr>
        <w:pStyle w:val="Reference"/>
      </w:pPr>
      <w:r>
        <w:t xml:space="preserve">Kristensen, SR, Bech, M and Lauridsen, JT 2016, ‘Who to pay for performance? The choice of organisational level for hospital performance incentives’, Springer, </w:t>
      </w:r>
      <w:r>
        <w:rPr>
          <w:i/>
          <w:iCs/>
        </w:rPr>
        <w:t>The European Journal of Health Economics</w:t>
      </w:r>
      <w:r>
        <w:t>, vol. 17, pp. 435–442.</w:t>
      </w:r>
    </w:p>
    <w:p w14:paraId="45C6A8FF" w14:textId="221A6E81" w:rsidR="004A5E70" w:rsidRDefault="004A5E70" w:rsidP="00E47E09">
      <w:pPr>
        <w:pStyle w:val="Reference"/>
      </w:pPr>
      <w:r>
        <w:t xml:space="preserve">METEOR (Metadata Online Registry) 2023, </w:t>
      </w:r>
      <w:r>
        <w:rPr>
          <w:i/>
          <w:iCs/>
        </w:rPr>
        <w:t>Admitted patient care NMDS 2024–25</w:t>
      </w:r>
      <w:r>
        <w:t>, https://meteor.aihw.gov.au/</w:t>
      </w:r>
      <w:r w:rsidR="005734B9">
        <w:br/>
      </w:r>
      <w:r>
        <w:t>content/775630 (accessed 12</w:t>
      </w:r>
      <w:r w:rsidR="005734B9">
        <w:t> </w:t>
      </w:r>
      <w:r>
        <w:t>December 2024).</w:t>
      </w:r>
    </w:p>
    <w:p w14:paraId="714E2822" w14:textId="77777777" w:rsidR="004A5E70" w:rsidRDefault="004A5E70" w:rsidP="00E47E09">
      <w:pPr>
        <w:pStyle w:val="Reference"/>
      </w:pPr>
      <w:r>
        <w:t xml:space="preserve">Milstein, R and Schreyoegg, J 2016, ‘Pay for performance in the inpatient sector: A review of 34 P4P programs in 14 OECD countries’, </w:t>
      </w:r>
      <w:r>
        <w:rPr>
          <w:i/>
          <w:iCs/>
        </w:rPr>
        <w:t>Health Policy</w:t>
      </w:r>
      <w:r>
        <w:t>, vol. 120, no. 10, pp. 1125–1140.</w:t>
      </w:r>
    </w:p>
    <w:p w14:paraId="5E6696F6" w14:textId="3C1D7219" w:rsidR="004A5E70" w:rsidRDefault="004A5E70" w:rsidP="00E47E09">
      <w:pPr>
        <w:pStyle w:val="Reference"/>
      </w:pPr>
      <w:r>
        <w:t xml:space="preserve">NHFB (National Health Funding Body) 2023, </w:t>
      </w:r>
      <w:r>
        <w:rPr>
          <w:i/>
          <w:iCs/>
        </w:rPr>
        <w:t>Funding types</w:t>
      </w:r>
      <w:r>
        <w:t>, Public Hospital Funding, https://www.publichospitalfunding.gov.au/public-hospital-funding/funding-types#:~:text=A%20NWAU%20represents%</w:t>
      </w:r>
      <w:r w:rsidR="005734B9">
        <w:br/>
      </w:r>
      <w:r>
        <w:t>20a%20</w:t>
      </w:r>
      <w:proofErr w:type="gramStart"/>
      <w:r>
        <w:t>measure,weighting</w:t>
      </w:r>
      <w:proofErr w:type="gramEnd"/>
      <w:r>
        <w:t>%20it%20for%20clinical%20complexity (accessed 27 June 2024).</w:t>
      </w:r>
    </w:p>
    <w:p w14:paraId="20BA49E3" w14:textId="4B2BC518" w:rsidR="004A5E70" w:rsidRDefault="004A5E70" w:rsidP="00E47E09">
      <w:pPr>
        <w:pStyle w:val="Reference"/>
      </w:pPr>
      <w:r>
        <w:t>——</w:t>
      </w:r>
      <w:r w:rsidR="00C52899">
        <w:t> </w:t>
      </w:r>
      <w:r>
        <w:t xml:space="preserve">2024, </w:t>
      </w:r>
      <w:r>
        <w:rPr>
          <w:i/>
          <w:iCs/>
        </w:rPr>
        <w:t>Calculation of Commonwealth National Health Reform Funding 2020 - 2025</w:t>
      </w:r>
      <w:r>
        <w:t>, September, https://www.publichospitalfunding.gov.au/sites/default/files/documents/2024-09/calculation_of_national_health_reform</w:t>
      </w:r>
      <w:r w:rsidR="00C454CA">
        <w:br/>
      </w:r>
      <w:r>
        <w:t>_funding_2020-2025.pdf (accessed 13 November 2024).</w:t>
      </w:r>
    </w:p>
    <w:p w14:paraId="3EE39159" w14:textId="699FBA57" w:rsidR="005734B9" w:rsidRDefault="005734B9" w:rsidP="00E47E09">
      <w:pPr>
        <w:pStyle w:val="Reference"/>
      </w:pPr>
      <w:r w:rsidRPr="005734B9">
        <w:t>NHS England</w:t>
      </w:r>
      <w:r>
        <w:t xml:space="preserve"> (National Health Service)</w:t>
      </w:r>
      <w:r w:rsidR="00E8560A">
        <w:t xml:space="preserve"> </w:t>
      </w:r>
      <w:r w:rsidR="00745768">
        <w:t xml:space="preserve">2025, </w:t>
      </w:r>
      <w:r w:rsidR="00745768" w:rsidRPr="00745768">
        <w:rPr>
          <w:i/>
          <w:iCs/>
        </w:rPr>
        <w:t>2025/26 NHS Payment Scheme – Annex C: Guidance on best practice</w:t>
      </w:r>
      <w:r w:rsidR="00745768" w:rsidRPr="00745768">
        <w:t xml:space="preserve"> </w:t>
      </w:r>
      <w:r w:rsidR="00745768" w:rsidRPr="00745768">
        <w:rPr>
          <w:i/>
          <w:iCs/>
        </w:rPr>
        <w:t>tariffs</w:t>
      </w:r>
      <w:r w:rsidR="00745768">
        <w:t xml:space="preserve">, </w:t>
      </w:r>
      <w:r w:rsidR="0071161F" w:rsidRPr="00257629">
        <w:t>https://www.england.nhs.uk/long-read/25-26-nhsps-</w:t>
      </w:r>
      <w:r w:rsidR="0071161F" w:rsidRPr="00257629">
        <w:t>annex-c-guidance-on-best-practice-tariffs/</w:t>
      </w:r>
      <w:r w:rsidR="0071161F">
        <w:t xml:space="preserve"> (accessed </w:t>
      </w:r>
      <w:r w:rsidR="00257629">
        <w:t>26 February 2026).</w:t>
      </w:r>
    </w:p>
    <w:p w14:paraId="25B1603C" w14:textId="0F7CB976" w:rsidR="004A5E70" w:rsidRDefault="004A5E70" w:rsidP="00E47E09">
      <w:pPr>
        <w:pStyle w:val="Reference"/>
      </w:pPr>
      <w:r>
        <w:t xml:space="preserve">NT </w:t>
      </w:r>
      <w:proofErr w:type="spellStart"/>
      <w:r>
        <w:t>DoH</w:t>
      </w:r>
      <w:proofErr w:type="spellEnd"/>
      <w:r>
        <w:t xml:space="preserve"> (Northern Territory Department of Health) 2020, </w:t>
      </w:r>
      <w:r>
        <w:rPr>
          <w:i/>
          <w:iCs/>
        </w:rPr>
        <w:t>Top End Health Service 2020-21 Service Delivery Agreement</w:t>
      </w:r>
      <w:r>
        <w:t>.</w:t>
      </w:r>
    </w:p>
    <w:p w14:paraId="20C59E50" w14:textId="77777777" w:rsidR="004A5E70" w:rsidRDefault="004A5E70" w:rsidP="00E47E09">
      <w:pPr>
        <w:pStyle w:val="Reference"/>
      </w:pPr>
      <w:r>
        <w:t xml:space="preserve">OECD 2017, </w:t>
      </w:r>
      <w:r>
        <w:rPr>
          <w:i/>
          <w:iCs/>
        </w:rPr>
        <w:t>Tackling wasteful spending in health</w:t>
      </w:r>
      <w:r>
        <w:t>.</w:t>
      </w:r>
    </w:p>
    <w:p w14:paraId="58572599" w14:textId="0471A2E0" w:rsidR="004A5E70" w:rsidRDefault="004A5E70" w:rsidP="00E47E09">
      <w:pPr>
        <w:pStyle w:val="Reference"/>
      </w:pPr>
      <w:r>
        <w:t>——</w:t>
      </w:r>
      <w:r w:rsidR="00C52899">
        <w:t> </w:t>
      </w:r>
      <w:r>
        <w:t xml:space="preserve">2016, </w:t>
      </w:r>
      <w:r>
        <w:rPr>
          <w:i/>
          <w:iCs/>
        </w:rPr>
        <w:t>Better Ways to Pay for Health Care</w:t>
      </w:r>
      <w:r>
        <w:t>, OECD Health Policy Studies, OECD Publishing.</w:t>
      </w:r>
    </w:p>
    <w:p w14:paraId="224A43D0" w14:textId="437D21AD" w:rsidR="004A5E70" w:rsidRDefault="004A5E70" w:rsidP="00E47E09">
      <w:pPr>
        <w:pStyle w:val="Reference"/>
      </w:pPr>
      <w:r>
        <w:t xml:space="preserve">PC (Productivity Commission) 2020, </w:t>
      </w:r>
      <w:r>
        <w:rPr>
          <w:i/>
          <w:iCs/>
        </w:rPr>
        <w:t>National Transport Regulatory Reform</w:t>
      </w:r>
      <w:r>
        <w:t>, 7 April, https://www.pc.gov.au/inquiries/</w:t>
      </w:r>
      <w:r w:rsidR="003715E7">
        <w:br/>
      </w:r>
      <w:r>
        <w:t>completed/transport/report/transport.pdf (accessed 14</w:t>
      </w:r>
      <w:r w:rsidR="003715E7">
        <w:t> </w:t>
      </w:r>
      <w:r>
        <w:t>November 2024).</w:t>
      </w:r>
    </w:p>
    <w:p w14:paraId="3C25750D" w14:textId="77777777" w:rsidR="004A5E70" w:rsidRDefault="004A5E70" w:rsidP="00E47E09">
      <w:pPr>
        <w:pStyle w:val="Reference"/>
      </w:pPr>
      <w:r>
        <w:t xml:space="preserve">Queensland Health 2022, </w:t>
      </w:r>
      <w:r>
        <w:rPr>
          <w:i/>
          <w:iCs/>
        </w:rPr>
        <w:t>Queensland Health Service Agreement 2022/23 - 2024/25</w:t>
      </w:r>
      <w:r>
        <w:t>.</w:t>
      </w:r>
    </w:p>
    <w:p w14:paraId="04085489" w14:textId="77777777" w:rsidR="004A5E70" w:rsidRDefault="004A5E70" w:rsidP="00E47E09">
      <w:pPr>
        <w:pStyle w:val="Reference"/>
      </w:pPr>
      <w:r>
        <w:t xml:space="preserve">Queensland Nurses’ Union 2016, </w:t>
      </w:r>
      <w:r>
        <w:rPr>
          <w:i/>
          <w:iCs/>
        </w:rPr>
        <w:t>Submission to the Independent Hospital Pricing Authority</w:t>
      </w:r>
      <w:r>
        <w:t>, October.</w:t>
      </w:r>
    </w:p>
    <w:p w14:paraId="4E9FB2F5" w14:textId="77777777" w:rsidR="004A5E70" w:rsidRDefault="004A5E70" w:rsidP="00E47E09">
      <w:pPr>
        <w:pStyle w:val="Reference"/>
      </w:pPr>
      <w:r>
        <w:t xml:space="preserve">SA Health 2023, </w:t>
      </w:r>
      <w:r>
        <w:rPr>
          <w:i/>
          <w:iCs/>
        </w:rPr>
        <w:t>Central Adelaide Local Health Network 2023-24 Service Agreement</w:t>
      </w:r>
      <w:r>
        <w:t>.</w:t>
      </w:r>
    </w:p>
    <w:p w14:paraId="5FA13AC4" w14:textId="77777777" w:rsidR="004A5E70" w:rsidRDefault="004A5E70" w:rsidP="00E47E09">
      <w:pPr>
        <w:pStyle w:val="Reference"/>
      </w:pPr>
      <w:r>
        <w:t xml:space="preserve">Scott, A, Liu, M and Yong, J 2018, ‘Financial Incentives to Encourage Value-Based Health Care’, </w:t>
      </w:r>
      <w:r>
        <w:rPr>
          <w:i/>
          <w:iCs/>
        </w:rPr>
        <w:t>Medical Care Research and Review</w:t>
      </w:r>
      <w:r>
        <w:t>, vol. 75, no. 1, pp. 3–32.</w:t>
      </w:r>
    </w:p>
    <w:p w14:paraId="47586245" w14:textId="77777777" w:rsidR="004A5E70" w:rsidRDefault="004A5E70" w:rsidP="00E47E09">
      <w:pPr>
        <w:pStyle w:val="Reference"/>
      </w:pPr>
      <w:r>
        <w:t xml:space="preserve">—— and </w:t>
      </w:r>
      <w:proofErr w:type="spellStart"/>
      <w:r>
        <w:t>Ouakrim</w:t>
      </w:r>
      <w:proofErr w:type="spellEnd"/>
      <w:r>
        <w:t xml:space="preserve">, DA 2011, </w:t>
      </w:r>
      <w:r>
        <w:rPr>
          <w:i/>
          <w:iCs/>
        </w:rPr>
        <w:t>Using financial incentives to improve the performance of hospital clinicians: a rapid review</w:t>
      </w:r>
      <w:r>
        <w:t>, Sax Institute.</w:t>
      </w:r>
    </w:p>
    <w:p w14:paraId="24BECE94" w14:textId="77777777" w:rsidR="004A5E70" w:rsidRDefault="004A5E70" w:rsidP="00E47E09">
      <w:pPr>
        <w:pStyle w:val="Reference"/>
      </w:pPr>
      <w:r>
        <w:t xml:space="preserve">—— and Yong, J 2016, </w:t>
      </w:r>
      <w:r>
        <w:rPr>
          <w:i/>
          <w:iCs/>
        </w:rPr>
        <w:t>Submission to the Independent Hospital Pricing Authority Discussion Paper on the Pricing Framework for Australian Public Hospital Services 2017-18</w:t>
      </w:r>
      <w:r>
        <w:t>, Melbourne Institute of Applied Economic and Social Research.</w:t>
      </w:r>
    </w:p>
    <w:p w14:paraId="4707D19E" w14:textId="77777777" w:rsidR="004A5E70" w:rsidRDefault="004A5E70" w:rsidP="00E47E09">
      <w:pPr>
        <w:pStyle w:val="Reference"/>
      </w:pPr>
      <w:r>
        <w:t xml:space="preserve">Slawomirski, L, </w:t>
      </w:r>
      <w:proofErr w:type="spellStart"/>
      <w:r>
        <w:t>Hensher</w:t>
      </w:r>
      <w:proofErr w:type="spellEnd"/>
      <w:r>
        <w:t xml:space="preserve">, M, Campbell, J and </w:t>
      </w:r>
      <w:proofErr w:type="spellStart"/>
      <w:r>
        <w:t>deGraaff</w:t>
      </w:r>
      <w:proofErr w:type="spellEnd"/>
      <w:r>
        <w:t xml:space="preserve">, B 2024a, ‘Pay-for-performance and patient safety in acute care: A systematic review’, </w:t>
      </w:r>
      <w:r>
        <w:rPr>
          <w:i/>
          <w:iCs/>
        </w:rPr>
        <w:t>Health Policy</w:t>
      </w:r>
      <w:r>
        <w:t>, vol. 143, p. 105051.</w:t>
      </w:r>
    </w:p>
    <w:p w14:paraId="120169AD" w14:textId="4FB290D8" w:rsidR="004A5E70" w:rsidRDefault="004A5E70" w:rsidP="00E47E09">
      <w:pPr>
        <w:pStyle w:val="Reference"/>
      </w:pPr>
      <w:r>
        <w:t>——, ——, —— and ——</w:t>
      </w:r>
      <w:r w:rsidR="00C52899">
        <w:t> </w:t>
      </w:r>
      <w:r>
        <w:t xml:space="preserve">2024b, </w:t>
      </w:r>
      <w:r>
        <w:rPr>
          <w:i/>
          <w:iCs/>
        </w:rPr>
        <w:t>Pay-for-performance: the case for trying something different</w:t>
      </w:r>
      <w:r>
        <w:t>, Health Services Daily, https://www.sciencedirect.com/science/article/pii/S0168851024000617 (accessed 20 December 2024).</w:t>
      </w:r>
    </w:p>
    <w:p w14:paraId="5B3FCC11" w14:textId="77777777" w:rsidR="004A5E70" w:rsidRDefault="004A5E70" w:rsidP="00E47E09">
      <w:pPr>
        <w:pStyle w:val="Reference"/>
      </w:pPr>
      <w:r>
        <w:t xml:space="preserve">——, </w:t>
      </w:r>
      <w:proofErr w:type="spellStart"/>
      <w:r>
        <w:t>Otahal</w:t>
      </w:r>
      <w:proofErr w:type="spellEnd"/>
      <w:r>
        <w:t xml:space="preserve">, P, </w:t>
      </w:r>
      <w:proofErr w:type="spellStart"/>
      <w:r>
        <w:t>Hensher</w:t>
      </w:r>
      <w:proofErr w:type="spellEnd"/>
      <w:r>
        <w:t xml:space="preserve">, M, Campbell, J, Newell, S and de Graaff, B 2025, ‘Financial penalty associated with a decline in hospital-acquired complications in Australia’, </w:t>
      </w:r>
      <w:r>
        <w:rPr>
          <w:i/>
          <w:iCs/>
        </w:rPr>
        <w:t>Health Policy</w:t>
      </w:r>
      <w:r>
        <w:t>, vol. 161, p. 105416.</w:t>
      </w:r>
    </w:p>
    <w:p w14:paraId="39848730" w14:textId="24C9A153" w:rsidR="004A5E70" w:rsidRDefault="006E1F6C" w:rsidP="00E47E09">
      <w:pPr>
        <w:pStyle w:val="Reference"/>
      </w:pPr>
      <w:r>
        <w:t>SCRGSP (</w:t>
      </w:r>
      <w:r w:rsidR="004A5E70">
        <w:t>Steering Committee for the Review of Government Service Provision</w:t>
      </w:r>
      <w:r>
        <w:t>)</w:t>
      </w:r>
      <w:r w:rsidR="004A5E70">
        <w:t xml:space="preserve"> 2026, </w:t>
      </w:r>
      <w:r w:rsidR="004A5E70">
        <w:rPr>
          <w:i/>
          <w:iCs/>
        </w:rPr>
        <w:t>E Health - Report on Government Services 2026</w:t>
      </w:r>
      <w:r w:rsidR="004A5E70">
        <w:t>, https://www.pc.gov.au/ongoing/report-on-government-services/health/ (accessed 8 April 2026).</w:t>
      </w:r>
    </w:p>
    <w:p w14:paraId="618211CE" w14:textId="77777777" w:rsidR="00D55F9F" w:rsidRDefault="00D55F9F" w:rsidP="00D55F9F">
      <w:pPr>
        <w:pStyle w:val="Reference"/>
      </w:pPr>
      <w:r>
        <w:t xml:space="preserve">—— 2024, </w:t>
      </w:r>
      <w:r>
        <w:rPr>
          <w:i/>
          <w:iCs/>
        </w:rPr>
        <w:t>Public Hospitals - Report on Government Services 2024</w:t>
      </w:r>
      <w:r>
        <w:t>, https://www.pc.gov.au/ongoing/report-on-government-services/2024/health/public-hospitals (accessed 17 July 2024).</w:t>
      </w:r>
    </w:p>
    <w:p w14:paraId="6A461EE9" w14:textId="77777777" w:rsidR="00601919" w:rsidRDefault="004A5E70" w:rsidP="00601919">
      <w:pPr>
        <w:pStyle w:val="Reference"/>
      </w:pPr>
      <w:r>
        <w:t xml:space="preserve">Webster, SBG, Neville, SE, Nobbs, J, Ching, J and Van Gool, K 2023, ‘Incorporating Safety and Quality Measures </w:t>
      </w:r>
      <w:proofErr w:type="gramStart"/>
      <w:r>
        <w:t>Into</w:t>
      </w:r>
      <w:proofErr w:type="gramEnd"/>
      <w:r>
        <w:t xml:space="preserve"> Australia’s Activity-Based Funding of Public Hospital Services’, </w:t>
      </w:r>
      <w:r>
        <w:rPr>
          <w:i/>
          <w:iCs/>
        </w:rPr>
        <w:t>Health Services Insights</w:t>
      </w:r>
      <w:r>
        <w:t>, vol. 16, http://journals.sagepub.com/doi/10.1177/11786329231187891 (accessed 21 June 2024).</w:t>
      </w:r>
    </w:p>
    <w:p w14:paraId="2CD8C549" w14:textId="77777777" w:rsidR="00A45B33" w:rsidRDefault="00A45B33" w:rsidP="00601919">
      <w:pPr>
        <w:pStyle w:val="Reference"/>
      </w:pPr>
    </w:p>
    <w:p w14:paraId="1C33102B" w14:textId="77777777" w:rsidR="00A45B33" w:rsidRDefault="00A45B33" w:rsidP="00601919">
      <w:pPr>
        <w:pStyle w:val="Reference"/>
        <w:sectPr w:rsidR="00A45B33" w:rsidSect="00E47E09">
          <w:type w:val="continuous"/>
          <w:pgSz w:w="11906" w:h="16838" w:code="9"/>
          <w:pgMar w:top="1134" w:right="1134" w:bottom="1134" w:left="1134" w:header="794" w:footer="510" w:gutter="0"/>
          <w:cols w:num="2" w:space="708"/>
          <w:docGrid w:linePitch="360"/>
        </w:sectPr>
      </w:pPr>
    </w:p>
    <w:p w14:paraId="6D753CB4" w14:textId="6AD974B8" w:rsidR="00A146B1" w:rsidRPr="004104E7" w:rsidRDefault="00A146B1" w:rsidP="00E47E09">
      <w:pPr>
        <w:pStyle w:val="BodyText"/>
      </w:pPr>
    </w:p>
    <w:sectPr w:rsidR="00A146B1" w:rsidRPr="004104E7" w:rsidSect="00601919">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60A39" w14:textId="77777777" w:rsidR="003F0A75" w:rsidRDefault="003F0A75" w:rsidP="008017BC">
      <w:r>
        <w:separator/>
      </w:r>
    </w:p>
    <w:p w14:paraId="7CD2ED11" w14:textId="77777777" w:rsidR="003F0A75" w:rsidRDefault="003F0A75"/>
  </w:endnote>
  <w:endnote w:type="continuationSeparator" w:id="0">
    <w:p w14:paraId="4C496A1F" w14:textId="77777777" w:rsidR="003F0A75" w:rsidRDefault="003F0A75" w:rsidP="008017BC">
      <w:r>
        <w:continuationSeparator/>
      </w:r>
    </w:p>
    <w:p w14:paraId="3778F723" w14:textId="77777777" w:rsidR="003F0A75" w:rsidRDefault="003F0A75"/>
  </w:endnote>
  <w:endnote w:type="continuationNotice" w:id="1">
    <w:p w14:paraId="437798D4" w14:textId="77777777" w:rsidR="003F0A75" w:rsidRDefault="003F0A7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B4A82" w14:textId="77777777" w:rsidR="001D696D" w:rsidRPr="00187F05" w:rsidRDefault="001D696D"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6955241"/>
      <w:docPartObj>
        <w:docPartGallery w:val="Page Numbers (Bottom of Page)"/>
        <w:docPartUnique/>
      </w:docPartObj>
    </w:sdtPr>
    <w:sdtContent>
      <w:sdt>
        <w:sdtPr>
          <w:id w:val="-2061693298"/>
          <w:docPartObj>
            <w:docPartGallery w:val="Page Numbers (Top of Page)"/>
            <w:docPartUnique/>
          </w:docPartObj>
        </w:sdtPr>
        <w:sdtContent>
          <w:p w14:paraId="5D5CA518" w14:textId="77777777" w:rsidR="008F43A3" w:rsidRDefault="008F43A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9B8AF" w14:textId="77777777" w:rsidR="00E42C03" w:rsidRDefault="00E42C0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110760"/>
      <w:docPartObj>
        <w:docPartGallery w:val="Page Numbers (Bottom of Page)"/>
        <w:docPartUnique/>
      </w:docPartObj>
    </w:sdtPr>
    <w:sdtContent>
      <w:sdt>
        <w:sdtPr>
          <w:id w:val="1445038238"/>
          <w:docPartObj>
            <w:docPartGallery w:val="Page Numbers (Top of Page)"/>
            <w:docPartUnique/>
          </w:docPartObj>
        </w:sdtPr>
        <w:sdtContent>
          <w:p w14:paraId="32B09E93" w14:textId="77777777" w:rsidR="00E42C03" w:rsidRDefault="00E42C0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72756" w14:textId="77777777" w:rsidR="00E42C03" w:rsidRDefault="00E42C0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0906C" w14:textId="77777777" w:rsidR="00D33976" w:rsidRDefault="00D33976"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4813687"/>
      <w:docPartObj>
        <w:docPartGallery w:val="Page Numbers (Bottom of Page)"/>
        <w:docPartUnique/>
      </w:docPartObj>
    </w:sdtPr>
    <w:sdtContent>
      <w:sdt>
        <w:sdtPr>
          <w:id w:val="-1903977333"/>
          <w:docPartObj>
            <w:docPartGallery w:val="Page Numbers (Top of Page)"/>
            <w:docPartUnique/>
          </w:docPartObj>
        </w:sdtPr>
        <w:sdtContent>
          <w:p w14:paraId="77EF87D5" w14:textId="77777777" w:rsidR="00D33976" w:rsidRDefault="00D33976"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A4DDB" w14:textId="77777777" w:rsidR="00D33976" w:rsidRDefault="00D339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251D0" w14:textId="77777777" w:rsidR="001D696D" w:rsidRDefault="001D696D">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C7E98" w14:textId="77777777" w:rsidR="001D696D" w:rsidRPr="00597E42" w:rsidRDefault="001D696D" w:rsidP="00AB62C3">
    <w:pPr>
      <w:pStyle w:val="Footer-right"/>
      <w:spacing w:after="360"/>
      <w:jc w:val="left"/>
      <w:rPr>
        <w:rFonts w:ascii="Open Sans Semibold" w:hAnsi="Open Sans Semibold" w:cs="Open Sans Semibold"/>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465237"/>
      <w:docPartObj>
        <w:docPartGallery w:val="Page Numbers (Top of Page)"/>
        <w:docPartUnique/>
      </w:docPartObj>
    </w:sdtPr>
    <w:sdtContent>
      <w:p w14:paraId="46BC38DA" w14:textId="77777777" w:rsidR="001D696D" w:rsidRPr="00081185" w:rsidRDefault="001D696D" w:rsidP="00AB62C3">
        <w:pPr>
          <w:pStyle w:val="Footer"/>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0324F791" w14:textId="77777777" w:rsidR="001D696D" w:rsidRPr="0042508F" w:rsidRDefault="001D696D"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B7909" w14:textId="77777777" w:rsidR="001D696D" w:rsidRDefault="001D696D"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3002944"/>
      <w:docPartObj>
        <w:docPartGallery w:val="Page Numbers (Bottom of Page)"/>
        <w:docPartUnique/>
      </w:docPartObj>
    </w:sdtPr>
    <w:sdtContent>
      <w:sdt>
        <w:sdtPr>
          <w:id w:val="1244915546"/>
          <w:docPartObj>
            <w:docPartGallery w:val="Page Numbers (Top of Page)"/>
            <w:docPartUnique/>
          </w:docPartObj>
        </w:sdtPr>
        <w:sdtContent>
          <w:p w14:paraId="2BF55B2A" w14:textId="77777777" w:rsidR="001D696D" w:rsidRDefault="001D696D"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B3DBA" w14:textId="77777777" w:rsidR="001D696D" w:rsidRDefault="001D696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7760D" w14:textId="77777777" w:rsidR="008F43A3" w:rsidRDefault="008F43A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C3700" w14:textId="77777777" w:rsidR="003F0A75" w:rsidRPr="00C238D1" w:rsidRDefault="003F0A75" w:rsidP="00273E86">
      <w:pPr>
        <w:spacing w:after="0" w:line="240" w:lineRule="auto"/>
        <w:rPr>
          <w:rStyle w:val="ColourDarkBlue"/>
        </w:rPr>
      </w:pPr>
      <w:r w:rsidRPr="00C238D1">
        <w:rPr>
          <w:rStyle w:val="ColourDarkBlue"/>
        </w:rPr>
        <w:continuationSeparator/>
      </w:r>
    </w:p>
  </w:footnote>
  <w:footnote w:type="continuationSeparator" w:id="0">
    <w:p w14:paraId="446DC991" w14:textId="77777777" w:rsidR="003F0A75" w:rsidRPr="001D7D9B" w:rsidRDefault="003F0A75" w:rsidP="001D7D9B">
      <w:pPr>
        <w:spacing w:after="0" w:line="240" w:lineRule="auto"/>
        <w:rPr>
          <w:color w:val="265A9A" w:themeColor="background2"/>
        </w:rPr>
      </w:pPr>
      <w:r w:rsidRPr="00C238D1">
        <w:rPr>
          <w:rStyle w:val="ColourDarkBlue"/>
        </w:rPr>
        <w:continuationSeparator/>
      </w:r>
    </w:p>
  </w:footnote>
  <w:footnote w:type="continuationNotice" w:id="1">
    <w:p w14:paraId="59DB109F" w14:textId="77777777" w:rsidR="003F0A75" w:rsidRDefault="003F0A75"/>
  </w:footnote>
  <w:footnote w:id="2">
    <w:p w14:paraId="4A0E2B38" w14:textId="6D4634E4" w:rsidR="002E3669" w:rsidRPr="002E3669" w:rsidRDefault="002E3669" w:rsidP="002E3669">
      <w:pPr>
        <w:pStyle w:val="FootnoteText"/>
        <w:rPr>
          <w:spacing w:val="-4"/>
        </w:rPr>
      </w:pPr>
      <w:r>
        <w:rPr>
          <w:rStyle w:val="FootnoteReference"/>
        </w:rPr>
        <w:footnoteRef/>
      </w:r>
      <w:r>
        <w:t xml:space="preserve"> </w:t>
      </w:r>
      <w:r w:rsidRPr="002E3669">
        <w:rPr>
          <w:spacing w:val="-4"/>
        </w:rPr>
        <w:t>The analysis focused on 7 of the 15 most prevalent complication categories. In 2017-18 (the year prior to the implementation of the funding adjustment) these complication categories accounted for almost 90% of all HAC occurrences.</w:t>
      </w:r>
    </w:p>
  </w:footnote>
  <w:footnote w:id="3">
    <w:p w14:paraId="737A120D" w14:textId="77B8BD5D" w:rsidR="001D6BF0" w:rsidRPr="001D6BF0" w:rsidRDefault="001D6BF0">
      <w:pPr>
        <w:pStyle w:val="FootnoteText"/>
      </w:pPr>
      <w:r>
        <w:rPr>
          <w:rStyle w:val="FootnoteReference"/>
        </w:rPr>
        <w:footnoteRef/>
      </w:r>
      <w:r>
        <w:t xml:space="preserve"> </w:t>
      </w:r>
      <w:r w:rsidR="00CB3FD4">
        <w:t xml:space="preserve">A sentinel event is defined as an </w:t>
      </w:r>
      <w:r w:rsidR="0018582A">
        <w:t>unanticipated or unusual event that results in death or serious physical injury.</w:t>
      </w:r>
    </w:p>
  </w:footnote>
  <w:footnote w:id="4">
    <w:p w14:paraId="66D88061" w14:textId="520153FC" w:rsidR="00BA0AF0" w:rsidRPr="00225B03" w:rsidRDefault="00BA0AF0" w:rsidP="00AB62C3">
      <w:pPr>
        <w:pStyle w:val="Note"/>
      </w:pPr>
      <w:r>
        <w:rPr>
          <w:rStyle w:val="FootnoteReference"/>
        </w:rPr>
        <w:footnoteRef/>
      </w:r>
      <w:r>
        <w:t xml:space="preserve"> </w:t>
      </w:r>
      <w:r w:rsidRPr="00D526F5">
        <w:t xml:space="preserve">This means hospitals are not </w:t>
      </w:r>
      <w:r>
        <w:t xml:space="preserve">unduly </w:t>
      </w:r>
      <w:r w:rsidRPr="00D526F5">
        <w:t xml:space="preserve">penalised for complications that </w:t>
      </w:r>
      <w:r>
        <w:t>a</w:t>
      </w:r>
      <w:r w:rsidRPr="00D526F5">
        <w:t>re less preventable, such as those involving older or higher-risk patients</w:t>
      </w:r>
      <w:r>
        <w:t xml:space="preserve"> </w:t>
      </w:r>
      <w:r w:rsidRPr="0087236F">
        <w:fldChar w:fldCharType="begin"/>
      </w:r>
      <w:r w:rsidR="00F56591">
        <w:instrText xml:space="preserve"> ADDIN ZOTERO_ITEM CSL_CITATION {"citationID":"cD05OFis","properties":{"formattedCitation":"(IHPA\\uc0\\u160{}2018, pp.\\uc0\\u160{}2\\uc0\\u8211{}4)","plainCitation":"(IHPA 2018, pp. 2–4)","noteIndex":3},"citationItems":[{"id":1591,"uris":["http://zotero.org/groups/5474917/items/XS85B2PC"],"itemData":{"id":1591,"type":"report","title":"Pricing and funding for safety and quality: Risk adjustment model for Hospital Acquired Complications","URL":"https://www.ihacpa.gov.au/sites/default/files/2022-02/Pricing%20and%20funding%20for%20safety%20and%20quality%20-%20Risk%20adjustment%20model%20for%20Hospital%20Acquired%20Complications%202018-19.pdf","author":[{"family":"Independent Hospital Pricing Authority","given":""}],"translator":[{"family":"IHPA","given":""}],"accessed":{"date-parts":[["2022",7,23]]},"issued":{"date-parts":[["2018",3]]}},"locator":"2-4","label":"page"}],"schema":"https://github.com/citation-style-language/schema/raw/master/csl-citation.json"} </w:instrText>
      </w:r>
      <w:r w:rsidRPr="0087236F">
        <w:fldChar w:fldCharType="separate"/>
      </w:r>
      <w:r w:rsidRPr="0034491D">
        <w:rPr>
          <w:rFonts w:ascii="Arial" w:hAnsi="Arial" w:cs="Arial"/>
        </w:rPr>
        <w:t>(IHPA 2018, pp. 2–4)</w:t>
      </w:r>
      <w:r w:rsidRPr="0087236F">
        <w:fldChar w:fldCharType="end"/>
      </w:r>
      <w:r w:rsidRPr="00D526F5">
        <w:t>.</w:t>
      </w:r>
      <w:r>
        <w:t xml:space="preserve"> </w:t>
      </w:r>
    </w:p>
  </w:footnote>
  <w:footnote w:id="5">
    <w:p w14:paraId="10FA410C" w14:textId="5E78FBE9" w:rsidR="00CA38F9" w:rsidRPr="00CA38F9" w:rsidRDefault="00CA38F9">
      <w:pPr>
        <w:pStyle w:val="FootnoteText"/>
      </w:pPr>
      <w:r>
        <w:rPr>
          <w:rStyle w:val="FootnoteReference"/>
        </w:rPr>
        <w:footnoteRef/>
      </w:r>
      <w:r>
        <w:t xml:space="preserve"> </w:t>
      </w:r>
      <w:r w:rsidR="00E95949">
        <w:t>A new National Health Reform Agreement has been signed</w:t>
      </w:r>
      <w:r w:rsidR="00523CBF">
        <w:t xml:space="preserve"> in 2026</w:t>
      </w:r>
      <w:r w:rsidR="00E95949">
        <w:t>.</w:t>
      </w:r>
    </w:p>
  </w:footnote>
  <w:footnote w:id="6">
    <w:p w14:paraId="1B480982" w14:textId="77777777" w:rsidR="00F921B9" w:rsidRPr="00651734" w:rsidRDefault="00F921B9" w:rsidP="00651734">
      <w:pPr>
        <w:pStyle w:val="FootnoteText"/>
      </w:pPr>
      <w:r>
        <w:rPr>
          <w:rStyle w:val="FootnoteReference"/>
        </w:rPr>
        <w:footnoteRef/>
      </w:r>
      <w:r>
        <w:t xml:space="preserve"> </w:t>
      </w:r>
      <w:r w:rsidRPr="00651734">
        <w:t>These are healthcare-associated infections (27.3%), cardiac complications (16.1%), surgical complications requiring unplanned return to theatre (14%), delirium (13.2%), respiratory complications (10.1%), endocrine complications (7%) and medication complications (1.9%).</w:t>
      </w:r>
    </w:p>
  </w:footnote>
  <w:footnote w:id="7">
    <w:p w14:paraId="35A17DBE" w14:textId="05F9FB11" w:rsidR="00F921B9" w:rsidRPr="00E043A1" w:rsidRDefault="00F921B9" w:rsidP="00651734">
      <w:pPr>
        <w:pStyle w:val="FootnoteText"/>
      </w:pPr>
      <w:r w:rsidRPr="00AC3D4E">
        <w:rPr>
          <w:rStyle w:val="FootnoteReference"/>
        </w:rPr>
        <w:footnoteRef/>
      </w:r>
      <w:r>
        <w:t xml:space="preserve"> </w:t>
      </w:r>
      <w:r w:rsidRPr="00E043A1">
        <w:t xml:space="preserve">These </w:t>
      </w:r>
      <w:r w:rsidRPr="00651734">
        <w:t>are</w:t>
      </w:r>
      <w:r w:rsidRPr="00E043A1">
        <w:t xml:space="preserve"> healthcare-associated infections (8.6%), cardiac complications (11.2%), delirium (9.7%), respiratory complications (15.8%) and surgical complications requiring unplanned return to theatre (10.5%) </w:t>
      </w:r>
      <w:r w:rsidRPr="00E043A1">
        <w:fldChar w:fldCharType="begin"/>
      </w:r>
      <w:r w:rsidR="00F56591">
        <w:instrText xml:space="preserve"> ADDIN ZOTERO_ITEM CSL_CITATION {"citationID":"fAFSl4dp","properties":{"formattedCitation":"(IHPA\\uc0\\u160{}2017b, p.\\uc0\\u160{}2)","plainCitation":"(IHPA 2017b, p. 2)","noteIndex":6},"citationItems":[{"id":1594,"uris":["http://zotero.org/groups/5474917/items/R75TCAH9"],"itemData":{"id":1594,"type":"report","title":"Risk adjustment model for Hospital Acquired Complications – Technical Specifications","URL":"https://www.ihacpa.gov.au/sites/default/files/2022-02/risk_adjustment_model_for_hospital_acquired_complications_-_technical_specifications_v1.0_july_2017.pdf","author":[{"family":"Independent Hospital Pricing Authority","given":""}],"translator":[{"family":"IHPA","given":""}],"accessed":{"date-parts":[["2024",6,21]]},"issued":{"date-parts":[["2017",7]]}},"locator":"2","label":"page"}],"schema":"https://github.com/citation-style-language/schema/raw/master/csl-citation.json"} </w:instrText>
      </w:r>
      <w:r w:rsidRPr="00E043A1">
        <w:fldChar w:fldCharType="separate"/>
      </w:r>
      <w:r w:rsidRPr="00855CD8">
        <w:rPr>
          <w:rFonts w:ascii="Arial" w:hAnsi="Arial" w:cs="Arial"/>
        </w:rPr>
        <w:t>(IHPA 2017b, p. 2)</w:t>
      </w:r>
      <w:r w:rsidRPr="00E043A1">
        <w:fldChar w:fldCharType="end"/>
      </w:r>
      <w:r w:rsidRPr="00E043A1">
        <w:t>.</w:t>
      </w:r>
    </w:p>
  </w:footnote>
  <w:footnote w:id="8">
    <w:p w14:paraId="67613193" w14:textId="77777777" w:rsidR="00BA0AF0" w:rsidRPr="00E043A1" w:rsidRDefault="00BA0AF0" w:rsidP="00AB62C3">
      <w:pPr>
        <w:pStyle w:val="FootnoteText"/>
      </w:pPr>
      <w:r w:rsidRPr="00AC3D4E">
        <w:rPr>
          <w:rStyle w:val="FootnoteReference"/>
        </w:rPr>
        <w:footnoteRef/>
      </w:r>
      <w:r>
        <w:t xml:space="preserve"> Note the difference in rates between here and appendix B as we derive two baseline HAC rates with the funding adjustment reduced HAC rates by between </w:t>
      </w:r>
      <w:r w:rsidRPr="00E043A1">
        <w:t>0.59</w:t>
      </w:r>
      <w:r>
        <w:t xml:space="preserve"> and </w:t>
      </w:r>
      <w:r w:rsidRPr="00E043A1">
        <w:t>0.78</w:t>
      </w:r>
      <w:r>
        <w:t xml:space="preserve"> percentage points. </w:t>
      </w:r>
    </w:p>
  </w:footnote>
  <w:footnote w:id="9">
    <w:p w14:paraId="0E8EEC4F" w14:textId="77777777" w:rsidR="0001281E" w:rsidRPr="00E043A1" w:rsidRDefault="0001281E" w:rsidP="0001281E">
      <w:pPr>
        <w:pStyle w:val="FootnoteText"/>
      </w:pPr>
      <w:r w:rsidRPr="00AC3D4E">
        <w:rPr>
          <w:rStyle w:val="FootnoteReference"/>
        </w:rPr>
        <w:footnoteRef/>
      </w:r>
      <w:r>
        <w:t xml:space="preserve"> </w:t>
      </w:r>
      <w:r w:rsidRPr="00E043A1">
        <w:t xml:space="preserve">Limited information makes it difficult to discern </w:t>
      </w:r>
      <w:r>
        <w:t>the specific policy responses by LHNs and hospitals.</w:t>
      </w:r>
    </w:p>
  </w:footnote>
  <w:footnote w:id="10">
    <w:p w14:paraId="2346ADD9" w14:textId="28739B6C" w:rsidR="003E31D8" w:rsidRPr="003E31D8" w:rsidRDefault="003E31D8">
      <w:pPr>
        <w:pStyle w:val="FootnoteText"/>
      </w:pPr>
      <w:r>
        <w:rPr>
          <w:rStyle w:val="FootnoteReference"/>
        </w:rPr>
        <w:footnoteRef/>
      </w:r>
      <w:r>
        <w:t xml:space="preserve"> A pay</w:t>
      </w:r>
      <w:r>
        <w:noBreakHyphen/>
        <w:t>for</w:t>
      </w:r>
      <w:r>
        <w:noBreakHyphen/>
        <w:t>performance scheme in Denmark demonstrated the impact of targeting incentives beyond the hospital level. The scheme rewarded or penalised hospitals for either exceeding or falling short of a threshold percentage of long</w:t>
      </w:r>
      <w:r>
        <w:noBreakHyphen/>
        <w:t xml:space="preserve">term patients with a case manager. In one region, two hospitals redistributed payments to hospital departments based on their performance, while the remaining two did not, preferring to share incentive payments across the hospital. Performance was found to be on average five percentage points higher for hospitals that exposed departments directly to the financial mechanism in the two years following introduction of the incentive scheme </w:t>
      </w:r>
      <w:r>
        <w:fldChar w:fldCharType="begin"/>
      </w:r>
      <w:r w:rsidR="00F56591">
        <w:instrText xml:space="preserve"> ADDIN ZOTERO_ITEM CSL_CITATION {"citationID":"TDZnkD8h","properties":{"formattedCitation":"(Kristensen et al.\\uc0\\u160{}2016)","plainCitation":"(Kristensen et al. 2016)","noteIndex":9},"citationItems":[{"id":1487,"uris":["http://zotero.org/groups/5474917/items/4ZCJMMNT"],"itemData":{"id":1487,"type":"article-journal","container-title":"The European Journal of Health Economics","note":"ISBN: 1618-7598","page":"435-442","publisher":"Springer","title":"Who to pay for performance? The choice of organisational level for hospital performance incentives","volume":"17","author":[{"family":"Kristensen","given":"Søren Rud"},{"family":"Bech","given":"Mickael"},{"family":"Lauridsen","given":"Jørgen T."}],"issued":{"date-parts":[["2016"]]}}}],"schema":"https://github.com/citation-style-language/schema/raw/master/csl-citation.json"} </w:instrText>
      </w:r>
      <w:r>
        <w:fldChar w:fldCharType="separate"/>
      </w:r>
      <w:r w:rsidRPr="0049375F">
        <w:rPr>
          <w:rFonts w:ascii="Arial" w:hAnsi="Arial" w:cs="Arial"/>
        </w:rPr>
        <w:t>(Kristensen et al. 2016)</w:t>
      </w:r>
      <w:r>
        <w:fldChar w:fldCharType="end"/>
      </w:r>
      <w:r>
        <w:t>.</w:t>
      </w:r>
    </w:p>
  </w:footnote>
  <w:footnote w:id="11">
    <w:p w14:paraId="392CC6B3" w14:textId="0F027995" w:rsidR="00D33976" w:rsidRPr="003D236E" w:rsidRDefault="00D33976" w:rsidP="00AB62C3">
      <w:pPr>
        <w:pStyle w:val="Reference"/>
      </w:pPr>
      <w:r w:rsidRPr="00A46F91">
        <w:rPr>
          <w:rStyle w:val="FootnoteReference"/>
        </w:rPr>
        <w:footnoteRef/>
      </w:r>
      <w:r>
        <w:t xml:space="preserve"> </w:t>
      </w:r>
      <w:r w:rsidRPr="0010121A">
        <w:rPr>
          <w:sz w:val="18"/>
        </w:rPr>
        <w:t xml:space="preserve">The NHDH does not contain hospital data from Western Australia and the Northern Territory </w:t>
      </w:r>
      <w:r w:rsidRPr="0010121A">
        <w:rPr>
          <w:sz w:val="18"/>
        </w:rPr>
        <w:fldChar w:fldCharType="begin"/>
      </w:r>
      <w:r w:rsidR="00F56591">
        <w:rPr>
          <w:sz w:val="18"/>
        </w:rPr>
        <w:instrText xml:space="preserve"> ADDIN ZOTERO_ITEM CSL_CITATION {"citationID":"Aj5D1xM4","properties":{"formattedCitation":"(AIHW\\uc0\\u160{}2024a)","plainCitation":"(AIHW 2024a)","noteIndex":10},"citationItems":[{"id":1613,"uris":["http://zotero.org/groups/5474917/items/ZHVWQ7US"],"itemData":{"id":1613,"type":"webpage","title":"National Health Data Hub","URL":"https://www.aihw.gov.au/reports-data/nhdh","author":[{"family":"Australian Institute of Health and Welfare","given":""}],"translator":[{"family":"AIHW","given":""}],"accessed":{"date-parts":[["2024",12,13]]},"issued":{"date-parts":[["2024",7,3]]}}}],"schema":"https://github.com/citation-style-language/schema/raw/master/csl-citation.json"} </w:instrText>
      </w:r>
      <w:r w:rsidRPr="0010121A">
        <w:rPr>
          <w:sz w:val="18"/>
        </w:rPr>
        <w:fldChar w:fldCharType="separate"/>
      </w:r>
      <w:r w:rsidRPr="0010121A">
        <w:rPr>
          <w:sz w:val="18"/>
        </w:rPr>
        <w:t>(AIHW 2024a)</w:t>
      </w:r>
      <w:r w:rsidRPr="0010121A">
        <w:rPr>
          <w:sz w:val="18"/>
        </w:rPr>
        <w:fldChar w:fldCharType="end"/>
      </w:r>
      <w:r w:rsidRPr="0010121A">
        <w:rPr>
          <w:sz w:val="18"/>
        </w:rPr>
        <w:t>.</w:t>
      </w:r>
    </w:p>
  </w:footnote>
  <w:footnote w:id="12">
    <w:p w14:paraId="05CFA43C" w14:textId="3C13EDAD" w:rsidR="00D33976" w:rsidRPr="00981F07" w:rsidRDefault="00D33976" w:rsidP="00AB62C3">
      <w:pPr>
        <w:pStyle w:val="FootnoteText"/>
      </w:pPr>
      <w:r w:rsidRPr="00A46F91">
        <w:rPr>
          <w:rStyle w:val="FootnoteReference"/>
        </w:rPr>
        <w:footnoteRef/>
      </w:r>
      <w:r>
        <w:t xml:space="preserve"> Codes were from the </w:t>
      </w:r>
      <w:r w:rsidRPr="00E92C38">
        <w:t>International Statistical Classification of Diseases and Related Health Problems, Tenth Revision, Australian Modification</w:t>
      </w:r>
      <w:r>
        <w:t xml:space="preserve"> (ICD</w:t>
      </w:r>
      <w:r>
        <w:noBreakHyphen/>
        <w:t>10</w:t>
      </w:r>
      <w:r>
        <w:noBreakHyphen/>
        <w:t>AM)</w:t>
      </w:r>
      <w:r w:rsidR="00591334">
        <w:t>.</w:t>
      </w:r>
    </w:p>
  </w:footnote>
  <w:footnote w:id="13">
    <w:p w14:paraId="09DC5828" w14:textId="77777777" w:rsidR="00D33976" w:rsidRPr="008B604C" w:rsidRDefault="00D33976" w:rsidP="00AB62C3">
      <w:pPr>
        <w:pStyle w:val="FootnoteText"/>
        <w:rPr>
          <w:lang w:val="en-US"/>
        </w:rPr>
      </w:pPr>
      <w:r w:rsidRPr="00A46F91">
        <w:rPr>
          <w:rStyle w:val="FootnoteReference"/>
        </w:rPr>
        <w:footnoteRef/>
      </w:r>
      <w:r>
        <w:t xml:space="preserve"> </w:t>
      </w:r>
      <w:r>
        <w:rPr>
          <w:rFonts w:eastAsiaTheme="minorEastAsia"/>
        </w:rPr>
        <w:t>The panel nature of data means that episodes at the same hospital are observed over time. It is likely that these observations are correlated with each other more so than episodes drawn randomly from the population. Similarly, episodes occurring over same period are likely to be correlated with each other more so than observations at random time periods. Failing to consider this within-cluster correlation can result in a type I error.</w:t>
      </w:r>
    </w:p>
  </w:footnote>
  <w:footnote w:id="14">
    <w:p w14:paraId="652EBF82" w14:textId="77777777" w:rsidR="00D33976" w:rsidRPr="00342747" w:rsidRDefault="00D33976" w:rsidP="00AB62C3">
      <w:pPr>
        <w:pStyle w:val="FootnoteText"/>
        <w:rPr>
          <w:lang w:val="en-US"/>
        </w:rPr>
      </w:pPr>
      <w:r w:rsidRPr="00A46F91">
        <w:rPr>
          <w:rStyle w:val="FootnoteReference"/>
        </w:rPr>
        <w:footnoteRef/>
      </w:r>
      <w:r>
        <w:t xml:space="preserve"> </w:t>
      </w:r>
      <w:r>
        <w:rPr>
          <w:lang w:val="en-US"/>
        </w:rPr>
        <w:t xml:space="preserve">This step is necessary because the odds ratio must be multiplied by the odds estimate not the probability estimate. </w:t>
      </w:r>
    </w:p>
  </w:footnote>
  <w:footnote w:id="15">
    <w:p w14:paraId="4D75DB48" w14:textId="77777777" w:rsidR="00D33976" w:rsidRPr="00BE5A30" w:rsidRDefault="00D33976" w:rsidP="00BA7F34">
      <w:pPr>
        <w:pStyle w:val="FootnoteText"/>
        <w:rPr>
          <w:lang w:val="en-US"/>
        </w:rPr>
      </w:pPr>
      <w:r w:rsidRPr="00A46F91">
        <w:rPr>
          <w:rStyle w:val="FootnoteReference"/>
        </w:rPr>
        <w:footnoteRef/>
      </w:r>
      <w:r>
        <w:t xml:space="preserve"> </w:t>
      </w:r>
      <w:r>
        <w:rPr>
          <w:lang w:val="en-US"/>
        </w:rPr>
        <w:t xml:space="preserve">Patient </w:t>
      </w:r>
      <w:r w:rsidRPr="00BA7F34">
        <w:t>gender</w:t>
      </w:r>
      <w:r>
        <w:rPr>
          <w:lang w:val="en-US"/>
        </w:rPr>
        <w:t xml:space="preserve"> was not a relevant characteristic for the following complication categories: surgical complications requiring unplanned return to theatre, endocrine complications and cardiac complications. </w:t>
      </w:r>
    </w:p>
  </w:footnote>
  <w:footnote w:id="16">
    <w:p w14:paraId="3D6A3911" w14:textId="77777777" w:rsidR="00D33976" w:rsidRPr="003472F1" w:rsidRDefault="00D33976" w:rsidP="00BA7F34">
      <w:pPr>
        <w:pStyle w:val="FootnoteText"/>
        <w:rPr>
          <w:lang w:val="en-US"/>
        </w:rPr>
      </w:pPr>
      <w:r w:rsidRPr="00A46F91">
        <w:rPr>
          <w:rStyle w:val="FootnoteReference"/>
        </w:rPr>
        <w:footnoteRef/>
      </w:r>
      <w:r>
        <w:t xml:space="preserve"> </w:t>
      </w:r>
      <w:r>
        <w:rPr>
          <w:lang w:val="en-US"/>
        </w:rPr>
        <w:t>Time fixed effects are calculated at the month level.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3CB51" w14:textId="77777777" w:rsidR="004E7C8A" w:rsidRDefault="004E7C8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A27CD" w14:textId="00DC2316" w:rsidR="00A6411A" w:rsidRPr="008057EA" w:rsidRDefault="00170894" w:rsidP="00AB62C3">
    <w:pPr>
      <w:pStyle w:val="Header-Keyline"/>
    </w:pPr>
    <w:r>
      <w:t>PC</w:t>
    </w:r>
    <w:r w:rsidR="00A6411A" w:rsidRPr="008057EA">
      <w:t xml:space="preserve"> research paper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CE54" w14:textId="04029AB2" w:rsidR="008F43A3" w:rsidRPr="002A562A" w:rsidRDefault="000E0716" w:rsidP="00853667">
    <w:pPr>
      <w:pStyle w:val="Header-Keyline"/>
    </w:pPr>
    <w:r>
      <w:t xml:space="preserve">PC </w:t>
    </w:r>
    <w:r w:rsidR="002A562A" w:rsidRPr="002A562A">
      <w:t xml:space="preserve">research </w:t>
    </w:r>
    <w:r>
      <w:t>paper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EEFF5" w14:textId="4B0A3964" w:rsidR="008F43A3" w:rsidRDefault="008F43A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E7810" w14:textId="2CF5729D" w:rsidR="00E42C03" w:rsidRDefault="00F842BC" w:rsidP="00AB62C3">
    <w:pPr>
      <w:pStyle w:val="Header-KeylineRight"/>
    </w:pPr>
    <w:fldSimple w:instr=" STYLEREF  Heading-Appendix  \* MERGEFORMAT ">
      <w:r w:rsidR="00EB0B19">
        <w:rPr>
          <w:noProof/>
        </w:rPr>
        <w:t>Consultations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82572" w14:textId="7AA04108" w:rsidR="00E42C03" w:rsidRDefault="00E42C0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F7D30" w14:textId="112DB94C" w:rsidR="00A6411A" w:rsidRDefault="00B77240" w:rsidP="00AB62C3">
    <w:pPr>
      <w:pStyle w:val="Header-KeylineRight"/>
    </w:pPr>
    <w:r w:rsidRPr="007A04AE">
      <w:t>Improving health outcomes through hospital funding arrangements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09BEF" w14:textId="5A24AF18" w:rsidR="00D33976" w:rsidRDefault="00D339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4B411" w14:textId="77777777" w:rsidR="004E7C8A" w:rsidRDefault="004E7C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6A3C9" w14:textId="70129653" w:rsidR="001D696D" w:rsidRPr="005965BC" w:rsidRDefault="001D696D" w:rsidP="000B7278">
    <w:r>
      <w:rPr>
        <w:noProof/>
      </w:rPr>
      <w:drawing>
        <wp:anchor distT="0" distB="0" distL="114300" distR="114300" simplePos="0" relativeHeight="251658240" behindDoc="1" locked="0" layoutInCell="1" allowOverlap="1" wp14:anchorId="22ED2D99" wp14:editId="675A563A">
          <wp:simplePos x="0" y="0"/>
          <wp:positionH relativeFrom="page">
            <wp:posOffset>0</wp:posOffset>
          </wp:positionH>
          <wp:positionV relativeFrom="paragraph">
            <wp:posOffset>-377190</wp:posOffset>
          </wp:positionV>
          <wp:extent cx="7550287" cy="10677063"/>
          <wp:effectExtent l="0" t="0" r="0" b="0"/>
          <wp:wrapNone/>
          <wp:docPr id="329916410" name="Picture 3" descr="Australian Government | Productivity Commission logo: PC research co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9998" name="Picture 3" descr="Australian Government | Productivity Commission logo: PC research cover">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287" cy="1067706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EACDD" w14:textId="57ABA327" w:rsidR="001D696D" w:rsidRPr="004A1346" w:rsidRDefault="00170894" w:rsidP="00AB62C3">
    <w:pPr>
      <w:pStyle w:val="Header-Keyline"/>
    </w:pPr>
    <w:r>
      <w:t>PC</w:t>
    </w:r>
    <w:r w:rsidR="001D696D" w:rsidRPr="004A1346">
      <w:t xml:space="preserve"> research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1EED2" w14:textId="6708D92C" w:rsidR="001D696D" w:rsidRPr="00201320" w:rsidRDefault="001D696D"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EB0B19" w:rsidRPr="00EB0B19">
      <w:rPr>
        <w:rStyle w:val="Strong"/>
        <w:noProof/>
        <w:lang w:val="en-US"/>
      </w:rPr>
      <w:t>References</w:t>
    </w:r>
    <w:r>
      <w:rPr>
        <w:rStyle w:val="Strong"/>
        <w:b w:val="0"/>
        <w:bCs w:val="0"/>
      </w:rPr>
      <w:fldChar w:fldCharType="end"/>
    </w:r>
    <w:bookmarkStart w:id="1" w:name="_Toc183530083"/>
    <w:bookmarkStart w:id="2" w:name="_Toc183785525"/>
    <w:bookmarkEnd w:id="1"/>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3CF1A" w14:textId="77777777" w:rsidR="001D696D" w:rsidRDefault="001D696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55941" w14:textId="77777777" w:rsidR="001D696D" w:rsidRPr="008057EA" w:rsidRDefault="001D696D" w:rsidP="00AB62C3">
    <w:pPr>
      <w:pStyle w:val="Header-Keyline"/>
    </w:pPr>
    <w:r w:rsidRPr="008057EA">
      <w:t>Commission research paper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65A8D" w14:textId="66415950" w:rsidR="001D696D" w:rsidRDefault="007A04AE" w:rsidP="00F173EF">
    <w:pPr>
      <w:pStyle w:val="Header-KeylineRight"/>
    </w:pPr>
    <w:r w:rsidRPr="007A04AE">
      <w:t>Improving health outcomes through hospital funding arrangements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4E4E" w14:textId="77777777" w:rsidR="001D696D" w:rsidRDefault="001D69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5590E9A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293AFE"/>
    <w:multiLevelType w:val="hybridMultilevel"/>
    <w:tmpl w:val="5566B5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541204C"/>
    <w:multiLevelType w:val="hybridMultilevel"/>
    <w:tmpl w:val="1BD044F0"/>
    <w:lvl w:ilvl="0" w:tplc="848EB54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BB91430"/>
    <w:multiLevelType w:val="hybridMultilevel"/>
    <w:tmpl w:val="B04861D8"/>
    <w:lvl w:ilvl="0" w:tplc="3878B40C">
      <w:start w:val="1"/>
      <w:numFmt w:val="decimal"/>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665246"/>
    <w:multiLevelType w:val="multilevel"/>
    <w:tmpl w:val="55366B42"/>
    <w:numStyleLink w:val="LetteredList"/>
  </w:abstractNum>
  <w:abstractNum w:abstractNumId="15" w15:restartNumberingAfterBreak="0">
    <w:nsid w:val="2DFE29AF"/>
    <w:multiLevelType w:val="multilevel"/>
    <w:tmpl w:val="72768BCE"/>
    <w:numStyleLink w:val="AppendixHeadingList"/>
  </w:abstractNum>
  <w:abstractNum w:abstractNumId="1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C654148"/>
    <w:multiLevelType w:val="hybridMultilevel"/>
    <w:tmpl w:val="E63AE25C"/>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1" w15:restartNumberingAfterBreak="0">
    <w:nsid w:val="6134636A"/>
    <w:multiLevelType w:val="multilevel"/>
    <w:tmpl w:val="1FA8DC2A"/>
    <w:numStyleLink w:val="Numbering"/>
  </w:abstractNum>
  <w:abstractNum w:abstractNumId="22" w15:restartNumberingAfterBreak="0">
    <w:nsid w:val="761B4A1B"/>
    <w:multiLevelType w:val="multilevel"/>
    <w:tmpl w:val="4F48000A"/>
    <w:numStyleLink w:val="Alphalist"/>
  </w:abstractNum>
  <w:num w:numId="1" w16cid:durableId="1330056995">
    <w:abstractNumId w:val="0"/>
  </w:num>
  <w:num w:numId="2" w16cid:durableId="873420452">
    <w:abstractNumId w:val="20"/>
  </w:num>
  <w:num w:numId="3" w16cid:durableId="423309677">
    <w:abstractNumId w:val="7"/>
  </w:num>
  <w:num w:numId="4" w16cid:durableId="1280994858">
    <w:abstractNumId w:val="5"/>
  </w:num>
  <w:num w:numId="5" w16cid:durableId="482429388">
    <w:abstractNumId w:val="10"/>
  </w:num>
  <w:num w:numId="6" w16cid:durableId="1072462103">
    <w:abstractNumId w:val="16"/>
  </w:num>
  <w:num w:numId="7" w16cid:durableId="1494682005">
    <w:abstractNumId w:val="18"/>
  </w:num>
  <w:num w:numId="8" w16cid:durableId="280723244">
    <w:abstractNumId w:val="19"/>
  </w:num>
  <w:num w:numId="9" w16cid:durableId="560092752">
    <w:abstractNumId w:val="8"/>
  </w:num>
  <w:num w:numId="10" w16cid:durableId="2142259638">
    <w:abstractNumId w:val="14"/>
  </w:num>
  <w:num w:numId="11" w16cid:durableId="930822649">
    <w:abstractNumId w:val="22"/>
  </w:num>
  <w:num w:numId="12" w16cid:durableId="1536891598">
    <w:abstractNumId w:val="3"/>
  </w:num>
  <w:num w:numId="13" w16cid:durableId="105124730">
    <w:abstractNumId w:val="6"/>
  </w:num>
  <w:num w:numId="14" w16cid:durableId="725300897">
    <w:abstractNumId w:val="12"/>
  </w:num>
  <w:num w:numId="15" w16cid:durableId="1635988186">
    <w:abstractNumId w:val="4"/>
  </w:num>
  <w:num w:numId="16" w16cid:durableId="560139262">
    <w:abstractNumId w:val="15"/>
  </w:num>
  <w:num w:numId="17" w16cid:durableId="1972392858">
    <w:abstractNumId w:val="11"/>
  </w:num>
  <w:num w:numId="18" w16cid:durableId="20479341">
    <w:abstractNumId w:val="2"/>
  </w:num>
  <w:num w:numId="19" w16cid:durableId="1451582195">
    <w:abstractNumId w:val="13"/>
  </w:num>
  <w:num w:numId="20" w16cid:durableId="1705057567">
    <w:abstractNumId w:val="1"/>
  </w:num>
  <w:num w:numId="21" w16cid:durableId="1635940054">
    <w:abstractNumId w:val="9"/>
  </w:num>
  <w:num w:numId="22" w16cid:durableId="1583297064">
    <w:abstractNumId w:val="17"/>
  </w:num>
  <w:num w:numId="23" w16cid:durableId="533232315">
    <w:abstractNumId w:val="6"/>
  </w:num>
  <w:num w:numId="24" w16cid:durableId="1451701963">
    <w:abstractNumId w:val="6"/>
  </w:num>
  <w:num w:numId="25" w16cid:durableId="1698240596">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ED5"/>
    <w:rsid w:val="00000075"/>
    <w:rsid w:val="00000D53"/>
    <w:rsid w:val="00000D59"/>
    <w:rsid w:val="00000F3C"/>
    <w:rsid w:val="0000123C"/>
    <w:rsid w:val="00001253"/>
    <w:rsid w:val="00001360"/>
    <w:rsid w:val="0000138B"/>
    <w:rsid w:val="00001E99"/>
    <w:rsid w:val="000023DC"/>
    <w:rsid w:val="0000292B"/>
    <w:rsid w:val="00003B8E"/>
    <w:rsid w:val="00004489"/>
    <w:rsid w:val="000046B7"/>
    <w:rsid w:val="00004B7A"/>
    <w:rsid w:val="00005372"/>
    <w:rsid w:val="00005AA5"/>
    <w:rsid w:val="00005C79"/>
    <w:rsid w:val="00005DCE"/>
    <w:rsid w:val="0000615F"/>
    <w:rsid w:val="000066B7"/>
    <w:rsid w:val="000075BF"/>
    <w:rsid w:val="00007B32"/>
    <w:rsid w:val="00007BDE"/>
    <w:rsid w:val="00007E1A"/>
    <w:rsid w:val="00007E63"/>
    <w:rsid w:val="00010309"/>
    <w:rsid w:val="00010495"/>
    <w:rsid w:val="000108F2"/>
    <w:rsid w:val="000112EB"/>
    <w:rsid w:val="000116F4"/>
    <w:rsid w:val="00011C44"/>
    <w:rsid w:val="000122AF"/>
    <w:rsid w:val="0001281E"/>
    <w:rsid w:val="00012A8E"/>
    <w:rsid w:val="0001306A"/>
    <w:rsid w:val="000134B0"/>
    <w:rsid w:val="0001359A"/>
    <w:rsid w:val="00013BD9"/>
    <w:rsid w:val="00013E0B"/>
    <w:rsid w:val="00014298"/>
    <w:rsid w:val="00014ACF"/>
    <w:rsid w:val="00014CBE"/>
    <w:rsid w:val="00015287"/>
    <w:rsid w:val="00015BB0"/>
    <w:rsid w:val="00016467"/>
    <w:rsid w:val="00016CB3"/>
    <w:rsid w:val="000173F3"/>
    <w:rsid w:val="0001771E"/>
    <w:rsid w:val="00017D6E"/>
    <w:rsid w:val="00017E45"/>
    <w:rsid w:val="0002020F"/>
    <w:rsid w:val="00020C43"/>
    <w:rsid w:val="00020D42"/>
    <w:rsid w:val="00020DBB"/>
    <w:rsid w:val="0002127F"/>
    <w:rsid w:val="00021304"/>
    <w:rsid w:val="00021A08"/>
    <w:rsid w:val="00022298"/>
    <w:rsid w:val="00022385"/>
    <w:rsid w:val="00022CAA"/>
    <w:rsid w:val="0002355A"/>
    <w:rsid w:val="00023AA7"/>
    <w:rsid w:val="00024F36"/>
    <w:rsid w:val="000252AA"/>
    <w:rsid w:val="000257D8"/>
    <w:rsid w:val="0002698A"/>
    <w:rsid w:val="00026C04"/>
    <w:rsid w:val="00026E93"/>
    <w:rsid w:val="00027F83"/>
    <w:rsid w:val="000300AF"/>
    <w:rsid w:val="0003067F"/>
    <w:rsid w:val="0003071F"/>
    <w:rsid w:val="00030CF8"/>
    <w:rsid w:val="00030E15"/>
    <w:rsid w:val="000310D6"/>
    <w:rsid w:val="00031387"/>
    <w:rsid w:val="00031599"/>
    <w:rsid w:val="000316A1"/>
    <w:rsid w:val="00032303"/>
    <w:rsid w:val="0003230A"/>
    <w:rsid w:val="0003289B"/>
    <w:rsid w:val="00032F88"/>
    <w:rsid w:val="00032FB0"/>
    <w:rsid w:val="000331E4"/>
    <w:rsid w:val="0003338D"/>
    <w:rsid w:val="00033449"/>
    <w:rsid w:val="00033619"/>
    <w:rsid w:val="00033862"/>
    <w:rsid w:val="00034273"/>
    <w:rsid w:val="000352CE"/>
    <w:rsid w:val="000356F4"/>
    <w:rsid w:val="00035C32"/>
    <w:rsid w:val="00036561"/>
    <w:rsid w:val="00036728"/>
    <w:rsid w:val="0003697E"/>
    <w:rsid w:val="00036B68"/>
    <w:rsid w:val="00036B8A"/>
    <w:rsid w:val="00036F60"/>
    <w:rsid w:val="00037100"/>
    <w:rsid w:val="0003735D"/>
    <w:rsid w:val="00037516"/>
    <w:rsid w:val="00037949"/>
    <w:rsid w:val="000401D9"/>
    <w:rsid w:val="0004091D"/>
    <w:rsid w:val="00040D8D"/>
    <w:rsid w:val="00041416"/>
    <w:rsid w:val="00041624"/>
    <w:rsid w:val="000418A3"/>
    <w:rsid w:val="00042BF9"/>
    <w:rsid w:val="00042C70"/>
    <w:rsid w:val="00042D30"/>
    <w:rsid w:val="0004327A"/>
    <w:rsid w:val="00043922"/>
    <w:rsid w:val="00043C5E"/>
    <w:rsid w:val="00043EB1"/>
    <w:rsid w:val="0004519E"/>
    <w:rsid w:val="000467A2"/>
    <w:rsid w:val="00046C35"/>
    <w:rsid w:val="00046CB3"/>
    <w:rsid w:val="00046F94"/>
    <w:rsid w:val="00047894"/>
    <w:rsid w:val="00047A96"/>
    <w:rsid w:val="00047FB9"/>
    <w:rsid w:val="0005079A"/>
    <w:rsid w:val="00050AE8"/>
    <w:rsid w:val="00050DC6"/>
    <w:rsid w:val="00050DDA"/>
    <w:rsid w:val="0005123D"/>
    <w:rsid w:val="0005151B"/>
    <w:rsid w:val="000515BD"/>
    <w:rsid w:val="000516B1"/>
    <w:rsid w:val="000525A7"/>
    <w:rsid w:val="00052F13"/>
    <w:rsid w:val="00052F33"/>
    <w:rsid w:val="000535B9"/>
    <w:rsid w:val="00053BA3"/>
    <w:rsid w:val="000542F7"/>
    <w:rsid w:val="00054930"/>
    <w:rsid w:val="00054C95"/>
    <w:rsid w:val="00054F08"/>
    <w:rsid w:val="000555D3"/>
    <w:rsid w:val="00055606"/>
    <w:rsid w:val="000558D6"/>
    <w:rsid w:val="00055945"/>
    <w:rsid w:val="0005598C"/>
    <w:rsid w:val="00055A4A"/>
    <w:rsid w:val="00055C4A"/>
    <w:rsid w:val="000561CF"/>
    <w:rsid w:val="000563CC"/>
    <w:rsid w:val="0005774F"/>
    <w:rsid w:val="00057C8F"/>
    <w:rsid w:val="00057E7A"/>
    <w:rsid w:val="000602B8"/>
    <w:rsid w:val="00060342"/>
    <w:rsid w:val="00060D06"/>
    <w:rsid w:val="00060E41"/>
    <w:rsid w:val="00061378"/>
    <w:rsid w:val="000613C2"/>
    <w:rsid w:val="000613D9"/>
    <w:rsid w:val="0006157C"/>
    <w:rsid w:val="00061988"/>
    <w:rsid w:val="00061AA6"/>
    <w:rsid w:val="00061BB7"/>
    <w:rsid w:val="00061F2D"/>
    <w:rsid w:val="00062A44"/>
    <w:rsid w:val="00062D34"/>
    <w:rsid w:val="00062F9D"/>
    <w:rsid w:val="00063024"/>
    <w:rsid w:val="00063559"/>
    <w:rsid w:val="00063FA7"/>
    <w:rsid w:val="00064AE5"/>
    <w:rsid w:val="00065523"/>
    <w:rsid w:val="00066754"/>
    <w:rsid w:val="0006696D"/>
    <w:rsid w:val="00066FAB"/>
    <w:rsid w:val="0006719D"/>
    <w:rsid w:val="00067322"/>
    <w:rsid w:val="00067324"/>
    <w:rsid w:val="0006765E"/>
    <w:rsid w:val="000677DA"/>
    <w:rsid w:val="00067960"/>
    <w:rsid w:val="00067C22"/>
    <w:rsid w:val="00067C6D"/>
    <w:rsid w:val="000703BA"/>
    <w:rsid w:val="000704D0"/>
    <w:rsid w:val="00070CFC"/>
    <w:rsid w:val="000711EE"/>
    <w:rsid w:val="000714B6"/>
    <w:rsid w:val="000722E8"/>
    <w:rsid w:val="00072353"/>
    <w:rsid w:val="000724AE"/>
    <w:rsid w:val="0007278C"/>
    <w:rsid w:val="00072CB5"/>
    <w:rsid w:val="00072DC4"/>
    <w:rsid w:val="000730BD"/>
    <w:rsid w:val="0007312C"/>
    <w:rsid w:val="00073288"/>
    <w:rsid w:val="0007361F"/>
    <w:rsid w:val="0007442C"/>
    <w:rsid w:val="00074610"/>
    <w:rsid w:val="00074D34"/>
    <w:rsid w:val="0007526D"/>
    <w:rsid w:val="0007590A"/>
    <w:rsid w:val="000760C7"/>
    <w:rsid w:val="00076441"/>
    <w:rsid w:val="00076A4F"/>
    <w:rsid w:val="00076F93"/>
    <w:rsid w:val="00077428"/>
    <w:rsid w:val="00077656"/>
    <w:rsid w:val="0007776A"/>
    <w:rsid w:val="000777A3"/>
    <w:rsid w:val="00077A76"/>
    <w:rsid w:val="00077D2A"/>
    <w:rsid w:val="00080271"/>
    <w:rsid w:val="0008037D"/>
    <w:rsid w:val="000807E2"/>
    <w:rsid w:val="000812A8"/>
    <w:rsid w:val="0008266F"/>
    <w:rsid w:val="000836BB"/>
    <w:rsid w:val="00083759"/>
    <w:rsid w:val="0008385B"/>
    <w:rsid w:val="0008395F"/>
    <w:rsid w:val="00084660"/>
    <w:rsid w:val="00084DF5"/>
    <w:rsid w:val="00085010"/>
    <w:rsid w:val="0008516C"/>
    <w:rsid w:val="0008599C"/>
    <w:rsid w:val="00085A03"/>
    <w:rsid w:val="00085B7C"/>
    <w:rsid w:val="00085FB9"/>
    <w:rsid w:val="00086007"/>
    <w:rsid w:val="000868DC"/>
    <w:rsid w:val="00087536"/>
    <w:rsid w:val="00087A75"/>
    <w:rsid w:val="00087CE5"/>
    <w:rsid w:val="00090558"/>
    <w:rsid w:val="00090F77"/>
    <w:rsid w:val="00090F98"/>
    <w:rsid w:val="00091286"/>
    <w:rsid w:val="000912DB"/>
    <w:rsid w:val="00091CEB"/>
    <w:rsid w:val="00091F2E"/>
    <w:rsid w:val="00092044"/>
    <w:rsid w:val="00092885"/>
    <w:rsid w:val="00092EFF"/>
    <w:rsid w:val="000934A3"/>
    <w:rsid w:val="00093C9B"/>
    <w:rsid w:val="000945F0"/>
    <w:rsid w:val="00094603"/>
    <w:rsid w:val="00094AC7"/>
    <w:rsid w:val="00094B11"/>
    <w:rsid w:val="00094E27"/>
    <w:rsid w:val="0009551E"/>
    <w:rsid w:val="000956A2"/>
    <w:rsid w:val="000957D9"/>
    <w:rsid w:val="000963D2"/>
    <w:rsid w:val="00096C72"/>
    <w:rsid w:val="000971EA"/>
    <w:rsid w:val="00097261"/>
    <w:rsid w:val="000A027D"/>
    <w:rsid w:val="000A0698"/>
    <w:rsid w:val="000A0A22"/>
    <w:rsid w:val="000A0CAD"/>
    <w:rsid w:val="000A0F08"/>
    <w:rsid w:val="000A258E"/>
    <w:rsid w:val="000A2BFF"/>
    <w:rsid w:val="000A2E89"/>
    <w:rsid w:val="000A38AA"/>
    <w:rsid w:val="000A395E"/>
    <w:rsid w:val="000A41A8"/>
    <w:rsid w:val="000A4925"/>
    <w:rsid w:val="000A4AFC"/>
    <w:rsid w:val="000A5A1F"/>
    <w:rsid w:val="000A5ABB"/>
    <w:rsid w:val="000A6411"/>
    <w:rsid w:val="000A6FDB"/>
    <w:rsid w:val="000A7A92"/>
    <w:rsid w:val="000B0547"/>
    <w:rsid w:val="000B0763"/>
    <w:rsid w:val="000B090C"/>
    <w:rsid w:val="000B0B44"/>
    <w:rsid w:val="000B1365"/>
    <w:rsid w:val="000B1917"/>
    <w:rsid w:val="000B1F87"/>
    <w:rsid w:val="000B2AFB"/>
    <w:rsid w:val="000B2D01"/>
    <w:rsid w:val="000B2D05"/>
    <w:rsid w:val="000B37B1"/>
    <w:rsid w:val="000B39F8"/>
    <w:rsid w:val="000B3B17"/>
    <w:rsid w:val="000B4165"/>
    <w:rsid w:val="000B495C"/>
    <w:rsid w:val="000B497F"/>
    <w:rsid w:val="000B4A72"/>
    <w:rsid w:val="000B4BF1"/>
    <w:rsid w:val="000B50BF"/>
    <w:rsid w:val="000B5105"/>
    <w:rsid w:val="000B5722"/>
    <w:rsid w:val="000B57F7"/>
    <w:rsid w:val="000B58B2"/>
    <w:rsid w:val="000B5EA3"/>
    <w:rsid w:val="000B6226"/>
    <w:rsid w:val="000B7014"/>
    <w:rsid w:val="000B706E"/>
    <w:rsid w:val="000B7278"/>
    <w:rsid w:val="000B7DBC"/>
    <w:rsid w:val="000C0241"/>
    <w:rsid w:val="000C0323"/>
    <w:rsid w:val="000C06A7"/>
    <w:rsid w:val="000C0CA7"/>
    <w:rsid w:val="000C10B9"/>
    <w:rsid w:val="000C10BB"/>
    <w:rsid w:val="000C1133"/>
    <w:rsid w:val="000C13F3"/>
    <w:rsid w:val="000C14F0"/>
    <w:rsid w:val="000C1621"/>
    <w:rsid w:val="000C216F"/>
    <w:rsid w:val="000C274C"/>
    <w:rsid w:val="000C27BB"/>
    <w:rsid w:val="000C2B3C"/>
    <w:rsid w:val="000C3071"/>
    <w:rsid w:val="000C323F"/>
    <w:rsid w:val="000C4C94"/>
    <w:rsid w:val="000C5F63"/>
    <w:rsid w:val="000C686A"/>
    <w:rsid w:val="000C6B17"/>
    <w:rsid w:val="000C6B77"/>
    <w:rsid w:val="000C720A"/>
    <w:rsid w:val="000C7948"/>
    <w:rsid w:val="000C7BD0"/>
    <w:rsid w:val="000D05E1"/>
    <w:rsid w:val="000D07D3"/>
    <w:rsid w:val="000D0B86"/>
    <w:rsid w:val="000D1482"/>
    <w:rsid w:val="000D2DE1"/>
    <w:rsid w:val="000D30B1"/>
    <w:rsid w:val="000D3563"/>
    <w:rsid w:val="000D3F1F"/>
    <w:rsid w:val="000D4456"/>
    <w:rsid w:val="000D46D6"/>
    <w:rsid w:val="000D4784"/>
    <w:rsid w:val="000D4A89"/>
    <w:rsid w:val="000D4F13"/>
    <w:rsid w:val="000D5412"/>
    <w:rsid w:val="000D5CD1"/>
    <w:rsid w:val="000D7C01"/>
    <w:rsid w:val="000D7E2C"/>
    <w:rsid w:val="000E0274"/>
    <w:rsid w:val="000E04C4"/>
    <w:rsid w:val="000E0716"/>
    <w:rsid w:val="000E0A42"/>
    <w:rsid w:val="000E0C32"/>
    <w:rsid w:val="000E1D74"/>
    <w:rsid w:val="000E2070"/>
    <w:rsid w:val="000E2768"/>
    <w:rsid w:val="000E2962"/>
    <w:rsid w:val="000E2BC3"/>
    <w:rsid w:val="000E2D8C"/>
    <w:rsid w:val="000E3116"/>
    <w:rsid w:val="000E33FD"/>
    <w:rsid w:val="000E3544"/>
    <w:rsid w:val="000E37FD"/>
    <w:rsid w:val="000E3B01"/>
    <w:rsid w:val="000E3B22"/>
    <w:rsid w:val="000E3B9A"/>
    <w:rsid w:val="000E4089"/>
    <w:rsid w:val="000E43B0"/>
    <w:rsid w:val="000E46D9"/>
    <w:rsid w:val="000E4B18"/>
    <w:rsid w:val="000E57FE"/>
    <w:rsid w:val="000E5981"/>
    <w:rsid w:val="000E5B26"/>
    <w:rsid w:val="000E78AD"/>
    <w:rsid w:val="000F0042"/>
    <w:rsid w:val="000F0152"/>
    <w:rsid w:val="000F0325"/>
    <w:rsid w:val="000F09D1"/>
    <w:rsid w:val="000F1340"/>
    <w:rsid w:val="000F17CF"/>
    <w:rsid w:val="000F180D"/>
    <w:rsid w:val="000F19F0"/>
    <w:rsid w:val="000F27DA"/>
    <w:rsid w:val="000F4488"/>
    <w:rsid w:val="000F45D7"/>
    <w:rsid w:val="000F4DB6"/>
    <w:rsid w:val="000F4ED6"/>
    <w:rsid w:val="000F5165"/>
    <w:rsid w:val="000F51B1"/>
    <w:rsid w:val="000F59F2"/>
    <w:rsid w:val="000F64D6"/>
    <w:rsid w:val="000F6E87"/>
    <w:rsid w:val="000F73C1"/>
    <w:rsid w:val="000F7D1A"/>
    <w:rsid w:val="00100174"/>
    <w:rsid w:val="00100B1C"/>
    <w:rsid w:val="00100FAB"/>
    <w:rsid w:val="0010169D"/>
    <w:rsid w:val="00101B22"/>
    <w:rsid w:val="00102477"/>
    <w:rsid w:val="001024EC"/>
    <w:rsid w:val="00103D30"/>
    <w:rsid w:val="00104168"/>
    <w:rsid w:val="001044FF"/>
    <w:rsid w:val="00105758"/>
    <w:rsid w:val="001069F3"/>
    <w:rsid w:val="00106D07"/>
    <w:rsid w:val="00107567"/>
    <w:rsid w:val="001076D8"/>
    <w:rsid w:val="00110047"/>
    <w:rsid w:val="00110BCC"/>
    <w:rsid w:val="00110FC2"/>
    <w:rsid w:val="00110FCB"/>
    <w:rsid w:val="001111EA"/>
    <w:rsid w:val="00111BF3"/>
    <w:rsid w:val="0011217E"/>
    <w:rsid w:val="00112755"/>
    <w:rsid w:val="00112E8F"/>
    <w:rsid w:val="00113059"/>
    <w:rsid w:val="001130BE"/>
    <w:rsid w:val="00113885"/>
    <w:rsid w:val="00114301"/>
    <w:rsid w:val="00114337"/>
    <w:rsid w:val="001148D2"/>
    <w:rsid w:val="001150B6"/>
    <w:rsid w:val="00115672"/>
    <w:rsid w:val="0011658B"/>
    <w:rsid w:val="001171B7"/>
    <w:rsid w:val="00117802"/>
    <w:rsid w:val="00117A47"/>
    <w:rsid w:val="00117F0E"/>
    <w:rsid w:val="00120792"/>
    <w:rsid w:val="00120ACD"/>
    <w:rsid w:val="00121364"/>
    <w:rsid w:val="00121795"/>
    <w:rsid w:val="00122536"/>
    <w:rsid w:val="0012312A"/>
    <w:rsid w:val="0012348F"/>
    <w:rsid w:val="00123DF9"/>
    <w:rsid w:val="0012405D"/>
    <w:rsid w:val="001250D8"/>
    <w:rsid w:val="0012570D"/>
    <w:rsid w:val="00125A97"/>
    <w:rsid w:val="00125AE0"/>
    <w:rsid w:val="001268AF"/>
    <w:rsid w:val="001268BC"/>
    <w:rsid w:val="001274B8"/>
    <w:rsid w:val="00127C20"/>
    <w:rsid w:val="00127DA2"/>
    <w:rsid w:val="00130247"/>
    <w:rsid w:val="0013032D"/>
    <w:rsid w:val="00130355"/>
    <w:rsid w:val="00131DB2"/>
    <w:rsid w:val="00133835"/>
    <w:rsid w:val="00133A27"/>
    <w:rsid w:val="00134252"/>
    <w:rsid w:val="001349C3"/>
    <w:rsid w:val="00136AE8"/>
    <w:rsid w:val="00136D89"/>
    <w:rsid w:val="001370A6"/>
    <w:rsid w:val="0013720A"/>
    <w:rsid w:val="0013722E"/>
    <w:rsid w:val="00137329"/>
    <w:rsid w:val="001376B6"/>
    <w:rsid w:val="00137FAB"/>
    <w:rsid w:val="001403FD"/>
    <w:rsid w:val="00140555"/>
    <w:rsid w:val="0014068A"/>
    <w:rsid w:val="00140A23"/>
    <w:rsid w:val="00140BEA"/>
    <w:rsid w:val="00140C86"/>
    <w:rsid w:val="00141291"/>
    <w:rsid w:val="00141543"/>
    <w:rsid w:val="001416D0"/>
    <w:rsid w:val="0014194E"/>
    <w:rsid w:val="00141B92"/>
    <w:rsid w:val="00141C1D"/>
    <w:rsid w:val="00141C6E"/>
    <w:rsid w:val="00142349"/>
    <w:rsid w:val="0014249B"/>
    <w:rsid w:val="00142543"/>
    <w:rsid w:val="00143176"/>
    <w:rsid w:val="001432C7"/>
    <w:rsid w:val="001432D1"/>
    <w:rsid w:val="0014359D"/>
    <w:rsid w:val="00143BAE"/>
    <w:rsid w:val="00143C7F"/>
    <w:rsid w:val="00143CBA"/>
    <w:rsid w:val="0014406D"/>
    <w:rsid w:val="001445A8"/>
    <w:rsid w:val="001445CE"/>
    <w:rsid w:val="001445E9"/>
    <w:rsid w:val="0014500B"/>
    <w:rsid w:val="00145081"/>
    <w:rsid w:val="00145792"/>
    <w:rsid w:val="00145EBF"/>
    <w:rsid w:val="00146CA4"/>
    <w:rsid w:val="00146FC3"/>
    <w:rsid w:val="00147108"/>
    <w:rsid w:val="00147454"/>
    <w:rsid w:val="00147702"/>
    <w:rsid w:val="00147AF8"/>
    <w:rsid w:val="00150B9D"/>
    <w:rsid w:val="00151559"/>
    <w:rsid w:val="00151732"/>
    <w:rsid w:val="00151C15"/>
    <w:rsid w:val="00152652"/>
    <w:rsid w:val="00152CB2"/>
    <w:rsid w:val="00152D4C"/>
    <w:rsid w:val="0015312B"/>
    <w:rsid w:val="001532B1"/>
    <w:rsid w:val="001532EE"/>
    <w:rsid w:val="001533F9"/>
    <w:rsid w:val="00153791"/>
    <w:rsid w:val="001539AC"/>
    <w:rsid w:val="00153AF1"/>
    <w:rsid w:val="0015409B"/>
    <w:rsid w:val="00154E0D"/>
    <w:rsid w:val="0015530C"/>
    <w:rsid w:val="001553BA"/>
    <w:rsid w:val="00155CE2"/>
    <w:rsid w:val="00156105"/>
    <w:rsid w:val="0015628A"/>
    <w:rsid w:val="00156BDE"/>
    <w:rsid w:val="001600E9"/>
    <w:rsid w:val="001604B0"/>
    <w:rsid w:val="00160CF2"/>
    <w:rsid w:val="00160FEC"/>
    <w:rsid w:val="001610E5"/>
    <w:rsid w:val="0016140A"/>
    <w:rsid w:val="001618EE"/>
    <w:rsid w:val="00161BC8"/>
    <w:rsid w:val="0016327B"/>
    <w:rsid w:val="001635D0"/>
    <w:rsid w:val="00163AB8"/>
    <w:rsid w:val="00163C71"/>
    <w:rsid w:val="00163DBA"/>
    <w:rsid w:val="00163E34"/>
    <w:rsid w:val="00164B6C"/>
    <w:rsid w:val="00164FB8"/>
    <w:rsid w:val="00165975"/>
    <w:rsid w:val="00165A51"/>
    <w:rsid w:val="00165D52"/>
    <w:rsid w:val="001663D8"/>
    <w:rsid w:val="00167949"/>
    <w:rsid w:val="00167A32"/>
    <w:rsid w:val="00167F93"/>
    <w:rsid w:val="00170234"/>
    <w:rsid w:val="00170434"/>
    <w:rsid w:val="00170894"/>
    <w:rsid w:val="001714F3"/>
    <w:rsid w:val="00172697"/>
    <w:rsid w:val="0017288D"/>
    <w:rsid w:val="0017290A"/>
    <w:rsid w:val="00172BE8"/>
    <w:rsid w:val="00173210"/>
    <w:rsid w:val="00173216"/>
    <w:rsid w:val="001733D6"/>
    <w:rsid w:val="00173428"/>
    <w:rsid w:val="00174A1C"/>
    <w:rsid w:val="00174CE9"/>
    <w:rsid w:val="001750B2"/>
    <w:rsid w:val="001765AB"/>
    <w:rsid w:val="00176DA4"/>
    <w:rsid w:val="00177212"/>
    <w:rsid w:val="00180D94"/>
    <w:rsid w:val="00181030"/>
    <w:rsid w:val="001810EB"/>
    <w:rsid w:val="00181E33"/>
    <w:rsid w:val="00182167"/>
    <w:rsid w:val="00182313"/>
    <w:rsid w:val="00182A32"/>
    <w:rsid w:val="00183030"/>
    <w:rsid w:val="001840AB"/>
    <w:rsid w:val="00184140"/>
    <w:rsid w:val="001849FE"/>
    <w:rsid w:val="0018555F"/>
    <w:rsid w:val="0018582A"/>
    <w:rsid w:val="00185E5B"/>
    <w:rsid w:val="0018641F"/>
    <w:rsid w:val="0018696E"/>
    <w:rsid w:val="00187F05"/>
    <w:rsid w:val="00190522"/>
    <w:rsid w:val="00190BAB"/>
    <w:rsid w:val="00190E9C"/>
    <w:rsid w:val="00191333"/>
    <w:rsid w:val="001917BB"/>
    <w:rsid w:val="00191C94"/>
    <w:rsid w:val="001921D4"/>
    <w:rsid w:val="0019276B"/>
    <w:rsid w:val="001934AF"/>
    <w:rsid w:val="001936A5"/>
    <w:rsid w:val="00193808"/>
    <w:rsid w:val="00193A29"/>
    <w:rsid w:val="00194E66"/>
    <w:rsid w:val="00195793"/>
    <w:rsid w:val="001957BF"/>
    <w:rsid w:val="00195A4A"/>
    <w:rsid w:val="00195C73"/>
    <w:rsid w:val="001A0820"/>
    <w:rsid w:val="001A0B45"/>
    <w:rsid w:val="001A0C02"/>
    <w:rsid w:val="001A0D77"/>
    <w:rsid w:val="001A1290"/>
    <w:rsid w:val="001A196A"/>
    <w:rsid w:val="001A1D95"/>
    <w:rsid w:val="001A1D99"/>
    <w:rsid w:val="001A1DAF"/>
    <w:rsid w:val="001A2013"/>
    <w:rsid w:val="001A2565"/>
    <w:rsid w:val="001A2857"/>
    <w:rsid w:val="001A2DB6"/>
    <w:rsid w:val="001A3A7B"/>
    <w:rsid w:val="001A4563"/>
    <w:rsid w:val="001A4C15"/>
    <w:rsid w:val="001A4F3B"/>
    <w:rsid w:val="001A526C"/>
    <w:rsid w:val="001A62AD"/>
    <w:rsid w:val="001A6D78"/>
    <w:rsid w:val="001A743C"/>
    <w:rsid w:val="001A77F3"/>
    <w:rsid w:val="001A7A28"/>
    <w:rsid w:val="001A7CE7"/>
    <w:rsid w:val="001B0125"/>
    <w:rsid w:val="001B02EC"/>
    <w:rsid w:val="001B0433"/>
    <w:rsid w:val="001B1098"/>
    <w:rsid w:val="001B122E"/>
    <w:rsid w:val="001B1762"/>
    <w:rsid w:val="001B17AC"/>
    <w:rsid w:val="001B182B"/>
    <w:rsid w:val="001B1A9F"/>
    <w:rsid w:val="001B1B7C"/>
    <w:rsid w:val="001B209F"/>
    <w:rsid w:val="001B2E44"/>
    <w:rsid w:val="001B3075"/>
    <w:rsid w:val="001B31D8"/>
    <w:rsid w:val="001B31EE"/>
    <w:rsid w:val="001B3C24"/>
    <w:rsid w:val="001B558C"/>
    <w:rsid w:val="001B588D"/>
    <w:rsid w:val="001B5A08"/>
    <w:rsid w:val="001B6647"/>
    <w:rsid w:val="001B72FB"/>
    <w:rsid w:val="001B7E67"/>
    <w:rsid w:val="001C0025"/>
    <w:rsid w:val="001C0B5D"/>
    <w:rsid w:val="001C0ED1"/>
    <w:rsid w:val="001C1524"/>
    <w:rsid w:val="001C1A09"/>
    <w:rsid w:val="001C1CC4"/>
    <w:rsid w:val="001C1E3D"/>
    <w:rsid w:val="001C1FC5"/>
    <w:rsid w:val="001C21BA"/>
    <w:rsid w:val="001C21DE"/>
    <w:rsid w:val="001C21E9"/>
    <w:rsid w:val="001C2CF3"/>
    <w:rsid w:val="001C3C75"/>
    <w:rsid w:val="001C512F"/>
    <w:rsid w:val="001C5FDD"/>
    <w:rsid w:val="001C61EF"/>
    <w:rsid w:val="001C7835"/>
    <w:rsid w:val="001C7B0F"/>
    <w:rsid w:val="001C7F24"/>
    <w:rsid w:val="001D0132"/>
    <w:rsid w:val="001D0313"/>
    <w:rsid w:val="001D03C7"/>
    <w:rsid w:val="001D0AB0"/>
    <w:rsid w:val="001D0E2F"/>
    <w:rsid w:val="001D0F30"/>
    <w:rsid w:val="001D105F"/>
    <w:rsid w:val="001D12BB"/>
    <w:rsid w:val="001D13E2"/>
    <w:rsid w:val="001D1BCA"/>
    <w:rsid w:val="001D2E2F"/>
    <w:rsid w:val="001D3373"/>
    <w:rsid w:val="001D4050"/>
    <w:rsid w:val="001D45B4"/>
    <w:rsid w:val="001D45DA"/>
    <w:rsid w:val="001D497B"/>
    <w:rsid w:val="001D5617"/>
    <w:rsid w:val="001D59DE"/>
    <w:rsid w:val="001D66DF"/>
    <w:rsid w:val="001D696D"/>
    <w:rsid w:val="001D6B4B"/>
    <w:rsid w:val="001D6BF0"/>
    <w:rsid w:val="001D6F3E"/>
    <w:rsid w:val="001D7197"/>
    <w:rsid w:val="001D7D74"/>
    <w:rsid w:val="001D7D9B"/>
    <w:rsid w:val="001D7DD8"/>
    <w:rsid w:val="001E02CC"/>
    <w:rsid w:val="001E049C"/>
    <w:rsid w:val="001E12AC"/>
    <w:rsid w:val="001E13D1"/>
    <w:rsid w:val="001E1718"/>
    <w:rsid w:val="001E1D35"/>
    <w:rsid w:val="001E1F93"/>
    <w:rsid w:val="001E27ED"/>
    <w:rsid w:val="001E2858"/>
    <w:rsid w:val="001E2AAB"/>
    <w:rsid w:val="001E2FE8"/>
    <w:rsid w:val="001E3199"/>
    <w:rsid w:val="001E3FD4"/>
    <w:rsid w:val="001E5363"/>
    <w:rsid w:val="001E6E6F"/>
    <w:rsid w:val="001E6EA2"/>
    <w:rsid w:val="001E72AC"/>
    <w:rsid w:val="001E7980"/>
    <w:rsid w:val="001E7F0C"/>
    <w:rsid w:val="001F012F"/>
    <w:rsid w:val="001F034F"/>
    <w:rsid w:val="001F03BE"/>
    <w:rsid w:val="001F0466"/>
    <w:rsid w:val="001F0679"/>
    <w:rsid w:val="001F0CA8"/>
    <w:rsid w:val="001F0DBD"/>
    <w:rsid w:val="001F118D"/>
    <w:rsid w:val="001F13C1"/>
    <w:rsid w:val="001F15E0"/>
    <w:rsid w:val="001F1797"/>
    <w:rsid w:val="001F1E9A"/>
    <w:rsid w:val="001F2408"/>
    <w:rsid w:val="001F262B"/>
    <w:rsid w:val="001F264E"/>
    <w:rsid w:val="001F2899"/>
    <w:rsid w:val="001F2D1C"/>
    <w:rsid w:val="001F30E9"/>
    <w:rsid w:val="001F446D"/>
    <w:rsid w:val="001F487C"/>
    <w:rsid w:val="001F497A"/>
    <w:rsid w:val="001F4EF3"/>
    <w:rsid w:val="001F505E"/>
    <w:rsid w:val="001F54D4"/>
    <w:rsid w:val="001F59BE"/>
    <w:rsid w:val="001F5CD6"/>
    <w:rsid w:val="001F5D30"/>
    <w:rsid w:val="001F6103"/>
    <w:rsid w:val="001F63CF"/>
    <w:rsid w:val="001F6B0A"/>
    <w:rsid w:val="001F745F"/>
    <w:rsid w:val="001F7B87"/>
    <w:rsid w:val="001F7D17"/>
    <w:rsid w:val="001F7FCB"/>
    <w:rsid w:val="0020022D"/>
    <w:rsid w:val="00200646"/>
    <w:rsid w:val="00200D4F"/>
    <w:rsid w:val="00200E25"/>
    <w:rsid w:val="002010BF"/>
    <w:rsid w:val="00201320"/>
    <w:rsid w:val="0020204A"/>
    <w:rsid w:val="0020222B"/>
    <w:rsid w:val="00202683"/>
    <w:rsid w:val="00202FB7"/>
    <w:rsid w:val="00203001"/>
    <w:rsid w:val="00203992"/>
    <w:rsid w:val="00203D72"/>
    <w:rsid w:val="002052A6"/>
    <w:rsid w:val="0020622D"/>
    <w:rsid w:val="002065F6"/>
    <w:rsid w:val="00206C89"/>
    <w:rsid w:val="00206D81"/>
    <w:rsid w:val="002074FB"/>
    <w:rsid w:val="00207691"/>
    <w:rsid w:val="00207FA1"/>
    <w:rsid w:val="0021017E"/>
    <w:rsid w:val="00210D89"/>
    <w:rsid w:val="002112EC"/>
    <w:rsid w:val="0021138A"/>
    <w:rsid w:val="002126AB"/>
    <w:rsid w:val="0021302F"/>
    <w:rsid w:val="00213086"/>
    <w:rsid w:val="002130E8"/>
    <w:rsid w:val="002142B2"/>
    <w:rsid w:val="00214B71"/>
    <w:rsid w:val="00214E67"/>
    <w:rsid w:val="00215147"/>
    <w:rsid w:val="00216693"/>
    <w:rsid w:val="00216D7A"/>
    <w:rsid w:val="00216ECF"/>
    <w:rsid w:val="00217B22"/>
    <w:rsid w:val="00217B37"/>
    <w:rsid w:val="00217E71"/>
    <w:rsid w:val="00217FBA"/>
    <w:rsid w:val="00217FC8"/>
    <w:rsid w:val="00220080"/>
    <w:rsid w:val="0022022F"/>
    <w:rsid w:val="00220559"/>
    <w:rsid w:val="00220B28"/>
    <w:rsid w:val="00221235"/>
    <w:rsid w:val="00221383"/>
    <w:rsid w:val="002214F1"/>
    <w:rsid w:val="00221800"/>
    <w:rsid w:val="00221AB7"/>
    <w:rsid w:val="00221CF4"/>
    <w:rsid w:val="00221FAA"/>
    <w:rsid w:val="0022238E"/>
    <w:rsid w:val="00222478"/>
    <w:rsid w:val="0022251D"/>
    <w:rsid w:val="00222BFD"/>
    <w:rsid w:val="00222F73"/>
    <w:rsid w:val="0022301F"/>
    <w:rsid w:val="00223635"/>
    <w:rsid w:val="00223640"/>
    <w:rsid w:val="00223BB5"/>
    <w:rsid w:val="0022489B"/>
    <w:rsid w:val="00224A91"/>
    <w:rsid w:val="002254AD"/>
    <w:rsid w:val="00225ED9"/>
    <w:rsid w:val="002265B4"/>
    <w:rsid w:val="002267BD"/>
    <w:rsid w:val="00226A09"/>
    <w:rsid w:val="00226A61"/>
    <w:rsid w:val="002272AE"/>
    <w:rsid w:val="00227712"/>
    <w:rsid w:val="00227866"/>
    <w:rsid w:val="00227F1B"/>
    <w:rsid w:val="00230193"/>
    <w:rsid w:val="0023067C"/>
    <w:rsid w:val="002309B3"/>
    <w:rsid w:val="002309EA"/>
    <w:rsid w:val="00230A65"/>
    <w:rsid w:val="00230F05"/>
    <w:rsid w:val="0023106C"/>
    <w:rsid w:val="002314C3"/>
    <w:rsid w:val="00231A0E"/>
    <w:rsid w:val="00231BAD"/>
    <w:rsid w:val="00231DF8"/>
    <w:rsid w:val="00232ACA"/>
    <w:rsid w:val="00232EA6"/>
    <w:rsid w:val="00232FA5"/>
    <w:rsid w:val="002343CC"/>
    <w:rsid w:val="00234451"/>
    <w:rsid w:val="00234758"/>
    <w:rsid w:val="00234B77"/>
    <w:rsid w:val="00234BD4"/>
    <w:rsid w:val="002351C2"/>
    <w:rsid w:val="002355F3"/>
    <w:rsid w:val="00235F60"/>
    <w:rsid w:val="002367F5"/>
    <w:rsid w:val="00236D5B"/>
    <w:rsid w:val="00236FE3"/>
    <w:rsid w:val="002371C7"/>
    <w:rsid w:val="002374C6"/>
    <w:rsid w:val="002376E9"/>
    <w:rsid w:val="00237996"/>
    <w:rsid w:val="00237DF7"/>
    <w:rsid w:val="0024034B"/>
    <w:rsid w:val="00240FBD"/>
    <w:rsid w:val="002410A6"/>
    <w:rsid w:val="002413E4"/>
    <w:rsid w:val="00242AC7"/>
    <w:rsid w:val="0024396A"/>
    <w:rsid w:val="0024448D"/>
    <w:rsid w:val="0024483D"/>
    <w:rsid w:val="00244E2F"/>
    <w:rsid w:val="002451DD"/>
    <w:rsid w:val="002457DE"/>
    <w:rsid w:val="00245D78"/>
    <w:rsid w:val="00245DF5"/>
    <w:rsid w:val="00245E45"/>
    <w:rsid w:val="0024613C"/>
    <w:rsid w:val="00246435"/>
    <w:rsid w:val="002464E9"/>
    <w:rsid w:val="00246543"/>
    <w:rsid w:val="002469F5"/>
    <w:rsid w:val="00246BCF"/>
    <w:rsid w:val="00246F16"/>
    <w:rsid w:val="00247384"/>
    <w:rsid w:val="002477BE"/>
    <w:rsid w:val="00247CDD"/>
    <w:rsid w:val="002505DF"/>
    <w:rsid w:val="00251245"/>
    <w:rsid w:val="00251A44"/>
    <w:rsid w:val="00251B99"/>
    <w:rsid w:val="00251CA2"/>
    <w:rsid w:val="002528AC"/>
    <w:rsid w:val="00252CD2"/>
    <w:rsid w:val="00253F17"/>
    <w:rsid w:val="00254566"/>
    <w:rsid w:val="002546E6"/>
    <w:rsid w:val="00254FEF"/>
    <w:rsid w:val="00255164"/>
    <w:rsid w:val="002556FB"/>
    <w:rsid w:val="00256537"/>
    <w:rsid w:val="00256D27"/>
    <w:rsid w:val="00256D68"/>
    <w:rsid w:val="00257629"/>
    <w:rsid w:val="0025797D"/>
    <w:rsid w:val="00257A21"/>
    <w:rsid w:val="00257B55"/>
    <w:rsid w:val="00257FDA"/>
    <w:rsid w:val="002601BB"/>
    <w:rsid w:val="002603F5"/>
    <w:rsid w:val="00260926"/>
    <w:rsid w:val="00260B99"/>
    <w:rsid w:val="002614DA"/>
    <w:rsid w:val="00261B6D"/>
    <w:rsid w:val="00261E5F"/>
    <w:rsid w:val="00262177"/>
    <w:rsid w:val="002625DA"/>
    <w:rsid w:val="00262B08"/>
    <w:rsid w:val="0026317C"/>
    <w:rsid w:val="00263339"/>
    <w:rsid w:val="00263386"/>
    <w:rsid w:val="00263850"/>
    <w:rsid w:val="0026432A"/>
    <w:rsid w:val="0026455B"/>
    <w:rsid w:val="00264A03"/>
    <w:rsid w:val="00264B20"/>
    <w:rsid w:val="00265373"/>
    <w:rsid w:val="002654FA"/>
    <w:rsid w:val="0026579E"/>
    <w:rsid w:val="00265918"/>
    <w:rsid w:val="00265BBE"/>
    <w:rsid w:val="00265E59"/>
    <w:rsid w:val="00266453"/>
    <w:rsid w:val="00266F97"/>
    <w:rsid w:val="0026749A"/>
    <w:rsid w:val="002676EA"/>
    <w:rsid w:val="00267A3D"/>
    <w:rsid w:val="00267C20"/>
    <w:rsid w:val="0027078C"/>
    <w:rsid w:val="00270834"/>
    <w:rsid w:val="00270A88"/>
    <w:rsid w:val="00270BEC"/>
    <w:rsid w:val="00270D0F"/>
    <w:rsid w:val="002712F2"/>
    <w:rsid w:val="00271896"/>
    <w:rsid w:val="002719BF"/>
    <w:rsid w:val="00272004"/>
    <w:rsid w:val="00272017"/>
    <w:rsid w:val="00272377"/>
    <w:rsid w:val="0027256D"/>
    <w:rsid w:val="002726E3"/>
    <w:rsid w:val="00272F45"/>
    <w:rsid w:val="00273305"/>
    <w:rsid w:val="002735E1"/>
    <w:rsid w:val="0027380A"/>
    <w:rsid w:val="00273E86"/>
    <w:rsid w:val="002741AA"/>
    <w:rsid w:val="002751DC"/>
    <w:rsid w:val="002755FA"/>
    <w:rsid w:val="0027576C"/>
    <w:rsid w:val="00275857"/>
    <w:rsid w:val="00276037"/>
    <w:rsid w:val="00276110"/>
    <w:rsid w:val="00276986"/>
    <w:rsid w:val="00276E5E"/>
    <w:rsid w:val="00277288"/>
    <w:rsid w:val="00277335"/>
    <w:rsid w:val="00277411"/>
    <w:rsid w:val="00277723"/>
    <w:rsid w:val="0027783D"/>
    <w:rsid w:val="00277BF1"/>
    <w:rsid w:val="00277E26"/>
    <w:rsid w:val="002804BD"/>
    <w:rsid w:val="00280CD9"/>
    <w:rsid w:val="00280D38"/>
    <w:rsid w:val="00281123"/>
    <w:rsid w:val="002814E6"/>
    <w:rsid w:val="00281568"/>
    <w:rsid w:val="00281750"/>
    <w:rsid w:val="00281828"/>
    <w:rsid w:val="00281A54"/>
    <w:rsid w:val="00282AE5"/>
    <w:rsid w:val="00282C66"/>
    <w:rsid w:val="00282D4B"/>
    <w:rsid w:val="00283502"/>
    <w:rsid w:val="00283B55"/>
    <w:rsid w:val="00283FD8"/>
    <w:rsid w:val="0028447F"/>
    <w:rsid w:val="002852A5"/>
    <w:rsid w:val="002855D1"/>
    <w:rsid w:val="002856B7"/>
    <w:rsid w:val="002859EE"/>
    <w:rsid w:val="0028649A"/>
    <w:rsid w:val="002869CC"/>
    <w:rsid w:val="00286D92"/>
    <w:rsid w:val="00287114"/>
    <w:rsid w:val="00287294"/>
    <w:rsid w:val="002876A3"/>
    <w:rsid w:val="00287D15"/>
    <w:rsid w:val="00287E79"/>
    <w:rsid w:val="00290183"/>
    <w:rsid w:val="002906E9"/>
    <w:rsid w:val="00290989"/>
    <w:rsid w:val="00290CBB"/>
    <w:rsid w:val="00290E3F"/>
    <w:rsid w:val="002914F0"/>
    <w:rsid w:val="002915D6"/>
    <w:rsid w:val="00291AB8"/>
    <w:rsid w:val="00291CA9"/>
    <w:rsid w:val="00291DA2"/>
    <w:rsid w:val="00292024"/>
    <w:rsid w:val="002924B3"/>
    <w:rsid w:val="00292B24"/>
    <w:rsid w:val="002936B4"/>
    <w:rsid w:val="0029387A"/>
    <w:rsid w:val="00293ECF"/>
    <w:rsid w:val="0029519A"/>
    <w:rsid w:val="002951E6"/>
    <w:rsid w:val="00295330"/>
    <w:rsid w:val="0029553D"/>
    <w:rsid w:val="00295AA9"/>
    <w:rsid w:val="002962E3"/>
    <w:rsid w:val="00296440"/>
    <w:rsid w:val="00296600"/>
    <w:rsid w:val="002969DF"/>
    <w:rsid w:val="00296B22"/>
    <w:rsid w:val="00296F56"/>
    <w:rsid w:val="0029737D"/>
    <w:rsid w:val="002974AE"/>
    <w:rsid w:val="00297924"/>
    <w:rsid w:val="00297F48"/>
    <w:rsid w:val="002A0899"/>
    <w:rsid w:val="002A095D"/>
    <w:rsid w:val="002A0B15"/>
    <w:rsid w:val="002A0B9A"/>
    <w:rsid w:val="002A0F1A"/>
    <w:rsid w:val="002A12B3"/>
    <w:rsid w:val="002A1FA1"/>
    <w:rsid w:val="002A2149"/>
    <w:rsid w:val="002A27AC"/>
    <w:rsid w:val="002A2809"/>
    <w:rsid w:val="002A3BEC"/>
    <w:rsid w:val="002A3C23"/>
    <w:rsid w:val="002A425C"/>
    <w:rsid w:val="002A42C1"/>
    <w:rsid w:val="002A47C2"/>
    <w:rsid w:val="002A47CB"/>
    <w:rsid w:val="002A53AE"/>
    <w:rsid w:val="002A562A"/>
    <w:rsid w:val="002A60C1"/>
    <w:rsid w:val="002A693A"/>
    <w:rsid w:val="002A6AAA"/>
    <w:rsid w:val="002A7D78"/>
    <w:rsid w:val="002A7F41"/>
    <w:rsid w:val="002B0577"/>
    <w:rsid w:val="002B0D40"/>
    <w:rsid w:val="002B0FAA"/>
    <w:rsid w:val="002B0FC5"/>
    <w:rsid w:val="002B1B58"/>
    <w:rsid w:val="002B373C"/>
    <w:rsid w:val="002B4425"/>
    <w:rsid w:val="002B4479"/>
    <w:rsid w:val="002B4856"/>
    <w:rsid w:val="002B4F29"/>
    <w:rsid w:val="002B5128"/>
    <w:rsid w:val="002B525D"/>
    <w:rsid w:val="002B52BA"/>
    <w:rsid w:val="002B5C29"/>
    <w:rsid w:val="002B6399"/>
    <w:rsid w:val="002B671F"/>
    <w:rsid w:val="002B73FD"/>
    <w:rsid w:val="002B7D9F"/>
    <w:rsid w:val="002C0A31"/>
    <w:rsid w:val="002C0F56"/>
    <w:rsid w:val="002C1710"/>
    <w:rsid w:val="002C19E4"/>
    <w:rsid w:val="002C1C5D"/>
    <w:rsid w:val="002C1F91"/>
    <w:rsid w:val="002C2056"/>
    <w:rsid w:val="002C2406"/>
    <w:rsid w:val="002C2661"/>
    <w:rsid w:val="002C29F6"/>
    <w:rsid w:val="002C39B8"/>
    <w:rsid w:val="002C46FE"/>
    <w:rsid w:val="002C48B4"/>
    <w:rsid w:val="002C49F2"/>
    <w:rsid w:val="002C4D26"/>
    <w:rsid w:val="002C54E6"/>
    <w:rsid w:val="002C55C4"/>
    <w:rsid w:val="002C5D8B"/>
    <w:rsid w:val="002C6FE2"/>
    <w:rsid w:val="002C75C0"/>
    <w:rsid w:val="002C797E"/>
    <w:rsid w:val="002D04B4"/>
    <w:rsid w:val="002D13CD"/>
    <w:rsid w:val="002D1AD5"/>
    <w:rsid w:val="002D1DE2"/>
    <w:rsid w:val="002D1EDC"/>
    <w:rsid w:val="002D2B86"/>
    <w:rsid w:val="002D2E97"/>
    <w:rsid w:val="002D32F2"/>
    <w:rsid w:val="002D3BC7"/>
    <w:rsid w:val="002D44A9"/>
    <w:rsid w:val="002D50CB"/>
    <w:rsid w:val="002D61FA"/>
    <w:rsid w:val="002D6F06"/>
    <w:rsid w:val="002D76F1"/>
    <w:rsid w:val="002D7A4C"/>
    <w:rsid w:val="002D7E6E"/>
    <w:rsid w:val="002E0790"/>
    <w:rsid w:val="002E0965"/>
    <w:rsid w:val="002E09B1"/>
    <w:rsid w:val="002E0A79"/>
    <w:rsid w:val="002E0CC8"/>
    <w:rsid w:val="002E1128"/>
    <w:rsid w:val="002E1628"/>
    <w:rsid w:val="002E1904"/>
    <w:rsid w:val="002E2992"/>
    <w:rsid w:val="002E3197"/>
    <w:rsid w:val="002E34E3"/>
    <w:rsid w:val="002E3669"/>
    <w:rsid w:val="002E36AD"/>
    <w:rsid w:val="002E3F19"/>
    <w:rsid w:val="002E4770"/>
    <w:rsid w:val="002E4A4D"/>
    <w:rsid w:val="002E51D2"/>
    <w:rsid w:val="002E5EB9"/>
    <w:rsid w:val="002E74F8"/>
    <w:rsid w:val="002E7532"/>
    <w:rsid w:val="002E783D"/>
    <w:rsid w:val="002E7A0E"/>
    <w:rsid w:val="002E7D42"/>
    <w:rsid w:val="002E7EEF"/>
    <w:rsid w:val="002E7EFA"/>
    <w:rsid w:val="002F0526"/>
    <w:rsid w:val="002F19FF"/>
    <w:rsid w:val="002F20BE"/>
    <w:rsid w:val="002F2226"/>
    <w:rsid w:val="002F22F0"/>
    <w:rsid w:val="002F3140"/>
    <w:rsid w:val="002F3254"/>
    <w:rsid w:val="002F32EC"/>
    <w:rsid w:val="002F37E6"/>
    <w:rsid w:val="002F38E9"/>
    <w:rsid w:val="002F3DDE"/>
    <w:rsid w:val="002F3E92"/>
    <w:rsid w:val="002F3F4C"/>
    <w:rsid w:val="002F40B8"/>
    <w:rsid w:val="002F41AE"/>
    <w:rsid w:val="002F465D"/>
    <w:rsid w:val="002F4F35"/>
    <w:rsid w:val="002F5191"/>
    <w:rsid w:val="002F5A4F"/>
    <w:rsid w:val="002F5B01"/>
    <w:rsid w:val="002F5DEC"/>
    <w:rsid w:val="002F605C"/>
    <w:rsid w:val="002F6386"/>
    <w:rsid w:val="002F660F"/>
    <w:rsid w:val="002F7622"/>
    <w:rsid w:val="002F7B11"/>
    <w:rsid w:val="002F7EAB"/>
    <w:rsid w:val="003017E4"/>
    <w:rsid w:val="003026E4"/>
    <w:rsid w:val="003029E6"/>
    <w:rsid w:val="00302B88"/>
    <w:rsid w:val="00302ECB"/>
    <w:rsid w:val="003031D1"/>
    <w:rsid w:val="00303704"/>
    <w:rsid w:val="00303D1B"/>
    <w:rsid w:val="003041F1"/>
    <w:rsid w:val="00304386"/>
    <w:rsid w:val="003045F6"/>
    <w:rsid w:val="00304ABA"/>
    <w:rsid w:val="00304AC5"/>
    <w:rsid w:val="00305171"/>
    <w:rsid w:val="003053B0"/>
    <w:rsid w:val="00305909"/>
    <w:rsid w:val="00306995"/>
    <w:rsid w:val="0030699E"/>
    <w:rsid w:val="0030764E"/>
    <w:rsid w:val="00307E9F"/>
    <w:rsid w:val="00307FC5"/>
    <w:rsid w:val="0031020D"/>
    <w:rsid w:val="00310439"/>
    <w:rsid w:val="00310755"/>
    <w:rsid w:val="00310C3D"/>
    <w:rsid w:val="00310C79"/>
    <w:rsid w:val="00311599"/>
    <w:rsid w:val="00311A73"/>
    <w:rsid w:val="00311BD5"/>
    <w:rsid w:val="00311D6B"/>
    <w:rsid w:val="00311F09"/>
    <w:rsid w:val="0031208F"/>
    <w:rsid w:val="003129A7"/>
    <w:rsid w:val="00314EB2"/>
    <w:rsid w:val="00315047"/>
    <w:rsid w:val="00315B0E"/>
    <w:rsid w:val="00315FA3"/>
    <w:rsid w:val="0031632F"/>
    <w:rsid w:val="00316610"/>
    <w:rsid w:val="00317ABA"/>
    <w:rsid w:val="0032074D"/>
    <w:rsid w:val="00320A35"/>
    <w:rsid w:val="00320EA6"/>
    <w:rsid w:val="00321C29"/>
    <w:rsid w:val="00323400"/>
    <w:rsid w:val="00323428"/>
    <w:rsid w:val="00323BC4"/>
    <w:rsid w:val="0032493F"/>
    <w:rsid w:val="0032525F"/>
    <w:rsid w:val="00325764"/>
    <w:rsid w:val="00325A5F"/>
    <w:rsid w:val="00326093"/>
    <w:rsid w:val="00326139"/>
    <w:rsid w:val="00326A36"/>
    <w:rsid w:val="00326F48"/>
    <w:rsid w:val="003273D9"/>
    <w:rsid w:val="003309F0"/>
    <w:rsid w:val="00331B56"/>
    <w:rsid w:val="00332690"/>
    <w:rsid w:val="003327AD"/>
    <w:rsid w:val="00332861"/>
    <w:rsid w:val="00332A42"/>
    <w:rsid w:val="00332DFD"/>
    <w:rsid w:val="00332FD1"/>
    <w:rsid w:val="00333182"/>
    <w:rsid w:val="0033352F"/>
    <w:rsid w:val="00333FFA"/>
    <w:rsid w:val="00334157"/>
    <w:rsid w:val="003341FC"/>
    <w:rsid w:val="0033423B"/>
    <w:rsid w:val="003344E1"/>
    <w:rsid w:val="00334AD8"/>
    <w:rsid w:val="0033517E"/>
    <w:rsid w:val="003352E8"/>
    <w:rsid w:val="00335AF6"/>
    <w:rsid w:val="00336ECB"/>
    <w:rsid w:val="00337566"/>
    <w:rsid w:val="00340135"/>
    <w:rsid w:val="00340527"/>
    <w:rsid w:val="00340B1E"/>
    <w:rsid w:val="00340B7B"/>
    <w:rsid w:val="00341765"/>
    <w:rsid w:val="003423BC"/>
    <w:rsid w:val="00342416"/>
    <w:rsid w:val="00342A66"/>
    <w:rsid w:val="00342BCC"/>
    <w:rsid w:val="00342EF8"/>
    <w:rsid w:val="003430A8"/>
    <w:rsid w:val="003431FD"/>
    <w:rsid w:val="00343534"/>
    <w:rsid w:val="0034473D"/>
    <w:rsid w:val="00344E82"/>
    <w:rsid w:val="00345145"/>
    <w:rsid w:val="003458E5"/>
    <w:rsid w:val="003459DD"/>
    <w:rsid w:val="00345EE0"/>
    <w:rsid w:val="00346189"/>
    <w:rsid w:val="003461F9"/>
    <w:rsid w:val="0034680A"/>
    <w:rsid w:val="00346C5D"/>
    <w:rsid w:val="003471ED"/>
    <w:rsid w:val="003477A0"/>
    <w:rsid w:val="00347E23"/>
    <w:rsid w:val="00347E9A"/>
    <w:rsid w:val="003515F0"/>
    <w:rsid w:val="00352007"/>
    <w:rsid w:val="00352520"/>
    <w:rsid w:val="00352A04"/>
    <w:rsid w:val="00352A59"/>
    <w:rsid w:val="003532D2"/>
    <w:rsid w:val="0035393B"/>
    <w:rsid w:val="00353CE5"/>
    <w:rsid w:val="00354371"/>
    <w:rsid w:val="00354696"/>
    <w:rsid w:val="003548FA"/>
    <w:rsid w:val="0035519A"/>
    <w:rsid w:val="00355A80"/>
    <w:rsid w:val="00355B36"/>
    <w:rsid w:val="0036059A"/>
    <w:rsid w:val="00361D34"/>
    <w:rsid w:val="00361E07"/>
    <w:rsid w:val="00362988"/>
    <w:rsid w:val="00363395"/>
    <w:rsid w:val="003637BC"/>
    <w:rsid w:val="00363A1B"/>
    <w:rsid w:val="00363FD1"/>
    <w:rsid w:val="00363FF8"/>
    <w:rsid w:val="0036403B"/>
    <w:rsid w:val="003640E1"/>
    <w:rsid w:val="00364640"/>
    <w:rsid w:val="00365215"/>
    <w:rsid w:val="00365B11"/>
    <w:rsid w:val="00365E7B"/>
    <w:rsid w:val="00366913"/>
    <w:rsid w:val="00366E24"/>
    <w:rsid w:val="00366EF9"/>
    <w:rsid w:val="0036710A"/>
    <w:rsid w:val="00367482"/>
    <w:rsid w:val="00367594"/>
    <w:rsid w:val="00367618"/>
    <w:rsid w:val="003703F3"/>
    <w:rsid w:val="0037072B"/>
    <w:rsid w:val="00370E2D"/>
    <w:rsid w:val="00371338"/>
    <w:rsid w:val="003715E7"/>
    <w:rsid w:val="003718BA"/>
    <w:rsid w:val="00371B2F"/>
    <w:rsid w:val="003723BB"/>
    <w:rsid w:val="00372458"/>
    <w:rsid w:val="0037264B"/>
    <w:rsid w:val="00372ABC"/>
    <w:rsid w:val="00372ED9"/>
    <w:rsid w:val="003734B2"/>
    <w:rsid w:val="003739AD"/>
    <w:rsid w:val="00374215"/>
    <w:rsid w:val="00374947"/>
    <w:rsid w:val="00374CE8"/>
    <w:rsid w:val="00374FBA"/>
    <w:rsid w:val="003755A4"/>
    <w:rsid w:val="00375657"/>
    <w:rsid w:val="0037614F"/>
    <w:rsid w:val="00376491"/>
    <w:rsid w:val="003770D1"/>
    <w:rsid w:val="0037721D"/>
    <w:rsid w:val="00377317"/>
    <w:rsid w:val="00377453"/>
    <w:rsid w:val="00377C7C"/>
    <w:rsid w:val="003807F4"/>
    <w:rsid w:val="0038102A"/>
    <w:rsid w:val="0038104B"/>
    <w:rsid w:val="003811B9"/>
    <w:rsid w:val="00381216"/>
    <w:rsid w:val="00381297"/>
    <w:rsid w:val="00381851"/>
    <w:rsid w:val="00381A2E"/>
    <w:rsid w:val="003824CD"/>
    <w:rsid w:val="00382A94"/>
    <w:rsid w:val="003833B4"/>
    <w:rsid w:val="00383E52"/>
    <w:rsid w:val="00384641"/>
    <w:rsid w:val="00384DBC"/>
    <w:rsid w:val="0038554B"/>
    <w:rsid w:val="00385FC7"/>
    <w:rsid w:val="00386718"/>
    <w:rsid w:val="00386C99"/>
    <w:rsid w:val="00387A7B"/>
    <w:rsid w:val="00390608"/>
    <w:rsid w:val="00390CD7"/>
    <w:rsid w:val="00390DFA"/>
    <w:rsid w:val="00391757"/>
    <w:rsid w:val="003926EB"/>
    <w:rsid w:val="00392AFD"/>
    <w:rsid w:val="003931C4"/>
    <w:rsid w:val="00393AB6"/>
    <w:rsid w:val="00393FBE"/>
    <w:rsid w:val="00394E54"/>
    <w:rsid w:val="0039552E"/>
    <w:rsid w:val="00395E1B"/>
    <w:rsid w:val="003969F2"/>
    <w:rsid w:val="00396F8E"/>
    <w:rsid w:val="003970BD"/>
    <w:rsid w:val="003976C7"/>
    <w:rsid w:val="003978F2"/>
    <w:rsid w:val="00397ADB"/>
    <w:rsid w:val="00397ECB"/>
    <w:rsid w:val="00397FDB"/>
    <w:rsid w:val="00397FF4"/>
    <w:rsid w:val="003A04B9"/>
    <w:rsid w:val="003A1081"/>
    <w:rsid w:val="003A1832"/>
    <w:rsid w:val="003A1EAB"/>
    <w:rsid w:val="003A2C30"/>
    <w:rsid w:val="003A2D99"/>
    <w:rsid w:val="003A2EC2"/>
    <w:rsid w:val="003A35DF"/>
    <w:rsid w:val="003A3F3E"/>
    <w:rsid w:val="003A4225"/>
    <w:rsid w:val="003A498D"/>
    <w:rsid w:val="003A4E3A"/>
    <w:rsid w:val="003A52FD"/>
    <w:rsid w:val="003A5CCC"/>
    <w:rsid w:val="003A60D6"/>
    <w:rsid w:val="003A63D9"/>
    <w:rsid w:val="003A6B9A"/>
    <w:rsid w:val="003A72A2"/>
    <w:rsid w:val="003A743E"/>
    <w:rsid w:val="003A74CC"/>
    <w:rsid w:val="003A7ADE"/>
    <w:rsid w:val="003A7D20"/>
    <w:rsid w:val="003B0247"/>
    <w:rsid w:val="003B031A"/>
    <w:rsid w:val="003B1535"/>
    <w:rsid w:val="003B1A35"/>
    <w:rsid w:val="003B1E53"/>
    <w:rsid w:val="003B2500"/>
    <w:rsid w:val="003B2807"/>
    <w:rsid w:val="003B2972"/>
    <w:rsid w:val="003B2A06"/>
    <w:rsid w:val="003B2A34"/>
    <w:rsid w:val="003B2DB1"/>
    <w:rsid w:val="003B2FBF"/>
    <w:rsid w:val="003B2FEB"/>
    <w:rsid w:val="003B37B2"/>
    <w:rsid w:val="003B5115"/>
    <w:rsid w:val="003B531D"/>
    <w:rsid w:val="003B589E"/>
    <w:rsid w:val="003B5935"/>
    <w:rsid w:val="003B5947"/>
    <w:rsid w:val="003B59C1"/>
    <w:rsid w:val="003B5A76"/>
    <w:rsid w:val="003B5E6E"/>
    <w:rsid w:val="003B657F"/>
    <w:rsid w:val="003B67F7"/>
    <w:rsid w:val="003B6940"/>
    <w:rsid w:val="003B6AD0"/>
    <w:rsid w:val="003B6E2C"/>
    <w:rsid w:val="003B7125"/>
    <w:rsid w:val="003B71F7"/>
    <w:rsid w:val="003B7629"/>
    <w:rsid w:val="003B7DB1"/>
    <w:rsid w:val="003C01D4"/>
    <w:rsid w:val="003C0281"/>
    <w:rsid w:val="003C0539"/>
    <w:rsid w:val="003C0F5F"/>
    <w:rsid w:val="003C14C8"/>
    <w:rsid w:val="003C2190"/>
    <w:rsid w:val="003C26A2"/>
    <w:rsid w:val="003C2CC3"/>
    <w:rsid w:val="003C3B4E"/>
    <w:rsid w:val="003C4352"/>
    <w:rsid w:val="003C4DD4"/>
    <w:rsid w:val="003C5411"/>
    <w:rsid w:val="003C5759"/>
    <w:rsid w:val="003C5B5A"/>
    <w:rsid w:val="003C69BF"/>
    <w:rsid w:val="003C7313"/>
    <w:rsid w:val="003C73F0"/>
    <w:rsid w:val="003C7BBA"/>
    <w:rsid w:val="003D09EE"/>
    <w:rsid w:val="003D0AAD"/>
    <w:rsid w:val="003D0D71"/>
    <w:rsid w:val="003D0F8E"/>
    <w:rsid w:val="003D2135"/>
    <w:rsid w:val="003D21D7"/>
    <w:rsid w:val="003D23A3"/>
    <w:rsid w:val="003D3046"/>
    <w:rsid w:val="003D46D0"/>
    <w:rsid w:val="003D4DF9"/>
    <w:rsid w:val="003D5485"/>
    <w:rsid w:val="003D5650"/>
    <w:rsid w:val="003D5856"/>
    <w:rsid w:val="003D5A5D"/>
    <w:rsid w:val="003D68F7"/>
    <w:rsid w:val="003D6F12"/>
    <w:rsid w:val="003D73FE"/>
    <w:rsid w:val="003D775A"/>
    <w:rsid w:val="003D7EC5"/>
    <w:rsid w:val="003E0088"/>
    <w:rsid w:val="003E042A"/>
    <w:rsid w:val="003E159B"/>
    <w:rsid w:val="003E18A3"/>
    <w:rsid w:val="003E1BAA"/>
    <w:rsid w:val="003E1CB6"/>
    <w:rsid w:val="003E2125"/>
    <w:rsid w:val="003E2EC0"/>
    <w:rsid w:val="003E2F30"/>
    <w:rsid w:val="003E31D8"/>
    <w:rsid w:val="003E33B8"/>
    <w:rsid w:val="003E397B"/>
    <w:rsid w:val="003E3B3C"/>
    <w:rsid w:val="003E46F9"/>
    <w:rsid w:val="003E47C3"/>
    <w:rsid w:val="003E4968"/>
    <w:rsid w:val="003E4D54"/>
    <w:rsid w:val="003E521F"/>
    <w:rsid w:val="003E5820"/>
    <w:rsid w:val="003E5B36"/>
    <w:rsid w:val="003E6055"/>
    <w:rsid w:val="003E72BD"/>
    <w:rsid w:val="003E7770"/>
    <w:rsid w:val="003E7951"/>
    <w:rsid w:val="003F0589"/>
    <w:rsid w:val="003F078D"/>
    <w:rsid w:val="003F0A75"/>
    <w:rsid w:val="003F117E"/>
    <w:rsid w:val="003F12B4"/>
    <w:rsid w:val="003F12C1"/>
    <w:rsid w:val="003F1B33"/>
    <w:rsid w:val="003F1C86"/>
    <w:rsid w:val="003F2DB3"/>
    <w:rsid w:val="003F31AA"/>
    <w:rsid w:val="003F3705"/>
    <w:rsid w:val="003F3785"/>
    <w:rsid w:val="003F3948"/>
    <w:rsid w:val="003F4400"/>
    <w:rsid w:val="003F4C52"/>
    <w:rsid w:val="003F4CD1"/>
    <w:rsid w:val="003F56A6"/>
    <w:rsid w:val="003F66DA"/>
    <w:rsid w:val="003F6CDA"/>
    <w:rsid w:val="003F6F1A"/>
    <w:rsid w:val="003F741D"/>
    <w:rsid w:val="003F7483"/>
    <w:rsid w:val="003F74B6"/>
    <w:rsid w:val="003F7651"/>
    <w:rsid w:val="003F7A2A"/>
    <w:rsid w:val="003F7E33"/>
    <w:rsid w:val="0040060F"/>
    <w:rsid w:val="004007EE"/>
    <w:rsid w:val="00401D21"/>
    <w:rsid w:val="00401F1B"/>
    <w:rsid w:val="00402760"/>
    <w:rsid w:val="00402FCC"/>
    <w:rsid w:val="0040310B"/>
    <w:rsid w:val="00404041"/>
    <w:rsid w:val="004042A9"/>
    <w:rsid w:val="00404342"/>
    <w:rsid w:val="004044EA"/>
    <w:rsid w:val="00404C15"/>
    <w:rsid w:val="00404E4F"/>
    <w:rsid w:val="004064F7"/>
    <w:rsid w:val="0040664F"/>
    <w:rsid w:val="0040666E"/>
    <w:rsid w:val="00406D44"/>
    <w:rsid w:val="0040749F"/>
    <w:rsid w:val="004074C2"/>
    <w:rsid w:val="00407B12"/>
    <w:rsid w:val="00407B31"/>
    <w:rsid w:val="00407DC5"/>
    <w:rsid w:val="0041084A"/>
    <w:rsid w:val="00410BBE"/>
    <w:rsid w:val="00410C3E"/>
    <w:rsid w:val="00410CD0"/>
    <w:rsid w:val="00411935"/>
    <w:rsid w:val="00411DF3"/>
    <w:rsid w:val="004122C2"/>
    <w:rsid w:val="00412380"/>
    <w:rsid w:val="00412450"/>
    <w:rsid w:val="004126F2"/>
    <w:rsid w:val="00412BD0"/>
    <w:rsid w:val="00412E5E"/>
    <w:rsid w:val="00413345"/>
    <w:rsid w:val="00413451"/>
    <w:rsid w:val="00413499"/>
    <w:rsid w:val="0041469D"/>
    <w:rsid w:val="00415963"/>
    <w:rsid w:val="0041710B"/>
    <w:rsid w:val="00420F0E"/>
    <w:rsid w:val="00420F1B"/>
    <w:rsid w:val="0042152F"/>
    <w:rsid w:val="00421E8A"/>
    <w:rsid w:val="00421EA4"/>
    <w:rsid w:val="00422309"/>
    <w:rsid w:val="0042272D"/>
    <w:rsid w:val="00422949"/>
    <w:rsid w:val="0042339A"/>
    <w:rsid w:val="004235F3"/>
    <w:rsid w:val="00423793"/>
    <w:rsid w:val="00423B15"/>
    <w:rsid w:val="00423D22"/>
    <w:rsid w:val="004243E0"/>
    <w:rsid w:val="004249E6"/>
    <w:rsid w:val="00424CB8"/>
    <w:rsid w:val="0042508F"/>
    <w:rsid w:val="0042589B"/>
    <w:rsid w:val="00425A3F"/>
    <w:rsid w:val="00426287"/>
    <w:rsid w:val="00426501"/>
    <w:rsid w:val="00427254"/>
    <w:rsid w:val="0042733B"/>
    <w:rsid w:val="00427461"/>
    <w:rsid w:val="004275B7"/>
    <w:rsid w:val="00427BF2"/>
    <w:rsid w:val="00427F6D"/>
    <w:rsid w:val="00430019"/>
    <w:rsid w:val="00430C7C"/>
    <w:rsid w:val="00430DD1"/>
    <w:rsid w:val="00430ED2"/>
    <w:rsid w:val="004311FC"/>
    <w:rsid w:val="0043169C"/>
    <w:rsid w:val="00431792"/>
    <w:rsid w:val="004319F3"/>
    <w:rsid w:val="0043246D"/>
    <w:rsid w:val="0043253A"/>
    <w:rsid w:val="0043295C"/>
    <w:rsid w:val="0043326D"/>
    <w:rsid w:val="00433ED5"/>
    <w:rsid w:val="00433FAD"/>
    <w:rsid w:val="0043403E"/>
    <w:rsid w:val="004341D7"/>
    <w:rsid w:val="0043421B"/>
    <w:rsid w:val="00436343"/>
    <w:rsid w:val="00436DEF"/>
    <w:rsid w:val="00437282"/>
    <w:rsid w:val="004373E1"/>
    <w:rsid w:val="004374BE"/>
    <w:rsid w:val="00437763"/>
    <w:rsid w:val="004379C2"/>
    <w:rsid w:val="00437D06"/>
    <w:rsid w:val="004400E8"/>
    <w:rsid w:val="00440123"/>
    <w:rsid w:val="00441340"/>
    <w:rsid w:val="00441A36"/>
    <w:rsid w:val="00441E79"/>
    <w:rsid w:val="00442D7E"/>
    <w:rsid w:val="004436F7"/>
    <w:rsid w:val="0044399B"/>
    <w:rsid w:val="00443B30"/>
    <w:rsid w:val="00443CBD"/>
    <w:rsid w:val="0044430A"/>
    <w:rsid w:val="004447F5"/>
    <w:rsid w:val="004448CC"/>
    <w:rsid w:val="0044497F"/>
    <w:rsid w:val="004449FE"/>
    <w:rsid w:val="00445288"/>
    <w:rsid w:val="004453ED"/>
    <w:rsid w:val="0044549D"/>
    <w:rsid w:val="004465C7"/>
    <w:rsid w:val="004466A0"/>
    <w:rsid w:val="004472E9"/>
    <w:rsid w:val="00450514"/>
    <w:rsid w:val="0045075C"/>
    <w:rsid w:val="00450999"/>
    <w:rsid w:val="00450C80"/>
    <w:rsid w:val="00450CC7"/>
    <w:rsid w:val="00450F70"/>
    <w:rsid w:val="00450FE6"/>
    <w:rsid w:val="004512E9"/>
    <w:rsid w:val="00451305"/>
    <w:rsid w:val="004514A0"/>
    <w:rsid w:val="004521D5"/>
    <w:rsid w:val="00453063"/>
    <w:rsid w:val="00453100"/>
    <w:rsid w:val="00453871"/>
    <w:rsid w:val="004544D6"/>
    <w:rsid w:val="004546D8"/>
    <w:rsid w:val="0045499B"/>
    <w:rsid w:val="0045561D"/>
    <w:rsid w:val="00455EB0"/>
    <w:rsid w:val="00456027"/>
    <w:rsid w:val="0045609F"/>
    <w:rsid w:val="004561D9"/>
    <w:rsid w:val="00456405"/>
    <w:rsid w:val="00456992"/>
    <w:rsid w:val="004572A6"/>
    <w:rsid w:val="0045767C"/>
    <w:rsid w:val="0045776E"/>
    <w:rsid w:val="00457808"/>
    <w:rsid w:val="00457955"/>
    <w:rsid w:val="00460C22"/>
    <w:rsid w:val="004610C1"/>
    <w:rsid w:val="00461CE9"/>
    <w:rsid w:val="00461F13"/>
    <w:rsid w:val="00461F7C"/>
    <w:rsid w:val="00462407"/>
    <w:rsid w:val="00462BBE"/>
    <w:rsid w:val="00462CA9"/>
    <w:rsid w:val="0046303F"/>
    <w:rsid w:val="004631DD"/>
    <w:rsid w:val="004631E6"/>
    <w:rsid w:val="0046326B"/>
    <w:rsid w:val="004632D6"/>
    <w:rsid w:val="004635FD"/>
    <w:rsid w:val="00463A5C"/>
    <w:rsid w:val="00465909"/>
    <w:rsid w:val="00465A54"/>
    <w:rsid w:val="004662D1"/>
    <w:rsid w:val="00466567"/>
    <w:rsid w:val="00466BD5"/>
    <w:rsid w:val="00466D91"/>
    <w:rsid w:val="00466F9C"/>
    <w:rsid w:val="00467216"/>
    <w:rsid w:val="00467B2F"/>
    <w:rsid w:val="00470129"/>
    <w:rsid w:val="00470E9B"/>
    <w:rsid w:val="00471694"/>
    <w:rsid w:val="00471B90"/>
    <w:rsid w:val="00471CED"/>
    <w:rsid w:val="00471EDF"/>
    <w:rsid w:val="00472450"/>
    <w:rsid w:val="00472772"/>
    <w:rsid w:val="0047278D"/>
    <w:rsid w:val="004727C9"/>
    <w:rsid w:val="004728A0"/>
    <w:rsid w:val="00472BEC"/>
    <w:rsid w:val="00472C7A"/>
    <w:rsid w:val="00473105"/>
    <w:rsid w:val="00473423"/>
    <w:rsid w:val="0047361F"/>
    <w:rsid w:val="004736A9"/>
    <w:rsid w:val="004738E6"/>
    <w:rsid w:val="004742DD"/>
    <w:rsid w:val="00474CEB"/>
    <w:rsid w:val="00475075"/>
    <w:rsid w:val="00475231"/>
    <w:rsid w:val="0047568E"/>
    <w:rsid w:val="00475F0F"/>
    <w:rsid w:val="00475F99"/>
    <w:rsid w:val="004767EF"/>
    <w:rsid w:val="004768D1"/>
    <w:rsid w:val="00476B9D"/>
    <w:rsid w:val="00477A33"/>
    <w:rsid w:val="00477CE4"/>
    <w:rsid w:val="00477DA0"/>
    <w:rsid w:val="0048052A"/>
    <w:rsid w:val="004805FF"/>
    <w:rsid w:val="00480EBD"/>
    <w:rsid w:val="00481730"/>
    <w:rsid w:val="0048174C"/>
    <w:rsid w:val="00481A1F"/>
    <w:rsid w:val="00481EA4"/>
    <w:rsid w:val="00482AFF"/>
    <w:rsid w:val="00482E51"/>
    <w:rsid w:val="00482F5F"/>
    <w:rsid w:val="004832D3"/>
    <w:rsid w:val="004834C9"/>
    <w:rsid w:val="00483947"/>
    <w:rsid w:val="00483AB8"/>
    <w:rsid w:val="00483BEE"/>
    <w:rsid w:val="00483E3E"/>
    <w:rsid w:val="004840AB"/>
    <w:rsid w:val="0048428C"/>
    <w:rsid w:val="00484D40"/>
    <w:rsid w:val="00484E96"/>
    <w:rsid w:val="00485B2D"/>
    <w:rsid w:val="00485E4E"/>
    <w:rsid w:val="004871A6"/>
    <w:rsid w:val="004902ED"/>
    <w:rsid w:val="00490710"/>
    <w:rsid w:val="00490B58"/>
    <w:rsid w:val="004911A4"/>
    <w:rsid w:val="00491524"/>
    <w:rsid w:val="0049190E"/>
    <w:rsid w:val="0049234F"/>
    <w:rsid w:val="00492405"/>
    <w:rsid w:val="0049303F"/>
    <w:rsid w:val="0049348F"/>
    <w:rsid w:val="004940F2"/>
    <w:rsid w:val="00495245"/>
    <w:rsid w:val="0049568F"/>
    <w:rsid w:val="004958CD"/>
    <w:rsid w:val="00496078"/>
    <w:rsid w:val="00496207"/>
    <w:rsid w:val="00496242"/>
    <w:rsid w:val="00496700"/>
    <w:rsid w:val="00497446"/>
    <w:rsid w:val="00497B1E"/>
    <w:rsid w:val="004A07F7"/>
    <w:rsid w:val="004A08FD"/>
    <w:rsid w:val="004A092C"/>
    <w:rsid w:val="004A0A86"/>
    <w:rsid w:val="004A0B79"/>
    <w:rsid w:val="004A0C80"/>
    <w:rsid w:val="004A0F01"/>
    <w:rsid w:val="004A2151"/>
    <w:rsid w:val="004A2FB8"/>
    <w:rsid w:val="004A38EF"/>
    <w:rsid w:val="004A3FAB"/>
    <w:rsid w:val="004A44C8"/>
    <w:rsid w:val="004A4651"/>
    <w:rsid w:val="004A4777"/>
    <w:rsid w:val="004A5586"/>
    <w:rsid w:val="004A5B0F"/>
    <w:rsid w:val="004A5E70"/>
    <w:rsid w:val="004A6BD4"/>
    <w:rsid w:val="004A77E7"/>
    <w:rsid w:val="004A7898"/>
    <w:rsid w:val="004B0688"/>
    <w:rsid w:val="004B084D"/>
    <w:rsid w:val="004B0889"/>
    <w:rsid w:val="004B08F3"/>
    <w:rsid w:val="004B09E7"/>
    <w:rsid w:val="004B1531"/>
    <w:rsid w:val="004B1653"/>
    <w:rsid w:val="004B2AB6"/>
    <w:rsid w:val="004B2B18"/>
    <w:rsid w:val="004B2E44"/>
    <w:rsid w:val="004B3292"/>
    <w:rsid w:val="004B352C"/>
    <w:rsid w:val="004B45D9"/>
    <w:rsid w:val="004B477F"/>
    <w:rsid w:val="004B4997"/>
    <w:rsid w:val="004B4D0E"/>
    <w:rsid w:val="004B4F7A"/>
    <w:rsid w:val="004B55FB"/>
    <w:rsid w:val="004B59B6"/>
    <w:rsid w:val="004B5B1C"/>
    <w:rsid w:val="004B5CCE"/>
    <w:rsid w:val="004B609E"/>
    <w:rsid w:val="004B687B"/>
    <w:rsid w:val="004B6F7C"/>
    <w:rsid w:val="004B71A1"/>
    <w:rsid w:val="004B7279"/>
    <w:rsid w:val="004B73D8"/>
    <w:rsid w:val="004B7866"/>
    <w:rsid w:val="004B7A78"/>
    <w:rsid w:val="004B7DB3"/>
    <w:rsid w:val="004B7DC8"/>
    <w:rsid w:val="004B7E95"/>
    <w:rsid w:val="004C0018"/>
    <w:rsid w:val="004C1207"/>
    <w:rsid w:val="004C1BB3"/>
    <w:rsid w:val="004C285C"/>
    <w:rsid w:val="004C2C3F"/>
    <w:rsid w:val="004C3168"/>
    <w:rsid w:val="004C34D2"/>
    <w:rsid w:val="004C3779"/>
    <w:rsid w:val="004C379B"/>
    <w:rsid w:val="004C4823"/>
    <w:rsid w:val="004C4FA0"/>
    <w:rsid w:val="004C543C"/>
    <w:rsid w:val="004C5535"/>
    <w:rsid w:val="004C579C"/>
    <w:rsid w:val="004C5862"/>
    <w:rsid w:val="004C6909"/>
    <w:rsid w:val="004C735D"/>
    <w:rsid w:val="004C7602"/>
    <w:rsid w:val="004C7643"/>
    <w:rsid w:val="004C7646"/>
    <w:rsid w:val="004C7969"/>
    <w:rsid w:val="004C7CCC"/>
    <w:rsid w:val="004C7D3C"/>
    <w:rsid w:val="004D0850"/>
    <w:rsid w:val="004D12C4"/>
    <w:rsid w:val="004D1E3F"/>
    <w:rsid w:val="004D1E97"/>
    <w:rsid w:val="004D2743"/>
    <w:rsid w:val="004D34C4"/>
    <w:rsid w:val="004D3662"/>
    <w:rsid w:val="004D3E20"/>
    <w:rsid w:val="004D4364"/>
    <w:rsid w:val="004D48DB"/>
    <w:rsid w:val="004D4913"/>
    <w:rsid w:val="004D4DB3"/>
    <w:rsid w:val="004D61A9"/>
    <w:rsid w:val="004D62FE"/>
    <w:rsid w:val="004D6ABF"/>
    <w:rsid w:val="004D6DB2"/>
    <w:rsid w:val="004D6E43"/>
    <w:rsid w:val="004D6E6F"/>
    <w:rsid w:val="004D75FC"/>
    <w:rsid w:val="004D762B"/>
    <w:rsid w:val="004D7B2B"/>
    <w:rsid w:val="004E02A2"/>
    <w:rsid w:val="004E1233"/>
    <w:rsid w:val="004E1382"/>
    <w:rsid w:val="004E156C"/>
    <w:rsid w:val="004E1A7B"/>
    <w:rsid w:val="004E1D62"/>
    <w:rsid w:val="004E2235"/>
    <w:rsid w:val="004E2849"/>
    <w:rsid w:val="004E28C6"/>
    <w:rsid w:val="004E2E3D"/>
    <w:rsid w:val="004E2E4D"/>
    <w:rsid w:val="004E35C9"/>
    <w:rsid w:val="004E42EA"/>
    <w:rsid w:val="004E466F"/>
    <w:rsid w:val="004E4A0C"/>
    <w:rsid w:val="004E523A"/>
    <w:rsid w:val="004E52BB"/>
    <w:rsid w:val="004E5350"/>
    <w:rsid w:val="004E6DE1"/>
    <w:rsid w:val="004E7710"/>
    <w:rsid w:val="004E77A0"/>
    <w:rsid w:val="004E7B58"/>
    <w:rsid w:val="004E7BBE"/>
    <w:rsid w:val="004E7C8A"/>
    <w:rsid w:val="004F076B"/>
    <w:rsid w:val="004F10E0"/>
    <w:rsid w:val="004F138F"/>
    <w:rsid w:val="004F13D8"/>
    <w:rsid w:val="004F1AC6"/>
    <w:rsid w:val="004F1B73"/>
    <w:rsid w:val="004F1C94"/>
    <w:rsid w:val="004F21AA"/>
    <w:rsid w:val="004F2D0A"/>
    <w:rsid w:val="004F3C52"/>
    <w:rsid w:val="004F420C"/>
    <w:rsid w:val="004F4474"/>
    <w:rsid w:val="004F47CF"/>
    <w:rsid w:val="004F4898"/>
    <w:rsid w:val="004F4C77"/>
    <w:rsid w:val="004F517C"/>
    <w:rsid w:val="004F591A"/>
    <w:rsid w:val="004F61E8"/>
    <w:rsid w:val="004F62CD"/>
    <w:rsid w:val="004F647F"/>
    <w:rsid w:val="004F6516"/>
    <w:rsid w:val="004F6DCB"/>
    <w:rsid w:val="004F6DD5"/>
    <w:rsid w:val="004F6F71"/>
    <w:rsid w:val="004F73AD"/>
    <w:rsid w:val="004F7E35"/>
    <w:rsid w:val="00500123"/>
    <w:rsid w:val="0050098C"/>
    <w:rsid w:val="00500B10"/>
    <w:rsid w:val="00501796"/>
    <w:rsid w:val="00501860"/>
    <w:rsid w:val="00501A4C"/>
    <w:rsid w:val="00501F17"/>
    <w:rsid w:val="0050210F"/>
    <w:rsid w:val="00502792"/>
    <w:rsid w:val="005029F3"/>
    <w:rsid w:val="00502A18"/>
    <w:rsid w:val="00503647"/>
    <w:rsid w:val="0050372B"/>
    <w:rsid w:val="00503DAA"/>
    <w:rsid w:val="00505BF2"/>
    <w:rsid w:val="00505E18"/>
    <w:rsid w:val="0050630A"/>
    <w:rsid w:val="005063EF"/>
    <w:rsid w:val="0050670B"/>
    <w:rsid w:val="00506DF1"/>
    <w:rsid w:val="00507AF4"/>
    <w:rsid w:val="00507E2D"/>
    <w:rsid w:val="00507E3C"/>
    <w:rsid w:val="00510975"/>
    <w:rsid w:val="00511B29"/>
    <w:rsid w:val="00511CB0"/>
    <w:rsid w:val="005124ED"/>
    <w:rsid w:val="0051381B"/>
    <w:rsid w:val="00513F33"/>
    <w:rsid w:val="00513F96"/>
    <w:rsid w:val="005141E8"/>
    <w:rsid w:val="0051476C"/>
    <w:rsid w:val="0051504D"/>
    <w:rsid w:val="005157A9"/>
    <w:rsid w:val="00515D7D"/>
    <w:rsid w:val="00516354"/>
    <w:rsid w:val="00516782"/>
    <w:rsid w:val="00516A89"/>
    <w:rsid w:val="00516C88"/>
    <w:rsid w:val="00517010"/>
    <w:rsid w:val="00517257"/>
    <w:rsid w:val="005172C2"/>
    <w:rsid w:val="005172C7"/>
    <w:rsid w:val="005175A9"/>
    <w:rsid w:val="005200D5"/>
    <w:rsid w:val="005206D8"/>
    <w:rsid w:val="00520926"/>
    <w:rsid w:val="0052094B"/>
    <w:rsid w:val="005210DF"/>
    <w:rsid w:val="0052152A"/>
    <w:rsid w:val="0052187D"/>
    <w:rsid w:val="00521E2C"/>
    <w:rsid w:val="0052230F"/>
    <w:rsid w:val="005226C2"/>
    <w:rsid w:val="005228EE"/>
    <w:rsid w:val="005235EC"/>
    <w:rsid w:val="00523A74"/>
    <w:rsid w:val="00523CBF"/>
    <w:rsid w:val="0052421D"/>
    <w:rsid w:val="005244D6"/>
    <w:rsid w:val="005252AD"/>
    <w:rsid w:val="0052598A"/>
    <w:rsid w:val="00525C97"/>
    <w:rsid w:val="0052668D"/>
    <w:rsid w:val="00527A18"/>
    <w:rsid w:val="00527D52"/>
    <w:rsid w:val="00530794"/>
    <w:rsid w:val="00530F70"/>
    <w:rsid w:val="0053227C"/>
    <w:rsid w:val="005327AD"/>
    <w:rsid w:val="00532A2D"/>
    <w:rsid w:val="00532BFD"/>
    <w:rsid w:val="00532BFE"/>
    <w:rsid w:val="00533103"/>
    <w:rsid w:val="00533D2D"/>
    <w:rsid w:val="00533DCB"/>
    <w:rsid w:val="005348C4"/>
    <w:rsid w:val="00534CC7"/>
    <w:rsid w:val="00535F8B"/>
    <w:rsid w:val="005367F5"/>
    <w:rsid w:val="0053701B"/>
    <w:rsid w:val="0053794B"/>
    <w:rsid w:val="005406F5"/>
    <w:rsid w:val="00540A7C"/>
    <w:rsid w:val="00540B70"/>
    <w:rsid w:val="0054111D"/>
    <w:rsid w:val="00541B99"/>
    <w:rsid w:val="00541E0D"/>
    <w:rsid w:val="00541E5D"/>
    <w:rsid w:val="0054273D"/>
    <w:rsid w:val="00542D49"/>
    <w:rsid w:val="00542D82"/>
    <w:rsid w:val="005445DE"/>
    <w:rsid w:val="00544978"/>
    <w:rsid w:val="005449A4"/>
    <w:rsid w:val="005452AD"/>
    <w:rsid w:val="00545C83"/>
    <w:rsid w:val="00546975"/>
    <w:rsid w:val="00546BA3"/>
    <w:rsid w:val="005472F1"/>
    <w:rsid w:val="0054792F"/>
    <w:rsid w:val="00550042"/>
    <w:rsid w:val="005505A8"/>
    <w:rsid w:val="00550BD0"/>
    <w:rsid w:val="00550C99"/>
    <w:rsid w:val="00550E15"/>
    <w:rsid w:val="005514F7"/>
    <w:rsid w:val="00551A51"/>
    <w:rsid w:val="00551A5D"/>
    <w:rsid w:val="0055237B"/>
    <w:rsid w:val="00553121"/>
    <w:rsid w:val="0055312D"/>
    <w:rsid w:val="00553413"/>
    <w:rsid w:val="00553FEB"/>
    <w:rsid w:val="00554517"/>
    <w:rsid w:val="00554D7E"/>
    <w:rsid w:val="00555510"/>
    <w:rsid w:val="00555AB2"/>
    <w:rsid w:val="00555D0D"/>
    <w:rsid w:val="00556498"/>
    <w:rsid w:val="00556843"/>
    <w:rsid w:val="00556C9F"/>
    <w:rsid w:val="005603BA"/>
    <w:rsid w:val="00560ACB"/>
    <w:rsid w:val="00561129"/>
    <w:rsid w:val="00561ED0"/>
    <w:rsid w:val="00562049"/>
    <w:rsid w:val="005620FE"/>
    <w:rsid w:val="0056212F"/>
    <w:rsid w:val="00562410"/>
    <w:rsid w:val="005630B1"/>
    <w:rsid w:val="00564332"/>
    <w:rsid w:val="005656A6"/>
    <w:rsid w:val="005657F4"/>
    <w:rsid w:val="005669E4"/>
    <w:rsid w:val="00566B7A"/>
    <w:rsid w:val="00566FBE"/>
    <w:rsid w:val="00567293"/>
    <w:rsid w:val="00567406"/>
    <w:rsid w:val="00567641"/>
    <w:rsid w:val="00570331"/>
    <w:rsid w:val="00570DBC"/>
    <w:rsid w:val="00571207"/>
    <w:rsid w:val="00571371"/>
    <w:rsid w:val="00571A47"/>
    <w:rsid w:val="00571C54"/>
    <w:rsid w:val="00571D9D"/>
    <w:rsid w:val="00572C69"/>
    <w:rsid w:val="005734B9"/>
    <w:rsid w:val="00573B01"/>
    <w:rsid w:val="00573BAA"/>
    <w:rsid w:val="00574326"/>
    <w:rsid w:val="0057474D"/>
    <w:rsid w:val="00574850"/>
    <w:rsid w:val="005754AB"/>
    <w:rsid w:val="005757CA"/>
    <w:rsid w:val="00575FF9"/>
    <w:rsid w:val="005760E8"/>
    <w:rsid w:val="005764CA"/>
    <w:rsid w:val="00576B62"/>
    <w:rsid w:val="00576E7E"/>
    <w:rsid w:val="00577587"/>
    <w:rsid w:val="0057763C"/>
    <w:rsid w:val="005777A5"/>
    <w:rsid w:val="00577CFF"/>
    <w:rsid w:val="00577F99"/>
    <w:rsid w:val="00577FD1"/>
    <w:rsid w:val="005801BC"/>
    <w:rsid w:val="005805CF"/>
    <w:rsid w:val="00580E2A"/>
    <w:rsid w:val="00581369"/>
    <w:rsid w:val="0058200C"/>
    <w:rsid w:val="005826F4"/>
    <w:rsid w:val="00582D0A"/>
    <w:rsid w:val="005832B7"/>
    <w:rsid w:val="0058362B"/>
    <w:rsid w:val="0058369E"/>
    <w:rsid w:val="00583D3A"/>
    <w:rsid w:val="0058402F"/>
    <w:rsid w:val="005841D9"/>
    <w:rsid w:val="0058448D"/>
    <w:rsid w:val="00584654"/>
    <w:rsid w:val="00585395"/>
    <w:rsid w:val="00585D95"/>
    <w:rsid w:val="00586756"/>
    <w:rsid w:val="005867DD"/>
    <w:rsid w:val="00586B3C"/>
    <w:rsid w:val="00586F96"/>
    <w:rsid w:val="005871FC"/>
    <w:rsid w:val="005872C7"/>
    <w:rsid w:val="00587B22"/>
    <w:rsid w:val="00590D09"/>
    <w:rsid w:val="00591334"/>
    <w:rsid w:val="0059156A"/>
    <w:rsid w:val="005918D7"/>
    <w:rsid w:val="00591DDC"/>
    <w:rsid w:val="00592166"/>
    <w:rsid w:val="00592F20"/>
    <w:rsid w:val="00593126"/>
    <w:rsid w:val="00593314"/>
    <w:rsid w:val="0059368E"/>
    <w:rsid w:val="00593BF5"/>
    <w:rsid w:val="00594496"/>
    <w:rsid w:val="00594546"/>
    <w:rsid w:val="005949F8"/>
    <w:rsid w:val="005951D9"/>
    <w:rsid w:val="005956D3"/>
    <w:rsid w:val="00595D72"/>
    <w:rsid w:val="00595F5D"/>
    <w:rsid w:val="00596365"/>
    <w:rsid w:val="005965BC"/>
    <w:rsid w:val="00596DFB"/>
    <w:rsid w:val="00596ED0"/>
    <w:rsid w:val="00597421"/>
    <w:rsid w:val="0059745B"/>
    <w:rsid w:val="00597B9E"/>
    <w:rsid w:val="005A0378"/>
    <w:rsid w:val="005A03DE"/>
    <w:rsid w:val="005A04E7"/>
    <w:rsid w:val="005A12ED"/>
    <w:rsid w:val="005A1A10"/>
    <w:rsid w:val="005A2822"/>
    <w:rsid w:val="005A293F"/>
    <w:rsid w:val="005A2A80"/>
    <w:rsid w:val="005A35F6"/>
    <w:rsid w:val="005A4218"/>
    <w:rsid w:val="005A4DC1"/>
    <w:rsid w:val="005A54FD"/>
    <w:rsid w:val="005A5F7D"/>
    <w:rsid w:val="005A6461"/>
    <w:rsid w:val="005A65CD"/>
    <w:rsid w:val="005A6854"/>
    <w:rsid w:val="005A6A6C"/>
    <w:rsid w:val="005A6E3B"/>
    <w:rsid w:val="005A6FC9"/>
    <w:rsid w:val="005A71FF"/>
    <w:rsid w:val="005A7D68"/>
    <w:rsid w:val="005A7E78"/>
    <w:rsid w:val="005B03ED"/>
    <w:rsid w:val="005B0EB2"/>
    <w:rsid w:val="005B15BA"/>
    <w:rsid w:val="005B1776"/>
    <w:rsid w:val="005B1BA3"/>
    <w:rsid w:val="005B1D9F"/>
    <w:rsid w:val="005B1DB1"/>
    <w:rsid w:val="005B2435"/>
    <w:rsid w:val="005B2478"/>
    <w:rsid w:val="005B2654"/>
    <w:rsid w:val="005B32FB"/>
    <w:rsid w:val="005B3564"/>
    <w:rsid w:val="005B3D03"/>
    <w:rsid w:val="005B3D04"/>
    <w:rsid w:val="005B3D29"/>
    <w:rsid w:val="005B4602"/>
    <w:rsid w:val="005B4EC0"/>
    <w:rsid w:val="005B518B"/>
    <w:rsid w:val="005B5215"/>
    <w:rsid w:val="005B5924"/>
    <w:rsid w:val="005B6304"/>
    <w:rsid w:val="005B66A8"/>
    <w:rsid w:val="005B6968"/>
    <w:rsid w:val="005B69B6"/>
    <w:rsid w:val="005B71AF"/>
    <w:rsid w:val="005B729F"/>
    <w:rsid w:val="005B737D"/>
    <w:rsid w:val="005B76F2"/>
    <w:rsid w:val="005B7D9D"/>
    <w:rsid w:val="005B7FE4"/>
    <w:rsid w:val="005C00B9"/>
    <w:rsid w:val="005C05E0"/>
    <w:rsid w:val="005C0983"/>
    <w:rsid w:val="005C1D4E"/>
    <w:rsid w:val="005C1E85"/>
    <w:rsid w:val="005C2412"/>
    <w:rsid w:val="005C3420"/>
    <w:rsid w:val="005C3423"/>
    <w:rsid w:val="005C37E0"/>
    <w:rsid w:val="005C392C"/>
    <w:rsid w:val="005C4543"/>
    <w:rsid w:val="005C4E6B"/>
    <w:rsid w:val="005C4F2A"/>
    <w:rsid w:val="005C4FAA"/>
    <w:rsid w:val="005C5318"/>
    <w:rsid w:val="005C54B9"/>
    <w:rsid w:val="005C5A1C"/>
    <w:rsid w:val="005C5DF9"/>
    <w:rsid w:val="005C603D"/>
    <w:rsid w:val="005C605B"/>
    <w:rsid w:val="005C61B0"/>
    <w:rsid w:val="005C6618"/>
    <w:rsid w:val="005C66F6"/>
    <w:rsid w:val="005C7E0C"/>
    <w:rsid w:val="005D0189"/>
    <w:rsid w:val="005D0684"/>
    <w:rsid w:val="005D0A88"/>
    <w:rsid w:val="005D1371"/>
    <w:rsid w:val="005D24A7"/>
    <w:rsid w:val="005D32EA"/>
    <w:rsid w:val="005D33D1"/>
    <w:rsid w:val="005D3EE6"/>
    <w:rsid w:val="005D4167"/>
    <w:rsid w:val="005D4467"/>
    <w:rsid w:val="005D4513"/>
    <w:rsid w:val="005D532A"/>
    <w:rsid w:val="005D626D"/>
    <w:rsid w:val="005D6AAD"/>
    <w:rsid w:val="005D7BEB"/>
    <w:rsid w:val="005E03D8"/>
    <w:rsid w:val="005E044F"/>
    <w:rsid w:val="005E076B"/>
    <w:rsid w:val="005E09CB"/>
    <w:rsid w:val="005E0C2C"/>
    <w:rsid w:val="005E1066"/>
    <w:rsid w:val="005E12D0"/>
    <w:rsid w:val="005E1510"/>
    <w:rsid w:val="005E1F3E"/>
    <w:rsid w:val="005E1F76"/>
    <w:rsid w:val="005E3258"/>
    <w:rsid w:val="005E350C"/>
    <w:rsid w:val="005E3B23"/>
    <w:rsid w:val="005E3E47"/>
    <w:rsid w:val="005E4372"/>
    <w:rsid w:val="005E43FA"/>
    <w:rsid w:val="005E4449"/>
    <w:rsid w:val="005E4470"/>
    <w:rsid w:val="005E46F1"/>
    <w:rsid w:val="005E4A35"/>
    <w:rsid w:val="005E4E0F"/>
    <w:rsid w:val="005E55B1"/>
    <w:rsid w:val="005E5794"/>
    <w:rsid w:val="005E5C7D"/>
    <w:rsid w:val="005E6B62"/>
    <w:rsid w:val="005E6CE6"/>
    <w:rsid w:val="005E71AE"/>
    <w:rsid w:val="005E7232"/>
    <w:rsid w:val="005E7D20"/>
    <w:rsid w:val="005F0D1B"/>
    <w:rsid w:val="005F0DF5"/>
    <w:rsid w:val="005F1185"/>
    <w:rsid w:val="005F175B"/>
    <w:rsid w:val="005F1FDB"/>
    <w:rsid w:val="005F217A"/>
    <w:rsid w:val="005F2404"/>
    <w:rsid w:val="005F2A54"/>
    <w:rsid w:val="005F2C17"/>
    <w:rsid w:val="005F2C33"/>
    <w:rsid w:val="005F3183"/>
    <w:rsid w:val="005F38A7"/>
    <w:rsid w:val="005F3FB1"/>
    <w:rsid w:val="005F5098"/>
    <w:rsid w:val="005F5507"/>
    <w:rsid w:val="005F597A"/>
    <w:rsid w:val="005F5E5A"/>
    <w:rsid w:val="005F62D8"/>
    <w:rsid w:val="005F63F3"/>
    <w:rsid w:val="005F6C4D"/>
    <w:rsid w:val="005F6E13"/>
    <w:rsid w:val="005F76DF"/>
    <w:rsid w:val="005F771A"/>
    <w:rsid w:val="005F7ADA"/>
    <w:rsid w:val="005F7B11"/>
    <w:rsid w:val="005F7D0E"/>
    <w:rsid w:val="00601854"/>
    <w:rsid w:val="00601919"/>
    <w:rsid w:val="00601BA3"/>
    <w:rsid w:val="006022BA"/>
    <w:rsid w:val="00602418"/>
    <w:rsid w:val="00602E51"/>
    <w:rsid w:val="00602FB6"/>
    <w:rsid w:val="0060301F"/>
    <w:rsid w:val="00603196"/>
    <w:rsid w:val="00603FD5"/>
    <w:rsid w:val="00604232"/>
    <w:rsid w:val="006045A5"/>
    <w:rsid w:val="00604E2B"/>
    <w:rsid w:val="006050EC"/>
    <w:rsid w:val="00605255"/>
    <w:rsid w:val="00605C5F"/>
    <w:rsid w:val="00605D36"/>
    <w:rsid w:val="00605F05"/>
    <w:rsid w:val="0060637C"/>
    <w:rsid w:val="00607904"/>
    <w:rsid w:val="00607AD4"/>
    <w:rsid w:val="00607C47"/>
    <w:rsid w:val="00607E9F"/>
    <w:rsid w:val="00607F03"/>
    <w:rsid w:val="00610627"/>
    <w:rsid w:val="00610F6C"/>
    <w:rsid w:val="006113B4"/>
    <w:rsid w:val="006113F0"/>
    <w:rsid w:val="00611C84"/>
    <w:rsid w:val="00612633"/>
    <w:rsid w:val="006127C5"/>
    <w:rsid w:val="00612899"/>
    <w:rsid w:val="00612E3A"/>
    <w:rsid w:val="006131EA"/>
    <w:rsid w:val="0061338C"/>
    <w:rsid w:val="006136A4"/>
    <w:rsid w:val="00613C78"/>
    <w:rsid w:val="00614199"/>
    <w:rsid w:val="006147C0"/>
    <w:rsid w:val="0061480F"/>
    <w:rsid w:val="00614877"/>
    <w:rsid w:val="00614C7C"/>
    <w:rsid w:val="00615FA8"/>
    <w:rsid w:val="006161A1"/>
    <w:rsid w:val="00616A47"/>
    <w:rsid w:val="00616B1A"/>
    <w:rsid w:val="00616DC8"/>
    <w:rsid w:val="00616EF2"/>
    <w:rsid w:val="00617208"/>
    <w:rsid w:val="00617250"/>
    <w:rsid w:val="00617302"/>
    <w:rsid w:val="00620548"/>
    <w:rsid w:val="00620A82"/>
    <w:rsid w:val="00620B0D"/>
    <w:rsid w:val="006218EB"/>
    <w:rsid w:val="00621BE4"/>
    <w:rsid w:val="00621EB0"/>
    <w:rsid w:val="0062245D"/>
    <w:rsid w:val="00622888"/>
    <w:rsid w:val="00622DB4"/>
    <w:rsid w:val="006239C9"/>
    <w:rsid w:val="00624107"/>
    <w:rsid w:val="00624402"/>
    <w:rsid w:val="00624A40"/>
    <w:rsid w:val="00624B90"/>
    <w:rsid w:val="00624F54"/>
    <w:rsid w:val="00624FD1"/>
    <w:rsid w:val="00625E57"/>
    <w:rsid w:val="00625FC0"/>
    <w:rsid w:val="0062698B"/>
    <w:rsid w:val="006273D7"/>
    <w:rsid w:val="00627462"/>
    <w:rsid w:val="006274A7"/>
    <w:rsid w:val="00627735"/>
    <w:rsid w:val="00627D65"/>
    <w:rsid w:val="00627EA5"/>
    <w:rsid w:val="006304F3"/>
    <w:rsid w:val="00630588"/>
    <w:rsid w:val="0063068C"/>
    <w:rsid w:val="006306B8"/>
    <w:rsid w:val="006307E9"/>
    <w:rsid w:val="00630F02"/>
    <w:rsid w:val="00631D46"/>
    <w:rsid w:val="006321E0"/>
    <w:rsid w:val="006325AC"/>
    <w:rsid w:val="00632BB9"/>
    <w:rsid w:val="00632F83"/>
    <w:rsid w:val="00633285"/>
    <w:rsid w:val="00635930"/>
    <w:rsid w:val="00635C05"/>
    <w:rsid w:val="00636347"/>
    <w:rsid w:val="006365BA"/>
    <w:rsid w:val="00636B1E"/>
    <w:rsid w:val="00637005"/>
    <w:rsid w:val="0063790C"/>
    <w:rsid w:val="00637ECC"/>
    <w:rsid w:val="00637F98"/>
    <w:rsid w:val="00640A1A"/>
    <w:rsid w:val="00640F07"/>
    <w:rsid w:val="0064222F"/>
    <w:rsid w:val="00642ABF"/>
    <w:rsid w:val="00642BD0"/>
    <w:rsid w:val="00643304"/>
    <w:rsid w:val="0064351C"/>
    <w:rsid w:val="00643875"/>
    <w:rsid w:val="00643B2B"/>
    <w:rsid w:val="00644939"/>
    <w:rsid w:val="0064574C"/>
    <w:rsid w:val="006475BD"/>
    <w:rsid w:val="006476A9"/>
    <w:rsid w:val="00647809"/>
    <w:rsid w:val="00647FEB"/>
    <w:rsid w:val="006503B1"/>
    <w:rsid w:val="006503CD"/>
    <w:rsid w:val="0065060C"/>
    <w:rsid w:val="0065066D"/>
    <w:rsid w:val="00650D31"/>
    <w:rsid w:val="00651131"/>
    <w:rsid w:val="006514FB"/>
    <w:rsid w:val="00651734"/>
    <w:rsid w:val="00651CE1"/>
    <w:rsid w:val="0065251F"/>
    <w:rsid w:val="006525E5"/>
    <w:rsid w:val="006527FF"/>
    <w:rsid w:val="00652BA6"/>
    <w:rsid w:val="00652BB1"/>
    <w:rsid w:val="00652BDD"/>
    <w:rsid w:val="0065362C"/>
    <w:rsid w:val="00653835"/>
    <w:rsid w:val="00653EA3"/>
    <w:rsid w:val="006540DD"/>
    <w:rsid w:val="00654265"/>
    <w:rsid w:val="00654340"/>
    <w:rsid w:val="00654A8A"/>
    <w:rsid w:val="00654AB5"/>
    <w:rsid w:val="00655D83"/>
    <w:rsid w:val="006566FF"/>
    <w:rsid w:val="00656A8A"/>
    <w:rsid w:val="00657013"/>
    <w:rsid w:val="00661E05"/>
    <w:rsid w:val="00661F46"/>
    <w:rsid w:val="00662209"/>
    <w:rsid w:val="00662B28"/>
    <w:rsid w:val="006634F3"/>
    <w:rsid w:val="00663C38"/>
    <w:rsid w:val="0066552A"/>
    <w:rsid w:val="00665FE0"/>
    <w:rsid w:val="006664EB"/>
    <w:rsid w:val="006667BF"/>
    <w:rsid w:val="00667B6C"/>
    <w:rsid w:val="006700DD"/>
    <w:rsid w:val="006700F5"/>
    <w:rsid w:val="0067068F"/>
    <w:rsid w:val="00671645"/>
    <w:rsid w:val="006717FD"/>
    <w:rsid w:val="00671B5A"/>
    <w:rsid w:val="00672119"/>
    <w:rsid w:val="00672714"/>
    <w:rsid w:val="00672FB4"/>
    <w:rsid w:val="00675178"/>
    <w:rsid w:val="0067588E"/>
    <w:rsid w:val="00676765"/>
    <w:rsid w:val="00676E6D"/>
    <w:rsid w:val="0067728C"/>
    <w:rsid w:val="00677BC3"/>
    <w:rsid w:val="00680138"/>
    <w:rsid w:val="0068065C"/>
    <w:rsid w:val="006812C2"/>
    <w:rsid w:val="00681434"/>
    <w:rsid w:val="006819C3"/>
    <w:rsid w:val="00681DBC"/>
    <w:rsid w:val="006822FF"/>
    <w:rsid w:val="00682686"/>
    <w:rsid w:val="0068268C"/>
    <w:rsid w:val="006826C0"/>
    <w:rsid w:val="00682F14"/>
    <w:rsid w:val="006833C3"/>
    <w:rsid w:val="00684056"/>
    <w:rsid w:val="0068506D"/>
    <w:rsid w:val="00685AB2"/>
    <w:rsid w:val="00685B21"/>
    <w:rsid w:val="00686739"/>
    <w:rsid w:val="00686BFC"/>
    <w:rsid w:val="0068724F"/>
    <w:rsid w:val="00690F34"/>
    <w:rsid w:val="006928DD"/>
    <w:rsid w:val="006930DA"/>
    <w:rsid w:val="00693200"/>
    <w:rsid w:val="00693459"/>
    <w:rsid w:val="00693D31"/>
    <w:rsid w:val="0069419A"/>
    <w:rsid w:val="00694E81"/>
    <w:rsid w:val="00695186"/>
    <w:rsid w:val="00695924"/>
    <w:rsid w:val="006961B4"/>
    <w:rsid w:val="006965C1"/>
    <w:rsid w:val="00697465"/>
    <w:rsid w:val="00697A86"/>
    <w:rsid w:val="00697E5C"/>
    <w:rsid w:val="00697F2B"/>
    <w:rsid w:val="006A0DE3"/>
    <w:rsid w:val="006A1253"/>
    <w:rsid w:val="006A13EA"/>
    <w:rsid w:val="006A1DEF"/>
    <w:rsid w:val="006A2232"/>
    <w:rsid w:val="006A28EC"/>
    <w:rsid w:val="006A2BDC"/>
    <w:rsid w:val="006A3095"/>
    <w:rsid w:val="006A3213"/>
    <w:rsid w:val="006A3656"/>
    <w:rsid w:val="006A39B9"/>
    <w:rsid w:val="006A3B35"/>
    <w:rsid w:val="006A3DEA"/>
    <w:rsid w:val="006A461A"/>
    <w:rsid w:val="006A55BB"/>
    <w:rsid w:val="006A5682"/>
    <w:rsid w:val="006A5C12"/>
    <w:rsid w:val="006A613E"/>
    <w:rsid w:val="006A6179"/>
    <w:rsid w:val="006A672A"/>
    <w:rsid w:val="006A7069"/>
    <w:rsid w:val="006A739C"/>
    <w:rsid w:val="006B1616"/>
    <w:rsid w:val="006B180D"/>
    <w:rsid w:val="006B1975"/>
    <w:rsid w:val="006B1B88"/>
    <w:rsid w:val="006B1C44"/>
    <w:rsid w:val="006B1F81"/>
    <w:rsid w:val="006B274E"/>
    <w:rsid w:val="006B2931"/>
    <w:rsid w:val="006B2C3F"/>
    <w:rsid w:val="006B32CA"/>
    <w:rsid w:val="006B36AA"/>
    <w:rsid w:val="006B3705"/>
    <w:rsid w:val="006B3C3A"/>
    <w:rsid w:val="006B48C8"/>
    <w:rsid w:val="006B4C8D"/>
    <w:rsid w:val="006B5091"/>
    <w:rsid w:val="006B5E2F"/>
    <w:rsid w:val="006B620F"/>
    <w:rsid w:val="006B747A"/>
    <w:rsid w:val="006B7DDC"/>
    <w:rsid w:val="006C02BD"/>
    <w:rsid w:val="006C094F"/>
    <w:rsid w:val="006C0AA4"/>
    <w:rsid w:val="006C0E27"/>
    <w:rsid w:val="006C134B"/>
    <w:rsid w:val="006C1522"/>
    <w:rsid w:val="006C18D7"/>
    <w:rsid w:val="006C1E49"/>
    <w:rsid w:val="006C23AB"/>
    <w:rsid w:val="006C280B"/>
    <w:rsid w:val="006C2816"/>
    <w:rsid w:val="006C2AAA"/>
    <w:rsid w:val="006C2E46"/>
    <w:rsid w:val="006C308C"/>
    <w:rsid w:val="006C36B3"/>
    <w:rsid w:val="006C36D5"/>
    <w:rsid w:val="006C3967"/>
    <w:rsid w:val="006C3A69"/>
    <w:rsid w:val="006C3F85"/>
    <w:rsid w:val="006C4307"/>
    <w:rsid w:val="006C45C0"/>
    <w:rsid w:val="006C4869"/>
    <w:rsid w:val="006C49BB"/>
    <w:rsid w:val="006C4AF4"/>
    <w:rsid w:val="006C4C82"/>
    <w:rsid w:val="006C4D67"/>
    <w:rsid w:val="006C4E43"/>
    <w:rsid w:val="006C51AA"/>
    <w:rsid w:val="006C560B"/>
    <w:rsid w:val="006C5874"/>
    <w:rsid w:val="006C5D9F"/>
    <w:rsid w:val="006C5FB5"/>
    <w:rsid w:val="006C636A"/>
    <w:rsid w:val="006C6E68"/>
    <w:rsid w:val="006C72B4"/>
    <w:rsid w:val="006C7C7F"/>
    <w:rsid w:val="006C7DC1"/>
    <w:rsid w:val="006D0784"/>
    <w:rsid w:val="006D095B"/>
    <w:rsid w:val="006D1E62"/>
    <w:rsid w:val="006D25B3"/>
    <w:rsid w:val="006D290A"/>
    <w:rsid w:val="006D2C45"/>
    <w:rsid w:val="006D2FC5"/>
    <w:rsid w:val="006D38D0"/>
    <w:rsid w:val="006D39DD"/>
    <w:rsid w:val="006D3A89"/>
    <w:rsid w:val="006D3F2F"/>
    <w:rsid w:val="006D4F09"/>
    <w:rsid w:val="006D4F72"/>
    <w:rsid w:val="006D554E"/>
    <w:rsid w:val="006D561D"/>
    <w:rsid w:val="006D5F4F"/>
    <w:rsid w:val="006D64F8"/>
    <w:rsid w:val="006D6557"/>
    <w:rsid w:val="006D6A30"/>
    <w:rsid w:val="006D6B70"/>
    <w:rsid w:val="006D6C8B"/>
    <w:rsid w:val="006D750D"/>
    <w:rsid w:val="006D75C4"/>
    <w:rsid w:val="006D7604"/>
    <w:rsid w:val="006D7E37"/>
    <w:rsid w:val="006E01D9"/>
    <w:rsid w:val="006E048C"/>
    <w:rsid w:val="006E06AF"/>
    <w:rsid w:val="006E075D"/>
    <w:rsid w:val="006E09A2"/>
    <w:rsid w:val="006E12C2"/>
    <w:rsid w:val="006E14A3"/>
    <w:rsid w:val="006E1815"/>
    <w:rsid w:val="006E1F6C"/>
    <w:rsid w:val="006E2063"/>
    <w:rsid w:val="006E2527"/>
    <w:rsid w:val="006E288D"/>
    <w:rsid w:val="006E30B5"/>
    <w:rsid w:val="006E3531"/>
    <w:rsid w:val="006E3536"/>
    <w:rsid w:val="006E365F"/>
    <w:rsid w:val="006E3DD0"/>
    <w:rsid w:val="006E41DA"/>
    <w:rsid w:val="006E516D"/>
    <w:rsid w:val="006E5976"/>
    <w:rsid w:val="006E603F"/>
    <w:rsid w:val="006E6154"/>
    <w:rsid w:val="006E6B83"/>
    <w:rsid w:val="006E7308"/>
    <w:rsid w:val="006E7F06"/>
    <w:rsid w:val="006F05F2"/>
    <w:rsid w:val="006F09C2"/>
    <w:rsid w:val="006F1092"/>
    <w:rsid w:val="006F10B7"/>
    <w:rsid w:val="006F177B"/>
    <w:rsid w:val="006F28AA"/>
    <w:rsid w:val="006F2D12"/>
    <w:rsid w:val="006F37F4"/>
    <w:rsid w:val="006F445B"/>
    <w:rsid w:val="006F4465"/>
    <w:rsid w:val="006F459A"/>
    <w:rsid w:val="006F4A4E"/>
    <w:rsid w:val="006F4D24"/>
    <w:rsid w:val="006F5106"/>
    <w:rsid w:val="006F5145"/>
    <w:rsid w:val="006F5879"/>
    <w:rsid w:val="006F5FBA"/>
    <w:rsid w:val="006F68D5"/>
    <w:rsid w:val="006F68D9"/>
    <w:rsid w:val="006F6B8E"/>
    <w:rsid w:val="006F7385"/>
    <w:rsid w:val="006F7590"/>
    <w:rsid w:val="006F79A3"/>
    <w:rsid w:val="0070003A"/>
    <w:rsid w:val="00700182"/>
    <w:rsid w:val="00700953"/>
    <w:rsid w:val="00700C96"/>
    <w:rsid w:val="00700D53"/>
    <w:rsid w:val="00701100"/>
    <w:rsid w:val="00701B68"/>
    <w:rsid w:val="007028C3"/>
    <w:rsid w:val="0070291F"/>
    <w:rsid w:val="0070301B"/>
    <w:rsid w:val="00703BE8"/>
    <w:rsid w:val="00704149"/>
    <w:rsid w:val="00704A38"/>
    <w:rsid w:val="007058EE"/>
    <w:rsid w:val="0070591B"/>
    <w:rsid w:val="0070613D"/>
    <w:rsid w:val="00706846"/>
    <w:rsid w:val="00706AAD"/>
    <w:rsid w:val="00707901"/>
    <w:rsid w:val="00710824"/>
    <w:rsid w:val="00710E78"/>
    <w:rsid w:val="00710EA7"/>
    <w:rsid w:val="00710F4F"/>
    <w:rsid w:val="0071161F"/>
    <w:rsid w:val="007118EC"/>
    <w:rsid w:val="00711BB4"/>
    <w:rsid w:val="0071213E"/>
    <w:rsid w:val="00712E37"/>
    <w:rsid w:val="00713936"/>
    <w:rsid w:val="00713CB5"/>
    <w:rsid w:val="00714488"/>
    <w:rsid w:val="00714943"/>
    <w:rsid w:val="00714D9A"/>
    <w:rsid w:val="007158C6"/>
    <w:rsid w:val="00716B8F"/>
    <w:rsid w:val="00717258"/>
    <w:rsid w:val="00717B49"/>
    <w:rsid w:val="00720507"/>
    <w:rsid w:val="00720880"/>
    <w:rsid w:val="0072097C"/>
    <w:rsid w:val="00720E8D"/>
    <w:rsid w:val="007215EF"/>
    <w:rsid w:val="007218C3"/>
    <w:rsid w:val="007218DD"/>
    <w:rsid w:val="007218EA"/>
    <w:rsid w:val="007219C7"/>
    <w:rsid w:val="00721CF3"/>
    <w:rsid w:val="007222E1"/>
    <w:rsid w:val="007227A5"/>
    <w:rsid w:val="0072330B"/>
    <w:rsid w:val="007235D9"/>
    <w:rsid w:val="007239E5"/>
    <w:rsid w:val="00723BC8"/>
    <w:rsid w:val="00723BFF"/>
    <w:rsid w:val="00723C22"/>
    <w:rsid w:val="00724487"/>
    <w:rsid w:val="00725000"/>
    <w:rsid w:val="007252EA"/>
    <w:rsid w:val="00725845"/>
    <w:rsid w:val="00725919"/>
    <w:rsid w:val="007259FF"/>
    <w:rsid w:val="00725A9C"/>
    <w:rsid w:val="007260B3"/>
    <w:rsid w:val="00726781"/>
    <w:rsid w:val="00726D85"/>
    <w:rsid w:val="0072711F"/>
    <w:rsid w:val="00727192"/>
    <w:rsid w:val="007301C9"/>
    <w:rsid w:val="00730506"/>
    <w:rsid w:val="00731373"/>
    <w:rsid w:val="00731E43"/>
    <w:rsid w:val="00732557"/>
    <w:rsid w:val="00732EEF"/>
    <w:rsid w:val="0073334A"/>
    <w:rsid w:val="007338A1"/>
    <w:rsid w:val="00733E46"/>
    <w:rsid w:val="00734D1F"/>
    <w:rsid w:val="00734F11"/>
    <w:rsid w:val="007350B5"/>
    <w:rsid w:val="007351A1"/>
    <w:rsid w:val="007358D3"/>
    <w:rsid w:val="00735EE5"/>
    <w:rsid w:val="00736284"/>
    <w:rsid w:val="007363C7"/>
    <w:rsid w:val="007364F7"/>
    <w:rsid w:val="00737071"/>
    <w:rsid w:val="007372E7"/>
    <w:rsid w:val="007373F6"/>
    <w:rsid w:val="007378F6"/>
    <w:rsid w:val="00737E50"/>
    <w:rsid w:val="00740063"/>
    <w:rsid w:val="00740B6C"/>
    <w:rsid w:val="00740BEA"/>
    <w:rsid w:val="00741839"/>
    <w:rsid w:val="0074196F"/>
    <w:rsid w:val="007424BA"/>
    <w:rsid w:val="00742A50"/>
    <w:rsid w:val="00742A91"/>
    <w:rsid w:val="00742F0D"/>
    <w:rsid w:val="00742FE9"/>
    <w:rsid w:val="00743548"/>
    <w:rsid w:val="007437BC"/>
    <w:rsid w:val="00743D5F"/>
    <w:rsid w:val="00743F86"/>
    <w:rsid w:val="00744120"/>
    <w:rsid w:val="00744275"/>
    <w:rsid w:val="0074445A"/>
    <w:rsid w:val="00744B88"/>
    <w:rsid w:val="00744F75"/>
    <w:rsid w:val="00745196"/>
    <w:rsid w:val="00745768"/>
    <w:rsid w:val="00745A1A"/>
    <w:rsid w:val="00745B7B"/>
    <w:rsid w:val="0074705F"/>
    <w:rsid w:val="00747156"/>
    <w:rsid w:val="0074737A"/>
    <w:rsid w:val="007475D0"/>
    <w:rsid w:val="0074775D"/>
    <w:rsid w:val="0075011D"/>
    <w:rsid w:val="00750354"/>
    <w:rsid w:val="00750443"/>
    <w:rsid w:val="007504BA"/>
    <w:rsid w:val="0075085D"/>
    <w:rsid w:val="00750885"/>
    <w:rsid w:val="00750A22"/>
    <w:rsid w:val="00751976"/>
    <w:rsid w:val="00751A3E"/>
    <w:rsid w:val="00751DAF"/>
    <w:rsid w:val="0075386F"/>
    <w:rsid w:val="007540E8"/>
    <w:rsid w:val="0075410D"/>
    <w:rsid w:val="00754136"/>
    <w:rsid w:val="007543E6"/>
    <w:rsid w:val="0075458B"/>
    <w:rsid w:val="00755707"/>
    <w:rsid w:val="007558A0"/>
    <w:rsid w:val="0075639B"/>
    <w:rsid w:val="00756F99"/>
    <w:rsid w:val="00757620"/>
    <w:rsid w:val="00757CF3"/>
    <w:rsid w:val="00757F2B"/>
    <w:rsid w:val="00760304"/>
    <w:rsid w:val="0076057C"/>
    <w:rsid w:val="00760B49"/>
    <w:rsid w:val="00760DD7"/>
    <w:rsid w:val="00760E1B"/>
    <w:rsid w:val="00761A03"/>
    <w:rsid w:val="00762F69"/>
    <w:rsid w:val="007630E0"/>
    <w:rsid w:val="007634A2"/>
    <w:rsid w:val="007638ED"/>
    <w:rsid w:val="0076398C"/>
    <w:rsid w:val="00763BDF"/>
    <w:rsid w:val="00763D5E"/>
    <w:rsid w:val="00763DFC"/>
    <w:rsid w:val="00763EA6"/>
    <w:rsid w:val="007640E2"/>
    <w:rsid w:val="00764120"/>
    <w:rsid w:val="00764429"/>
    <w:rsid w:val="007644AC"/>
    <w:rsid w:val="00764A1A"/>
    <w:rsid w:val="00764A3C"/>
    <w:rsid w:val="00764FE1"/>
    <w:rsid w:val="0076527B"/>
    <w:rsid w:val="007655D9"/>
    <w:rsid w:val="0076571F"/>
    <w:rsid w:val="007662C0"/>
    <w:rsid w:val="00766390"/>
    <w:rsid w:val="00766597"/>
    <w:rsid w:val="0076666D"/>
    <w:rsid w:val="007666EF"/>
    <w:rsid w:val="007669DE"/>
    <w:rsid w:val="0076749F"/>
    <w:rsid w:val="00767787"/>
    <w:rsid w:val="00767EAE"/>
    <w:rsid w:val="007705FC"/>
    <w:rsid w:val="00770873"/>
    <w:rsid w:val="00770D3D"/>
    <w:rsid w:val="00770DB0"/>
    <w:rsid w:val="00772805"/>
    <w:rsid w:val="00773084"/>
    <w:rsid w:val="00773308"/>
    <w:rsid w:val="00773724"/>
    <w:rsid w:val="00773786"/>
    <w:rsid w:val="0077441B"/>
    <w:rsid w:val="00775165"/>
    <w:rsid w:val="007758E7"/>
    <w:rsid w:val="00775F20"/>
    <w:rsid w:val="0077635E"/>
    <w:rsid w:val="00776628"/>
    <w:rsid w:val="007775D0"/>
    <w:rsid w:val="00777D4C"/>
    <w:rsid w:val="00777F41"/>
    <w:rsid w:val="00780BB5"/>
    <w:rsid w:val="00780D99"/>
    <w:rsid w:val="007810C5"/>
    <w:rsid w:val="007814EB"/>
    <w:rsid w:val="00781505"/>
    <w:rsid w:val="007818CF"/>
    <w:rsid w:val="0078203D"/>
    <w:rsid w:val="0078252D"/>
    <w:rsid w:val="0078280F"/>
    <w:rsid w:val="007831A7"/>
    <w:rsid w:val="00783482"/>
    <w:rsid w:val="007838A4"/>
    <w:rsid w:val="007839F5"/>
    <w:rsid w:val="00784700"/>
    <w:rsid w:val="007848F2"/>
    <w:rsid w:val="00784DA0"/>
    <w:rsid w:val="0078533C"/>
    <w:rsid w:val="007855A9"/>
    <w:rsid w:val="00785DD2"/>
    <w:rsid w:val="00785E5E"/>
    <w:rsid w:val="00786677"/>
    <w:rsid w:val="007866D2"/>
    <w:rsid w:val="00786DA3"/>
    <w:rsid w:val="00787118"/>
    <w:rsid w:val="00787314"/>
    <w:rsid w:val="00787A9B"/>
    <w:rsid w:val="00787B13"/>
    <w:rsid w:val="00791532"/>
    <w:rsid w:val="0079169B"/>
    <w:rsid w:val="007916FE"/>
    <w:rsid w:val="00791D9E"/>
    <w:rsid w:val="00792076"/>
    <w:rsid w:val="00793443"/>
    <w:rsid w:val="00793B5E"/>
    <w:rsid w:val="00793D2A"/>
    <w:rsid w:val="00793D5C"/>
    <w:rsid w:val="00793FA4"/>
    <w:rsid w:val="007942CD"/>
    <w:rsid w:val="0079430F"/>
    <w:rsid w:val="0079445C"/>
    <w:rsid w:val="007954EE"/>
    <w:rsid w:val="00795D29"/>
    <w:rsid w:val="00795F92"/>
    <w:rsid w:val="007961BC"/>
    <w:rsid w:val="0079691E"/>
    <w:rsid w:val="00796BC6"/>
    <w:rsid w:val="007973A4"/>
    <w:rsid w:val="0079794E"/>
    <w:rsid w:val="00797B73"/>
    <w:rsid w:val="00797CAA"/>
    <w:rsid w:val="007A0363"/>
    <w:rsid w:val="007A03B6"/>
    <w:rsid w:val="007A04AE"/>
    <w:rsid w:val="007A08CB"/>
    <w:rsid w:val="007A0E6B"/>
    <w:rsid w:val="007A12B3"/>
    <w:rsid w:val="007A1C0E"/>
    <w:rsid w:val="007A1CF7"/>
    <w:rsid w:val="007A2296"/>
    <w:rsid w:val="007A22E6"/>
    <w:rsid w:val="007A2888"/>
    <w:rsid w:val="007A2895"/>
    <w:rsid w:val="007A29CA"/>
    <w:rsid w:val="007A2E80"/>
    <w:rsid w:val="007A3DB6"/>
    <w:rsid w:val="007A4BD2"/>
    <w:rsid w:val="007A500D"/>
    <w:rsid w:val="007A54D0"/>
    <w:rsid w:val="007A54D9"/>
    <w:rsid w:val="007A5E3B"/>
    <w:rsid w:val="007A61E7"/>
    <w:rsid w:val="007A63F3"/>
    <w:rsid w:val="007A68AA"/>
    <w:rsid w:val="007A7402"/>
    <w:rsid w:val="007A7680"/>
    <w:rsid w:val="007A783B"/>
    <w:rsid w:val="007B058E"/>
    <w:rsid w:val="007B08B6"/>
    <w:rsid w:val="007B0CCE"/>
    <w:rsid w:val="007B0ED4"/>
    <w:rsid w:val="007B10BE"/>
    <w:rsid w:val="007B10F0"/>
    <w:rsid w:val="007B187F"/>
    <w:rsid w:val="007B22C9"/>
    <w:rsid w:val="007B232B"/>
    <w:rsid w:val="007B2DF7"/>
    <w:rsid w:val="007B34BD"/>
    <w:rsid w:val="007B3C5E"/>
    <w:rsid w:val="007B47FF"/>
    <w:rsid w:val="007B49B8"/>
    <w:rsid w:val="007B508D"/>
    <w:rsid w:val="007B55DD"/>
    <w:rsid w:val="007B574F"/>
    <w:rsid w:val="007B5A89"/>
    <w:rsid w:val="007B66E0"/>
    <w:rsid w:val="007B6B44"/>
    <w:rsid w:val="007B6DAF"/>
    <w:rsid w:val="007B7030"/>
    <w:rsid w:val="007B738F"/>
    <w:rsid w:val="007B7448"/>
    <w:rsid w:val="007B76A0"/>
    <w:rsid w:val="007C0835"/>
    <w:rsid w:val="007C0F7C"/>
    <w:rsid w:val="007C26F1"/>
    <w:rsid w:val="007C2B7E"/>
    <w:rsid w:val="007C31BD"/>
    <w:rsid w:val="007C338F"/>
    <w:rsid w:val="007C3475"/>
    <w:rsid w:val="007C3AA9"/>
    <w:rsid w:val="007C4822"/>
    <w:rsid w:val="007C4995"/>
    <w:rsid w:val="007C4B0C"/>
    <w:rsid w:val="007C4C3B"/>
    <w:rsid w:val="007C50EA"/>
    <w:rsid w:val="007C568A"/>
    <w:rsid w:val="007C56C9"/>
    <w:rsid w:val="007C5F0E"/>
    <w:rsid w:val="007C5FBE"/>
    <w:rsid w:val="007C614E"/>
    <w:rsid w:val="007C64C7"/>
    <w:rsid w:val="007C66CE"/>
    <w:rsid w:val="007C798A"/>
    <w:rsid w:val="007C7DC7"/>
    <w:rsid w:val="007D0404"/>
    <w:rsid w:val="007D0B9E"/>
    <w:rsid w:val="007D0D16"/>
    <w:rsid w:val="007D1569"/>
    <w:rsid w:val="007D1661"/>
    <w:rsid w:val="007D180F"/>
    <w:rsid w:val="007D1A40"/>
    <w:rsid w:val="007D1E75"/>
    <w:rsid w:val="007D22FF"/>
    <w:rsid w:val="007D25EB"/>
    <w:rsid w:val="007D2CB9"/>
    <w:rsid w:val="007D34D8"/>
    <w:rsid w:val="007D3E56"/>
    <w:rsid w:val="007D456E"/>
    <w:rsid w:val="007D463D"/>
    <w:rsid w:val="007D48CC"/>
    <w:rsid w:val="007D4D98"/>
    <w:rsid w:val="007D5262"/>
    <w:rsid w:val="007D5280"/>
    <w:rsid w:val="007D5CEA"/>
    <w:rsid w:val="007D5ED5"/>
    <w:rsid w:val="007D5F08"/>
    <w:rsid w:val="007D66C8"/>
    <w:rsid w:val="007D69FF"/>
    <w:rsid w:val="007D6B0C"/>
    <w:rsid w:val="007D6CE5"/>
    <w:rsid w:val="007D6EA3"/>
    <w:rsid w:val="007D7DE8"/>
    <w:rsid w:val="007E00C2"/>
    <w:rsid w:val="007E01D1"/>
    <w:rsid w:val="007E15D2"/>
    <w:rsid w:val="007E164D"/>
    <w:rsid w:val="007E1995"/>
    <w:rsid w:val="007E1A38"/>
    <w:rsid w:val="007E207B"/>
    <w:rsid w:val="007E32D1"/>
    <w:rsid w:val="007E3A08"/>
    <w:rsid w:val="007E3CF8"/>
    <w:rsid w:val="007E43D8"/>
    <w:rsid w:val="007E485D"/>
    <w:rsid w:val="007E5490"/>
    <w:rsid w:val="007E55DB"/>
    <w:rsid w:val="007E5EEF"/>
    <w:rsid w:val="007E6121"/>
    <w:rsid w:val="007E65C8"/>
    <w:rsid w:val="007E662A"/>
    <w:rsid w:val="007F04CC"/>
    <w:rsid w:val="007F0C0B"/>
    <w:rsid w:val="007F1F08"/>
    <w:rsid w:val="007F2857"/>
    <w:rsid w:val="007F2D54"/>
    <w:rsid w:val="007F2D58"/>
    <w:rsid w:val="007F2EBE"/>
    <w:rsid w:val="007F3988"/>
    <w:rsid w:val="007F3BA6"/>
    <w:rsid w:val="007F3D9C"/>
    <w:rsid w:val="007F4868"/>
    <w:rsid w:val="007F4AEE"/>
    <w:rsid w:val="007F4BC2"/>
    <w:rsid w:val="007F4BD8"/>
    <w:rsid w:val="007F4EAB"/>
    <w:rsid w:val="007F67B2"/>
    <w:rsid w:val="007F6A22"/>
    <w:rsid w:val="007F6D2C"/>
    <w:rsid w:val="007F6F12"/>
    <w:rsid w:val="007F7092"/>
    <w:rsid w:val="00800200"/>
    <w:rsid w:val="00800767"/>
    <w:rsid w:val="008007B7"/>
    <w:rsid w:val="008008B9"/>
    <w:rsid w:val="00801515"/>
    <w:rsid w:val="008017BC"/>
    <w:rsid w:val="008022C0"/>
    <w:rsid w:val="008029AE"/>
    <w:rsid w:val="00802F07"/>
    <w:rsid w:val="0080322B"/>
    <w:rsid w:val="008035C3"/>
    <w:rsid w:val="00803F26"/>
    <w:rsid w:val="00804686"/>
    <w:rsid w:val="00804B8B"/>
    <w:rsid w:val="00804FEF"/>
    <w:rsid w:val="00806A87"/>
    <w:rsid w:val="00806F63"/>
    <w:rsid w:val="008071CF"/>
    <w:rsid w:val="00807448"/>
    <w:rsid w:val="008077A6"/>
    <w:rsid w:val="00807EEC"/>
    <w:rsid w:val="00807F06"/>
    <w:rsid w:val="0081085B"/>
    <w:rsid w:val="00810C51"/>
    <w:rsid w:val="00810C83"/>
    <w:rsid w:val="00810EC0"/>
    <w:rsid w:val="00810ECE"/>
    <w:rsid w:val="00811196"/>
    <w:rsid w:val="0081129D"/>
    <w:rsid w:val="008112AA"/>
    <w:rsid w:val="00811A5D"/>
    <w:rsid w:val="00811B6E"/>
    <w:rsid w:val="00812B6A"/>
    <w:rsid w:val="0081533C"/>
    <w:rsid w:val="008154FC"/>
    <w:rsid w:val="00815769"/>
    <w:rsid w:val="00816166"/>
    <w:rsid w:val="008161AE"/>
    <w:rsid w:val="008161D7"/>
    <w:rsid w:val="0081646D"/>
    <w:rsid w:val="00816B60"/>
    <w:rsid w:val="00816B8B"/>
    <w:rsid w:val="00816CF7"/>
    <w:rsid w:val="00817F88"/>
    <w:rsid w:val="00820661"/>
    <w:rsid w:val="0082081A"/>
    <w:rsid w:val="00820D2A"/>
    <w:rsid w:val="00821546"/>
    <w:rsid w:val="00821B52"/>
    <w:rsid w:val="00821C7B"/>
    <w:rsid w:val="0082250C"/>
    <w:rsid w:val="0082267F"/>
    <w:rsid w:val="00822F7F"/>
    <w:rsid w:val="0082377F"/>
    <w:rsid w:val="00823BE4"/>
    <w:rsid w:val="00823C45"/>
    <w:rsid w:val="008240BE"/>
    <w:rsid w:val="0082437F"/>
    <w:rsid w:val="00825795"/>
    <w:rsid w:val="008258E9"/>
    <w:rsid w:val="00827A79"/>
    <w:rsid w:val="0083061C"/>
    <w:rsid w:val="00830D0A"/>
    <w:rsid w:val="00831935"/>
    <w:rsid w:val="00831B0C"/>
    <w:rsid w:val="00831B49"/>
    <w:rsid w:val="00831D85"/>
    <w:rsid w:val="008323CA"/>
    <w:rsid w:val="00832BCD"/>
    <w:rsid w:val="00833838"/>
    <w:rsid w:val="0083428E"/>
    <w:rsid w:val="00834981"/>
    <w:rsid w:val="008349CC"/>
    <w:rsid w:val="00834E77"/>
    <w:rsid w:val="008351F1"/>
    <w:rsid w:val="008355D0"/>
    <w:rsid w:val="008359BD"/>
    <w:rsid w:val="00836075"/>
    <w:rsid w:val="00836262"/>
    <w:rsid w:val="00836453"/>
    <w:rsid w:val="00836E3A"/>
    <w:rsid w:val="00837172"/>
    <w:rsid w:val="00837210"/>
    <w:rsid w:val="008377B6"/>
    <w:rsid w:val="008378AD"/>
    <w:rsid w:val="00840372"/>
    <w:rsid w:val="00840456"/>
    <w:rsid w:val="0084047A"/>
    <w:rsid w:val="00840D93"/>
    <w:rsid w:val="00840F5F"/>
    <w:rsid w:val="00841216"/>
    <w:rsid w:val="0084135F"/>
    <w:rsid w:val="008416D2"/>
    <w:rsid w:val="0084238D"/>
    <w:rsid w:val="008423D1"/>
    <w:rsid w:val="008429B9"/>
    <w:rsid w:val="00842CE2"/>
    <w:rsid w:val="00842F43"/>
    <w:rsid w:val="00843684"/>
    <w:rsid w:val="00843FCC"/>
    <w:rsid w:val="00844786"/>
    <w:rsid w:val="008451DE"/>
    <w:rsid w:val="008452C2"/>
    <w:rsid w:val="00845B6A"/>
    <w:rsid w:val="00845BFE"/>
    <w:rsid w:val="0084617D"/>
    <w:rsid w:val="0084632B"/>
    <w:rsid w:val="00846736"/>
    <w:rsid w:val="00846C5F"/>
    <w:rsid w:val="00847050"/>
    <w:rsid w:val="008472B8"/>
    <w:rsid w:val="00847631"/>
    <w:rsid w:val="008476B6"/>
    <w:rsid w:val="00847A54"/>
    <w:rsid w:val="00847BE2"/>
    <w:rsid w:val="008503EF"/>
    <w:rsid w:val="008505C8"/>
    <w:rsid w:val="00850819"/>
    <w:rsid w:val="008517D5"/>
    <w:rsid w:val="008522ED"/>
    <w:rsid w:val="008529A2"/>
    <w:rsid w:val="00852B3F"/>
    <w:rsid w:val="00853020"/>
    <w:rsid w:val="00853191"/>
    <w:rsid w:val="00853667"/>
    <w:rsid w:val="00853C71"/>
    <w:rsid w:val="00854281"/>
    <w:rsid w:val="0085439B"/>
    <w:rsid w:val="00854AE6"/>
    <w:rsid w:val="00855060"/>
    <w:rsid w:val="0085651D"/>
    <w:rsid w:val="00856CFC"/>
    <w:rsid w:val="008572EC"/>
    <w:rsid w:val="00857380"/>
    <w:rsid w:val="008575CA"/>
    <w:rsid w:val="0085770A"/>
    <w:rsid w:val="008579B4"/>
    <w:rsid w:val="00857AFB"/>
    <w:rsid w:val="00860257"/>
    <w:rsid w:val="008606DB"/>
    <w:rsid w:val="00860CF8"/>
    <w:rsid w:val="00860FA3"/>
    <w:rsid w:val="008614DE"/>
    <w:rsid w:val="00861507"/>
    <w:rsid w:val="008619D6"/>
    <w:rsid w:val="0086232E"/>
    <w:rsid w:val="00862FAB"/>
    <w:rsid w:val="008639FC"/>
    <w:rsid w:val="0086464A"/>
    <w:rsid w:val="00864BDA"/>
    <w:rsid w:val="00865461"/>
    <w:rsid w:val="00865947"/>
    <w:rsid w:val="00865C0D"/>
    <w:rsid w:val="00865CAF"/>
    <w:rsid w:val="00866FDC"/>
    <w:rsid w:val="00867010"/>
    <w:rsid w:val="008675DB"/>
    <w:rsid w:val="00870084"/>
    <w:rsid w:val="00870E17"/>
    <w:rsid w:val="00871505"/>
    <w:rsid w:val="00871666"/>
    <w:rsid w:val="008718BD"/>
    <w:rsid w:val="00871A6C"/>
    <w:rsid w:val="008725A5"/>
    <w:rsid w:val="00872647"/>
    <w:rsid w:val="008727C5"/>
    <w:rsid w:val="00872A5C"/>
    <w:rsid w:val="00872A6F"/>
    <w:rsid w:val="00872ACA"/>
    <w:rsid w:val="00872BE2"/>
    <w:rsid w:val="008738FE"/>
    <w:rsid w:val="0087575D"/>
    <w:rsid w:val="00875CCB"/>
    <w:rsid w:val="00875DF1"/>
    <w:rsid w:val="008762FC"/>
    <w:rsid w:val="00876DD5"/>
    <w:rsid w:val="0087726F"/>
    <w:rsid w:val="008774D6"/>
    <w:rsid w:val="00880363"/>
    <w:rsid w:val="0088058E"/>
    <w:rsid w:val="008805DA"/>
    <w:rsid w:val="0088064A"/>
    <w:rsid w:val="008807B5"/>
    <w:rsid w:val="00880FEA"/>
    <w:rsid w:val="0088128C"/>
    <w:rsid w:val="00881430"/>
    <w:rsid w:val="0088144C"/>
    <w:rsid w:val="008816AF"/>
    <w:rsid w:val="00881E47"/>
    <w:rsid w:val="0088265C"/>
    <w:rsid w:val="00882E35"/>
    <w:rsid w:val="00883331"/>
    <w:rsid w:val="008833F3"/>
    <w:rsid w:val="00883852"/>
    <w:rsid w:val="008839DE"/>
    <w:rsid w:val="00883E8A"/>
    <w:rsid w:val="0088481A"/>
    <w:rsid w:val="00885960"/>
    <w:rsid w:val="00886802"/>
    <w:rsid w:val="008869EC"/>
    <w:rsid w:val="00886A83"/>
    <w:rsid w:val="00887862"/>
    <w:rsid w:val="00890C86"/>
    <w:rsid w:val="00890DEE"/>
    <w:rsid w:val="00890EA5"/>
    <w:rsid w:val="0089107B"/>
    <w:rsid w:val="0089136F"/>
    <w:rsid w:val="008913B9"/>
    <w:rsid w:val="00891443"/>
    <w:rsid w:val="00891A1B"/>
    <w:rsid w:val="00891A44"/>
    <w:rsid w:val="00891D61"/>
    <w:rsid w:val="00892B97"/>
    <w:rsid w:val="00892BD2"/>
    <w:rsid w:val="00893473"/>
    <w:rsid w:val="00893981"/>
    <w:rsid w:val="00893E83"/>
    <w:rsid w:val="0089425D"/>
    <w:rsid w:val="008947AC"/>
    <w:rsid w:val="00895C3E"/>
    <w:rsid w:val="00895D67"/>
    <w:rsid w:val="00895EB8"/>
    <w:rsid w:val="008964DC"/>
    <w:rsid w:val="0089737D"/>
    <w:rsid w:val="008974B2"/>
    <w:rsid w:val="00897793"/>
    <w:rsid w:val="008A1029"/>
    <w:rsid w:val="008A11FA"/>
    <w:rsid w:val="008A1632"/>
    <w:rsid w:val="008A210B"/>
    <w:rsid w:val="008A2316"/>
    <w:rsid w:val="008A2324"/>
    <w:rsid w:val="008A2385"/>
    <w:rsid w:val="008A265F"/>
    <w:rsid w:val="008A3D15"/>
    <w:rsid w:val="008A4030"/>
    <w:rsid w:val="008A4368"/>
    <w:rsid w:val="008A4790"/>
    <w:rsid w:val="008A4915"/>
    <w:rsid w:val="008A4977"/>
    <w:rsid w:val="008A4C55"/>
    <w:rsid w:val="008A4D97"/>
    <w:rsid w:val="008A552E"/>
    <w:rsid w:val="008A573C"/>
    <w:rsid w:val="008A60C6"/>
    <w:rsid w:val="008A65B3"/>
    <w:rsid w:val="008A6BBF"/>
    <w:rsid w:val="008A6F83"/>
    <w:rsid w:val="008A6FE1"/>
    <w:rsid w:val="008A7A1D"/>
    <w:rsid w:val="008A7F34"/>
    <w:rsid w:val="008B058E"/>
    <w:rsid w:val="008B05C3"/>
    <w:rsid w:val="008B1DDD"/>
    <w:rsid w:val="008B2257"/>
    <w:rsid w:val="008B2371"/>
    <w:rsid w:val="008B2DB7"/>
    <w:rsid w:val="008B3053"/>
    <w:rsid w:val="008B3D7B"/>
    <w:rsid w:val="008B455F"/>
    <w:rsid w:val="008B46CF"/>
    <w:rsid w:val="008B46D7"/>
    <w:rsid w:val="008B4781"/>
    <w:rsid w:val="008B4965"/>
    <w:rsid w:val="008B4CDE"/>
    <w:rsid w:val="008B536C"/>
    <w:rsid w:val="008B58F3"/>
    <w:rsid w:val="008B6813"/>
    <w:rsid w:val="008B6821"/>
    <w:rsid w:val="008B6C6B"/>
    <w:rsid w:val="008B788D"/>
    <w:rsid w:val="008B78B1"/>
    <w:rsid w:val="008B7AC8"/>
    <w:rsid w:val="008B7FE8"/>
    <w:rsid w:val="008C00EE"/>
    <w:rsid w:val="008C0639"/>
    <w:rsid w:val="008C0893"/>
    <w:rsid w:val="008C11D8"/>
    <w:rsid w:val="008C1CCF"/>
    <w:rsid w:val="008C1D93"/>
    <w:rsid w:val="008C2A8E"/>
    <w:rsid w:val="008C2B2D"/>
    <w:rsid w:val="008C2C8F"/>
    <w:rsid w:val="008C3C5F"/>
    <w:rsid w:val="008C4591"/>
    <w:rsid w:val="008C49C6"/>
    <w:rsid w:val="008C4D6E"/>
    <w:rsid w:val="008C4DD4"/>
    <w:rsid w:val="008C536A"/>
    <w:rsid w:val="008C53D5"/>
    <w:rsid w:val="008C5558"/>
    <w:rsid w:val="008C5C91"/>
    <w:rsid w:val="008C682A"/>
    <w:rsid w:val="008C6E55"/>
    <w:rsid w:val="008C713C"/>
    <w:rsid w:val="008C724D"/>
    <w:rsid w:val="008D0B22"/>
    <w:rsid w:val="008D0E9F"/>
    <w:rsid w:val="008D19FD"/>
    <w:rsid w:val="008D1A2B"/>
    <w:rsid w:val="008D1ABD"/>
    <w:rsid w:val="008D210B"/>
    <w:rsid w:val="008D2291"/>
    <w:rsid w:val="008D243E"/>
    <w:rsid w:val="008D286B"/>
    <w:rsid w:val="008D29EF"/>
    <w:rsid w:val="008D2A9B"/>
    <w:rsid w:val="008D2B5C"/>
    <w:rsid w:val="008D35AF"/>
    <w:rsid w:val="008D3898"/>
    <w:rsid w:val="008D3A0D"/>
    <w:rsid w:val="008D41AE"/>
    <w:rsid w:val="008D44D0"/>
    <w:rsid w:val="008D482B"/>
    <w:rsid w:val="008D4A58"/>
    <w:rsid w:val="008D6D3F"/>
    <w:rsid w:val="008D6F5C"/>
    <w:rsid w:val="008E053A"/>
    <w:rsid w:val="008E12CD"/>
    <w:rsid w:val="008E12CE"/>
    <w:rsid w:val="008E15B4"/>
    <w:rsid w:val="008E20C9"/>
    <w:rsid w:val="008E25D6"/>
    <w:rsid w:val="008E2775"/>
    <w:rsid w:val="008E2B4F"/>
    <w:rsid w:val="008E2DD6"/>
    <w:rsid w:val="008E3129"/>
    <w:rsid w:val="008E312F"/>
    <w:rsid w:val="008E3E9E"/>
    <w:rsid w:val="008E3F49"/>
    <w:rsid w:val="008E4A95"/>
    <w:rsid w:val="008E4C83"/>
    <w:rsid w:val="008E4FE8"/>
    <w:rsid w:val="008E590B"/>
    <w:rsid w:val="008E59E7"/>
    <w:rsid w:val="008E638F"/>
    <w:rsid w:val="008E6B2E"/>
    <w:rsid w:val="008E6E20"/>
    <w:rsid w:val="008E74C9"/>
    <w:rsid w:val="008E7A8F"/>
    <w:rsid w:val="008E7BD4"/>
    <w:rsid w:val="008E7D39"/>
    <w:rsid w:val="008F05E6"/>
    <w:rsid w:val="008F0A95"/>
    <w:rsid w:val="008F0F94"/>
    <w:rsid w:val="008F10CB"/>
    <w:rsid w:val="008F122A"/>
    <w:rsid w:val="008F14BB"/>
    <w:rsid w:val="008F1C5E"/>
    <w:rsid w:val="008F1CF6"/>
    <w:rsid w:val="008F233E"/>
    <w:rsid w:val="008F2E16"/>
    <w:rsid w:val="008F3BA0"/>
    <w:rsid w:val="008F3C81"/>
    <w:rsid w:val="008F404B"/>
    <w:rsid w:val="008F43A3"/>
    <w:rsid w:val="008F46A5"/>
    <w:rsid w:val="008F4859"/>
    <w:rsid w:val="008F4BE1"/>
    <w:rsid w:val="008F4CCF"/>
    <w:rsid w:val="008F567D"/>
    <w:rsid w:val="008F6884"/>
    <w:rsid w:val="008F6A32"/>
    <w:rsid w:val="008F6C9D"/>
    <w:rsid w:val="008F6F1A"/>
    <w:rsid w:val="008F72A1"/>
    <w:rsid w:val="008F7363"/>
    <w:rsid w:val="008F74F2"/>
    <w:rsid w:val="008F7897"/>
    <w:rsid w:val="008F7AC1"/>
    <w:rsid w:val="00901030"/>
    <w:rsid w:val="0090107D"/>
    <w:rsid w:val="0090137A"/>
    <w:rsid w:val="00901AB2"/>
    <w:rsid w:val="0090232E"/>
    <w:rsid w:val="0090314D"/>
    <w:rsid w:val="00903195"/>
    <w:rsid w:val="00903370"/>
    <w:rsid w:val="00903C72"/>
    <w:rsid w:val="009045CF"/>
    <w:rsid w:val="00904EC5"/>
    <w:rsid w:val="009053EB"/>
    <w:rsid w:val="00905E34"/>
    <w:rsid w:val="00906D39"/>
    <w:rsid w:val="009104D2"/>
    <w:rsid w:val="00911288"/>
    <w:rsid w:val="009112C7"/>
    <w:rsid w:val="00911790"/>
    <w:rsid w:val="00911CBD"/>
    <w:rsid w:val="00912728"/>
    <w:rsid w:val="009129E7"/>
    <w:rsid w:val="0091331B"/>
    <w:rsid w:val="0091349A"/>
    <w:rsid w:val="009134FF"/>
    <w:rsid w:val="00913FDB"/>
    <w:rsid w:val="00914399"/>
    <w:rsid w:val="00914460"/>
    <w:rsid w:val="009148D9"/>
    <w:rsid w:val="00915046"/>
    <w:rsid w:val="0091530C"/>
    <w:rsid w:val="0091542C"/>
    <w:rsid w:val="009158BF"/>
    <w:rsid w:val="00915930"/>
    <w:rsid w:val="00916530"/>
    <w:rsid w:val="009166A1"/>
    <w:rsid w:val="00916B71"/>
    <w:rsid w:val="00916CFC"/>
    <w:rsid w:val="00921135"/>
    <w:rsid w:val="009216C4"/>
    <w:rsid w:val="009220E9"/>
    <w:rsid w:val="0092236D"/>
    <w:rsid w:val="0092288A"/>
    <w:rsid w:val="00922EA2"/>
    <w:rsid w:val="00922F96"/>
    <w:rsid w:val="00923631"/>
    <w:rsid w:val="00923A81"/>
    <w:rsid w:val="00924441"/>
    <w:rsid w:val="009246D1"/>
    <w:rsid w:val="00924AB1"/>
    <w:rsid w:val="00924AC8"/>
    <w:rsid w:val="00924D9E"/>
    <w:rsid w:val="00925EE5"/>
    <w:rsid w:val="009265E1"/>
    <w:rsid w:val="00927AB7"/>
    <w:rsid w:val="00927C7A"/>
    <w:rsid w:val="00927E8B"/>
    <w:rsid w:val="00930302"/>
    <w:rsid w:val="0093090F"/>
    <w:rsid w:val="00931031"/>
    <w:rsid w:val="00931369"/>
    <w:rsid w:val="00932006"/>
    <w:rsid w:val="00932B54"/>
    <w:rsid w:val="009334AD"/>
    <w:rsid w:val="00933DE1"/>
    <w:rsid w:val="00933E08"/>
    <w:rsid w:val="009342FC"/>
    <w:rsid w:val="00934428"/>
    <w:rsid w:val="00934996"/>
    <w:rsid w:val="00934A22"/>
    <w:rsid w:val="00934B8D"/>
    <w:rsid w:val="00935149"/>
    <w:rsid w:val="00935DDE"/>
    <w:rsid w:val="00936068"/>
    <w:rsid w:val="0093629E"/>
    <w:rsid w:val="0093629F"/>
    <w:rsid w:val="0093647C"/>
    <w:rsid w:val="009369AD"/>
    <w:rsid w:val="00936CA4"/>
    <w:rsid w:val="009372E8"/>
    <w:rsid w:val="009374C1"/>
    <w:rsid w:val="00937ACB"/>
    <w:rsid w:val="00940B88"/>
    <w:rsid w:val="00942AC7"/>
    <w:rsid w:val="0094332D"/>
    <w:rsid w:val="00943806"/>
    <w:rsid w:val="00943C5B"/>
    <w:rsid w:val="00944146"/>
    <w:rsid w:val="00944553"/>
    <w:rsid w:val="00944E8B"/>
    <w:rsid w:val="00944FF0"/>
    <w:rsid w:val="00945A11"/>
    <w:rsid w:val="00946351"/>
    <w:rsid w:val="0094639F"/>
    <w:rsid w:val="0094686D"/>
    <w:rsid w:val="00946CBC"/>
    <w:rsid w:val="0094737A"/>
    <w:rsid w:val="009474D2"/>
    <w:rsid w:val="009477B3"/>
    <w:rsid w:val="00947858"/>
    <w:rsid w:val="009502AC"/>
    <w:rsid w:val="00950480"/>
    <w:rsid w:val="00950819"/>
    <w:rsid w:val="0095122F"/>
    <w:rsid w:val="0095140D"/>
    <w:rsid w:val="00951515"/>
    <w:rsid w:val="00951767"/>
    <w:rsid w:val="009517CC"/>
    <w:rsid w:val="0095186F"/>
    <w:rsid w:val="009518AE"/>
    <w:rsid w:val="009522EC"/>
    <w:rsid w:val="00952873"/>
    <w:rsid w:val="009529E2"/>
    <w:rsid w:val="00953107"/>
    <w:rsid w:val="009531D5"/>
    <w:rsid w:val="0095338B"/>
    <w:rsid w:val="00953684"/>
    <w:rsid w:val="00953714"/>
    <w:rsid w:val="00953B2E"/>
    <w:rsid w:val="00953B94"/>
    <w:rsid w:val="00954C32"/>
    <w:rsid w:val="00954ECB"/>
    <w:rsid w:val="0095516D"/>
    <w:rsid w:val="009553A1"/>
    <w:rsid w:val="00955789"/>
    <w:rsid w:val="009558A1"/>
    <w:rsid w:val="00955D1A"/>
    <w:rsid w:val="00956101"/>
    <w:rsid w:val="009568D9"/>
    <w:rsid w:val="0095772B"/>
    <w:rsid w:val="00957AB7"/>
    <w:rsid w:val="00957BCF"/>
    <w:rsid w:val="00960483"/>
    <w:rsid w:val="00960D76"/>
    <w:rsid w:val="009615D4"/>
    <w:rsid w:val="0096166D"/>
    <w:rsid w:val="0096190F"/>
    <w:rsid w:val="0096282D"/>
    <w:rsid w:val="00962847"/>
    <w:rsid w:val="00962905"/>
    <w:rsid w:val="00962C66"/>
    <w:rsid w:val="00962F7C"/>
    <w:rsid w:val="009631A0"/>
    <w:rsid w:val="00963242"/>
    <w:rsid w:val="00963417"/>
    <w:rsid w:val="009636EF"/>
    <w:rsid w:val="00963772"/>
    <w:rsid w:val="009639D1"/>
    <w:rsid w:val="00964699"/>
    <w:rsid w:val="009646E4"/>
    <w:rsid w:val="009648A1"/>
    <w:rsid w:val="00964A57"/>
    <w:rsid w:val="00964CDC"/>
    <w:rsid w:val="009650A6"/>
    <w:rsid w:val="009650CF"/>
    <w:rsid w:val="009653C2"/>
    <w:rsid w:val="009664CB"/>
    <w:rsid w:val="009664E5"/>
    <w:rsid w:val="0096651C"/>
    <w:rsid w:val="0096696C"/>
    <w:rsid w:val="00967D69"/>
    <w:rsid w:val="00967E11"/>
    <w:rsid w:val="00967FFA"/>
    <w:rsid w:val="009709C0"/>
    <w:rsid w:val="00970A20"/>
    <w:rsid w:val="00971400"/>
    <w:rsid w:val="0097163D"/>
    <w:rsid w:val="00971E3D"/>
    <w:rsid w:val="00971F14"/>
    <w:rsid w:val="009721F8"/>
    <w:rsid w:val="009741AC"/>
    <w:rsid w:val="00974574"/>
    <w:rsid w:val="00974677"/>
    <w:rsid w:val="00974AB9"/>
    <w:rsid w:val="00974E60"/>
    <w:rsid w:val="009750E6"/>
    <w:rsid w:val="0097522F"/>
    <w:rsid w:val="00976023"/>
    <w:rsid w:val="00976277"/>
    <w:rsid w:val="00976C2B"/>
    <w:rsid w:val="00976CE5"/>
    <w:rsid w:val="00976E57"/>
    <w:rsid w:val="00977BCB"/>
    <w:rsid w:val="00977E50"/>
    <w:rsid w:val="0098005B"/>
    <w:rsid w:val="00980081"/>
    <w:rsid w:val="00980461"/>
    <w:rsid w:val="0098068F"/>
    <w:rsid w:val="009806F2"/>
    <w:rsid w:val="0098076E"/>
    <w:rsid w:val="00980A63"/>
    <w:rsid w:val="00980B14"/>
    <w:rsid w:val="00980E39"/>
    <w:rsid w:val="009815C7"/>
    <w:rsid w:val="0098196D"/>
    <w:rsid w:val="00981F7A"/>
    <w:rsid w:val="00982077"/>
    <w:rsid w:val="00982772"/>
    <w:rsid w:val="00982D6D"/>
    <w:rsid w:val="00982DD8"/>
    <w:rsid w:val="0098313D"/>
    <w:rsid w:val="00983209"/>
    <w:rsid w:val="009833B3"/>
    <w:rsid w:val="00983583"/>
    <w:rsid w:val="0098389F"/>
    <w:rsid w:val="009838F4"/>
    <w:rsid w:val="00983BFA"/>
    <w:rsid w:val="00984DF7"/>
    <w:rsid w:val="00985727"/>
    <w:rsid w:val="00985A1A"/>
    <w:rsid w:val="00985C1E"/>
    <w:rsid w:val="00985C7C"/>
    <w:rsid w:val="009860CD"/>
    <w:rsid w:val="00986236"/>
    <w:rsid w:val="00986450"/>
    <w:rsid w:val="009864AF"/>
    <w:rsid w:val="00986F32"/>
    <w:rsid w:val="009872ED"/>
    <w:rsid w:val="009901F4"/>
    <w:rsid w:val="00990801"/>
    <w:rsid w:val="00990854"/>
    <w:rsid w:val="00990A64"/>
    <w:rsid w:val="00990F14"/>
    <w:rsid w:val="00991212"/>
    <w:rsid w:val="0099138E"/>
    <w:rsid w:val="009913D8"/>
    <w:rsid w:val="00992529"/>
    <w:rsid w:val="009925DC"/>
    <w:rsid w:val="009926C4"/>
    <w:rsid w:val="00992750"/>
    <w:rsid w:val="00992B1D"/>
    <w:rsid w:val="00992F0E"/>
    <w:rsid w:val="00992F68"/>
    <w:rsid w:val="00993A48"/>
    <w:rsid w:val="00993D76"/>
    <w:rsid w:val="009943FB"/>
    <w:rsid w:val="00994B2D"/>
    <w:rsid w:val="00994C99"/>
    <w:rsid w:val="00994FF4"/>
    <w:rsid w:val="00995AB2"/>
    <w:rsid w:val="009961C1"/>
    <w:rsid w:val="009969C3"/>
    <w:rsid w:val="00996A29"/>
    <w:rsid w:val="00996EDF"/>
    <w:rsid w:val="009976B5"/>
    <w:rsid w:val="00997BA1"/>
    <w:rsid w:val="00997CB0"/>
    <w:rsid w:val="009A059F"/>
    <w:rsid w:val="009A09C7"/>
    <w:rsid w:val="009A0E39"/>
    <w:rsid w:val="009A0F1D"/>
    <w:rsid w:val="009A1EA9"/>
    <w:rsid w:val="009A2181"/>
    <w:rsid w:val="009A23E5"/>
    <w:rsid w:val="009A2F17"/>
    <w:rsid w:val="009A348C"/>
    <w:rsid w:val="009A3ABA"/>
    <w:rsid w:val="009A3B0B"/>
    <w:rsid w:val="009A3C2B"/>
    <w:rsid w:val="009A5509"/>
    <w:rsid w:val="009A568E"/>
    <w:rsid w:val="009A56F2"/>
    <w:rsid w:val="009A7B43"/>
    <w:rsid w:val="009A7CB6"/>
    <w:rsid w:val="009A7E29"/>
    <w:rsid w:val="009B06D7"/>
    <w:rsid w:val="009B11F0"/>
    <w:rsid w:val="009B1224"/>
    <w:rsid w:val="009B17E1"/>
    <w:rsid w:val="009B235C"/>
    <w:rsid w:val="009B27CD"/>
    <w:rsid w:val="009B3AAB"/>
    <w:rsid w:val="009B40B5"/>
    <w:rsid w:val="009B41C7"/>
    <w:rsid w:val="009B43A6"/>
    <w:rsid w:val="009B4D9E"/>
    <w:rsid w:val="009B5A68"/>
    <w:rsid w:val="009B5E97"/>
    <w:rsid w:val="009B61A5"/>
    <w:rsid w:val="009B6371"/>
    <w:rsid w:val="009B6EA5"/>
    <w:rsid w:val="009B7A4D"/>
    <w:rsid w:val="009B7B3A"/>
    <w:rsid w:val="009B7CB3"/>
    <w:rsid w:val="009C000A"/>
    <w:rsid w:val="009C0F4D"/>
    <w:rsid w:val="009C0FD0"/>
    <w:rsid w:val="009C1362"/>
    <w:rsid w:val="009C1501"/>
    <w:rsid w:val="009C17B7"/>
    <w:rsid w:val="009C1B91"/>
    <w:rsid w:val="009C2A1D"/>
    <w:rsid w:val="009C2A46"/>
    <w:rsid w:val="009C2B3A"/>
    <w:rsid w:val="009C389F"/>
    <w:rsid w:val="009C3B30"/>
    <w:rsid w:val="009C3DD3"/>
    <w:rsid w:val="009C54DE"/>
    <w:rsid w:val="009C585A"/>
    <w:rsid w:val="009C6075"/>
    <w:rsid w:val="009C6370"/>
    <w:rsid w:val="009C6456"/>
    <w:rsid w:val="009C6472"/>
    <w:rsid w:val="009C6A6D"/>
    <w:rsid w:val="009D0267"/>
    <w:rsid w:val="009D0283"/>
    <w:rsid w:val="009D030D"/>
    <w:rsid w:val="009D0744"/>
    <w:rsid w:val="009D0F2B"/>
    <w:rsid w:val="009D127B"/>
    <w:rsid w:val="009D198C"/>
    <w:rsid w:val="009D1B63"/>
    <w:rsid w:val="009D2430"/>
    <w:rsid w:val="009D24C0"/>
    <w:rsid w:val="009D24F5"/>
    <w:rsid w:val="009D2827"/>
    <w:rsid w:val="009D2A0B"/>
    <w:rsid w:val="009D3697"/>
    <w:rsid w:val="009D3BFC"/>
    <w:rsid w:val="009D45E4"/>
    <w:rsid w:val="009D5572"/>
    <w:rsid w:val="009D5A8D"/>
    <w:rsid w:val="009D5F9F"/>
    <w:rsid w:val="009D63EA"/>
    <w:rsid w:val="009D7847"/>
    <w:rsid w:val="009D7ADD"/>
    <w:rsid w:val="009D7FBE"/>
    <w:rsid w:val="009E002B"/>
    <w:rsid w:val="009E08FF"/>
    <w:rsid w:val="009E0BB5"/>
    <w:rsid w:val="009E10EE"/>
    <w:rsid w:val="009E17A2"/>
    <w:rsid w:val="009E19A3"/>
    <w:rsid w:val="009E2329"/>
    <w:rsid w:val="009E2A34"/>
    <w:rsid w:val="009E2BF5"/>
    <w:rsid w:val="009E40A0"/>
    <w:rsid w:val="009E42D1"/>
    <w:rsid w:val="009E4309"/>
    <w:rsid w:val="009E48CC"/>
    <w:rsid w:val="009E4D45"/>
    <w:rsid w:val="009E4DC0"/>
    <w:rsid w:val="009E50FB"/>
    <w:rsid w:val="009E5A7B"/>
    <w:rsid w:val="009E62B6"/>
    <w:rsid w:val="009E691F"/>
    <w:rsid w:val="009E6ECD"/>
    <w:rsid w:val="009E760A"/>
    <w:rsid w:val="009E7A69"/>
    <w:rsid w:val="009E7AFF"/>
    <w:rsid w:val="009F0212"/>
    <w:rsid w:val="009F1240"/>
    <w:rsid w:val="009F1AD0"/>
    <w:rsid w:val="009F1C51"/>
    <w:rsid w:val="009F1D48"/>
    <w:rsid w:val="009F2218"/>
    <w:rsid w:val="009F2A00"/>
    <w:rsid w:val="009F3E9A"/>
    <w:rsid w:val="009F3ED5"/>
    <w:rsid w:val="009F4DD7"/>
    <w:rsid w:val="009F4EC4"/>
    <w:rsid w:val="009F53C5"/>
    <w:rsid w:val="009F5695"/>
    <w:rsid w:val="009F57FB"/>
    <w:rsid w:val="009F595F"/>
    <w:rsid w:val="009F5C05"/>
    <w:rsid w:val="009F5D13"/>
    <w:rsid w:val="009F5F5D"/>
    <w:rsid w:val="009F6471"/>
    <w:rsid w:val="009F740A"/>
    <w:rsid w:val="009F7451"/>
    <w:rsid w:val="009F7E8B"/>
    <w:rsid w:val="009F7F14"/>
    <w:rsid w:val="00A000E2"/>
    <w:rsid w:val="00A00453"/>
    <w:rsid w:val="00A00FD1"/>
    <w:rsid w:val="00A01BCB"/>
    <w:rsid w:val="00A02A0B"/>
    <w:rsid w:val="00A02BD3"/>
    <w:rsid w:val="00A02C2C"/>
    <w:rsid w:val="00A02DC2"/>
    <w:rsid w:val="00A02FFE"/>
    <w:rsid w:val="00A03458"/>
    <w:rsid w:val="00A03526"/>
    <w:rsid w:val="00A03636"/>
    <w:rsid w:val="00A03B91"/>
    <w:rsid w:val="00A046D2"/>
    <w:rsid w:val="00A048F6"/>
    <w:rsid w:val="00A04C12"/>
    <w:rsid w:val="00A04FD8"/>
    <w:rsid w:val="00A06569"/>
    <w:rsid w:val="00A06901"/>
    <w:rsid w:val="00A070D9"/>
    <w:rsid w:val="00A0715C"/>
    <w:rsid w:val="00A07206"/>
    <w:rsid w:val="00A0757A"/>
    <w:rsid w:val="00A075A1"/>
    <w:rsid w:val="00A076BB"/>
    <w:rsid w:val="00A07ECF"/>
    <w:rsid w:val="00A104A7"/>
    <w:rsid w:val="00A104CD"/>
    <w:rsid w:val="00A10820"/>
    <w:rsid w:val="00A1084E"/>
    <w:rsid w:val="00A10B09"/>
    <w:rsid w:val="00A10F64"/>
    <w:rsid w:val="00A11606"/>
    <w:rsid w:val="00A122DC"/>
    <w:rsid w:val="00A125C0"/>
    <w:rsid w:val="00A128B7"/>
    <w:rsid w:val="00A13664"/>
    <w:rsid w:val="00A142B2"/>
    <w:rsid w:val="00A1445F"/>
    <w:rsid w:val="00A146B1"/>
    <w:rsid w:val="00A14C97"/>
    <w:rsid w:val="00A165C8"/>
    <w:rsid w:val="00A16D69"/>
    <w:rsid w:val="00A170BE"/>
    <w:rsid w:val="00A17201"/>
    <w:rsid w:val="00A17236"/>
    <w:rsid w:val="00A17454"/>
    <w:rsid w:val="00A178FD"/>
    <w:rsid w:val="00A202FF"/>
    <w:rsid w:val="00A20DA2"/>
    <w:rsid w:val="00A2137E"/>
    <w:rsid w:val="00A2183B"/>
    <w:rsid w:val="00A228FF"/>
    <w:rsid w:val="00A2306A"/>
    <w:rsid w:val="00A23162"/>
    <w:rsid w:val="00A236DA"/>
    <w:rsid w:val="00A23936"/>
    <w:rsid w:val="00A2482F"/>
    <w:rsid w:val="00A2556E"/>
    <w:rsid w:val="00A2566D"/>
    <w:rsid w:val="00A27299"/>
    <w:rsid w:val="00A272C2"/>
    <w:rsid w:val="00A27959"/>
    <w:rsid w:val="00A27EA4"/>
    <w:rsid w:val="00A27F5F"/>
    <w:rsid w:val="00A30608"/>
    <w:rsid w:val="00A30667"/>
    <w:rsid w:val="00A30C8E"/>
    <w:rsid w:val="00A3162A"/>
    <w:rsid w:val="00A317AE"/>
    <w:rsid w:val="00A318EF"/>
    <w:rsid w:val="00A31955"/>
    <w:rsid w:val="00A31F63"/>
    <w:rsid w:val="00A326BE"/>
    <w:rsid w:val="00A32870"/>
    <w:rsid w:val="00A32B90"/>
    <w:rsid w:val="00A33350"/>
    <w:rsid w:val="00A33C36"/>
    <w:rsid w:val="00A3402A"/>
    <w:rsid w:val="00A34030"/>
    <w:rsid w:val="00A349F8"/>
    <w:rsid w:val="00A34C37"/>
    <w:rsid w:val="00A35719"/>
    <w:rsid w:val="00A357ED"/>
    <w:rsid w:val="00A35912"/>
    <w:rsid w:val="00A35FBF"/>
    <w:rsid w:val="00A3657F"/>
    <w:rsid w:val="00A36F29"/>
    <w:rsid w:val="00A37715"/>
    <w:rsid w:val="00A3799E"/>
    <w:rsid w:val="00A37D2A"/>
    <w:rsid w:val="00A40814"/>
    <w:rsid w:val="00A40C0D"/>
    <w:rsid w:val="00A41659"/>
    <w:rsid w:val="00A416AD"/>
    <w:rsid w:val="00A42460"/>
    <w:rsid w:val="00A42B6C"/>
    <w:rsid w:val="00A42E8D"/>
    <w:rsid w:val="00A43088"/>
    <w:rsid w:val="00A43A53"/>
    <w:rsid w:val="00A43F7D"/>
    <w:rsid w:val="00A44A8F"/>
    <w:rsid w:val="00A45AE2"/>
    <w:rsid w:val="00A45B33"/>
    <w:rsid w:val="00A45C7F"/>
    <w:rsid w:val="00A45F13"/>
    <w:rsid w:val="00A46701"/>
    <w:rsid w:val="00A46977"/>
    <w:rsid w:val="00A471AE"/>
    <w:rsid w:val="00A474F5"/>
    <w:rsid w:val="00A47521"/>
    <w:rsid w:val="00A47AF4"/>
    <w:rsid w:val="00A50CD9"/>
    <w:rsid w:val="00A51374"/>
    <w:rsid w:val="00A5198A"/>
    <w:rsid w:val="00A52F0A"/>
    <w:rsid w:val="00A53106"/>
    <w:rsid w:val="00A5326F"/>
    <w:rsid w:val="00A53CEF"/>
    <w:rsid w:val="00A53F3D"/>
    <w:rsid w:val="00A54443"/>
    <w:rsid w:val="00A54578"/>
    <w:rsid w:val="00A54CE3"/>
    <w:rsid w:val="00A54CF0"/>
    <w:rsid w:val="00A5529A"/>
    <w:rsid w:val="00A56022"/>
    <w:rsid w:val="00A563DE"/>
    <w:rsid w:val="00A56EA5"/>
    <w:rsid w:val="00A5703F"/>
    <w:rsid w:val="00A5741B"/>
    <w:rsid w:val="00A57534"/>
    <w:rsid w:val="00A576C8"/>
    <w:rsid w:val="00A57FF0"/>
    <w:rsid w:val="00A601F0"/>
    <w:rsid w:val="00A6081B"/>
    <w:rsid w:val="00A60A6A"/>
    <w:rsid w:val="00A60AD6"/>
    <w:rsid w:val="00A61108"/>
    <w:rsid w:val="00A611BF"/>
    <w:rsid w:val="00A62AA3"/>
    <w:rsid w:val="00A62B7D"/>
    <w:rsid w:val="00A63045"/>
    <w:rsid w:val="00A63A32"/>
    <w:rsid w:val="00A63B80"/>
    <w:rsid w:val="00A63B87"/>
    <w:rsid w:val="00A63D8F"/>
    <w:rsid w:val="00A64035"/>
    <w:rsid w:val="00A6411A"/>
    <w:rsid w:val="00A6430D"/>
    <w:rsid w:val="00A64584"/>
    <w:rsid w:val="00A6475B"/>
    <w:rsid w:val="00A64A63"/>
    <w:rsid w:val="00A64BB6"/>
    <w:rsid w:val="00A64E5B"/>
    <w:rsid w:val="00A654C7"/>
    <w:rsid w:val="00A65DCB"/>
    <w:rsid w:val="00A66223"/>
    <w:rsid w:val="00A66A42"/>
    <w:rsid w:val="00A66AED"/>
    <w:rsid w:val="00A676AC"/>
    <w:rsid w:val="00A676EA"/>
    <w:rsid w:val="00A679EA"/>
    <w:rsid w:val="00A67B8C"/>
    <w:rsid w:val="00A70CB8"/>
    <w:rsid w:val="00A71AC3"/>
    <w:rsid w:val="00A72AA9"/>
    <w:rsid w:val="00A72E09"/>
    <w:rsid w:val="00A737D9"/>
    <w:rsid w:val="00A73D5C"/>
    <w:rsid w:val="00A7413B"/>
    <w:rsid w:val="00A749D5"/>
    <w:rsid w:val="00A75217"/>
    <w:rsid w:val="00A75DCB"/>
    <w:rsid w:val="00A762BE"/>
    <w:rsid w:val="00A7655A"/>
    <w:rsid w:val="00A76814"/>
    <w:rsid w:val="00A76E4C"/>
    <w:rsid w:val="00A76E89"/>
    <w:rsid w:val="00A7700A"/>
    <w:rsid w:val="00A77958"/>
    <w:rsid w:val="00A77ABF"/>
    <w:rsid w:val="00A77CFC"/>
    <w:rsid w:val="00A8042A"/>
    <w:rsid w:val="00A80459"/>
    <w:rsid w:val="00A80BE7"/>
    <w:rsid w:val="00A812EC"/>
    <w:rsid w:val="00A81516"/>
    <w:rsid w:val="00A8183A"/>
    <w:rsid w:val="00A81A4B"/>
    <w:rsid w:val="00A81B13"/>
    <w:rsid w:val="00A81B5D"/>
    <w:rsid w:val="00A825CE"/>
    <w:rsid w:val="00A82BB9"/>
    <w:rsid w:val="00A82DF7"/>
    <w:rsid w:val="00A8330C"/>
    <w:rsid w:val="00A8339C"/>
    <w:rsid w:val="00A834DD"/>
    <w:rsid w:val="00A837B7"/>
    <w:rsid w:val="00A84298"/>
    <w:rsid w:val="00A84669"/>
    <w:rsid w:val="00A8473B"/>
    <w:rsid w:val="00A847E6"/>
    <w:rsid w:val="00A84A9B"/>
    <w:rsid w:val="00A8502E"/>
    <w:rsid w:val="00A85104"/>
    <w:rsid w:val="00A854CA"/>
    <w:rsid w:val="00A86051"/>
    <w:rsid w:val="00A860A3"/>
    <w:rsid w:val="00A8625F"/>
    <w:rsid w:val="00A86931"/>
    <w:rsid w:val="00A8770C"/>
    <w:rsid w:val="00A878FF"/>
    <w:rsid w:val="00A87AB4"/>
    <w:rsid w:val="00A87BF5"/>
    <w:rsid w:val="00A87DEC"/>
    <w:rsid w:val="00A90151"/>
    <w:rsid w:val="00A90256"/>
    <w:rsid w:val="00A903D0"/>
    <w:rsid w:val="00A90469"/>
    <w:rsid w:val="00A909A5"/>
    <w:rsid w:val="00A90D53"/>
    <w:rsid w:val="00A90DA9"/>
    <w:rsid w:val="00A910B3"/>
    <w:rsid w:val="00A92F71"/>
    <w:rsid w:val="00A92F91"/>
    <w:rsid w:val="00A93501"/>
    <w:rsid w:val="00A9359B"/>
    <w:rsid w:val="00A94165"/>
    <w:rsid w:val="00A94BBF"/>
    <w:rsid w:val="00A9545C"/>
    <w:rsid w:val="00A955BC"/>
    <w:rsid w:val="00A95621"/>
    <w:rsid w:val="00A9575B"/>
    <w:rsid w:val="00A95DB4"/>
    <w:rsid w:val="00A96034"/>
    <w:rsid w:val="00A965B3"/>
    <w:rsid w:val="00A966A6"/>
    <w:rsid w:val="00A96788"/>
    <w:rsid w:val="00A96C2D"/>
    <w:rsid w:val="00A970A6"/>
    <w:rsid w:val="00AA0438"/>
    <w:rsid w:val="00AA121F"/>
    <w:rsid w:val="00AA163B"/>
    <w:rsid w:val="00AA1997"/>
    <w:rsid w:val="00AA1A52"/>
    <w:rsid w:val="00AA1B1B"/>
    <w:rsid w:val="00AA1BE2"/>
    <w:rsid w:val="00AA1FED"/>
    <w:rsid w:val="00AA22D7"/>
    <w:rsid w:val="00AA3569"/>
    <w:rsid w:val="00AA42A5"/>
    <w:rsid w:val="00AA4758"/>
    <w:rsid w:val="00AA4CBB"/>
    <w:rsid w:val="00AA4FCD"/>
    <w:rsid w:val="00AA59FD"/>
    <w:rsid w:val="00AA6493"/>
    <w:rsid w:val="00AA68C7"/>
    <w:rsid w:val="00AA68F0"/>
    <w:rsid w:val="00AB02D6"/>
    <w:rsid w:val="00AB05A8"/>
    <w:rsid w:val="00AB0704"/>
    <w:rsid w:val="00AB0710"/>
    <w:rsid w:val="00AB08FC"/>
    <w:rsid w:val="00AB0FF5"/>
    <w:rsid w:val="00AB10F4"/>
    <w:rsid w:val="00AB111A"/>
    <w:rsid w:val="00AB1B32"/>
    <w:rsid w:val="00AB1FCF"/>
    <w:rsid w:val="00AB2D17"/>
    <w:rsid w:val="00AB2D7F"/>
    <w:rsid w:val="00AB34AD"/>
    <w:rsid w:val="00AB3B79"/>
    <w:rsid w:val="00AB401A"/>
    <w:rsid w:val="00AB46E2"/>
    <w:rsid w:val="00AB4803"/>
    <w:rsid w:val="00AB4957"/>
    <w:rsid w:val="00AB49DB"/>
    <w:rsid w:val="00AB4C22"/>
    <w:rsid w:val="00AB62C3"/>
    <w:rsid w:val="00AB6BED"/>
    <w:rsid w:val="00AB7402"/>
    <w:rsid w:val="00AB74BA"/>
    <w:rsid w:val="00AB79C6"/>
    <w:rsid w:val="00AC0232"/>
    <w:rsid w:val="00AC0940"/>
    <w:rsid w:val="00AC16DE"/>
    <w:rsid w:val="00AC1A80"/>
    <w:rsid w:val="00AC1D35"/>
    <w:rsid w:val="00AC1D91"/>
    <w:rsid w:val="00AC20E0"/>
    <w:rsid w:val="00AC2359"/>
    <w:rsid w:val="00AC2786"/>
    <w:rsid w:val="00AC2997"/>
    <w:rsid w:val="00AC3076"/>
    <w:rsid w:val="00AC3348"/>
    <w:rsid w:val="00AC3392"/>
    <w:rsid w:val="00AC384C"/>
    <w:rsid w:val="00AC391D"/>
    <w:rsid w:val="00AC3F4A"/>
    <w:rsid w:val="00AC40BC"/>
    <w:rsid w:val="00AC4B27"/>
    <w:rsid w:val="00AC4F65"/>
    <w:rsid w:val="00AC4F7C"/>
    <w:rsid w:val="00AC587D"/>
    <w:rsid w:val="00AC5B47"/>
    <w:rsid w:val="00AC5D6F"/>
    <w:rsid w:val="00AC666A"/>
    <w:rsid w:val="00AC69E0"/>
    <w:rsid w:val="00AC6CA7"/>
    <w:rsid w:val="00AC6F6E"/>
    <w:rsid w:val="00AC72D9"/>
    <w:rsid w:val="00AC79AC"/>
    <w:rsid w:val="00AC7ADE"/>
    <w:rsid w:val="00AC7DCB"/>
    <w:rsid w:val="00AC7E07"/>
    <w:rsid w:val="00AD01AD"/>
    <w:rsid w:val="00AD04BB"/>
    <w:rsid w:val="00AD0756"/>
    <w:rsid w:val="00AD0840"/>
    <w:rsid w:val="00AD0E7D"/>
    <w:rsid w:val="00AD0FCB"/>
    <w:rsid w:val="00AD1450"/>
    <w:rsid w:val="00AD14DB"/>
    <w:rsid w:val="00AD155C"/>
    <w:rsid w:val="00AD1AA2"/>
    <w:rsid w:val="00AD206E"/>
    <w:rsid w:val="00AD2326"/>
    <w:rsid w:val="00AD2C00"/>
    <w:rsid w:val="00AD2D39"/>
    <w:rsid w:val="00AD2F89"/>
    <w:rsid w:val="00AD32E4"/>
    <w:rsid w:val="00AD3C58"/>
    <w:rsid w:val="00AD3D06"/>
    <w:rsid w:val="00AD3DE3"/>
    <w:rsid w:val="00AD3FA9"/>
    <w:rsid w:val="00AD4CB4"/>
    <w:rsid w:val="00AD4DAD"/>
    <w:rsid w:val="00AD50D4"/>
    <w:rsid w:val="00AD50F3"/>
    <w:rsid w:val="00AD5323"/>
    <w:rsid w:val="00AD54AC"/>
    <w:rsid w:val="00AD5E62"/>
    <w:rsid w:val="00AD650F"/>
    <w:rsid w:val="00AD65DF"/>
    <w:rsid w:val="00AD7A30"/>
    <w:rsid w:val="00AD7A97"/>
    <w:rsid w:val="00AE034C"/>
    <w:rsid w:val="00AE076D"/>
    <w:rsid w:val="00AE0888"/>
    <w:rsid w:val="00AE1582"/>
    <w:rsid w:val="00AE17B2"/>
    <w:rsid w:val="00AE1C09"/>
    <w:rsid w:val="00AE1C25"/>
    <w:rsid w:val="00AE1DC1"/>
    <w:rsid w:val="00AE2258"/>
    <w:rsid w:val="00AE2404"/>
    <w:rsid w:val="00AE327C"/>
    <w:rsid w:val="00AE479B"/>
    <w:rsid w:val="00AE5331"/>
    <w:rsid w:val="00AE5552"/>
    <w:rsid w:val="00AE5B26"/>
    <w:rsid w:val="00AE5B5E"/>
    <w:rsid w:val="00AE7037"/>
    <w:rsid w:val="00AE7EDC"/>
    <w:rsid w:val="00AF0C55"/>
    <w:rsid w:val="00AF0D15"/>
    <w:rsid w:val="00AF1106"/>
    <w:rsid w:val="00AF12D4"/>
    <w:rsid w:val="00AF20CB"/>
    <w:rsid w:val="00AF2750"/>
    <w:rsid w:val="00AF28A2"/>
    <w:rsid w:val="00AF34A6"/>
    <w:rsid w:val="00AF3A18"/>
    <w:rsid w:val="00AF3ABD"/>
    <w:rsid w:val="00AF3BD9"/>
    <w:rsid w:val="00AF3D36"/>
    <w:rsid w:val="00AF43F9"/>
    <w:rsid w:val="00AF45FE"/>
    <w:rsid w:val="00AF479F"/>
    <w:rsid w:val="00AF55F7"/>
    <w:rsid w:val="00AF5B3F"/>
    <w:rsid w:val="00AF68EA"/>
    <w:rsid w:val="00AF6AA5"/>
    <w:rsid w:val="00AF75B7"/>
    <w:rsid w:val="00B00073"/>
    <w:rsid w:val="00B0009C"/>
    <w:rsid w:val="00B00337"/>
    <w:rsid w:val="00B00557"/>
    <w:rsid w:val="00B00812"/>
    <w:rsid w:val="00B014F6"/>
    <w:rsid w:val="00B01D3E"/>
    <w:rsid w:val="00B01E41"/>
    <w:rsid w:val="00B02338"/>
    <w:rsid w:val="00B0294C"/>
    <w:rsid w:val="00B02AE8"/>
    <w:rsid w:val="00B03B1E"/>
    <w:rsid w:val="00B04346"/>
    <w:rsid w:val="00B044BC"/>
    <w:rsid w:val="00B04AE6"/>
    <w:rsid w:val="00B05749"/>
    <w:rsid w:val="00B05942"/>
    <w:rsid w:val="00B05A18"/>
    <w:rsid w:val="00B05AFF"/>
    <w:rsid w:val="00B05CA9"/>
    <w:rsid w:val="00B05FC5"/>
    <w:rsid w:val="00B060DC"/>
    <w:rsid w:val="00B0649B"/>
    <w:rsid w:val="00B101C6"/>
    <w:rsid w:val="00B10ABE"/>
    <w:rsid w:val="00B113CE"/>
    <w:rsid w:val="00B11501"/>
    <w:rsid w:val="00B119D9"/>
    <w:rsid w:val="00B11F80"/>
    <w:rsid w:val="00B127D3"/>
    <w:rsid w:val="00B12850"/>
    <w:rsid w:val="00B13573"/>
    <w:rsid w:val="00B145FE"/>
    <w:rsid w:val="00B147BF"/>
    <w:rsid w:val="00B14CAA"/>
    <w:rsid w:val="00B14E3D"/>
    <w:rsid w:val="00B150A2"/>
    <w:rsid w:val="00B15235"/>
    <w:rsid w:val="00B1620F"/>
    <w:rsid w:val="00B16E1F"/>
    <w:rsid w:val="00B17281"/>
    <w:rsid w:val="00B1795C"/>
    <w:rsid w:val="00B17E47"/>
    <w:rsid w:val="00B200C9"/>
    <w:rsid w:val="00B203D4"/>
    <w:rsid w:val="00B207C4"/>
    <w:rsid w:val="00B20C1F"/>
    <w:rsid w:val="00B2141B"/>
    <w:rsid w:val="00B21A6E"/>
    <w:rsid w:val="00B2215E"/>
    <w:rsid w:val="00B222AD"/>
    <w:rsid w:val="00B22A9A"/>
    <w:rsid w:val="00B23258"/>
    <w:rsid w:val="00B23603"/>
    <w:rsid w:val="00B23B3B"/>
    <w:rsid w:val="00B23F07"/>
    <w:rsid w:val="00B24143"/>
    <w:rsid w:val="00B241EB"/>
    <w:rsid w:val="00B2491C"/>
    <w:rsid w:val="00B24D2E"/>
    <w:rsid w:val="00B25763"/>
    <w:rsid w:val="00B25C16"/>
    <w:rsid w:val="00B25DE2"/>
    <w:rsid w:val="00B27082"/>
    <w:rsid w:val="00B27D23"/>
    <w:rsid w:val="00B27D41"/>
    <w:rsid w:val="00B27DD8"/>
    <w:rsid w:val="00B30111"/>
    <w:rsid w:val="00B302FA"/>
    <w:rsid w:val="00B303D2"/>
    <w:rsid w:val="00B310C6"/>
    <w:rsid w:val="00B31620"/>
    <w:rsid w:val="00B32D6C"/>
    <w:rsid w:val="00B32F49"/>
    <w:rsid w:val="00B32FE6"/>
    <w:rsid w:val="00B334E3"/>
    <w:rsid w:val="00B337F1"/>
    <w:rsid w:val="00B3399B"/>
    <w:rsid w:val="00B33FD3"/>
    <w:rsid w:val="00B34048"/>
    <w:rsid w:val="00B34A23"/>
    <w:rsid w:val="00B34C55"/>
    <w:rsid w:val="00B34D00"/>
    <w:rsid w:val="00B35C94"/>
    <w:rsid w:val="00B35CD7"/>
    <w:rsid w:val="00B367C9"/>
    <w:rsid w:val="00B36E48"/>
    <w:rsid w:val="00B36F4C"/>
    <w:rsid w:val="00B371BF"/>
    <w:rsid w:val="00B37479"/>
    <w:rsid w:val="00B3749D"/>
    <w:rsid w:val="00B37A9C"/>
    <w:rsid w:val="00B37EF5"/>
    <w:rsid w:val="00B40CF2"/>
    <w:rsid w:val="00B417E4"/>
    <w:rsid w:val="00B418B9"/>
    <w:rsid w:val="00B418BA"/>
    <w:rsid w:val="00B41A88"/>
    <w:rsid w:val="00B41AF3"/>
    <w:rsid w:val="00B41B18"/>
    <w:rsid w:val="00B41FB3"/>
    <w:rsid w:val="00B42A11"/>
    <w:rsid w:val="00B42CD2"/>
    <w:rsid w:val="00B432C1"/>
    <w:rsid w:val="00B438B7"/>
    <w:rsid w:val="00B43EA5"/>
    <w:rsid w:val="00B44146"/>
    <w:rsid w:val="00B44152"/>
    <w:rsid w:val="00B443CC"/>
    <w:rsid w:val="00B44455"/>
    <w:rsid w:val="00B44605"/>
    <w:rsid w:val="00B44A06"/>
    <w:rsid w:val="00B44C28"/>
    <w:rsid w:val="00B4509B"/>
    <w:rsid w:val="00B4618D"/>
    <w:rsid w:val="00B46370"/>
    <w:rsid w:val="00B463B7"/>
    <w:rsid w:val="00B464A0"/>
    <w:rsid w:val="00B46569"/>
    <w:rsid w:val="00B47E3D"/>
    <w:rsid w:val="00B47EA0"/>
    <w:rsid w:val="00B503AD"/>
    <w:rsid w:val="00B51440"/>
    <w:rsid w:val="00B5247B"/>
    <w:rsid w:val="00B52F0F"/>
    <w:rsid w:val="00B531B1"/>
    <w:rsid w:val="00B53497"/>
    <w:rsid w:val="00B54A7F"/>
    <w:rsid w:val="00B54D7E"/>
    <w:rsid w:val="00B54FB1"/>
    <w:rsid w:val="00B55185"/>
    <w:rsid w:val="00B55DDB"/>
    <w:rsid w:val="00B55F9B"/>
    <w:rsid w:val="00B56108"/>
    <w:rsid w:val="00B5641D"/>
    <w:rsid w:val="00B567DB"/>
    <w:rsid w:val="00B568BF"/>
    <w:rsid w:val="00B56D6F"/>
    <w:rsid w:val="00B56ED7"/>
    <w:rsid w:val="00B57821"/>
    <w:rsid w:val="00B57A10"/>
    <w:rsid w:val="00B57C87"/>
    <w:rsid w:val="00B57DEE"/>
    <w:rsid w:val="00B60480"/>
    <w:rsid w:val="00B60D2D"/>
    <w:rsid w:val="00B60E21"/>
    <w:rsid w:val="00B611CC"/>
    <w:rsid w:val="00B6158D"/>
    <w:rsid w:val="00B62153"/>
    <w:rsid w:val="00B62241"/>
    <w:rsid w:val="00B6250C"/>
    <w:rsid w:val="00B62B91"/>
    <w:rsid w:val="00B63791"/>
    <w:rsid w:val="00B6418A"/>
    <w:rsid w:val="00B64199"/>
    <w:rsid w:val="00B64DAB"/>
    <w:rsid w:val="00B65DAA"/>
    <w:rsid w:val="00B66322"/>
    <w:rsid w:val="00B666EA"/>
    <w:rsid w:val="00B667FE"/>
    <w:rsid w:val="00B66B2F"/>
    <w:rsid w:val="00B67C3A"/>
    <w:rsid w:val="00B700C6"/>
    <w:rsid w:val="00B7060C"/>
    <w:rsid w:val="00B7077F"/>
    <w:rsid w:val="00B70BF1"/>
    <w:rsid w:val="00B71F55"/>
    <w:rsid w:val="00B720EC"/>
    <w:rsid w:val="00B73455"/>
    <w:rsid w:val="00B7345A"/>
    <w:rsid w:val="00B734A3"/>
    <w:rsid w:val="00B736F6"/>
    <w:rsid w:val="00B73B44"/>
    <w:rsid w:val="00B741F7"/>
    <w:rsid w:val="00B74750"/>
    <w:rsid w:val="00B74F07"/>
    <w:rsid w:val="00B74F7F"/>
    <w:rsid w:val="00B75B08"/>
    <w:rsid w:val="00B75BB5"/>
    <w:rsid w:val="00B75E15"/>
    <w:rsid w:val="00B75E61"/>
    <w:rsid w:val="00B7663C"/>
    <w:rsid w:val="00B7665B"/>
    <w:rsid w:val="00B76A2E"/>
    <w:rsid w:val="00B77240"/>
    <w:rsid w:val="00B77454"/>
    <w:rsid w:val="00B779C7"/>
    <w:rsid w:val="00B80CF7"/>
    <w:rsid w:val="00B80EE6"/>
    <w:rsid w:val="00B81664"/>
    <w:rsid w:val="00B81D6E"/>
    <w:rsid w:val="00B82374"/>
    <w:rsid w:val="00B82914"/>
    <w:rsid w:val="00B82AF5"/>
    <w:rsid w:val="00B83C2F"/>
    <w:rsid w:val="00B8417C"/>
    <w:rsid w:val="00B843FC"/>
    <w:rsid w:val="00B84869"/>
    <w:rsid w:val="00B848CA"/>
    <w:rsid w:val="00B84A05"/>
    <w:rsid w:val="00B850CD"/>
    <w:rsid w:val="00B85380"/>
    <w:rsid w:val="00B86607"/>
    <w:rsid w:val="00B86E26"/>
    <w:rsid w:val="00B872F5"/>
    <w:rsid w:val="00B87859"/>
    <w:rsid w:val="00B90D09"/>
    <w:rsid w:val="00B90F1A"/>
    <w:rsid w:val="00B91020"/>
    <w:rsid w:val="00B912D8"/>
    <w:rsid w:val="00B912F8"/>
    <w:rsid w:val="00B913C3"/>
    <w:rsid w:val="00B9149B"/>
    <w:rsid w:val="00B91D47"/>
    <w:rsid w:val="00B921E4"/>
    <w:rsid w:val="00B9221B"/>
    <w:rsid w:val="00B92F18"/>
    <w:rsid w:val="00B9316F"/>
    <w:rsid w:val="00B93500"/>
    <w:rsid w:val="00B93924"/>
    <w:rsid w:val="00B93FE5"/>
    <w:rsid w:val="00B946C2"/>
    <w:rsid w:val="00B95362"/>
    <w:rsid w:val="00B953E2"/>
    <w:rsid w:val="00B95418"/>
    <w:rsid w:val="00B95CF4"/>
    <w:rsid w:val="00B96854"/>
    <w:rsid w:val="00B97243"/>
    <w:rsid w:val="00B975B8"/>
    <w:rsid w:val="00B97753"/>
    <w:rsid w:val="00B97DEE"/>
    <w:rsid w:val="00BA049F"/>
    <w:rsid w:val="00BA0943"/>
    <w:rsid w:val="00BA0AE0"/>
    <w:rsid w:val="00BA0AF0"/>
    <w:rsid w:val="00BA13A3"/>
    <w:rsid w:val="00BA18F2"/>
    <w:rsid w:val="00BA1A7D"/>
    <w:rsid w:val="00BA1AA1"/>
    <w:rsid w:val="00BA1C0B"/>
    <w:rsid w:val="00BA2131"/>
    <w:rsid w:val="00BA2970"/>
    <w:rsid w:val="00BA2BB1"/>
    <w:rsid w:val="00BA2F3C"/>
    <w:rsid w:val="00BA2F86"/>
    <w:rsid w:val="00BA3229"/>
    <w:rsid w:val="00BA359C"/>
    <w:rsid w:val="00BA3CB8"/>
    <w:rsid w:val="00BA3F6A"/>
    <w:rsid w:val="00BA44B9"/>
    <w:rsid w:val="00BA4506"/>
    <w:rsid w:val="00BA4D3A"/>
    <w:rsid w:val="00BA55B4"/>
    <w:rsid w:val="00BA56CB"/>
    <w:rsid w:val="00BA5888"/>
    <w:rsid w:val="00BA5982"/>
    <w:rsid w:val="00BA5ECC"/>
    <w:rsid w:val="00BA6252"/>
    <w:rsid w:val="00BA6394"/>
    <w:rsid w:val="00BA6B60"/>
    <w:rsid w:val="00BA7033"/>
    <w:rsid w:val="00BA7195"/>
    <w:rsid w:val="00BA73DA"/>
    <w:rsid w:val="00BA7623"/>
    <w:rsid w:val="00BA7F34"/>
    <w:rsid w:val="00BB0049"/>
    <w:rsid w:val="00BB0185"/>
    <w:rsid w:val="00BB02C1"/>
    <w:rsid w:val="00BB260E"/>
    <w:rsid w:val="00BB27A1"/>
    <w:rsid w:val="00BB2E61"/>
    <w:rsid w:val="00BB4525"/>
    <w:rsid w:val="00BB4679"/>
    <w:rsid w:val="00BB54A7"/>
    <w:rsid w:val="00BB5C7C"/>
    <w:rsid w:val="00BB77FA"/>
    <w:rsid w:val="00BB7C69"/>
    <w:rsid w:val="00BC056B"/>
    <w:rsid w:val="00BC069D"/>
    <w:rsid w:val="00BC0806"/>
    <w:rsid w:val="00BC084C"/>
    <w:rsid w:val="00BC0DCE"/>
    <w:rsid w:val="00BC127C"/>
    <w:rsid w:val="00BC12B4"/>
    <w:rsid w:val="00BC1735"/>
    <w:rsid w:val="00BC2617"/>
    <w:rsid w:val="00BC264D"/>
    <w:rsid w:val="00BC2FF4"/>
    <w:rsid w:val="00BC38FF"/>
    <w:rsid w:val="00BC3F7C"/>
    <w:rsid w:val="00BC426A"/>
    <w:rsid w:val="00BC48B2"/>
    <w:rsid w:val="00BC49CD"/>
    <w:rsid w:val="00BC5390"/>
    <w:rsid w:val="00BC5A5C"/>
    <w:rsid w:val="00BC5D17"/>
    <w:rsid w:val="00BC6145"/>
    <w:rsid w:val="00BC61DA"/>
    <w:rsid w:val="00BC622A"/>
    <w:rsid w:val="00BC6527"/>
    <w:rsid w:val="00BC6606"/>
    <w:rsid w:val="00BC6FD6"/>
    <w:rsid w:val="00BC7C1B"/>
    <w:rsid w:val="00BC7FD4"/>
    <w:rsid w:val="00BD01A4"/>
    <w:rsid w:val="00BD01F1"/>
    <w:rsid w:val="00BD0449"/>
    <w:rsid w:val="00BD0DF2"/>
    <w:rsid w:val="00BD190D"/>
    <w:rsid w:val="00BD2602"/>
    <w:rsid w:val="00BD37B2"/>
    <w:rsid w:val="00BD414E"/>
    <w:rsid w:val="00BD4719"/>
    <w:rsid w:val="00BD4CB9"/>
    <w:rsid w:val="00BD4F15"/>
    <w:rsid w:val="00BD5303"/>
    <w:rsid w:val="00BD5E40"/>
    <w:rsid w:val="00BD5FB6"/>
    <w:rsid w:val="00BD60B0"/>
    <w:rsid w:val="00BD660A"/>
    <w:rsid w:val="00BD667B"/>
    <w:rsid w:val="00BD6AD9"/>
    <w:rsid w:val="00BD6B7D"/>
    <w:rsid w:val="00BD75FC"/>
    <w:rsid w:val="00BD7D89"/>
    <w:rsid w:val="00BE00D1"/>
    <w:rsid w:val="00BE01CC"/>
    <w:rsid w:val="00BE06B7"/>
    <w:rsid w:val="00BE0DDF"/>
    <w:rsid w:val="00BE164B"/>
    <w:rsid w:val="00BE2EBF"/>
    <w:rsid w:val="00BE312D"/>
    <w:rsid w:val="00BE3341"/>
    <w:rsid w:val="00BE34B3"/>
    <w:rsid w:val="00BE3732"/>
    <w:rsid w:val="00BE3902"/>
    <w:rsid w:val="00BE39C2"/>
    <w:rsid w:val="00BE3DFA"/>
    <w:rsid w:val="00BE401F"/>
    <w:rsid w:val="00BE4379"/>
    <w:rsid w:val="00BE509B"/>
    <w:rsid w:val="00BE5210"/>
    <w:rsid w:val="00BE55F6"/>
    <w:rsid w:val="00BE57B0"/>
    <w:rsid w:val="00BE57CB"/>
    <w:rsid w:val="00BE5E4E"/>
    <w:rsid w:val="00BE5F85"/>
    <w:rsid w:val="00BE624D"/>
    <w:rsid w:val="00BE706A"/>
    <w:rsid w:val="00BF0BEA"/>
    <w:rsid w:val="00BF0E2F"/>
    <w:rsid w:val="00BF0EF2"/>
    <w:rsid w:val="00BF11A0"/>
    <w:rsid w:val="00BF1AA3"/>
    <w:rsid w:val="00BF1BA0"/>
    <w:rsid w:val="00BF216F"/>
    <w:rsid w:val="00BF2C6D"/>
    <w:rsid w:val="00BF3753"/>
    <w:rsid w:val="00BF3F30"/>
    <w:rsid w:val="00BF4326"/>
    <w:rsid w:val="00BF44A4"/>
    <w:rsid w:val="00BF4B38"/>
    <w:rsid w:val="00BF4CF4"/>
    <w:rsid w:val="00BF5DCE"/>
    <w:rsid w:val="00BF665F"/>
    <w:rsid w:val="00BF68C8"/>
    <w:rsid w:val="00C000DF"/>
    <w:rsid w:val="00C00B29"/>
    <w:rsid w:val="00C01062"/>
    <w:rsid w:val="00C01216"/>
    <w:rsid w:val="00C012EB"/>
    <w:rsid w:val="00C012FE"/>
    <w:rsid w:val="00C016A3"/>
    <w:rsid w:val="00C01A4A"/>
    <w:rsid w:val="00C01DA1"/>
    <w:rsid w:val="00C01E68"/>
    <w:rsid w:val="00C02055"/>
    <w:rsid w:val="00C02660"/>
    <w:rsid w:val="00C047D1"/>
    <w:rsid w:val="00C04E9B"/>
    <w:rsid w:val="00C05248"/>
    <w:rsid w:val="00C059C1"/>
    <w:rsid w:val="00C0638B"/>
    <w:rsid w:val="00C06B18"/>
    <w:rsid w:val="00C10940"/>
    <w:rsid w:val="00C10F27"/>
    <w:rsid w:val="00C11829"/>
    <w:rsid w:val="00C11924"/>
    <w:rsid w:val="00C11F4A"/>
    <w:rsid w:val="00C123FE"/>
    <w:rsid w:val="00C1286F"/>
    <w:rsid w:val="00C12DF2"/>
    <w:rsid w:val="00C130BA"/>
    <w:rsid w:val="00C1351F"/>
    <w:rsid w:val="00C13BB7"/>
    <w:rsid w:val="00C14016"/>
    <w:rsid w:val="00C143F0"/>
    <w:rsid w:val="00C14FF4"/>
    <w:rsid w:val="00C15419"/>
    <w:rsid w:val="00C155A0"/>
    <w:rsid w:val="00C15B79"/>
    <w:rsid w:val="00C16D6F"/>
    <w:rsid w:val="00C16EAC"/>
    <w:rsid w:val="00C170BA"/>
    <w:rsid w:val="00C17B40"/>
    <w:rsid w:val="00C17B74"/>
    <w:rsid w:val="00C17F28"/>
    <w:rsid w:val="00C20E5D"/>
    <w:rsid w:val="00C21A45"/>
    <w:rsid w:val="00C221A0"/>
    <w:rsid w:val="00C229CF"/>
    <w:rsid w:val="00C22B59"/>
    <w:rsid w:val="00C2316D"/>
    <w:rsid w:val="00C238D1"/>
    <w:rsid w:val="00C238DC"/>
    <w:rsid w:val="00C23992"/>
    <w:rsid w:val="00C255E9"/>
    <w:rsid w:val="00C259C6"/>
    <w:rsid w:val="00C25C46"/>
    <w:rsid w:val="00C25C6B"/>
    <w:rsid w:val="00C261B5"/>
    <w:rsid w:val="00C26B7C"/>
    <w:rsid w:val="00C306D4"/>
    <w:rsid w:val="00C30AC8"/>
    <w:rsid w:val="00C31256"/>
    <w:rsid w:val="00C31584"/>
    <w:rsid w:val="00C31E23"/>
    <w:rsid w:val="00C32364"/>
    <w:rsid w:val="00C326AD"/>
    <w:rsid w:val="00C326F9"/>
    <w:rsid w:val="00C32741"/>
    <w:rsid w:val="00C32871"/>
    <w:rsid w:val="00C32D41"/>
    <w:rsid w:val="00C333C0"/>
    <w:rsid w:val="00C339AA"/>
    <w:rsid w:val="00C33C12"/>
    <w:rsid w:val="00C33C4C"/>
    <w:rsid w:val="00C35024"/>
    <w:rsid w:val="00C35F8E"/>
    <w:rsid w:val="00C3660A"/>
    <w:rsid w:val="00C36CC6"/>
    <w:rsid w:val="00C36FFC"/>
    <w:rsid w:val="00C379A4"/>
    <w:rsid w:val="00C37A29"/>
    <w:rsid w:val="00C37A79"/>
    <w:rsid w:val="00C40056"/>
    <w:rsid w:val="00C403CD"/>
    <w:rsid w:val="00C406CD"/>
    <w:rsid w:val="00C40C8D"/>
    <w:rsid w:val="00C418C0"/>
    <w:rsid w:val="00C419E1"/>
    <w:rsid w:val="00C424E6"/>
    <w:rsid w:val="00C42AF7"/>
    <w:rsid w:val="00C435CA"/>
    <w:rsid w:val="00C43EF9"/>
    <w:rsid w:val="00C44027"/>
    <w:rsid w:val="00C4402F"/>
    <w:rsid w:val="00C44291"/>
    <w:rsid w:val="00C446CC"/>
    <w:rsid w:val="00C44E26"/>
    <w:rsid w:val="00C454CA"/>
    <w:rsid w:val="00C45A94"/>
    <w:rsid w:val="00C46530"/>
    <w:rsid w:val="00C46DCF"/>
    <w:rsid w:val="00C470D6"/>
    <w:rsid w:val="00C4715E"/>
    <w:rsid w:val="00C473C9"/>
    <w:rsid w:val="00C47754"/>
    <w:rsid w:val="00C4798A"/>
    <w:rsid w:val="00C505DD"/>
    <w:rsid w:val="00C50768"/>
    <w:rsid w:val="00C50AFA"/>
    <w:rsid w:val="00C512C5"/>
    <w:rsid w:val="00C51B04"/>
    <w:rsid w:val="00C526FA"/>
    <w:rsid w:val="00C52899"/>
    <w:rsid w:val="00C52A0F"/>
    <w:rsid w:val="00C533BB"/>
    <w:rsid w:val="00C53504"/>
    <w:rsid w:val="00C542F4"/>
    <w:rsid w:val="00C54F00"/>
    <w:rsid w:val="00C55510"/>
    <w:rsid w:val="00C55CBC"/>
    <w:rsid w:val="00C55E35"/>
    <w:rsid w:val="00C5614A"/>
    <w:rsid w:val="00C56619"/>
    <w:rsid w:val="00C56A44"/>
    <w:rsid w:val="00C57353"/>
    <w:rsid w:val="00C573DE"/>
    <w:rsid w:val="00C57466"/>
    <w:rsid w:val="00C57CD8"/>
    <w:rsid w:val="00C6038F"/>
    <w:rsid w:val="00C6056F"/>
    <w:rsid w:val="00C60731"/>
    <w:rsid w:val="00C60A40"/>
    <w:rsid w:val="00C61575"/>
    <w:rsid w:val="00C63CFE"/>
    <w:rsid w:val="00C6412A"/>
    <w:rsid w:val="00C64322"/>
    <w:rsid w:val="00C64473"/>
    <w:rsid w:val="00C6484F"/>
    <w:rsid w:val="00C64851"/>
    <w:rsid w:val="00C65CE1"/>
    <w:rsid w:val="00C6614F"/>
    <w:rsid w:val="00C662E7"/>
    <w:rsid w:val="00C6631D"/>
    <w:rsid w:val="00C66BC8"/>
    <w:rsid w:val="00C6731A"/>
    <w:rsid w:val="00C67323"/>
    <w:rsid w:val="00C675ED"/>
    <w:rsid w:val="00C705A4"/>
    <w:rsid w:val="00C70692"/>
    <w:rsid w:val="00C70D80"/>
    <w:rsid w:val="00C70EFC"/>
    <w:rsid w:val="00C71190"/>
    <w:rsid w:val="00C71688"/>
    <w:rsid w:val="00C71F68"/>
    <w:rsid w:val="00C72498"/>
    <w:rsid w:val="00C724FF"/>
    <w:rsid w:val="00C72D65"/>
    <w:rsid w:val="00C74378"/>
    <w:rsid w:val="00C7464B"/>
    <w:rsid w:val="00C748DC"/>
    <w:rsid w:val="00C75630"/>
    <w:rsid w:val="00C75C11"/>
    <w:rsid w:val="00C75C56"/>
    <w:rsid w:val="00C7661F"/>
    <w:rsid w:val="00C76624"/>
    <w:rsid w:val="00C76AC0"/>
    <w:rsid w:val="00C76B0D"/>
    <w:rsid w:val="00C77628"/>
    <w:rsid w:val="00C77CD7"/>
    <w:rsid w:val="00C77D20"/>
    <w:rsid w:val="00C80834"/>
    <w:rsid w:val="00C80BC4"/>
    <w:rsid w:val="00C83316"/>
    <w:rsid w:val="00C8340A"/>
    <w:rsid w:val="00C83EE2"/>
    <w:rsid w:val="00C84D90"/>
    <w:rsid w:val="00C85006"/>
    <w:rsid w:val="00C85548"/>
    <w:rsid w:val="00C855F4"/>
    <w:rsid w:val="00C85788"/>
    <w:rsid w:val="00C8646F"/>
    <w:rsid w:val="00C8653D"/>
    <w:rsid w:val="00C86E5A"/>
    <w:rsid w:val="00C878F8"/>
    <w:rsid w:val="00C8792F"/>
    <w:rsid w:val="00C90A40"/>
    <w:rsid w:val="00C913B1"/>
    <w:rsid w:val="00C91C50"/>
    <w:rsid w:val="00C922C9"/>
    <w:rsid w:val="00C92316"/>
    <w:rsid w:val="00C92F09"/>
    <w:rsid w:val="00C932F3"/>
    <w:rsid w:val="00C93616"/>
    <w:rsid w:val="00C9553F"/>
    <w:rsid w:val="00C95E14"/>
    <w:rsid w:val="00C9601F"/>
    <w:rsid w:val="00C96AF3"/>
    <w:rsid w:val="00C97009"/>
    <w:rsid w:val="00C97023"/>
    <w:rsid w:val="00C9724B"/>
    <w:rsid w:val="00C97B9F"/>
    <w:rsid w:val="00CA0234"/>
    <w:rsid w:val="00CA05A8"/>
    <w:rsid w:val="00CA0B3F"/>
    <w:rsid w:val="00CA10B3"/>
    <w:rsid w:val="00CA117F"/>
    <w:rsid w:val="00CA14AE"/>
    <w:rsid w:val="00CA255E"/>
    <w:rsid w:val="00CA2619"/>
    <w:rsid w:val="00CA2B1F"/>
    <w:rsid w:val="00CA2E8B"/>
    <w:rsid w:val="00CA36E6"/>
    <w:rsid w:val="00CA38F9"/>
    <w:rsid w:val="00CA3A05"/>
    <w:rsid w:val="00CA3A6F"/>
    <w:rsid w:val="00CA3D8D"/>
    <w:rsid w:val="00CA3DB5"/>
    <w:rsid w:val="00CA3ECA"/>
    <w:rsid w:val="00CA41C8"/>
    <w:rsid w:val="00CA427B"/>
    <w:rsid w:val="00CA5160"/>
    <w:rsid w:val="00CA64DF"/>
    <w:rsid w:val="00CA6956"/>
    <w:rsid w:val="00CA753F"/>
    <w:rsid w:val="00CA765D"/>
    <w:rsid w:val="00CA77F4"/>
    <w:rsid w:val="00CA7C3E"/>
    <w:rsid w:val="00CB02A8"/>
    <w:rsid w:val="00CB0B7F"/>
    <w:rsid w:val="00CB1394"/>
    <w:rsid w:val="00CB1416"/>
    <w:rsid w:val="00CB1B2F"/>
    <w:rsid w:val="00CB3068"/>
    <w:rsid w:val="00CB39C0"/>
    <w:rsid w:val="00CB3DC0"/>
    <w:rsid w:val="00CB3FD4"/>
    <w:rsid w:val="00CB4199"/>
    <w:rsid w:val="00CB4370"/>
    <w:rsid w:val="00CB4743"/>
    <w:rsid w:val="00CB495D"/>
    <w:rsid w:val="00CB4B4B"/>
    <w:rsid w:val="00CB616F"/>
    <w:rsid w:val="00CB6315"/>
    <w:rsid w:val="00CB6AB4"/>
    <w:rsid w:val="00CB6AC7"/>
    <w:rsid w:val="00CB71C2"/>
    <w:rsid w:val="00CB77BE"/>
    <w:rsid w:val="00CC01B5"/>
    <w:rsid w:val="00CC021C"/>
    <w:rsid w:val="00CC061E"/>
    <w:rsid w:val="00CC1485"/>
    <w:rsid w:val="00CC193F"/>
    <w:rsid w:val="00CC2612"/>
    <w:rsid w:val="00CC2D51"/>
    <w:rsid w:val="00CC3291"/>
    <w:rsid w:val="00CC3CEC"/>
    <w:rsid w:val="00CC3DE4"/>
    <w:rsid w:val="00CC459B"/>
    <w:rsid w:val="00CC50AF"/>
    <w:rsid w:val="00CC5406"/>
    <w:rsid w:val="00CC54C4"/>
    <w:rsid w:val="00CC5F5B"/>
    <w:rsid w:val="00CC60E1"/>
    <w:rsid w:val="00CC63BC"/>
    <w:rsid w:val="00CC6695"/>
    <w:rsid w:val="00CC795C"/>
    <w:rsid w:val="00CC7F3B"/>
    <w:rsid w:val="00CD0BE6"/>
    <w:rsid w:val="00CD0ECA"/>
    <w:rsid w:val="00CD12EF"/>
    <w:rsid w:val="00CD14C1"/>
    <w:rsid w:val="00CD16AB"/>
    <w:rsid w:val="00CD5756"/>
    <w:rsid w:val="00CD580E"/>
    <w:rsid w:val="00CD61EB"/>
    <w:rsid w:val="00CD6B6A"/>
    <w:rsid w:val="00CD6D40"/>
    <w:rsid w:val="00CD7F44"/>
    <w:rsid w:val="00CD7FCB"/>
    <w:rsid w:val="00CE0C7A"/>
    <w:rsid w:val="00CE1013"/>
    <w:rsid w:val="00CE12E4"/>
    <w:rsid w:val="00CE269A"/>
    <w:rsid w:val="00CE2719"/>
    <w:rsid w:val="00CE4392"/>
    <w:rsid w:val="00CE43AF"/>
    <w:rsid w:val="00CE4596"/>
    <w:rsid w:val="00CE4B7E"/>
    <w:rsid w:val="00CE4D3A"/>
    <w:rsid w:val="00CE4E1A"/>
    <w:rsid w:val="00CE58C8"/>
    <w:rsid w:val="00CE59F3"/>
    <w:rsid w:val="00CE5A30"/>
    <w:rsid w:val="00CE5C35"/>
    <w:rsid w:val="00CE6402"/>
    <w:rsid w:val="00CE64FD"/>
    <w:rsid w:val="00CE6D6E"/>
    <w:rsid w:val="00CE6EB3"/>
    <w:rsid w:val="00CE6F9C"/>
    <w:rsid w:val="00CE71F4"/>
    <w:rsid w:val="00CE7236"/>
    <w:rsid w:val="00CF02F0"/>
    <w:rsid w:val="00CF0E8F"/>
    <w:rsid w:val="00CF1B01"/>
    <w:rsid w:val="00CF1FCD"/>
    <w:rsid w:val="00CF22B8"/>
    <w:rsid w:val="00CF26CB"/>
    <w:rsid w:val="00CF2991"/>
    <w:rsid w:val="00CF2A42"/>
    <w:rsid w:val="00CF2CF2"/>
    <w:rsid w:val="00CF35D3"/>
    <w:rsid w:val="00CF363B"/>
    <w:rsid w:val="00CF37E1"/>
    <w:rsid w:val="00CF3DB2"/>
    <w:rsid w:val="00CF41E4"/>
    <w:rsid w:val="00CF43CE"/>
    <w:rsid w:val="00CF49A1"/>
    <w:rsid w:val="00CF4A0B"/>
    <w:rsid w:val="00CF4BC6"/>
    <w:rsid w:val="00CF4E91"/>
    <w:rsid w:val="00CF5A8E"/>
    <w:rsid w:val="00CF5BC6"/>
    <w:rsid w:val="00CF5F0D"/>
    <w:rsid w:val="00CF5FCB"/>
    <w:rsid w:val="00CF7207"/>
    <w:rsid w:val="00CF78DA"/>
    <w:rsid w:val="00CF7F06"/>
    <w:rsid w:val="00D00332"/>
    <w:rsid w:val="00D008EE"/>
    <w:rsid w:val="00D00902"/>
    <w:rsid w:val="00D00BC2"/>
    <w:rsid w:val="00D01615"/>
    <w:rsid w:val="00D02433"/>
    <w:rsid w:val="00D024B9"/>
    <w:rsid w:val="00D027E6"/>
    <w:rsid w:val="00D02AFB"/>
    <w:rsid w:val="00D031E4"/>
    <w:rsid w:val="00D03276"/>
    <w:rsid w:val="00D032B6"/>
    <w:rsid w:val="00D0352E"/>
    <w:rsid w:val="00D03A08"/>
    <w:rsid w:val="00D03D00"/>
    <w:rsid w:val="00D03D1C"/>
    <w:rsid w:val="00D03D9E"/>
    <w:rsid w:val="00D03DFB"/>
    <w:rsid w:val="00D0461A"/>
    <w:rsid w:val="00D04DCD"/>
    <w:rsid w:val="00D05EEF"/>
    <w:rsid w:val="00D0697C"/>
    <w:rsid w:val="00D06BC7"/>
    <w:rsid w:val="00D07003"/>
    <w:rsid w:val="00D07CFA"/>
    <w:rsid w:val="00D102A5"/>
    <w:rsid w:val="00D10423"/>
    <w:rsid w:val="00D10F14"/>
    <w:rsid w:val="00D10F25"/>
    <w:rsid w:val="00D1193D"/>
    <w:rsid w:val="00D12AE7"/>
    <w:rsid w:val="00D13A2C"/>
    <w:rsid w:val="00D15113"/>
    <w:rsid w:val="00D15B7C"/>
    <w:rsid w:val="00D15B7D"/>
    <w:rsid w:val="00D16456"/>
    <w:rsid w:val="00D168CC"/>
    <w:rsid w:val="00D16F74"/>
    <w:rsid w:val="00D173BF"/>
    <w:rsid w:val="00D17526"/>
    <w:rsid w:val="00D1778E"/>
    <w:rsid w:val="00D17CBC"/>
    <w:rsid w:val="00D17D2A"/>
    <w:rsid w:val="00D2020A"/>
    <w:rsid w:val="00D204BC"/>
    <w:rsid w:val="00D20811"/>
    <w:rsid w:val="00D212CE"/>
    <w:rsid w:val="00D216D4"/>
    <w:rsid w:val="00D21FE1"/>
    <w:rsid w:val="00D21FF1"/>
    <w:rsid w:val="00D22268"/>
    <w:rsid w:val="00D227F7"/>
    <w:rsid w:val="00D227FE"/>
    <w:rsid w:val="00D228AC"/>
    <w:rsid w:val="00D22D94"/>
    <w:rsid w:val="00D23094"/>
    <w:rsid w:val="00D2311A"/>
    <w:rsid w:val="00D23283"/>
    <w:rsid w:val="00D233CD"/>
    <w:rsid w:val="00D2345B"/>
    <w:rsid w:val="00D23874"/>
    <w:rsid w:val="00D23E87"/>
    <w:rsid w:val="00D2457A"/>
    <w:rsid w:val="00D249C6"/>
    <w:rsid w:val="00D25274"/>
    <w:rsid w:val="00D25ADA"/>
    <w:rsid w:val="00D261CC"/>
    <w:rsid w:val="00D2650A"/>
    <w:rsid w:val="00D265F2"/>
    <w:rsid w:val="00D26CFE"/>
    <w:rsid w:val="00D27499"/>
    <w:rsid w:val="00D277D0"/>
    <w:rsid w:val="00D300A3"/>
    <w:rsid w:val="00D30791"/>
    <w:rsid w:val="00D31C8E"/>
    <w:rsid w:val="00D31D89"/>
    <w:rsid w:val="00D31E3E"/>
    <w:rsid w:val="00D325E2"/>
    <w:rsid w:val="00D330CA"/>
    <w:rsid w:val="00D3316D"/>
    <w:rsid w:val="00D33976"/>
    <w:rsid w:val="00D33F0E"/>
    <w:rsid w:val="00D3434B"/>
    <w:rsid w:val="00D34B0E"/>
    <w:rsid w:val="00D34BF4"/>
    <w:rsid w:val="00D34C2B"/>
    <w:rsid w:val="00D35A49"/>
    <w:rsid w:val="00D35CF2"/>
    <w:rsid w:val="00D36C8D"/>
    <w:rsid w:val="00D36FD6"/>
    <w:rsid w:val="00D37338"/>
    <w:rsid w:val="00D37507"/>
    <w:rsid w:val="00D3771A"/>
    <w:rsid w:val="00D37882"/>
    <w:rsid w:val="00D4071C"/>
    <w:rsid w:val="00D4072A"/>
    <w:rsid w:val="00D409F6"/>
    <w:rsid w:val="00D41845"/>
    <w:rsid w:val="00D41C1C"/>
    <w:rsid w:val="00D42631"/>
    <w:rsid w:val="00D43774"/>
    <w:rsid w:val="00D4416E"/>
    <w:rsid w:val="00D441E5"/>
    <w:rsid w:val="00D44223"/>
    <w:rsid w:val="00D44382"/>
    <w:rsid w:val="00D44B63"/>
    <w:rsid w:val="00D44E06"/>
    <w:rsid w:val="00D45066"/>
    <w:rsid w:val="00D4537F"/>
    <w:rsid w:val="00D4540A"/>
    <w:rsid w:val="00D4553D"/>
    <w:rsid w:val="00D45862"/>
    <w:rsid w:val="00D45D06"/>
    <w:rsid w:val="00D46FD9"/>
    <w:rsid w:val="00D470C3"/>
    <w:rsid w:val="00D47C91"/>
    <w:rsid w:val="00D47EA0"/>
    <w:rsid w:val="00D501D7"/>
    <w:rsid w:val="00D50DF9"/>
    <w:rsid w:val="00D50FC4"/>
    <w:rsid w:val="00D519D0"/>
    <w:rsid w:val="00D51EF1"/>
    <w:rsid w:val="00D52120"/>
    <w:rsid w:val="00D52697"/>
    <w:rsid w:val="00D52943"/>
    <w:rsid w:val="00D52AFA"/>
    <w:rsid w:val="00D52BEF"/>
    <w:rsid w:val="00D52C85"/>
    <w:rsid w:val="00D53153"/>
    <w:rsid w:val="00D534BB"/>
    <w:rsid w:val="00D54C82"/>
    <w:rsid w:val="00D54CFE"/>
    <w:rsid w:val="00D55D1A"/>
    <w:rsid w:val="00D55F9F"/>
    <w:rsid w:val="00D56127"/>
    <w:rsid w:val="00D56E3B"/>
    <w:rsid w:val="00D572C8"/>
    <w:rsid w:val="00D577F5"/>
    <w:rsid w:val="00D57FB3"/>
    <w:rsid w:val="00D60089"/>
    <w:rsid w:val="00D600AE"/>
    <w:rsid w:val="00D60649"/>
    <w:rsid w:val="00D6075B"/>
    <w:rsid w:val="00D6103F"/>
    <w:rsid w:val="00D61329"/>
    <w:rsid w:val="00D619B6"/>
    <w:rsid w:val="00D61E88"/>
    <w:rsid w:val="00D62239"/>
    <w:rsid w:val="00D63244"/>
    <w:rsid w:val="00D633D2"/>
    <w:rsid w:val="00D63474"/>
    <w:rsid w:val="00D6389B"/>
    <w:rsid w:val="00D65186"/>
    <w:rsid w:val="00D65645"/>
    <w:rsid w:val="00D657D9"/>
    <w:rsid w:val="00D658BB"/>
    <w:rsid w:val="00D658DE"/>
    <w:rsid w:val="00D667B4"/>
    <w:rsid w:val="00D66B26"/>
    <w:rsid w:val="00D66CB5"/>
    <w:rsid w:val="00D6780F"/>
    <w:rsid w:val="00D67D3A"/>
    <w:rsid w:val="00D701A0"/>
    <w:rsid w:val="00D70439"/>
    <w:rsid w:val="00D70548"/>
    <w:rsid w:val="00D706F7"/>
    <w:rsid w:val="00D70F83"/>
    <w:rsid w:val="00D71070"/>
    <w:rsid w:val="00D7118B"/>
    <w:rsid w:val="00D72541"/>
    <w:rsid w:val="00D73836"/>
    <w:rsid w:val="00D73A1D"/>
    <w:rsid w:val="00D73CF2"/>
    <w:rsid w:val="00D741D3"/>
    <w:rsid w:val="00D74243"/>
    <w:rsid w:val="00D75649"/>
    <w:rsid w:val="00D757B6"/>
    <w:rsid w:val="00D75B9D"/>
    <w:rsid w:val="00D75C5B"/>
    <w:rsid w:val="00D76290"/>
    <w:rsid w:val="00D7649B"/>
    <w:rsid w:val="00D7658A"/>
    <w:rsid w:val="00D767AD"/>
    <w:rsid w:val="00D77266"/>
    <w:rsid w:val="00D77BC3"/>
    <w:rsid w:val="00D77EA3"/>
    <w:rsid w:val="00D80120"/>
    <w:rsid w:val="00D801B1"/>
    <w:rsid w:val="00D80349"/>
    <w:rsid w:val="00D804B9"/>
    <w:rsid w:val="00D80530"/>
    <w:rsid w:val="00D8114D"/>
    <w:rsid w:val="00D81D86"/>
    <w:rsid w:val="00D8265D"/>
    <w:rsid w:val="00D82BDD"/>
    <w:rsid w:val="00D8362A"/>
    <w:rsid w:val="00D837FD"/>
    <w:rsid w:val="00D83923"/>
    <w:rsid w:val="00D84BE4"/>
    <w:rsid w:val="00D84F40"/>
    <w:rsid w:val="00D855C1"/>
    <w:rsid w:val="00D85612"/>
    <w:rsid w:val="00D8597D"/>
    <w:rsid w:val="00D85FB2"/>
    <w:rsid w:val="00D86112"/>
    <w:rsid w:val="00D86317"/>
    <w:rsid w:val="00D8719C"/>
    <w:rsid w:val="00D871C8"/>
    <w:rsid w:val="00D87649"/>
    <w:rsid w:val="00D87A32"/>
    <w:rsid w:val="00D87C8F"/>
    <w:rsid w:val="00D902B1"/>
    <w:rsid w:val="00D903FA"/>
    <w:rsid w:val="00D907D6"/>
    <w:rsid w:val="00D908B3"/>
    <w:rsid w:val="00D90969"/>
    <w:rsid w:val="00D9105A"/>
    <w:rsid w:val="00D910B1"/>
    <w:rsid w:val="00D910FA"/>
    <w:rsid w:val="00D927F7"/>
    <w:rsid w:val="00D92930"/>
    <w:rsid w:val="00D93C55"/>
    <w:rsid w:val="00D94063"/>
    <w:rsid w:val="00D9419D"/>
    <w:rsid w:val="00D9489D"/>
    <w:rsid w:val="00D94C64"/>
    <w:rsid w:val="00D95858"/>
    <w:rsid w:val="00D95C9F"/>
    <w:rsid w:val="00D966FF"/>
    <w:rsid w:val="00D96EBB"/>
    <w:rsid w:val="00D96F65"/>
    <w:rsid w:val="00D972CC"/>
    <w:rsid w:val="00D9732F"/>
    <w:rsid w:val="00D97768"/>
    <w:rsid w:val="00DA0290"/>
    <w:rsid w:val="00DA0296"/>
    <w:rsid w:val="00DA03F6"/>
    <w:rsid w:val="00DA126B"/>
    <w:rsid w:val="00DA1286"/>
    <w:rsid w:val="00DA136C"/>
    <w:rsid w:val="00DA1DBD"/>
    <w:rsid w:val="00DA210C"/>
    <w:rsid w:val="00DA22FC"/>
    <w:rsid w:val="00DA2EC5"/>
    <w:rsid w:val="00DA2F1F"/>
    <w:rsid w:val="00DA3017"/>
    <w:rsid w:val="00DA3B97"/>
    <w:rsid w:val="00DA4A7A"/>
    <w:rsid w:val="00DA5066"/>
    <w:rsid w:val="00DA5484"/>
    <w:rsid w:val="00DA58FF"/>
    <w:rsid w:val="00DA5C52"/>
    <w:rsid w:val="00DA6727"/>
    <w:rsid w:val="00DA6D55"/>
    <w:rsid w:val="00DA7956"/>
    <w:rsid w:val="00DB1E52"/>
    <w:rsid w:val="00DB277B"/>
    <w:rsid w:val="00DB283B"/>
    <w:rsid w:val="00DB4AD5"/>
    <w:rsid w:val="00DB4DA2"/>
    <w:rsid w:val="00DB556E"/>
    <w:rsid w:val="00DB5A49"/>
    <w:rsid w:val="00DB6418"/>
    <w:rsid w:val="00DB724A"/>
    <w:rsid w:val="00DB75DE"/>
    <w:rsid w:val="00DB7BFC"/>
    <w:rsid w:val="00DB7E84"/>
    <w:rsid w:val="00DB7E8D"/>
    <w:rsid w:val="00DB7F13"/>
    <w:rsid w:val="00DC0193"/>
    <w:rsid w:val="00DC0438"/>
    <w:rsid w:val="00DC055D"/>
    <w:rsid w:val="00DC0A0A"/>
    <w:rsid w:val="00DC0CC6"/>
    <w:rsid w:val="00DC1012"/>
    <w:rsid w:val="00DC18D8"/>
    <w:rsid w:val="00DC1B37"/>
    <w:rsid w:val="00DC1B98"/>
    <w:rsid w:val="00DC1C8F"/>
    <w:rsid w:val="00DC2E46"/>
    <w:rsid w:val="00DC385C"/>
    <w:rsid w:val="00DC3EB5"/>
    <w:rsid w:val="00DC4256"/>
    <w:rsid w:val="00DC44D7"/>
    <w:rsid w:val="00DC4871"/>
    <w:rsid w:val="00DC4A86"/>
    <w:rsid w:val="00DC4B41"/>
    <w:rsid w:val="00DC586A"/>
    <w:rsid w:val="00DC58E6"/>
    <w:rsid w:val="00DC5DFF"/>
    <w:rsid w:val="00DC5E68"/>
    <w:rsid w:val="00DC6A15"/>
    <w:rsid w:val="00DC72A3"/>
    <w:rsid w:val="00DC74CB"/>
    <w:rsid w:val="00DC782C"/>
    <w:rsid w:val="00DC7942"/>
    <w:rsid w:val="00DC7A8C"/>
    <w:rsid w:val="00DC7C1D"/>
    <w:rsid w:val="00DD0688"/>
    <w:rsid w:val="00DD0825"/>
    <w:rsid w:val="00DD0A52"/>
    <w:rsid w:val="00DD134A"/>
    <w:rsid w:val="00DD19CB"/>
    <w:rsid w:val="00DD21F9"/>
    <w:rsid w:val="00DD2AD0"/>
    <w:rsid w:val="00DD3001"/>
    <w:rsid w:val="00DD32FE"/>
    <w:rsid w:val="00DD37AC"/>
    <w:rsid w:val="00DD45AA"/>
    <w:rsid w:val="00DD4C18"/>
    <w:rsid w:val="00DD4DDA"/>
    <w:rsid w:val="00DD50DE"/>
    <w:rsid w:val="00DD512F"/>
    <w:rsid w:val="00DD58FB"/>
    <w:rsid w:val="00DD5D64"/>
    <w:rsid w:val="00DD5DFE"/>
    <w:rsid w:val="00DD6103"/>
    <w:rsid w:val="00DD61DC"/>
    <w:rsid w:val="00DD6473"/>
    <w:rsid w:val="00DD72CE"/>
    <w:rsid w:val="00DD7ED9"/>
    <w:rsid w:val="00DD7F12"/>
    <w:rsid w:val="00DE058A"/>
    <w:rsid w:val="00DE0CAE"/>
    <w:rsid w:val="00DE0F33"/>
    <w:rsid w:val="00DE1214"/>
    <w:rsid w:val="00DE1AA1"/>
    <w:rsid w:val="00DE2122"/>
    <w:rsid w:val="00DE2D9D"/>
    <w:rsid w:val="00DE3025"/>
    <w:rsid w:val="00DE38E4"/>
    <w:rsid w:val="00DE45BA"/>
    <w:rsid w:val="00DE478B"/>
    <w:rsid w:val="00DE49E5"/>
    <w:rsid w:val="00DE4B5C"/>
    <w:rsid w:val="00DE54AA"/>
    <w:rsid w:val="00DE5F11"/>
    <w:rsid w:val="00DE6034"/>
    <w:rsid w:val="00DE60F8"/>
    <w:rsid w:val="00DE6473"/>
    <w:rsid w:val="00DE7109"/>
    <w:rsid w:val="00DE7458"/>
    <w:rsid w:val="00DE763D"/>
    <w:rsid w:val="00DE764B"/>
    <w:rsid w:val="00DE7A82"/>
    <w:rsid w:val="00DE7E8D"/>
    <w:rsid w:val="00DF0410"/>
    <w:rsid w:val="00DF1C7E"/>
    <w:rsid w:val="00DF2238"/>
    <w:rsid w:val="00DF223A"/>
    <w:rsid w:val="00DF3077"/>
    <w:rsid w:val="00DF30DD"/>
    <w:rsid w:val="00DF3339"/>
    <w:rsid w:val="00DF360D"/>
    <w:rsid w:val="00DF3628"/>
    <w:rsid w:val="00DF3FCA"/>
    <w:rsid w:val="00DF3FF6"/>
    <w:rsid w:val="00DF4501"/>
    <w:rsid w:val="00DF4E3E"/>
    <w:rsid w:val="00DF57D9"/>
    <w:rsid w:val="00DF596C"/>
    <w:rsid w:val="00DF5EFD"/>
    <w:rsid w:val="00DF5F7D"/>
    <w:rsid w:val="00DF60B9"/>
    <w:rsid w:val="00DF60BA"/>
    <w:rsid w:val="00DF63B7"/>
    <w:rsid w:val="00DF698A"/>
    <w:rsid w:val="00DF6AB2"/>
    <w:rsid w:val="00DF6DAE"/>
    <w:rsid w:val="00DF70E6"/>
    <w:rsid w:val="00DF7499"/>
    <w:rsid w:val="00DF7FDB"/>
    <w:rsid w:val="00E002DC"/>
    <w:rsid w:val="00E0039A"/>
    <w:rsid w:val="00E0043A"/>
    <w:rsid w:val="00E00569"/>
    <w:rsid w:val="00E010CD"/>
    <w:rsid w:val="00E01206"/>
    <w:rsid w:val="00E01B30"/>
    <w:rsid w:val="00E02020"/>
    <w:rsid w:val="00E02727"/>
    <w:rsid w:val="00E02782"/>
    <w:rsid w:val="00E027AF"/>
    <w:rsid w:val="00E02B25"/>
    <w:rsid w:val="00E02BA7"/>
    <w:rsid w:val="00E02BB9"/>
    <w:rsid w:val="00E02CF9"/>
    <w:rsid w:val="00E02EF5"/>
    <w:rsid w:val="00E0404A"/>
    <w:rsid w:val="00E04060"/>
    <w:rsid w:val="00E041C5"/>
    <w:rsid w:val="00E04352"/>
    <w:rsid w:val="00E0453D"/>
    <w:rsid w:val="00E05516"/>
    <w:rsid w:val="00E05FA6"/>
    <w:rsid w:val="00E05FED"/>
    <w:rsid w:val="00E0620F"/>
    <w:rsid w:val="00E06496"/>
    <w:rsid w:val="00E0794F"/>
    <w:rsid w:val="00E1027D"/>
    <w:rsid w:val="00E1159E"/>
    <w:rsid w:val="00E11D66"/>
    <w:rsid w:val="00E1225F"/>
    <w:rsid w:val="00E12982"/>
    <w:rsid w:val="00E12CA9"/>
    <w:rsid w:val="00E130DC"/>
    <w:rsid w:val="00E13521"/>
    <w:rsid w:val="00E13784"/>
    <w:rsid w:val="00E138CA"/>
    <w:rsid w:val="00E1396F"/>
    <w:rsid w:val="00E13D7A"/>
    <w:rsid w:val="00E13F8E"/>
    <w:rsid w:val="00E14C01"/>
    <w:rsid w:val="00E14E84"/>
    <w:rsid w:val="00E15A2F"/>
    <w:rsid w:val="00E1681E"/>
    <w:rsid w:val="00E16D7E"/>
    <w:rsid w:val="00E17072"/>
    <w:rsid w:val="00E17512"/>
    <w:rsid w:val="00E17615"/>
    <w:rsid w:val="00E17856"/>
    <w:rsid w:val="00E203EB"/>
    <w:rsid w:val="00E2123D"/>
    <w:rsid w:val="00E218B6"/>
    <w:rsid w:val="00E223AA"/>
    <w:rsid w:val="00E230A0"/>
    <w:rsid w:val="00E23F02"/>
    <w:rsid w:val="00E24729"/>
    <w:rsid w:val="00E24F8D"/>
    <w:rsid w:val="00E25474"/>
    <w:rsid w:val="00E25C7B"/>
    <w:rsid w:val="00E2796B"/>
    <w:rsid w:val="00E27CDE"/>
    <w:rsid w:val="00E322C4"/>
    <w:rsid w:val="00E32353"/>
    <w:rsid w:val="00E32EE5"/>
    <w:rsid w:val="00E32EEF"/>
    <w:rsid w:val="00E32F93"/>
    <w:rsid w:val="00E33596"/>
    <w:rsid w:val="00E339D0"/>
    <w:rsid w:val="00E33BA8"/>
    <w:rsid w:val="00E33D59"/>
    <w:rsid w:val="00E341EB"/>
    <w:rsid w:val="00E34E7A"/>
    <w:rsid w:val="00E3502B"/>
    <w:rsid w:val="00E35C1B"/>
    <w:rsid w:val="00E35EB3"/>
    <w:rsid w:val="00E36411"/>
    <w:rsid w:val="00E3665F"/>
    <w:rsid w:val="00E37585"/>
    <w:rsid w:val="00E376F6"/>
    <w:rsid w:val="00E377E2"/>
    <w:rsid w:val="00E379F7"/>
    <w:rsid w:val="00E40E06"/>
    <w:rsid w:val="00E41245"/>
    <w:rsid w:val="00E4139C"/>
    <w:rsid w:val="00E4142A"/>
    <w:rsid w:val="00E4197A"/>
    <w:rsid w:val="00E419EA"/>
    <w:rsid w:val="00E41B76"/>
    <w:rsid w:val="00E423D6"/>
    <w:rsid w:val="00E42C03"/>
    <w:rsid w:val="00E43039"/>
    <w:rsid w:val="00E43251"/>
    <w:rsid w:val="00E44AEA"/>
    <w:rsid w:val="00E450A9"/>
    <w:rsid w:val="00E456A3"/>
    <w:rsid w:val="00E45744"/>
    <w:rsid w:val="00E45C9C"/>
    <w:rsid w:val="00E45D9C"/>
    <w:rsid w:val="00E46055"/>
    <w:rsid w:val="00E46103"/>
    <w:rsid w:val="00E46ECC"/>
    <w:rsid w:val="00E47107"/>
    <w:rsid w:val="00E47288"/>
    <w:rsid w:val="00E47381"/>
    <w:rsid w:val="00E47CEB"/>
    <w:rsid w:val="00E47D4B"/>
    <w:rsid w:val="00E47E09"/>
    <w:rsid w:val="00E5010A"/>
    <w:rsid w:val="00E5091D"/>
    <w:rsid w:val="00E50A03"/>
    <w:rsid w:val="00E50C94"/>
    <w:rsid w:val="00E50D64"/>
    <w:rsid w:val="00E5178E"/>
    <w:rsid w:val="00E51DBA"/>
    <w:rsid w:val="00E52460"/>
    <w:rsid w:val="00E52E81"/>
    <w:rsid w:val="00E5311E"/>
    <w:rsid w:val="00E53134"/>
    <w:rsid w:val="00E53388"/>
    <w:rsid w:val="00E535B2"/>
    <w:rsid w:val="00E536FC"/>
    <w:rsid w:val="00E5407F"/>
    <w:rsid w:val="00E54ACD"/>
    <w:rsid w:val="00E54B2B"/>
    <w:rsid w:val="00E54CB3"/>
    <w:rsid w:val="00E54D76"/>
    <w:rsid w:val="00E54D7F"/>
    <w:rsid w:val="00E553C9"/>
    <w:rsid w:val="00E556C3"/>
    <w:rsid w:val="00E55DC0"/>
    <w:rsid w:val="00E56508"/>
    <w:rsid w:val="00E5653F"/>
    <w:rsid w:val="00E56CF0"/>
    <w:rsid w:val="00E570CF"/>
    <w:rsid w:val="00E5747E"/>
    <w:rsid w:val="00E5778B"/>
    <w:rsid w:val="00E600EB"/>
    <w:rsid w:val="00E604E4"/>
    <w:rsid w:val="00E60BC7"/>
    <w:rsid w:val="00E6122C"/>
    <w:rsid w:val="00E6134B"/>
    <w:rsid w:val="00E61632"/>
    <w:rsid w:val="00E61652"/>
    <w:rsid w:val="00E61669"/>
    <w:rsid w:val="00E61F80"/>
    <w:rsid w:val="00E6244F"/>
    <w:rsid w:val="00E626FD"/>
    <w:rsid w:val="00E62ED7"/>
    <w:rsid w:val="00E6359D"/>
    <w:rsid w:val="00E63729"/>
    <w:rsid w:val="00E6393D"/>
    <w:rsid w:val="00E64209"/>
    <w:rsid w:val="00E643C8"/>
    <w:rsid w:val="00E65399"/>
    <w:rsid w:val="00E65476"/>
    <w:rsid w:val="00E659B8"/>
    <w:rsid w:val="00E65AB5"/>
    <w:rsid w:val="00E66B90"/>
    <w:rsid w:val="00E671F0"/>
    <w:rsid w:val="00E673DC"/>
    <w:rsid w:val="00E6759D"/>
    <w:rsid w:val="00E700EE"/>
    <w:rsid w:val="00E707D9"/>
    <w:rsid w:val="00E709C3"/>
    <w:rsid w:val="00E70DD7"/>
    <w:rsid w:val="00E71185"/>
    <w:rsid w:val="00E71859"/>
    <w:rsid w:val="00E71DA7"/>
    <w:rsid w:val="00E71F0B"/>
    <w:rsid w:val="00E723FF"/>
    <w:rsid w:val="00E72EE0"/>
    <w:rsid w:val="00E7372D"/>
    <w:rsid w:val="00E73787"/>
    <w:rsid w:val="00E73FBD"/>
    <w:rsid w:val="00E741FB"/>
    <w:rsid w:val="00E750C2"/>
    <w:rsid w:val="00E7520F"/>
    <w:rsid w:val="00E76816"/>
    <w:rsid w:val="00E775EE"/>
    <w:rsid w:val="00E77ACC"/>
    <w:rsid w:val="00E77DB6"/>
    <w:rsid w:val="00E77F0A"/>
    <w:rsid w:val="00E8046C"/>
    <w:rsid w:val="00E806E7"/>
    <w:rsid w:val="00E80F5B"/>
    <w:rsid w:val="00E82457"/>
    <w:rsid w:val="00E828F2"/>
    <w:rsid w:val="00E837F8"/>
    <w:rsid w:val="00E8482E"/>
    <w:rsid w:val="00E84AFD"/>
    <w:rsid w:val="00E8560A"/>
    <w:rsid w:val="00E85618"/>
    <w:rsid w:val="00E856C0"/>
    <w:rsid w:val="00E85B52"/>
    <w:rsid w:val="00E8679C"/>
    <w:rsid w:val="00E869D0"/>
    <w:rsid w:val="00E879EA"/>
    <w:rsid w:val="00E87AE1"/>
    <w:rsid w:val="00E87BCB"/>
    <w:rsid w:val="00E90307"/>
    <w:rsid w:val="00E91580"/>
    <w:rsid w:val="00E91A7E"/>
    <w:rsid w:val="00E91FED"/>
    <w:rsid w:val="00E921D4"/>
    <w:rsid w:val="00E921D7"/>
    <w:rsid w:val="00E92352"/>
    <w:rsid w:val="00E9254B"/>
    <w:rsid w:val="00E931A1"/>
    <w:rsid w:val="00E93332"/>
    <w:rsid w:val="00E94A76"/>
    <w:rsid w:val="00E95949"/>
    <w:rsid w:val="00E95FB9"/>
    <w:rsid w:val="00E960A3"/>
    <w:rsid w:val="00E96991"/>
    <w:rsid w:val="00E97363"/>
    <w:rsid w:val="00E97425"/>
    <w:rsid w:val="00E974A4"/>
    <w:rsid w:val="00E9762B"/>
    <w:rsid w:val="00E97A09"/>
    <w:rsid w:val="00E97AB8"/>
    <w:rsid w:val="00E97D85"/>
    <w:rsid w:val="00E97DA8"/>
    <w:rsid w:val="00EA0784"/>
    <w:rsid w:val="00EA1607"/>
    <w:rsid w:val="00EA1943"/>
    <w:rsid w:val="00EA1ADF"/>
    <w:rsid w:val="00EA1BFB"/>
    <w:rsid w:val="00EA339B"/>
    <w:rsid w:val="00EA35A2"/>
    <w:rsid w:val="00EA36C5"/>
    <w:rsid w:val="00EA3896"/>
    <w:rsid w:val="00EA389B"/>
    <w:rsid w:val="00EA3DB6"/>
    <w:rsid w:val="00EA3FCA"/>
    <w:rsid w:val="00EA4A67"/>
    <w:rsid w:val="00EA559F"/>
    <w:rsid w:val="00EA63F7"/>
    <w:rsid w:val="00EA6A3A"/>
    <w:rsid w:val="00EA6A92"/>
    <w:rsid w:val="00EA6DB7"/>
    <w:rsid w:val="00EA7806"/>
    <w:rsid w:val="00EA7CB4"/>
    <w:rsid w:val="00EA7E28"/>
    <w:rsid w:val="00EB0B19"/>
    <w:rsid w:val="00EB140A"/>
    <w:rsid w:val="00EB273E"/>
    <w:rsid w:val="00EB2AF8"/>
    <w:rsid w:val="00EB2E09"/>
    <w:rsid w:val="00EB3010"/>
    <w:rsid w:val="00EB3461"/>
    <w:rsid w:val="00EB34FB"/>
    <w:rsid w:val="00EB3864"/>
    <w:rsid w:val="00EB397D"/>
    <w:rsid w:val="00EB3F9D"/>
    <w:rsid w:val="00EB45A7"/>
    <w:rsid w:val="00EB5B77"/>
    <w:rsid w:val="00EB5DC6"/>
    <w:rsid w:val="00EB5F34"/>
    <w:rsid w:val="00EB706E"/>
    <w:rsid w:val="00EB7467"/>
    <w:rsid w:val="00EB755C"/>
    <w:rsid w:val="00EB7D0F"/>
    <w:rsid w:val="00EC0A33"/>
    <w:rsid w:val="00EC0CDF"/>
    <w:rsid w:val="00EC2EB9"/>
    <w:rsid w:val="00EC463F"/>
    <w:rsid w:val="00EC5523"/>
    <w:rsid w:val="00EC591A"/>
    <w:rsid w:val="00EC5DDC"/>
    <w:rsid w:val="00EC6236"/>
    <w:rsid w:val="00EC6388"/>
    <w:rsid w:val="00EC677F"/>
    <w:rsid w:val="00EC699B"/>
    <w:rsid w:val="00EC707D"/>
    <w:rsid w:val="00EC728F"/>
    <w:rsid w:val="00EC73D4"/>
    <w:rsid w:val="00EC73EA"/>
    <w:rsid w:val="00EC7577"/>
    <w:rsid w:val="00EC7E54"/>
    <w:rsid w:val="00ED0030"/>
    <w:rsid w:val="00ED064F"/>
    <w:rsid w:val="00ED17DB"/>
    <w:rsid w:val="00ED1B67"/>
    <w:rsid w:val="00ED1CBA"/>
    <w:rsid w:val="00ED1D22"/>
    <w:rsid w:val="00ED1F71"/>
    <w:rsid w:val="00ED237E"/>
    <w:rsid w:val="00ED3017"/>
    <w:rsid w:val="00ED30C0"/>
    <w:rsid w:val="00ED3331"/>
    <w:rsid w:val="00ED45E0"/>
    <w:rsid w:val="00ED4983"/>
    <w:rsid w:val="00ED56D9"/>
    <w:rsid w:val="00ED58D8"/>
    <w:rsid w:val="00ED64A8"/>
    <w:rsid w:val="00ED6924"/>
    <w:rsid w:val="00ED713B"/>
    <w:rsid w:val="00ED7146"/>
    <w:rsid w:val="00EE1765"/>
    <w:rsid w:val="00EE19B8"/>
    <w:rsid w:val="00EE1A07"/>
    <w:rsid w:val="00EE1CA8"/>
    <w:rsid w:val="00EE24B2"/>
    <w:rsid w:val="00EE2F93"/>
    <w:rsid w:val="00EE3129"/>
    <w:rsid w:val="00EE31BD"/>
    <w:rsid w:val="00EE31F6"/>
    <w:rsid w:val="00EE32CC"/>
    <w:rsid w:val="00EE3417"/>
    <w:rsid w:val="00EE3543"/>
    <w:rsid w:val="00EE35D2"/>
    <w:rsid w:val="00EE367E"/>
    <w:rsid w:val="00EE3CB2"/>
    <w:rsid w:val="00EE3DDB"/>
    <w:rsid w:val="00EE4455"/>
    <w:rsid w:val="00EE4D4D"/>
    <w:rsid w:val="00EE51C7"/>
    <w:rsid w:val="00EE522C"/>
    <w:rsid w:val="00EE5617"/>
    <w:rsid w:val="00EE5F8E"/>
    <w:rsid w:val="00EE6F14"/>
    <w:rsid w:val="00EE7044"/>
    <w:rsid w:val="00EE79CC"/>
    <w:rsid w:val="00EF0064"/>
    <w:rsid w:val="00EF00B9"/>
    <w:rsid w:val="00EF028C"/>
    <w:rsid w:val="00EF02A2"/>
    <w:rsid w:val="00EF0324"/>
    <w:rsid w:val="00EF0562"/>
    <w:rsid w:val="00EF06E6"/>
    <w:rsid w:val="00EF07F3"/>
    <w:rsid w:val="00EF1AB7"/>
    <w:rsid w:val="00EF1C6D"/>
    <w:rsid w:val="00EF26DA"/>
    <w:rsid w:val="00EF28D9"/>
    <w:rsid w:val="00EF2C0A"/>
    <w:rsid w:val="00EF36B9"/>
    <w:rsid w:val="00EF37E3"/>
    <w:rsid w:val="00EF3CEC"/>
    <w:rsid w:val="00EF3F23"/>
    <w:rsid w:val="00EF49D5"/>
    <w:rsid w:val="00EF523D"/>
    <w:rsid w:val="00EF5CC3"/>
    <w:rsid w:val="00EF62E3"/>
    <w:rsid w:val="00EF69E2"/>
    <w:rsid w:val="00EF6C7D"/>
    <w:rsid w:val="00EF7056"/>
    <w:rsid w:val="00EF783F"/>
    <w:rsid w:val="00EF7889"/>
    <w:rsid w:val="00F0060B"/>
    <w:rsid w:val="00F0073A"/>
    <w:rsid w:val="00F00B5E"/>
    <w:rsid w:val="00F00E5A"/>
    <w:rsid w:val="00F0144C"/>
    <w:rsid w:val="00F0177B"/>
    <w:rsid w:val="00F01E9D"/>
    <w:rsid w:val="00F02093"/>
    <w:rsid w:val="00F0221A"/>
    <w:rsid w:val="00F0228D"/>
    <w:rsid w:val="00F02604"/>
    <w:rsid w:val="00F02641"/>
    <w:rsid w:val="00F03033"/>
    <w:rsid w:val="00F032BB"/>
    <w:rsid w:val="00F03FBA"/>
    <w:rsid w:val="00F04B76"/>
    <w:rsid w:val="00F04BE3"/>
    <w:rsid w:val="00F04C64"/>
    <w:rsid w:val="00F04EA7"/>
    <w:rsid w:val="00F061CE"/>
    <w:rsid w:val="00F0671E"/>
    <w:rsid w:val="00F06AAF"/>
    <w:rsid w:val="00F072A5"/>
    <w:rsid w:val="00F07BDC"/>
    <w:rsid w:val="00F07D3B"/>
    <w:rsid w:val="00F1054B"/>
    <w:rsid w:val="00F10811"/>
    <w:rsid w:val="00F11145"/>
    <w:rsid w:val="00F11191"/>
    <w:rsid w:val="00F11827"/>
    <w:rsid w:val="00F1197C"/>
    <w:rsid w:val="00F11A6F"/>
    <w:rsid w:val="00F12B0E"/>
    <w:rsid w:val="00F12E92"/>
    <w:rsid w:val="00F1305A"/>
    <w:rsid w:val="00F13188"/>
    <w:rsid w:val="00F13697"/>
    <w:rsid w:val="00F14592"/>
    <w:rsid w:val="00F14618"/>
    <w:rsid w:val="00F1513F"/>
    <w:rsid w:val="00F15147"/>
    <w:rsid w:val="00F162D4"/>
    <w:rsid w:val="00F173EF"/>
    <w:rsid w:val="00F1752F"/>
    <w:rsid w:val="00F176FF"/>
    <w:rsid w:val="00F1784F"/>
    <w:rsid w:val="00F17A05"/>
    <w:rsid w:val="00F2058B"/>
    <w:rsid w:val="00F206EE"/>
    <w:rsid w:val="00F207B6"/>
    <w:rsid w:val="00F20B04"/>
    <w:rsid w:val="00F21290"/>
    <w:rsid w:val="00F212A0"/>
    <w:rsid w:val="00F219A7"/>
    <w:rsid w:val="00F21B4E"/>
    <w:rsid w:val="00F220F1"/>
    <w:rsid w:val="00F22B6F"/>
    <w:rsid w:val="00F22F9A"/>
    <w:rsid w:val="00F23548"/>
    <w:rsid w:val="00F23620"/>
    <w:rsid w:val="00F23B63"/>
    <w:rsid w:val="00F2446C"/>
    <w:rsid w:val="00F24C6D"/>
    <w:rsid w:val="00F24D9E"/>
    <w:rsid w:val="00F24FE7"/>
    <w:rsid w:val="00F25589"/>
    <w:rsid w:val="00F25AE6"/>
    <w:rsid w:val="00F261F6"/>
    <w:rsid w:val="00F2685D"/>
    <w:rsid w:val="00F26AEC"/>
    <w:rsid w:val="00F26CBA"/>
    <w:rsid w:val="00F26FD7"/>
    <w:rsid w:val="00F271BA"/>
    <w:rsid w:val="00F271DB"/>
    <w:rsid w:val="00F27263"/>
    <w:rsid w:val="00F27382"/>
    <w:rsid w:val="00F27413"/>
    <w:rsid w:val="00F3053D"/>
    <w:rsid w:val="00F305CA"/>
    <w:rsid w:val="00F30867"/>
    <w:rsid w:val="00F30BCC"/>
    <w:rsid w:val="00F30FB0"/>
    <w:rsid w:val="00F3167A"/>
    <w:rsid w:val="00F31E23"/>
    <w:rsid w:val="00F3209B"/>
    <w:rsid w:val="00F3214C"/>
    <w:rsid w:val="00F323F0"/>
    <w:rsid w:val="00F32697"/>
    <w:rsid w:val="00F331DD"/>
    <w:rsid w:val="00F33F8D"/>
    <w:rsid w:val="00F34559"/>
    <w:rsid w:val="00F35434"/>
    <w:rsid w:val="00F35A62"/>
    <w:rsid w:val="00F360BE"/>
    <w:rsid w:val="00F3615C"/>
    <w:rsid w:val="00F36A79"/>
    <w:rsid w:val="00F36B6A"/>
    <w:rsid w:val="00F36D02"/>
    <w:rsid w:val="00F371D4"/>
    <w:rsid w:val="00F3720A"/>
    <w:rsid w:val="00F37CB6"/>
    <w:rsid w:val="00F37F65"/>
    <w:rsid w:val="00F4010B"/>
    <w:rsid w:val="00F40874"/>
    <w:rsid w:val="00F40C7A"/>
    <w:rsid w:val="00F40E50"/>
    <w:rsid w:val="00F41FD6"/>
    <w:rsid w:val="00F4200D"/>
    <w:rsid w:val="00F423E0"/>
    <w:rsid w:val="00F424C3"/>
    <w:rsid w:val="00F4285A"/>
    <w:rsid w:val="00F4370F"/>
    <w:rsid w:val="00F43C4E"/>
    <w:rsid w:val="00F43CB9"/>
    <w:rsid w:val="00F43D99"/>
    <w:rsid w:val="00F43E69"/>
    <w:rsid w:val="00F44096"/>
    <w:rsid w:val="00F44254"/>
    <w:rsid w:val="00F44431"/>
    <w:rsid w:val="00F44527"/>
    <w:rsid w:val="00F453AF"/>
    <w:rsid w:val="00F45EDC"/>
    <w:rsid w:val="00F4646F"/>
    <w:rsid w:val="00F467F0"/>
    <w:rsid w:val="00F46E42"/>
    <w:rsid w:val="00F4702C"/>
    <w:rsid w:val="00F47721"/>
    <w:rsid w:val="00F47AEF"/>
    <w:rsid w:val="00F5054C"/>
    <w:rsid w:val="00F505B8"/>
    <w:rsid w:val="00F51763"/>
    <w:rsid w:val="00F51787"/>
    <w:rsid w:val="00F5183C"/>
    <w:rsid w:val="00F52028"/>
    <w:rsid w:val="00F53325"/>
    <w:rsid w:val="00F53E8C"/>
    <w:rsid w:val="00F53EFE"/>
    <w:rsid w:val="00F5544A"/>
    <w:rsid w:val="00F557A2"/>
    <w:rsid w:val="00F56591"/>
    <w:rsid w:val="00F566F8"/>
    <w:rsid w:val="00F56887"/>
    <w:rsid w:val="00F568BE"/>
    <w:rsid w:val="00F56EF3"/>
    <w:rsid w:val="00F57B76"/>
    <w:rsid w:val="00F57D91"/>
    <w:rsid w:val="00F57DB7"/>
    <w:rsid w:val="00F57E8F"/>
    <w:rsid w:val="00F604CD"/>
    <w:rsid w:val="00F60BA2"/>
    <w:rsid w:val="00F610A1"/>
    <w:rsid w:val="00F61160"/>
    <w:rsid w:val="00F616FB"/>
    <w:rsid w:val="00F618D8"/>
    <w:rsid w:val="00F62060"/>
    <w:rsid w:val="00F6217B"/>
    <w:rsid w:val="00F621B9"/>
    <w:rsid w:val="00F62991"/>
    <w:rsid w:val="00F62EC7"/>
    <w:rsid w:val="00F634F6"/>
    <w:rsid w:val="00F6383F"/>
    <w:rsid w:val="00F63858"/>
    <w:rsid w:val="00F6440F"/>
    <w:rsid w:val="00F64DBD"/>
    <w:rsid w:val="00F65452"/>
    <w:rsid w:val="00F65CD8"/>
    <w:rsid w:val="00F665BC"/>
    <w:rsid w:val="00F66C4C"/>
    <w:rsid w:val="00F66C50"/>
    <w:rsid w:val="00F6742A"/>
    <w:rsid w:val="00F67F96"/>
    <w:rsid w:val="00F67FB9"/>
    <w:rsid w:val="00F701A5"/>
    <w:rsid w:val="00F7057A"/>
    <w:rsid w:val="00F71352"/>
    <w:rsid w:val="00F71C4C"/>
    <w:rsid w:val="00F71E7B"/>
    <w:rsid w:val="00F71EFA"/>
    <w:rsid w:val="00F720E9"/>
    <w:rsid w:val="00F7240A"/>
    <w:rsid w:val="00F72588"/>
    <w:rsid w:val="00F72638"/>
    <w:rsid w:val="00F7333C"/>
    <w:rsid w:val="00F73562"/>
    <w:rsid w:val="00F73A12"/>
    <w:rsid w:val="00F73B78"/>
    <w:rsid w:val="00F73BAD"/>
    <w:rsid w:val="00F73CB7"/>
    <w:rsid w:val="00F73E8D"/>
    <w:rsid w:val="00F74D19"/>
    <w:rsid w:val="00F7504D"/>
    <w:rsid w:val="00F760B7"/>
    <w:rsid w:val="00F76841"/>
    <w:rsid w:val="00F7686D"/>
    <w:rsid w:val="00F76FAB"/>
    <w:rsid w:val="00F77B4D"/>
    <w:rsid w:val="00F80261"/>
    <w:rsid w:val="00F8082B"/>
    <w:rsid w:val="00F80954"/>
    <w:rsid w:val="00F80C96"/>
    <w:rsid w:val="00F80DB6"/>
    <w:rsid w:val="00F80E15"/>
    <w:rsid w:val="00F814A1"/>
    <w:rsid w:val="00F81A6B"/>
    <w:rsid w:val="00F82D68"/>
    <w:rsid w:val="00F83642"/>
    <w:rsid w:val="00F84019"/>
    <w:rsid w:val="00F842BC"/>
    <w:rsid w:val="00F84A76"/>
    <w:rsid w:val="00F8545B"/>
    <w:rsid w:val="00F856AE"/>
    <w:rsid w:val="00F86539"/>
    <w:rsid w:val="00F86553"/>
    <w:rsid w:val="00F87362"/>
    <w:rsid w:val="00F875C0"/>
    <w:rsid w:val="00F87B07"/>
    <w:rsid w:val="00F900DB"/>
    <w:rsid w:val="00F908C8"/>
    <w:rsid w:val="00F90A5C"/>
    <w:rsid w:val="00F91384"/>
    <w:rsid w:val="00F917C5"/>
    <w:rsid w:val="00F917E6"/>
    <w:rsid w:val="00F91872"/>
    <w:rsid w:val="00F91A81"/>
    <w:rsid w:val="00F91B44"/>
    <w:rsid w:val="00F91E24"/>
    <w:rsid w:val="00F921AF"/>
    <w:rsid w:val="00F921B9"/>
    <w:rsid w:val="00F92359"/>
    <w:rsid w:val="00F926C9"/>
    <w:rsid w:val="00F92AB9"/>
    <w:rsid w:val="00F92D46"/>
    <w:rsid w:val="00F93043"/>
    <w:rsid w:val="00F9385F"/>
    <w:rsid w:val="00F93EAE"/>
    <w:rsid w:val="00F943F7"/>
    <w:rsid w:val="00F94603"/>
    <w:rsid w:val="00F94880"/>
    <w:rsid w:val="00F94916"/>
    <w:rsid w:val="00F94FAF"/>
    <w:rsid w:val="00F954BD"/>
    <w:rsid w:val="00F95CEB"/>
    <w:rsid w:val="00F964FE"/>
    <w:rsid w:val="00F96837"/>
    <w:rsid w:val="00F976A3"/>
    <w:rsid w:val="00F97770"/>
    <w:rsid w:val="00F97CEF"/>
    <w:rsid w:val="00FA0ED5"/>
    <w:rsid w:val="00FA15A8"/>
    <w:rsid w:val="00FA1E1A"/>
    <w:rsid w:val="00FA1FDB"/>
    <w:rsid w:val="00FA1FE9"/>
    <w:rsid w:val="00FA2165"/>
    <w:rsid w:val="00FA2349"/>
    <w:rsid w:val="00FA2C7A"/>
    <w:rsid w:val="00FA2DAC"/>
    <w:rsid w:val="00FA33D2"/>
    <w:rsid w:val="00FA3410"/>
    <w:rsid w:val="00FA3496"/>
    <w:rsid w:val="00FA3B63"/>
    <w:rsid w:val="00FA3DC8"/>
    <w:rsid w:val="00FA4408"/>
    <w:rsid w:val="00FA4F74"/>
    <w:rsid w:val="00FA5053"/>
    <w:rsid w:val="00FA53DC"/>
    <w:rsid w:val="00FA542C"/>
    <w:rsid w:val="00FA5AC6"/>
    <w:rsid w:val="00FA5AC7"/>
    <w:rsid w:val="00FA5E48"/>
    <w:rsid w:val="00FA698D"/>
    <w:rsid w:val="00FA7833"/>
    <w:rsid w:val="00FB016C"/>
    <w:rsid w:val="00FB03BC"/>
    <w:rsid w:val="00FB0F54"/>
    <w:rsid w:val="00FB1A20"/>
    <w:rsid w:val="00FB304D"/>
    <w:rsid w:val="00FB392F"/>
    <w:rsid w:val="00FB3D9F"/>
    <w:rsid w:val="00FB3FF0"/>
    <w:rsid w:val="00FB4A43"/>
    <w:rsid w:val="00FB4E93"/>
    <w:rsid w:val="00FB4F46"/>
    <w:rsid w:val="00FB541C"/>
    <w:rsid w:val="00FB587C"/>
    <w:rsid w:val="00FB592D"/>
    <w:rsid w:val="00FB5CF8"/>
    <w:rsid w:val="00FB5D4E"/>
    <w:rsid w:val="00FB64E6"/>
    <w:rsid w:val="00FB673C"/>
    <w:rsid w:val="00FB6F47"/>
    <w:rsid w:val="00FB72D2"/>
    <w:rsid w:val="00FB76E5"/>
    <w:rsid w:val="00FB7CB3"/>
    <w:rsid w:val="00FB7FC3"/>
    <w:rsid w:val="00FC1E0E"/>
    <w:rsid w:val="00FC1FD9"/>
    <w:rsid w:val="00FC2764"/>
    <w:rsid w:val="00FC284A"/>
    <w:rsid w:val="00FC2D8B"/>
    <w:rsid w:val="00FC36AA"/>
    <w:rsid w:val="00FC377C"/>
    <w:rsid w:val="00FC3D1F"/>
    <w:rsid w:val="00FC4012"/>
    <w:rsid w:val="00FC48A2"/>
    <w:rsid w:val="00FC520D"/>
    <w:rsid w:val="00FC58CC"/>
    <w:rsid w:val="00FC5D67"/>
    <w:rsid w:val="00FC64B1"/>
    <w:rsid w:val="00FC6847"/>
    <w:rsid w:val="00FC6868"/>
    <w:rsid w:val="00FC68CE"/>
    <w:rsid w:val="00FC6BE6"/>
    <w:rsid w:val="00FC7014"/>
    <w:rsid w:val="00FC71E1"/>
    <w:rsid w:val="00FC72C2"/>
    <w:rsid w:val="00FC7529"/>
    <w:rsid w:val="00FC7A68"/>
    <w:rsid w:val="00FD0102"/>
    <w:rsid w:val="00FD0147"/>
    <w:rsid w:val="00FD087D"/>
    <w:rsid w:val="00FD0C00"/>
    <w:rsid w:val="00FD0EA9"/>
    <w:rsid w:val="00FD1239"/>
    <w:rsid w:val="00FD2D18"/>
    <w:rsid w:val="00FD31DA"/>
    <w:rsid w:val="00FD3306"/>
    <w:rsid w:val="00FD34CD"/>
    <w:rsid w:val="00FD36B1"/>
    <w:rsid w:val="00FD3D60"/>
    <w:rsid w:val="00FD3FE4"/>
    <w:rsid w:val="00FD4BD6"/>
    <w:rsid w:val="00FD56BB"/>
    <w:rsid w:val="00FD600C"/>
    <w:rsid w:val="00FD6072"/>
    <w:rsid w:val="00FD6495"/>
    <w:rsid w:val="00FD65D3"/>
    <w:rsid w:val="00FD68FA"/>
    <w:rsid w:val="00FD6E8A"/>
    <w:rsid w:val="00FD741E"/>
    <w:rsid w:val="00FD7923"/>
    <w:rsid w:val="00FE0430"/>
    <w:rsid w:val="00FE0955"/>
    <w:rsid w:val="00FE0B4F"/>
    <w:rsid w:val="00FE0CEF"/>
    <w:rsid w:val="00FE0FDC"/>
    <w:rsid w:val="00FE2433"/>
    <w:rsid w:val="00FE2700"/>
    <w:rsid w:val="00FE2861"/>
    <w:rsid w:val="00FE30C5"/>
    <w:rsid w:val="00FE3288"/>
    <w:rsid w:val="00FE3BC7"/>
    <w:rsid w:val="00FE4976"/>
    <w:rsid w:val="00FE56DE"/>
    <w:rsid w:val="00FE59FD"/>
    <w:rsid w:val="00FE65E4"/>
    <w:rsid w:val="00FE66C8"/>
    <w:rsid w:val="00FE6ADC"/>
    <w:rsid w:val="00FE7A5B"/>
    <w:rsid w:val="00FE7F98"/>
    <w:rsid w:val="00FF0BF7"/>
    <w:rsid w:val="00FF1441"/>
    <w:rsid w:val="00FF14FE"/>
    <w:rsid w:val="00FF178A"/>
    <w:rsid w:val="00FF2001"/>
    <w:rsid w:val="00FF23E3"/>
    <w:rsid w:val="00FF2B0F"/>
    <w:rsid w:val="00FF2E7F"/>
    <w:rsid w:val="00FF2F04"/>
    <w:rsid w:val="00FF306D"/>
    <w:rsid w:val="00FF3247"/>
    <w:rsid w:val="00FF357A"/>
    <w:rsid w:val="00FF391D"/>
    <w:rsid w:val="00FF392C"/>
    <w:rsid w:val="00FF47BA"/>
    <w:rsid w:val="00FF4AAC"/>
    <w:rsid w:val="00FF4D32"/>
    <w:rsid w:val="00FF4F27"/>
    <w:rsid w:val="00FF4F61"/>
    <w:rsid w:val="00FF5441"/>
    <w:rsid w:val="00FF5A7B"/>
    <w:rsid w:val="00FF6C09"/>
    <w:rsid w:val="00FF7C4E"/>
    <w:rsid w:val="1FFFA04D"/>
    <w:rsid w:val="202492BC"/>
    <w:rsid w:val="2273CD13"/>
    <w:rsid w:val="2ADAC97C"/>
    <w:rsid w:val="2D512883"/>
    <w:rsid w:val="2E60B656"/>
    <w:rsid w:val="6CACB89E"/>
    <w:rsid w:val="78A61388"/>
    <w:rsid w:val="7EE14D7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B06DF"/>
  <w15:chartTrackingRefBased/>
  <w15:docId w15:val="{A9C7FE39-FC53-41FD-815C-9A7E25065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uiPriority w:val="9"/>
    <w:qFormat/>
    <w:rsid w:val="0083428E"/>
    <w:pPr>
      <w:numPr>
        <w:numId w:val="17"/>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3428E"/>
    <w:pPr>
      <w:keepNext/>
      <w:keepLines/>
      <w:numPr>
        <w:ilvl w:val="2"/>
        <w:numId w:val="17"/>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CD580E"/>
    <w:pPr>
      <w:numPr>
        <w:numId w:val="24"/>
      </w:numPr>
      <w:contextualSpacing/>
    </w:pPr>
  </w:style>
  <w:style w:type="paragraph" w:styleId="ListBullet2">
    <w:name w:val="List Bullet 2"/>
    <w:basedOn w:val="Normal"/>
    <w:uiPriority w:val="1"/>
    <w:qFormat/>
    <w:rsid w:val="008F6F1A"/>
    <w:pPr>
      <w:numPr>
        <w:ilvl w:val="1"/>
        <w:numId w:val="24"/>
      </w:numPr>
      <w:contextualSpacing/>
    </w:pPr>
  </w:style>
  <w:style w:type="paragraph" w:styleId="ListNumber">
    <w:name w:val="List Number"/>
    <w:basedOn w:val="Normal"/>
    <w:uiPriority w:val="2"/>
    <w:qFormat/>
    <w:rsid w:val="00D31C8E"/>
    <w:pPr>
      <w:numPr>
        <w:numId w:val="25"/>
      </w:numPr>
      <w:spacing w:before="6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numPr>
        <w:ilvl w:val="1"/>
        <w:numId w:val="25"/>
      </w:numPr>
      <w:tabs>
        <w:tab w:val="num" w:pos="360"/>
      </w:tabs>
      <w:spacing w:before="60"/>
      <w:ind w:left="0" w:firstLine="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11"/>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24"/>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25"/>
      </w:numPr>
      <w:tabs>
        <w:tab w:val="num" w:pos="360"/>
      </w:tabs>
      <w:spacing w:before="60"/>
      <w:ind w:left="0" w:firstLine="0"/>
      <w:contextualSpacing/>
    </w:pPr>
  </w:style>
  <w:style w:type="paragraph" w:styleId="ListNumber4">
    <w:name w:val="List Number 4"/>
    <w:basedOn w:val="Normal"/>
    <w:uiPriority w:val="13"/>
    <w:semiHidden/>
    <w:qFormat/>
    <w:rsid w:val="009C6075"/>
    <w:pPr>
      <w:numPr>
        <w:ilvl w:val="3"/>
        <w:numId w:val="25"/>
      </w:numPr>
      <w:spacing w:after="200" w:line="293" w:lineRule="auto"/>
      <w:contextualSpacing/>
    </w:pPr>
  </w:style>
  <w:style w:type="paragraph" w:styleId="ListNumber5">
    <w:name w:val="List Number 5"/>
    <w:basedOn w:val="Normal"/>
    <w:uiPriority w:val="13"/>
    <w:semiHidden/>
    <w:rsid w:val="009C6075"/>
    <w:pPr>
      <w:numPr>
        <w:ilvl w:val="4"/>
        <w:numId w:val="25"/>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83428E"/>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0"/>
      </w:numPr>
      <w:spacing w:before="60"/>
    </w:pPr>
  </w:style>
  <w:style w:type="paragraph" w:styleId="List2">
    <w:name w:val="List 2"/>
    <w:basedOn w:val="Normal"/>
    <w:uiPriority w:val="99"/>
    <w:semiHidden/>
    <w:qFormat/>
    <w:rsid w:val="00F04EA7"/>
    <w:pPr>
      <w:numPr>
        <w:ilvl w:val="1"/>
        <w:numId w:val="10"/>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unhideWhenUsed/>
    <w:rsid w:val="006F1092"/>
    <w:pPr>
      <w:spacing w:before="60" w:after="60" w:line="293" w:lineRule="auto"/>
      <w:contextualSpacing/>
    </w:pPr>
    <w:rPr>
      <w:sz w:val="18"/>
    </w:rPr>
  </w:style>
  <w:style w:type="paragraph" w:styleId="TOC1">
    <w:name w:val="toc 1"/>
    <w:basedOn w:val="Normal"/>
    <w:next w:val="BodyText"/>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6F1092"/>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C047D1"/>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6"/>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7"/>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8"/>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0"/>
      </w:numPr>
      <w:contextualSpacing/>
    </w:pPr>
  </w:style>
  <w:style w:type="paragraph" w:styleId="List3">
    <w:name w:val="List 3"/>
    <w:basedOn w:val="Normal"/>
    <w:uiPriority w:val="99"/>
    <w:semiHidden/>
    <w:rsid w:val="00F04EA7"/>
    <w:pPr>
      <w:numPr>
        <w:ilvl w:val="2"/>
        <w:numId w:val="10"/>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11"/>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ind w:left="681"/>
    </w:pPr>
  </w:style>
  <w:style w:type="paragraph" w:customStyle="1" w:styleId="ListAlpha4">
    <w:name w:val="List Alpha 4"/>
    <w:basedOn w:val="ListAlpha3"/>
    <w:uiPriority w:val="3"/>
    <w:semiHidden/>
    <w:qFormat/>
    <w:rsid w:val="0005774F"/>
    <w:pPr>
      <w:numPr>
        <w:ilvl w:val="3"/>
      </w:numPr>
    </w:pPr>
  </w:style>
  <w:style w:type="numbering" w:customStyle="1" w:styleId="Alphalist">
    <w:name w:val="Alpha list"/>
    <w:uiPriority w:val="99"/>
    <w:rsid w:val="00A50CD9"/>
    <w:pPr>
      <w:numPr>
        <w:numId w:val="9"/>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D580E"/>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next w:val="BodyText"/>
    <w:uiPriority w:val="9"/>
    <w:qFormat/>
    <w:rsid w:val="00C047D1"/>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2"/>
      </w:numPr>
    </w:pPr>
  </w:style>
  <w:style w:type="numbering" w:customStyle="1" w:styleId="TableList">
    <w:name w:val="TableList"/>
    <w:uiPriority w:val="99"/>
    <w:rsid w:val="004400E8"/>
    <w:pPr>
      <w:numPr>
        <w:numId w:val="12"/>
      </w:numPr>
    </w:pPr>
  </w:style>
  <w:style w:type="paragraph" w:customStyle="1" w:styleId="Footer-right">
    <w:name w:val="Footer-right"/>
    <w:basedOn w:val="Footer"/>
    <w:uiPriority w:val="11"/>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AA1BE2"/>
    <w:pPr>
      <w:numPr>
        <w:numId w:val="16"/>
      </w:numPr>
    </w:pPr>
  </w:style>
  <w:style w:type="numbering" w:customStyle="1" w:styleId="AppendixHeading">
    <w:name w:val="AppendixHeading"/>
    <w:uiPriority w:val="99"/>
    <w:rsid w:val="00484E96"/>
    <w:pPr>
      <w:numPr>
        <w:numId w:val="14"/>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AA1BE2"/>
    <w:pPr>
      <w:numPr>
        <w:ilvl w:val="1"/>
        <w:numId w:val="16"/>
      </w:numPr>
    </w:pPr>
  </w:style>
  <w:style w:type="numbering" w:customStyle="1" w:styleId="AppendixHeadingList">
    <w:name w:val="Appendix Heading List"/>
    <w:uiPriority w:val="99"/>
    <w:rsid w:val="001F15E0"/>
    <w:pPr>
      <w:numPr>
        <w:numId w:val="15"/>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CD580E"/>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character" w:styleId="Mention">
    <w:name w:val="Mention"/>
    <w:basedOn w:val="DefaultParagraphFont"/>
    <w:uiPriority w:val="99"/>
    <w:unhideWhenUsed/>
    <w:rsid w:val="00055A4A"/>
    <w:rPr>
      <w:color w:val="2B579A"/>
      <w:shd w:val="clear" w:color="auto" w:fill="E1DFDD"/>
    </w:rPr>
  </w:style>
  <w:style w:type="paragraph" w:customStyle="1" w:styleId="TableListBullet">
    <w:name w:val="Table List Bullet"/>
    <w:basedOn w:val="ListBullet"/>
    <w:uiPriority w:val="10"/>
    <w:qFormat/>
    <w:rsid w:val="00462BBE"/>
    <w:pPr>
      <w:spacing w:before="0" w:after="20"/>
      <w:ind w:left="170" w:hanging="113"/>
    </w:pPr>
  </w:style>
  <w:style w:type="character" w:styleId="FollowedHyperlink">
    <w:name w:val="FollowedHyperlink"/>
    <w:basedOn w:val="DefaultParagraphFont"/>
    <w:uiPriority w:val="99"/>
    <w:semiHidden/>
    <w:unhideWhenUsed/>
    <w:rsid w:val="00462BBE"/>
    <w:rPr>
      <w:color w:val="BFBFBF" w:themeColor="followedHyperlink"/>
      <w:u w:val="single"/>
    </w:rPr>
  </w:style>
  <w:style w:type="paragraph" w:customStyle="1" w:styleId="paragraph">
    <w:name w:val="paragraph"/>
    <w:basedOn w:val="Normal"/>
    <w:rsid w:val="00462B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62BBE"/>
  </w:style>
  <w:style w:type="character" w:customStyle="1" w:styleId="eop">
    <w:name w:val="eop"/>
    <w:basedOn w:val="DefaultParagraphFont"/>
    <w:rsid w:val="00462BBE"/>
  </w:style>
  <w:style w:type="character" w:styleId="EndnoteReference">
    <w:name w:val="endnote reference"/>
    <w:basedOn w:val="DefaultParagraphFont"/>
    <w:uiPriority w:val="99"/>
    <w:semiHidden/>
    <w:unhideWhenUsed/>
    <w:rsid w:val="00462BBE"/>
    <w:rPr>
      <w:vertAlign w:val="superscript"/>
    </w:rPr>
  </w:style>
  <w:style w:type="paragraph" w:styleId="NormalWeb">
    <w:name w:val="Normal (Web)"/>
    <w:basedOn w:val="Normal"/>
    <w:uiPriority w:val="99"/>
    <w:semiHidden/>
    <w:unhideWhenUsed/>
    <w:rsid w:val="00BA0AF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BA0AF0"/>
    <w:pPr>
      <w:spacing w:after="240" w:line="240" w:lineRule="atLeast"/>
      <w:ind w:left="720" w:hanging="720"/>
    </w:pPr>
  </w:style>
  <w:style w:type="paragraph" w:styleId="EndnoteText">
    <w:name w:val="endnote text"/>
    <w:basedOn w:val="Normal"/>
    <w:link w:val="EndnoteTextChar"/>
    <w:uiPriority w:val="99"/>
    <w:semiHidden/>
    <w:unhideWhenUsed/>
    <w:rsid w:val="00BA0AF0"/>
    <w:pPr>
      <w:spacing w:before="0" w:after="0" w:line="240" w:lineRule="auto"/>
    </w:pPr>
  </w:style>
  <w:style w:type="character" w:customStyle="1" w:styleId="EndnoteTextChar">
    <w:name w:val="Endnote Text Char"/>
    <w:basedOn w:val="DefaultParagraphFont"/>
    <w:link w:val="EndnoteText"/>
    <w:uiPriority w:val="99"/>
    <w:semiHidden/>
    <w:rsid w:val="00BA0AF0"/>
    <w:rPr>
      <w:sz w:val="20"/>
      <w:szCs w:val="20"/>
    </w:rPr>
  </w:style>
  <w:style w:type="table" w:styleId="PlainTable1">
    <w:name w:val="Plain Table 1"/>
    <w:basedOn w:val="TableNormal"/>
    <w:uiPriority w:val="41"/>
    <w:rsid w:val="008F43A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footer" Target="footer10.xml"/><Relationship Id="rId21" Type="http://schemas.openxmlformats.org/officeDocument/2006/relationships/image" Target="media/image3.png"/><Relationship Id="rId34" Type="http://schemas.openxmlformats.org/officeDocument/2006/relationships/header" Target="header10.xml"/><Relationship Id="rId42" Type="http://schemas.openxmlformats.org/officeDocument/2006/relationships/image" Target="media/image8.emf"/><Relationship Id="rId47" Type="http://schemas.openxmlformats.org/officeDocument/2006/relationships/image" Target="media/image13.emf"/><Relationship Id="rId50" Type="http://schemas.openxmlformats.org/officeDocument/2006/relationships/footer" Target="footer11.xml"/><Relationship Id="rId55" Type="http://schemas.openxmlformats.org/officeDocument/2006/relationships/image" Target="media/image16.emf"/><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8.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image" Target="media/image11.emf"/><Relationship Id="rId53" Type="http://schemas.openxmlformats.org/officeDocument/2006/relationships/footer" Target="footer13.xml"/><Relationship Id="rId58" Type="http://schemas.openxmlformats.org/officeDocument/2006/relationships/footer" Target="footer14.xml"/><Relationship Id="rId5" Type="http://schemas.openxmlformats.org/officeDocument/2006/relationships/customXml" Target="../customXml/item5.xml"/><Relationship Id="rId61" Type="http://schemas.openxmlformats.org/officeDocument/2006/relationships/footer" Target="footer16.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svg"/><Relationship Id="rId27" Type="http://schemas.openxmlformats.org/officeDocument/2006/relationships/header" Target="header6.xml"/><Relationship Id="rId30" Type="http://schemas.openxmlformats.org/officeDocument/2006/relationships/footer" Target="footer6.xml"/><Relationship Id="rId35" Type="http://schemas.openxmlformats.org/officeDocument/2006/relationships/image" Target="media/image5.png"/><Relationship Id="rId43" Type="http://schemas.openxmlformats.org/officeDocument/2006/relationships/image" Target="media/image9.emf"/><Relationship Id="rId48" Type="http://schemas.openxmlformats.org/officeDocument/2006/relationships/image" Target="media/image14.emf"/><Relationship Id="rId56" Type="http://schemas.openxmlformats.org/officeDocument/2006/relationships/image" Target="media/image17.emf"/><Relationship Id="rId8" Type="http://schemas.openxmlformats.org/officeDocument/2006/relationships/numbering" Target="numbering.xml"/><Relationship Id="rId51"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footer" Target="footer9.xml"/><Relationship Id="rId46" Type="http://schemas.openxmlformats.org/officeDocument/2006/relationships/image" Target="media/image12.emf"/><Relationship Id="rId59" Type="http://schemas.openxmlformats.org/officeDocument/2006/relationships/footer" Target="footer15.xml"/><Relationship Id="rId20" Type="http://schemas.openxmlformats.org/officeDocument/2006/relationships/image" Target="media/image2.png"/><Relationship Id="rId41" Type="http://schemas.openxmlformats.org/officeDocument/2006/relationships/image" Target="media/image7.emf"/><Relationship Id="rId54" Type="http://schemas.openxmlformats.org/officeDocument/2006/relationships/image" Target="media/image15.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6.svg"/><Relationship Id="rId49" Type="http://schemas.openxmlformats.org/officeDocument/2006/relationships/header" Target="header13.xml"/><Relationship Id="rId57" Type="http://schemas.openxmlformats.org/officeDocument/2006/relationships/header" Target="header15.xml"/><Relationship Id="rId10" Type="http://schemas.openxmlformats.org/officeDocument/2006/relationships/settings" Target="settings.xml"/><Relationship Id="rId31" Type="http://schemas.openxmlformats.org/officeDocument/2006/relationships/footer" Target="footer7.xml"/><Relationship Id="rId44" Type="http://schemas.openxmlformats.org/officeDocument/2006/relationships/image" Target="media/image10.emf"/><Relationship Id="rId52" Type="http://schemas.openxmlformats.org/officeDocument/2006/relationships/header" Target="header14.xml"/><Relationship Id="rId60"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TemplateConfiguration><![CDATA[{"elementsMetadata":[],"transformationConfigurations":[],"templateName":"overview","templateDescription":"Includes overview title page.","enableDocumentContentUpdater":false,"version":"2.0"}]]></TemplafyTemplate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336dd71c351fb34a20116ffa59370395">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1bb69663ba3db705c95d3ae5fe2ffe5f"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FormConfiguration><![CDATA[{"formFields":[],"formDataEntries":[]}]]></TemplafyFormConfiguration>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thumbnail xmlns="3d385984-9344-419b-a80b-49c06a2bdab8" xsi:nil="true"/>
    <Status xmlns="3d385984-9344-419b-a80b-49c06a2bdab8" xsi:nil="true"/>
    <_Flow_SignoffStatus xmlns="3d385984-9344-419b-a80b-49c06a2bdab8" xsi:nil="true"/>
    <_dlc_DocId xmlns="20393cdf-440a-4521-8f19-00ba43423d00">MPWT-2140667901-96800</_dlc_DocId>
    <_dlc_DocIdUrl xmlns="20393cdf-440a-4521-8f19-00ba43423d00">
      <Url>https://pcgov.sharepoint.com/sites/sceteam/_layouts/15/DocIdRedir.aspx?ID=MPWT-2140667901-96800</Url>
      <Description>MPWT-2140667901-96800</Description>
    </_dlc_DocIdUrl>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955CA3CF-B8F8-44F3-93CD-E3B068A02647}">
  <ds:schemaRefs>
    <ds:schemaRef ds:uri="http://schemas.microsoft.com/sharepoint/v3/contenttype/forms"/>
  </ds:schemaRefs>
</ds:datastoreItem>
</file>

<file path=customXml/itemProps4.xml><?xml version="1.0" encoding="utf-8"?>
<ds:datastoreItem xmlns:ds="http://schemas.openxmlformats.org/officeDocument/2006/customXml" ds:itemID="{A2BAFDDF-91DA-4647-A71E-AA988652BB15}">
  <ds:schemaRefs>
    <ds:schemaRef ds:uri="http://schemas.microsoft.com/sharepoint/events"/>
  </ds:schemaRefs>
</ds:datastoreItem>
</file>

<file path=customXml/itemProps5.xml><?xml version="1.0" encoding="utf-8"?>
<ds:datastoreItem xmlns:ds="http://schemas.openxmlformats.org/officeDocument/2006/customXml" ds:itemID="{A0C83055-F16B-47A8-A70F-0F438157C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897F752-2238-441E-ABA5-DB8C10DEA577}">
  <ds:schemaRefs/>
</ds:datastoreItem>
</file>

<file path=customXml/itemProps7.xml><?xml version="1.0" encoding="utf-8"?>
<ds:datastoreItem xmlns:ds="http://schemas.openxmlformats.org/officeDocument/2006/customXml" ds:itemID="{E28FBE85-8E3D-4108-B8C9-6EAA3D1C0FA1}">
  <ds:schemaRefs>
    <ds:schemaRef ds:uri="http://schemas.microsoft.com/office/2006/metadata/properties"/>
    <ds:schemaRef ds:uri="http://schemas.microsoft.com/office/infopath/2007/PartnerControls"/>
    <ds:schemaRef ds:uri="3d385984-9344-419b-a80b-49c06a2bdab8"/>
    <ds:schemaRef ds:uri="20393cdf-440a-4521-8f19-00ba43423d00"/>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3921</TotalTime>
  <Pages>1</Pages>
  <Words>12986</Words>
  <Characters>77011</Characters>
  <Application>Microsoft Office Word</Application>
  <DocSecurity>0</DocSecurity>
  <Lines>1750</Lines>
  <Paragraphs>1153</Paragraphs>
  <ScaleCrop>false</ScaleCrop>
  <HeadingPairs>
    <vt:vector size="2" baseType="variant">
      <vt:variant>
        <vt:lpstr>Title</vt:lpstr>
      </vt:variant>
      <vt:variant>
        <vt:i4>1</vt:i4>
      </vt:variant>
    </vt:vector>
  </HeadingPairs>
  <TitlesOfParts>
    <vt:vector size="1" baseType="lpstr">
      <vt:lpstr>Improving health outcomes through hospital funding arrangements</vt:lpstr>
    </vt:vector>
  </TitlesOfParts>
  <Company>Productivity Commission</Company>
  <LinksUpToDate>false</LinksUpToDate>
  <CharactersWithSpaces>88844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health outcomes through hospital funding arrangements</dc:title>
  <dc:subject/>
  <dc:creator>Productivity Commission</dc:creator>
  <cp:keywords/>
  <dc:description/>
  <cp:lastModifiedBy>Chris Alston</cp:lastModifiedBy>
  <cp:revision>85</cp:revision>
  <cp:lastPrinted>2026-04-14T04:01:00Z</cp:lastPrinted>
  <dcterms:created xsi:type="dcterms:W3CDTF">2026-04-09T00:02:00Z</dcterms:created>
  <dcterms:modified xsi:type="dcterms:W3CDTF">2026-04-14T04:02:00Z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637629323565654539</vt:lpwstr>
  </property>
  <property fmtid="{D5CDD505-2E9C-101B-9397-08002B2CF9AE}" pid="4" name="TemplafyUserProfileId">
    <vt:lpwstr>637819626421537082</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MediaServiceImageTags">
    <vt:lpwstr/>
  </property>
  <property fmtid="{D5CDD505-2E9C-101B-9397-08002B2CF9AE}" pid="9" name="docLang">
    <vt:lpwstr>en</vt:lpwstr>
  </property>
  <property fmtid="{D5CDD505-2E9C-101B-9397-08002B2CF9AE}" pid="10" name="_dlc_DocIdItemGuid">
    <vt:lpwstr>6c46fbfa-92be-4725-a8bc-32be74815dbd</vt:lpwstr>
  </property>
  <property fmtid="{D5CDD505-2E9C-101B-9397-08002B2CF9AE}" pid="11" name="MSIP_Label_c1f2b1ce-4212-46db-a901-dd8453f57141_Enabled">
    <vt:lpwstr>true</vt:lpwstr>
  </property>
  <property fmtid="{D5CDD505-2E9C-101B-9397-08002B2CF9AE}" pid="12" name="MSIP_Label_c1f2b1ce-4212-46db-a901-dd8453f57141_SetDate">
    <vt:lpwstr>2026-03-08T08:09:00Z</vt:lpwstr>
  </property>
  <property fmtid="{D5CDD505-2E9C-101B-9397-08002B2CF9AE}" pid="13" name="MSIP_Label_c1f2b1ce-4212-46db-a901-dd8453f57141_Method">
    <vt:lpwstr>Privileged</vt:lpwstr>
  </property>
  <property fmtid="{D5CDD505-2E9C-101B-9397-08002B2CF9AE}" pid="14" name="MSIP_Label_c1f2b1ce-4212-46db-a901-dd8453f57141_Name">
    <vt:lpwstr>Publish</vt:lpwstr>
  </property>
  <property fmtid="{D5CDD505-2E9C-101B-9397-08002B2CF9AE}" pid="15" name="MSIP_Label_c1f2b1ce-4212-46db-a901-dd8453f57141_SiteId">
    <vt:lpwstr>29f9330b-c0fe-4244-830e-ba9f275d6c34</vt:lpwstr>
  </property>
  <property fmtid="{D5CDD505-2E9C-101B-9397-08002B2CF9AE}" pid="16" name="MSIP_Label_c1f2b1ce-4212-46db-a901-dd8453f57141_ActionId">
    <vt:lpwstr>5c652163-1850-4168-a601-6936b790bd09</vt:lpwstr>
  </property>
  <property fmtid="{D5CDD505-2E9C-101B-9397-08002B2CF9AE}" pid="17" name="MSIP_Label_c1f2b1ce-4212-46db-a901-dd8453f57141_ContentBits">
    <vt:lpwstr>0</vt:lpwstr>
  </property>
  <property fmtid="{D5CDD505-2E9C-101B-9397-08002B2CF9AE}" pid="18" name="MSIP_Label_c1f2b1ce-4212-46db-a901-dd8453f57141_Tag">
    <vt:lpwstr>10, 0, 1, 1</vt:lpwstr>
  </property>
  <property fmtid="{D5CDD505-2E9C-101B-9397-08002B2CF9AE}" pid="19" name="ZOTERO_PREF_2">
    <vt:lpwstr>ournalAbbreviations" value="true"/&gt;&lt;/prefs&gt;&lt;/data&gt;</vt:lpwstr>
  </property>
  <property fmtid="{D5CDD505-2E9C-101B-9397-08002B2CF9AE}" pid="20" name="ZOTERO_PREF_1">
    <vt:lpwstr>&lt;data data-version="3" zotero-version="8.0.4"&gt;&lt;session id="8Ss0u7kM"/&gt;&lt;style id="http://www.zotero.org/styles/Productivity-Commission" hasBibliography="1" bibliographyStyleHasBeenSet="1"/&gt;&lt;prefs&gt;&lt;pref name="fieldType" value="Field"/&gt;&lt;pref name="automaticJ</vt:lpwstr>
  </property>
</Properties>
</file>