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F80A" w14:textId="70C3EA0E" w:rsidR="00D83413" w:rsidRPr="00D83413" w:rsidRDefault="00D83413" w:rsidP="00533EFD">
      <w:pPr>
        <w:pStyle w:val="paragraph"/>
        <w:spacing w:before="0" w:beforeAutospacing="0" w:after="120" w:afterAutospacing="0"/>
        <w:textAlignment w:val="baseline"/>
        <w:rPr>
          <w:rStyle w:val="normaltextrun"/>
          <w:rFonts w:asciiTheme="minorHAnsi" w:eastAsiaTheme="majorEastAsia" w:hAnsiTheme="minorHAnsi" w:cstheme="minorHAnsi"/>
          <w:b/>
          <w:color w:val="6D2B14"/>
          <w:sz w:val="24"/>
          <w:lang w:val="en-US" w:eastAsia="en-US"/>
        </w:rPr>
      </w:pPr>
      <w:r w:rsidRPr="00D83413">
        <w:rPr>
          <w:rStyle w:val="normaltextrun"/>
          <w:rFonts w:asciiTheme="minorHAnsi" w:eastAsiaTheme="majorEastAsia" w:hAnsiTheme="minorHAnsi" w:cstheme="minorHAnsi"/>
          <w:b/>
          <w:sz w:val="24"/>
          <w:lang w:val="en-US"/>
        </w:rPr>
        <w:t xml:space="preserve">Notes </w:t>
      </w:r>
      <w:r>
        <w:rPr>
          <w:rStyle w:val="normaltextrun"/>
          <w:rFonts w:asciiTheme="minorHAnsi" w:eastAsiaTheme="majorEastAsia" w:hAnsiTheme="minorHAnsi" w:cstheme="minorHAnsi"/>
          <w:b/>
          <w:sz w:val="24"/>
          <w:lang w:val="en-US"/>
        </w:rPr>
        <w:t xml:space="preserve">to contribute </w:t>
      </w:r>
      <w:proofErr w:type="gramStart"/>
      <w:r>
        <w:rPr>
          <w:rStyle w:val="normaltextrun"/>
          <w:rFonts w:asciiTheme="minorHAnsi" w:eastAsiaTheme="majorEastAsia" w:hAnsiTheme="minorHAnsi" w:cstheme="minorHAnsi"/>
          <w:b/>
          <w:sz w:val="24"/>
          <w:lang w:val="en-US"/>
        </w:rPr>
        <w:t>towards</w:t>
      </w:r>
      <w:proofErr w:type="gramEnd"/>
      <w:r>
        <w:rPr>
          <w:rStyle w:val="normaltextrun"/>
          <w:rFonts w:asciiTheme="minorHAnsi" w:eastAsiaTheme="majorEastAsia" w:hAnsiTheme="minorHAnsi" w:cstheme="minorHAnsi"/>
          <w:b/>
          <w:sz w:val="24"/>
          <w:lang w:val="en-US"/>
        </w:rPr>
        <w:t xml:space="preserve"> the preparation of the Interim Update of the</w:t>
      </w:r>
      <w:r w:rsidRPr="00D83413">
        <w:rPr>
          <w:rStyle w:val="normaltextrun"/>
          <w:rFonts w:asciiTheme="minorHAnsi" w:eastAsiaTheme="majorEastAsia" w:hAnsiTheme="minorHAnsi" w:cstheme="minorHAnsi"/>
          <w:b/>
          <w:sz w:val="24"/>
          <w:lang w:val="en-US"/>
        </w:rPr>
        <w:t xml:space="preserve"> Productivity Commission’s 2026 Review of the National Water Initiative</w:t>
      </w:r>
      <w:r>
        <w:rPr>
          <w:rStyle w:val="normaltextrun"/>
          <w:rFonts w:asciiTheme="minorHAnsi" w:eastAsiaTheme="majorEastAsia" w:hAnsiTheme="minorHAnsi" w:cstheme="minorHAnsi"/>
          <w:b/>
          <w:sz w:val="24"/>
          <w:lang w:val="en-US"/>
        </w:rPr>
        <w:t>. 24 April 2026.</w:t>
      </w:r>
    </w:p>
    <w:p w14:paraId="68EEC622" w14:textId="77777777" w:rsidR="00533EFD" w:rsidRPr="00422D1B" w:rsidRDefault="00533EFD" w:rsidP="00533EFD">
      <w:pPr>
        <w:pStyle w:val="paragraph"/>
        <w:spacing w:before="0" w:beforeAutospacing="0" w:after="120" w:afterAutospacing="0"/>
        <w:textAlignment w:val="baseline"/>
        <w:rPr>
          <w:rStyle w:val="normaltextrun"/>
          <w:rFonts w:asciiTheme="minorHAnsi" w:eastAsiaTheme="majorEastAsia" w:hAnsiTheme="minorHAnsi" w:cstheme="minorHAnsi"/>
          <w:b/>
          <w:color w:val="6D2B14"/>
          <w:sz w:val="24"/>
          <w:lang w:val="en-US" w:eastAsia="en-US"/>
        </w:rPr>
      </w:pPr>
      <w:r w:rsidRPr="00422D1B">
        <w:rPr>
          <w:rStyle w:val="normaltextrun"/>
          <w:rFonts w:asciiTheme="minorHAnsi" w:eastAsiaTheme="majorEastAsia" w:hAnsiTheme="minorHAnsi" w:cstheme="minorHAnsi"/>
          <w:b/>
          <w:color w:val="6D2B14"/>
          <w:sz w:val="24"/>
          <w:lang w:val="en-US" w:eastAsia="en-US"/>
        </w:rPr>
        <w:t>Introduction</w:t>
      </w:r>
    </w:p>
    <w:p w14:paraId="2B33F4A6" w14:textId="57853F80" w:rsidR="00533EFD" w:rsidRDefault="00533EFD" w:rsidP="00533EFD">
      <w:pPr>
        <w:pStyle w:val="paragraph"/>
        <w:spacing w:before="0" w:beforeAutospacing="0" w:after="120" w:afterAutospacing="0"/>
        <w:textAlignment w:val="baseline"/>
        <w:rPr>
          <w:rStyle w:val="normaltextrun"/>
          <w:rFonts w:asciiTheme="minorHAnsi" w:eastAsiaTheme="majorEastAsia" w:hAnsiTheme="minorHAnsi" w:cstheme="minorHAnsi"/>
          <w:sz w:val="24"/>
          <w:lang w:val="en-US"/>
        </w:rPr>
      </w:pPr>
      <w:r w:rsidRPr="00A4453D">
        <w:rPr>
          <w:rStyle w:val="normaltextrun"/>
          <w:rFonts w:asciiTheme="minorHAnsi" w:eastAsiaTheme="majorEastAsia" w:hAnsiTheme="minorHAnsi" w:cstheme="minorHAnsi"/>
          <w:sz w:val="24"/>
          <w:lang w:val="en-US"/>
        </w:rPr>
        <w:t xml:space="preserve">Dharriwaa Elders Group (DEG) is a longstanding Walgett Aboriginal community-controlled organization (ACCO), an incorporated charity which began operating as an association in 2000 after starting as a program of the Walgett Aboriginal Medical Service in the late 1990s. Its Full Members are Aboriginal people living in Walgett over the age of 60, and has been driven from its earliest days to act upon the deteriorating wellbeing of the waterways in its area of interest in a critical floodplain in the Northern Murray Darling Basin. </w:t>
      </w:r>
    </w:p>
    <w:p w14:paraId="033D462C" w14:textId="77777777" w:rsidR="00533EFD" w:rsidRPr="00422D1B" w:rsidRDefault="00533EFD" w:rsidP="00533EFD">
      <w:pPr>
        <w:spacing w:after="120"/>
        <w:rPr>
          <w:rStyle w:val="normaltextrun"/>
          <w:rFonts w:asciiTheme="minorHAnsi" w:eastAsiaTheme="majorEastAsia" w:hAnsiTheme="minorHAnsi" w:cstheme="minorHAnsi"/>
          <w:sz w:val="24"/>
          <w:szCs w:val="24"/>
          <w:lang w:val="en-US"/>
        </w:rPr>
      </w:pPr>
      <w:r w:rsidRPr="00422D1B">
        <w:rPr>
          <w:rStyle w:val="normaltextrun"/>
          <w:rFonts w:asciiTheme="minorHAnsi" w:eastAsiaTheme="majorEastAsia" w:hAnsiTheme="minorHAnsi" w:cstheme="minorHAnsi"/>
          <w:sz w:val="24"/>
          <w:szCs w:val="24"/>
          <w:lang w:val="en-US"/>
        </w:rPr>
        <w:t>Walgett is a river town of about 2,100 people, the majority Aboriginal. Walgett is where the Baawan (Barwon) and Ngamaay (Namoi) Rivers and many creeks, </w:t>
      </w:r>
      <w:proofErr w:type="spellStart"/>
      <w:r w:rsidRPr="00422D1B">
        <w:rPr>
          <w:rStyle w:val="normaltextrun"/>
          <w:rFonts w:asciiTheme="minorHAnsi" w:eastAsiaTheme="majorEastAsia" w:hAnsiTheme="minorHAnsi" w:cstheme="minorHAnsi"/>
          <w:sz w:val="24"/>
          <w:szCs w:val="24"/>
          <w:lang w:val="en-US"/>
        </w:rPr>
        <w:t>warrambuls</w:t>
      </w:r>
      <w:proofErr w:type="spellEnd"/>
      <w:r w:rsidRPr="00422D1B">
        <w:rPr>
          <w:rStyle w:val="normaltextrun"/>
          <w:rFonts w:asciiTheme="minorHAnsi" w:eastAsiaTheme="majorEastAsia" w:hAnsiTheme="minorHAnsi" w:cstheme="minorHAnsi"/>
          <w:sz w:val="24"/>
          <w:szCs w:val="24"/>
          <w:lang w:val="en-US"/>
        </w:rPr>
        <w:t> and lakes meet in a large floodplain wetland, upstream of Bourke. It is beside the end of the </w:t>
      </w:r>
      <w:proofErr w:type="spellStart"/>
      <w:r w:rsidRPr="00422D1B">
        <w:rPr>
          <w:rStyle w:val="normaltextrun"/>
          <w:rFonts w:asciiTheme="minorHAnsi" w:eastAsiaTheme="majorEastAsia" w:hAnsiTheme="minorHAnsi" w:cstheme="minorHAnsi"/>
          <w:sz w:val="24"/>
          <w:szCs w:val="24"/>
          <w:lang w:val="en-US"/>
        </w:rPr>
        <w:t>Wambuul</w:t>
      </w:r>
      <w:proofErr w:type="spellEnd"/>
      <w:r w:rsidRPr="00422D1B">
        <w:rPr>
          <w:rStyle w:val="normaltextrun"/>
          <w:rFonts w:asciiTheme="minorHAnsi" w:eastAsiaTheme="majorEastAsia" w:hAnsiTheme="minorHAnsi" w:cstheme="minorHAnsi"/>
          <w:sz w:val="24"/>
          <w:szCs w:val="24"/>
          <w:lang w:val="en-US"/>
        </w:rPr>
        <w:t> (Macquarie River). Walgett is now home to Gamilaraay, Yuwaalaraay, Ngiyambaa and Wayilwan Aboriginal Nations, as well other Aboriginal and </w:t>
      </w:r>
      <w:proofErr w:type="spellStart"/>
      <w:r w:rsidRPr="00422D1B">
        <w:rPr>
          <w:rStyle w:val="normaltextrun"/>
          <w:rFonts w:asciiTheme="minorHAnsi" w:eastAsiaTheme="majorEastAsia" w:hAnsiTheme="minorHAnsi" w:cstheme="minorHAnsi"/>
          <w:sz w:val="24"/>
          <w:szCs w:val="24"/>
          <w:lang w:val="en-US"/>
        </w:rPr>
        <w:t>non Aboriginal</w:t>
      </w:r>
      <w:proofErr w:type="spellEnd"/>
      <w:r w:rsidRPr="00422D1B">
        <w:rPr>
          <w:rStyle w:val="normaltextrun"/>
          <w:rFonts w:asciiTheme="minorHAnsi" w:eastAsiaTheme="majorEastAsia" w:hAnsiTheme="minorHAnsi" w:cstheme="minorHAnsi"/>
          <w:sz w:val="24"/>
          <w:szCs w:val="24"/>
          <w:lang w:val="en-US"/>
        </w:rPr>
        <w:t> people. </w:t>
      </w:r>
    </w:p>
    <w:p w14:paraId="60B9AC7F" w14:textId="3C5F23C4" w:rsidR="00533EFD" w:rsidRDefault="00533EFD" w:rsidP="00533EFD">
      <w:pPr>
        <w:spacing w:after="120"/>
        <w:rPr>
          <w:rStyle w:val="normaltextrun"/>
          <w:rFonts w:asciiTheme="minorHAnsi" w:eastAsiaTheme="majorEastAsia" w:hAnsiTheme="minorHAnsi" w:cstheme="minorHAnsi"/>
          <w:sz w:val="24"/>
          <w:szCs w:val="24"/>
          <w:lang w:val="en-US"/>
        </w:rPr>
      </w:pPr>
      <w:r w:rsidRPr="00422D1B">
        <w:rPr>
          <w:rStyle w:val="normaltextrun"/>
          <w:rFonts w:asciiTheme="minorHAnsi" w:eastAsiaTheme="majorEastAsia" w:hAnsiTheme="minorHAnsi" w:cstheme="minorHAnsi"/>
          <w:sz w:val="24"/>
          <w:szCs w:val="24"/>
          <w:lang w:val="en-US"/>
        </w:rPr>
        <w:t xml:space="preserve">Rivers </w:t>
      </w:r>
      <w:r>
        <w:rPr>
          <w:rStyle w:val="normaltextrun"/>
          <w:rFonts w:asciiTheme="minorHAnsi" w:eastAsiaTheme="majorEastAsia" w:hAnsiTheme="minorHAnsi" w:cstheme="minorHAnsi"/>
          <w:sz w:val="24"/>
          <w:szCs w:val="24"/>
          <w:lang w:val="en-US"/>
        </w:rPr>
        <w:t xml:space="preserve">and shallow groundwaters fed by the rivers </w:t>
      </w:r>
      <w:r w:rsidRPr="00422D1B">
        <w:rPr>
          <w:rStyle w:val="normaltextrun"/>
          <w:rFonts w:asciiTheme="minorHAnsi" w:eastAsiaTheme="majorEastAsia" w:hAnsiTheme="minorHAnsi" w:cstheme="minorHAnsi"/>
          <w:sz w:val="24"/>
          <w:szCs w:val="24"/>
          <w:lang w:val="en-US"/>
        </w:rPr>
        <w:t xml:space="preserve">have always been, and remain, central, to Walgett culture and life. For </w:t>
      </w:r>
      <w:r>
        <w:rPr>
          <w:rStyle w:val="normaltextrun"/>
          <w:rFonts w:asciiTheme="minorHAnsi" w:eastAsiaTheme="majorEastAsia" w:hAnsiTheme="minorHAnsi" w:cstheme="minorHAnsi"/>
          <w:sz w:val="24"/>
          <w:szCs w:val="24"/>
          <w:lang w:val="en-US"/>
        </w:rPr>
        <w:t>A</w:t>
      </w:r>
      <w:r w:rsidRPr="00422D1B">
        <w:rPr>
          <w:rStyle w:val="normaltextrun"/>
          <w:rFonts w:asciiTheme="minorHAnsi" w:eastAsiaTheme="majorEastAsia" w:hAnsiTheme="minorHAnsi" w:cstheme="minorHAnsi"/>
          <w:sz w:val="24"/>
          <w:szCs w:val="24"/>
          <w:lang w:val="en-US"/>
        </w:rPr>
        <w:t>boriginal people, the health of the rivers and people are </w:t>
      </w:r>
      <w:r>
        <w:rPr>
          <w:rStyle w:val="normaltextrun"/>
          <w:rFonts w:asciiTheme="minorHAnsi" w:eastAsiaTheme="majorEastAsia" w:hAnsiTheme="minorHAnsi" w:cstheme="minorHAnsi"/>
          <w:sz w:val="24"/>
          <w:szCs w:val="24"/>
          <w:lang w:val="en-US"/>
        </w:rPr>
        <w:t xml:space="preserve">totally </w:t>
      </w:r>
      <w:r w:rsidRPr="00422D1B">
        <w:rPr>
          <w:rStyle w:val="normaltextrun"/>
          <w:rFonts w:asciiTheme="minorHAnsi" w:eastAsiaTheme="majorEastAsia" w:hAnsiTheme="minorHAnsi" w:cstheme="minorHAnsi"/>
          <w:sz w:val="24"/>
          <w:szCs w:val="24"/>
          <w:lang w:val="en-US"/>
        </w:rPr>
        <w:t>connected. </w:t>
      </w:r>
    </w:p>
    <w:p w14:paraId="5E0DC258" w14:textId="64AFECE2" w:rsidR="00533EFD" w:rsidRPr="00422D1B" w:rsidRDefault="00533EFD" w:rsidP="00533EFD">
      <w:pPr>
        <w:spacing w:after="120"/>
        <w:rPr>
          <w:rStyle w:val="normaltextrun"/>
          <w:rFonts w:asciiTheme="minorHAnsi" w:eastAsiaTheme="majorEastAsia" w:hAnsiTheme="minorHAnsi" w:cstheme="minorHAnsi"/>
          <w:sz w:val="24"/>
          <w:szCs w:val="24"/>
          <w:lang w:val="en-US"/>
        </w:rPr>
      </w:pPr>
      <w:r>
        <w:rPr>
          <w:rStyle w:val="normaltextrun"/>
          <w:rFonts w:asciiTheme="minorHAnsi" w:eastAsiaTheme="majorEastAsia" w:hAnsiTheme="minorHAnsi" w:cstheme="minorHAnsi"/>
          <w:sz w:val="24"/>
          <w:szCs w:val="24"/>
          <w:lang w:val="en-US"/>
        </w:rPr>
        <w:t>DEG</w:t>
      </w:r>
      <w:r w:rsidRPr="00422D1B">
        <w:rPr>
          <w:rStyle w:val="normaltextrun"/>
          <w:rFonts w:asciiTheme="minorHAnsi" w:eastAsiaTheme="majorEastAsia" w:hAnsiTheme="minorHAnsi" w:cstheme="minorHAnsi"/>
          <w:sz w:val="24"/>
          <w:szCs w:val="24"/>
          <w:lang w:val="en-US"/>
        </w:rPr>
        <w:t xml:space="preserve"> members live with the drastic and measurable decline in river flows and river health. This is due to over extraction upstream and a fail</w:t>
      </w:r>
      <w:r w:rsidR="00ED6461">
        <w:rPr>
          <w:rStyle w:val="normaltextrun"/>
          <w:rFonts w:asciiTheme="minorHAnsi" w:eastAsiaTheme="majorEastAsia" w:hAnsiTheme="minorHAnsi" w:cstheme="minorHAnsi"/>
          <w:sz w:val="24"/>
          <w:szCs w:val="24"/>
          <w:lang w:val="en-US"/>
        </w:rPr>
        <w:t>ure to halt irrigation growth. We know what the solutions are to this situation. They include a</w:t>
      </w:r>
      <w:r w:rsidR="00ED6461" w:rsidRPr="00422D1B">
        <w:rPr>
          <w:rStyle w:val="normaltextrun"/>
          <w:rFonts w:asciiTheme="minorHAnsi" w:eastAsiaTheme="majorEastAsia" w:hAnsiTheme="minorHAnsi" w:cstheme="minorHAnsi"/>
          <w:sz w:val="24"/>
          <w:szCs w:val="24"/>
          <w:lang w:val="en-US"/>
        </w:rPr>
        <w:t xml:space="preserve"> strong, truly independent, fully funded regulator in the Murray-Darling Basin which is culturally and institutionally designed to be transparent and with a focus on enforcement.  </w:t>
      </w:r>
      <w:r w:rsidR="00ED6461">
        <w:rPr>
          <w:rStyle w:val="normaltextrun"/>
          <w:rFonts w:asciiTheme="minorHAnsi" w:eastAsiaTheme="majorEastAsia" w:hAnsiTheme="minorHAnsi" w:cstheme="minorHAnsi"/>
          <w:sz w:val="24"/>
          <w:szCs w:val="24"/>
          <w:lang w:val="en-US"/>
        </w:rPr>
        <w:t>They also include strong Commonwealth responses to redress the balance currently benefitting irrigators, to rebuild the health of rivers and waterways and recognize the continuing dispossession of waterways from Aboriginal communities’ enjoyment.</w:t>
      </w:r>
    </w:p>
    <w:p w14:paraId="723BE1D8" w14:textId="541715B1" w:rsidR="00ED6461" w:rsidRDefault="00533EFD" w:rsidP="007F28AE">
      <w:pPr>
        <w:spacing w:after="120"/>
        <w:rPr>
          <w:rStyle w:val="normaltextrun"/>
          <w:rFonts w:asciiTheme="minorHAnsi" w:eastAsiaTheme="majorEastAsia" w:hAnsiTheme="minorHAnsi" w:cstheme="minorHAnsi"/>
          <w:sz w:val="24"/>
          <w:szCs w:val="24"/>
          <w:lang w:val="en-US"/>
        </w:rPr>
      </w:pPr>
      <w:r>
        <w:rPr>
          <w:rStyle w:val="normaltextrun"/>
          <w:rFonts w:asciiTheme="minorHAnsi" w:eastAsiaTheme="majorEastAsia" w:hAnsiTheme="minorHAnsi" w:cstheme="minorHAnsi"/>
          <w:sz w:val="24"/>
          <w:szCs w:val="24"/>
          <w:lang w:val="en-US"/>
        </w:rPr>
        <w:t>Our</w:t>
      </w:r>
      <w:r w:rsidR="00EE0F2B">
        <w:rPr>
          <w:rStyle w:val="normaltextrun"/>
          <w:rFonts w:asciiTheme="minorHAnsi" w:eastAsiaTheme="majorEastAsia" w:hAnsiTheme="minorHAnsi" w:cstheme="minorHAnsi"/>
          <w:sz w:val="24"/>
          <w:szCs w:val="24"/>
          <w:lang w:val="en-US"/>
        </w:rPr>
        <w:t xml:space="preserve"> members and community are </w:t>
      </w:r>
      <w:r>
        <w:rPr>
          <w:rStyle w:val="normaltextrun"/>
          <w:rFonts w:asciiTheme="minorHAnsi" w:eastAsiaTheme="majorEastAsia" w:hAnsiTheme="minorHAnsi" w:cstheme="minorHAnsi"/>
          <w:sz w:val="24"/>
          <w:szCs w:val="24"/>
          <w:lang w:val="en-US"/>
        </w:rPr>
        <w:t xml:space="preserve">expected to live without access to free, safe drinking water because </w:t>
      </w:r>
      <w:r w:rsidR="00EE0F2B">
        <w:rPr>
          <w:rStyle w:val="normaltextrun"/>
          <w:rFonts w:asciiTheme="minorHAnsi" w:eastAsiaTheme="majorEastAsia" w:hAnsiTheme="minorHAnsi" w:cstheme="minorHAnsi"/>
          <w:sz w:val="24"/>
          <w:szCs w:val="24"/>
          <w:lang w:val="en-US"/>
        </w:rPr>
        <w:t xml:space="preserve">the rivers are polluted with industrial contaminants and nutrients and </w:t>
      </w:r>
      <w:r>
        <w:rPr>
          <w:rStyle w:val="normaltextrun"/>
          <w:rFonts w:asciiTheme="minorHAnsi" w:eastAsiaTheme="majorEastAsia" w:hAnsiTheme="minorHAnsi" w:cstheme="minorHAnsi"/>
          <w:sz w:val="24"/>
          <w:szCs w:val="24"/>
          <w:lang w:val="en-US"/>
        </w:rPr>
        <w:t xml:space="preserve">our local water utility is not supported to </w:t>
      </w:r>
      <w:r w:rsidR="00EE0F2B">
        <w:rPr>
          <w:rStyle w:val="normaltextrun"/>
          <w:rFonts w:asciiTheme="minorHAnsi" w:eastAsiaTheme="majorEastAsia" w:hAnsiTheme="minorHAnsi" w:cstheme="minorHAnsi"/>
          <w:sz w:val="24"/>
          <w:szCs w:val="24"/>
          <w:lang w:val="en-US"/>
        </w:rPr>
        <w:t>properly supply Great Artesian Basin (GAB) water for drinking</w:t>
      </w:r>
      <w:r>
        <w:rPr>
          <w:rStyle w:val="normaltextrun"/>
          <w:rFonts w:asciiTheme="minorHAnsi" w:eastAsiaTheme="majorEastAsia" w:hAnsiTheme="minorHAnsi" w:cstheme="minorHAnsi"/>
          <w:sz w:val="24"/>
          <w:szCs w:val="24"/>
          <w:lang w:val="en-US"/>
        </w:rPr>
        <w:t xml:space="preserve">. We know what the solutions for this are, and they include </w:t>
      </w:r>
      <w:r w:rsidR="00EE0F2B">
        <w:rPr>
          <w:rStyle w:val="normaltextrun"/>
          <w:rFonts w:asciiTheme="minorHAnsi" w:eastAsiaTheme="majorEastAsia" w:hAnsiTheme="minorHAnsi" w:cstheme="minorHAnsi"/>
          <w:sz w:val="24"/>
          <w:szCs w:val="24"/>
          <w:lang w:val="en-US"/>
        </w:rPr>
        <w:t xml:space="preserve">reverse-osmosis treatment of GAB combined with appropriate wastewater solutions, increased Water Utility staff and </w:t>
      </w:r>
      <w:r>
        <w:rPr>
          <w:rStyle w:val="normaltextrun"/>
          <w:rFonts w:asciiTheme="minorHAnsi" w:eastAsiaTheme="majorEastAsia" w:hAnsiTheme="minorHAnsi" w:cstheme="minorHAnsi"/>
          <w:sz w:val="24"/>
          <w:szCs w:val="24"/>
          <w:lang w:val="en-US"/>
        </w:rPr>
        <w:t>the introduction of a Universal Service Obligation for safe, accessible drinking water.</w:t>
      </w:r>
    </w:p>
    <w:p w14:paraId="327FD848" w14:textId="14A803D7" w:rsidR="00533EFD" w:rsidRPr="007F28AE" w:rsidRDefault="00ED6461" w:rsidP="007F28AE">
      <w:pPr>
        <w:spacing w:after="120"/>
        <w:rPr>
          <w:rStyle w:val="normaltextrun"/>
          <w:rFonts w:asciiTheme="minorHAnsi" w:eastAsiaTheme="majorEastAsia" w:hAnsiTheme="minorHAnsi" w:cstheme="minorHAnsi"/>
          <w:sz w:val="24"/>
          <w:szCs w:val="24"/>
          <w:lang w:val="en-US"/>
        </w:rPr>
      </w:pPr>
      <w:r>
        <w:rPr>
          <w:rStyle w:val="normaltextrun"/>
          <w:rFonts w:asciiTheme="minorHAnsi" w:eastAsiaTheme="majorEastAsia" w:hAnsiTheme="minorHAnsi" w:cstheme="minorHAnsi"/>
          <w:sz w:val="24"/>
          <w:szCs w:val="24"/>
          <w:lang w:val="en-US"/>
        </w:rPr>
        <w:t>All solutions require fearless examination of the facts using available science and observance of legislative objects and requirements. This is why we need the Productivity Commission to hold Commonwealth and State Government to account and provide options for improvement in implementation.</w:t>
      </w:r>
    </w:p>
    <w:p w14:paraId="1E69D5D8" w14:textId="77777777" w:rsidR="00533EFD" w:rsidRDefault="00533EFD" w:rsidP="007F28AE">
      <w:pPr>
        <w:spacing w:after="120"/>
        <w:rPr>
          <w:rStyle w:val="normaltextrun"/>
          <w:rFonts w:asciiTheme="minorHAnsi" w:eastAsiaTheme="majorEastAsia" w:hAnsiTheme="minorHAnsi" w:cstheme="minorHAnsi"/>
          <w:sz w:val="24"/>
          <w:szCs w:val="24"/>
          <w:lang w:val="en-US"/>
        </w:rPr>
      </w:pPr>
      <w:r w:rsidRPr="00422D1B">
        <w:rPr>
          <w:rStyle w:val="normaltextrun"/>
          <w:rFonts w:asciiTheme="minorHAnsi" w:eastAsiaTheme="majorEastAsia" w:hAnsiTheme="minorHAnsi" w:cstheme="minorHAnsi"/>
          <w:sz w:val="24"/>
          <w:szCs w:val="24"/>
          <w:lang w:val="en-US"/>
        </w:rPr>
        <w:t>Dharriwaa Elders Group is well informed on water management in the Murray-Darling Basin. Our level of understanding is demonstrated in the many submissions we have made to various consultative processes. These are available on our website</w:t>
      </w:r>
      <w:r>
        <w:rPr>
          <w:rStyle w:val="FootnoteReference"/>
          <w:rFonts w:asciiTheme="minorHAnsi" w:eastAsiaTheme="majorEastAsia" w:hAnsiTheme="minorHAnsi" w:cstheme="minorHAnsi"/>
          <w:sz w:val="24"/>
          <w:szCs w:val="24"/>
          <w:lang w:val="en-US"/>
        </w:rPr>
        <w:footnoteReference w:id="1"/>
      </w:r>
      <w:r w:rsidRPr="00422D1B">
        <w:rPr>
          <w:rStyle w:val="normaltextrun"/>
          <w:rFonts w:asciiTheme="minorHAnsi" w:eastAsiaTheme="majorEastAsia" w:hAnsiTheme="minorHAnsi" w:cstheme="minorHAnsi"/>
          <w:sz w:val="24"/>
          <w:szCs w:val="24"/>
          <w:lang w:val="en-US"/>
        </w:rPr>
        <w:t xml:space="preserve">.  </w:t>
      </w:r>
    </w:p>
    <w:p w14:paraId="128F6AAD" w14:textId="49DEAD9F" w:rsidR="00EE0F2B" w:rsidRDefault="00533EFD" w:rsidP="00EE0F2B">
      <w:pPr>
        <w:spacing w:after="120"/>
        <w:rPr>
          <w:rStyle w:val="normaltextrun"/>
          <w:rFonts w:asciiTheme="minorHAnsi" w:eastAsiaTheme="majorEastAsia" w:hAnsiTheme="minorHAnsi" w:cstheme="minorHAnsi"/>
          <w:sz w:val="24"/>
          <w:szCs w:val="24"/>
          <w:lang w:val="en-US"/>
        </w:rPr>
      </w:pPr>
      <w:r>
        <w:rPr>
          <w:rStyle w:val="normaltextrun"/>
          <w:rFonts w:asciiTheme="minorHAnsi" w:eastAsiaTheme="majorEastAsia" w:hAnsiTheme="minorHAnsi" w:cstheme="minorHAnsi"/>
          <w:sz w:val="24"/>
          <w:szCs w:val="24"/>
          <w:lang w:val="en-US"/>
        </w:rPr>
        <w:t xml:space="preserve">We are currently preparing our input into the Reviews of the Water Act and the Murray Darling Basin Plan. For this reason we do not </w:t>
      </w:r>
      <w:r w:rsidR="00EE0F2B">
        <w:rPr>
          <w:rStyle w:val="normaltextrun"/>
          <w:rFonts w:asciiTheme="minorHAnsi" w:eastAsiaTheme="majorEastAsia" w:hAnsiTheme="minorHAnsi" w:cstheme="minorHAnsi"/>
          <w:sz w:val="24"/>
          <w:szCs w:val="24"/>
          <w:lang w:val="en-US"/>
        </w:rPr>
        <w:t>have the resources to provide a full</w:t>
      </w:r>
      <w:r>
        <w:rPr>
          <w:rStyle w:val="normaltextrun"/>
          <w:rFonts w:asciiTheme="minorHAnsi" w:eastAsiaTheme="majorEastAsia" w:hAnsiTheme="minorHAnsi" w:cstheme="minorHAnsi"/>
          <w:sz w:val="24"/>
          <w:szCs w:val="24"/>
          <w:lang w:val="en-US"/>
        </w:rPr>
        <w:t xml:space="preserve"> initial submission to the Productivity Commission’s Review of the National Water Initiative,</w:t>
      </w:r>
      <w:r w:rsidRPr="00ED6461">
        <w:rPr>
          <w:rStyle w:val="normaltextrun"/>
          <w:rFonts w:asciiTheme="minorHAnsi" w:eastAsiaTheme="majorEastAsia" w:hAnsiTheme="minorHAnsi" w:cstheme="minorHAnsi"/>
          <w:b/>
          <w:sz w:val="24"/>
          <w:szCs w:val="24"/>
          <w:lang w:val="en-US"/>
        </w:rPr>
        <w:t xml:space="preserve"> but intend to ma</w:t>
      </w:r>
      <w:r w:rsidR="00ED6461" w:rsidRPr="00ED6461">
        <w:rPr>
          <w:rStyle w:val="normaltextrun"/>
          <w:rFonts w:asciiTheme="minorHAnsi" w:eastAsiaTheme="majorEastAsia" w:hAnsiTheme="minorHAnsi" w:cstheme="minorHAnsi"/>
          <w:b/>
          <w:sz w:val="24"/>
          <w:szCs w:val="24"/>
          <w:lang w:val="en-US"/>
        </w:rPr>
        <w:t>k</w:t>
      </w:r>
      <w:r w:rsidRPr="00ED6461">
        <w:rPr>
          <w:rStyle w:val="normaltextrun"/>
          <w:rFonts w:asciiTheme="minorHAnsi" w:eastAsiaTheme="majorEastAsia" w:hAnsiTheme="minorHAnsi" w:cstheme="minorHAnsi"/>
          <w:b/>
          <w:sz w:val="24"/>
          <w:szCs w:val="24"/>
          <w:lang w:val="en-US"/>
        </w:rPr>
        <w:t>e a submission in response to your Interim Update.</w:t>
      </w:r>
      <w:r w:rsidR="00EE0F2B">
        <w:rPr>
          <w:rStyle w:val="normaltextrun"/>
          <w:rFonts w:asciiTheme="minorHAnsi" w:eastAsiaTheme="majorEastAsia" w:hAnsiTheme="minorHAnsi" w:cstheme="minorHAnsi"/>
          <w:b/>
          <w:sz w:val="24"/>
          <w:szCs w:val="24"/>
          <w:lang w:val="en-US"/>
        </w:rPr>
        <w:t xml:space="preserve"> </w:t>
      </w:r>
      <w:r w:rsidR="00EE0F2B">
        <w:rPr>
          <w:rStyle w:val="normaltextrun"/>
          <w:rFonts w:asciiTheme="minorHAnsi" w:eastAsiaTheme="majorEastAsia" w:hAnsiTheme="minorHAnsi" w:cstheme="minorHAnsi"/>
          <w:sz w:val="24"/>
          <w:szCs w:val="24"/>
          <w:lang w:val="en-US"/>
        </w:rPr>
        <w:t xml:space="preserve">In this submission we will make some responses </w:t>
      </w:r>
      <w:r w:rsidR="00EE0F2B">
        <w:rPr>
          <w:rStyle w:val="normaltextrun"/>
          <w:rFonts w:asciiTheme="minorHAnsi" w:eastAsiaTheme="majorEastAsia" w:hAnsiTheme="minorHAnsi" w:cstheme="minorHAnsi"/>
          <w:sz w:val="24"/>
          <w:szCs w:val="24"/>
          <w:lang w:val="en-US"/>
        </w:rPr>
        <w:lastRenderedPageBreak/>
        <w:t>to your Call for Submissions for your proposed Interim Update, and would welcome any opportunities to participate in public hearings.</w:t>
      </w:r>
    </w:p>
    <w:p w14:paraId="473D1232" w14:textId="082A3099" w:rsidR="00ED6461" w:rsidRDefault="00ED6461" w:rsidP="00533EFD">
      <w:pPr>
        <w:spacing w:after="120"/>
        <w:rPr>
          <w:rStyle w:val="normaltextrun"/>
          <w:rFonts w:asciiTheme="minorHAnsi" w:eastAsiaTheme="majorEastAsia" w:hAnsiTheme="minorHAnsi" w:cstheme="minorHAnsi"/>
          <w:sz w:val="24"/>
          <w:szCs w:val="24"/>
          <w:lang w:val="en-US"/>
        </w:rPr>
      </w:pPr>
      <w:r>
        <w:rPr>
          <w:rStyle w:val="normaltextrun"/>
          <w:rFonts w:asciiTheme="minorHAnsi" w:eastAsiaTheme="majorEastAsia" w:hAnsiTheme="minorHAnsi" w:cstheme="minorHAnsi"/>
          <w:sz w:val="24"/>
          <w:szCs w:val="24"/>
          <w:lang w:val="en-US"/>
        </w:rPr>
        <w:t>In the meantime we ask that you consider the careful observations and recommendations we made to the Review</w:t>
      </w:r>
      <w:r w:rsidR="00791420">
        <w:rPr>
          <w:rStyle w:val="normaltextrun"/>
          <w:rFonts w:asciiTheme="minorHAnsi" w:eastAsiaTheme="majorEastAsia" w:hAnsiTheme="minorHAnsi" w:cstheme="minorHAnsi"/>
          <w:sz w:val="24"/>
          <w:szCs w:val="24"/>
          <w:lang w:val="en-US"/>
        </w:rPr>
        <w:t>s</w:t>
      </w:r>
      <w:r>
        <w:rPr>
          <w:rStyle w:val="normaltextrun"/>
          <w:rFonts w:asciiTheme="minorHAnsi" w:eastAsiaTheme="majorEastAsia" w:hAnsiTheme="minorHAnsi" w:cstheme="minorHAnsi"/>
          <w:sz w:val="24"/>
          <w:szCs w:val="24"/>
          <w:lang w:val="en-US"/>
        </w:rPr>
        <w:t xml:space="preserve"> in 2020</w:t>
      </w:r>
      <w:r w:rsidR="00791420">
        <w:rPr>
          <w:rStyle w:val="normaltextrun"/>
          <w:rFonts w:asciiTheme="minorHAnsi" w:eastAsiaTheme="majorEastAsia" w:hAnsiTheme="minorHAnsi" w:cstheme="minorHAnsi"/>
          <w:sz w:val="24"/>
          <w:szCs w:val="24"/>
          <w:lang w:val="en-US"/>
        </w:rPr>
        <w:t xml:space="preserve"> and 2024</w:t>
      </w:r>
      <w:r>
        <w:rPr>
          <w:rStyle w:val="normaltextrun"/>
          <w:rFonts w:asciiTheme="minorHAnsi" w:eastAsiaTheme="majorEastAsia" w:hAnsiTheme="minorHAnsi" w:cstheme="minorHAnsi"/>
          <w:sz w:val="24"/>
          <w:szCs w:val="24"/>
          <w:lang w:val="en-US"/>
        </w:rPr>
        <w:t>. While we</w:t>
      </w:r>
      <w:r w:rsidR="006E40BB">
        <w:rPr>
          <w:rStyle w:val="normaltextrun"/>
          <w:rFonts w:asciiTheme="minorHAnsi" w:eastAsiaTheme="majorEastAsia" w:hAnsiTheme="minorHAnsi" w:cstheme="minorHAnsi"/>
          <w:sz w:val="24"/>
          <w:szCs w:val="24"/>
          <w:lang w:val="en-US"/>
        </w:rPr>
        <w:t xml:space="preserve"> can provide some situation updates</w:t>
      </w:r>
      <w:r>
        <w:rPr>
          <w:rStyle w:val="normaltextrun"/>
          <w:rFonts w:asciiTheme="minorHAnsi" w:eastAsiaTheme="majorEastAsia" w:hAnsiTheme="minorHAnsi" w:cstheme="minorHAnsi"/>
          <w:sz w:val="24"/>
          <w:szCs w:val="24"/>
          <w:lang w:val="en-US"/>
        </w:rPr>
        <w:t>,</w:t>
      </w:r>
      <w:r w:rsidR="006E40BB">
        <w:rPr>
          <w:rStyle w:val="normaltextrun"/>
          <w:rFonts w:asciiTheme="minorHAnsi" w:eastAsiaTheme="majorEastAsia" w:hAnsiTheme="minorHAnsi" w:cstheme="minorHAnsi"/>
          <w:sz w:val="24"/>
          <w:szCs w:val="24"/>
          <w:lang w:val="en-US"/>
        </w:rPr>
        <w:t xml:space="preserve"> and policy we have developed in regards to Floodplain Harvesting </w:t>
      </w:r>
      <w:proofErr w:type="spellStart"/>
      <w:r w:rsidR="006E40BB">
        <w:rPr>
          <w:rStyle w:val="normaltextrun"/>
          <w:rFonts w:asciiTheme="minorHAnsi" w:eastAsiaTheme="majorEastAsia" w:hAnsiTheme="minorHAnsi" w:cstheme="minorHAnsi"/>
          <w:sz w:val="24"/>
          <w:szCs w:val="24"/>
          <w:lang w:val="en-US"/>
        </w:rPr>
        <w:t>licencing</w:t>
      </w:r>
      <w:proofErr w:type="spellEnd"/>
      <w:r w:rsidR="006E40BB">
        <w:rPr>
          <w:rStyle w:val="normaltextrun"/>
          <w:rFonts w:asciiTheme="minorHAnsi" w:eastAsiaTheme="majorEastAsia" w:hAnsiTheme="minorHAnsi" w:cstheme="minorHAnsi"/>
          <w:sz w:val="24"/>
          <w:szCs w:val="24"/>
          <w:lang w:val="en-US"/>
        </w:rPr>
        <w:t xml:space="preserve"> and other practices that we consider unlawful in water management,</w:t>
      </w:r>
      <w:r>
        <w:rPr>
          <w:rStyle w:val="normaltextrun"/>
          <w:rFonts w:asciiTheme="minorHAnsi" w:eastAsiaTheme="majorEastAsia" w:hAnsiTheme="minorHAnsi" w:cstheme="minorHAnsi"/>
          <w:sz w:val="24"/>
          <w:szCs w:val="24"/>
          <w:lang w:val="en-US"/>
        </w:rPr>
        <w:t xml:space="preserve"> </w:t>
      </w:r>
      <w:r w:rsidR="006E40BB">
        <w:rPr>
          <w:rStyle w:val="normaltextrun"/>
          <w:rFonts w:asciiTheme="minorHAnsi" w:eastAsiaTheme="majorEastAsia" w:hAnsiTheme="minorHAnsi" w:cstheme="minorHAnsi"/>
          <w:sz w:val="24"/>
          <w:szCs w:val="24"/>
          <w:lang w:val="en-US"/>
        </w:rPr>
        <w:t xml:space="preserve">we can assure you that nothing has substantially </w:t>
      </w:r>
      <w:r w:rsidR="00791420">
        <w:rPr>
          <w:rStyle w:val="normaltextrun"/>
          <w:rFonts w:asciiTheme="minorHAnsi" w:eastAsiaTheme="majorEastAsia" w:hAnsiTheme="minorHAnsi" w:cstheme="minorHAnsi"/>
          <w:sz w:val="24"/>
          <w:szCs w:val="24"/>
          <w:lang w:val="en-US"/>
        </w:rPr>
        <w:t>changed since those</w:t>
      </w:r>
      <w:r>
        <w:rPr>
          <w:rStyle w:val="normaltextrun"/>
          <w:rFonts w:asciiTheme="minorHAnsi" w:eastAsiaTheme="majorEastAsia" w:hAnsiTheme="minorHAnsi" w:cstheme="minorHAnsi"/>
          <w:sz w:val="24"/>
          <w:szCs w:val="24"/>
          <w:lang w:val="en-US"/>
        </w:rPr>
        <w:t xml:space="preserve"> submission</w:t>
      </w:r>
      <w:r w:rsidR="00791420">
        <w:rPr>
          <w:rStyle w:val="normaltextrun"/>
          <w:rFonts w:asciiTheme="minorHAnsi" w:eastAsiaTheme="majorEastAsia" w:hAnsiTheme="minorHAnsi" w:cstheme="minorHAnsi"/>
          <w:sz w:val="24"/>
          <w:szCs w:val="24"/>
          <w:lang w:val="en-US"/>
        </w:rPr>
        <w:t>s were</w:t>
      </w:r>
      <w:r>
        <w:rPr>
          <w:rStyle w:val="normaltextrun"/>
          <w:rFonts w:asciiTheme="minorHAnsi" w:eastAsiaTheme="majorEastAsia" w:hAnsiTheme="minorHAnsi" w:cstheme="minorHAnsi"/>
          <w:sz w:val="24"/>
          <w:szCs w:val="24"/>
          <w:lang w:val="en-US"/>
        </w:rPr>
        <w:t xml:space="preserve"> prepared</w:t>
      </w:r>
      <w:r w:rsidR="006E40BB">
        <w:rPr>
          <w:rStyle w:val="normaltextrun"/>
          <w:rFonts w:asciiTheme="minorHAnsi" w:eastAsiaTheme="majorEastAsia" w:hAnsiTheme="minorHAnsi" w:cstheme="minorHAnsi"/>
          <w:sz w:val="24"/>
          <w:szCs w:val="24"/>
          <w:lang w:val="en-US"/>
        </w:rPr>
        <w:t>, and our recommendations made in 2020</w:t>
      </w:r>
      <w:r w:rsidR="00791420">
        <w:rPr>
          <w:rStyle w:val="normaltextrun"/>
          <w:rFonts w:asciiTheme="minorHAnsi" w:eastAsiaTheme="majorEastAsia" w:hAnsiTheme="minorHAnsi" w:cstheme="minorHAnsi"/>
          <w:sz w:val="24"/>
          <w:szCs w:val="24"/>
          <w:lang w:val="en-US"/>
        </w:rPr>
        <w:t xml:space="preserve"> and 2024</w:t>
      </w:r>
      <w:r w:rsidR="006E40BB">
        <w:rPr>
          <w:rStyle w:val="normaltextrun"/>
          <w:rFonts w:asciiTheme="minorHAnsi" w:eastAsiaTheme="majorEastAsia" w:hAnsiTheme="minorHAnsi" w:cstheme="minorHAnsi"/>
          <w:sz w:val="24"/>
          <w:szCs w:val="24"/>
          <w:lang w:val="en-US"/>
        </w:rPr>
        <w:t xml:space="preserve"> still apply</w:t>
      </w:r>
      <w:r>
        <w:rPr>
          <w:rStyle w:val="normaltextrun"/>
          <w:rFonts w:asciiTheme="minorHAnsi" w:eastAsiaTheme="majorEastAsia" w:hAnsiTheme="minorHAnsi" w:cstheme="minorHAnsi"/>
          <w:sz w:val="24"/>
          <w:szCs w:val="24"/>
          <w:lang w:val="en-US"/>
        </w:rPr>
        <w:t>.</w:t>
      </w:r>
    </w:p>
    <w:p w14:paraId="7A57ED62" w14:textId="43894626" w:rsidR="00ED6461" w:rsidRPr="00EE0F2B" w:rsidRDefault="00ED6461" w:rsidP="00EE0F2B">
      <w:pPr>
        <w:pStyle w:val="ListParagraph"/>
        <w:numPr>
          <w:ilvl w:val="0"/>
          <w:numId w:val="9"/>
        </w:numPr>
        <w:spacing w:before="100" w:beforeAutospacing="1" w:after="100" w:afterAutospacing="1"/>
        <w:rPr>
          <w:rFonts w:asciiTheme="minorHAnsi" w:hAnsiTheme="minorHAnsi" w:cstheme="minorHAnsi"/>
          <w:sz w:val="24"/>
          <w:szCs w:val="24"/>
          <w:lang w:val="en-AU"/>
        </w:rPr>
      </w:pPr>
      <w:hyperlink r:id="rId11" w:tgtFrame="_blank" w:tooltip="Submission to the Productivity Commission September 2020" w:history="1">
        <w:r w:rsidRPr="00EE0F2B">
          <w:rPr>
            <w:rStyle w:val="Hyperlink"/>
            <w:rFonts w:asciiTheme="minorHAnsi" w:hAnsiTheme="minorHAnsi" w:cstheme="minorHAnsi"/>
            <w:color w:val="auto"/>
            <w:sz w:val="24"/>
            <w:szCs w:val="24"/>
            <w:u w:val="none"/>
          </w:rPr>
          <w:t>Recommendations for the Review of the National Water Initiative. A submission to the Productivity Commission - Review of the National Water Initiative from Dharriwaa Elders Group and Walgett Aboriginal Medical Service 11 September 2020</w:t>
        </w:r>
        <w:r w:rsidR="006C01B4">
          <w:rPr>
            <w:rStyle w:val="FootnoteReference"/>
            <w:rFonts w:asciiTheme="minorHAnsi" w:hAnsiTheme="minorHAnsi" w:cstheme="minorHAnsi"/>
            <w:sz w:val="24"/>
            <w:szCs w:val="24"/>
          </w:rPr>
          <w:footnoteReference w:id="2"/>
        </w:r>
        <w:r w:rsidRPr="00EE0F2B">
          <w:rPr>
            <w:rStyle w:val="Hyperlink"/>
            <w:rFonts w:asciiTheme="minorHAnsi" w:hAnsiTheme="minorHAnsi" w:cstheme="minorHAnsi"/>
            <w:color w:val="auto"/>
            <w:sz w:val="24"/>
            <w:szCs w:val="24"/>
            <w:u w:val="none"/>
          </w:rPr>
          <w:t>.</w:t>
        </w:r>
      </w:hyperlink>
    </w:p>
    <w:p w14:paraId="1EF0C260" w14:textId="4482F1C0" w:rsidR="00B50762" w:rsidRPr="00EE0F2B" w:rsidRDefault="00B50762" w:rsidP="00EE0F2B">
      <w:pPr>
        <w:pStyle w:val="ListParagraph"/>
        <w:numPr>
          <w:ilvl w:val="0"/>
          <w:numId w:val="9"/>
        </w:numPr>
        <w:spacing w:before="100" w:beforeAutospacing="1" w:after="100" w:afterAutospacing="1"/>
        <w:rPr>
          <w:rFonts w:asciiTheme="minorHAnsi" w:hAnsiTheme="minorHAnsi" w:cstheme="minorHAnsi"/>
          <w:color w:val="2A363B"/>
          <w:sz w:val="24"/>
          <w:szCs w:val="24"/>
          <w:lang w:val="en-AU"/>
        </w:rPr>
      </w:pPr>
      <w:r w:rsidRPr="00EE0F2B">
        <w:rPr>
          <w:rFonts w:asciiTheme="minorHAnsi" w:hAnsiTheme="minorHAnsi" w:cstheme="minorHAnsi"/>
          <w:color w:val="2A363B"/>
          <w:sz w:val="24"/>
          <w:szCs w:val="24"/>
          <w:lang w:val="en-AU"/>
        </w:rPr>
        <w:t>Productivity Commission Inquiry into the National Water Initiative Submission from Dharriwaa Elders Group Walgett 16 February 2024</w:t>
      </w:r>
      <w:r w:rsidR="006C01B4">
        <w:rPr>
          <w:rStyle w:val="FootnoteReference"/>
          <w:rFonts w:asciiTheme="minorHAnsi" w:hAnsiTheme="minorHAnsi" w:cstheme="minorHAnsi"/>
          <w:color w:val="2A363B"/>
          <w:sz w:val="24"/>
          <w:szCs w:val="24"/>
          <w:lang w:val="en-AU"/>
        </w:rPr>
        <w:footnoteReference w:id="3"/>
      </w:r>
      <w:r w:rsidRPr="00EE0F2B">
        <w:rPr>
          <w:rFonts w:asciiTheme="minorHAnsi" w:hAnsiTheme="minorHAnsi" w:cstheme="minorHAnsi"/>
          <w:color w:val="2A363B"/>
          <w:sz w:val="24"/>
          <w:szCs w:val="24"/>
          <w:lang w:val="en-AU"/>
        </w:rPr>
        <w:t>.</w:t>
      </w:r>
    </w:p>
    <w:p w14:paraId="1E527D62" w14:textId="060E870D" w:rsidR="001F4F27" w:rsidRPr="00413D67" w:rsidRDefault="001F4F27" w:rsidP="00413D67">
      <w:pPr>
        <w:spacing w:after="120"/>
        <w:rPr>
          <w:rStyle w:val="normaltextrun"/>
          <w:rFonts w:asciiTheme="minorHAnsi" w:eastAsiaTheme="majorEastAsia" w:hAnsiTheme="minorHAnsi" w:cstheme="minorHAnsi"/>
          <w:b/>
          <w:sz w:val="24"/>
          <w:szCs w:val="24"/>
          <w:lang w:val="en-US"/>
        </w:rPr>
      </w:pPr>
      <w:r w:rsidRPr="00413D67">
        <w:rPr>
          <w:rStyle w:val="normaltextrun"/>
          <w:rFonts w:asciiTheme="minorHAnsi" w:eastAsiaTheme="majorEastAsia" w:hAnsiTheme="minorHAnsi" w:cstheme="minorHAnsi"/>
          <w:b/>
          <w:sz w:val="24"/>
          <w:szCs w:val="24"/>
          <w:lang w:val="en-US"/>
        </w:rPr>
        <w:t>Comments on Table 1 – Key priorities for the three</w:t>
      </w:r>
      <w:r w:rsidRPr="00413D67">
        <w:rPr>
          <w:rStyle w:val="normaltextrun"/>
          <w:rFonts w:asciiTheme="minorHAnsi" w:eastAsiaTheme="majorEastAsia" w:hAnsiTheme="minorHAnsi" w:cstheme="minorHAnsi"/>
          <w:b/>
          <w:sz w:val="24"/>
          <w:szCs w:val="24"/>
          <w:lang w:val="en-US"/>
        </w:rPr>
        <w:noBreakHyphen/>
        <w:t>year assessment period commencing 2024</w:t>
      </w:r>
      <w:r w:rsidR="00EE0F2B">
        <w:rPr>
          <w:rStyle w:val="FootnoteReference"/>
          <w:rFonts w:asciiTheme="minorHAnsi" w:eastAsiaTheme="majorEastAsia" w:hAnsiTheme="minorHAnsi" w:cstheme="minorHAnsi"/>
          <w:b/>
          <w:sz w:val="24"/>
          <w:szCs w:val="24"/>
          <w:lang w:val="en-US"/>
        </w:rPr>
        <w:footnoteReference w:id="4"/>
      </w:r>
    </w:p>
    <w:p w14:paraId="4E1C0528" w14:textId="16783EDE" w:rsidR="00ED6461" w:rsidRDefault="008A08A9" w:rsidP="00533EFD">
      <w:pPr>
        <w:spacing w:after="120"/>
        <w:rPr>
          <w:rStyle w:val="normaltextrun"/>
          <w:rFonts w:asciiTheme="minorHAnsi" w:eastAsiaTheme="majorEastAsia" w:hAnsiTheme="minorHAnsi" w:cstheme="minorHAnsi"/>
          <w:sz w:val="24"/>
          <w:szCs w:val="24"/>
          <w:lang w:val="en-US"/>
        </w:rPr>
      </w:pPr>
      <w:r>
        <w:rPr>
          <w:rStyle w:val="normaltextrun"/>
          <w:rFonts w:asciiTheme="minorHAnsi" w:eastAsiaTheme="majorEastAsia" w:hAnsiTheme="minorHAnsi" w:cstheme="minorHAnsi"/>
          <w:sz w:val="24"/>
          <w:szCs w:val="24"/>
          <w:lang w:val="en-US"/>
        </w:rPr>
        <w:t>W</w:t>
      </w:r>
      <w:r w:rsidR="00791420">
        <w:rPr>
          <w:rStyle w:val="normaltextrun"/>
          <w:rFonts w:asciiTheme="minorHAnsi" w:eastAsiaTheme="majorEastAsia" w:hAnsiTheme="minorHAnsi" w:cstheme="minorHAnsi"/>
          <w:sz w:val="24"/>
          <w:szCs w:val="24"/>
          <w:lang w:val="en-US"/>
        </w:rPr>
        <w:t>e could speak to the Key P</w:t>
      </w:r>
      <w:r w:rsidR="00B832D8">
        <w:rPr>
          <w:rStyle w:val="normaltextrun"/>
          <w:rFonts w:asciiTheme="minorHAnsi" w:eastAsiaTheme="majorEastAsia" w:hAnsiTheme="minorHAnsi" w:cstheme="minorHAnsi"/>
          <w:sz w:val="24"/>
          <w:szCs w:val="24"/>
          <w:lang w:val="en-US"/>
        </w:rPr>
        <w:t>riorities for the three-year assessment beginning from 2024, for NSW and the Commonwealth, but in the meantime offer the follow</w:t>
      </w:r>
      <w:r>
        <w:rPr>
          <w:rStyle w:val="normaltextrun"/>
          <w:rFonts w:asciiTheme="minorHAnsi" w:eastAsiaTheme="majorEastAsia" w:hAnsiTheme="minorHAnsi" w:cstheme="minorHAnsi"/>
          <w:sz w:val="24"/>
          <w:szCs w:val="24"/>
          <w:lang w:val="en-US"/>
        </w:rPr>
        <w:t>i</w:t>
      </w:r>
      <w:r w:rsidR="00D018D8">
        <w:rPr>
          <w:rStyle w:val="normaltextrun"/>
          <w:rFonts w:asciiTheme="minorHAnsi" w:eastAsiaTheme="majorEastAsia" w:hAnsiTheme="minorHAnsi" w:cstheme="minorHAnsi"/>
          <w:sz w:val="24"/>
          <w:szCs w:val="24"/>
          <w:lang w:val="en-US"/>
        </w:rPr>
        <w:t>ng:</w:t>
      </w:r>
    </w:p>
    <w:p w14:paraId="0A3943A1" w14:textId="77777777" w:rsidR="00B832D8" w:rsidRPr="008A08A9" w:rsidRDefault="00B832D8" w:rsidP="00533EFD">
      <w:pPr>
        <w:spacing w:after="120"/>
        <w:rPr>
          <w:rStyle w:val="normaltextrun"/>
          <w:rFonts w:asciiTheme="minorHAnsi" w:eastAsiaTheme="majorEastAsia" w:hAnsiTheme="minorHAnsi" w:cstheme="minorHAnsi"/>
          <w:b/>
          <w:sz w:val="24"/>
          <w:szCs w:val="24"/>
          <w:lang w:val="en-US"/>
        </w:rPr>
      </w:pPr>
      <w:r w:rsidRPr="008A08A9">
        <w:rPr>
          <w:rStyle w:val="normaltextrun"/>
          <w:rFonts w:asciiTheme="minorHAnsi" w:eastAsiaTheme="majorEastAsia" w:hAnsiTheme="minorHAnsi" w:cstheme="minorHAnsi"/>
          <w:b/>
          <w:sz w:val="24"/>
          <w:szCs w:val="24"/>
          <w:lang w:val="en-US"/>
        </w:rPr>
        <w:t>NSW</w:t>
      </w:r>
    </w:p>
    <w:p w14:paraId="3B5A64D8" w14:textId="60EE7FF4" w:rsidR="00B832D8" w:rsidRPr="00422D1B" w:rsidRDefault="00B832D8" w:rsidP="00533EFD">
      <w:pPr>
        <w:spacing w:after="120"/>
        <w:rPr>
          <w:rStyle w:val="normaltextrun"/>
          <w:rFonts w:asciiTheme="minorHAnsi" w:eastAsiaTheme="majorEastAsia" w:hAnsiTheme="minorHAnsi" w:cstheme="minorHAnsi"/>
          <w:sz w:val="24"/>
          <w:szCs w:val="24"/>
          <w:lang w:val="en-US"/>
        </w:rPr>
      </w:pPr>
      <w:r>
        <w:rPr>
          <w:rStyle w:val="normaltextrun"/>
          <w:rFonts w:asciiTheme="minorHAnsi" w:eastAsiaTheme="majorEastAsia" w:hAnsiTheme="minorHAnsi" w:cstheme="minorHAnsi"/>
          <w:sz w:val="24"/>
          <w:szCs w:val="24"/>
          <w:lang w:val="en-US"/>
        </w:rPr>
        <w:t>We have made submissions</w:t>
      </w:r>
      <w:r w:rsidR="006C01B4">
        <w:rPr>
          <w:rStyle w:val="FootnoteReference"/>
          <w:rFonts w:asciiTheme="minorHAnsi" w:eastAsiaTheme="majorEastAsia" w:hAnsiTheme="minorHAnsi" w:cstheme="minorHAnsi"/>
          <w:sz w:val="24"/>
          <w:szCs w:val="24"/>
          <w:lang w:val="en-US"/>
        </w:rPr>
        <w:footnoteReference w:id="5"/>
      </w:r>
      <w:r>
        <w:rPr>
          <w:rStyle w:val="normaltextrun"/>
          <w:rFonts w:asciiTheme="minorHAnsi" w:eastAsiaTheme="majorEastAsia" w:hAnsiTheme="minorHAnsi" w:cstheme="minorHAnsi"/>
          <w:sz w:val="24"/>
          <w:szCs w:val="24"/>
          <w:lang w:val="en-US"/>
        </w:rPr>
        <w:t xml:space="preserve"> </w:t>
      </w:r>
      <w:r w:rsidR="006C01B4">
        <w:rPr>
          <w:rStyle w:val="FootnoteReference"/>
          <w:rFonts w:asciiTheme="minorHAnsi" w:eastAsiaTheme="majorEastAsia" w:hAnsiTheme="minorHAnsi" w:cstheme="minorHAnsi"/>
          <w:sz w:val="24"/>
          <w:szCs w:val="24"/>
          <w:lang w:val="en-US"/>
        </w:rPr>
        <w:footnoteReference w:id="6"/>
      </w:r>
      <w:r w:rsidR="006C01B4">
        <w:rPr>
          <w:rStyle w:val="normaltextrun"/>
          <w:rFonts w:asciiTheme="minorHAnsi" w:eastAsiaTheme="majorEastAsia" w:hAnsiTheme="minorHAnsi" w:cstheme="minorHAnsi"/>
          <w:sz w:val="24"/>
          <w:szCs w:val="24"/>
          <w:lang w:val="en-US"/>
        </w:rPr>
        <w:t xml:space="preserve"> </w:t>
      </w:r>
      <w:r w:rsidR="006C01B4">
        <w:rPr>
          <w:rStyle w:val="FootnoteReference"/>
          <w:rFonts w:asciiTheme="minorHAnsi" w:eastAsiaTheme="majorEastAsia" w:hAnsiTheme="minorHAnsi" w:cstheme="minorHAnsi"/>
          <w:sz w:val="24"/>
          <w:szCs w:val="24"/>
          <w:lang w:val="en-US"/>
        </w:rPr>
        <w:footnoteReference w:id="7"/>
      </w:r>
      <w:r w:rsidR="006C01B4">
        <w:rPr>
          <w:rStyle w:val="normaltextrun"/>
          <w:rFonts w:asciiTheme="minorHAnsi" w:eastAsiaTheme="majorEastAsia" w:hAnsiTheme="minorHAnsi" w:cstheme="minorHAnsi"/>
          <w:sz w:val="24"/>
          <w:szCs w:val="24"/>
          <w:lang w:val="en-US"/>
        </w:rPr>
        <w:t xml:space="preserve"> </w:t>
      </w:r>
      <w:r>
        <w:rPr>
          <w:rStyle w:val="normaltextrun"/>
          <w:rFonts w:asciiTheme="minorHAnsi" w:eastAsiaTheme="majorEastAsia" w:hAnsiTheme="minorHAnsi" w:cstheme="minorHAnsi"/>
          <w:sz w:val="24"/>
          <w:szCs w:val="24"/>
          <w:lang w:val="en-US"/>
        </w:rPr>
        <w:t>to the Natural Resources Commission regarding its reviews of W</w:t>
      </w:r>
      <w:r w:rsidR="008A08A9">
        <w:rPr>
          <w:rStyle w:val="normaltextrun"/>
          <w:rFonts w:asciiTheme="minorHAnsi" w:eastAsiaTheme="majorEastAsia" w:hAnsiTheme="minorHAnsi" w:cstheme="minorHAnsi"/>
          <w:sz w:val="24"/>
          <w:szCs w:val="24"/>
          <w:lang w:val="en-US"/>
        </w:rPr>
        <w:t>a</w:t>
      </w:r>
      <w:r>
        <w:rPr>
          <w:rStyle w:val="normaltextrun"/>
          <w:rFonts w:asciiTheme="minorHAnsi" w:eastAsiaTheme="majorEastAsia" w:hAnsiTheme="minorHAnsi" w:cstheme="minorHAnsi"/>
          <w:sz w:val="24"/>
          <w:szCs w:val="24"/>
          <w:lang w:val="en-US"/>
        </w:rPr>
        <w:t xml:space="preserve">ter Sharing Plans in DEG’s area of interest, we have made recommendations in the Review of </w:t>
      </w:r>
      <w:r w:rsidR="008A08A9">
        <w:rPr>
          <w:rStyle w:val="normaltextrun"/>
          <w:rFonts w:asciiTheme="minorHAnsi" w:eastAsiaTheme="majorEastAsia" w:hAnsiTheme="minorHAnsi" w:cstheme="minorHAnsi"/>
          <w:sz w:val="24"/>
          <w:szCs w:val="24"/>
          <w:lang w:val="en-US"/>
        </w:rPr>
        <w:t>the Insp</w:t>
      </w:r>
      <w:r w:rsidR="00D018D8">
        <w:rPr>
          <w:rStyle w:val="normaltextrun"/>
          <w:rFonts w:asciiTheme="minorHAnsi" w:eastAsiaTheme="majorEastAsia" w:hAnsiTheme="minorHAnsi" w:cstheme="minorHAnsi"/>
          <w:sz w:val="24"/>
          <w:szCs w:val="24"/>
          <w:lang w:val="en-US"/>
        </w:rPr>
        <w:t>ector G</w:t>
      </w:r>
      <w:r w:rsidR="008A08A9">
        <w:rPr>
          <w:rStyle w:val="normaltextrun"/>
          <w:rFonts w:asciiTheme="minorHAnsi" w:eastAsiaTheme="majorEastAsia" w:hAnsiTheme="minorHAnsi" w:cstheme="minorHAnsi"/>
          <w:sz w:val="24"/>
          <w:szCs w:val="24"/>
          <w:lang w:val="en-US"/>
        </w:rPr>
        <w:t>eneral of Water Com</w:t>
      </w:r>
      <w:r>
        <w:rPr>
          <w:rStyle w:val="normaltextrun"/>
          <w:rFonts w:asciiTheme="minorHAnsi" w:eastAsiaTheme="majorEastAsia" w:hAnsiTheme="minorHAnsi" w:cstheme="minorHAnsi"/>
          <w:sz w:val="24"/>
          <w:szCs w:val="24"/>
          <w:lang w:val="en-US"/>
        </w:rPr>
        <w:t>pliance regarding the accreditation of Water Resource Plans, and we have made many subm</w:t>
      </w:r>
      <w:r w:rsidR="008A08A9">
        <w:rPr>
          <w:rStyle w:val="normaltextrun"/>
          <w:rFonts w:asciiTheme="minorHAnsi" w:eastAsiaTheme="majorEastAsia" w:hAnsiTheme="minorHAnsi" w:cstheme="minorHAnsi"/>
          <w:sz w:val="24"/>
          <w:szCs w:val="24"/>
          <w:lang w:val="en-US"/>
        </w:rPr>
        <w:t>i</w:t>
      </w:r>
      <w:r>
        <w:rPr>
          <w:rStyle w:val="normaltextrun"/>
          <w:rFonts w:asciiTheme="minorHAnsi" w:eastAsiaTheme="majorEastAsia" w:hAnsiTheme="minorHAnsi" w:cstheme="minorHAnsi"/>
          <w:sz w:val="24"/>
          <w:szCs w:val="24"/>
          <w:lang w:val="en-US"/>
        </w:rPr>
        <w:t xml:space="preserve">ssions to the NSW and Commonwealth Ministers regarding the unlawfulness of </w:t>
      </w:r>
      <w:proofErr w:type="spellStart"/>
      <w:r>
        <w:rPr>
          <w:rStyle w:val="normaltextrun"/>
          <w:rFonts w:asciiTheme="minorHAnsi" w:eastAsiaTheme="majorEastAsia" w:hAnsiTheme="minorHAnsi" w:cstheme="minorHAnsi"/>
          <w:sz w:val="24"/>
          <w:szCs w:val="24"/>
          <w:lang w:val="en-US"/>
        </w:rPr>
        <w:t>licencing</w:t>
      </w:r>
      <w:proofErr w:type="spellEnd"/>
      <w:r>
        <w:rPr>
          <w:rStyle w:val="normaltextrun"/>
          <w:rFonts w:asciiTheme="minorHAnsi" w:eastAsiaTheme="majorEastAsia" w:hAnsiTheme="minorHAnsi" w:cstheme="minorHAnsi"/>
          <w:sz w:val="24"/>
          <w:szCs w:val="24"/>
          <w:lang w:val="en-US"/>
        </w:rPr>
        <w:t xml:space="preserve"> Flood</w:t>
      </w:r>
      <w:r w:rsidR="004A7826">
        <w:rPr>
          <w:rStyle w:val="normaltextrun"/>
          <w:rFonts w:asciiTheme="minorHAnsi" w:eastAsiaTheme="majorEastAsia" w:hAnsiTheme="minorHAnsi" w:cstheme="minorHAnsi"/>
          <w:sz w:val="24"/>
          <w:szCs w:val="24"/>
          <w:lang w:val="en-US"/>
        </w:rPr>
        <w:t>p</w:t>
      </w:r>
      <w:r>
        <w:rPr>
          <w:rStyle w:val="normaltextrun"/>
          <w:rFonts w:asciiTheme="minorHAnsi" w:eastAsiaTheme="majorEastAsia" w:hAnsiTheme="minorHAnsi" w:cstheme="minorHAnsi"/>
          <w:sz w:val="24"/>
          <w:szCs w:val="24"/>
          <w:lang w:val="en-US"/>
        </w:rPr>
        <w:t xml:space="preserve">lain Harvesting. </w:t>
      </w:r>
    </w:p>
    <w:p w14:paraId="5DAB6C7B" w14:textId="3B9031AE" w:rsidR="003D3EAD" w:rsidRPr="008A08A9" w:rsidRDefault="00B832D8" w:rsidP="002B0EE8">
      <w:pPr>
        <w:rPr>
          <w:rFonts w:asciiTheme="minorHAnsi" w:hAnsiTheme="minorHAnsi" w:cstheme="minorHAnsi"/>
          <w:b/>
          <w:sz w:val="24"/>
          <w:szCs w:val="24"/>
        </w:rPr>
      </w:pPr>
      <w:r w:rsidRPr="008A08A9">
        <w:rPr>
          <w:rFonts w:asciiTheme="minorHAnsi" w:hAnsiTheme="minorHAnsi" w:cstheme="minorHAnsi"/>
          <w:b/>
          <w:sz w:val="24"/>
          <w:szCs w:val="24"/>
        </w:rPr>
        <w:t>Commonwealth</w:t>
      </w:r>
    </w:p>
    <w:p w14:paraId="25CEC30B" w14:textId="793455FE" w:rsidR="00B832D8" w:rsidRDefault="00B832D8" w:rsidP="002B0EE8">
      <w:pPr>
        <w:rPr>
          <w:rFonts w:asciiTheme="minorHAnsi" w:hAnsiTheme="minorHAnsi" w:cstheme="minorHAnsi"/>
          <w:sz w:val="24"/>
          <w:szCs w:val="24"/>
        </w:rPr>
      </w:pPr>
      <w:r>
        <w:rPr>
          <w:rFonts w:asciiTheme="minorHAnsi" w:hAnsiTheme="minorHAnsi" w:cstheme="minorHAnsi"/>
          <w:sz w:val="24"/>
          <w:szCs w:val="24"/>
        </w:rPr>
        <w:t>We have made recommendations regarding water infrastructure projects in submissions regarding the Re</w:t>
      </w:r>
      <w:r w:rsidR="006C01B4">
        <w:rPr>
          <w:rFonts w:asciiTheme="minorHAnsi" w:hAnsiTheme="minorHAnsi" w:cstheme="minorHAnsi"/>
          <w:sz w:val="24"/>
          <w:szCs w:val="24"/>
        </w:rPr>
        <w:t>sto</w:t>
      </w:r>
      <w:r w:rsidR="00791420">
        <w:rPr>
          <w:rFonts w:asciiTheme="minorHAnsi" w:hAnsiTheme="minorHAnsi" w:cstheme="minorHAnsi"/>
          <w:sz w:val="24"/>
          <w:szCs w:val="24"/>
        </w:rPr>
        <w:t>ring our Rivers</w:t>
      </w:r>
      <w:r w:rsidR="006C01B4">
        <w:rPr>
          <w:rStyle w:val="FootnoteReference"/>
          <w:rFonts w:asciiTheme="minorHAnsi" w:hAnsiTheme="minorHAnsi" w:cstheme="minorHAnsi"/>
          <w:sz w:val="24"/>
          <w:szCs w:val="24"/>
        </w:rPr>
        <w:footnoteReference w:id="8"/>
      </w:r>
      <w:r w:rsidR="00791420">
        <w:rPr>
          <w:rFonts w:asciiTheme="minorHAnsi" w:hAnsiTheme="minorHAnsi" w:cstheme="minorHAnsi"/>
          <w:sz w:val="24"/>
          <w:szCs w:val="24"/>
        </w:rPr>
        <w:t xml:space="preserve"> and Toolkit M</w:t>
      </w:r>
      <w:r>
        <w:rPr>
          <w:rFonts w:asciiTheme="minorHAnsi" w:hAnsiTheme="minorHAnsi" w:cstheme="minorHAnsi"/>
          <w:sz w:val="24"/>
          <w:szCs w:val="24"/>
        </w:rPr>
        <w:t>easures</w:t>
      </w:r>
      <w:r w:rsidR="006C01B4">
        <w:rPr>
          <w:rStyle w:val="FootnoteReference"/>
          <w:rFonts w:asciiTheme="minorHAnsi" w:hAnsiTheme="minorHAnsi" w:cstheme="minorHAnsi"/>
          <w:sz w:val="24"/>
          <w:szCs w:val="24"/>
        </w:rPr>
        <w:footnoteReference w:id="9"/>
      </w:r>
      <w:r w:rsidR="006C01B4">
        <w:rPr>
          <w:rFonts w:asciiTheme="minorHAnsi" w:hAnsiTheme="minorHAnsi" w:cstheme="minorHAnsi"/>
          <w:sz w:val="24"/>
          <w:szCs w:val="24"/>
        </w:rPr>
        <w:t>,</w:t>
      </w:r>
      <w:r w:rsidR="00791420">
        <w:rPr>
          <w:rStyle w:val="FootnoteReference"/>
          <w:rFonts w:asciiTheme="minorHAnsi" w:hAnsiTheme="minorHAnsi" w:cstheme="minorHAnsi"/>
          <w:sz w:val="24"/>
          <w:szCs w:val="24"/>
        </w:rPr>
        <w:footnoteReference w:id="10"/>
      </w:r>
      <w:r>
        <w:rPr>
          <w:rFonts w:asciiTheme="minorHAnsi" w:hAnsiTheme="minorHAnsi" w:cstheme="minorHAnsi"/>
          <w:sz w:val="24"/>
          <w:szCs w:val="24"/>
        </w:rPr>
        <w:t>.</w:t>
      </w:r>
    </w:p>
    <w:p w14:paraId="0DBD9475" w14:textId="38AFAD2D" w:rsidR="00413D67" w:rsidRPr="00413D67" w:rsidRDefault="00413D67" w:rsidP="00413D67">
      <w:pPr>
        <w:pStyle w:val="FigureTableHeading"/>
        <w:rPr>
          <w:rFonts w:asciiTheme="minorHAnsi" w:eastAsia="Times New Roman" w:hAnsiTheme="minorHAnsi" w:cstheme="minorHAnsi"/>
          <w:b/>
          <w:iCs w:val="0"/>
          <w:color w:val="auto"/>
          <w:sz w:val="24"/>
          <w:szCs w:val="24"/>
          <w:lang w:val="en-GB"/>
        </w:rPr>
      </w:pPr>
      <w:r w:rsidRPr="00413D67">
        <w:rPr>
          <w:rFonts w:asciiTheme="minorHAnsi" w:eastAsia="Times New Roman" w:hAnsiTheme="minorHAnsi" w:cstheme="minorHAnsi"/>
          <w:b/>
          <w:iCs w:val="0"/>
          <w:color w:val="auto"/>
          <w:sz w:val="24"/>
          <w:szCs w:val="24"/>
          <w:lang w:val="en-GB"/>
        </w:rPr>
        <w:t>Comments on Table 2 – Findings</w:t>
      </w:r>
      <w:r w:rsidR="004A7826">
        <w:rPr>
          <w:rStyle w:val="FootnoteReference"/>
          <w:rFonts w:asciiTheme="minorHAnsi" w:eastAsia="Times New Roman" w:hAnsiTheme="minorHAnsi" w:cstheme="minorHAnsi"/>
          <w:b/>
          <w:iCs w:val="0"/>
          <w:color w:val="auto"/>
          <w:sz w:val="24"/>
          <w:szCs w:val="24"/>
          <w:lang w:val="en-GB"/>
        </w:rPr>
        <w:footnoteReference w:id="11"/>
      </w:r>
    </w:p>
    <w:p w14:paraId="152B3B1B" w14:textId="5F29E42D" w:rsidR="00B832D8" w:rsidRDefault="008A08A9" w:rsidP="002B0EE8">
      <w:pPr>
        <w:rPr>
          <w:rFonts w:asciiTheme="minorHAnsi" w:hAnsiTheme="minorHAnsi" w:cstheme="minorHAnsi"/>
          <w:sz w:val="24"/>
          <w:szCs w:val="24"/>
        </w:rPr>
      </w:pPr>
      <w:r>
        <w:rPr>
          <w:rFonts w:asciiTheme="minorHAnsi" w:hAnsiTheme="minorHAnsi" w:cstheme="minorHAnsi"/>
          <w:sz w:val="24"/>
          <w:szCs w:val="24"/>
        </w:rPr>
        <w:t xml:space="preserve">We could speak to the Findings from the PC review in 2024, and </w:t>
      </w:r>
      <w:r w:rsidR="00B832D8">
        <w:rPr>
          <w:rFonts w:asciiTheme="minorHAnsi" w:hAnsiTheme="minorHAnsi" w:cstheme="minorHAnsi"/>
          <w:sz w:val="24"/>
          <w:szCs w:val="24"/>
        </w:rPr>
        <w:t xml:space="preserve">would have many useful observations to make regarding Findings </w:t>
      </w:r>
      <w:r>
        <w:rPr>
          <w:rFonts w:asciiTheme="minorHAnsi" w:hAnsiTheme="minorHAnsi" w:cstheme="minorHAnsi"/>
          <w:sz w:val="24"/>
          <w:szCs w:val="24"/>
        </w:rPr>
        <w:t>6.2, 7.1, 7.2, 7.3, 8.1, 9.1, 9.2 and in the meantime offer the following contributions to your Interim Update:</w:t>
      </w:r>
    </w:p>
    <w:p w14:paraId="65236D3C" w14:textId="77777777" w:rsidR="008A08A9" w:rsidRDefault="008A08A9" w:rsidP="002B0EE8">
      <w:pPr>
        <w:rPr>
          <w:rFonts w:asciiTheme="minorHAnsi" w:hAnsiTheme="minorHAnsi" w:cstheme="minorHAnsi"/>
          <w:sz w:val="24"/>
          <w:szCs w:val="24"/>
        </w:rPr>
      </w:pPr>
    </w:p>
    <w:p w14:paraId="02EB378F" w14:textId="6CD731D6" w:rsidR="003D3EAD" w:rsidRPr="00E838EE" w:rsidRDefault="00E838EE" w:rsidP="00E838EE">
      <w:pPr>
        <w:pStyle w:val="ListParagraph"/>
        <w:numPr>
          <w:ilvl w:val="0"/>
          <w:numId w:val="8"/>
        </w:numPr>
        <w:rPr>
          <w:rFonts w:asciiTheme="minorHAnsi" w:hAnsiTheme="minorHAnsi" w:cstheme="minorHAnsi"/>
          <w:sz w:val="24"/>
          <w:szCs w:val="24"/>
        </w:rPr>
      </w:pPr>
      <w:r w:rsidRPr="00E838EE">
        <w:rPr>
          <w:rFonts w:asciiTheme="minorHAnsi" w:hAnsiTheme="minorHAnsi" w:cstheme="minorHAnsi"/>
          <w:sz w:val="24"/>
          <w:szCs w:val="24"/>
        </w:rPr>
        <w:lastRenderedPageBreak/>
        <w:t>It is unacceptable</w:t>
      </w:r>
      <w:r w:rsidR="00413D67" w:rsidRPr="00E838EE">
        <w:rPr>
          <w:rFonts w:asciiTheme="minorHAnsi" w:hAnsiTheme="minorHAnsi" w:cstheme="minorHAnsi"/>
          <w:sz w:val="24"/>
          <w:szCs w:val="24"/>
        </w:rPr>
        <w:t xml:space="preserve"> that water</w:t>
      </w:r>
      <w:r w:rsidRPr="00E838EE">
        <w:rPr>
          <w:rFonts w:asciiTheme="minorHAnsi" w:hAnsiTheme="minorHAnsi" w:cstheme="minorHAnsi"/>
          <w:sz w:val="24"/>
          <w:szCs w:val="24"/>
        </w:rPr>
        <w:t xml:space="preserve">, the lifeblood of peoples and Country </w:t>
      </w:r>
      <w:r w:rsidR="00413D67" w:rsidRPr="00E838EE">
        <w:rPr>
          <w:rFonts w:asciiTheme="minorHAnsi" w:hAnsiTheme="minorHAnsi" w:cstheme="minorHAnsi"/>
          <w:sz w:val="24"/>
          <w:szCs w:val="24"/>
        </w:rPr>
        <w:t>has be</w:t>
      </w:r>
      <w:r w:rsidRPr="00E838EE">
        <w:rPr>
          <w:rFonts w:asciiTheme="minorHAnsi" w:hAnsiTheme="minorHAnsi" w:cstheme="minorHAnsi"/>
          <w:sz w:val="24"/>
          <w:szCs w:val="24"/>
        </w:rPr>
        <w:t xml:space="preserve">en made </w:t>
      </w:r>
      <w:r w:rsidR="00413D67" w:rsidRPr="00E838EE">
        <w:rPr>
          <w:rFonts w:asciiTheme="minorHAnsi" w:hAnsiTheme="minorHAnsi" w:cstheme="minorHAnsi"/>
          <w:sz w:val="24"/>
          <w:szCs w:val="24"/>
        </w:rPr>
        <w:t>a tradeable financial product.</w:t>
      </w:r>
    </w:p>
    <w:p w14:paraId="480E488D" w14:textId="1C726884" w:rsidR="00413D67" w:rsidRPr="00E838EE" w:rsidRDefault="00413D67" w:rsidP="00E838EE">
      <w:pPr>
        <w:pStyle w:val="ListParagraph"/>
        <w:numPr>
          <w:ilvl w:val="0"/>
          <w:numId w:val="8"/>
        </w:numPr>
        <w:rPr>
          <w:rFonts w:asciiTheme="minorHAnsi" w:hAnsiTheme="minorHAnsi" w:cstheme="minorHAnsi"/>
          <w:sz w:val="24"/>
          <w:szCs w:val="24"/>
        </w:rPr>
      </w:pPr>
      <w:r w:rsidRPr="00E838EE">
        <w:rPr>
          <w:rFonts w:asciiTheme="minorHAnsi" w:hAnsiTheme="minorHAnsi" w:cstheme="minorHAnsi"/>
          <w:sz w:val="24"/>
          <w:szCs w:val="24"/>
        </w:rPr>
        <w:t xml:space="preserve">Water infrastructure funds should not be expended without independent, transparent assessment of business cases that </w:t>
      </w:r>
      <w:r w:rsidR="00E838EE" w:rsidRPr="00E838EE">
        <w:rPr>
          <w:rFonts w:asciiTheme="minorHAnsi" w:hAnsiTheme="minorHAnsi" w:cstheme="minorHAnsi"/>
          <w:sz w:val="24"/>
          <w:szCs w:val="24"/>
        </w:rPr>
        <w:t>value</w:t>
      </w:r>
      <w:r w:rsidRPr="00E838EE">
        <w:rPr>
          <w:rFonts w:asciiTheme="minorHAnsi" w:hAnsiTheme="minorHAnsi" w:cstheme="minorHAnsi"/>
          <w:sz w:val="24"/>
          <w:szCs w:val="24"/>
        </w:rPr>
        <w:t xml:space="preserve"> community and environmental benefits and impacts.</w:t>
      </w:r>
    </w:p>
    <w:p w14:paraId="29FAE113" w14:textId="03189E6C" w:rsidR="00413D67" w:rsidRPr="00E838EE" w:rsidRDefault="00413D67" w:rsidP="00E838EE">
      <w:pPr>
        <w:pStyle w:val="ListParagraph"/>
        <w:numPr>
          <w:ilvl w:val="0"/>
          <w:numId w:val="8"/>
        </w:numPr>
        <w:rPr>
          <w:rFonts w:asciiTheme="minorHAnsi" w:hAnsiTheme="minorHAnsi" w:cstheme="minorHAnsi"/>
          <w:sz w:val="24"/>
          <w:szCs w:val="24"/>
        </w:rPr>
      </w:pPr>
      <w:r w:rsidRPr="00E838EE">
        <w:rPr>
          <w:rFonts w:asciiTheme="minorHAnsi" w:hAnsiTheme="minorHAnsi" w:cstheme="minorHAnsi"/>
          <w:sz w:val="24"/>
          <w:szCs w:val="24"/>
        </w:rPr>
        <w:t>Public and environmental health outcomes must be defined, del</w:t>
      </w:r>
      <w:r w:rsidR="004A7826">
        <w:rPr>
          <w:rFonts w:asciiTheme="minorHAnsi" w:hAnsiTheme="minorHAnsi" w:cstheme="minorHAnsi"/>
          <w:sz w:val="24"/>
          <w:szCs w:val="24"/>
        </w:rPr>
        <w:t>ivered, measured and reported</w:t>
      </w:r>
      <w:r w:rsidRPr="00E838EE">
        <w:rPr>
          <w:rFonts w:asciiTheme="minorHAnsi" w:hAnsiTheme="minorHAnsi" w:cstheme="minorHAnsi"/>
          <w:sz w:val="24"/>
          <w:szCs w:val="24"/>
        </w:rPr>
        <w:t xml:space="preserve"> in ways acceptable to us including audits</w:t>
      </w:r>
      <w:r w:rsidR="00E838EE" w:rsidRPr="00E838EE">
        <w:rPr>
          <w:rFonts w:asciiTheme="minorHAnsi" w:hAnsiTheme="minorHAnsi" w:cstheme="minorHAnsi"/>
          <w:sz w:val="24"/>
          <w:szCs w:val="24"/>
        </w:rPr>
        <w:t>.</w:t>
      </w:r>
    </w:p>
    <w:p w14:paraId="52E4F87E" w14:textId="525500C6" w:rsidR="00E838EE" w:rsidRDefault="00E838EE" w:rsidP="00E838EE">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Despite commitments to ensure irrigation water is delivered on a cost-recovery basis</w:t>
      </w:r>
      <w:r w:rsidR="00886410">
        <w:rPr>
          <w:rFonts w:asciiTheme="minorHAnsi" w:hAnsiTheme="minorHAnsi" w:cstheme="minorHAnsi"/>
          <w:sz w:val="24"/>
          <w:szCs w:val="24"/>
        </w:rPr>
        <w:t>, this does not appear to be implemented. The Commonwealth and NSW governments are regularly required to contribute to river infrastructure that is only required by irrigators and is</w:t>
      </w:r>
      <w:r w:rsidR="004A7826">
        <w:rPr>
          <w:rFonts w:asciiTheme="minorHAnsi" w:hAnsiTheme="minorHAnsi" w:cstheme="minorHAnsi"/>
          <w:sz w:val="24"/>
          <w:szCs w:val="24"/>
        </w:rPr>
        <w:t xml:space="preserve"> usually negatively impacting</w:t>
      </w:r>
      <w:r w:rsidR="00886410">
        <w:rPr>
          <w:rFonts w:asciiTheme="minorHAnsi" w:hAnsiTheme="minorHAnsi" w:cstheme="minorHAnsi"/>
          <w:sz w:val="24"/>
          <w:szCs w:val="24"/>
        </w:rPr>
        <w:t xml:space="preserve"> communities and the environment. </w:t>
      </w:r>
      <w:r w:rsidR="007F28AE">
        <w:rPr>
          <w:rFonts w:asciiTheme="minorHAnsi" w:hAnsiTheme="minorHAnsi" w:cstheme="minorHAnsi"/>
          <w:sz w:val="24"/>
          <w:szCs w:val="24"/>
        </w:rPr>
        <w:t>These i</w:t>
      </w:r>
      <w:r w:rsidR="00886410">
        <w:rPr>
          <w:rFonts w:asciiTheme="minorHAnsi" w:hAnsiTheme="minorHAnsi" w:cstheme="minorHAnsi"/>
          <w:sz w:val="24"/>
          <w:szCs w:val="24"/>
        </w:rPr>
        <w:t>rrigator infrastructure business cases do not examine the options for removing weirs instead of spending millions on fishways (for example) and lobbyists are pushing today expensive pipeline projects for conveying town water supplies without adequate business cases.</w:t>
      </w:r>
    </w:p>
    <w:p w14:paraId="3AC55CE4" w14:textId="781CF53E" w:rsidR="00413D67" w:rsidRPr="00E838EE" w:rsidRDefault="00413D67" w:rsidP="00E838EE">
      <w:pPr>
        <w:pStyle w:val="ListParagraph"/>
        <w:numPr>
          <w:ilvl w:val="0"/>
          <w:numId w:val="8"/>
        </w:numPr>
        <w:rPr>
          <w:rFonts w:asciiTheme="minorHAnsi" w:hAnsiTheme="minorHAnsi" w:cstheme="minorHAnsi"/>
          <w:sz w:val="24"/>
          <w:szCs w:val="24"/>
        </w:rPr>
      </w:pPr>
      <w:r w:rsidRPr="00E838EE">
        <w:rPr>
          <w:rFonts w:asciiTheme="minorHAnsi" w:hAnsiTheme="minorHAnsi" w:cstheme="minorHAnsi"/>
          <w:sz w:val="24"/>
          <w:szCs w:val="24"/>
        </w:rPr>
        <w:t xml:space="preserve">Walgett needs safe, low sodium </w:t>
      </w:r>
      <w:r w:rsidR="00E838EE" w:rsidRPr="00E838EE">
        <w:rPr>
          <w:rFonts w:asciiTheme="minorHAnsi" w:hAnsiTheme="minorHAnsi" w:cstheme="minorHAnsi"/>
          <w:sz w:val="24"/>
          <w:szCs w:val="24"/>
        </w:rPr>
        <w:t xml:space="preserve">free </w:t>
      </w:r>
      <w:r w:rsidRPr="00E838EE">
        <w:rPr>
          <w:rFonts w:asciiTheme="minorHAnsi" w:hAnsiTheme="minorHAnsi" w:cstheme="minorHAnsi"/>
          <w:sz w:val="24"/>
          <w:szCs w:val="24"/>
        </w:rPr>
        <w:t>drinking water</w:t>
      </w:r>
      <w:r w:rsidR="00E838EE" w:rsidRPr="00E838EE">
        <w:rPr>
          <w:rFonts w:asciiTheme="minorHAnsi" w:hAnsiTheme="minorHAnsi" w:cstheme="minorHAnsi"/>
          <w:sz w:val="24"/>
          <w:szCs w:val="24"/>
        </w:rPr>
        <w:t xml:space="preserve"> and our community needs to trust the drinking water delivered to it by the local Water Utility</w:t>
      </w:r>
      <w:r w:rsidRPr="00E838EE">
        <w:rPr>
          <w:rFonts w:asciiTheme="minorHAnsi" w:hAnsiTheme="minorHAnsi" w:cstheme="minorHAnsi"/>
          <w:sz w:val="24"/>
          <w:szCs w:val="24"/>
        </w:rPr>
        <w:t>.</w:t>
      </w:r>
      <w:r w:rsidR="00626FEB">
        <w:rPr>
          <w:rFonts w:asciiTheme="minorHAnsi" w:hAnsiTheme="minorHAnsi" w:cstheme="minorHAnsi"/>
          <w:sz w:val="24"/>
          <w:szCs w:val="24"/>
        </w:rPr>
        <w:t xml:space="preserve"> </w:t>
      </w:r>
      <w:r w:rsidR="00626FEB" w:rsidRPr="00626FEB">
        <w:rPr>
          <w:rFonts w:asciiTheme="minorHAnsi" w:hAnsiTheme="minorHAnsi" w:cstheme="minorHAnsi"/>
          <w:sz w:val="24"/>
          <w:szCs w:val="24"/>
        </w:rPr>
        <w:t>The supply of water with elevated levels of sodium in Wal</w:t>
      </w:r>
      <w:r w:rsidR="00626FEB">
        <w:rPr>
          <w:rFonts w:asciiTheme="minorHAnsi" w:hAnsiTheme="minorHAnsi" w:cstheme="minorHAnsi"/>
          <w:sz w:val="24"/>
          <w:szCs w:val="24"/>
        </w:rPr>
        <w:t>gett regularly exceeds Australian Drinking Water palatability guidelines and</w:t>
      </w:r>
      <w:r w:rsidR="00626FEB" w:rsidRPr="00626FEB">
        <w:rPr>
          <w:rFonts w:asciiTheme="minorHAnsi" w:hAnsiTheme="minorHAnsi" w:cstheme="minorHAnsi"/>
          <w:sz w:val="24"/>
          <w:szCs w:val="24"/>
        </w:rPr>
        <w:t xml:space="preserve"> is exacerbating corrosion problems in the plumbing infrastructure</w:t>
      </w:r>
      <w:r w:rsidR="00626FEB">
        <w:rPr>
          <w:rFonts w:asciiTheme="minorHAnsi" w:hAnsiTheme="minorHAnsi" w:cstheme="minorHAnsi"/>
          <w:sz w:val="24"/>
          <w:szCs w:val="24"/>
        </w:rPr>
        <w:t xml:space="preserve"> causing further health concerns. There are no guidelines for healthy levels of sodium in drinking water (which are needed).</w:t>
      </w:r>
      <w:r w:rsidRPr="00E838EE">
        <w:rPr>
          <w:rFonts w:asciiTheme="minorHAnsi" w:hAnsiTheme="minorHAnsi" w:cstheme="minorHAnsi"/>
          <w:sz w:val="24"/>
          <w:szCs w:val="24"/>
        </w:rPr>
        <w:t xml:space="preserve"> </w:t>
      </w:r>
      <w:r w:rsidR="00E838EE" w:rsidRPr="00E838EE">
        <w:rPr>
          <w:rFonts w:asciiTheme="minorHAnsi" w:hAnsiTheme="minorHAnsi" w:cstheme="minorHAnsi"/>
          <w:sz w:val="24"/>
          <w:szCs w:val="24"/>
        </w:rPr>
        <w:t xml:space="preserve">A </w:t>
      </w:r>
      <w:r w:rsidRPr="00E838EE">
        <w:rPr>
          <w:rFonts w:asciiTheme="minorHAnsi" w:hAnsiTheme="minorHAnsi" w:cstheme="minorHAnsi"/>
          <w:sz w:val="24"/>
          <w:szCs w:val="24"/>
        </w:rPr>
        <w:t>Universal Service Obligation</w:t>
      </w:r>
      <w:r w:rsidR="00E838EE" w:rsidRPr="00E838EE">
        <w:rPr>
          <w:rFonts w:asciiTheme="minorHAnsi" w:hAnsiTheme="minorHAnsi" w:cstheme="minorHAnsi"/>
          <w:sz w:val="24"/>
          <w:szCs w:val="24"/>
        </w:rPr>
        <w:t xml:space="preserve"> framework</w:t>
      </w:r>
      <w:r w:rsidRPr="00E838EE">
        <w:rPr>
          <w:rFonts w:asciiTheme="minorHAnsi" w:hAnsiTheme="minorHAnsi" w:cstheme="minorHAnsi"/>
          <w:sz w:val="24"/>
          <w:szCs w:val="24"/>
        </w:rPr>
        <w:t xml:space="preserve"> for funding local governments</w:t>
      </w:r>
      <w:r w:rsidR="00E838EE">
        <w:rPr>
          <w:rFonts w:asciiTheme="minorHAnsi" w:hAnsiTheme="minorHAnsi" w:cstheme="minorHAnsi"/>
          <w:sz w:val="24"/>
          <w:szCs w:val="24"/>
        </w:rPr>
        <w:t>’</w:t>
      </w:r>
      <w:r w:rsidRPr="00E838EE">
        <w:rPr>
          <w:rFonts w:asciiTheme="minorHAnsi" w:hAnsiTheme="minorHAnsi" w:cstheme="minorHAnsi"/>
          <w:sz w:val="24"/>
          <w:szCs w:val="24"/>
        </w:rPr>
        <w:t xml:space="preserve"> water utility operations and capital requirements</w:t>
      </w:r>
      <w:r w:rsidR="00E838EE">
        <w:rPr>
          <w:rFonts w:asciiTheme="minorHAnsi" w:hAnsiTheme="minorHAnsi" w:cstheme="minorHAnsi"/>
          <w:sz w:val="24"/>
          <w:szCs w:val="24"/>
        </w:rPr>
        <w:t xml:space="preserve"> would assist</w:t>
      </w:r>
      <w:r w:rsidR="00886410">
        <w:rPr>
          <w:rFonts w:asciiTheme="minorHAnsi" w:hAnsiTheme="minorHAnsi" w:cstheme="minorHAnsi"/>
          <w:sz w:val="24"/>
          <w:szCs w:val="24"/>
        </w:rPr>
        <w:t>.</w:t>
      </w:r>
      <w:r w:rsidR="00626FEB">
        <w:rPr>
          <w:rFonts w:asciiTheme="minorHAnsi" w:hAnsiTheme="minorHAnsi" w:cstheme="minorHAnsi"/>
          <w:sz w:val="24"/>
          <w:szCs w:val="24"/>
        </w:rPr>
        <w:t xml:space="preserve"> </w:t>
      </w:r>
    </w:p>
    <w:p w14:paraId="6122DF38" w14:textId="2D70F60F" w:rsidR="0095440D" w:rsidRPr="00E838EE" w:rsidRDefault="0095440D" w:rsidP="00E838EE">
      <w:pPr>
        <w:pStyle w:val="ListParagraph"/>
        <w:numPr>
          <w:ilvl w:val="0"/>
          <w:numId w:val="8"/>
        </w:numPr>
        <w:rPr>
          <w:rFonts w:asciiTheme="minorHAnsi" w:hAnsiTheme="minorHAnsi" w:cstheme="minorHAnsi"/>
          <w:sz w:val="24"/>
          <w:szCs w:val="24"/>
        </w:rPr>
      </w:pPr>
      <w:r w:rsidRPr="00E838EE">
        <w:rPr>
          <w:rFonts w:asciiTheme="minorHAnsi" w:hAnsiTheme="minorHAnsi" w:cstheme="minorHAnsi"/>
          <w:sz w:val="24"/>
          <w:szCs w:val="24"/>
        </w:rPr>
        <w:t>Publication of drinking water quality data</w:t>
      </w:r>
      <w:r w:rsidR="00E838EE" w:rsidRPr="00E838EE">
        <w:rPr>
          <w:rFonts w:asciiTheme="minorHAnsi" w:hAnsiTheme="minorHAnsi" w:cstheme="minorHAnsi"/>
          <w:sz w:val="24"/>
          <w:szCs w:val="24"/>
        </w:rPr>
        <w:t xml:space="preserve"> for the public is essential and is still not delivered despite NSW Water Group saying in a NSW Estimates hearing</w:t>
      </w:r>
      <w:r w:rsidR="00AE7B2D">
        <w:rPr>
          <w:rStyle w:val="FootnoteReference"/>
          <w:rFonts w:asciiTheme="minorHAnsi" w:hAnsiTheme="minorHAnsi" w:cstheme="minorHAnsi"/>
          <w:sz w:val="24"/>
          <w:szCs w:val="24"/>
        </w:rPr>
        <w:footnoteReference w:id="12"/>
      </w:r>
      <w:r w:rsidR="00E838EE" w:rsidRPr="00E838EE">
        <w:rPr>
          <w:rFonts w:asciiTheme="minorHAnsi" w:hAnsiTheme="minorHAnsi" w:cstheme="minorHAnsi"/>
          <w:sz w:val="24"/>
          <w:szCs w:val="24"/>
        </w:rPr>
        <w:t xml:space="preserve"> that it is.</w:t>
      </w:r>
    </w:p>
    <w:p w14:paraId="6A05A809" w14:textId="77777777" w:rsidR="003D3EAD" w:rsidRDefault="003D3EAD" w:rsidP="002B0EE8">
      <w:pPr>
        <w:rPr>
          <w:rFonts w:asciiTheme="minorHAnsi" w:hAnsiTheme="minorHAnsi" w:cstheme="minorHAnsi"/>
          <w:sz w:val="24"/>
          <w:szCs w:val="24"/>
        </w:rPr>
      </w:pPr>
    </w:p>
    <w:p w14:paraId="5A39BBE3" w14:textId="77777777" w:rsidR="003D3EAD" w:rsidRDefault="003D3EAD" w:rsidP="002B0EE8">
      <w:pPr>
        <w:rPr>
          <w:rFonts w:asciiTheme="minorHAnsi" w:hAnsiTheme="minorHAnsi" w:cstheme="minorHAnsi"/>
          <w:sz w:val="24"/>
          <w:szCs w:val="24"/>
        </w:rPr>
      </w:pPr>
    </w:p>
    <w:p w14:paraId="41C8F396" w14:textId="77777777" w:rsidR="003D3EAD" w:rsidRDefault="003D3EAD" w:rsidP="002B0EE8">
      <w:pPr>
        <w:rPr>
          <w:rFonts w:asciiTheme="minorHAnsi" w:hAnsiTheme="minorHAnsi" w:cstheme="minorHAnsi"/>
          <w:sz w:val="24"/>
          <w:szCs w:val="24"/>
        </w:rPr>
      </w:pPr>
    </w:p>
    <w:p w14:paraId="72A3D3EC" w14:textId="77777777" w:rsidR="003D3EAD" w:rsidRDefault="003D3EAD" w:rsidP="002B0EE8">
      <w:pPr>
        <w:rPr>
          <w:rFonts w:asciiTheme="minorHAnsi" w:hAnsiTheme="minorHAnsi" w:cstheme="minorHAnsi"/>
          <w:sz w:val="24"/>
          <w:szCs w:val="24"/>
        </w:rPr>
      </w:pPr>
    </w:p>
    <w:p w14:paraId="0D0B940D" w14:textId="77777777" w:rsidR="003D3EAD" w:rsidRDefault="003D3EAD" w:rsidP="002B0EE8">
      <w:pPr>
        <w:rPr>
          <w:rFonts w:asciiTheme="minorHAnsi" w:hAnsiTheme="minorHAnsi" w:cstheme="minorHAnsi"/>
          <w:sz w:val="24"/>
          <w:szCs w:val="24"/>
        </w:rPr>
      </w:pPr>
    </w:p>
    <w:p w14:paraId="0E27B00A" w14:textId="77777777" w:rsidR="003D3EAD" w:rsidRDefault="003D3EAD" w:rsidP="002B0EE8">
      <w:pPr>
        <w:rPr>
          <w:rFonts w:asciiTheme="minorHAnsi" w:hAnsiTheme="minorHAnsi" w:cstheme="minorHAnsi"/>
          <w:sz w:val="24"/>
          <w:szCs w:val="24"/>
        </w:rPr>
      </w:pPr>
    </w:p>
    <w:p w14:paraId="60061E4C" w14:textId="77777777" w:rsidR="003D3EAD" w:rsidRDefault="003D3EAD" w:rsidP="002B0EE8">
      <w:pPr>
        <w:rPr>
          <w:rFonts w:asciiTheme="minorHAnsi" w:hAnsiTheme="minorHAnsi" w:cstheme="minorHAnsi"/>
          <w:sz w:val="24"/>
          <w:szCs w:val="24"/>
        </w:rPr>
      </w:pPr>
    </w:p>
    <w:p w14:paraId="44EAFD9C" w14:textId="77777777" w:rsidR="003D3EAD" w:rsidRDefault="003D3EAD" w:rsidP="002B0EE8">
      <w:pPr>
        <w:rPr>
          <w:rFonts w:asciiTheme="minorHAnsi" w:hAnsiTheme="minorHAnsi" w:cstheme="minorHAnsi"/>
          <w:sz w:val="24"/>
          <w:szCs w:val="24"/>
        </w:rPr>
      </w:pPr>
    </w:p>
    <w:p w14:paraId="4B94D5A5" w14:textId="77777777" w:rsidR="003D3EAD" w:rsidRDefault="003D3EAD" w:rsidP="002B0EE8">
      <w:pPr>
        <w:rPr>
          <w:rFonts w:asciiTheme="minorHAnsi" w:hAnsiTheme="minorHAnsi" w:cstheme="minorHAnsi"/>
          <w:sz w:val="24"/>
          <w:szCs w:val="24"/>
        </w:rPr>
      </w:pPr>
    </w:p>
    <w:p w14:paraId="3DEEC669" w14:textId="77777777" w:rsidR="003D3EAD" w:rsidRDefault="003D3EAD" w:rsidP="002B0EE8">
      <w:pPr>
        <w:rPr>
          <w:rFonts w:asciiTheme="minorHAnsi" w:hAnsiTheme="minorHAnsi" w:cstheme="minorHAnsi"/>
          <w:sz w:val="24"/>
          <w:szCs w:val="24"/>
        </w:rPr>
      </w:pPr>
    </w:p>
    <w:p w14:paraId="3656B9AB" w14:textId="77777777" w:rsidR="003D3EAD" w:rsidRDefault="003D3EAD" w:rsidP="002B0EE8">
      <w:pPr>
        <w:rPr>
          <w:rFonts w:asciiTheme="minorHAnsi" w:hAnsiTheme="minorHAnsi" w:cstheme="minorHAnsi"/>
          <w:sz w:val="24"/>
          <w:szCs w:val="24"/>
        </w:rPr>
      </w:pPr>
    </w:p>
    <w:p w14:paraId="45FB0818" w14:textId="77777777" w:rsidR="003D3EAD" w:rsidRDefault="003D3EAD" w:rsidP="002B0EE8">
      <w:pPr>
        <w:rPr>
          <w:rFonts w:asciiTheme="minorHAnsi" w:hAnsiTheme="minorHAnsi" w:cstheme="minorHAnsi"/>
          <w:sz w:val="24"/>
          <w:szCs w:val="24"/>
        </w:rPr>
      </w:pPr>
    </w:p>
    <w:p w14:paraId="049F31CB" w14:textId="77777777" w:rsidR="003D3EAD" w:rsidRDefault="003D3EAD" w:rsidP="002B0EE8">
      <w:pPr>
        <w:rPr>
          <w:rFonts w:asciiTheme="minorHAnsi" w:hAnsiTheme="minorHAnsi" w:cstheme="minorHAnsi"/>
          <w:sz w:val="24"/>
          <w:szCs w:val="24"/>
        </w:rPr>
      </w:pPr>
    </w:p>
    <w:p w14:paraId="53128261" w14:textId="77777777" w:rsidR="003D3EAD" w:rsidRDefault="003D3EAD" w:rsidP="002B0EE8">
      <w:pPr>
        <w:rPr>
          <w:rFonts w:asciiTheme="minorHAnsi" w:hAnsiTheme="minorHAnsi" w:cstheme="minorHAnsi"/>
          <w:sz w:val="24"/>
          <w:szCs w:val="24"/>
        </w:rPr>
      </w:pPr>
    </w:p>
    <w:p w14:paraId="62486C05" w14:textId="77777777" w:rsidR="003D3EAD" w:rsidRDefault="003D3EAD" w:rsidP="002B0EE8">
      <w:pPr>
        <w:rPr>
          <w:rFonts w:asciiTheme="minorHAnsi" w:hAnsiTheme="minorHAnsi" w:cstheme="minorHAnsi"/>
          <w:sz w:val="24"/>
          <w:szCs w:val="24"/>
        </w:rPr>
      </w:pPr>
    </w:p>
    <w:p w14:paraId="4101652C" w14:textId="77777777" w:rsidR="003D3EAD" w:rsidRDefault="003D3EAD" w:rsidP="002B0EE8">
      <w:pPr>
        <w:rPr>
          <w:rFonts w:asciiTheme="minorHAnsi" w:hAnsiTheme="minorHAnsi" w:cstheme="minorHAnsi"/>
          <w:sz w:val="24"/>
          <w:szCs w:val="24"/>
        </w:rPr>
      </w:pPr>
    </w:p>
    <w:p w14:paraId="4B99056E" w14:textId="77777777" w:rsidR="003D3EAD" w:rsidRDefault="003D3EAD" w:rsidP="002B0EE8">
      <w:pPr>
        <w:rPr>
          <w:rFonts w:asciiTheme="minorHAnsi" w:hAnsiTheme="minorHAnsi" w:cstheme="minorHAnsi"/>
          <w:sz w:val="24"/>
          <w:szCs w:val="24"/>
        </w:rPr>
      </w:pPr>
    </w:p>
    <w:p w14:paraId="1299C43A" w14:textId="77777777" w:rsidR="003D3EAD" w:rsidRDefault="003D3EAD" w:rsidP="002B0EE8">
      <w:pPr>
        <w:rPr>
          <w:rFonts w:asciiTheme="minorHAnsi" w:hAnsiTheme="minorHAnsi" w:cstheme="minorHAnsi"/>
          <w:sz w:val="24"/>
          <w:szCs w:val="24"/>
        </w:rPr>
      </w:pPr>
    </w:p>
    <w:p w14:paraId="4DDBEF00" w14:textId="77777777" w:rsidR="003D3EAD" w:rsidRDefault="003D3EAD" w:rsidP="002B0EE8">
      <w:pPr>
        <w:rPr>
          <w:rFonts w:asciiTheme="minorHAnsi" w:hAnsiTheme="minorHAnsi" w:cstheme="minorHAnsi"/>
          <w:sz w:val="24"/>
          <w:szCs w:val="24"/>
        </w:rPr>
      </w:pPr>
    </w:p>
    <w:p w14:paraId="3461D779" w14:textId="77777777" w:rsidR="003D3EAD" w:rsidRDefault="003D3EAD" w:rsidP="002B0EE8">
      <w:pPr>
        <w:rPr>
          <w:rFonts w:asciiTheme="minorHAnsi" w:hAnsiTheme="minorHAnsi" w:cstheme="minorHAnsi"/>
          <w:sz w:val="24"/>
          <w:szCs w:val="24"/>
        </w:rPr>
      </w:pPr>
    </w:p>
    <w:p w14:paraId="3CF2D8B6" w14:textId="77777777" w:rsidR="003D3EAD" w:rsidRDefault="003D3EAD" w:rsidP="002B0EE8">
      <w:pPr>
        <w:rPr>
          <w:rFonts w:asciiTheme="minorHAnsi" w:hAnsiTheme="minorHAnsi" w:cstheme="minorHAnsi"/>
          <w:sz w:val="24"/>
          <w:szCs w:val="24"/>
        </w:rPr>
      </w:pPr>
    </w:p>
    <w:p w14:paraId="0FB78278" w14:textId="77777777" w:rsidR="003D3EAD" w:rsidRDefault="003D3EAD" w:rsidP="002B0EE8">
      <w:pPr>
        <w:rPr>
          <w:rFonts w:asciiTheme="minorHAnsi" w:hAnsiTheme="minorHAnsi" w:cstheme="minorHAnsi"/>
          <w:sz w:val="24"/>
          <w:szCs w:val="24"/>
        </w:rPr>
      </w:pPr>
    </w:p>
    <w:p w14:paraId="6B699379" w14:textId="77777777" w:rsidR="00823F0E" w:rsidRPr="00780A04" w:rsidRDefault="00823F0E" w:rsidP="00780A04"/>
    <w:sectPr w:rsidR="00823F0E" w:rsidRPr="00780A04" w:rsidSect="00063453">
      <w:headerReference w:type="default" r:id="rId12"/>
      <w:footerReference w:type="default" r:id="rId13"/>
      <w:headerReference w:type="first" r:id="rId14"/>
      <w:footerReference w:type="first" r:id="rId15"/>
      <w:pgSz w:w="11907" w:h="16840"/>
      <w:pgMar w:top="1134" w:right="1276" w:bottom="922" w:left="992" w:header="426"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76F6" w14:textId="77777777" w:rsidR="00D21D82" w:rsidRDefault="00D21D82">
      <w:r>
        <w:separator/>
      </w:r>
    </w:p>
  </w:endnote>
  <w:endnote w:type="continuationSeparator" w:id="0">
    <w:p w14:paraId="0002D775" w14:textId="77777777" w:rsidR="00D21D82" w:rsidRDefault="00D2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6FF0" w14:textId="77777777" w:rsidR="00E838EE" w:rsidRDefault="00E838EE">
    <w:pPr>
      <w:pStyle w:val="Footer"/>
    </w:pPr>
    <w:r>
      <w:rPr>
        <w:noProof/>
        <w:lang w:val="en-AU" w:eastAsia="en-AU"/>
      </w:rPr>
      <mc:AlternateContent>
        <mc:Choice Requires="wps">
          <w:drawing>
            <wp:anchor distT="0" distB="0" distL="114300" distR="114300" simplePos="0" relativeHeight="251656704" behindDoc="0" locked="0" layoutInCell="0" allowOverlap="1" wp14:anchorId="248A37D1" wp14:editId="658C0366">
              <wp:simplePos x="0" y="0"/>
              <wp:positionH relativeFrom="column">
                <wp:posOffset>-45720</wp:posOffset>
              </wp:positionH>
              <wp:positionV relativeFrom="paragraph">
                <wp:posOffset>26035</wp:posOffset>
              </wp:positionV>
              <wp:extent cx="4115435" cy="635"/>
              <wp:effectExtent l="11430" t="6985" r="6985" b="1143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54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C1903"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5pt" to="32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" o:allowincell="f" strokeweight="1pt">
              <v:stroke startarrowwidth="narrow" startarrowlength="short" endarrowwidth="narrow" endarrowlength="short"/>
            </v:line>
          </w:pict>
        </mc:Fallback>
      </mc:AlternateContent>
    </w:r>
  </w:p>
  <w:p w14:paraId="4699DBDF" w14:textId="4FC421DF" w:rsidR="00E838EE" w:rsidRDefault="00E838EE">
    <w:pPr>
      <w:pStyle w:val="Footer"/>
      <w:rPr>
        <w:rStyle w:val="PageNumber"/>
        <w:rFonts w:ascii="Tahoma" w:hAnsi="Tahoma" w:cs="Tahoma"/>
      </w:rPr>
    </w:pPr>
    <w:r>
      <w:rPr>
        <w:rFonts w:ascii="Tahoma" w:hAnsi="Tahoma" w:cs="Tahoma"/>
      </w:rPr>
      <w:t xml:space="preserve">page </w:t>
    </w:r>
    <w:r>
      <w:rPr>
        <w:rStyle w:val="PageNumber"/>
        <w:rFonts w:ascii="Tahoma" w:hAnsi="Tahoma" w:cs="Tahoma"/>
      </w:rPr>
      <w:fldChar w:fldCharType="begin"/>
    </w:r>
    <w:r>
      <w:rPr>
        <w:rStyle w:val="PageNumber"/>
        <w:rFonts w:ascii="Tahoma" w:hAnsi="Tahoma" w:cs="Tahoma"/>
      </w:rPr>
      <w:instrText xml:space="preserve"> PAGE </w:instrText>
    </w:r>
    <w:r>
      <w:rPr>
        <w:rStyle w:val="PageNumber"/>
        <w:rFonts w:ascii="Tahoma" w:hAnsi="Tahoma" w:cs="Tahoma"/>
      </w:rPr>
      <w:fldChar w:fldCharType="separate"/>
    </w:r>
    <w:r w:rsidR="00D151A0">
      <w:rPr>
        <w:rStyle w:val="PageNumber"/>
        <w:rFonts w:ascii="Tahoma" w:hAnsi="Tahoma" w:cs="Tahoma"/>
        <w:noProof/>
      </w:rPr>
      <w:t>2</w:t>
    </w:r>
    <w:r>
      <w:rPr>
        <w:rStyle w:val="PageNumber"/>
        <w:rFonts w:ascii="Tahoma" w:hAnsi="Tahoma" w:cs="Tahoma"/>
      </w:rPr>
      <w:fldChar w:fldCharType="end"/>
    </w:r>
  </w:p>
  <w:p w14:paraId="07459315" w14:textId="77777777" w:rsidR="00E838EE" w:rsidRDefault="00E838EE">
    <w:pPr>
      <w:pStyle w:val="Footer"/>
      <w:rPr>
        <w:rStyle w:val="PageNumber"/>
      </w:rPr>
    </w:pPr>
  </w:p>
  <w:p w14:paraId="6537F28F" w14:textId="77777777" w:rsidR="00E838EE" w:rsidRDefault="00E83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E458" w14:textId="77777777" w:rsidR="00E838EE" w:rsidRDefault="00E838EE">
    <w:pPr>
      <w:pStyle w:val="Footer"/>
    </w:pPr>
    <w:r>
      <w:rPr>
        <w:noProof/>
        <w:lang w:val="en-AU" w:eastAsia="en-AU"/>
      </w:rPr>
      <mc:AlternateContent>
        <mc:Choice Requires="wps">
          <w:drawing>
            <wp:anchor distT="0" distB="0" distL="114300" distR="114300" simplePos="0" relativeHeight="251657728" behindDoc="0" locked="0" layoutInCell="1" allowOverlap="1" wp14:anchorId="5F0B3DB9" wp14:editId="4D4BBA8C">
              <wp:simplePos x="0" y="0"/>
              <wp:positionH relativeFrom="column">
                <wp:posOffset>0</wp:posOffset>
              </wp:positionH>
              <wp:positionV relativeFrom="paragraph">
                <wp:posOffset>85090</wp:posOffset>
              </wp:positionV>
              <wp:extent cx="5257800" cy="0"/>
              <wp:effectExtent l="9525" t="8890" r="9525" b="1016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670F0"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1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"/>
          </w:pict>
        </mc:Fallback>
      </mc:AlternateContent>
    </w:r>
  </w:p>
  <w:p w14:paraId="2D6D5B86" w14:textId="2AD5248F" w:rsidR="00E838EE" w:rsidRDefault="00E838EE">
    <w:pPr>
      <w:pStyle w:val="Footer"/>
      <w:rPr>
        <w:rFonts w:ascii="Arial" w:hAnsi="Arial" w:cs="Arial"/>
        <w:sz w:val="16"/>
        <w:szCs w:val="16"/>
      </w:rPr>
    </w:pPr>
    <w:r w:rsidRPr="00014CB8">
      <w:rPr>
        <w:rFonts w:ascii="Arial" w:hAnsi="Arial" w:cs="Arial"/>
        <w:sz w:val="16"/>
        <w:szCs w:val="16"/>
      </w:rPr>
      <w:t xml:space="preserve">ABN: 26 795 240 948, </w:t>
    </w:r>
    <w:r w:rsidR="00F3155A" w:rsidRPr="00E929D2">
      <w:rPr>
        <w:rFonts w:ascii="Arial" w:hAnsi="Arial" w:cs="Arial"/>
        <w:sz w:val="16"/>
        <w:szCs w:val="16"/>
        <w:highlight w:val="black"/>
      </w:rPr>
      <w:t>xx xxx</w:t>
    </w:r>
    <w:r w:rsidRPr="00E929D2">
      <w:rPr>
        <w:rFonts w:ascii="Arial" w:hAnsi="Arial" w:cs="Arial"/>
        <w:sz w:val="16"/>
        <w:szCs w:val="16"/>
        <w:highlight w:val="black"/>
      </w:rPr>
      <w:t xml:space="preserve"> </w:t>
    </w:r>
    <w:proofErr w:type="spellStart"/>
    <w:r w:rsidR="00F3155A" w:rsidRPr="00E929D2">
      <w:rPr>
        <w:rFonts w:ascii="Arial" w:hAnsi="Arial" w:cs="Arial"/>
        <w:sz w:val="16"/>
        <w:szCs w:val="16"/>
        <w:highlight w:val="black"/>
      </w:rPr>
      <w:t>xxx</w:t>
    </w:r>
    <w:proofErr w:type="spellEnd"/>
    <w:r w:rsidRPr="00E929D2">
      <w:rPr>
        <w:rFonts w:ascii="Arial" w:hAnsi="Arial" w:cs="Arial"/>
        <w:sz w:val="16"/>
        <w:szCs w:val="16"/>
        <w:highlight w:val="black"/>
      </w:rPr>
      <w:t xml:space="preserve"> </w:t>
    </w:r>
    <w:proofErr w:type="spellStart"/>
    <w:r w:rsidR="00F3155A" w:rsidRPr="00E929D2">
      <w:rPr>
        <w:rFonts w:ascii="Arial" w:hAnsi="Arial" w:cs="Arial"/>
        <w:sz w:val="16"/>
        <w:szCs w:val="16"/>
        <w:highlight w:val="black"/>
      </w:rPr>
      <w:t>xxxxxx</w:t>
    </w:r>
    <w:proofErr w:type="spellEnd"/>
    <w:r w:rsidRPr="00014CB8">
      <w:rPr>
        <w:rFonts w:ascii="Arial" w:hAnsi="Arial" w:cs="Arial"/>
        <w:sz w:val="16"/>
        <w:szCs w:val="16"/>
      </w:rPr>
      <w:t xml:space="preserve"> NSW 2832, </w:t>
    </w:r>
    <w:proofErr w:type="spellStart"/>
    <w:r w:rsidRPr="00014CB8">
      <w:rPr>
        <w:rFonts w:ascii="Arial" w:hAnsi="Arial" w:cs="Arial"/>
        <w:sz w:val="16"/>
        <w:szCs w:val="16"/>
      </w:rPr>
      <w:t>ph</w:t>
    </w:r>
    <w:proofErr w:type="spellEnd"/>
    <w:r w:rsidRPr="00E929D2">
      <w:rPr>
        <w:rFonts w:ascii="Arial" w:hAnsi="Arial" w:cs="Arial"/>
        <w:sz w:val="16"/>
        <w:szCs w:val="16"/>
        <w:highlight w:val="black"/>
      </w:rPr>
      <w:t xml:space="preserve">: </w:t>
    </w:r>
    <w:proofErr w:type="spellStart"/>
    <w:proofErr w:type="gramStart"/>
    <w:r w:rsidR="00E368A7" w:rsidRPr="00E929D2">
      <w:rPr>
        <w:rFonts w:ascii="Arial" w:hAnsi="Arial" w:cs="Arial"/>
        <w:sz w:val="16"/>
        <w:szCs w:val="16"/>
        <w:highlight w:val="black"/>
      </w:rPr>
      <w:t>xxxxxxx</w:t>
    </w:r>
    <w:proofErr w:type="spellEnd"/>
    <w:r w:rsidR="00E368A7">
      <w:rPr>
        <w:rFonts w:ascii="Arial" w:hAnsi="Arial" w:cs="Arial"/>
        <w:sz w:val="16"/>
        <w:szCs w:val="16"/>
      </w:rPr>
      <w:t xml:space="preserve"> </w:t>
    </w:r>
    <w:r w:rsidRPr="00014CB8">
      <w:rPr>
        <w:rFonts w:ascii="Arial" w:hAnsi="Arial" w:cs="Arial"/>
        <w:sz w:val="16"/>
        <w:szCs w:val="16"/>
      </w:rPr>
      <w:t xml:space="preserve"> </w:t>
    </w:r>
    <w:proofErr w:type="spellStart"/>
    <w:r w:rsidR="00E368A7" w:rsidRPr="00E929D2">
      <w:rPr>
        <w:rFonts w:ascii="Arial" w:hAnsi="Arial" w:cs="Arial"/>
        <w:sz w:val="16"/>
        <w:szCs w:val="16"/>
        <w:highlight w:val="black"/>
      </w:rPr>
      <w:t>xxxx</w:t>
    </w:r>
    <w:proofErr w:type="spellEnd"/>
    <w:proofErr w:type="gramEnd"/>
    <w:r w:rsidR="00E368A7" w:rsidRPr="00E929D2">
      <w:rPr>
        <w:rFonts w:ascii="Arial" w:hAnsi="Arial" w:cs="Arial"/>
        <w:sz w:val="16"/>
        <w:szCs w:val="16"/>
        <w:highlight w:val="black"/>
      </w:rPr>
      <w:t xml:space="preserve"> </w:t>
    </w:r>
    <w:proofErr w:type="spellStart"/>
    <w:r w:rsidR="00E368A7" w:rsidRPr="00E929D2">
      <w:rPr>
        <w:rFonts w:ascii="Arial" w:hAnsi="Arial" w:cs="Arial"/>
        <w:sz w:val="16"/>
        <w:szCs w:val="16"/>
        <w:highlight w:val="black"/>
      </w:rPr>
      <w:t>xxxx</w:t>
    </w:r>
    <w:r w:rsidR="00E929D2" w:rsidRPr="00E929D2">
      <w:rPr>
        <w:rFonts w:ascii="Arial" w:hAnsi="Arial" w:cs="Arial"/>
        <w:sz w:val="16"/>
        <w:szCs w:val="16"/>
        <w:highlight w:val="black"/>
      </w:rPr>
      <w:t>xxxxxxxxxx</w:t>
    </w:r>
    <w:proofErr w:type="spellEnd"/>
    <w:r w:rsidRPr="00014CB8">
      <w:rPr>
        <w:rFonts w:ascii="Arial" w:hAnsi="Arial" w:cs="Arial"/>
        <w:sz w:val="16"/>
        <w:szCs w:val="16"/>
      </w:rPr>
      <w:t xml:space="preserve"> </w:t>
    </w:r>
  </w:p>
  <w:p w14:paraId="54E6F703" w14:textId="5D7A5E3C" w:rsidR="00E838EE" w:rsidRPr="00014CB8" w:rsidRDefault="00E838EE">
    <w:pPr>
      <w:pStyle w:val="Footer"/>
      <w:rPr>
        <w:sz w:val="16"/>
        <w:szCs w:val="16"/>
      </w:rPr>
    </w:pPr>
    <w:r w:rsidRPr="32B6904D">
      <w:rPr>
        <w:rFonts w:ascii="Arial" w:hAnsi="Arial" w:cs="Arial"/>
        <w:sz w:val="16"/>
        <w:szCs w:val="16"/>
      </w:rPr>
      <w:t>DEG is a tax-deductible gift recipient.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2037" w14:textId="77777777" w:rsidR="00D21D82" w:rsidRDefault="00D21D82">
      <w:r>
        <w:separator/>
      </w:r>
    </w:p>
  </w:footnote>
  <w:footnote w:type="continuationSeparator" w:id="0">
    <w:p w14:paraId="2784223F" w14:textId="77777777" w:rsidR="00D21D82" w:rsidRDefault="00D21D82">
      <w:r>
        <w:continuationSeparator/>
      </w:r>
    </w:p>
  </w:footnote>
  <w:footnote w:id="1">
    <w:p w14:paraId="2CD35034" w14:textId="77777777" w:rsidR="00E838EE" w:rsidRPr="00422D1B" w:rsidRDefault="00E838EE" w:rsidP="00533EFD">
      <w:pPr>
        <w:pStyle w:val="FootnoteText"/>
        <w:rPr>
          <w:lang w:val="en-AU"/>
        </w:rPr>
      </w:pPr>
      <w:r>
        <w:rPr>
          <w:rStyle w:val="FootnoteReference"/>
        </w:rPr>
        <w:footnoteRef/>
      </w:r>
      <w:r>
        <w:t xml:space="preserve"> </w:t>
      </w:r>
      <w:r w:rsidRPr="00422D1B">
        <w:t>https://dharriwaaeldersgroup.org.au/reports</w:t>
      </w:r>
    </w:p>
  </w:footnote>
  <w:footnote w:id="2">
    <w:p w14:paraId="0454F41A" w14:textId="6EC74019" w:rsidR="00E838EE" w:rsidRPr="006C01B4" w:rsidRDefault="00E838EE" w:rsidP="006C01B4">
      <w:pPr>
        <w:pStyle w:val="FootnoteText"/>
      </w:pPr>
      <w:r>
        <w:rPr>
          <w:rStyle w:val="FootnoteReference"/>
        </w:rPr>
        <w:footnoteRef/>
      </w:r>
      <w:r>
        <w:t xml:space="preserve"> </w:t>
      </w:r>
      <w:hyperlink r:id="rId1" w:history="1">
        <w:r w:rsidRPr="006C01B4">
          <w:t>https://dharriwaaeldersgroup.org.au/images/downloads/Productivity%20Commission%20Submission%20-%20SEPTEMBER%202020.pdf</w:t>
        </w:r>
      </w:hyperlink>
    </w:p>
  </w:footnote>
  <w:footnote w:id="3">
    <w:p w14:paraId="14A47007" w14:textId="0EDBC1EF" w:rsidR="00E838EE" w:rsidRPr="006C01B4" w:rsidRDefault="00E838EE" w:rsidP="006C01B4">
      <w:pPr>
        <w:pStyle w:val="FootnoteText"/>
        <w:rPr>
          <w:rFonts w:asciiTheme="minorHAnsi" w:hAnsiTheme="minorHAnsi" w:cstheme="minorHAnsi"/>
          <w:color w:val="2A363B"/>
          <w:sz w:val="24"/>
          <w:szCs w:val="24"/>
          <w:lang w:val="en-AU"/>
        </w:rPr>
      </w:pPr>
      <w:r w:rsidRPr="006C01B4">
        <w:rPr>
          <w:rStyle w:val="FootnoteReference"/>
        </w:rPr>
        <w:footnoteRef/>
      </w:r>
      <w:r>
        <w:t xml:space="preserve"> </w:t>
      </w:r>
      <w:r w:rsidRPr="006C01B4">
        <w:t>https://dharriwaaeldersgroup.org.au/images/downloads/FinalDEGsubmissiontoPCreviewofNWI16Feb2024.pdf</w:t>
      </w:r>
    </w:p>
  </w:footnote>
  <w:footnote w:id="4">
    <w:p w14:paraId="765FC161" w14:textId="00D83A83" w:rsidR="00EE0F2B" w:rsidRPr="00EE0F2B" w:rsidRDefault="00EE0F2B">
      <w:pPr>
        <w:pStyle w:val="FootnoteText"/>
        <w:rPr>
          <w:lang w:val="en-AU"/>
        </w:rPr>
      </w:pPr>
      <w:r>
        <w:rPr>
          <w:rStyle w:val="FootnoteReference"/>
        </w:rPr>
        <w:footnoteRef/>
      </w:r>
      <w:r>
        <w:t xml:space="preserve"> </w:t>
      </w:r>
      <w:r>
        <w:rPr>
          <w:lang w:val="en-AU"/>
        </w:rPr>
        <w:t>National Water Reform 2026 – Call for submissions page 12</w:t>
      </w:r>
    </w:p>
  </w:footnote>
  <w:footnote w:id="5">
    <w:p w14:paraId="4C659DD4" w14:textId="0CE26A39" w:rsidR="00E838EE" w:rsidRPr="006C01B4" w:rsidRDefault="00E838EE">
      <w:pPr>
        <w:pStyle w:val="FootnoteText"/>
        <w:rPr>
          <w:lang w:val="en-AU"/>
        </w:rPr>
      </w:pPr>
      <w:r>
        <w:rPr>
          <w:rStyle w:val="FootnoteReference"/>
        </w:rPr>
        <w:footnoteRef/>
      </w:r>
      <w:r>
        <w:t xml:space="preserve"> </w:t>
      </w:r>
      <w:r w:rsidRPr="006C01B4">
        <w:t>https://dharriwaaeldersgroup.org.au/images/downloads/DEGtoNRCreGwydirRegulatedRiverWSP24Sept2023.pdf</w:t>
      </w:r>
    </w:p>
  </w:footnote>
  <w:footnote w:id="6">
    <w:p w14:paraId="2B90B0D0" w14:textId="10E96CCF" w:rsidR="00E838EE" w:rsidRPr="006C01B4" w:rsidRDefault="00E838EE">
      <w:pPr>
        <w:pStyle w:val="FootnoteText"/>
        <w:rPr>
          <w:lang w:val="en-AU"/>
        </w:rPr>
      </w:pPr>
      <w:r>
        <w:rPr>
          <w:rStyle w:val="FootnoteReference"/>
        </w:rPr>
        <w:footnoteRef/>
      </w:r>
      <w:r>
        <w:t xml:space="preserve"> </w:t>
      </w:r>
      <w:r w:rsidRPr="006C01B4">
        <w:t>https://dharriwaaeldersgroup.org.au/images/downloads/DEGSubmissiontoNRCApril2025NamoiMacquarieWSP.pdf</w:t>
      </w:r>
    </w:p>
  </w:footnote>
  <w:footnote w:id="7">
    <w:p w14:paraId="55B62F27" w14:textId="06ADEBDA" w:rsidR="00E838EE" w:rsidRPr="006C01B4" w:rsidRDefault="00E838EE">
      <w:pPr>
        <w:pStyle w:val="FootnoteText"/>
        <w:rPr>
          <w:lang w:val="en-AU"/>
        </w:rPr>
      </w:pPr>
      <w:r>
        <w:rPr>
          <w:rStyle w:val="FootnoteReference"/>
        </w:rPr>
        <w:footnoteRef/>
      </w:r>
      <w:r>
        <w:t xml:space="preserve"> </w:t>
      </w:r>
      <w:r w:rsidRPr="006C01B4">
        <w:t>https://dharriwaaeldersgroup.org.au/images/downloads/DEGResponsetoDraftWSPs15October2025.pdf</w:t>
      </w:r>
    </w:p>
  </w:footnote>
  <w:footnote w:id="8">
    <w:p w14:paraId="5CE24D6D" w14:textId="6A8732D1" w:rsidR="00E838EE" w:rsidRPr="006C01B4" w:rsidRDefault="00E838EE">
      <w:pPr>
        <w:pStyle w:val="FootnoteText"/>
        <w:rPr>
          <w:lang w:val="en-AU"/>
        </w:rPr>
      </w:pPr>
      <w:r>
        <w:rPr>
          <w:rStyle w:val="FootnoteReference"/>
        </w:rPr>
        <w:footnoteRef/>
      </w:r>
      <w:r>
        <w:t xml:space="preserve"> </w:t>
      </w:r>
      <w:r w:rsidRPr="006C01B4">
        <w:t>https://dharriwaaeldersgroup.org.au/images/downloads/DEGtoSenateInquiryRestoreOurRiversBillOct2023.pdf</w:t>
      </w:r>
    </w:p>
  </w:footnote>
  <w:footnote w:id="9">
    <w:p w14:paraId="73770EB8" w14:textId="56A7AA61" w:rsidR="00E838EE" w:rsidRPr="006C01B4" w:rsidRDefault="00E838EE">
      <w:pPr>
        <w:pStyle w:val="FootnoteText"/>
        <w:rPr>
          <w:lang w:val="en-AU"/>
        </w:rPr>
      </w:pPr>
      <w:r>
        <w:rPr>
          <w:rStyle w:val="FootnoteReference"/>
        </w:rPr>
        <w:footnoteRef/>
      </w:r>
      <w:r>
        <w:t xml:space="preserve"> h</w:t>
      </w:r>
      <w:r w:rsidRPr="006C01B4">
        <w:t>ttps://dharriwaaeldersgroup.org.au/images/downloads/DEGSubmissionIGWC%20inquiry%20Northern%20Basin%20Toolkit29Nov24.pdf</w:t>
      </w:r>
    </w:p>
  </w:footnote>
  <w:footnote w:id="10">
    <w:p w14:paraId="4E2264A2" w14:textId="250C8A4F" w:rsidR="00E838EE" w:rsidRPr="00791420" w:rsidRDefault="00E838EE">
      <w:pPr>
        <w:pStyle w:val="FootnoteText"/>
        <w:rPr>
          <w:lang w:val="en-AU"/>
        </w:rPr>
      </w:pPr>
      <w:r>
        <w:rPr>
          <w:rStyle w:val="FootnoteReference"/>
        </w:rPr>
        <w:footnoteRef/>
      </w:r>
      <w:r>
        <w:t xml:space="preserve"> </w:t>
      </w:r>
      <w:r w:rsidRPr="00791420">
        <w:t>https://dharriwaaeldersgroup.org.au/images/downloads/DEGStatementreToolkitMeasuresFishways5August2025.pdf</w:t>
      </w:r>
    </w:p>
  </w:footnote>
  <w:footnote w:id="11">
    <w:p w14:paraId="469362A7" w14:textId="38CEDD7F" w:rsidR="004A7826" w:rsidRPr="004A7826" w:rsidRDefault="004A7826">
      <w:pPr>
        <w:pStyle w:val="FootnoteText"/>
        <w:rPr>
          <w:lang w:val="en-AU"/>
        </w:rPr>
      </w:pPr>
      <w:r>
        <w:rPr>
          <w:rStyle w:val="FootnoteReference"/>
        </w:rPr>
        <w:footnoteRef/>
      </w:r>
      <w:r>
        <w:t xml:space="preserve"> </w:t>
      </w:r>
      <w:r>
        <w:rPr>
          <w:lang w:val="en-AU"/>
        </w:rPr>
        <w:t xml:space="preserve"> National Water Reform 2026 – Call for submissions page 15</w:t>
      </w:r>
    </w:p>
  </w:footnote>
  <w:footnote w:id="12">
    <w:p w14:paraId="619C6754" w14:textId="082DBCFD" w:rsidR="00AE7B2D" w:rsidRPr="00AE7B2D" w:rsidRDefault="00AE7B2D">
      <w:pPr>
        <w:pStyle w:val="FootnoteText"/>
        <w:rPr>
          <w:lang w:val="en-AU"/>
        </w:rPr>
      </w:pPr>
      <w:r>
        <w:rPr>
          <w:rStyle w:val="FootnoteReference"/>
        </w:rPr>
        <w:footnoteRef/>
      </w:r>
      <w:r>
        <w:t xml:space="preserve"> </w:t>
      </w:r>
      <w:r>
        <w:rPr>
          <w:lang w:val="en-AU"/>
        </w:rPr>
        <w:t>NSW Estimates 9 September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E838EE" w:rsidRDefault="00E838EE">
    <w:pPr>
      <w:pStyle w:val="Header"/>
    </w:pPr>
  </w:p>
  <w:p w14:paraId="44E871BC" w14:textId="77777777" w:rsidR="00E838EE" w:rsidRDefault="00E838EE">
    <w:pPr>
      <w:pStyle w:val="Header"/>
    </w:pPr>
  </w:p>
  <w:p w14:paraId="144A5D23" w14:textId="77777777" w:rsidR="00E838EE" w:rsidRDefault="00E83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2986" w14:textId="77777777" w:rsidR="00E838EE" w:rsidRDefault="00E838EE">
    <w:pPr>
      <w:pStyle w:val="Header"/>
    </w:pPr>
    <w:r>
      <w:rPr>
        <w:noProof/>
        <w:sz w:val="16"/>
        <w:szCs w:val="16"/>
        <w:lang w:val="en-AU" w:eastAsia="en-AU"/>
      </w:rPr>
      <w:drawing>
        <wp:anchor distT="0" distB="0" distL="114300" distR="114300" simplePos="0" relativeHeight="251659776" behindDoc="0" locked="0" layoutInCell="1" allowOverlap="1" wp14:anchorId="45C0141D" wp14:editId="74D073AD">
          <wp:simplePos x="0" y="0"/>
          <wp:positionH relativeFrom="column">
            <wp:posOffset>3077</wp:posOffset>
          </wp:positionH>
          <wp:positionV relativeFrom="paragraph">
            <wp:posOffset>10795</wp:posOffset>
          </wp:positionV>
          <wp:extent cx="2147102" cy="554651"/>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glogowith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7102" cy="554651"/>
                  </a:xfrm>
                  <a:prstGeom prst="rect">
                    <a:avLst/>
                  </a:prstGeom>
                </pic:spPr>
              </pic:pic>
            </a:graphicData>
          </a:graphic>
          <wp14:sizeRelH relativeFrom="page">
            <wp14:pctWidth>0</wp14:pctWidth>
          </wp14:sizeRelH>
          <wp14:sizeRelV relativeFrom="page">
            <wp14:pctHeight>0</wp14:pctHeight>
          </wp14:sizeRelV>
        </wp:anchor>
      </w:drawing>
    </w:r>
    <w:r>
      <w:tab/>
    </w:r>
  </w:p>
  <w:p w14:paraId="61CDCEAD" w14:textId="77777777" w:rsidR="00E838EE" w:rsidRDefault="00E838EE">
    <w:pPr>
      <w:pStyle w:val="Header"/>
    </w:pPr>
  </w:p>
  <w:p w14:paraId="6BB9E253" w14:textId="77777777" w:rsidR="00E838EE" w:rsidRDefault="00E838EE">
    <w:pPr>
      <w:pStyle w:val="Header"/>
    </w:pPr>
  </w:p>
  <w:p w14:paraId="23DE523C" w14:textId="77777777" w:rsidR="00E838EE" w:rsidRDefault="00E838EE">
    <w:pPr>
      <w:pStyle w:val="Header"/>
    </w:pPr>
  </w:p>
  <w:p w14:paraId="52E56223" w14:textId="77777777" w:rsidR="00E838EE" w:rsidRDefault="00E8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7EE"/>
    <w:multiLevelType w:val="multilevel"/>
    <w:tmpl w:val="DB08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1CC2"/>
    <w:multiLevelType w:val="hybridMultilevel"/>
    <w:tmpl w:val="EA2412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4685D82"/>
    <w:multiLevelType w:val="hybridMultilevel"/>
    <w:tmpl w:val="37947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10205"/>
    <w:multiLevelType w:val="hybridMultilevel"/>
    <w:tmpl w:val="6B005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7323F"/>
    <w:multiLevelType w:val="hybridMultilevel"/>
    <w:tmpl w:val="99AC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B71A7B"/>
    <w:multiLevelType w:val="hybridMultilevel"/>
    <w:tmpl w:val="3FA86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CE37C3"/>
    <w:multiLevelType w:val="hybridMultilevel"/>
    <w:tmpl w:val="089A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35A04"/>
    <w:multiLevelType w:val="hybridMultilevel"/>
    <w:tmpl w:val="28E68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967016"/>
    <w:multiLevelType w:val="hybridMultilevel"/>
    <w:tmpl w:val="88B64CDA"/>
    <w:lvl w:ilvl="0" w:tplc="0C090001">
      <w:start w:val="1"/>
      <w:numFmt w:val="bullet"/>
      <w:lvlText w:val=""/>
      <w:lvlJc w:val="left"/>
      <w:pPr>
        <w:ind w:left="566" w:hanging="360"/>
      </w:pPr>
      <w:rPr>
        <w:rFonts w:ascii="Symbol" w:hAnsi="Symbol" w:hint="default"/>
      </w:rPr>
    </w:lvl>
    <w:lvl w:ilvl="1" w:tplc="0C090003" w:tentative="1">
      <w:start w:val="1"/>
      <w:numFmt w:val="bullet"/>
      <w:lvlText w:val="o"/>
      <w:lvlJc w:val="left"/>
      <w:pPr>
        <w:ind w:left="1286" w:hanging="360"/>
      </w:pPr>
      <w:rPr>
        <w:rFonts w:ascii="Courier New" w:hAnsi="Courier New" w:cs="Courier New" w:hint="default"/>
      </w:rPr>
    </w:lvl>
    <w:lvl w:ilvl="2" w:tplc="0C090005" w:tentative="1">
      <w:start w:val="1"/>
      <w:numFmt w:val="bullet"/>
      <w:lvlText w:val=""/>
      <w:lvlJc w:val="left"/>
      <w:pPr>
        <w:ind w:left="2006" w:hanging="360"/>
      </w:pPr>
      <w:rPr>
        <w:rFonts w:ascii="Wingdings" w:hAnsi="Wingdings" w:hint="default"/>
      </w:rPr>
    </w:lvl>
    <w:lvl w:ilvl="3" w:tplc="0C090001" w:tentative="1">
      <w:start w:val="1"/>
      <w:numFmt w:val="bullet"/>
      <w:lvlText w:val=""/>
      <w:lvlJc w:val="left"/>
      <w:pPr>
        <w:ind w:left="2726" w:hanging="360"/>
      </w:pPr>
      <w:rPr>
        <w:rFonts w:ascii="Symbol" w:hAnsi="Symbol" w:hint="default"/>
      </w:rPr>
    </w:lvl>
    <w:lvl w:ilvl="4" w:tplc="0C090003" w:tentative="1">
      <w:start w:val="1"/>
      <w:numFmt w:val="bullet"/>
      <w:lvlText w:val="o"/>
      <w:lvlJc w:val="left"/>
      <w:pPr>
        <w:ind w:left="3446" w:hanging="360"/>
      </w:pPr>
      <w:rPr>
        <w:rFonts w:ascii="Courier New" w:hAnsi="Courier New" w:cs="Courier New" w:hint="default"/>
      </w:rPr>
    </w:lvl>
    <w:lvl w:ilvl="5" w:tplc="0C090005" w:tentative="1">
      <w:start w:val="1"/>
      <w:numFmt w:val="bullet"/>
      <w:lvlText w:val=""/>
      <w:lvlJc w:val="left"/>
      <w:pPr>
        <w:ind w:left="4166" w:hanging="360"/>
      </w:pPr>
      <w:rPr>
        <w:rFonts w:ascii="Wingdings" w:hAnsi="Wingdings" w:hint="default"/>
      </w:rPr>
    </w:lvl>
    <w:lvl w:ilvl="6" w:tplc="0C090001" w:tentative="1">
      <w:start w:val="1"/>
      <w:numFmt w:val="bullet"/>
      <w:lvlText w:val=""/>
      <w:lvlJc w:val="left"/>
      <w:pPr>
        <w:ind w:left="4886" w:hanging="360"/>
      </w:pPr>
      <w:rPr>
        <w:rFonts w:ascii="Symbol" w:hAnsi="Symbol" w:hint="default"/>
      </w:rPr>
    </w:lvl>
    <w:lvl w:ilvl="7" w:tplc="0C090003" w:tentative="1">
      <w:start w:val="1"/>
      <w:numFmt w:val="bullet"/>
      <w:lvlText w:val="o"/>
      <w:lvlJc w:val="left"/>
      <w:pPr>
        <w:ind w:left="5606" w:hanging="360"/>
      </w:pPr>
      <w:rPr>
        <w:rFonts w:ascii="Courier New" w:hAnsi="Courier New" w:cs="Courier New" w:hint="default"/>
      </w:rPr>
    </w:lvl>
    <w:lvl w:ilvl="8" w:tplc="0C090005" w:tentative="1">
      <w:start w:val="1"/>
      <w:numFmt w:val="bullet"/>
      <w:lvlText w:val=""/>
      <w:lvlJc w:val="left"/>
      <w:pPr>
        <w:ind w:left="6326" w:hanging="360"/>
      </w:pPr>
      <w:rPr>
        <w:rFonts w:ascii="Wingdings" w:hAnsi="Wingdings" w:hint="default"/>
      </w:rPr>
    </w:lvl>
  </w:abstractNum>
  <w:num w:numId="1" w16cid:durableId="1438871567">
    <w:abstractNumId w:val="6"/>
  </w:num>
  <w:num w:numId="2" w16cid:durableId="1904947412">
    <w:abstractNumId w:val="3"/>
  </w:num>
  <w:num w:numId="3" w16cid:durableId="1405295146">
    <w:abstractNumId w:val="2"/>
  </w:num>
  <w:num w:numId="4" w16cid:durableId="620570669">
    <w:abstractNumId w:val="5"/>
  </w:num>
  <w:num w:numId="5" w16cid:durableId="1818255540">
    <w:abstractNumId w:val="8"/>
  </w:num>
  <w:num w:numId="6" w16cid:durableId="1066420928">
    <w:abstractNumId w:val="4"/>
  </w:num>
  <w:num w:numId="7" w16cid:durableId="1070084108">
    <w:abstractNumId w:val="0"/>
  </w:num>
  <w:num w:numId="8" w16cid:durableId="1671445086">
    <w:abstractNumId w:val="7"/>
  </w:num>
  <w:num w:numId="9" w16cid:durableId="73724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321"/>
    <w:rsid w:val="00014CB8"/>
    <w:rsid w:val="00055256"/>
    <w:rsid w:val="00063453"/>
    <w:rsid w:val="0007418A"/>
    <w:rsid w:val="0009462A"/>
    <w:rsid w:val="000C5B35"/>
    <w:rsid w:val="001174D1"/>
    <w:rsid w:val="0011769D"/>
    <w:rsid w:val="00121EB1"/>
    <w:rsid w:val="00122391"/>
    <w:rsid w:val="00127E18"/>
    <w:rsid w:val="00131ADD"/>
    <w:rsid w:val="00164FD8"/>
    <w:rsid w:val="0017640D"/>
    <w:rsid w:val="001C5536"/>
    <w:rsid w:val="001E1F8A"/>
    <w:rsid w:val="001F4F27"/>
    <w:rsid w:val="00211825"/>
    <w:rsid w:val="002156F7"/>
    <w:rsid w:val="0028009E"/>
    <w:rsid w:val="002B0EE8"/>
    <w:rsid w:val="002F2BBE"/>
    <w:rsid w:val="00307443"/>
    <w:rsid w:val="003258AB"/>
    <w:rsid w:val="00343198"/>
    <w:rsid w:val="0036734A"/>
    <w:rsid w:val="003976B8"/>
    <w:rsid w:val="003D3EAD"/>
    <w:rsid w:val="003F3B97"/>
    <w:rsid w:val="004049B6"/>
    <w:rsid w:val="00413D67"/>
    <w:rsid w:val="00446C48"/>
    <w:rsid w:val="004773DD"/>
    <w:rsid w:val="004948BF"/>
    <w:rsid w:val="00495CDE"/>
    <w:rsid w:val="004A7826"/>
    <w:rsid w:val="004D05AB"/>
    <w:rsid w:val="0051458D"/>
    <w:rsid w:val="00521755"/>
    <w:rsid w:val="00533EFD"/>
    <w:rsid w:val="00597FF0"/>
    <w:rsid w:val="005C0EBD"/>
    <w:rsid w:val="005C5397"/>
    <w:rsid w:val="00626FEB"/>
    <w:rsid w:val="00633962"/>
    <w:rsid w:val="00661A67"/>
    <w:rsid w:val="00682B0A"/>
    <w:rsid w:val="00695D7D"/>
    <w:rsid w:val="006C01B4"/>
    <w:rsid w:val="006E40BB"/>
    <w:rsid w:val="00706321"/>
    <w:rsid w:val="00780A04"/>
    <w:rsid w:val="00782595"/>
    <w:rsid w:val="00791420"/>
    <w:rsid w:val="007D4738"/>
    <w:rsid w:val="007F28AE"/>
    <w:rsid w:val="0080631E"/>
    <w:rsid w:val="00823F0E"/>
    <w:rsid w:val="00845BE9"/>
    <w:rsid w:val="00871DFE"/>
    <w:rsid w:val="00886410"/>
    <w:rsid w:val="008A08A9"/>
    <w:rsid w:val="008A3F23"/>
    <w:rsid w:val="008A7986"/>
    <w:rsid w:val="008D7602"/>
    <w:rsid w:val="00902E5E"/>
    <w:rsid w:val="00931DF2"/>
    <w:rsid w:val="0095440D"/>
    <w:rsid w:val="00956204"/>
    <w:rsid w:val="00995FB2"/>
    <w:rsid w:val="009C1C75"/>
    <w:rsid w:val="00A7762E"/>
    <w:rsid w:val="00AE7B2D"/>
    <w:rsid w:val="00B50762"/>
    <w:rsid w:val="00B7045A"/>
    <w:rsid w:val="00B76275"/>
    <w:rsid w:val="00B8256F"/>
    <w:rsid w:val="00B832D8"/>
    <w:rsid w:val="00C2375B"/>
    <w:rsid w:val="00D018D8"/>
    <w:rsid w:val="00D0222F"/>
    <w:rsid w:val="00D0626A"/>
    <w:rsid w:val="00D151A0"/>
    <w:rsid w:val="00D21D82"/>
    <w:rsid w:val="00D22D62"/>
    <w:rsid w:val="00D2694B"/>
    <w:rsid w:val="00D33468"/>
    <w:rsid w:val="00D64D6C"/>
    <w:rsid w:val="00D83413"/>
    <w:rsid w:val="00D94592"/>
    <w:rsid w:val="00DD753D"/>
    <w:rsid w:val="00DE413C"/>
    <w:rsid w:val="00E368A7"/>
    <w:rsid w:val="00E443CB"/>
    <w:rsid w:val="00E838EE"/>
    <w:rsid w:val="00E929D2"/>
    <w:rsid w:val="00E96993"/>
    <w:rsid w:val="00ED6461"/>
    <w:rsid w:val="00EE0F2B"/>
    <w:rsid w:val="00F16F36"/>
    <w:rsid w:val="00F3155A"/>
    <w:rsid w:val="00F93B77"/>
    <w:rsid w:val="00F960FD"/>
    <w:rsid w:val="00F97928"/>
    <w:rsid w:val="00FB2B2B"/>
    <w:rsid w:val="00FC76EC"/>
    <w:rsid w:val="0850B124"/>
    <w:rsid w:val="3071D9DD"/>
    <w:rsid w:val="32B6904D"/>
    <w:rsid w:val="34CE8FAC"/>
    <w:rsid w:val="4D14F3CA"/>
    <w:rsid w:val="5597F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F22B"/>
  <w15:docId w15:val="{A2A3FD50-0973-4BE6-B40D-CF47AE25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D6C"/>
    <w:rPr>
      <w:lang w:val="en-GB"/>
    </w:rPr>
  </w:style>
  <w:style w:type="paragraph" w:styleId="Heading1">
    <w:name w:val="heading 1"/>
    <w:basedOn w:val="Normal"/>
    <w:next w:val="Normal"/>
    <w:qFormat/>
    <w:rsid w:val="00D64D6C"/>
    <w:pPr>
      <w:keepNext/>
      <w:outlineLvl w:val="0"/>
    </w:pPr>
    <w:rPr>
      <w:b/>
      <w:sz w:val="24"/>
    </w:rPr>
  </w:style>
  <w:style w:type="paragraph" w:styleId="Heading2">
    <w:name w:val="heading 2"/>
    <w:basedOn w:val="Normal"/>
    <w:next w:val="Normal"/>
    <w:qFormat/>
    <w:rsid w:val="00D64D6C"/>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D6C"/>
    <w:pPr>
      <w:tabs>
        <w:tab w:val="center" w:pos="4153"/>
        <w:tab w:val="right" w:pos="8306"/>
      </w:tabs>
    </w:pPr>
  </w:style>
  <w:style w:type="paragraph" w:styleId="Footer">
    <w:name w:val="footer"/>
    <w:basedOn w:val="Normal"/>
    <w:rsid w:val="00D64D6C"/>
    <w:pPr>
      <w:tabs>
        <w:tab w:val="center" w:pos="4153"/>
        <w:tab w:val="right" w:pos="8306"/>
      </w:tabs>
    </w:pPr>
  </w:style>
  <w:style w:type="character" w:styleId="PageNumber">
    <w:name w:val="page number"/>
    <w:basedOn w:val="DefaultParagraphFont"/>
    <w:rsid w:val="00D64D6C"/>
  </w:style>
  <w:style w:type="paragraph" w:styleId="FootnoteText">
    <w:name w:val="footnote text"/>
    <w:basedOn w:val="Normal"/>
    <w:semiHidden/>
    <w:rsid w:val="00D64D6C"/>
  </w:style>
  <w:style w:type="character" w:styleId="FootnoteReference">
    <w:name w:val="footnote reference"/>
    <w:basedOn w:val="DefaultParagraphFont"/>
    <w:semiHidden/>
    <w:rsid w:val="00D64D6C"/>
    <w:rPr>
      <w:vertAlign w:val="superscript"/>
    </w:rPr>
  </w:style>
  <w:style w:type="character" w:styleId="Hyperlink">
    <w:name w:val="Hyperlink"/>
    <w:basedOn w:val="DefaultParagraphFont"/>
    <w:rsid w:val="00D64D6C"/>
    <w:rPr>
      <w:color w:val="0000FF"/>
      <w:u w:val="single"/>
    </w:rPr>
  </w:style>
  <w:style w:type="paragraph" w:styleId="BalloonText">
    <w:name w:val="Balloon Text"/>
    <w:basedOn w:val="Normal"/>
    <w:link w:val="BalloonTextChar"/>
    <w:rsid w:val="00597FF0"/>
    <w:rPr>
      <w:rFonts w:ascii="Tahoma" w:hAnsi="Tahoma" w:cs="Tahoma"/>
      <w:sz w:val="16"/>
      <w:szCs w:val="16"/>
    </w:rPr>
  </w:style>
  <w:style w:type="character" w:customStyle="1" w:styleId="BalloonTextChar">
    <w:name w:val="Balloon Text Char"/>
    <w:basedOn w:val="DefaultParagraphFont"/>
    <w:link w:val="BalloonText"/>
    <w:rsid w:val="00597FF0"/>
    <w:rPr>
      <w:rFonts w:ascii="Tahoma" w:hAnsi="Tahoma" w:cs="Tahoma"/>
      <w:sz w:val="16"/>
      <w:szCs w:val="16"/>
      <w:lang w:val="en-GB"/>
    </w:rPr>
  </w:style>
  <w:style w:type="paragraph" w:styleId="ListParagraph">
    <w:name w:val="List Paragraph"/>
    <w:basedOn w:val="Normal"/>
    <w:uiPriority w:val="34"/>
    <w:qFormat/>
    <w:rsid w:val="002156F7"/>
    <w:pPr>
      <w:ind w:left="720"/>
      <w:contextualSpacing/>
    </w:pPr>
  </w:style>
  <w:style w:type="table" w:styleId="TableGrid">
    <w:name w:val="Table Grid"/>
    <w:basedOn w:val="TableNormal"/>
    <w:rsid w:val="0021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7627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7627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533EFD"/>
  </w:style>
  <w:style w:type="paragraph" w:customStyle="1" w:styleId="paragraph">
    <w:name w:val="paragraph"/>
    <w:basedOn w:val="Normal"/>
    <w:rsid w:val="00533EFD"/>
    <w:pPr>
      <w:spacing w:before="100" w:beforeAutospacing="1" w:after="100" w:afterAutospacing="1"/>
    </w:pPr>
    <w:rPr>
      <w:sz w:val="22"/>
      <w:szCs w:val="24"/>
      <w:lang w:val="en-AU" w:eastAsia="en-AU"/>
    </w:rPr>
  </w:style>
  <w:style w:type="paragraph" w:customStyle="1" w:styleId="FigureTableHeading">
    <w:name w:val="Figure/Table Heading"/>
    <w:basedOn w:val="Caption"/>
    <w:uiPriority w:val="4"/>
    <w:qFormat/>
    <w:rsid w:val="001F4F27"/>
    <w:pPr>
      <w:keepNext/>
      <w:spacing w:before="240" w:after="40" w:line="280" w:lineRule="atLeast"/>
    </w:pPr>
    <w:rPr>
      <w:rFonts w:asciiTheme="majorHAnsi" w:eastAsiaTheme="minorHAnsi" w:hAnsiTheme="majorHAnsi" w:cstheme="minorBidi"/>
      <w:b w:val="0"/>
      <w:bCs w:val="0"/>
      <w:iCs/>
      <w:color w:val="000000" w:themeColor="text1"/>
      <w:sz w:val="20"/>
      <w:lang w:val="en-AU"/>
    </w:rPr>
  </w:style>
  <w:style w:type="paragraph" w:styleId="Caption">
    <w:name w:val="caption"/>
    <w:basedOn w:val="Normal"/>
    <w:next w:val="Normal"/>
    <w:semiHidden/>
    <w:unhideWhenUsed/>
    <w:qFormat/>
    <w:rsid w:val="001F4F2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656595">
      <w:bodyDiv w:val="1"/>
      <w:marLeft w:val="0"/>
      <w:marRight w:val="0"/>
      <w:marTop w:val="0"/>
      <w:marBottom w:val="0"/>
      <w:divBdr>
        <w:top w:val="none" w:sz="0" w:space="0" w:color="auto"/>
        <w:left w:val="none" w:sz="0" w:space="0" w:color="auto"/>
        <w:bottom w:val="none" w:sz="0" w:space="0" w:color="auto"/>
        <w:right w:val="none" w:sz="0" w:space="0" w:color="auto"/>
      </w:divBdr>
    </w:div>
    <w:div w:id="1815831661">
      <w:bodyDiv w:val="1"/>
      <w:marLeft w:val="0"/>
      <w:marRight w:val="0"/>
      <w:marTop w:val="0"/>
      <w:marBottom w:val="0"/>
      <w:divBdr>
        <w:top w:val="none" w:sz="0" w:space="0" w:color="auto"/>
        <w:left w:val="none" w:sz="0" w:space="0" w:color="auto"/>
        <w:bottom w:val="none" w:sz="0" w:space="0" w:color="auto"/>
        <w:right w:val="none" w:sz="0" w:space="0" w:color="auto"/>
      </w:divBdr>
    </w:div>
    <w:div w:id="19322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arriwaaeldersgroup.org.au/images/downloads/Productivity%20Commission%20Submission%20-%20SEPTEMBER%20202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harriwaaeldersgroup.org.au/images/downloads/Productivity%20Commission%20Submission%20-%20SEPTEMBER%20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Props1.xml><?xml version="1.0" encoding="utf-8"?>
<ds:datastoreItem xmlns:ds="http://schemas.openxmlformats.org/officeDocument/2006/customXml" ds:itemID="{81D6E406-AC36-45AB-9489-BAFB04229CA3}">
  <ds:schemaRefs>
    <ds:schemaRef ds:uri="http://schemas.openxmlformats.org/officeDocument/2006/bibliography"/>
  </ds:schemaRefs>
</ds:datastoreItem>
</file>

<file path=customXml/itemProps2.xml><?xml version="1.0" encoding="utf-8"?>
<ds:datastoreItem xmlns:ds="http://schemas.openxmlformats.org/officeDocument/2006/customXml" ds:itemID="{D295F3D6-B8A5-4105-A697-7E808906888B}">
  <ds:schemaRefs>
    <ds:schemaRef ds:uri="http://schemas.microsoft.com/sharepoint/v3/contenttype/forms"/>
  </ds:schemaRefs>
</ds:datastoreItem>
</file>

<file path=customXml/itemProps3.xml><?xml version="1.0" encoding="utf-8"?>
<ds:datastoreItem xmlns:ds="http://schemas.openxmlformats.org/officeDocument/2006/customXml" ds:itemID="{FAAF9A20-5619-47A6-89F9-A76EF6B1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996E0-B076-4C5E-92FF-FDDAE77B5AEF}">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1139</Words>
  <Characters>6413</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Submission 021 - Dharriwaa Elders Group - National Water Reform 2026 - Public inquiry</vt:lpstr>
    </vt:vector>
  </TitlesOfParts>
  <Company>Dharriwaa Elders Group</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021 - Dharriwaa Elders Group - National Water Reform 2026 - Public inquiry</dc:title>
  <dc:creator>Dharriwaa Elders Group</dc:creator>
  <cp:lastModifiedBy>Tully Lampasona</cp:lastModifiedBy>
  <cp:revision>7</cp:revision>
  <cp:lastPrinted>2005-04-07T23:16:00Z</cp:lastPrinted>
  <dcterms:created xsi:type="dcterms:W3CDTF">2026-04-24T05:27:00Z</dcterms:created>
  <dcterms:modified xsi:type="dcterms:W3CDTF">2026-04-30T01:34:00Z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2026-04-30T01:28:55Z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5e3cccc4-7656-425e-9357-1f78fc3a60b9</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