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FF24" w14:textId="25C3C26D" w:rsidR="00442103" w:rsidRPr="00442103" w:rsidRDefault="00442103" w:rsidP="00442103">
      <w:pPr>
        <w:rPr>
          <w:rFonts w:ascii="Work Sans" w:hAnsi="Work Sans"/>
        </w:rPr>
      </w:pPr>
    </w:p>
    <w:p w14:paraId="377132CA" w14:textId="358E2C38" w:rsidR="00442103" w:rsidRPr="00442103" w:rsidRDefault="00442103" w:rsidP="00442103">
      <w:pPr>
        <w:rPr>
          <w:rFonts w:ascii="Work Sans" w:hAnsi="Work Sans"/>
          <w:b/>
          <w:bCs/>
        </w:rPr>
      </w:pPr>
      <w:r w:rsidRPr="00442103">
        <w:rPr>
          <w:rFonts w:ascii="Work Sans" w:hAnsi="Work Sans"/>
          <w:b/>
          <w:bCs/>
        </w:rPr>
        <w:t>Submission to the Productivity Commission</w:t>
      </w:r>
      <w:r w:rsidR="00C764C0">
        <w:rPr>
          <w:rFonts w:ascii="Work Sans" w:hAnsi="Work Sans"/>
          <w:b/>
          <w:bCs/>
        </w:rPr>
        <w:t xml:space="preserve"> - </w:t>
      </w:r>
      <w:r w:rsidRPr="00442103">
        <w:rPr>
          <w:rFonts w:ascii="Work Sans" w:hAnsi="Work Sans"/>
          <w:b/>
          <w:bCs/>
        </w:rPr>
        <w:t>Safeguards on Fabricated Structural Steel</w:t>
      </w:r>
    </w:p>
    <w:p w14:paraId="0CB64F38" w14:textId="6206A158" w:rsidR="00442103" w:rsidRPr="00442103" w:rsidRDefault="00442103" w:rsidP="00442103">
      <w:pPr>
        <w:rPr>
          <w:rFonts w:ascii="Work Sans" w:hAnsi="Work Sans"/>
        </w:rPr>
      </w:pPr>
    </w:p>
    <w:p w14:paraId="4909D708" w14:textId="77777777" w:rsidR="00442103" w:rsidRDefault="00442103" w:rsidP="00442103">
      <w:pPr>
        <w:rPr>
          <w:rFonts w:ascii="Work Sans" w:hAnsi="Work Sans"/>
          <w:b/>
          <w:bCs/>
        </w:rPr>
      </w:pPr>
      <w:r w:rsidRPr="00442103">
        <w:rPr>
          <w:rFonts w:ascii="Work Sans" w:hAnsi="Work Sans"/>
          <w:b/>
          <w:bCs/>
        </w:rPr>
        <w:t>Executive Summary</w:t>
      </w:r>
    </w:p>
    <w:p w14:paraId="6D9AEB95" w14:textId="77777777" w:rsidR="00C764C0" w:rsidRPr="00442103" w:rsidRDefault="00C764C0" w:rsidP="00442103">
      <w:pPr>
        <w:rPr>
          <w:rFonts w:ascii="Work Sans" w:hAnsi="Work Sans"/>
          <w:b/>
          <w:bCs/>
        </w:rPr>
      </w:pPr>
    </w:p>
    <w:p w14:paraId="198B36E2" w14:textId="2C99BF74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Overview</w:t>
      </w:r>
    </w:p>
    <w:p w14:paraId="0CC541F0" w14:textId="77777777" w:rsidR="00442103" w:rsidRPr="008B375F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 xml:space="preserve">This submission is made by </w:t>
      </w: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Steel Fabricators Pty Ltd, a Brisbane-based structural steel fabrication business with 54 years of operation. The company currently employs 26 staff and has an annual production capacity of approximately 3,000 tonnes. </w:t>
      </w: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manufactures fabricated structural steel products classified under tariff codes 7308900052 to 7308900055.</w:t>
      </w:r>
    </w:p>
    <w:p w14:paraId="78353973" w14:textId="77777777" w:rsidR="00C764C0" w:rsidRPr="00442103" w:rsidRDefault="00C764C0" w:rsidP="00442103">
      <w:pPr>
        <w:rPr>
          <w:rFonts w:ascii="Work Sans" w:hAnsi="Work Sans"/>
        </w:rPr>
      </w:pPr>
    </w:p>
    <w:p w14:paraId="067F52C2" w14:textId="7787AD6D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Key Issue</w:t>
      </w:r>
    </w:p>
    <w:p w14:paraId="5D96834A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 xml:space="preserve">Over the past five years, </w:t>
      </w: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has observed a significant and sustained increase in the use of imported fabricated structural steel in the Australian market. This reflects a structural shift in procurement practices, particularly among Tier 1 construction firms, which are increasingly sourcing fabricated steel directly from overseas suppliers.</w:t>
      </w:r>
    </w:p>
    <w:p w14:paraId="72378B2A" w14:textId="77777777" w:rsidR="00442103" w:rsidRPr="008B375F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Imported steel is now used across a wide range of project sizes, including relatively small projects (approximately 30 tonnes), and is often procured without domestic tendering processes.</w:t>
      </w:r>
    </w:p>
    <w:p w14:paraId="33198E0E" w14:textId="77777777" w:rsidR="008B375F" w:rsidRPr="00442103" w:rsidRDefault="008B375F" w:rsidP="00442103">
      <w:pPr>
        <w:rPr>
          <w:rFonts w:ascii="Work Sans" w:hAnsi="Work Sans"/>
        </w:rPr>
      </w:pPr>
    </w:p>
    <w:p w14:paraId="57E2CFEE" w14:textId="633BE80D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Evidence of Serious Injury</w:t>
      </w:r>
    </w:p>
    <w:p w14:paraId="334FB919" w14:textId="77777777" w:rsidR="00442103" w:rsidRP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Sencova’s</w:t>
      </w:r>
      <w:proofErr w:type="spellEnd"/>
      <w:r w:rsidRPr="00442103">
        <w:rPr>
          <w:rFonts w:ascii="Work Sans" w:hAnsi="Work Sans"/>
        </w:rPr>
        <w:t xml:space="preserve"> experience indicates:</w:t>
      </w:r>
    </w:p>
    <w:p w14:paraId="147CD38B" w14:textId="77777777" w:rsidR="00442103" w:rsidRPr="00442103" w:rsidRDefault="00442103" w:rsidP="00442103">
      <w:pPr>
        <w:numPr>
          <w:ilvl w:val="0"/>
          <w:numId w:val="4"/>
        </w:numPr>
        <w:rPr>
          <w:rFonts w:ascii="Work Sans" w:hAnsi="Work Sans"/>
        </w:rPr>
      </w:pPr>
      <w:r w:rsidRPr="00442103">
        <w:rPr>
          <w:rFonts w:ascii="Work Sans" w:hAnsi="Work Sans"/>
        </w:rPr>
        <w:t>Production decline from approximately 4,500 tonnes to 1,900 tonnes per annum</w:t>
      </w:r>
    </w:p>
    <w:p w14:paraId="13CC3EB6" w14:textId="77777777" w:rsidR="00442103" w:rsidRPr="00442103" w:rsidRDefault="00442103" w:rsidP="00442103">
      <w:pPr>
        <w:numPr>
          <w:ilvl w:val="0"/>
          <w:numId w:val="4"/>
        </w:numPr>
        <w:rPr>
          <w:rFonts w:ascii="Work Sans" w:hAnsi="Work Sans"/>
        </w:rPr>
      </w:pPr>
      <w:r w:rsidRPr="00442103">
        <w:rPr>
          <w:rFonts w:ascii="Work Sans" w:hAnsi="Work Sans"/>
        </w:rPr>
        <w:t>Estimated 70% reduction in warehouse-related work (excluding related-party work)</w:t>
      </w:r>
    </w:p>
    <w:p w14:paraId="1D8E7CF9" w14:textId="77777777" w:rsidR="00442103" w:rsidRPr="00442103" w:rsidRDefault="00442103" w:rsidP="00442103">
      <w:pPr>
        <w:numPr>
          <w:ilvl w:val="0"/>
          <w:numId w:val="4"/>
        </w:numPr>
        <w:rPr>
          <w:rFonts w:ascii="Work Sans" w:hAnsi="Work Sans"/>
        </w:rPr>
      </w:pPr>
      <w:r w:rsidRPr="00442103">
        <w:rPr>
          <w:rFonts w:ascii="Work Sans" w:hAnsi="Work Sans"/>
        </w:rPr>
        <w:t>Workforce reduction from 78 to 26 employees</w:t>
      </w:r>
    </w:p>
    <w:p w14:paraId="7E5D206A" w14:textId="77777777" w:rsidR="00442103" w:rsidRPr="00442103" w:rsidRDefault="00442103" w:rsidP="00442103">
      <w:pPr>
        <w:numPr>
          <w:ilvl w:val="0"/>
          <w:numId w:val="4"/>
        </w:numPr>
        <w:rPr>
          <w:rFonts w:ascii="Work Sans" w:hAnsi="Work Sans"/>
        </w:rPr>
      </w:pPr>
      <w:r w:rsidRPr="00442103">
        <w:rPr>
          <w:rFonts w:ascii="Work Sans" w:hAnsi="Work Sans"/>
        </w:rPr>
        <w:t>Apprenticeships reduced from 11 to 2 (81% decline)</w:t>
      </w:r>
    </w:p>
    <w:p w14:paraId="55B1790B" w14:textId="77777777" w:rsidR="00442103" w:rsidRPr="008B375F" w:rsidRDefault="00442103" w:rsidP="00442103">
      <w:pPr>
        <w:numPr>
          <w:ilvl w:val="0"/>
          <w:numId w:val="4"/>
        </w:numPr>
        <w:rPr>
          <w:rFonts w:ascii="Work Sans" w:hAnsi="Work Sans"/>
        </w:rPr>
      </w:pPr>
      <w:r w:rsidRPr="00442103">
        <w:rPr>
          <w:rFonts w:ascii="Work Sans" w:hAnsi="Work Sans"/>
        </w:rPr>
        <w:t>Loss of major projects, including a 1,200-tonne project in Mackay</w:t>
      </w:r>
    </w:p>
    <w:p w14:paraId="13E71B00" w14:textId="77777777" w:rsidR="008B375F" w:rsidRPr="00442103" w:rsidRDefault="008B375F" w:rsidP="008B375F">
      <w:pPr>
        <w:ind w:left="720"/>
        <w:rPr>
          <w:rFonts w:ascii="Work Sans" w:hAnsi="Work Sans"/>
        </w:rPr>
      </w:pPr>
    </w:p>
    <w:p w14:paraId="147D82A0" w14:textId="5F94390B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Causation</w:t>
      </w:r>
    </w:p>
    <w:p w14:paraId="2E08EF9F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On a recent project:</w:t>
      </w:r>
    </w:p>
    <w:p w14:paraId="27DD62C8" w14:textId="77777777" w:rsidR="00442103" w:rsidRPr="00442103" w:rsidRDefault="00442103" w:rsidP="00442103">
      <w:pPr>
        <w:numPr>
          <w:ilvl w:val="0"/>
          <w:numId w:val="5"/>
        </w:numPr>
        <w:rPr>
          <w:rFonts w:ascii="Work Sans" w:hAnsi="Work Sans"/>
        </w:rPr>
      </w:pPr>
      <w:r w:rsidRPr="00442103">
        <w:rPr>
          <w:rFonts w:ascii="Work Sans" w:hAnsi="Work Sans"/>
        </w:rPr>
        <w:t>Imported steel (landed): $2,650.44 per tonne</w:t>
      </w:r>
    </w:p>
    <w:p w14:paraId="73235916" w14:textId="0F0E2D7F" w:rsidR="00442103" w:rsidRPr="00442103" w:rsidRDefault="00442103" w:rsidP="00442103">
      <w:pPr>
        <w:numPr>
          <w:ilvl w:val="0"/>
          <w:numId w:val="5"/>
        </w:numPr>
        <w:rPr>
          <w:rFonts w:ascii="Work Sans" w:hAnsi="Work Sans"/>
        </w:rPr>
      </w:pPr>
      <w:r w:rsidRPr="00442103">
        <w:rPr>
          <w:rFonts w:ascii="Work Sans" w:hAnsi="Work Sans"/>
        </w:rPr>
        <w:t>Domestic equivalent: approximately $</w:t>
      </w:r>
      <w:r w:rsidR="002638F0">
        <w:rPr>
          <w:rFonts w:ascii="Work Sans" w:hAnsi="Work Sans"/>
        </w:rPr>
        <w:t>5</w:t>
      </w:r>
      <w:r w:rsidRPr="00442103">
        <w:rPr>
          <w:rFonts w:ascii="Work Sans" w:hAnsi="Work Sans"/>
        </w:rPr>
        <w:t>,550 per tonne</w:t>
      </w:r>
    </w:p>
    <w:p w14:paraId="2E1D974E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This indicates imported steel is less than 50% of domestic cost on a comparable basis. The scale of this price differential is a key driver of procurement decisions.</w:t>
      </w:r>
    </w:p>
    <w:p w14:paraId="40425DFB" w14:textId="16452CFA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lastRenderedPageBreak/>
        <w:t>Adjustment Constraints</w:t>
      </w:r>
    </w:p>
    <w:p w14:paraId="4D1C4D6F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Investment in advanced manufacturing has been assessed but is constrained by:</w:t>
      </w:r>
    </w:p>
    <w:p w14:paraId="51D380B4" w14:textId="77777777" w:rsidR="00442103" w:rsidRPr="00442103" w:rsidRDefault="00442103" w:rsidP="00442103">
      <w:pPr>
        <w:numPr>
          <w:ilvl w:val="0"/>
          <w:numId w:val="6"/>
        </w:numPr>
        <w:rPr>
          <w:rFonts w:ascii="Work Sans" w:hAnsi="Work Sans"/>
        </w:rPr>
      </w:pPr>
      <w:r w:rsidRPr="00442103">
        <w:rPr>
          <w:rFonts w:ascii="Work Sans" w:hAnsi="Work Sans"/>
        </w:rPr>
        <w:t>Persistent price disparities</w:t>
      </w:r>
    </w:p>
    <w:p w14:paraId="39FD4A04" w14:textId="77777777" w:rsidR="00442103" w:rsidRPr="00442103" w:rsidRDefault="00442103" w:rsidP="00442103">
      <w:pPr>
        <w:numPr>
          <w:ilvl w:val="0"/>
          <w:numId w:val="6"/>
        </w:numPr>
        <w:rPr>
          <w:rFonts w:ascii="Work Sans" w:hAnsi="Work Sans"/>
        </w:rPr>
      </w:pPr>
      <w:r w:rsidRPr="00442103">
        <w:rPr>
          <w:rFonts w:ascii="Work Sans" w:hAnsi="Work Sans"/>
        </w:rPr>
        <w:t>Reduced domestic demand</w:t>
      </w:r>
    </w:p>
    <w:p w14:paraId="450D4003" w14:textId="77777777" w:rsidR="00442103" w:rsidRPr="008B375F" w:rsidRDefault="00442103" w:rsidP="00442103">
      <w:pPr>
        <w:numPr>
          <w:ilvl w:val="0"/>
          <w:numId w:val="6"/>
        </w:numPr>
        <w:rPr>
          <w:rFonts w:ascii="Work Sans" w:hAnsi="Work Sans"/>
        </w:rPr>
      </w:pPr>
      <w:r w:rsidRPr="00442103">
        <w:rPr>
          <w:rFonts w:ascii="Work Sans" w:hAnsi="Work Sans"/>
        </w:rPr>
        <w:t>Uncertainty regarding return on capital investment</w:t>
      </w:r>
    </w:p>
    <w:p w14:paraId="37384268" w14:textId="77777777" w:rsidR="008B375F" w:rsidRPr="00442103" w:rsidRDefault="008B375F" w:rsidP="008B375F">
      <w:pPr>
        <w:ind w:left="720"/>
        <w:rPr>
          <w:rFonts w:ascii="Work Sans" w:hAnsi="Work Sans"/>
        </w:rPr>
      </w:pPr>
    </w:p>
    <w:p w14:paraId="285D94A6" w14:textId="53D6FB0F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Compliance Concerns</w:t>
      </w:r>
    </w:p>
    <w:p w14:paraId="291C6AD0" w14:textId="77777777" w:rsidR="00442103" w:rsidRPr="008B375F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There is evidence that imported fabricated steel used in government projects may not consistently meet required standards (e.g. CC3 certification), raising concerns regarding compliance and competitive neutrality.</w:t>
      </w:r>
    </w:p>
    <w:p w14:paraId="4B46B38F" w14:textId="77777777" w:rsidR="008B375F" w:rsidRPr="00442103" w:rsidRDefault="008B375F" w:rsidP="00442103">
      <w:pPr>
        <w:rPr>
          <w:rFonts w:ascii="Work Sans" w:hAnsi="Work Sans"/>
        </w:rPr>
      </w:pPr>
    </w:p>
    <w:p w14:paraId="423A847B" w14:textId="00BCAA05" w:rsidR="00442103" w:rsidRPr="00442103" w:rsidRDefault="00442103" w:rsidP="00442103">
      <w:pPr>
        <w:rPr>
          <w:rFonts w:ascii="Work Sans" w:hAnsi="Work Sans"/>
          <w:u w:val="single"/>
        </w:rPr>
      </w:pPr>
      <w:r w:rsidRPr="00442103">
        <w:rPr>
          <w:rFonts w:ascii="Work Sans" w:hAnsi="Work Sans"/>
          <w:u w:val="single"/>
        </w:rPr>
        <w:t>Conclusion</w:t>
      </w:r>
    </w:p>
    <w:p w14:paraId="59F93122" w14:textId="77777777" w:rsidR="00442103" w:rsidRP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Sencova’s</w:t>
      </w:r>
      <w:proofErr w:type="spellEnd"/>
      <w:r w:rsidRPr="00442103">
        <w:rPr>
          <w:rFonts w:ascii="Work Sans" w:hAnsi="Work Sans"/>
        </w:rPr>
        <w:t xml:space="preserve"> experience indicates that increased imports are having a significant and ongoing impact on the domestic industry. Without intervention or improved enforcement of standards, further contraction of domestic capacity and skills is likely.</w:t>
      </w:r>
    </w:p>
    <w:p w14:paraId="47DEC602" w14:textId="7263547B" w:rsidR="00442103" w:rsidRPr="008B375F" w:rsidRDefault="00442103" w:rsidP="00442103">
      <w:pPr>
        <w:rPr>
          <w:rFonts w:ascii="Work Sans" w:hAnsi="Work Sans"/>
        </w:rPr>
      </w:pPr>
    </w:p>
    <w:p w14:paraId="0AD724B3" w14:textId="27A0A395" w:rsidR="008B375F" w:rsidRPr="008B375F" w:rsidRDefault="008B375F" w:rsidP="00442103">
      <w:pPr>
        <w:rPr>
          <w:rFonts w:ascii="Work Sans" w:hAnsi="Work Sans"/>
          <w:b/>
          <w:bCs/>
        </w:rPr>
      </w:pPr>
      <w:r w:rsidRPr="008B375F">
        <w:rPr>
          <w:rFonts w:ascii="Work Sans" w:hAnsi="Work Sans"/>
          <w:b/>
          <w:bCs/>
        </w:rPr>
        <w:t>Full Submission</w:t>
      </w:r>
    </w:p>
    <w:p w14:paraId="7D6CC5D2" w14:textId="77777777" w:rsidR="008B375F" w:rsidRPr="00442103" w:rsidRDefault="008B375F" w:rsidP="00442103">
      <w:pPr>
        <w:rPr>
          <w:rFonts w:ascii="Work Sans" w:hAnsi="Work Sans"/>
        </w:rPr>
      </w:pPr>
    </w:p>
    <w:p w14:paraId="485F20B4" w14:textId="58A9D889" w:rsidR="00442103" w:rsidRPr="008B375F" w:rsidRDefault="00442103" w:rsidP="00BB0BD6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8B375F">
        <w:rPr>
          <w:rFonts w:ascii="Work Sans" w:hAnsi="Work Sans"/>
          <w:u w:val="single"/>
        </w:rPr>
        <w:t>About the Submitter</w:t>
      </w:r>
    </w:p>
    <w:p w14:paraId="009AAC53" w14:textId="77777777" w:rsidR="008B375F" w:rsidRPr="008B375F" w:rsidRDefault="008B375F" w:rsidP="008B375F">
      <w:pPr>
        <w:pStyle w:val="ListParagraph"/>
        <w:rPr>
          <w:rFonts w:ascii="Work Sans" w:hAnsi="Work Sans"/>
        </w:rPr>
      </w:pPr>
    </w:p>
    <w:p w14:paraId="04767B67" w14:textId="77777777" w:rsidR="00442103" w:rsidRP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Steel Fabricators Pty Ltd is a Brisbane-based structural steel fabrication business with 54 years of continuous operation. The company currently employs 26 staff and has an annual production capacity of approximately 3,000 tonnes.</w:t>
      </w:r>
    </w:p>
    <w:p w14:paraId="5068C202" w14:textId="77777777" w:rsidR="00442103" w:rsidRP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manufactures structural steel components classified under tariff codes:</w:t>
      </w:r>
    </w:p>
    <w:p w14:paraId="5DE7AB47" w14:textId="77777777" w:rsidR="00442103" w:rsidRPr="00442103" w:rsidRDefault="00442103" w:rsidP="00442103">
      <w:pPr>
        <w:numPr>
          <w:ilvl w:val="0"/>
          <w:numId w:val="7"/>
        </w:numPr>
        <w:rPr>
          <w:rFonts w:ascii="Work Sans" w:hAnsi="Work Sans"/>
        </w:rPr>
      </w:pPr>
      <w:r w:rsidRPr="00442103">
        <w:rPr>
          <w:rFonts w:ascii="Work Sans" w:hAnsi="Work Sans"/>
        </w:rPr>
        <w:t>7308900052</w:t>
      </w:r>
    </w:p>
    <w:p w14:paraId="1BA2B9DB" w14:textId="77777777" w:rsidR="00442103" w:rsidRPr="00442103" w:rsidRDefault="00442103" w:rsidP="00442103">
      <w:pPr>
        <w:numPr>
          <w:ilvl w:val="0"/>
          <w:numId w:val="7"/>
        </w:numPr>
        <w:rPr>
          <w:rFonts w:ascii="Work Sans" w:hAnsi="Work Sans"/>
        </w:rPr>
      </w:pPr>
      <w:r w:rsidRPr="00442103">
        <w:rPr>
          <w:rFonts w:ascii="Work Sans" w:hAnsi="Work Sans"/>
        </w:rPr>
        <w:t>7308900053</w:t>
      </w:r>
    </w:p>
    <w:p w14:paraId="4CC0D216" w14:textId="77777777" w:rsidR="00442103" w:rsidRPr="00442103" w:rsidRDefault="00442103" w:rsidP="00442103">
      <w:pPr>
        <w:numPr>
          <w:ilvl w:val="0"/>
          <w:numId w:val="7"/>
        </w:numPr>
        <w:rPr>
          <w:rFonts w:ascii="Work Sans" w:hAnsi="Work Sans"/>
        </w:rPr>
      </w:pPr>
      <w:r w:rsidRPr="00442103">
        <w:rPr>
          <w:rFonts w:ascii="Work Sans" w:hAnsi="Work Sans"/>
        </w:rPr>
        <w:t>7308900054</w:t>
      </w:r>
    </w:p>
    <w:p w14:paraId="1C48736E" w14:textId="77777777" w:rsidR="00442103" w:rsidRPr="00442103" w:rsidRDefault="00442103" w:rsidP="00442103">
      <w:pPr>
        <w:numPr>
          <w:ilvl w:val="0"/>
          <w:numId w:val="7"/>
        </w:numPr>
        <w:rPr>
          <w:rFonts w:ascii="Work Sans" w:hAnsi="Work Sans"/>
        </w:rPr>
      </w:pPr>
      <w:r w:rsidRPr="00442103">
        <w:rPr>
          <w:rFonts w:ascii="Work Sans" w:hAnsi="Work Sans"/>
        </w:rPr>
        <w:t>7308900055</w:t>
      </w:r>
    </w:p>
    <w:p w14:paraId="228109D8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Its customer base has historically included Tier 1 construction companies, the mining sector, and Spaceframe Buildings Pty Ltd (a related entity operating in Australia and China for nearly 40 years).</w:t>
      </w:r>
    </w:p>
    <w:p w14:paraId="4B6376DD" w14:textId="67ACE339" w:rsidR="00442103" w:rsidRPr="00442103" w:rsidRDefault="00442103" w:rsidP="00442103">
      <w:pPr>
        <w:rPr>
          <w:rFonts w:ascii="Work Sans" w:hAnsi="Work Sans"/>
        </w:rPr>
      </w:pPr>
    </w:p>
    <w:p w14:paraId="41D3DC7E" w14:textId="222CA962" w:rsidR="00442103" w:rsidRPr="008B375F" w:rsidRDefault="00442103" w:rsidP="00BB0BD6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8B375F">
        <w:rPr>
          <w:rFonts w:ascii="Work Sans" w:hAnsi="Work Sans"/>
          <w:u w:val="single"/>
        </w:rPr>
        <w:t>Scope of Submission</w:t>
      </w:r>
    </w:p>
    <w:p w14:paraId="7D2C28F8" w14:textId="77777777" w:rsidR="008B375F" w:rsidRPr="008B375F" w:rsidRDefault="008B375F" w:rsidP="008B375F">
      <w:pPr>
        <w:pStyle w:val="ListParagraph"/>
        <w:rPr>
          <w:rFonts w:ascii="Work Sans" w:hAnsi="Work Sans"/>
          <w:u w:val="single"/>
        </w:rPr>
      </w:pPr>
    </w:p>
    <w:p w14:paraId="77BEB04D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This submission provides evidence relevant to:</w:t>
      </w:r>
    </w:p>
    <w:p w14:paraId="697E74B4" w14:textId="77777777" w:rsidR="00442103" w:rsidRPr="00442103" w:rsidRDefault="00442103" w:rsidP="00442103">
      <w:pPr>
        <w:numPr>
          <w:ilvl w:val="0"/>
          <w:numId w:val="8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lastRenderedPageBreak/>
        <w:t>Whether increased imports of fabricated structural steel are causing serious injury to the domestic industry</w:t>
      </w:r>
    </w:p>
    <w:p w14:paraId="33500B9C" w14:textId="77777777" w:rsidR="00442103" w:rsidRPr="00442103" w:rsidRDefault="00442103" w:rsidP="00442103">
      <w:pPr>
        <w:numPr>
          <w:ilvl w:val="0"/>
          <w:numId w:val="8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Whether imports are a substantial cause of that injury</w:t>
      </w:r>
    </w:p>
    <w:p w14:paraId="20DA40EE" w14:textId="77777777" w:rsidR="00442103" w:rsidRPr="00442103" w:rsidRDefault="00442103" w:rsidP="00442103">
      <w:pPr>
        <w:numPr>
          <w:ilvl w:val="0"/>
          <w:numId w:val="8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The capacity of the domestic industry to adjust</w:t>
      </w:r>
    </w:p>
    <w:p w14:paraId="6FF9BB75" w14:textId="77777777" w:rsidR="00442103" w:rsidRPr="00442103" w:rsidRDefault="00442103" w:rsidP="00442103">
      <w:pPr>
        <w:numPr>
          <w:ilvl w:val="0"/>
          <w:numId w:val="8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The potential role of safeguard measures or alternative policy responses</w:t>
      </w:r>
    </w:p>
    <w:p w14:paraId="5A995EE7" w14:textId="63B5F509" w:rsidR="00442103" w:rsidRPr="00442103" w:rsidRDefault="00442103" w:rsidP="00442103">
      <w:pPr>
        <w:rPr>
          <w:rFonts w:ascii="Work Sans" w:hAnsi="Work Sans"/>
        </w:rPr>
      </w:pPr>
    </w:p>
    <w:p w14:paraId="48DAB73B" w14:textId="3ACA1ADE" w:rsidR="00442103" w:rsidRPr="009F57ED" w:rsidRDefault="00442103" w:rsidP="00BB0BD6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9F57ED">
        <w:rPr>
          <w:rFonts w:ascii="Work Sans" w:hAnsi="Work Sans"/>
          <w:u w:val="single"/>
        </w:rPr>
        <w:t>Evidence of Increased Imports</w:t>
      </w:r>
    </w:p>
    <w:p w14:paraId="111DAEDD" w14:textId="77777777" w:rsidR="009F57ED" w:rsidRPr="009F57ED" w:rsidRDefault="009F57ED" w:rsidP="009F57ED">
      <w:pPr>
        <w:pStyle w:val="ListParagraph"/>
        <w:rPr>
          <w:rFonts w:ascii="Work Sans" w:hAnsi="Work Sans"/>
          <w:u w:val="single"/>
        </w:rPr>
      </w:pPr>
    </w:p>
    <w:p w14:paraId="09B4412E" w14:textId="77777777" w:rsid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Imported fabricated structural steel has been present in Australia for approximately 30 years but was historically limited in volume.</w:t>
      </w:r>
    </w:p>
    <w:p w14:paraId="5EF2AEEA" w14:textId="77777777" w:rsidR="002C5FAF" w:rsidRPr="00442103" w:rsidRDefault="002C5FAF" w:rsidP="00442103">
      <w:pPr>
        <w:rPr>
          <w:rFonts w:ascii="Work Sans" w:hAnsi="Work Sans"/>
        </w:rPr>
      </w:pPr>
    </w:p>
    <w:p w14:paraId="63354705" w14:textId="77777777" w:rsid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 xml:space="preserve">Over the past five years, </w:t>
      </w: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has observed a significant increase in import penetration, characterised by:</w:t>
      </w:r>
    </w:p>
    <w:p w14:paraId="21C4F155" w14:textId="77777777" w:rsidR="002C5FAF" w:rsidRPr="00442103" w:rsidRDefault="002C5FAF" w:rsidP="00442103">
      <w:pPr>
        <w:rPr>
          <w:rFonts w:ascii="Work Sans" w:hAnsi="Work Sans"/>
        </w:rPr>
      </w:pPr>
    </w:p>
    <w:p w14:paraId="0DF26555" w14:textId="77777777" w:rsidR="00442103" w:rsidRPr="00442103" w:rsidRDefault="00442103" w:rsidP="00442103">
      <w:pPr>
        <w:numPr>
          <w:ilvl w:val="0"/>
          <w:numId w:val="9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Tier 1 builders establishing dedicated offshore procurement teams</w:t>
      </w:r>
    </w:p>
    <w:p w14:paraId="2726318A" w14:textId="77777777" w:rsidR="00442103" w:rsidRPr="00442103" w:rsidRDefault="00442103" w:rsidP="00442103">
      <w:pPr>
        <w:numPr>
          <w:ilvl w:val="0"/>
          <w:numId w:val="9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Imports being used for projects as small as approximately 30 tonnes</w:t>
      </w:r>
    </w:p>
    <w:p w14:paraId="7F4755CB" w14:textId="77777777" w:rsidR="00442103" w:rsidRDefault="00442103" w:rsidP="00442103">
      <w:pPr>
        <w:numPr>
          <w:ilvl w:val="0"/>
          <w:numId w:val="9"/>
        </w:numPr>
        <w:rPr>
          <w:rFonts w:ascii="Work Sans" w:hAnsi="Work Sans"/>
        </w:rPr>
      </w:pPr>
      <w:r w:rsidRPr="00442103">
        <w:rPr>
          <w:rFonts w:ascii="Work Sans" w:hAnsi="Work Sans"/>
        </w:rPr>
        <w:t>Domestic tender processes being bypassed</w:t>
      </w:r>
    </w:p>
    <w:p w14:paraId="77CA6C1C" w14:textId="77777777" w:rsidR="009F57ED" w:rsidRPr="00442103" w:rsidRDefault="009F57ED" w:rsidP="009F57ED">
      <w:pPr>
        <w:ind w:left="720"/>
        <w:rPr>
          <w:rFonts w:ascii="Work Sans" w:hAnsi="Work Sans"/>
        </w:rPr>
      </w:pPr>
    </w:p>
    <w:p w14:paraId="6EB344B4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This reflects a structural shift rather than a temporary or cyclical trend.</w:t>
      </w:r>
    </w:p>
    <w:p w14:paraId="6E5FA63F" w14:textId="56863B27" w:rsidR="00442103" w:rsidRPr="00442103" w:rsidRDefault="00442103" w:rsidP="00442103">
      <w:pPr>
        <w:rPr>
          <w:rFonts w:ascii="Work Sans" w:hAnsi="Work Sans"/>
        </w:rPr>
      </w:pPr>
    </w:p>
    <w:p w14:paraId="6679BEA3" w14:textId="5383A8A7" w:rsidR="00442103" w:rsidRPr="009F57ED" w:rsidRDefault="00442103" w:rsidP="00BB0BD6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9F57ED">
        <w:rPr>
          <w:rFonts w:ascii="Work Sans" w:hAnsi="Work Sans"/>
          <w:u w:val="single"/>
        </w:rPr>
        <w:t>Evidence of Serious Injury</w:t>
      </w:r>
    </w:p>
    <w:p w14:paraId="0F51E325" w14:textId="77777777" w:rsidR="009F57ED" w:rsidRPr="009F57ED" w:rsidRDefault="009F57ED" w:rsidP="009F57ED">
      <w:pPr>
        <w:pStyle w:val="ListParagraph"/>
        <w:rPr>
          <w:rFonts w:ascii="Work Sans" w:hAnsi="Work Sans"/>
          <w:u w:val="single"/>
        </w:rPr>
      </w:pPr>
    </w:p>
    <w:p w14:paraId="624977B9" w14:textId="50731514" w:rsidR="00442103" w:rsidRPr="00442103" w:rsidRDefault="00442103" w:rsidP="00FF75CF">
      <w:pPr>
        <w:pStyle w:val="ListParagraph"/>
        <w:numPr>
          <w:ilvl w:val="0"/>
          <w:numId w:val="9"/>
        </w:numPr>
        <w:tabs>
          <w:tab w:val="clear" w:pos="1080"/>
        </w:tabs>
        <w:ind w:left="1134" w:hanging="425"/>
        <w:rPr>
          <w:rFonts w:ascii="Work Sans" w:hAnsi="Work Sans"/>
        </w:rPr>
      </w:pPr>
      <w:r w:rsidRPr="00E658AA">
        <w:rPr>
          <w:rFonts w:ascii="Work Sans" w:hAnsi="Work Sans"/>
        </w:rPr>
        <w:t>Decline in Output</w:t>
      </w:r>
      <w:r w:rsidR="00E658AA" w:rsidRPr="00E658AA">
        <w:rPr>
          <w:rFonts w:ascii="Work Sans" w:hAnsi="Work Sans"/>
        </w:rPr>
        <w:t xml:space="preserve"> - </w:t>
      </w:r>
      <w:r w:rsidRPr="00442103">
        <w:rPr>
          <w:rFonts w:ascii="Work Sans" w:hAnsi="Work Sans"/>
        </w:rPr>
        <w:t>Production has declined from approximately</w:t>
      </w:r>
      <w:r w:rsidR="002C5FAF" w:rsidRPr="00E658AA">
        <w:rPr>
          <w:rFonts w:ascii="Work Sans" w:hAnsi="Work Sans"/>
        </w:rPr>
        <w:t xml:space="preserve"> </w:t>
      </w:r>
      <w:r w:rsidRPr="00442103">
        <w:rPr>
          <w:rFonts w:ascii="Work Sans" w:hAnsi="Work Sans"/>
        </w:rPr>
        <w:t>4,500 tonnes per annum to 1,900 tonnes per annum</w:t>
      </w:r>
    </w:p>
    <w:p w14:paraId="7EFA8860" w14:textId="77777777" w:rsidR="009F57ED" w:rsidRDefault="009F57ED" w:rsidP="00FF75CF">
      <w:pPr>
        <w:ind w:left="1134" w:hanging="425"/>
        <w:rPr>
          <w:rFonts w:ascii="Work Sans" w:hAnsi="Work Sans"/>
        </w:rPr>
      </w:pPr>
    </w:p>
    <w:p w14:paraId="19D62379" w14:textId="72C1FC25" w:rsidR="00442103" w:rsidRDefault="00442103" w:rsidP="00FF75CF">
      <w:pPr>
        <w:pStyle w:val="ListParagraph"/>
        <w:numPr>
          <w:ilvl w:val="0"/>
          <w:numId w:val="11"/>
        </w:numPr>
        <w:tabs>
          <w:tab w:val="clear" w:pos="720"/>
        </w:tabs>
        <w:ind w:left="1134" w:hanging="425"/>
        <w:rPr>
          <w:rFonts w:ascii="Work Sans" w:hAnsi="Work Sans"/>
        </w:rPr>
      </w:pPr>
      <w:r w:rsidRPr="00E658AA">
        <w:rPr>
          <w:rFonts w:ascii="Work Sans" w:hAnsi="Work Sans"/>
        </w:rPr>
        <w:t>Loss of Market Share</w:t>
      </w:r>
      <w:r w:rsidR="00E658AA" w:rsidRPr="00E658AA">
        <w:rPr>
          <w:rFonts w:ascii="Work Sans" w:hAnsi="Work Sans"/>
        </w:rPr>
        <w:t xml:space="preserve"> - A</w:t>
      </w:r>
      <w:r w:rsidRPr="00442103">
        <w:rPr>
          <w:rFonts w:ascii="Work Sans" w:hAnsi="Work Sans"/>
        </w:rPr>
        <w:t>pproximately 70% reduction in warehouse-related structural steel work</w:t>
      </w:r>
      <w:r w:rsidR="00E658AA" w:rsidRPr="00E658AA">
        <w:rPr>
          <w:rFonts w:ascii="Work Sans" w:hAnsi="Work Sans"/>
        </w:rPr>
        <w:t>.  W</w:t>
      </w:r>
      <w:r w:rsidRPr="00442103">
        <w:rPr>
          <w:rFonts w:ascii="Work Sans" w:hAnsi="Work Sans"/>
        </w:rPr>
        <w:t>arehouse construction was previously a core market segment</w:t>
      </w:r>
    </w:p>
    <w:p w14:paraId="079C9E28" w14:textId="77777777" w:rsidR="00E658AA" w:rsidRPr="00442103" w:rsidRDefault="00E658AA" w:rsidP="00FF75CF">
      <w:pPr>
        <w:pStyle w:val="ListParagraph"/>
        <w:ind w:left="1134" w:hanging="425"/>
        <w:rPr>
          <w:rFonts w:ascii="Work Sans" w:hAnsi="Work Sans"/>
        </w:rPr>
      </w:pPr>
    </w:p>
    <w:p w14:paraId="687965D9" w14:textId="42A933D0" w:rsidR="00442103" w:rsidRPr="00442103" w:rsidRDefault="00442103" w:rsidP="006219DE">
      <w:pPr>
        <w:pStyle w:val="ListParagraph"/>
        <w:numPr>
          <w:ilvl w:val="0"/>
          <w:numId w:val="12"/>
        </w:numPr>
        <w:tabs>
          <w:tab w:val="clear" w:pos="720"/>
        </w:tabs>
        <w:ind w:left="1134" w:hanging="425"/>
        <w:rPr>
          <w:rFonts w:ascii="Work Sans" w:hAnsi="Work Sans"/>
        </w:rPr>
      </w:pPr>
      <w:r w:rsidRPr="00CF3B75">
        <w:rPr>
          <w:rFonts w:ascii="Work Sans" w:hAnsi="Work Sans"/>
        </w:rPr>
        <w:t>Employment Impacts</w:t>
      </w:r>
      <w:r w:rsidR="00E658AA" w:rsidRPr="00CF3B75">
        <w:rPr>
          <w:rFonts w:ascii="Work Sans" w:hAnsi="Work Sans"/>
        </w:rPr>
        <w:t xml:space="preserve"> - </w:t>
      </w:r>
      <w:r w:rsidRPr="00442103">
        <w:rPr>
          <w:rFonts w:ascii="Work Sans" w:hAnsi="Work Sans"/>
        </w:rPr>
        <w:t>Workforce reduced from 78 employees to 26</w:t>
      </w:r>
      <w:r w:rsidR="00CF3B75" w:rsidRPr="00CF3B75">
        <w:rPr>
          <w:rFonts w:ascii="Work Sans" w:hAnsi="Work Sans"/>
        </w:rPr>
        <w:t xml:space="preserve"> </w:t>
      </w:r>
      <w:r w:rsidRPr="00442103">
        <w:rPr>
          <w:rFonts w:ascii="Work Sans" w:hAnsi="Work Sans"/>
        </w:rPr>
        <w:t>Apprentices reduced from 11 to 2 (≈81% decline)</w:t>
      </w:r>
    </w:p>
    <w:p w14:paraId="6D73CB31" w14:textId="77777777" w:rsidR="003E1C0B" w:rsidRPr="003E1C0B" w:rsidRDefault="003E1C0B" w:rsidP="00FF75CF">
      <w:pPr>
        <w:ind w:left="1134" w:hanging="425"/>
        <w:rPr>
          <w:rFonts w:ascii="Work Sans" w:hAnsi="Work Sans"/>
        </w:rPr>
      </w:pPr>
    </w:p>
    <w:p w14:paraId="3E50A7C7" w14:textId="031198B8" w:rsidR="00442103" w:rsidRPr="00442103" w:rsidRDefault="00442103" w:rsidP="00FF75CF">
      <w:pPr>
        <w:pStyle w:val="ListParagraph"/>
        <w:numPr>
          <w:ilvl w:val="0"/>
          <w:numId w:val="13"/>
        </w:numPr>
        <w:tabs>
          <w:tab w:val="clear" w:pos="720"/>
        </w:tabs>
        <w:ind w:left="1134" w:hanging="425"/>
        <w:rPr>
          <w:rFonts w:ascii="Work Sans" w:hAnsi="Work Sans"/>
        </w:rPr>
      </w:pPr>
      <w:r w:rsidRPr="003E1C0B">
        <w:rPr>
          <w:rFonts w:ascii="Work Sans" w:hAnsi="Work Sans"/>
        </w:rPr>
        <w:t>Loss of Contracts</w:t>
      </w:r>
      <w:r w:rsidR="003E1C0B" w:rsidRPr="003E1C0B">
        <w:rPr>
          <w:rFonts w:ascii="Work Sans" w:hAnsi="Work Sans"/>
        </w:rPr>
        <w:t xml:space="preserve"> </w:t>
      </w:r>
      <w:r w:rsidR="003E1C0B">
        <w:rPr>
          <w:rFonts w:ascii="Work Sans" w:hAnsi="Work Sans"/>
        </w:rPr>
        <w:t xml:space="preserve">- </w:t>
      </w:r>
      <w:r w:rsidRPr="00442103">
        <w:rPr>
          <w:rFonts w:ascii="Work Sans" w:hAnsi="Work Sans"/>
        </w:rPr>
        <w:t>Loss of major projects, including a 1,200-tonne project in Mackay</w:t>
      </w:r>
    </w:p>
    <w:p w14:paraId="374157F5" w14:textId="7262D849" w:rsidR="00220D7F" w:rsidRDefault="00220D7F">
      <w:pPr>
        <w:rPr>
          <w:rFonts w:ascii="Work Sans" w:hAnsi="Work Sans"/>
        </w:rPr>
      </w:pPr>
      <w:r>
        <w:rPr>
          <w:rFonts w:ascii="Work Sans" w:hAnsi="Work Sans"/>
        </w:rPr>
        <w:br w:type="page"/>
      </w:r>
    </w:p>
    <w:p w14:paraId="55104D72" w14:textId="77777777" w:rsidR="00442103" w:rsidRPr="00442103" w:rsidRDefault="00442103" w:rsidP="00FF75CF">
      <w:pPr>
        <w:ind w:left="1134" w:hanging="425"/>
        <w:rPr>
          <w:rFonts w:ascii="Work Sans" w:hAnsi="Work Sans"/>
        </w:rPr>
      </w:pPr>
    </w:p>
    <w:p w14:paraId="60D82399" w14:textId="2EA3CA41" w:rsidR="00442103" w:rsidRPr="002C5FAF" w:rsidRDefault="00442103" w:rsidP="007B62D1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2C5FAF">
        <w:rPr>
          <w:rFonts w:ascii="Work Sans" w:hAnsi="Work Sans"/>
          <w:u w:val="single"/>
        </w:rPr>
        <w:t>Causation: Role of Imports</w:t>
      </w:r>
    </w:p>
    <w:p w14:paraId="2616746C" w14:textId="77777777" w:rsidR="002C5FAF" w:rsidRDefault="002C5FAF" w:rsidP="00863B3D">
      <w:pPr>
        <w:ind w:left="720" w:hanging="360"/>
        <w:rPr>
          <w:rFonts w:ascii="Work Sans" w:hAnsi="Work Sans"/>
        </w:rPr>
      </w:pPr>
    </w:p>
    <w:p w14:paraId="03D3F180" w14:textId="52EA7CE3" w:rsidR="00442103" w:rsidRDefault="00442103" w:rsidP="007B62D1">
      <w:pPr>
        <w:rPr>
          <w:rFonts w:ascii="Work Sans" w:hAnsi="Work Sans"/>
        </w:rPr>
      </w:pPr>
      <w:r w:rsidRPr="007B62D1">
        <w:rPr>
          <w:rFonts w:ascii="Work Sans" w:hAnsi="Work Sans"/>
        </w:rPr>
        <w:t>Price Undercutting</w:t>
      </w:r>
      <w:r w:rsidR="003E1C0B" w:rsidRPr="007B62D1">
        <w:rPr>
          <w:rFonts w:ascii="Work Sans" w:hAnsi="Work Sans"/>
        </w:rPr>
        <w:t xml:space="preserve"> - </w:t>
      </w:r>
      <w:r w:rsidRPr="007B62D1">
        <w:rPr>
          <w:rFonts w:ascii="Work Sans" w:hAnsi="Work Sans"/>
        </w:rPr>
        <w:t>For a recent 70,000m² warehouse project:</w:t>
      </w:r>
    </w:p>
    <w:p w14:paraId="562E0341" w14:textId="2F1F66C4" w:rsidR="00504F85" w:rsidRPr="007B62D1" w:rsidRDefault="00504F85" w:rsidP="007B62D1">
      <w:pPr>
        <w:rPr>
          <w:rFonts w:ascii="Work Sans" w:hAnsi="Work Sans"/>
        </w:rPr>
      </w:pPr>
    </w:p>
    <w:p w14:paraId="74E46083" w14:textId="77777777" w:rsidR="00442103" w:rsidRPr="00442103" w:rsidRDefault="00442103" w:rsidP="00504F85">
      <w:pPr>
        <w:numPr>
          <w:ilvl w:val="0"/>
          <w:numId w:val="26"/>
        </w:numPr>
        <w:rPr>
          <w:rFonts w:ascii="Work Sans" w:hAnsi="Work Sans"/>
        </w:rPr>
      </w:pPr>
      <w:r w:rsidRPr="00442103">
        <w:rPr>
          <w:rFonts w:ascii="Work Sans" w:hAnsi="Work Sans"/>
        </w:rPr>
        <w:t>Imported steel (landed): $2,650.44 per tonne</w:t>
      </w:r>
    </w:p>
    <w:p w14:paraId="78577773" w14:textId="0973E971" w:rsidR="00442103" w:rsidRDefault="00442103" w:rsidP="00504F85">
      <w:pPr>
        <w:numPr>
          <w:ilvl w:val="0"/>
          <w:numId w:val="26"/>
        </w:numPr>
        <w:rPr>
          <w:rFonts w:ascii="Work Sans" w:hAnsi="Work Sans"/>
        </w:rPr>
      </w:pPr>
      <w:r w:rsidRPr="00442103">
        <w:rPr>
          <w:rFonts w:ascii="Work Sans" w:hAnsi="Work Sans"/>
        </w:rPr>
        <w:t>Domestic price: approximately $</w:t>
      </w:r>
      <w:r w:rsidR="002638F0">
        <w:rPr>
          <w:rFonts w:ascii="Work Sans" w:hAnsi="Work Sans"/>
        </w:rPr>
        <w:t>5</w:t>
      </w:r>
      <w:r w:rsidRPr="00442103">
        <w:rPr>
          <w:rFonts w:ascii="Work Sans" w:hAnsi="Work Sans"/>
        </w:rPr>
        <w:t>,550 per tonne</w:t>
      </w:r>
    </w:p>
    <w:p w14:paraId="41113AD6" w14:textId="77777777" w:rsidR="008F4335" w:rsidRPr="00442103" w:rsidRDefault="008F4335" w:rsidP="00863B3D">
      <w:pPr>
        <w:ind w:left="720" w:hanging="360"/>
        <w:rPr>
          <w:rFonts w:ascii="Work Sans" w:hAnsi="Work Sans"/>
        </w:rPr>
      </w:pPr>
    </w:p>
    <w:p w14:paraId="4E8E6C57" w14:textId="77777777" w:rsidR="00442103" w:rsidRDefault="00442103" w:rsidP="00DD6312">
      <w:pPr>
        <w:rPr>
          <w:rFonts w:ascii="Work Sans" w:hAnsi="Work Sans"/>
        </w:rPr>
      </w:pPr>
      <w:r w:rsidRPr="00442103">
        <w:rPr>
          <w:rFonts w:ascii="Work Sans" w:hAnsi="Work Sans"/>
        </w:rPr>
        <w:t>This represents a price differential where imports are less than 50% of domestic cost.</w:t>
      </w:r>
    </w:p>
    <w:p w14:paraId="3AF99FEE" w14:textId="77777777" w:rsidR="008F4335" w:rsidRPr="00442103" w:rsidRDefault="008F4335" w:rsidP="00863B3D">
      <w:pPr>
        <w:ind w:left="720" w:hanging="360"/>
        <w:rPr>
          <w:rFonts w:ascii="Work Sans" w:hAnsi="Work Sans"/>
        </w:rPr>
      </w:pPr>
    </w:p>
    <w:p w14:paraId="205EF04F" w14:textId="77777777" w:rsidR="007B62D1" w:rsidRDefault="00442103" w:rsidP="007B62D1">
      <w:pPr>
        <w:rPr>
          <w:rFonts w:ascii="Work Sans" w:hAnsi="Work Sans"/>
        </w:rPr>
      </w:pPr>
      <w:r w:rsidRPr="007B62D1">
        <w:rPr>
          <w:rFonts w:ascii="Work Sans" w:hAnsi="Work Sans"/>
        </w:rPr>
        <w:t>Additional Factors</w:t>
      </w:r>
      <w:r w:rsidR="007B62D1">
        <w:rPr>
          <w:rFonts w:ascii="Work Sans" w:hAnsi="Work Sans"/>
        </w:rPr>
        <w:t>:</w:t>
      </w:r>
    </w:p>
    <w:p w14:paraId="0F97EF9C" w14:textId="77777777" w:rsidR="00504F85" w:rsidRDefault="00504F85" w:rsidP="007B62D1">
      <w:pPr>
        <w:rPr>
          <w:rFonts w:ascii="Work Sans" w:hAnsi="Work Sans"/>
        </w:rPr>
      </w:pPr>
    </w:p>
    <w:p w14:paraId="32C06A58" w14:textId="24733680" w:rsidR="00442103" w:rsidRPr="007B62D1" w:rsidRDefault="00442103" w:rsidP="00504F85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Work Sans" w:hAnsi="Work Sans"/>
        </w:rPr>
      </w:pPr>
      <w:r w:rsidRPr="007B62D1">
        <w:rPr>
          <w:rFonts w:ascii="Work Sans" w:hAnsi="Work Sans"/>
        </w:rPr>
        <w:t>Use of higher-grade steel (350 MPa vs 250 MPa), reducing tonnage by approximately 12%</w:t>
      </w:r>
    </w:p>
    <w:p w14:paraId="1ABC939A" w14:textId="0996E24E" w:rsidR="00442103" w:rsidRPr="007B62D1" w:rsidRDefault="00442103" w:rsidP="00504F85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Work Sans" w:hAnsi="Work Sans"/>
        </w:rPr>
      </w:pPr>
      <w:r w:rsidRPr="007B62D1">
        <w:rPr>
          <w:rFonts w:ascii="Work Sans" w:hAnsi="Work Sans"/>
        </w:rPr>
        <w:t>Lower labour and compliance costs offshore</w:t>
      </w:r>
    </w:p>
    <w:p w14:paraId="6AEFB765" w14:textId="77777777" w:rsidR="008F4335" w:rsidRPr="00442103" w:rsidRDefault="008F4335" w:rsidP="00863B3D">
      <w:pPr>
        <w:tabs>
          <w:tab w:val="num" w:pos="1276"/>
        </w:tabs>
        <w:ind w:left="720" w:hanging="360"/>
        <w:rPr>
          <w:rFonts w:ascii="Work Sans" w:hAnsi="Work Sans"/>
        </w:rPr>
      </w:pPr>
    </w:p>
    <w:p w14:paraId="6FB343BA" w14:textId="1B270D19" w:rsidR="00442103" w:rsidRPr="007B62D1" w:rsidRDefault="00442103" w:rsidP="007B62D1">
      <w:pPr>
        <w:rPr>
          <w:rFonts w:ascii="Work Sans" w:hAnsi="Work Sans"/>
        </w:rPr>
      </w:pPr>
      <w:r w:rsidRPr="007B62D1">
        <w:rPr>
          <w:rFonts w:ascii="Work Sans" w:hAnsi="Work Sans"/>
        </w:rPr>
        <w:t>Market Behaviour</w:t>
      </w:r>
      <w:r w:rsidR="008E3701" w:rsidRPr="007B62D1">
        <w:rPr>
          <w:rFonts w:ascii="Work Sans" w:hAnsi="Work Sans"/>
        </w:rPr>
        <w:t xml:space="preserve"> - B</w:t>
      </w:r>
      <w:r w:rsidRPr="007B62D1">
        <w:rPr>
          <w:rFonts w:ascii="Work Sans" w:hAnsi="Work Sans"/>
        </w:rPr>
        <w:t>uilders sourcing offshore despite available domestic capacity</w:t>
      </w:r>
      <w:r w:rsidR="008E3701" w:rsidRPr="007B62D1">
        <w:rPr>
          <w:rFonts w:ascii="Work Sans" w:hAnsi="Work Sans"/>
        </w:rPr>
        <w:t xml:space="preserve"> and </w:t>
      </w:r>
      <w:r w:rsidRPr="007B62D1">
        <w:rPr>
          <w:rFonts w:ascii="Work Sans" w:hAnsi="Work Sans"/>
        </w:rPr>
        <w:t>Local suppliers excluded from tender processes</w:t>
      </w:r>
      <w:r w:rsidR="008E3701" w:rsidRPr="007B62D1">
        <w:rPr>
          <w:rFonts w:ascii="Work Sans" w:hAnsi="Work Sans"/>
        </w:rPr>
        <w:t xml:space="preserve"> </w:t>
      </w:r>
    </w:p>
    <w:p w14:paraId="44138146" w14:textId="77777777" w:rsidR="008E3701" w:rsidRPr="00442103" w:rsidRDefault="008E3701" w:rsidP="00863B3D">
      <w:pPr>
        <w:ind w:left="720" w:hanging="360"/>
        <w:rPr>
          <w:rFonts w:ascii="Work Sans" w:hAnsi="Work Sans"/>
        </w:rPr>
      </w:pPr>
    </w:p>
    <w:p w14:paraId="4B3A3A12" w14:textId="7342159B" w:rsidR="00442103" w:rsidRPr="00442103" w:rsidRDefault="00442103" w:rsidP="00DD6312">
      <w:pPr>
        <w:rPr>
          <w:rFonts w:ascii="Work Sans" w:hAnsi="Work Sans"/>
        </w:rPr>
      </w:pPr>
      <w:r w:rsidRPr="00442103">
        <w:rPr>
          <w:rFonts w:ascii="Work Sans" w:hAnsi="Work Sans"/>
        </w:rPr>
        <w:t>These factors indicate imports are a substantial cause of injury.</w:t>
      </w:r>
    </w:p>
    <w:p w14:paraId="13D295FD" w14:textId="446B0495" w:rsidR="00442103" w:rsidRPr="00442103" w:rsidRDefault="00442103" w:rsidP="00442103">
      <w:pPr>
        <w:rPr>
          <w:rFonts w:ascii="Work Sans" w:hAnsi="Work Sans"/>
        </w:rPr>
      </w:pPr>
    </w:p>
    <w:p w14:paraId="10D0CF66" w14:textId="61383086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Industry Adjustment Capacity</w:t>
      </w:r>
    </w:p>
    <w:p w14:paraId="2969F712" w14:textId="77777777" w:rsidR="00BB0BD6" w:rsidRPr="00BB0BD6" w:rsidRDefault="00BB0BD6" w:rsidP="00BB0BD6">
      <w:pPr>
        <w:pStyle w:val="ListParagraph"/>
        <w:rPr>
          <w:rFonts w:ascii="Work Sans" w:hAnsi="Work Sans"/>
        </w:rPr>
      </w:pPr>
    </w:p>
    <w:p w14:paraId="35B13048" w14:textId="77777777" w:rsidR="00442103" w:rsidRP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has assessed investment in advanced manufacturing, including a $2.5 million automated </w:t>
      </w:r>
      <w:proofErr w:type="gramStart"/>
      <w:r w:rsidRPr="00442103">
        <w:rPr>
          <w:rFonts w:ascii="Work Sans" w:hAnsi="Work Sans"/>
        </w:rPr>
        <w:t>beam-line</w:t>
      </w:r>
      <w:proofErr w:type="gramEnd"/>
      <w:r w:rsidRPr="00442103">
        <w:rPr>
          <w:rFonts w:ascii="Work Sans" w:hAnsi="Work Sans"/>
        </w:rPr>
        <w:t xml:space="preserve"> and robotic welding system.</w:t>
      </w:r>
    </w:p>
    <w:p w14:paraId="7ADB5650" w14:textId="77777777" w:rsidR="00AC03F0" w:rsidRDefault="00AC03F0" w:rsidP="00442103">
      <w:pPr>
        <w:rPr>
          <w:rFonts w:ascii="Work Sans" w:hAnsi="Work Sans"/>
        </w:rPr>
      </w:pPr>
    </w:p>
    <w:p w14:paraId="699604C8" w14:textId="4DCE3530" w:rsid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Findings include:</w:t>
      </w:r>
    </w:p>
    <w:p w14:paraId="536E621D" w14:textId="77777777" w:rsidR="00DD6312" w:rsidRPr="00442103" w:rsidRDefault="00DD6312" w:rsidP="00442103">
      <w:pPr>
        <w:rPr>
          <w:rFonts w:ascii="Work Sans" w:hAnsi="Work Sans"/>
        </w:rPr>
      </w:pPr>
    </w:p>
    <w:p w14:paraId="3B426990" w14:textId="77777777" w:rsidR="00442103" w:rsidRPr="00442103" w:rsidRDefault="00442103" w:rsidP="00442103">
      <w:pPr>
        <w:numPr>
          <w:ilvl w:val="0"/>
          <w:numId w:val="17"/>
        </w:numPr>
        <w:rPr>
          <w:rFonts w:ascii="Work Sans" w:hAnsi="Work Sans"/>
        </w:rPr>
      </w:pPr>
      <w:r w:rsidRPr="00442103">
        <w:rPr>
          <w:rFonts w:ascii="Work Sans" w:hAnsi="Work Sans"/>
        </w:rPr>
        <w:t>Productivity gains do not offset the price gap</w:t>
      </w:r>
    </w:p>
    <w:p w14:paraId="7DD88B48" w14:textId="77777777" w:rsidR="00442103" w:rsidRPr="00442103" w:rsidRDefault="00442103" w:rsidP="00442103">
      <w:pPr>
        <w:numPr>
          <w:ilvl w:val="0"/>
          <w:numId w:val="17"/>
        </w:numPr>
        <w:rPr>
          <w:rFonts w:ascii="Work Sans" w:hAnsi="Work Sans"/>
        </w:rPr>
      </w:pPr>
      <w:r w:rsidRPr="00442103">
        <w:rPr>
          <w:rFonts w:ascii="Work Sans" w:hAnsi="Work Sans"/>
        </w:rPr>
        <w:t>Reduced demand limits utilisation</w:t>
      </w:r>
    </w:p>
    <w:p w14:paraId="77643E6A" w14:textId="77777777" w:rsidR="00442103" w:rsidRPr="00442103" w:rsidRDefault="00442103" w:rsidP="00442103">
      <w:pPr>
        <w:numPr>
          <w:ilvl w:val="0"/>
          <w:numId w:val="17"/>
        </w:numPr>
        <w:rPr>
          <w:rFonts w:ascii="Work Sans" w:hAnsi="Work Sans"/>
        </w:rPr>
      </w:pPr>
      <w:r w:rsidRPr="00442103">
        <w:rPr>
          <w:rFonts w:ascii="Work Sans" w:hAnsi="Work Sans"/>
        </w:rPr>
        <w:t>Investment risk is elevated due to market uncertainty</w:t>
      </w:r>
    </w:p>
    <w:p w14:paraId="382848F8" w14:textId="77777777" w:rsidR="00AC03F0" w:rsidRDefault="00AC03F0" w:rsidP="00442103">
      <w:pPr>
        <w:rPr>
          <w:rFonts w:ascii="Work Sans" w:hAnsi="Work Sans"/>
        </w:rPr>
      </w:pPr>
    </w:p>
    <w:p w14:paraId="5BBB730D" w14:textId="4B8B4022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This suggests limited capacity for adjustment without intervention.</w:t>
      </w:r>
    </w:p>
    <w:p w14:paraId="41398E04" w14:textId="589B9348" w:rsidR="00442103" w:rsidRPr="00442103" w:rsidRDefault="00442103" w:rsidP="00442103">
      <w:pPr>
        <w:rPr>
          <w:rFonts w:ascii="Work Sans" w:hAnsi="Work Sans"/>
        </w:rPr>
      </w:pPr>
    </w:p>
    <w:p w14:paraId="580A168E" w14:textId="37CFBA17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Standards and Compliance Issues</w:t>
      </w:r>
    </w:p>
    <w:p w14:paraId="255E903A" w14:textId="77777777" w:rsidR="00BB0BD6" w:rsidRPr="00BB0BD6" w:rsidRDefault="00BB0BD6" w:rsidP="00BB0BD6">
      <w:pPr>
        <w:pStyle w:val="ListParagraph"/>
        <w:rPr>
          <w:rFonts w:ascii="Work Sans" w:hAnsi="Work Sans"/>
          <w:u w:val="single"/>
        </w:rPr>
      </w:pPr>
    </w:p>
    <w:p w14:paraId="16101D08" w14:textId="77777777" w:rsidR="00442103" w:rsidRDefault="00442103" w:rsidP="00442103">
      <w:pPr>
        <w:rPr>
          <w:rFonts w:ascii="Work Sans" w:hAnsi="Work Sans"/>
        </w:rPr>
      </w:pPr>
      <w:proofErr w:type="spellStart"/>
      <w:r w:rsidRPr="00442103">
        <w:rPr>
          <w:rFonts w:ascii="Work Sans" w:hAnsi="Work Sans"/>
        </w:rPr>
        <w:t>Sencova</w:t>
      </w:r>
      <w:proofErr w:type="spellEnd"/>
      <w:r w:rsidRPr="00442103">
        <w:rPr>
          <w:rFonts w:ascii="Work Sans" w:hAnsi="Work Sans"/>
        </w:rPr>
        <w:t xml:space="preserve"> has observed imported fabricated steel used in government projects that:</w:t>
      </w:r>
    </w:p>
    <w:p w14:paraId="1DD0B945" w14:textId="77777777" w:rsidR="00DD6312" w:rsidRPr="00442103" w:rsidRDefault="00DD6312" w:rsidP="00442103">
      <w:pPr>
        <w:rPr>
          <w:rFonts w:ascii="Work Sans" w:hAnsi="Work Sans"/>
        </w:rPr>
      </w:pPr>
    </w:p>
    <w:p w14:paraId="03366E69" w14:textId="77777777" w:rsidR="00442103" w:rsidRPr="00442103" w:rsidRDefault="00442103" w:rsidP="00442103">
      <w:pPr>
        <w:numPr>
          <w:ilvl w:val="0"/>
          <w:numId w:val="18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Does not meet CC3 certification requirements</w:t>
      </w:r>
    </w:p>
    <w:p w14:paraId="5A3675F4" w14:textId="77777777" w:rsidR="00442103" w:rsidRDefault="00442103" w:rsidP="00442103">
      <w:pPr>
        <w:numPr>
          <w:ilvl w:val="0"/>
          <w:numId w:val="18"/>
        </w:numPr>
        <w:rPr>
          <w:rFonts w:ascii="Work Sans" w:hAnsi="Work Sans"/>
        </w:rPr>
      </w:pPr>
      <w:r w:rsidRPr="00442103">
        <w:rPr>
          <w:rFonts w:ascii="Work Sans" w:hAnsi="Work Sans"/>
        </w:rPr>
        <w:lastRenderedPageBreak/>
        <w:t>Requires rectification of defects such as weld quality and fabrication errors</w:t>
      </w:r>
    </w:p>
    <w:p w14:paraId="0F2822B9" w14:textId="77777777" w:rsidR="00504F85" w:rsidRPr="00442103" w:rsidRDefault="00504F85" w:rsidP="00504F85">
      <w:pPr>
        <w:ind w:left="720"/>
        <w:rPr>
          <w:rFonts w:ascii="Work Sans" w:hAnsi="Work Sans"/>
        </w:rPr>
      </w:pPr>
    </w:p>
    <w:p w14:paraId="7657FA3D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This raises concerns regarding compliance, safety, and competitive neutrality.</w:t>
      </w:r>
    </w:p>
    <w:p w14:paraId="2827FCE2" w14:textId="636E121D" w:rsidR="00442103" w:rsidRPr="00442103" w:rsidRDefault="00442103" w:rsidP="00442103">
      <w:pPr>
        <w:rPr>
          <w:rFonts w:ascii="Work Sans" w:hAnsi="Work Sans"/>
        </w:rPr>
      </w:pPr>
    </w:p>
    <w:p w14:paraId="211D345C" w14:textId="3EBEB386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Broader Economic and Capability Impacts</w:t>
      </w:r>
    </w:p>
    <w:p w14:paraId="20502C42" w14:textId="77777777" w:rsidR="00BB0BD6" w:rsidRPr="00BB0BD6" w:rsidRDefault="00BB0BD6" w:rsidP="00BB0BD6">
      <w:pPr>
        <w:pStyle w:val="ListParagraph"/>
        <w:rPr>
          <w:rFonts w:ascii="Work Sans" w:hAnsi="Work Sans"/>
          <w:u w:val="single"/>
        </w:rPr>
      </w:pPr>
    </w:p>
    <w:p w14:paraId="786E611F" w14:textId="77777777" w:rsidR="00442103" w:rsidRPr="00442103" w:rsidRDefault="00442103" w:rsidP="00442103">
      <w:pPr>
        <w:numPr>
          <w:ilvl w:val="0"/>
          <w:numId w:val="19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Significant reduction in apprenticeship opportunities</w:t>
      </w:r>
    </w:p>
    <w:p w14:paraId="3D90C8D7" w14:textId="77777777" w:rsidR="00442103" w:rsidRPr="00442103" w:rsidRDefault="00442103" w:rsidP="00442103">
      <w:pPr>
        <w:numPr>
          <w:ilvl w:val="0"/>
          <w:numId w:val="19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 xml:space="preserve">Risk of long-term erosion of </w:t>
      </w:r>
      <w:proofErr w:type="spellStart"/>
      <w:r w:rsidRPr="00442103">
        <w:rPr>
          <w:rFonts w:ascii="Work Sans" w:hAnsi="Work Sans"/>
        </w:rPr>
        <w:t>boilermaking</w:t>
      </w:r>
      <w:proofErr w:type="spellEnd"/>
      <w:r w:rsidRPr="00442103">
        <w:rPr>
          <w:rFonts w:ascii="Work Sans" w:hAnsi="Work Sans"/>
        </w:rPr>
        <w:t xml:space="preserve"> skills</w:t>
      </w:r>
    </w:p>
    <w:p w14:paraId="7675AD34" w14:textId="77777777" w:rsidR="00442103" w:rsidRPr="00442103" w:rsidRDefault="00442103" w:rsidP="00442103">
      <w:pPr>
        <w:numPr>
          <w:ilvl w:val="0"/>
          <w:numId w:val="19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Potential impacts on sovereign capability in construction and related industries</w:t>
      </w:r>
    </w:p>
    <w:p w14:paraId="1B82A093" w14:textId="10B9BE07" w:rsidR="00442103" w:rsidRPr="00442103" w:rsidRDefault="00442103" w:rsidP="00442103">
      <w:pPr>
        <w:rPr>
          <w:rFonts w:ascii="Work Sans" w:hAnsi="Work Sans"/>
        </w:rPr>
      </w:pPr>
    </w:p>
    <w:p w14:paraId="7D56E477" w14:textId="528FC26C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Considerations for Safeguard Measures</w:t>
      </w:r>
    </w:p>
    <w:p w14:paraId="56F6F266" w14:textId="77777777" w:rsidR="00574566" w:rsidRDefault="00574566" w:rsidP="00442103">
      <w:pPr>
        <w:rPr>
          <w:rFonts w:ascii="Work Sans" w:hAnsi="Work Sans"/>
        </w:rPr>
      </w:pPr>
    </w:p>
    <w:p w14:paraId="0987AADC" w14:textId="1BF3119A" w:rsid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The Commission may wish to assess:</w:t>
      </w:r>
    </w:p>
    <w:p w14:paraId="37567E09" w14:textId="77777777" w:rsidR="00504F85" w:rsidRPr="00442103" w:rsidRDefault="00504F85" w:rsidP="00442103">
      <w:pPr>
        <w:rPr>
          <w:rFonts w:ascii="Work Sans" w:hAnsi="Work Sans"/>
        </w:rPr>
      </w:pPr>
    </w:p>
    <w:p w14:paraId="34B276B1" w14:textId="77777777" w:rsidR="00442103" w:rsidRPr="00442103" w:rsidRDefault="00442103" w:rsidP="00442103">
      <w:pPr>
        <w:numPr>
          <w:ilvl w:val="0"/>
          <w:numId w:val="20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Whether injury meets the threshold for serious injury</w:t>
      </w:r>
    </w:p>
    <w:p w14:paraId="3D8023B1" w14:textId="77777777" w:rsidR="00442103" w:rsidRPr="00442103" w:rsidRDefault="00442103" w:rsidP="00442103">
      <w:pPr>
        <w:numPr>
          <w:ilvl w:val="0"/>
          <w:numId w:val="20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Whether imports are increasing in absolute or relative terms</w:t>
      </w:r>
    </w:p>
    <w:p w14:paraId="77E60A66" w14:textId="77777777" w:rsidR="00442103" w:rsidRPr="00442103" w:rsidRDefault="00442103" w:rsidP="00442103">
      <w:pPr>
        <w:numPr>
          <w:ilvl w:val="0"/>
          <w:numId w:val="20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The extent to which safeguards could enable industry adjustment</w:t>
      </w:r>
    </w:p>
    <w:p w14:paraId="4F29E7BC" w14:textId="77777777" w:rsidR="00442103" w:rsidRPr="00442103" w:rsidRDefault="00442103" w:rsidP="00442103">
      <w:pPr>
        <w:numPr>
          <w:ilvl w:val="0"/>
          <w:numId w:val="20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Impacts on downstream industries</w:t>
      </w:r>
    </w:p>
    <w:p w14:paraId="15ABFABB" w14:textId="40BBBDB4" w:rsidR="00442103" w:rsidRPr="00442103" w:rsidRDefault="00442103" w:rsidP="00442103">
      <w:pPr>
        <w:rPr>
          <w:rFonts w:ascii="Work Sans" w:hAnsi="Work Sans"/>
        </w:rPr>
      </w:pPr>
    </w:p>
    <w:p w14:paraId="01BE8CD6" w14:textId="56CFE90A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Possible Policy Responses</w:t>
      </w:r>
    </w:p>
    <w:p w14:paraId="77BADD7C" w14:textId="77777777" w:rsidR="00BB0BD6" w:rsidRPr="00BB0BD6" w:rsidRDefault="00BB0BD6" w:rsidP="00BB0BD6">
      <w:pPr>
        <w:pStyle w:val="ListParagraph"/>
        <w:rPr>
          <w:rFonts w:ascii="Work Sans" w:hAnsi="Work Sans"/>
          <w:u w:val="single"/>
        </w:rPr>
      </w:pPr>
    </w:p>
    <w:p w14:paraId="062DAA5D" w14:textId="77777777" w:rsid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Options for consideration include:</w:t>
      </w:r>
    </w:p>
    <w:p w14:paraId="612146BC" w14:textId="77777777" w:rsidR="00504F85" w:rsidRPr="00442103" w:rsidRDefault="00504F85" w:rsidP="00442103">
      <w:pPr>
        <w:rPr>
          <w:rFonts w:ascii="Work Sans" w:hAnsi="Work Sans"/>
        </w:rPr>
      </w:pPr>
    </w:p>
    <w:p w14:paraId="20ED633E" w14:textId="77777777" w:rsidR="00442103" w:rsidRPr="00442103" w:rsidRDefault="00442103" w:rsidP="00442103">
      <w:pPr>
        <w:numPr>
          <w:ilvl w:val="0"/>
          <w:numId w:val="21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Temporary safeguard measures (e.g. tariffs or quotas)</w:t>
      </w:r>
    </w:p>
    <w:p w14:paraId="4E05077F" w14:textId="77777777" w:rsidR="00442103" w:rsidRPr="00442103" w:rsidRDefault="00442103" w:rsidP="00442103">
      <w:pPr>
        <w:numPr>
          <w:ilvl w:val="0"/>
          <w:numId w:val="21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Stronger enforcement of certification requirements</w:t>
      </w:r>
    </w:p>
    <w:p w14:paraId="31FD76C1" w14:textId="77777777" w:rsidR="00442103" w:rsidRPr="00442103" w:rsidRDefault="00442103" w:rsidP="00442103">
      <w:pPr>
        <w:numPr>
          <w:ilvl w:val="0"/>
          <w:numId w:val="21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Enhanced compliance monitoring of imports</w:t>
      </w:r>
    </w:p>
    <w:p w14:paraId="63C1A393" w14:textId="77777777" w:rsidR="00442103" w:rsidRPr="00442103" w:rsidRDefault="00442103" w:rsidP="00442103">
      <w:pPr>
        <w:numPr>
          <w:ilvl w:val="0"/>
          <w:numId w:val="21"/>
        </w:numPr>
        <w:tabs>
          <w:tab w:val="num" w:pos="720"/>
        </w:tabs>
        <w:rPr>
          <w:rFonts w:ascii="Work Sans" w:hAnsi="Work Sans"/>
        </w:rPr>
      </w:pPr>
      <w:r w:rsidRPr="00442103">
        <w:rPr>
          <w:rFonts w:ascii="Work Sans" w:hAnsi="Work Sans"/>
        </w:rPr>
        <w:t>Measures to support industry investment and workforce development</w:t>
      </w:r>
    </w:p>
    <w:p w14:paraId="16AD39F6" w14:textId="274100CA" w:rsidR="00442103" w:rsidRPr="00442103" w:rsidRDefault="00442103" w:rsidP="00442103">
      <w:pPr>
        <w:rPr>
          <w:rFonts w:ascii="Work Sans" w:hAnsi="Work Sans"/>
        </w:rPr>
      </w:pPr>
    </w:p>
    <w:p w14:paraId="0E955A01" w14:textId="329338FC" w:rsidR="00442103" w:rsidRPr="00BB0BD6" w:rsidRDefault="00442103" w:rsidP="00AC03F0">
      <w:pPr>
        <w:pStyle w:val="ListParagraph"/>
        <w:numPr>
          <w:ilvl w:val="0"/>
          <w:numId w:val="23"/>
        </w:numPr>
        <w:ind w:hanging="720"/>
        <w:rPr>
          <w:rFonts w:ascii="Work Sans" w:hAnsi="Work Sans"/>
          <w:u w:val="single"/>
        </w:rPr>
      </w:pPr>
      <w:r w:rsidRPr="00BB0BD6">
        <w:rPr>
          <w:rFonts w:ascii="Work Sans" w:hAnsi="Work Sans"/>
          <w:u w:val="single"/>
        </w:rPr>
        <w:t>Conclusion</w:t>
      </w:r>
    </w:p>
    <w:p w14:paraId="0A63D29B" w14:textId="77777777" w:rsidR="00BB0BD6" w:rsidRPr="00BB0BD6" w:rsidRDefault="00BB0BD6" w:rsidP="00BB0BD6">
      <w:pPr>
        <w:pStyle w:val="ListParagraph"/>
        <w:rPr>
          <w:rFonts w:ascii="Work Sans" w:hAnsi="Work Sans"/>
          <w:u w:val="single"/>
        </w:rPr>
      </w:pPr>
    </w:p>
    <w:p w14:paraId="12AA7E5B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There is clear evidence of declining output, employment, and market share within the domestic fabricated structural steel industry.</w:t>
      </w:r>
    </w:p>
    <w:p w14:paraId="31BE200F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t>The scale of price undercutting by imports, combined with limited capacity for industry adjustment, suggests that without intervention or improved enforcement of standards, further contraction is likely.</w:t>
      </w:r>
    </w:p>
    <w:p w14:paraId="65E09F5C" w14:textId="77777777" w:rsidR="00442103" w:rsidRPr="00442103" w:rsidRDefault="00442103" w:rsidP="00442103">
      <w:pPr>
        <w:rPr>
          <w:rFonts w:ascii="Work Sans" w:hAnsi="Work Sans"/>
        </w:rPr>
      </w:pPr>
      <w:r w:rsidRPr="00442103">
        <w:rPr>
          <w:rFonts w:ascii="Work Sans" w:hAnsi="Work Sans"/>
        </w:rPr>
        <w:lastRenderedPageBreak/>
        <w:t>This submission is provided to assist the Productivity Commission in its assessment of whether safeguard measures, or alternative responses, are warranted.</w:t>
      </w:r>
    </w:p>
    <w:sectPr w:rsidR="00442103" w:rsidRPr="00442103" w:rsidSect="006E291F">
      <w:headerReference w:type="default" r:id="rId11"/>
      <w:headerReference w:type="first" r:id="rId12"/>
      <w:pgSz w:w="11900" w:h="16840"/>
      <w:pgMar w:top="2552" w:right="1531" w:bottom="255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7D6E" w14:textId="77777777" w:rsidR="00165990" w:rsidRDefault="00165990" w:rsidP="00E1615C">
      <w:r>
        <w:separator/>
      </w:r>
    </w:p>
  </w:endnote>
  <w:endnote w:type="continuationSeparator" w:id="0">
    <w:p w14:paraId="2F879F9C" w14:textId="77777777" w:rsidR="00165990" w:rsidRDefault="00165990" w:rsidP="00E1615C">
      <w:r>
        <w:continuationSeparator/>
      </w:r>
    </w:p>
  </w:endnote>
  <w:endnote w:type="continuationNotice" w:id="1">
    <w:p w14:paraId="67632330" w14:textId="77777777" w:rsidR="00165990" w:rsidRDefault="00165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577F" w14:textId="77777777" w:rsidR="00165990" w:rsidRDefault="00165990" w:rsidP="00E1615C">
      <w:r>
        <w:separator/>
      </w:r>
    </w:p>
  </w:footnote>
  <w:footnote w:type="continuationSeparator" w:id="0">
    <w:p w14:paraId="60ACEEEE" w14:textId="77777777" w:rsidR="00165990" w:rsidRDefault="00165990" w:rsidP="00E1615C">
      <w:r>
        <w:continuationSeparator/>
      </w:r>
    </w:p>
  </w:footnote>
  <w:footnote w:type="continuationNotice" w:id="1">
    <w:p w14:paraId="56EC7533" w14:textId="77777777" w:rsidR="00165990" w:rsidRDefault="00165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DA24" w14:textId="17D10627" w:rsidR="00E1615C" w:rsidRDefault="006E29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8E5C243" wp14:editId="315A51BE">
          <wp:simplePos x="0" y="0"/>
          <wp:positionH relativeFrom="page">
            <wp:posOffset>0</wp:posOffset>
          </wp:positionH>
          <wp:positionV relativeFrom="page">
            <wp:posOffset>-3175</wp:posOffset>
          </wp:positionV>
          <wp:extent cx="7560000" cy="10697839"/>
          <wp:effectExtent l="0" t="0" r="9525" b="0"/>
          <wp:wrapNone/>
          <wp:docPr id="2" name="Picture 2" descr="Macintosh HD:Users:pauleverest:Desktop: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auleverest:Desktop:b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8248" w14:textId="38F11E33" w:rsidR="00E1615C" w:rsidRDefault="006E29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529CFF3" wp14:editId="77C78306">
          <wp:simplePos x="0" y="0"/>
          <wp:positionH relativeFrom="page">
            <wp:posOffset>241</wp:posOffset>
          </wp:positionH>
          <wp:positionV relativeFrom="page">
            <wp:posOffset>0</wp:posOffset>
          </wp:positionV>
          <wp:extent cx="7559192" cy="10697210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auleverest:Desktop:fr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192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B"/>
    <w:multiLevelType w:val="multilevel"/>
    <w:tmpl w:val="0BE8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92B06"/>
    <w:multiLevelType w:val="multilevel"/>
    <w:tmpl w:val="7A1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4BB5"/>
    <w:multiLevelType w:val="multilevel"/>
    <w:tmpl w:val="27E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03A36"/>
    <w:multiLevelType w:val="multilevel"/>
    <w:tmpl w:val="4AC28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4286A"/>
    <w:multiLevelType w:val="multilevel"/>
    <w:tmpl w:val="3CF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C2D26"/>
    <w:multiLevelType w:val="multilevel"/>
    <w:tmpl w:val="A86824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77E66"/>
    <w:multiLevelType w:val="multilevel"/>
    <w:tmpl w:val="ABC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E0F5A"/>
    <w:multiLevelType w:val="multilevel"/>
    <w:tmpl w:val="5E94B1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C227D"/>
    <w:multiLevelType w:val="multilevel"/>
    <w:tmpl w:val="4D287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4917553"/>
    <w:multiLevelType w:val="multilevel"/>
    <w:tmpl w:val="815E7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756F2"/>
    <w:multiLevelType w:val="hybridMultilevel"/>
    <w:tmpl w:val="D8DAD6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FEA"/>
    <w:multiLevelType w:val="multilevel"/>
    <w:tmpl w:val="27C6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35A5A"/>
    <w:multiLevelType w:val="multilevel"/>
    <w:tmpl w:val="145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E7D36"/>
    <w:multiLevelType w:val="multilevel"/>
    <w:tmpl w:val="C35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C34FA"/>
    <w:multiLevelType w:val="multilevel"/>
    <w:tmpl w:val="44A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64F5B"/>
    <w:multiLevelType w:val="multilevel"/>
    <w:tmpl w:val="1778D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67847"/>
    <w:multiLevelType w:val="multilevel"/>
    <w:tmpl w:val="40905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A75A8"/>
    <w:multiLevelType w:val="hybridMultilevel"/>
    <w:tmpl w:val="BF6055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A8B"/>
    <w:multiLevelType w:val="multilevel"/>
    <w:tmpl w:val="C3E6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76AF7"/>
    <w:multiLevelType w:val="multilevel"/>
    <w:tmpl w:val="C812DB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31621"/>
    <w:multiLevelType w:val="multilevel"/>
    <w:tmpl w:val="5E94D0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2223E"/>
    <w:multiLevelType w:val="multilevel"/>
    <w:tmpl w:val="AF2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86AE7"/>
    <w:multiLevelType w:val="multilevel"/>
    <w:tmpl w:val="DF7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F38D5"/>
    <w:multiLevelType w:val="multilevel"/>
    <w:tmpl w:val="C1268900"/>
    <w:lvl w:ilvl="0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563B5"/>
    <w:multiLevelType w:val="multilevel"/>
    <w:tmpl w:val="C52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65CB0"/>
    <w:multiLevelType w:val="multilevel"/>
    <w:tmpl w:val="3E7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759818">
    <w:abstractNumId w:val="10"/>
  </w:num>
  <w:num w:numId="2" w16cid:durableId="686173962">
    <w:abstractNumId w:val="0"/>
  </w:num>
  <w:num w:numId="3" w16cid:durableId="502863631">
    <w:abstractNumId w:val="17"/>
  </w:num>
  <w:num w:numId="4" w16cid:durableId="2111731667">
    <w:abstractNumId w:val="25"/>
  </w:num>
  <w:num w:numId="5" w16cid:durableId="205412441">
    <w:abstractNumId w:val="11"/>
  </w:num>
  <w:num w:numId="6" w16cid:durableId="1735346866">
    <w:abstractNumId w:val="6"/>
  </w:num>
  <w:num w:numId="7" w16cid:durableId="607666659">
    <w:abstractNumId w:val="22"/>
  </w:num>
  <w:num w:numId="8" w16cid:durableId="2034383664">
    <w:abstractNumId w:val="20"/>
  </w:num>
  <w:num w:numId="9" w16cid:durableId="21592886">
    <w:abstractNumId w:val="19"/>
  </w:num>
  <w:num w:numId="10" w16cid:durableId="666322189">
    <w:abstractNumId w:val="1"/>
  </w:num>
  <w:num w:numId="11" w16cid:durableId="901985908">
    <w:abstractNumId w:val="18"/>
  </w:num>
  <w:num w:numId="12" w16cid:durableId="785541040">
    <w:abstractNumId w:val="14"/>
  </w:num>
  <w:num w:numId="13" w16cid:durableId="1495342438">
    <w:abstractNumId w:val="4"/>
  </w:num>
  <w:num w:numId="14" w16cid:durableId="949625413">
    <w:abstractNumId w:val="2"/>
  </w:num>
  <w:num w:numId="15" w16cid:durableId="1242642880">
    <w:abstractNumId w:val="24"/>
  </w:num>
  <w:num w:numId="16" w16cid:durableId="1492215883">
    <w:abstractNumId w:val="13"/>
  </w:num>
  <w:num w:numId="17" w16cid:durableId="409498608">
    <w:abstractNumId w:val="21"/>
  </w:num>
  <w:num w:numId="18" w16cid:durableId="1565751162">
    <w:abstractNumId w:val="5"/>
  </w:num>
  <w:num w:numId="19" w16cid:durableId="227034333">
    <w:abstractNumId w:val="15"/>
  </w:num>
  <w:num w:numId="20" w16cid:durableId="885138282">
    <w:abstractNumId w:val="9"/>
  </w:num>
  <w:num w:numId="21" w16cid:durableId="59064218">
    <w:abstractNumId w:val="16"/>
  </w:num>
  <w:num w:numId="22" w16cid:durableId="398140168">
    <w:abstractNumId w:val="12"/>
  </w:num>
  <w:num w:numId="23" w16cid:durableId="1701273412">
    <w:abstractNumId w:val="8"/>
  </w:num>
  <w:num w:numId="24" w16cid:durableId="51580313">
    <w:abstractNumId w:val="23"/>
  </w:num>
  <w:num w:numId="25" w16cid:durableId="2088108489">
    <w:abstractNumId w:val="3"/>
  </w:num>
  <w:num w:numId="26" w16cid:durableId="883785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5C"/>
    <w:rsid w:val="000218BE"/>
    <w:rsid w:val="000462D7"/>
    <w:rsid w:val="000A231F"/>
    <w:rsid w:val="000B32C8"/>
    <w:rsid w:val="000C6C49"/>
    <w:rsid w:val="000D6581"/>
    <w:rsid w:val="000E0387"/>
    <w:rsid w:val="0012539E"/>
    <w:rsid w:val="00165990"/>
    <w:rsid w:val="001F7530"/>
    <w:rsid w:val="00212070"/>
    <w:rsid w:val="002169C9"/>
    <w:rsid w:val="00220D7F"/>
    <w:rsid w:val="00236405"/>
    <w:rsid w:val="002428FB"/>
    <w:rsid w:val="002544EC"/>
    <w:rsid w:val="002638F0"/>
    <w:rsid w:val="002C3F02"/>
    <w:rsid w:val="002C5FAF"/>
    <w:rsid w:val="002E0273"/>
    <w:rsid w:val="003016DF"/>
    <w:rsid w:val="00363D0E"/>
    <w:rsid w:val="00381967"/>
    <w:rsid w:val="00392A68"/>
    <w:rsid w:val="003A7520"/>
    <w:rsid w:val="003E13FC"/>
    <w:rsid w:val="003E1C0B"/>
    <w:rsid w:val="003F0BE8"/>
    <w:rsid w:val="003F220B"/>
    <w:rsid w:val="00416187"/>
    <w:rsid w:val="00442103"/>
    <w:rsid w:val="00481B46"/>
    <w:rsid w:val="00485F4A"/>
    <w:rsid w:val="004E2CEF"/>
    <w:rsid w:val="00504F85"/>
    <w:rsid w:val="005164BD"/>
    <w:rsid w:val="00574566"/>
    <w:rsid w:val="0059135C"/>
    <w:rsid w:val="00591D94"/>
    <w:rsid w:val="005C5A32"/>
    <w:rsid w:val="005C666E"/>
    <w:rsid w:val="005E017A"/>
    <w:rsid w:val="00611BA1"/>
    <w:rsid w:val="00640971"/>
    <w:rsid w:val="0064493A"/>
    <w:rsid w:val="006C41A6"/>
    <w:rsid w:val="006C72E9"/>
    <w:rsid w:val="006D53F4"/>
    <w:rsid w:val="006E291F"/>
    <w:rsid w:val="006F1864"/>
    <w:rsid w:val="00796D2A"/>
    <w:rsid w:val="007A1507"/>
    <w:rsid w:val="007A460F"/>
    <w:rsid w:val="007B62D1"/>
    <w:rsid w:val="0081470E"/>
    <w:rsid w:val="00823FBD"/>
    <w:rsid w:val="00862D4E"/>
    <w:rsid w:val="00863B3D"/>
    <w:rsid w:val="008930BB"/>
    <w:rsid w:val="008A5EB4"/>
    <w:rsid w:val="008B375F"/>
    <w:rsid w:val="008B66F7"/>
    <w:rsid w:val="008E3701"/>
    <w:rsid w:val="008F4335"/>
    <w:rsid w:val="009067EB"/>
    <w:rsid w:val="00950DE7"/>
    <w:rsid w:val="00960F71"/>
    <w:rsid w:val="00975E2F"/>
    <w:rsid w:val="00990C17"/>
    <w:rsid w:val="009A0414"/>
    <w:rsid w:val="009B577F"/>
    <w:rsid w:val="009B787B"/>
    <w:rsid w:val="009F57ED"/>
    <w:rsid w:val="00A04BB7"/>
    <w:rsid w:val="00A05E19"/>
    <w:rsid w:val="00A139B4"/>
    <w:rsid w:val="00A20DD0"/>
    <w:rsid w:val="00A35582"/>
    <w:rsid w:val="00AA3F5F"/>
    <w:rsid w:val="00AC03F0"/>
    <w:rsid w:val="00AD7075"/>
    <w:rsid w:val="00B20BD5"/>
    <w:rsid w:val="00B22192"/>
    <w:rsid w:val="00B35188"/>
    <w:rsid w:val="00B46EB1"/>
    <w:rsid w:val="00B54F3D"/>
    <w:rsid w:val="00B7524D"/>
    <w:rsid w:val="00B821F2"/>
    <w:rsid w:val="00B826EE"/>
    <w:rsid w:val="00B86350"/>
    <w:rsid w:val="00BA02CF"/>
    <w:rsid w:val="00BB0BD6"/>
    <w:rsid w:val="00BD476A"/>
    <w:rsid w:val="00C752E5"/>
    <w:rsid w:val="00C75F24"/>
    <w:rsid w:val="00C764C0"/>
    <w:rsid w:val="00C829FC"/>
    <w:rsid w:val="00CF3589"/>
    <w:rsid w:val="00CF3B75"/>
    <w:rsid w:val="00D0626A"/>
    <w:rsid w:val="00D23E24"/>
    <w:rsid w:val="00D57CA4"/>
    <w:rsid w:val="00DA22E2"/>
    <w:rsid w:val="00DD6312"/>
    <w:rsid w:val="00E10D13"/>
    <w:rsid w:val="00E136AE"/>
    <w:rsid w:val="00E1615C"/>
    <w:rsid w:val="00E40448"/>
    <w:rsid w:val="00E462F3"/>
    <w:rsid w:val="00E658AA"/>
    <w:rsid w:val="00E70CD8"/>
    <w:rsid w:val="00E93DB7"/>
    <w:rsid w:val="00E96DB1"/>
    <w:rsid w:val="00EA134A"/>
    <w:rsid w:val="00EC546A"/>
    <w:rsid w:val="00ED4B85"/>
    <w:rsid w:val="00EE251F"/>
    <w:rsid w:val="00F3225A"/>
    <w:rsid w:val="00F674B4"/>
    <w:rsid w:val="00FA37C7"/>
    <w:rsid w:val="00FC2188"/>
    <w:rsid w:val="00FC7175"/>
    <w:rsid w:val="00FE31A0"/>
    <w:rsid w:val="00FF35DF"/>
    <w:rsid w:val="00FF71C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38FD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E291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2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2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1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615C"/>
  </w:style>
  <w:style w:type="paragraph" w:styleId="Footer">
    <w:name w:val="footer"/>
    <w:basedOn w:val="Normal"/>
    <w:link w:val="FooterChar"/>
    <w:unhideWhenUsed/>
    <w:rsid w:val="00E16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615C"/>
  </w:style>
  <w:style w:type="paragraph" w:styleId="BalloonText">
    <w:name w:val="Balloon Text"/>
    <w:basedOn w:val="Normal"/>
    <w:link w:val="BalloonTextChar"/>
    <w:uiPriority w:val="99"/>
    <w:semiHidden/>
    <w:unhideWhenUsed/>
    <w:rsid w:val="00E161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5C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E291F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29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E291F"/>
    <w:rPr>
      <w:b/>
      <w:bCs/>
    </w:rPr>
  </w:style>
  <w:style w:type="character" w:customStyle="1" w:styleId="apple-converted-space">
    <w:name w:val="apple-converted-space"/>
    <w:basedOn w:val="DefaultParagraphFont"/>
    <w:rsid w:val="006E291F"/>
  </w:style>
  <w:style w:type="character" w:customStyle="1" w:styleId="Heading1Char">
    <w:name w:val="Heading 1 Char"/>
    <w:basedOn w:val="DefaultParagraphFont"/>
    <w:link w:val="Heading1"/>
    <w:uiPriority w:val="9"/>
    <w:rsid w:val="005C6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493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A22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2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257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48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19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55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291b7-ff80-4fec-be10-c7930c11c76d">
      <Value>1</Value>
    </TaxCatchAll>
    <i0f84bba906045b4af568ee102a52dcb xmlns="84a291b7-ff80-4fec-be10-c7930c11c7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5418C5BD8924CBC7EC8DF62A8D933" ma:contentTypeVersion="6" ma:contentTypeDescription="Create a new document." ma:contentTypeScope="" ma:versionID="0f7371c26da8392d9177e2be7bd92abd">
  <xsd:schema xmlns:xsd="http://www.w3.org/2001/XMLSchema" xmlns:xs="http://www.w3.org/2001/XMLSchema" xmlns:p="http://schemas.microsoft.com/office/2006/metadata/properties" xmlns:ns2="84a291b7-ff80-4fec-be10-c7930c11c76d" xmlns:ns3="24dd48c3-b996-40bb-a15e-8657ae8ff822" targetNamespace="http://schemas.microsoft.com/office/2006/metadata/properties" ma:root="true" ma:fieldsID="352bba556560e4d0eb8c280e9a5eb4f1" ns2:_="" ns3:_="">
    <xsd:import namespace="84a291b7-ff80-4fec-be10-c7930c11c76d"/>
    <xsd:import namespace="24dd48c3-b996-40bb-a15e-8657ae8ff822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1b7-ff80-4fec-be10-c7930c11c76d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731004-7d3f-481d-903d-74197f59a9f6}" ma:internalName="TaxCatchAll" ma:showField="CatchAllData" ma:web="84a291b7-ff80-4fec-be10-c7930c11c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48c3-b996-40bb-a15e-8657ae8f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F60F2-E013-461B-8C86-D08293D7774E}">
  <ds:schemaRefs>
    <ds:schemaRef ds:uri="http://schemas.microsoft.com/office/2006/metadata/properties"/>
    <ds:schemaRef ds:uri="http://schemas.microsoft.com/office/infopath/2007/PartnerControls"/>
    <ds:schemaRef ds:uri="84a291b7-ff80-4fec-be10-c7930c11c76d"/>
  </ds:schemaRefs>
</ds:datastoreItem>
</file>

<file path=customXml/itemProps2.xml><?xml version="1.0" encoding="utf-8"?>
<ds:datastoreItem xmlns:ds="http://schemas.openxmlformats.org/officeDocument/2006/customXml" ds:itemID="{750B8F27-ACE2-4690-B320-43A82E0F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1b7-ff80-4fec-be10-c7930c11c76d"/>
    <ds:schemaRef ds:uri="24dd48c3-b996-40bb-a15e-8657ae8f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270C9-E342-45B1-83B0-E7FF17D3E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F25A8-078B-4E0F-A8CF-5C2830220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963</Words>
  <Characters>6053</Characters>
  <Application>Microsoft Office Word</Application>
  <DocSecurity>0</DocSecurity>
  <Lines>208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026 - Sencova Steel Fabrication - Fabricated structural steel safeguards - Public inquiry</vt:lpstr>
    </vt:vector>
  </TitlesOfParts>
  <Company>Sencova Steel Fabrication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026 - Sencova Steel Fabrication - Fabricated structural steel safeguards - Public inquiry</dc:title>
  <dc:subject/>
  <dc:creator>Sencova Steel Fabrication</dc:creator>
  <cp:keywords/>
  <dc:description/>
  <cp:lastModifiedBy>Tully Lampasona</cp:lastModifiedBy>
  <cp:revision>6</cp:revision>
  <cp:lastPrinted>2017-02-13T04:07:00Z</cp:lastPrinted>
  <dcterms:created xsi:type="dcterms:W3CDTF">2026-04-20T01:33:00Z</dcterms:created>
  <dcterms:modified xsi:type="dcterms:W3CDTF">2026-04-28T06:15:00Z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0x0101006845418C5BD8924CBC7EC8DF62A8D933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docLang">
    <vt:lpwstr>en</vt:lpwstr>
  </property>
  <property fmtid="{D5CDD505-2E9C-101B-9397-08002B2CF9AE}" pid="6" name="Publicationconsent">
    <vt:lpwstr>Public with attribution</vt:lpwstr>
  </property>
  <property fmtid="{D5CDD505-2E9C-101B-9397-08002B2CF9AE}" pid="7" name="Published">
    <vt:bool>false</vt:bool>
  </property>
  <property fmtid="{D5CDD505-2E9C-101B-9397-08002B2CF9AE}" pid="8" name="Publishfile?">
    <vt:lpwstr>Publish with attribution</vt:lpwstr>
  </property>
  <property fmtid="{D5CDD505-2E9C-101B-9397-08002B2CF9AE}" pid="9" name="Redactions">
    <vt:lpwstr>No</vt:lpwstr>
  </property>
  <property fmtid="{D5CDD505-2E9C-101B-9397-08002B2CF9AE}" pid="10" name="FileType">
    <vt:lpwstr>Submission</vt:lpwstr>
  </property>
  <property fmtid="{D5CDD505-2E9C-101B-9397-08002B2CF9AE}" pid="11" name="SharePointListItemID">
    <vt:r8>67</vt:r8>
  </property>
  <property fmtid="{D5CDD505-2E9C-101B-9397-08002B2CF9AE}" pid="12" name="Detailsofrequiredredactions">
    <vt:lpwstr>None required</vt:lpwstr>
  </property>
  <property fmtid="{D5CDD505-2E9C-101B-9397-08002B2CF9AE}" pid="13" name="MSIP_Label_c1f2b1ce-4212-46db-a901-dd8453f57141_Enabled">
    <vt:lpwstr>true</vt:lpwstr>
  </property>
  <property fmtid="{D5CDD505-2E9C-101B-9397-08002B2CF9AE}" pid="14" name="MSIP_Label_c1f2b1ce-4212-46db-a901-dd8453f57141_SetDate">
    <vt:lpwstr>2026-04-28T06:09:15Z</vt:lpwstr>
  </property>
  <property fmtid="{D5CDD505-2E9C-101B-9397-08002B2CF9AE}" pid="15" name="MSIP_Label_c1f2b1ce-4212-46db-a901-dd8453f57141_Method">
    <vt:lpwstr>Privileged</vt:lpwstr>
  </property>
  <property fmtid="{D5CDD505-2E9C-101B-9397-08002B2CF9AE}" pid="16" name="MSIP_Label_c1f2b1ce-4212-46db-a901-dd8453f57141_Name">
    <vt:lpwstr>Publish</vt:lpwstr>
  </property>
  <property fmtid="{D5CDD505-2E9C-101B-9397-08002B2CF9AE}" pid="17" name="MSIP_Label_c1f2b1ce-4212-46db-a901-dd8453f57141_SiteId">
    <vt:lpwstr>29f9330b-c0fe-4244-830e-ba9f275d6c34</vt:lpwstr>
  </property>
  <property fmtid="{D5CDD505-2E9C-101B-9397-08002B2CF9AE}" pid="18" name="MSIP_Label_c1f2b1ce-4212-46db-a901-dd8453f57141_ActionId">
    <vt:lpwstr>0a68ade3-8d50-401e-9662-0fed6b197c6e</vt:lpwstr>
  </property>
  <property fmtid="{D5CDD505-2E9C-101B-9397-08002B2CF9AE}" pid="19" name="MSIP_Label_c1f2b1ce-4212-46db-a901-dd8453f57141_ContentBits">
    <vt:lpwstr>0</vt:lpwstr>
  </property>
  <property fmtid="{D5CDD505-2E9C-101B-9397-08002B2CF9AE}" pid="20" name="MSIP_Label_c1f2b1ce-4212-46db-a901-dd8453f57141_Tag">
    <vt:lpwstr>10, 0, 1, 1</vt:lpwstr>
  </property>
</Properties>
</file>