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341F7" w14:textId="5AE3B5A9" w:rsidR="00185015" w:rsidRPr="00F9362C" w:rsidRDefault="00664E55" w:rsidP="001F43AC">
      <w:pPr>
        <w:spacing w:before="120"/>
        <w:rPr>
          <w:rFonts w:ascii="Lato" w:eastAsia="Lato" w:hAnsi="Lato" w:cs="Lato"/>
          <w:b/>
          <w:bCs/>
          <w:color w:val="404041"/>
          <w:sz w:val="28"/>
          <w:szCs w:val="28"/>
        </w:rPr>
      </w:pPr>
      <w:r w:rsidRPr="00F9362C">
        <w:rPr>
          <w:rFonts w:ascii="Lato" w:eastAsia="Lato" w:hAnsi="Lato" w:cs="Lato"/>
          <w:b/>
          <w:bCs/>
          <w:color w:val="404041"/>
          <w:sz w:val="28"/>
          <w:szCs w:val="28"/>
        </w:rPr>
        <w:t xml:space="preserve">Water Research Australia </w:t>
      </w:r>
      <w:r w:rsidR="00A134ED" w:rsidRPr="00F9362C">
        <w:rPr>
          <w:rFonts w:ascii="Lato" w:eastAsia="Lato" w:hAnsi="Lato" w:cs="Lato"/>
          <w:b/>
          <w:bCs/>
          <w:color w:val="404041"/>
          <w:sz w:val="28"/>
          <w:szCs w:val="28"/>
        </w:rPr>
        <w:t>s</w:t>
      </w:r>
      <w:r w:rsidRPr="00F9362C">
        <w:rPr>
          <w:rFonts w:ascii="Lato" w:eastAsia="Lato" w:hAnsi="Lato" w:cs="Lato"/>
          <w:b/>
          <w:bCs/>
          <w:color w:val="404041"/>
          <w:sz w:val="28"/>
          <w:szCs w:val="28"/>
        </w:rPr>
        <w:t xml:space="preserve">ubmission to the </w:t>
      </w:r>
      <w:r w:rsidR="00A134ED" w:rsidRPr="00F9362C">
        <w:rPr>
          <w:rFonts w:ascii="Lato" w:eastAsia="Lato" w:hAnsi="Lato" w:cs="Lato"/>
          <w:b/>
          <w:bCs/>
          <w:color w:val="404041"/>
          <w:sz w:val="28"/>
          <w:szCs w:val="28"/>
        </w:rPr>
        <w:t xml:space="preserve">National Water Reform 2026 </w:t>
      </w:r>
      <w:r w:rsidR="00F9362C">
        <w:rPr>
          <w:rFonts w:ascii="Lato" w:eastAsia="Lato" w:hAnsi="Lato" w:cs="Lato"/>
          <w:b/>
          <w:bCs/>
          <w:color w:val="404041"/>
          <w:sz w:val="28"/>
          <w:szCs w:val="28"/>
        </w:rPr>
        <w:t>Inquiry</w:t>
      </w:r>
    </w:p>
    <w:p w14:paraId="47EBF38D" w14:textId="77777777" w:rsidR="000363B3" w:rsidRDefault="000363B3" w:rsidP="001F43AC">
      <w:pPr>
        <w:spacing w:before="120"/>
      </w:pPr>
    </w:p>
    <w:p w14:paraId="2CEDE3D1" w14:textId="77777777" w:rsidR="00A3768C" w:rsidRDefault="00A3768C" w:rsidP="001F43AC">
      <w:pPr>
        <w:spacing w:before="120"/>
      </w:pPr>
    </w:p>
    <w:p w14:paraId="7613239C" w14:textId="77777777" w:rsidR="007453B1" w:rsidRDefault="007453B1" w:rsidP="007453B1">
      <w:pPr>
        <w:spacing w:before="120"/>
        <w:rPr>
          <w:b/>
          <w:bCs/>
        </w:rPr>
      </w:pPr>
      <w:r w:rsidRPr="00D0377E">
        <w:rPr>
          <w:b/>
          <w:bCs/>
        </w:rPr>
        <w:t>Summary - Key points to note:</w:t>
      </w:r>
    </w:p>
    <w:p w14:paraId="5F76CCC7" w14:textId="77777777" w:rsidR="00963ED6" w:rsidRPr="00EF0FCA" w:rsidRDefault="00963ED6" w:rsidP="007453B1">
      <w:pPr>
        <w:spacing w:before="120"/>
        <w:rPr>
          <w:b/>
          <w:bCs/>
        </w:rPr>
      </w:pPr>
    </w:p>
    <w:p w14:paraId="574A03CB" w14:textId="3D2D17FC" w:rsidR="007453B1" w:rsidRPr="00D0377E" w:rsidRDefault="007453B1" w:rsidP="007453B1">
      <w:pPr>
        <w:pStyle w:val="ListParagraph"/>
        <w:numPr>
          <w:ilvl w:val="0"/>
          <w:numId w:val="13"/>
        </w:numPr>
        <w:rPr>
          <w:sz w:val="24"/>
          <w:szCs w:val="24"/>
        </w:rPr>
      </w:pPr>
      <w:r w:rsidRPr="00D0377E">
        <w:rPr>
          <w:sz w:val="24"/>
          <w:szCs w:val="24"/>
        </w:rPr>
        <w:t>Science</w:t>
      </w:r>
      <w:r w:rsidR="00874607">
        <w:rPr>
          <w:sz w:val="24"/>
          <w:szCs w:val="24"/>
        </w:rPr>
        <w:t xml:space="preserve"> and the knowledge generated by research</w:t>
      </w:r>
      <w:r w:rsidRPr="00D0377E">
        <w:rPr>
          <w:sz w:val="24"/>
          <w:szCs w:val="24"/>
        </w:rPr>
        <w:t xml:space="preserve"> is key to </w:t>
      </w:r>
      <w:r>
        <w:rPr>
          <w:sz w:val="24"/>
          <w:szCs w:val="24"/>
        </w:rPr>
        <w:t>an</w:t>
      </w:r>
      <w:r w:rsidRPr="00D0377E">
        <w:rPr>
          <w:sz w:val="24"/>
          <w:szCs w:val="24"/>
        </w:rPr>
        <w:t xml:space="preserve"> informed, </w:t>
      </w:r>
      <w:r>
        <w:rPr>
          <w:sz w:val="24"/>
          <w:szCs w:val="24"/>
        </w:rPr>
        <w:t xml:space="preserve">prepared, </w:t>
      </w:r>
      <w:r w:rsidRPr="00D0377E">
        <w:rPr>
          <w:sz w:val="24"/>
          <w:szCs w:val="24"/>
        </w:rPr>
        <w:t>secure, resilient</w:t>
      </w:r>
      <w:r w:rsidR="007E0F8D">
        <w:rPr>
          <w:sz w:val="24"/>
          <w:szCs w:val="24"/>
        </w:rPr>
        <w:t>,</w:t>
      </w:r>
      <w:r w:rsidRPr="00D0377E">
        <w:rPr>
          <w:sz w:val="24"/>
          <w:szCs w:val="24"/>
        </w:rPr>
        <w:t xml:space="preserve"> and sustainable water services industry.</w:t>
      </w:r>
    </w:p>
    <w:p w14:paraId="4D8060C8" w14:textId="705F1384" w:rsidR="007453B1" w:rsidRPr="00D0377E" w:rsidRDefault="007453B1" w:rsidP="007453B1">
      <w:pPr>
        <w:pStyle w:val="ListParagraph"/>
        <w:numPr>
          <w:ilvl w:val="0"/>
          <w:numId w:val="13"/>
        </w:numPr>
        <w:spacing w:before="120" w:after="0" w:line="240" w:lineRule="auto"/>
        <w:rPr>
          <w:sz w:val="24"/>
          <w:szCs w:val="24"/>
        </w:rPr>
      </w:pPr>
      <w:r w:rsidRPr="00D0377E">
        <w:rPr>
          <w:sz w:val="24"/>
          <w:szCs w:val="24"/>
        </w:rPr>
        <w:t xml:space="preserve">A targeted </w:t>
      </w:r>
      <w:r w:rsidR="0010457A">
        <w:rPr>
          <w:sz w:val="24"/>
          <w:szCs w:val="24"/>
        </w:rPr>
        <w:t>G</w:t>
      </w:r>
      <w:r w:rsidRPr="00D0377E">
        <w:rPr>
          <w:sz w:val="24"/>
          <w:szCs w:val="24"/>
        </w:rPr>
        <w:t xml:space="preserve">ap </w:t>
      </w:r>
      <w:r w:rsidR="0010457A">
        <w:rPr>
          <w:sz w:val="24"/>
          <w:szCs w:val="24"/>
        </w:rPr>
        <w:t>A</w:t>
      </w:r>
      <w:r w:rsidRPr="00D0377E">
        <w:rPr>
          <w:sz w:val="24"/>
          <w:szCs w:val="24"/>
        </w:rPr>
        <w:t xml:space="preserve">nalysis across 22 key legislative, regulatory and policy instruments in the Australian water landscape was undertaken in preparation for the input into </w:t>
      </w:r>
      <w:r>
        <w:rPr>
          <w:sz w:val="24"/>
          <w:szCs w:val="24"/>
        </w:rPr>
        <w:t>various review processes in 2026</w:t>
      </w:r>
      <w:r w:rsidRPr="00D0377E">
        <w:rPr>
          <w:sz w:val="24"/>
          <w:szCs w:val="24"/>
        </w:rPr>
        <w:t>.</w:t>
      </w:r>
    </w:p>
    <w:p w14:paraId="516557A5" w14:textId="74976D35" w:rsidR="00CE5295" w:rsidRPr="0022168B" w:rsidRDefault="007453B1" w:rsidP="0022168B">
      <w:pPr>
        <w:pStyle w:val="ListParagraph"/>
        <w:numPr>
          <w:ilvl w:val="0"/>
          <w:numId w:val="13"/>
        </w:numPr>
        <w:spacing w:before="120" w:after="0" w:line="240" w:lineRule="auto"/>
        <w:rPr>
          <w:sz w:val="24"/>
          <w:szCs w:val="24"/>
        </w:rPr>
      </w:pPr>
      <w:r w:rsidRPr="00D0377E">
        <w:rPr>
          <w:sz w:val="24"/>
          <w:szCs w:val="24"/>
        </w:rPr>
        <w:t>Overall, the analysis found a systemic absence of clear</w:t>
      </w:r>
      <w:r>
        <w:rPr>
          <w:sz w:val="24"/>
          <w:szCs w:val="24"/>
        </w:rPr>
        <w:t xml:space="preserve"> </w:t>
      </w:r>
      <w:r w:rsidRPr="00D0377E">
        <w:rPr>
          <w:sz w:val="24"/>
          <w:szCs w:val="24"/>
        </w:rPr>
        <w:t xml:space="preserve">durable arrangements that support stewarding the national water science base, </w:t>
      </w:r>
      <w:r>
        <w:rPr>
          <w:sz w:val="24"/>
          <w:szCs w:val="24"/>
        </w:rPr>
        <w:t xml:space="preserve">that </w:t>
      </w:r>
      <w:r w:rsidRPr="00D0377E">
        <w:rPr>
          <w:sz w:val="24"/>
          <w:szCs w:val="24"/>
        </w:rPr>
        <w:t xml:space="preserve">secure research and funding to support the science for decision making, and </w:t>
      </w:r>
      <w:r>
        <w:rPr>
          <w:sz w:val="24"/>
          <w:szCs w:val="24"/>
        </w:rPr>
        <w:t xml:space="preserve">that </w:t>
      </w:r>
      <w:r w:rsidRPr="00D0377E">
        <w:rPr>
          <w:sz w:val="24"/>
          <w:szCs w:val="24"/>
        </w:rPr>
        <w:t xml:space="preserve">enable </w:t>
      </w:r>
      <w:proofErr w:type="spellStart"/>
      <w:r w:rsidRPr="00D0377E">
        <w:rPr>
          <w:sz w:val="24"/>
          <w:szCs w:val="24"/>
        </w:rPr>
        <w:t>translaton</w:t>
      </w:r>
      <w:proofErr w:type="spellEnd"/>
      <w:r w:rsidRPr="00D0377E">
        <w:rPr>
          <w:sz w:val="24"/>
          <w:szCs w:val="24"/>
        </w:rPr>
        <w:t xml:space="preserve"> </w:t>
      </w:r>
      <w:r w:rsidR="0010457A">
        <w:rPr>
          <w:sz w:val="24"/>
          <w:szCs w:val="24"/>
        </w:rPr>
        <w:t xml:space="preserve">of </w:t>
      </w:r>
      <w:r w:rsidRPr="00D0377E">
        <w:rPr>
          <w:sz w:val="24"/>
          <w:szCs w:val="24"/>
        </w:rPr>
        <w:t>research and innovation into consistent policy, planning and regulatory practice.</w:t>
      </w:r>
    </w:p>
    <w:p w14:paraId="15492687" w14:textId="77777777" w:rsidR="007453B1" w:rsidRPr="00D0377E" w:rsidRDefault="007453B1" w:rsidP="007453B1">
      <w:pPr>
        <w:pStyle w:val="ListParagraph"/>
        <w:numPr>
          <w:ilvl w:val="0"/>
          <w:numId w:val="13"/>
        </w:numPr>
        <w:spacing w:before="120" w:after="0" w:line="240" w:lineRule="auto"/>
        <w:rPr>
          <w:sz w:val="24"/>
          <w:szCs w:val="24"/>
        </w:rPr>
      </w:pPr>
      <w:r w:rsidRPr="00D0377E">
        <w:rPr>
          <w:sz w:val="24"/>
          <w:szCs w:val="24"/>
        </w:rPr>
        <w:t>Science and research must be recognised as essential infrastructure for reform, enabling adaptive management in the face of uncertainty, reducing policy and investment risk, informing difficult trade</w:t>
      </w:r>
      <w:r w:rsidRPr="00D0377E">
        <w:rPr>
          <w:rFonts w:ascii="Cambria Math" w:hAnsi="Cambria Math" w:cs="Cambria Math"/>
          <w:sz w:val="24"/>
          <w:szCs w:val="24"/>
        </w:rPr>
        <w:t>‑</w:t>
      </w:r>
      <w:r w:rsidRPr="00D0377E">
        <w:rPr>
          <w:sz w:val="24"/>
          <w:szCs w:val="24"/>
        </w:rPr>
        <w:t>offs, and sustaining public trust in decision</w:t>
      </w:r>
      <w:r w:rsidRPr="00D0377E">
        <w:rPr>
          <w:rFonts w:ascii="Cambria Math" w:hAnsi="Cambria Math" w:cs="Cambria Math"/>
          <w:sz w:val="24"/>
          <w:szCs w:val="24"/>
        </w:rPr>
        <w:t>‑</w:t>
      </w:r>
      <w:r w:rsidRPr="00D0377E">
        <w:rPr>
          <w:sz w:val="24"/>
          <w:szCs w:val="24"/>
        </w:rPr>
        <w:t>making.</w:t>
      </w:r>
    </w:p>
    <w:p w14:paraId="64465B20" w14:textId="77777777" w:rsidR="00F016E8" w:rsidRDefault="007453B1" w:rsidP="00F016E8">
      <w:pPr>
        <w:pStyle w:val="ListParagraph"/>
        <w:numPr>
          <w:ilvl w:val="0"/>
          <w:numId w:val="13"/>
        </w:numPr>
        <w:spacing w:before="120" w:after="0" w:line="240" w:lineRule="auto"/>
        <w:rPr>
          <w:sz w:val="24"/>
          <w:szCs w:val="24"/>
        </w:rPr>
      </w:pPr>
      <w:r w:rsidRPr="00D0377E">
        <w:rPr>
          <w:sz w:val="24"/>
          <w:szCs w:val="24"/>
        </w:rPr>
        <w:t xml:space="preserve">Without deliberate and coordinated investment in </w:t>
      </w:r>
      <w:r>
        <w:rPr>
          <w:sz w:val="24"/>
          <w:szCs w:val="24"/>
        </w:rPr>
        <w:t xml:space="preserve">research and </w:t>
      </w:r>
      <w:r w:rsidRPr="00D0377E">
        <w:rPr>
          <w:sz w:val="24"/>
          <w:szCs w:val="24"/>
        </w:rPr>
        <w:t xml:space="preserve">scientific capability, </w:t>
      </w:r>
      <w:r>
        <w:rPr>
          <w:sz w:val="24"/>
          <w:szCs w:val="24"/>
        </w:rPr>
        <w:t>and the creation of knowledge</w:t>
      </w:r>
      <w:r w:rsidRPr="00D0377E">
        <w:rPr>
          <w:sz w:val="24"/>
          <w:szCs w:val="24"/>
        </w:rPr>
        <w:t xml:space="preserve"> and </w:t>
      </w:r>
      <w:r>
        <w:rPr>
          <w:sz w:val="24"/>
          <w:szCs w:val="24"/>
        </w:rPr>
        <w:t>its</w:t>
      </w:r>
      <w:r w:rsidRPr="00D0377E">
        <w:rPr>
          <w:sz w:val="24"/>
          <w:szCs w:val="24"/>
        </w:rPr>
        <w:t xml:space="preserve"> translation </w:t>
      </w:r>
      <w:r>
        <w:rPr>
          <w:sz w:val="24"/>
          <w:szCs w:val="24"/>
        </w:rPr>
        <w:t>into</w:t>
      </w:r>
      <w:r w:rsidRPr="00D0377E">
        <w:rPr>
          <w:sz w:val="24"/>
          <w:szCs w:val="24"/>
        </w:rPr>
        <w:t xml:space="preserve"> </w:t>
      </w:r>
      <w:proofErr w:type="spellStart"/>
      <w:r w:rsidRPr="00D0377E">
        <w:rPr>
          <w:sz w:val="24"/>
          <w:szCs w:val="24"/>
        </w:rPr>
        <w:t>into</w:t>
      </w:r>
      <w:proofErr w:type="spellEnd"/>
      <w:r w:rsidRPr="00D0377E">
        <w:rPr>
          <w:sz w:val="24"/>
          <w:szCs w:val="24"/>
        </w:rPr>
        <w:t xml:space="preserve"> policy and practice, the ambitions of national water reform will be difficult to realise.</w:t>
      </w:r>
    </w:p>
    <w:p w14:paraId="5350E42F" w14:textId="6B9ADAF0" w:rsidR="00F016E8" w:rsidRPr="00F016E8" w:rsidRDefault="00F016E8" w:rsidP="00F016E8">
      <w:pPr>
        <w:pStyle w:val="ListParagraph"/>
        <w:numPr>
          <w:ilvl w:val="0"/>
          <w:numId w:val="13"/>
        </w:numPr>
        <w:spacing w:before="120" w:after="0" w:line="240" w:lineRule="auto"/>
        <w:rPr>
          <w:sz w:val="24"/>
          <w:szCs w:val="24"/>
        </w:rPr>
      </w:pPr>
      <w:r w:rsidRPr="00F016E8">
        <w:t xml:space="preserve">Water Research Australia propose that future reform priorities give </w:t>
      </w:r>
      <w:proofErr w:type="spellStart"/>
      <w:r w:rsidRPr="00F016E8">
        <w:t>prioritiy</w:t>
      </w:r>
      <w:proofErr w:type="spellEnd"/>
      <w:r w:rsidRPr="00F016E8">
        <w:t xml:space="preserve"> to providing clear and sustainable arrangements that:</w:t>
      </w:r>
    </w:p>
    <w:p w14:paraId="614EB8FD" w14:textId="77777777" w:rsidR="00F016E8" w:rsidRPr="00F016E8" w:rsidRDefault="00F016E8" w:rsidP="00F016E8">
      <w:pPr>
        <w:pStyle w:val="ListParagraph"/>
        <w:numPr>
          <w:ilvl w:val="1"/>
          <w:numId w:val="13"/>
        </w:numPr>
        <w:spacing w:before="120"/>
        <w:rPr>
          <w:sz w:val="24"/>
          <w:szCs w:val="24"/>
        </w:rPr>
      </w:pPr>
      <w:r w:rsidRPr="00F016E8">
        <w:rPr>
          <w:sz w:val="24"/>
          <w:szCs w:val="24"/>
        </w:rPr>
        <w:t xml:space="preserve">allocate responsibility for coordinating and stewarding the national water science base, </w:t>
      </w:r>
    </w:p>
    <w:p w14:paraId="241B9A8D" w14:textId="518FC11A" w:rsidR="00F016E8" w:rsidRPr="00F016E8" w:rsidRDefault="00F016E8" w:rsidP="00F016E8">
      <w:pPr>
        <w:pStyle w:val="ListParagraph"/>
        <w:numPr>
          <w:ilvl w:val="1"/>
          <w:numId w:val="13"/>
        </w:numPr>
        <w:spacing w:before="120"/>
        <w:rPr>
          <w:sz w:val="24"/>
          <w:szCs w:val="24"/>
        </w:rPr>
      </w:pPr>
      <w:r w:rsidRPr="00F016E8">
        <w:rPr>
          <w:sz w:val="24"/>
          <w:szCs w:val="24"/>
        </w:rPr>
        <w:t xml:space="preserve">secure research pathways, processes, and funding to support the creation of the science to support the desired </w:t>
      </w:r>
      <w:proofErr w:type="gramStart"/>
      <w:r w:rsidRPr="00F016E8">
        <w:rPr>
          <w:sz w:val="24"/>
          <w:szCs w:val="24"/>
        </w:rPr>
        <w:t>science based</w:t>
      </w:r>
      <w:proofErr w:type="gramEnd"/>
      <w:r w:rsidRPr="00F016E8">
        <w:rPr>
          <w:sz w:val="24"/>
          <w:szCs w:val="24"/>
        </w:rPr>
        <w:t xml:space="preserve"> decision-making, and </w:t>
      </w:r>
    </w:p>
    <w:p w14:paraId="3CADE411" w14:textId="0E10A567" w:rsidR="007453B1" w:rsidRPr="00A3768C" w:rsidRDefault="00F016E8" w:rsidP="001F43AC">
      <w:pPr>
        <w:pStyle w:val="ListParagraph"/>
        <w:numPr>
          <w:ilvl w:val="1"/>
          <w:numId w:val="13"/>
        </w:numPr>
        <w:spacing w:before="120"/>
        <w:rPr>
          <w:sz w:val="24"/>
          <w:szCs w:val="24"/>
        </w:rPr>
      </w:pPr>
      <w:r w:rsidRPr="00F016E8">
        <w:rPr>
          <w:sz w:val="24"/>
          <w:szCs w:val="24"/>
        </w:rPr>
        <w:t>translate research and innovation into consistent policy, planning and regulatory practice.</w:t>
      </w:r>
    </w:p>
    <w:p w14:paraId="105ED3C6" w14:textId="77777777" w:rsidR="001F3D67" w:rsidRPr="00D67A94" w:rsidRDefault="001F3D67" w:rsidP="001F43AC">
      <w:pPr>
        <w:spacing w:before="120"/>
      </w:pPr>
    </w:p>
    <w:p w14:paraId="3E7919C3" w14:textId="69986778" w:rsidR="00583635" w:rsidRPr="00D34D00" w:rsidRDefault="00AF7E7F" w:rsidP="001F43AC">
      <w:pPr>
        <w:spacing w:before="120"/>
        <w:rPr>
          <w:b/>
          <w:bCs/>
        </w:rPr>
      </w:pPr>
      <w:r w:rsidRPr="00D67A94">
        <w:rPr>
          <w:b/>
          <w:bCs/>
        </w:rPr>
        <w:t>I</w:t>
      </w:r>
      <w:r w:rsidR="003E6A67">
        <w:rPr>
          <w:b/>
          <w:bCs/>
        </w:rPr>
        <w:t>NTRODUCTION</w:t>
      </w:r>
    </w:p>
    <w:p w14:paraId="373B4DA8" w14:textId="1162C1F6" w:rsidR="0074691D" w:rsidRPr="00D67A94" w:rsidRDefault="0074691D" w:rsidP="001F43AC">
      <w:pPr>
        <w:spacing w:before="120"/>
      </w:pPr>
      <w:r w:rsidRPr="00D67A94">
        <w:t xml:space="preserve">The </w:t>
      </w:r>
      <w:r w:rsidRPr="00D67A94">
        <w:rPr>
          <w:i/>
          <w:iCs/>
        </w:rPr>
        <w:t>Productivity Commission (PC)</w:t>
      </w:r>
      <w:r w:rsidRPr="00D67A94">
        <w:t xml:space="preserve"> has been asked to undertake the </w:t>
      </w:r>
      <w:r w:rsidRPr="00D67A94">
        <w:rPr>
          <w:i/>
          <w:iCs/>
        </w:rPr>
        <w:t>National Water Reform 2026</w:t>
      </w:r>
      <w:r w:rsidRPr="00D67A94">
        <w:t xml:space="preserve"> inquiry. The terms of reference require the PC to:</w:t>
      </w:r>
    </w:p>
    <w:p w14:paraId="7E1F707B" w14:textId="77777777" w:rsidR="0074691D" w:rsidRPr="0074691D" w:rsidRDefault="0074691D" w:rsidP="001F43AC">
      <w:pPr>
        <w:pStyle w:val="ListParagraph"/>
        <w:numPr>
          <w:ilvl w:val="0"/>
          <w:numId w:val="12"/>
        </w:numPr>
        <w:spacing w:before="120" w:after="0" w:line="240" w:lineRule="auto"/>
        <w:rPr>
          <w:sz w:val="24"/>
          <w:szCs w:val="24"/>
        </w:rPr>
      </w:pPr>
      <w:r w:rsidRPr="00D67A94">
        <w:rPr>
          <w:sz w:val="24"/>
          <w:szCs w:val="24"/>
        </w:rPr>
        <w:t>assess</w:t>
      </w:r>
      <w:r w:rsidRPr="0074691D">
        <w:rPr>
          <w:sz w:val="24"/>
          <w:szCs w:val="24"/>
        </w:rPr>
        <w:t xml:space="preserve"> progress under the 2004 National Water Initiative (NWI) in accordance with the requirements of Water Act 2007 (</w:t>
      </w:r>
      <w:proofErr w:type="spellStart"/>
      <w:r w:rsidRPr="0074691D">
        <w:rPr>
          <w:sz w:val="24"/>
          <w:szCs w:val="24"/>
        </w:rPr>
        <w:t>Cth</w:t>
      </w:r>
      <w:proofErr w:type="spellEnd"/>
      <w:r w:rsidRPr="0074691D">
        <w:rPr>
          <w:sz w:val="24"/>
          <w:szCs w:val="24"/>
        </w:rPr>
        <w:t>), which includes making recommendations on actions that parties to the NWI might take to better achieve the objectives and outcomes of the NWI</w:t>
      </w:r>
    </w:p>
    <w:p w14:paraId="347EC8DE" w14:textId="6CCC8BE3" w:rsidR="0074691D" w:rsidRPr="0074691D" w:rsidRDefault="0074691D" w:rsidP="001F43AC">
      <w:pPr>
        <w:pStyle w:val="ListParagraph"/>
        <w:numPr>
          <w:ilvl w:val="0"/>
          <w:numId w:val="12"/>
        </w:numPr>
        <w:spacing w:before="120" w:after="0" w:line="240" w:lineRule="auto"/>
        <w:rPr>
          <w:sz w:val="24"/>
          <w:szCs w:val="24"/>
        </w:rPr>
      </w:pPr>
      <w:r w:rsidRPr="0074691D">
        <w:rPr>
          <w:sz w:val="24"/>
          <w:szCs w:val="24"/>
        </w:rPr>
        <w:t xml:space="preserve">assess and recommend water policy and regulatory settings that support a </w:t>
      </w:r>
      <w:r w:rsidRPr="00920334">
        <w:rPr>
          <w:b/>
          <w:bCs/>
          <w:sz w:val="24"/>
          <w:szCs w:val="24"/>
        </w:rPr>
        <w:t>secure, resilient and sustainable water services industry.</w:t>
      </w:r>
    </w:p>
    <w:p w14:paraId="411EB21B" w14:textId="77777777" w:rsidR="00810384" w:rsidRDefault="00810384" w:rsidP="00810384">
      <w:pPr>
        <w:spacing w:before="120"/>
      </w:pPr>
    </w:p>
    <w:p w14:paraId="51A38442" w14:textId="17A60ABD" w:rsidR="00810384" w:rsidRPr="00810384" w:rsidRDefault="00810384" w:rsidP="00810384">
      <w:pPr>
        <w:shd w:val="clear" w:color="auto" w:fill="D0CECE" w:themeFill="background2" w:themeFillShade="E6"/>
        <w:spacing w:before="120"/>
        <w:jc w:val="center"/>
        <w:rPr>
          <w:i/>
          <w:iCs/>
        </w:rPr>
      </w:pPr>
      <w:r w:rsidRPr="00810384">
        <w:rPr>
          <w:i/>
          <w:iCs/>
        </w:rPr>
        <w:t>Water Research Australia wishes to engage in</w:t>
      </w:r>
      <w:r w:rsidRPr="00546331">
        <w:t xml:space="preserve"> </w:t>
      </w:r>
      <w:r w:rsidRPr="00810384">
        <w:rPr>
          <w:i/>
          <w:iCs/>
        </w:rPr>
        <w:t xml:space="preserve">National Water Reform 2026 inquiry processes to ensure that the enabling supporting environment of policy and legislation support good science-based </w:t>
      </w:r>
      <w:r w:rsidRPr="00810384">
        <w:rPr>
          <w:i/>
          <w:iCs/>
        </w:rPr>
        <w:lastRenderedPageBreak/>
        <w:t>decision-making, and the secures the role of research to provide knowledge for a secure, resilient and sustainable water services industry.</w:t>
      </w:r>
    </w:p>
    <w:p w14:paraId="6B554400" w14:textId="77777777" w:rsidR="00810384" w:rsidRPr="00810384" w:rsidRDefault="00810384" w:rsidP="00810384">
      <w:pPr>
        <w:spacing w:before="120"/>
        <w:jc w:val="center"/>
      </w:pPr>
    </w:p>
    <w:p w14:paraId="4D4D209F" w14:textId="2BF8F7F2" w:rsidR="00291F31" w:rsidRPr="00F9362C" w:rsidRDefault="00583635" w:rsidP="001F43AC">
      <w:pPr>
        <w:spacing w:before="120"/>
      </w:pPr>
      <w:r w:rsidRPr="007058EA">
        <w:rPr>
          <w:i/>
          <w:iCs/>
        </w:rPr>
        <w:t>Water</w:t>
      </w:r>
      <w:r w:rsidR="00821D47" w:rsidRPr="007058EA">
        <w:rPr>
          <w:i/>
          <w:iCs/>
        </w:rPr>
        <w:t xml:space="preserve"> Research Australia</w:t>
      </w:r>
      <w:r w:rsidRPr="00583635">
        <w:t xml:space="preserve"> </w:t>
      </w:r>
      <w:r w:rsidR="008E0A50">
        <w:t>is</w:t>
      </w:r>
      <w:r w:rsidRPr="00583635">
        <w:t xml:space="preserve"> at the forefront of addressing water challenges through collaborative research</w:t>
      </w:r>
      <w:r w:rsidR="00DA7610">
        <w:t xml:space="preserve"> to support a more sustai</w:t>
      </w:r>
      <w:r w:rsidR="00606767">
        <w:t>nable water services industry</w:t>
      </w:r>
      <w:r w:rsidRPr="00583635">
        <w:t>. Originating as the Cooperative Research Centre for Water Quality and Treatment</w:t>
      </w:r>
      <w:r w:rsidR="00606767">
        <w:t xml:space="preserve"> in 1995</w:t>
      </w:r>
      <w:r w:rsidRPr="00583635">
        <w:t>, it has evolved into Water Research Australia, a</w:t>
      </w:r>
      <w:r w:rsidR="00167832">
        <w:t xml:space="preserve"> member-based not-for project organisation that </w:t>
      </w:r>
      <w:r w:rsidR="005928A5">
        <w:t xml:space="preserve">is </w:t>
      </w:r>
      <w:r w:rsidR="003468C8">
        <w:t xml:space="preserve">backed by water utilities, regulators, government agencies, </w:t>
      </w:r>
      <w:r w:rsidR="005928A5">
        <w:t xml:space="preserve">universities, and other water related organisations and service providers. </w:t>
      </w:r>
      <w:r w:rsidRPr="00583635">
        <w:t>With over 70 members</w:t>
      </w:r>
      <w:r w:rsidR="00F95DFB">
        <w:t>,</w:t>
      </w:r>
      <w:r w:rsidRPr="00583635">
        <w:t xml:space="preserve"> </w:t>
      </w:r>
      <w:r w:rsidR="000D7C88" w:rsidRPr="008A4CD5">
        <w:rPr>
          <w:i/>
          <w:iCs/>
        </w:rPr>
        <w:t>Water Research Australia</w:t>
      </w:r>
      <w:r w:rsidR="000D7C88">
        <w:t xml:space="preserve"> </w:t>
      </w:r>
      <w:r w:rsidR="00167832">
        <w:t xml:space="preserve">typically </w:t>
      </w:r>
      <w:r w:rsidRPr="00583635">
        <w:t>manage</w:t>
      </w:r>
      <w:r w:rsidR="00672850">
        <w:t>s</w:t>
      </w:r>
      <w:r w:rsidRPr="00583635">
        <w:t xml:space="preserve"> a portfolio of </w:t>
      </w:r>
      <w:r w:rsidR="00672850">
        <w:t>&gt;100</w:t>
      </w:r>
      <w:r w:rsidR="003468C8">
        <w:t xml:space="preserve"> </w:t>
      </w:r>
      <w:r w:rsidR="00F95DFB">
        <w:t xml:space="preserve">water </w:t>
      </w:r>
      <w:r w:rsidRPr="00583635">
        <w:t xml:space="preserve">research projects </w:t>
      </w:r>
      <w:proofErr w:type="gramStart"/>
      <w:r w:rsidRPr="00583635">
        <w:t xml:space="preserve">and </w:t>
      </w:r>
      <w:r w:rsidR="00E52BC7">
        <w:t>also</w:t>
      </w:r>
      <w:proofErr w:type="gramEnd"/>
      <w:r w:rsidR="00E52BC7">
        <w:t xml:space="preserve"> </w:t>
      </w:r>
      <w:r w:rsidRPr="00583635">
        <w:t>participate</w:t>
      </w:r>
      <w:r w:rsidR="00672850">
        <w:t>s</w:t>
      </w:r>
      <w:r w:rsidRPr="00583635">
        <w:t xml:space="preserve"> in grant funded projects and research hubs.</w:t>
      </w:r>
      <w:r w:rsidR="00F95DFB">
        <w:t xml:space="preserve"> The</w:t>
      </w:r>
      <w:r w:rsidR="00D64010">
        <w:t>ir</w:t>
      </w:r>
      <w:r w:rsidR="00F95DFB">
        <w:t xml:space="preserve"> portfolio of research </w:t>
      </w:r>
      <w:r w:rsidR="00921BE5">
        <w:t>covers a broad range of relevant areas</w:t>
      </w:r>
      <w:r w:rsidR="00D64010">
        <w:t xml:space="preserve"> relevant to their members</w:t>
      </w:r>
      <w:r w:rsidR="00921BE5">
        <w:t xml:space="preserve"> such</w:t>
      </w:r>
      <w:r w:rsidR="00F95DFB">
        <w:t xml:space="preserve"> water quality, catchments, climate, wastewater</w:t>
      </w:r>
      <w:r w:rsidR="00921BE5">
        <w:t xml:space="preserve"> treatment, research recovery, contaminants, emissions etc.</w:t>
      </w:r>
      <w:r w:rsidRPr="00583635">
        <w:t xml:space="preserve">  We are recognised globally for our work and </w:t>
      </w:r>
      <w:r w:rsidRPr="00D0377E">
        <w:t>collaborate through international network</w:t>
      </w:r>
      <w:r w:rsidR="00614928">
        <w:t>s</w:t>
      </w:r>
      <w:r w:rsidRPr="00D0377E">
        <w:t xml:space="preserve"> of research agencies with similar purposes.</w:t>
      </w:r>
    </w:p>
    <w:p w14:paraId="702FBB96" w14:textId="04D9E02A" w:rsidR="00A405E2" w:rsidRDefault="00BC5B62" w:rsidP="001F43AC">
      <w:pPr>
        <w:spacing w:before="120"/>
      </w:pPr>
      <w:r w:rsidRPr="00BC5B62">
        <w:t xml:space="preserve">Australia’s water sector is entering a new phase of reform shaped by climate variability, </w:t>
      </w:r>
      <w:r w:rsidR="001B46E5">
        <w:t xml:space="preserve">ageing infrastructure with growth and </w:t>
      </w:r>
      <w:r w:rsidRPr="00BC5B62">
        <w:t xml:space="preserve">renewal pressures, </w:t>
      </w:r>
      <w:r w:rsidR="00CA31BB">
        <w:t xml:space="preserve">digitalisation, </w:t>
      </w:r>
      <w:r w:rsidRPr="00BC5B62">
        <w:t>affordability concerns</w:t>
      </w:r>
      <w:r w:rsidR="001B46E5">
        <w:t>,</w:t>
      </w:r>
      <w:r w:rsidRPr="00BC5B62">
        <w:t xml:space="preserve"> and rising expectations for transparency and meaningful engagement (including First Nations interests). In this context science, research and innovation are not </w:t>
      </w:r>
      <w:r w:rsidR="00B77268">
        <w:t xml:space="preserve">optional or </w:t>
      </w:r>
      <w:r w:rsidRPr="00BC5B62">
        <w:t>ancillary inputs</w:t>
      </w:r>
      <w:r w:rsidR="00B77268">
        <w:t xml:space="preserve"> -</w:t>
      </w:r>
      <w:r w:rsidRPr="00BC5B62">
        <w:t xml:space="preserve"> they are foundational to </w:t>
      </w:r>
      <w:r w:rsidR="0017419A">
        <w:t xml:space="preserve">good strategy and planning, </w:t>
      </w:r>
      <w:r w:rsidRPr="00BC5B62">
        <w:t>credible policy design, adaptive management</w:t>
      </w:r>
      <w:r w:rsidR="0017419A">
        <w:t>,</w:t>
      </w:r>
      <w:r w:rsidRPr="00BC5B62">
        <w:t xml:space="preserve"> and durable regulatory decision making.</w:t>
      </w:r>
    </w:p>
    <w:p w14:paraId="6E8A35E3" w14:textId="0CFC8CCE" w:rsidR="00950A4F" w:rsidRPr="00950A4F" w:rsidRDefault="00FD4823" w:rsidP="0033676F">
      <w:pPr>
        <w:shd w:val="clear" w:color="auto" w:fill="D0CECE" w:themeFill="background2" w:themeFillShade="E6"/>
        <w:spacing w:before="120"/>
        <w:jc w:val="center"/>
      </w:pPr>
      <w:r>
        <w:t>S</w:t>
      </w:r>
      <w:r w:rsidRPr="00FD4823">
        <w:t xml:space="preserve">cience and research </w:t>
      </w:r>
      <w:r>
        <w:t>must be recognised as</w:t>
      </w:r>
      <w:r w:rsidRPr="00FD4823">
        <w:t xml:space="preserve"> essential infrastructure for reform, enabling adaptive management in the face of uncertainty, reducing policy and investment risk, informing difficult trade</w:t>
      </w:r>
      <w:r w:rsidRPr="00950A4F">
        <w:rPr>
          <w:rFonts w:ascii="Cambria Math" w:hAnsi="Cambria Math" w:cs="Cambria Math"/>
        </w:rPr>
        <w:t>‑</w:t>
      </w:r>
      <w:r w:rsidRPr="00FD4823">
        <w:t>offs, and sustaining public trust in decision</w:t>
      </w:r>
      <w:r w:rsidRPr="00950A4F">
        <w:rPr>
          <w:rFonts w:ascii="Cambria Math" w:hAnsi="Cambria Math" w:cs="Cambria Math"/>
        </w:rPr>
        <w:t>‑</w:t>
      </w:r>
      <w:r w:rsidRPr="00FD4823">
        <w:t xml:space="preserve">making. Without deliberate and coordinated investment in </w:t>
      </w:r>
      <w:r w:rsidR="00D73F69">
        <w:t xml:space="preserve">research and </w:t>
      </w:r>
      <w:r w:rsidRPr="00FD4823">
        <w:t>scientific capability</w:t>
      </w:r>
      <w:r w:rsidR="00950A4F" w:rsidRPr="00950A4F">
        <w:t>, and the creation of knowledge and its translation into policy and practice, the ambitions of national water reform will be difficult to realise.</w:t>
      </w:r>
    </w:p>
    <w:p w14:paraId="26459846" w14:textId="47423722" w:rsidR="00FD4823" w:rsidRDefault="00FD4823" w:rsidP="001F43AC">
      <w:pPr>
        <w:spacing w:before="120"/>
      </w:pPr>
    </w:p>
    <w:p w14:paraId="71F6570D" w14:textId="5886BCF0" w:rsidR="003E6A67" w:rsidRPr="00BC3DB4" w:rsidRDefault="00BC3DB4" w:rsidP="001F43AC">
      <w:pPr>
        <w:spacing w:before="120"/>
        <w:rPr>
          <w:b/>
          <w:bCs/>
        </w:rPr>
      </w:pPr>
      <w:r w:rsidRPr="00BC3DB4">
        <w:rPr>
          <w:b/>
          <w:bCs/>
        </w:rPr>
        <w:t>Relevant inputs and reviews</w:t>
      </w:r>
    </w:p>
    <w:p w14:paraId="12A3F2A2" w14:textId="106B0133" w:rsidR="00A20B51" w:rsidRDefault="00C86316" w:rsidP="00B93808">
      <w:pPr>
        <w:spacing w:before="120"/>
      </w:pPr>
      <w:r>
        <w:t>Professor Mary O’Kane AC was commissioned by the Department of Climate Change, Energy, the Environment and Water (DCCEEW) to</w:t>
      </w:r>
      <w:r w:rsidR="00FF5341">
        <w:t xml:space="preserve"> c</w:t>
      </w:r>
      <w:r>
        <w:t>onduct an independent review of water science and research to provide advice that</w:t>
      </w:r>
      <w:r w:rsidR="00B93808">
        <w:t xml:space="preserve"> 1) </w:t>
      </w:r>
      <w:r>
        <w:t>enables the Commonwealth and potentially others to ensure water science and research investments are strategically aligned, and appropriate to provide expert underpinning to water policy and planning into the future, particularly considering climate impacts on water, and</w:t>
      </w:r>
      <w:r w:rsidR="00B93808">
        <w:t xml:space="preserve"> 2) </w:t>
      </w:r>
      <w:r>
        <w:t>positions Australia as an international leader in water science and research, including national leadership and coordination.</w:t>
      </w:r>
      <w:r w:rsidR="00B93808">
        <w:t xml:space="preserve"> </w:t>
      </w:r>
      <w:r w:rsidR="00A20B51" w:rsidRPr="00A20B51">
        <w:t xml:space="preserve">The report </w:t>
      </w:r>
      <w:r w:rsidR="005A1B0C">
        <w:t>is intended to</w:t>
      </w:r>
      <w:r w:rsidR="00A20B51" w:rsidRPr="00A20B51">
        <w:t xml:space="preserve"> contribute advice on water science and research in Commonwealth and intergovernmental forums, as well as implementation of the National Water Agreement and other water initiatives.</w:t>
      </w:r>
    </w:p>
    <w:p w14:paraId="68A4C531" w14:textId="010F3DE7" w:rsidR="004C19AF" w:rsidRPr="00E540D3" w:rsidRDefault="009A25CF" w:rsidP="004C19AF">
      <w:pPr>
        <w:spacing w:before="120"/>
      </w:pPr>
      <w:r w:rsidRPr="005513B9">
        <w:rPr>
          <w:b/>
          <w:bCs/>
        </w:rPr>
        <w:t>The Water Science and research review</w:t>
      </w:r>
      <w:r w:rsidRPr="00E540D3">
        <w:t xml:space="preserve"> (</w:t>
      </w:r>
      <w:hyperlink r:id="rId11" w:history="1">
        <w:r w:rsidRPr="00E540D3">
          <w:rPr>
            <w:rStyle w:val="Hyperlink"/>
          </w:rPr>
          <w:t>https://www.dcceew.gov.au/water/policy/publications/water-science-research-review</w:t>
        </w:r>
      </w:hyperlink>
      <w:r w:rsidRPr="00E540D3">
        <w:t>)</w:t>
      </w:r>
      <w:r w:rsidR="00A20B51" w:rsidRPr="00E540D3">
        <w:t xml:space="preserve"> identified the c</w:t>
      </w:r>
      <w:r w:rsidR="004C19AF" w:rsidRPr="00E540D3">
        <w:t xml:space="preserve">haracteristics of an effective water science and research </w:t>
      </w:r>
      <w:r w:rsidR="00A20B51" w:rsidRPr="00E540D3">
        <w:t>system</w:t>
      </w:r>
    </w:p>
    <w:p w14:paraId="76A26511" w14:textId="77777777" w:rsidR="00B45146" w:rsidRPr="00E540D3" w:rsidRDefault="004C19AF" w:rsidP="00F5121A">
      <w:pPr>
        <w:pStyle w:val="ListParagraph"/>
        <w:numPr>
          <w:ilvl w:val="0"/>
          <w:numId w:val="19"/>
        </w:numPr>
        <w:spacing w:before="120"/>
        <w:rPr>
          <w:sz w:val="24"/>
          <w:szCs w:val="24"/>
        </w:rPr>
      </w:pPr>
      <w:r w:rsidRPr="00E540D3">
        <w:rPr>
          <w:sz w:val="24"/>
          <w:szCs w:val="24"/>
        </w:rPr>
        <w:lastRenderedPageBreak/>
        <w:t>There is an articulated collective vision, updated regularly, for necessary water and related research, based on a clear process for determining what the right questions are and which of these can be answered by science and research and to what degree of (un)certainty</w:t>
      </w:r>
      <w:r w:rsidR="00B45146" w:rsidRPr="00E540D3">
        <w:rPr>
          <w:sz w:val="24"/>
          <w:szCs w:val="24"/>
        </w:rPr>
        <w:t>.</w:t>
      </w:r>
    </w:p>
    <w:p w14:paraId="6E59E921" w14:textId="67EFD3EF" w:rsidR="004C19AF" w:rsidRPr="00E540D3" w:rsidRDefault="004C19AF" w:rsidP="00F5121A">
      <w:pPr>
        <w:pStyle w:val="ListParagraph"/>
        <w:numPr>
          <w:ilvl w:val="0"/>
          <w:numId w:val="19"/>
        </w:numPr>
        <w:spacing w:before="120"/>
        <w:rPr>
          <w:sz w:val="24"/>
          <w:szCs w:val="24"/>
        </w:rPr>
      </w:pPr>
      <w:r w:rsidRPr="00E540D3">
        <w:rPr>
          <w:sz w:val="24"/>
          <w:szCs w:val="24"/>
        </w:rPr>
        <w:t>Investments are, as much as possible, strategic, innovative, looking out across horizons, and aligned to collectively agreed policy and program needs (where ‘collectively’ means across Commonwealth agencies, and with states and territories on issues where national or interjurisdictional consistency is important)</w:t>
      </w:r>
    </w:p>
    <w:p w14:paraId="0A51776D" w14:textId="22A44F1C" w:rsidR="004C19AF" w:rsidRPr="00E540D3" w:rsidRDefault="004C19AF" w:rsidP="00F5121A">
      <w:pPr>
        <w:pStyle w:val="ListParagraph"/>
        <w:numPr>
          <w:ilvl w:val="0"/>
          <w:numId w:val="19"/>
        </w:numPr>
        <w:spacing w:before="120"/>
        <w:rPr>
          <w:sz w:val="24"/>
          <w:szCs w:val="24"/>
        </w:rPr>
      </w:pPr>
      <w:r w:rsidRPr="00E540D3">
        <w:rPr>
          <w:sz w:val="24"/>
          <w:szCs w:val="24"/>
        </w:rPr>
        <w:t>The science and evidence base is available as much as possible before the policy decisions need to be made. In other words, policy needs are anticipated through ‘right question’ generation processes</w:t>
      </w:r>
    </w:p>
    <w:p w14:paraId="725F3B61" w14:textId="155AD50A" w:rsidR="004C19AF" w:rsidRPr="00E540D3" w:rsidRDefault="004C19AF" w:rsidP="00F5121A">
      <w:pPr>
        <w:pStyle w:val="ListParagraph"/>
        <w:numPr>
          <w:ilvl w:val="0"/>
          <w:numId w:val="19"/>
        </w:numPr>
        <w:spacing w:before="120"/>
        <w:rPr>
          <w:sz w:val="24"/>
          <w:szCs w:val="24"/>
        </w:rPr>
      </w:pPr>
      <w:r w:rsidRPr="00E540D3">
        <w:rPr>
          <w:sz w:val="24"/>
          <w:szCs w:val="24"/>
        </w:rPr>
        <w:t>There is a sense of collective ownership among jurisdictions of the problems and the science and research solutions</w:t>
      </w:r>
    </w:p>
    <w:p w14:paraId="4A75ED93" w14:textId="4D969737" w:rsidR="004C19AF" w:rsidRPr="00E540D3" w:rsidRDefault="004C19AF" w:rsidP="00F5121A">
      <w:pPr>
        <w:pStyle w:val="ListParagraph"/>
        <w:numPr>
          <w:ilvl w:val="0"/>
          <w:numId w:val="19"/>
        </w:numPr>
        <w:spacing w:before="120"/>
        <w:rPr>
          <w:sz w:val="24"/>
          <w:szCs w:val="24"/>
        </w:rPr>
      </w:pPr>
      <w:r w:rsidRPr="00E540D3">
        <w:rPr>
          <w:sz w:val="24"/>
          <w:szCs w:val="24"/>
        </w:rPr>
        <w:t xml:space="preserve">The best available expertise and high integrity research is easy to find and commission </w:t>
      </w:r>
    </w:p>
    <w:p w14:paraId="29280BA0" w14:textId="5866CC63" w:rsidR="004C19AF" w:rsidRPr="00E540D3" w:rsidRDefault="004C19AF" w:rsidP="00F5121A">
      <w:pPr>
        <w:pStyle w:val="ListParagraph"/>
        <w:numPr>
          <w:ilvl w:val="0"/>
          <w:numId w:val="19"/>
        </w:numPr>
        <w:spacing w:before="120"/>
        <w:rPr>
          <w:sz w:val="24"/>
          <w:szCs w:val="24"/>
        </w:rPr>
      </w:pPr>
      <w:r w:rsidRPr="00E540D3">
        <w:rPr>
          <w:sz w:val="24"/>
          <w:szCs w:val="24"/>
        </w:rPr>
        <w:t>Climate change and climate extremes are included in all water modelling and planning</w:t>
      </w:r>
    </w:p>
    <w:p w14:paraId="0052D032" w14:textId="1232E7C0" w:rsidR="004C19AF" w:rsidRPr="00E540D3" w:rsidRDefault="004C19AF" w:rsidP="00F5121A">
      <w:pPr>
        <w:pStyle w:val="ListParagraph"/>
        <w:numPr>
          <w:ilvl w:val="0"/>
          <w:numId w:val="19"/>
        </w:numPr>
        <w:spacing w:before="120"/>
        <w:rPr>
          <w:sz w:val="24"/>
          <w:szCs w:val="24"/>
        </w:rPr>
      </w:pPr>
      <w:r w:rsidRPr="00E540D3">
        <w:rPr>
          <w:sz w:val="24"/>
          <w:szCs w:val="24"/>
        </w:rPr>
        <w:t xml:space="preserve">First Nations peoples’ water values, interests, knowledge and sciences are elevated in Australian water planning and management and First Nations researchers and academics are recognised </w:t>
      </w:r>
    </w:p>
    <w:p w14:paraId="0409C431" w14:textId="5BC3B288" w:rsidR="004C19AF" w:rsidRPr="00E540D3" w:rsidRDefault="004C19AF" w:rsidP="00F5121A">
      <w:pPr>
        <w:pStyle w:val="ListParagraph"/>
        <w:numPr>
          <w:ilvl w:val="0"/>
          <w:numId w:val="19"/>
        </w:numPr>
        <w:spacing w:before="120"/>
        <w:rPr>
          <w:sz w:val="24"/>
          <w:szCs w:val="24"/>
        </w:rPr>
      </w:pPr>
      <w:r w:rsidRPr="00E540D3">
        <w:rPr>
          <w:sz w:val="24"/>
          <w:szCs w:val="24"/>
        </w:rPr>
        <w:t>The output of research studies is of good quality (top international scientific journal quality) and trusted by all stakeholders</w:t>
      </w:r>
    </w:p>
    <w:p w14:paraId="05B83DDC" w14:textId="39773982" w:rsidR="004C19AF" w:rsidRPr="00E540D3" w:rsidRDefault="004C19AF" w:rsidP="00F5121A">
      <w:pPr>
        <w:pStyle w:val="ListParagraph"/>
        <w:numPr>
          <w:ilvl w:val="0"/>
          <w:numId w:val="19"/>
        </w:numPr>
        <w:spacing w:before="120"/>
        <w:rPr>
          <w:sz w:val="24"/>
          <w:szCs w:val="24"/>
        </w:rPr>
      </w:pPr>
      <w:r w:rsidRPr="00E540D3">
        <w:rPr>
          <w:sz w:val="24"/>
          <w:szCs w:val="24"/>
        </w:rPr>
        <w:t xml:space="preserve">Data is managed and curated well and openly available in line with open government principles, and the contributions of First Nations peoples and their Indigenous Cultural and Intellectual Property are curated and protected appropriately </w:t>
      </w:r>
    </w:p>
    <w:p w14:paraId="0829C94C" w14:textId="6CB58480" w:rsidR="004C19AF" w:rsidRPr="00E540D3" w:rsidRDefault="004C19AF" w:rsidP="00F5121A">
      <w:pPr>
        <w:pStyle w:val="ListParagraph"/>
        <w:numPr>
          <w:ilvl w:val="0"/>
          <w:numId w:val="19"/>
        </w:numPr>
        <w:spacing w:before="120"/>
        <w:rPr>
          <w:sz w:val="24"/>
          <w:szCs w:val="24"/>
        </w:rPr>
      </w:pPr>
      <w:r w:rsidRPr="00E540D3">
        <w:rPr>
          <w:sz w:val="24"/>
          <w:szCs w:val="24"/>
        </w:rPr>
        <w:t>There are mechanisms and safe spaces for open data and model sharing between jurisdictions and with users and stakeholders</w:t>
      </w:r>
    </w:p>
    <w:p w14:paraId="461C27E4" w14:textId="14D06EB6" w:rsidR="004C19AF" w:rsidRPr="00E540D3" w:rsidRDefault="004C19AF" w:rsidP="00F5121A">
      <w:pPr>
        <w:pStyle w:val="ListParagraph"/>
        <w:numPr>
          <w:ilvl w:val="0"/>
          <w:numId w:val="19"/>
        </w:numPr>
        <w:spacing w:before="120"/>
        <w:rPr>
          <w:sz w:val="24"/>
          <w:szCs w:val="24"/>
        </w:rPr>
      </w:pPr>
      <w:r w:rsidRPr="00E540D3">
        <w:rPr>
          <w:sz w:val="24"/>
          <w:szCs w:val="24"/>
        </w:rPr>
        <w:t>Scientific infrastructure (including models) for water science is up to date and available</w:t>
      </w:r>
    </w:p>
    <w:p w14:paraId="41333348" w14:textId="332AC401" w:rsidR="004C19AF" w:rsidRPr="00E540D3" w:rsidRDefault="004C19AF" w:rsidP="00F5121A">
      <w:pPr>
        <w:pStyle w:val="ListParagraph"/>
        <w:numPr>
          <w:ilvl w:val="0"/>
          <w:numId w:val="19"/>
        </w:numPr>
        <w:spacing w:before="120"/>
        <w:rPr>
          <w:sz w:val="24"/>
          <w:szCs w:val="24"/>
        </w:rPr>
      </w:pPr>
      <w:r w:rsidRPr="00E540D3">
        <w:rPr>
          <w:sz w:val="24"/>
          <w:szCs w:val="24"/>
        </w:rPr>
        <w:t>Available water science and general research funding is effectively leveraged and utilised fairly to support diverse projects</w:t>
      </w:r>
    </w:p>
    <w:p w14:paraId="64433688" w14:textId="54D6C5F0" w:rsidR="004C19AF" w:rsidRPr="00E540D3" w:rsidRDefault="004C19AF" w:rsidP="00F5121A">
      <w:pPr>
        <w:pStyle w:val="ListParagraph"/>
        <w:numPr>
          <w:ilvl w:val="0"/>
          <w:numId w:val="19"/>
        </w:numPr>
        <w:spacing w:before="120"/>
        <w:rPr>
          <w:sz w:val="24"/>
          <w:szCs w:val="24"/>
        </w:rPr>
      </w:pPr>
      <w:r w:rsidRPr="00E540D3">
        <w:rPr>
          <w:sz w:val="24"/>
          <w:szCs w:val="24"/>
        </w:rPr>
        <w:t>There is an organised system for monitoring change in freshwater ecosystems over decades and evaluating the effectiveness of interventions</w:t>
      </w:r>
    </w:p>
    <w:p w14:paraId="018FF666" w14:textId="62125604" w:rsidR="004C19AF" w:rsidRPr="00E540D3" w:rsidRDefault="004C19AF" w:rsidP="00F5121A">
      <w:pPr>
        <w:pStyle w:val="ListParagraph"/>
        <w:numPr>
          <w:ilvl w:val="0"/>
          <w:numId w:val="19"/>
        </w:numPr>
        <w:spacing w:before="120"/>
        <w:rPr>
          <w:sz w:val="24"/>
          <w:szCs w:val="24"/>
        </w:rPr>
      </w:pPr>
      <w:r w:rsidRPr="00E540D3">
        <w:rPr>
          <w:sz w:val="24"/>
          <w:szCs w:val="24"/>
        </w:rPr>
        <w:t>Training in water and related science at postgraduate, doctoral and postdoctoral levels is fostered to ensure the future health of the water science workforce</w:t>
      </w:r>
    </w:p>
    <w:p w14:paraId="0AEC4541" w14:textId="22DEF130" w:rsidR="004C19AF" w:rsidRPr="00E540D3" w:rsidRDefault="004C19AF" w:rsidP="00F5121A">
      <w:pPr>
        <w:pStyle w:val="ListParagraph"/>
        <w:numPr>
          <w:ilvl w:val="0"/>
          <w:numId w:val="19"/>
        </w:numPr>
        <w:spacing w:before="120"/>
        <w:rPr>
          <w:sz w:val="24"/>
          <w:szCs w:val="24"/>
        </w:rPr>
      </w:pPr>
      <w:r w:rsidRPr="00E540D3">
        <w:rPr>
          <w:sz w:val="24"/>
          <w:szCs w:val="24"/>
        </w:rPr>
        <w:t>Australian water science has a high international profile and recognised leadership role</w:t>
      </w:r>
    </w:p>
    <w:p w14:paraId="252989CF" w14:textId="2DA72AC4" w:rsidR="004C19AF" w:rsidRPr="00E540D3" w:rsidRDefault="004C19AF" w:rsidP="00F5121A">
      <w:pPr>
        <w:pStyle w:val="ListParagraph"/>
        <w:numPr>
          <w:ilvl w:val="0"/>
          <w:numId w:val="19"/>
        </w:numPr>
        <w:spacing w:before="120"/>
        <w:rPr>
          <w:sz w:val="24"/>
          <w:szCs w:val="24"/>
        </w:rPr>
      </w:pPr>
      <w:r w:rsidRPr="00E540D3">
        <w:rPr>
          <w:sz w:val="24"/>
          <w:szCs w:val="24"/>
        </w:rPr>
        <w:t>Communication of water science and modelling in public forums is highly effective</w:t>
      </w:r>
    </w:p>
    <w:p w14:paraId="112AEFA1" w14:textId="55932CE0" w:rsidR="007453B1" w:rsidRPr="00E540D3" w:rsidRDefault="004C19AF" w:rsidP="00F5121A">
      <w:pPr>
        <w:pStyle w:val="ListParagraph"/>
        <w:numPr>
          <w:ilvl w:val="0"/>
          <w:numId w:val="19"/>
        </w:numPr>
        <w:spacing w:before="120"/>
        <w:rPr>
          <w:sz w:val="24"/>
          <w:szCs w:val="24"/>
        </w:rPr>
      </w:pPr>
      <w:r w:rsidRPr="00E540D3">
        <w:rPr>
          <w:sz w:val="24"/>
          <w:szCs w:val="24"/>
        </w:rPr>
        <w:t>The water policy and research communities hold frequent workshops. They are well-networked across Australia and with water research communities around the world.</w:t>
      </w:r>
    </w:p>
    <w:p w14:paraId="33B12B19" w14:textId="06D4ECCC" w:rsidR="00F5121A" w:rsidRDefault="00F5121A" w:rsidP="00C86316">
      <w:pPr>
        <w:spacing w:before="120"/>
      </w:pPr>
    </w:p>
    <w:p w14:paraId="104AD3B3" w14:textId="0EB6AFCF" w:rsidR="0063519E" w:rsidRDefault="004D4FD6" w:rsidP="0063519E">
      <w:pPr>
        <w:spacing w:before="120"/>
      </w:pPr>
      <w:r>
        <w:t>The UK</w:t>
      </w:r>
      <w:r w:rsidR="00CC7359">
        <w:t xml:space="preserve">’s 2025 </w:t>
      </w:r>
      <w:r w:rsidR="00A13BE2" w:rsidRPr="005513B9">
        <w:rPr>
          <w:b/>
          <w:bCs/>
        </w:rPr>
        <w:t>Independent Water Commission</w:t>
      </w:r>
      <w:r w:rsidR="00CF4D9C" w:rsidRPr="005513B9">
        <w:rPr>
          <w:b/>
          <w:bCs/>
        </w:rPr>
        <w:t xml:space="preserve"> Final Report</w:t>
      </w:r>
      <w:r w:rsidR="00CF4D9C">
        <w:t xml:space="preserve"> </w:t>
      </w:r>
      <w:r w:rsidR="009D504C">
        <w:t>“</w:t>
      </w:r>
      <w:r w:rsidR="0063519E">
        <w:t>The 2025 Cunliffe Review</w:t>
      </w:r>
      <w:r w:rsidR="009D504C">
        <w:t>”</w:t>
      </w:r>
      <w:r w:rsidR="001F5C65">
        <w:t xml:space="preserve"> </w:t>
      </w:r>
      <w:r w:rsidR="0063519E">
        <w:t>(</w:t>
      </w:r>
      <w:hyperlink r:id="rId12" w:history="1">
        <w:r w:rsidR="0063519E" w:rsidRPr="00F8224A">
          <w:rPr>
            <w:rStyle w:val="Hyperlink"/>
          </w:rPr>
          <w:t>https://www.gov.uk/government/publications/independent-water-commission-review-of-the-water-sector</w:t>
        </w:r>
      </w:hyperlink>
      <w:r w:rsidR="0063519E">
        <w:t>) highlights that where regulatory frameworks prioritise cost certainty and short</w:t>
      </w:r>
      <w:r w:rsidR="0063519E">
        <w:rPr>
          <w:rFonts w:ascii="Cambria Math" w:hAnsi="Cambria Math" w:cs="Cambria Math"/>
        </w:rPr>
        <w:t>‑</w:t>
      </w:r>
      <w:r w:rsidR="0063519E">
        <w:t>term efficiency, innovation and science become systematically disadvantaged. The Review finds that inadequate incentives for research and development limit the sector</w:t>
      </w:r>
      <w:r w:rsidR="0063519E">
        <w:rPr>
          <w:rFonts w:ascii="Calibri" w:hAnsi="Calibri" w:cs="Calibri"/>
        </w:rPr>
        <w:t>’</w:t>
      </w:r>
      <w:r w:rsidR="0063519E">
        <w:t xml:space="preserve">s ability to respond to climate </w:t>
      </w:r>
      <w:r w:rsidR="0063519E">
        <w:lastRenderedPageBreak/>
        <w:t>change, increase long</w:t>
      </w:r>
      <w:r w:rsidR="0063519E">
        <w:rPr>
          <w:rFonts w:ascii="Cambria Math" w:hAnsi="Cambria Math" w:cs="Cambria Math"/>
        </w:rPr>
        <w:t>‑</w:t>
      </w:r>
      <w:r w:rsidR="0063519E">
        <w:t>term system costs, undermine affordability, and erode industry capability. Together, these impacts reinforce a cycle of conservatism that constrains the effective application of research and scientific advancement across the water sector.</w:t>
      </w:r>
    </w:p>
    <w:p w14:paraId="6E95BE38" w14:textId="79D219B7" w:rsidR="00FF193F" w:rsidRDefault="00295F3F" w:rsidP="00C86316">
      <w:pPr>
        <w:spacing w:before="120"/>
      </w:pPr>
      <w:r>
        <w:t xml:space="preserve">The Independent </w:t>
      </w:r>
      <w:proofErr w:type="spellStart"/>
      <w:r>
        <w:t>Water</w:t>
      </w:r>
      <w:r w:rsidR="00A932F1">
        <w:t>Commission’s</w:t>
      </w:r>
      <w:proofErr w:type="spellEnd"/>
      <w:r w:rsidR="00A932F1">
        <w:t xml:space="preserve"> final conclusions and recommendations</w:t>
      </w:r>
      <w:r w:rsidR="00B33950">
        <w:t xml:space="preserve"> we</w:t>
      </w:r>
      <w:r w:rsidR="00A932F1">
        <w:t xml:space="preserve">re organised around seven themes, </w:t>
      </w:r>
      <w:r w:rsidR="002D4B7E">
        <w:t xml:space="preserve">articulating that </w:t>
      </w:r>
      <w:r w:rsidR="00A932F1">
        <w:t xml:space="preserve">ambitious change </w:t>
      </w:r>
      <w:r w:rsidR="002D4B7E">
        <w:t>wa</w:t>
      </w:r>
      <w:r w:rsidR="00A932F1">
        <w:t>s needed to drive a fundamental ‘reset’ of the water sector. The Commission recommend</w:t>
      </w:r>
      <w:r w:rsidR="007B5C1D">
        <w:t>ed</w:t>
      </w:r>
      <w:r w:rsidR="00A932F1">
        <w:t xml:space="preserve"> that </w:t>
      </w:r>
      <w:r w:rsidR="00A932F1" w:rsidRPr="007B5C1D">
        <w:rPr>
          <w:b/>
          <w:bCs/>
        </w:rPr>
        <w:t xml:space="preserve">new national strategies </w:t>
      </w:r>
      <w:r w:rsidR="00A932F1" w:rsidRPr="0032523E">
        <w:t>should be brought forward to</w:t>
      </w:r>
      <w:r w:rsidR="00A932F1" w:rsidRPr="007B5C1D">
        <w:rPr>
          <w:b/>
          <w:bCs/>
        </w:rPr>
        <w:t xml:space="preserve"> provide a better long-term vision that drives delivery, articulates priorities and trade-offs, and has a cross-sectoral focus</w:t>
      </w:r>
      <w:r w:rsidR="00A932F1">
        <w:t xml:space="preserve">. The Commission </w:t>
      </w:r>
      <w:r w:rsidR="00645227">
        <w:t>al</w:t>
      </w:r>
      <w:r w:rsidR="00A932F1">
        <w:t>s</w:t>
      </w:r>
      <w:r w:rsidR="00645227">
        <w:t>o</w:t>
      </w:r>
      <w:r w:rsidR="00A932F1">
        <w:t xml:space="preserve"> recommend</w:t>
      </w:r>
      <w:r w:rsidR="00645227">
        <w:t xml:space="preserve">ed </w:t>
      </w:r>
      <w:r w:rsidR="00A932F1">
        <w:t>more effectively integrate</w:t>
      </w:r>
      <w:r w:rsidR="00645227">
        <w:t>d</w:t>
      </w:r>
      <w:r w:rsidR="00A932F1">
        <w:t xml:space="preserve"> planning across the whole water system</w:t>
      </w:r>
      <w:r w:rsidR="00CF6DD3">
        <w:t xml:space="preserve"> was needed</w:t>
      </w:r>
      <w:r w:rsidR="00A932F1">
        <w:t xml:space="preserve"> –</w:t>
      </w:r>
      <w:r w:rsidR="005616CD">
        <w:t xml:space="preserve"> where </w:t>
      </w:r>
      <w:r w:rsidR="00A932F1" w:rsidRPr="005616CD">
        <w:rPr>
          <w:b/>
          <w:bCs/>
        </w:rPr>
        <w:t>planning approaches are significantly streamlined, additional flexibility is built into the 5-year Price Review cycle, and a common and robust approach to economic appraisal</w:t>
      </w:r>
      <w:r w:rsidR="00A932F1">
        <w:t xml:space="preserve"> is implemented.</w:t>
      </w:r>
      <w:r w:rsidR="00BF4A33">
        <w:t xml:space="preserve"> T</w:t>
      </w:r>
      <w:r w:rsidR="00A932F1">
        <w:t xml:space="preserve">he Commission </w:t>
      </w:r>
      <w:r w:rsidR="007D76BC">
        <w:t>also</w:t>
      </w:r>
      <w:r w:rsidR="00A932F1">
        <w:t xml:space="preserve"> recommend</w:t>
      </w:r>
      <w:r w:rsidR="00BF4A33">
        <w:t>ed changes to l</w:t>
      </w:r>
      <w:r w:rsidR="00BF4A33" w:rsidRPr="007D76BC">
        <w:rPr>
          <w:b/>
          <w:bCs/>
        </w:rPr>
        <w:t>egislative frameworks to</w:t>
      </w:r>
      <w:r w:rsidR="00A932F1" w:rsidRPr="007D76BC">
        <w:rPr>
          <w:b/>
          <w:bCs/>
        </w:rPr>
        <w:t xml:space="preserve"> drive solutions</w:t>
      </w:r>
      <w:r w:rsidR="00232E50">
        <w:t>,</w:t>
      </w:r>
      <w:r w:rsidR="00A932F1">
        <w:t xml:space="preserve"> that the regulator should be better resourced to improve monitoring, and that the regulator should have more ‘constrained discretion’ to achieve better outcomes.</w:t>
      </w:r>
      <w:r w:rsidR="00FB648F">
        <w:t xml:space="preserve"> </w:t>
      </w:r>
      <w:r w:rsidR="00A932F1">
        <w:t xml:space="preserve">The Commission </w:t>
      </w:r>
      <w:r w:rsidR="00FB648F">
        <w:t>wa</w:t>
      </w:r>
      <w:r w:rsidR="00A932F1">
        <w:t xml:space="preserve">s clear </w:t>
      </w:r>
      <w:r w:rsidR="00FB648F">
        <w:t xml:space="preserve">on the </w:t>
      </w:r>
      <w:r w:rsidR="00A932F1">
        <w:t xml:space="preserve">need for a much stronger and </w:t>
      </w:r>
      <w:r w:rsidR="00A932F1" w:rsidRPr="00D976A2">
        <w:rPr>
          <w:b/>
          <w:bCs/>
        </w:rPr>
        <w:t xml:space="preserve">integrated regulatory framework </w:t>
      </w:r>
      <w:r w:rsidR="00A932F1">
        <w:t>– one that can respond to challenges, regulate the water sector as a whole and command public confidence</w:t>
      </w:r>
      <w:r w:rsidR="004672C5">
        <w:t xml:space="preserve">. </w:t>
      </w:r>
      <w:r w:rsidR="00A932F1">
        <w:t>As part of a fundamental reset in the way the regulator engages with companies, the Commission recommend</w:t>
      </w:r>
      <w:r w:rsidR="00604700">
        <w:t>ed</w:t>
      </w:r>
      <w:r w:rsidR="00A932F1">
        <w:t xml:space="preserve"> th</w:t>
      </w:r>
      <w:r w:rsidR="00EA0C5F">
        <w:t>e adoption of</w:t>
      </w:r>
      <w:r w:rsidR="00A932F1">
        <w:t xml:space="preserve"> a ‘</w:t>
      </w:r>
      <w:r w:rsidR="00A932F1" w:rsidRPr="00604700">
        <w:rPr>
          <w:b/>
          <w:bCs/>
        </w:rPr>
        <w:t>supervisory approach’</w:t>
      </w:r>
      <w:r w:rsidR="008251F6">
        <w:t xml:space="preserve">, and </w:t>
      </w:r>
      <w:r w:rsidR="001334EA">
        <w:t>actions by regulators and government to reduce risks to investing in the water industry and thereby attract long-term investors.</w:t>
      </w:r>
      <w:r w:rsidR="005B1684">
        <w:t xml:space="preserve"> </w:t>
      </w:r>
      <w:r w:rsidR="001334EA">
        <w:t>To improve resilience, the Commission recommend</w:t>
      </w:r>
      <w:r w:rsidR="00993416">
        <w:t xml:space="preserve">ed </w:t>
      </w:r>
      <w:r w:rsidR="001334EA">
        <w:t xml:space="preserve">that statutory resilience standards be adopted, </w:t>
      </w:r>
      <w:r w:rsidR="002F1BBC" w:rsidRPr="007F53B7">
        <w:rPr>
          <w:b/>
          <w:bCs/>
        </w:rPr>
        <w:t>and</w:t>
      </w:r>
      <w:r w:rsidR="001334EA" w:rsidRPr="007F53B7">
        <w:rPr>
          <w:b/>
          <w:bCs/>
        </w:rPr>
        <w:t xml:space="preserve"> strengthen</w:t>
      </w:r>
      <w:r w:rsidR="002F1BBC" w:rsidRPr="007F53B7">
        <w:rPr>
          <w:b/>
          <w:bCs/>
        </w:rPr>
        <w:t>ed</w:t>
      </w:r>
      <w:r w:rsidR="001334EA" w:rsidRPr="007F53B7">
        <w:rPr>
          <w:b/>
          <w:bCs/>
        </w:rPr>
        <w:t xml:space="preserve"> arrangements in four areas: planning, planning processes, regulatory coordination, and standardised practices</w:t>
      </w:r>
      <w:r w:rsidR="001334EA">
        <w:t xml:space="preserve">. And to support innovation, it </w:t>
      </w:r>
      <w:proofErr w:type="spellStart"/>
      <w:r w:rsidR="001334EA">
        <w:t>recommendi</w:t>
      </w:r>
      <w:r w:rsidR="00723B00">
        <w:t>ed</w:t>
      </w:r>
      <w:proofErr w:type="spellEnd"/>
      <w:r w:rsidR="001334EA">
        <w:t xml:space="preserve"> that regulatory sandboxes are introduced and that the </w:t>
      </w:r>
      <w:r w:rsidR="001334EA" w:rsidRPr="00387B3B">
        <w:rPr>
          <w:b/>
          <w:bCs/>
        </w:rPr>
        <w:t>efficacy of innovative funding mechanisms</w:t>
      </w:r>
      <w:r w:rsidR="001334EA">
        <w:t xml:space="preserve"> </w:t>
      </w:r>
      <w:proofErr w:type="gramStart"/>
      <w:r w:rsidR="002D0C87">
        <w:t>were</w:t>
      </w:r>
      <w:proofErr w:type="gramEnd"/>
      <w:r w:rsidR="001334EA">
        <w:t xml:space="preserve"> reviewed.</w:t>
      </w:r>
    </w:p>
    <w:p w14:paraId="3FA0452A" w14:textId="77777777" w:rsidR="00FF193F" w:rsidRDefault="00FF193F" w:rsidP="00C86316">
      <w:pPr>
        <w:spacing w:before="120"/>
      </w:pPr>
    </w:p>
    <w:p w14:paraId="1D337DDB" w14:textId="003493C1" w:rsidR="00BC5B62" w:rsidRPr="0033676F" w:rsidRDefault="00A405E2" w:rsidP="001F43AC">
      <w:pPr>
        <w:spacing w:before="120"/>
        <w:rPr>
          <w:b/>
          <w:bCs/>
        </w:rPr>
      </w:pPr>
      <w:r w:rsidRPr="002D763E">
        <w:rPr>
          <w:b/>
          <w:bCs/>
        </w:rPr>
        <w:t>D</w:t>
      </w:r>
      <w:r w:rsidR="009575CC">
        <w:rPr>
          <w:b/>
          <w:bCs/>
        </w:rPr>
        <w:t>ISCUSSION</w:t>
      </w:r>
    </w:p>
    <w:p w14:paraId="3C8E3EA7" w14:textId="409853A1" w:rsidR="00CC1033" w:rsidRPr="00662D86" w:rsidRDefault="002E5719" w:rsidP="001F43AC">
      <w:pPr>
        <w:spacing w:before="120"/>
      </w:pPr>
      <w:r w:rsidRPr="00662D86">
        <w:t xml:space="preserve">In April 2026, </w:t>
      </w:r>
      <w:r w:rsidR="005C3A0D" w:rsidRPr="008A4CD5">
        <w:rPr>
          <w:i/>
          <w:iCs/>
        </w:rPr>
        <w:t>Water Research Australia</w:t>
      </w:r>
      <w:r w:rsidR="005C3A0D" w:rsidRPr="00662D86">
        <w:t xml:space="preserve"> engaged GHD to </w:t>
      </w:r>
      <w:proofErr w:type="spellStart"/>
      <w:r w:rsidR="007440DD" w:rsidRPr="00662D86">
        <w:t>underake</w:t>
      </w:r>
      <w:proofErr w:type="spellEnd"/>
      <w:r w:rsidR="007440DD" w:rsidRPr="00662D86">
        <w:t xml:space="preserve"> a targeted </w:t>
      </w:r>
      <w:r w:rsidR="002D0C87">
        <w:t>G</w:t>
      </w:r>
      <w:r w:rsidR="007440DD" w:rsidRPr="00662D86">
        <w:t xml:space="preserve">ap </w:t>
      </w:r>
      <w:r w:rsidR="002D0C87">
        <w:t>A</w:t>
      </w:r>
      <w:r w:rsidR="007440DD" w:rsidRPr="00662D86">
        <w:t>nalysis across 22 key legislative, regulatory and policy instruments in the Australian water landscape</w:t>
      </w:r>
      <w:r w:rsidRPr="00662D86">
        <w:t xml:space="preserve">. </w:t>
      </w:r>
      <w:r w:rsidR="001B741A">
        <w:t>T</w:t>
      </w:r>
      <w:r w:rsidRPr="00662D86">
        <w:t>he</w:t>
      </w:r>
      <w:r w:rsidR="00995B2F" w:rsidRPr="00662D86">
        <w:t xml:space="preserve"> analysis </w:t>
      </w:r>
      <w:r w:rsidR="00AF4F16">
        <w:t>found three integrated and inter-r</w:t>
      </w:r>
      <w:r w:rsidR="00824B03">
        <w:t>e</w:t>
      </w:r>
      <w:r w:rsidR="00AF4F16">
        <w:t>l</w:t>
      </w:r>
      <w:r w:rsidR="00824B03">
        <w:t>a</w:t>
      </w:r>
      <w:r w:rsidR="00AF4F16">
        <w:t xml:space="preserve">ted themes that demonstrate </w:t>
      </w:r>
      <w:r w:rsidRPr="00662D86">
        <w:t>a systemic absence of</w:t>
      </w:r>
      <w:r w:rsidR="00CC1033" w:rsidRPr="00662D86">
        <w:t xml:space="preserve"> </w:t>
      </w:r>
      <w:r w:rsidRPr="00662D86">
        <w:t>clear, durable arrangements that</w:t>
      </w:r>
      <w:r w:rsidR="00CC1033" w:rsidRPr="00662D86">
        <w:t>:</w:t>
      </w:r>
    </w:p>
    <w:p w14:paraId="0F583D4B" w14:textId="26671A14" w:rsidR="00F54478" w:rsidRPr="00662D86" w:rsidRDefault="002E5719" w:rsidP="001F43AC">
      <w:pPr>
        <w:pStyle w:val="ListParagraph"/>
        <w:numPr>
          <w:ilvl w:val="0"/>
          <w:numId w:val="12"/>
        </w:numPr>
        <w:spacing w:before="120" w:after="0" w:line="240" w:lineRule="auto"/>
        <w:rPr>
          <w:sz w:val="24"/>
          <w:szCs w:val="24"/>
        </w:rPr>
      </w:pPr>
      <w:r w:rsidRPr="00662D86">
        <w:rPr>
          <w:sz w:val="24"/>
          <w:szCs w:val="24"/>
        </w:rPr>
        <w:t xml:space="preserve">allocate responsibility for coordinating and stewarding the national water </w:t>
      </w:r>
      <w:r w:rsidR="00C8207F">
        <w:rPr>
          <w:sz w:val="24"/>
          <w:szCs w:val="24"/>
        </w:rPr>
        <w:t xml:space="preserve">research and </w:t>
      </w:r>
      <w:r w:rsidRPr="00662D86">
        <w:rPr>
          <w:sz w:val="24"/>
          <w:szCs w:val="24"/>
        </w:rPr>
        <w:t xml:space="preserve">science base, </w:t>
      </w:r>
    </w:p>
    <w:p w14:paraId="2F3F46CA" w14:textId="65A42406" w:rsidR="001A587E" w:rsidRPr="00662D86" w:rsidRDefault="001B2C34" w:rsidP="001F43AC">
      <w:pPr>
        <w:pStyle w:val="ListParagraph"/>
        <w:numPr>
          <w:ilvl w:val="0"/>
          <w:numId w:val="12"/>
        </w:numPr>
        <w:spacing w:before="120" w:after="0" w:line="240" w:lineRule="auto"/>
        <w:rPr>
          <w:sz w:val="24"/>
          <w:szCs w:val="24"/>
        </w:rPr>
      </w:pPr>
      <w:r w:rsidRPr="00662D86">
        <w:rPr>
          <w:sz w:val="24"/>
          <w:szCs w:val="24"/>
        </w:rPr>
        <w:t xml:space="preserve">secure research pathways, processes, and funding to support </w:t>
      </w:r>
      <w:r w:rsidR="00F54478" w:rsidRPr="00662D86">
        <w:rPr>
          <w:sz w:val="24"/>
          <w:szCs w:val="24"/>
        </w:rPr>
        <w:t xml:space="preserve">the creation of </w:t>
      </w:r>
      <w:r w:rsidR="001A587E" w:rsidRPr="00662D86">
        <w:rPr>
          <w:sz w:val="24"/>
          <w:szCs w:val="24"/>
        </w:rPr>
        <w:t>the science to support the</w:t>
      </w:r>
      <w:r w:rsidR="006A6EF5">
        <w:rPr>
          <w:sz w:val="24"/>
          <w:szCs w:val="24"/>
        </w:rPr>
        <w:t xml:space="preserve"> </w:t>
      </w:r>
      <w:r w:rsidR="001A587E" w:rsidRPr="00662D86">
        <w:rPr>
          <w:sz w:val="24"/>
          <w:szCs w:val="24"/>
        </w:rPr>
        <w:t>science</w:t>
      </w:r>
      <w:r w:rsidR="00C8207F">
        <w:rPr>
          <w:sz w:val="24"/>
          <w:szCs w:val="24"/>
        </w:rPr>
        <w:t>-</w:t>
      </w:r>
      <w:r w:rsidR="001A587E" w:rsidRPr="00662D86">
        <w:rPr>
          <w:sz w:val="24"/>
          <w:szCs w:val="24"/>
        </w:rPr>
        <w:t xml:space="preserve">based </w:t>
      </w:r>
      <w:r w:rsidR="006A6EF5">
        <w:rPr>
          <w:sz w:val="24"/>
          <w:szCs w:val="24"/>
        </w:rPr>
        <w:t xml:space="preserve">long-term </w:t>
      </w:r>
      <w:r w:rsidR="001A587E" w:rsidRPr="00662D86">
        <w:rPr>
          <w:sz w:val="24"/>
          <w:szCs w:val="24"/>
        </w:rPr>
        <w:t xml:space="preserve">decision-making, and </w:t>
      </w:r>
    </w:p>
    <w:p w14:paraId="73FF736A" w14:textId="5A69FDED" w:rsidR="00BC5B62" w:rsidRDefault="002E5719" w:rsidP="001F43AC">
      <w:pPr>
        <w:pStyle w:val="ListParagraph"/>
        <w:numPr>
          <w:ilvl w:val="0"/>
          <w:numId w:val="12"/>
        </w:numPr>
        <w:spacing w:before="120" w:after="0" w:line="240" w:lineRule="auto"/>
        <w:rPr>
          <w:sz w:val="24"/>
          <w:szCs w:val="24"/>
        </w:rPr>
      </w:pPr>
      <w:r w:rsidRPr="00662D86">
        <w:rPr>
          <w:sz w:val="24"/>
          <w:szCs w:val="24"/>
        </w:rPr>
        <w:t>translate research and innovation into consistent policy, planning and regulatory practice.</w:t>
      </w:r>
    </w:p>
    <w:p w14:paraId="050389A0" w14:textId="77777777" w:rsidR="00D0377E" w:rsidRPr="00D0377E" w:rsidRDefault="00D0377E" w:rsidP="00D0377E">
      <w:pPr>
        <w:spacing w:before="120"/>
        <w:ind w:left="360"/>
      </w:pPr>
    </w:p>
    <w:p w14:paraId="7D6B6CA4" w14:textId="1E3AF6BE" w:rsidR="00882073" w:rsidRPr="0008659A" w:rsidRDefault="00882073" w:rsidP="001F43AC">
      <w:pPr>
        <w:shd w:val="clear" w:color="auto" w:fill="D0CECE" w:themeFill="background2" w:themeFillShade="E6"/>
        <w:spacing w:before="120"/>
        <w:jc w:val="center"/>
        <w:rPr>
          <w:i/>
          <w:iCs/>
        </w:rPr>
      </w:pPr>
      <w:r w:rsidRPr="0008659A">
        <w:rPr>
          <w:i/>
          <w:iCs/>
        </w:rPr>
        <w:t xml:space="preserve">Overall, the </w:t>
      </w:r>
      <w:r w:rsidR="006A6EF5">
        <w:rPr>
          <w:i/>
          <w:iCs/>
        </w:rPr>
        <w:t>G</w:t>
      </w:r>
      <w:r w:rsidRPr="0008659A">
        <w:rPr>
          <w:i/>
          <w:iCs/>
        </w:rPr>
        <w:t xml:space="preserve">ap </w:t>
      </w:r>
      <w:r w:rsidR="006A6EF5">
        <w:rPr>
          <w:i/>
          <w:iCs/>
        </w:rPr>
        <w:t>A</w:t>
      </w:r>
      <w:r w:rsidRPr="0008659A">
        <w:rPr>
          <w:i/>
          <w:iCs/>
        </w:rPr>
        <w:t xml:space="preserve">nalysis found that water research and science are systemically under-valued, with many instruments treating them as implicit </w:t>
      </w:r>
      <w:r w:rsidR="005D3EBB">
        <w:rPr>
          <w:i/>
          <w:iCs/>
        </w:rPr>
        <w:t xml:space="preserve">or optional </w:t>
      </w:r>
      <w:r w:rsidRPr="0008659A">
        <w:rPr>
          <w:i/>
          <w:iCs/>
        </w:rPr>
        <w:t>to core functions rather than key enablers of effective water</w:t>
      </w:r>
      <w:r w:rsidR="007742CF">
        <w:rPr>
          <w:i/>
          <w:iCs/>
        </w:rPr>
        <w:t xml:space="preserve"> system</w:t>
      </w:r>
      <w:r w:rsidRPr="0008659A">
        <w:rPr>
          <w:i/>
          <w:iCs/>
        </w:rPr>
        <w:t xml:space="preserve"> management. This has significant implications for the achievement of NWI objectives and the effectiveness and durability of water resource management reform.</w:t>
      </w:r>
    </w:p>
    <w:p w14:paraId="68B87CB7" w14:textId="77777777" w:rsidR="00656163" w:rsidRPr="00662D86" w:rsidRDefault="00656163" w:rsidP="001F43AC">
      <w:pPr>
        <w:spacing w:before="120"/>
        <w:rPr>
          <w:b/>
          <w:bCs/>
        </w:rPr>
      </w:pPr>
    </w:p>
    <w:p w14:paraId="1FB274EF" w14:textId="1C8C0357" w:rsidR="001F43AC" w:rsidRPr="00D16AD4" w:rsidRDefault="00656163" w:rsidP="003C3814">
      <w:pPr>
        <w:spacing w:before="120"/>
        <w:jc w:val="center"/>
        <w:rPr>
          <w:b/>
          <w:bCs/>
          <w:i/>
          <w:iCs/>
        </w:rPr>
      </w:pPr>
      <w:r>
        <w:rPr>
          <w:b/>
          <w:bCs/>
          <w:i/>
          <w:iCs/>
        </w:rPr>
        <w:lastRenderedPageBreak/>
        <w:t>“</w:t>
      </w:r>
      <w:r w:rsidR="00E35927" w:rsidRPr="00656163">
        <w:rPr>
          <w:b/>
          <w:bCs/>
          <w:i/>
          <w:iCs/>
        </w:rPr>
        <w:t>Australia’s core legislative and policy instruments do not explicitly integrate science, research and innovation in the water secto</w:t>
      </w:r>
      <w:r>
        <w:rPr>
          <w:b/>
          <w:bCs/>
          <w:i/>
          <w:iCs/>
        </w:rPr>
        <w:t>r”</w:t>
      </w:r>
    </w:p>
    <w:p w14:paraId="799EC9CC" w14:textId="4580805E" w:rsidR="001F43AC" w:rsidRPr="00410850" w:rsidRDefault="0094385B" w:rsidP="001F43AC">
      <w:pPr>
        <w:spacing w:before="120"/>
        <w:rPr>
          <w:i/>
          <w:iCs/>
        </w:rPr>
      </w:pPr>
      <w:r>
        <w:rPr>
          <w:i/>
          <w:iCs/>
        </w:rPr>
        <w:t>I</w:t>
      </w:r>
      <w:r w:rsidR="003C3814">
        <w:rPr>
          <w:i/>
          <w:iCs/>
        </w:rPr>
        <w:t>n</w:t>
      </w:r>
      <w:r>
        <w:rPr>
          <w:i/>
          <w:iCs/>
        </w:rPr>
        <w:t xml:space="preserve"> a </w:t>
      </w:r>
      <w:r w:rsidR="00DB61B6">
        <w:rPr>
          <w:i/>
          <w:iCs/>
        </w:rPr>
        <w:t>G</w:t>
      </w:r>
      <w:r>
        <w:rPr>
          <w:i/>
          <w:iCs/>
        </w:rPr>
        <w:t xml:space="preserve">ap </w:t>
      </w:r>
      <w:r w:rsidR="00DB61B6">
        <w:rPr>
          <w:i/>
          <w:iCs/>
        </w:rPr>
        <w:t>A</w:t>
      </w:r>
      <w:r>
        <w:rPr>
          <w:i/>
          <w:iCs/>
        </w:rPr>
        <w:t xml:space="preserve">nalysis of </w:t>
      </w:r>
      <w:r w:rsidRPr="0094385B">
        <w:rPr>
          <w:i/>
          <w:iCs/>
        </w:rPr>
        <w:t xml:space="preserve">22 key legislative, regulatory and policy instruments </w:t>
      </w:r>
      <w:r w:rsidR="00C30C90">
        <w:rPr>
          <w:i/>
          <w:iCs/>
        </w:rPr>
        <w:t>o</w:t>
      </w:r>
      <w:r w:rsidR="00315CED" w:rsidRPr="00315CED">
        <w:rPr>
          <w:i/>
          <w:iCs/>
        </w:rPr>
        <w:t xml:space="preserve">utside </w:t>
      </w:r>
      <w:r w:rsidR="00656163">
        <w:rPr>
          <w:i/>
          <w:iCs/>
        </w:rPr>
        <w:t>o</w:t>
      </w:r>
      <w:r w:rsidR="00315CED" w:rsidRPr="00315CED">
        <w:rPr>
          <w:i/>
          <w:iCs/>
        </w:rPr>
        <w:t>f</w:t>
      </w:r>
      <w:r w:rsidR="00C873BE">
        <w:rPr>
          <w:i/>
          <w:iCs/>
        </w:rPr>
        <w:t xml:space="preserve"> those relating specifically to</w:t>
      </w:r>
      <w:r w:rsidR="00315CED" w:rsidRPr="00315CED">
        <w:rPr>
          <w:i/>
          <w:iCs/>
        </w:rPr>
        <w:t xml:space="preserve"> water resource</w:t>
      </w:r>
      <w:r w:rsidR="00C873BE">
        <w:rPr>
          <w:i/>
          <w:iCs/>
        </w:rPr>
        <w:t xml:space="preserve"> management</w:t>
      </w:r>
      <w:r w:rsidR="00D16AD4">
        <w:rPr>
          <w:i/>
          <w:iCs/>
        </w:rPr>
        <w:t>,</w:t>
      </w:r>
      <w:r w:rsidR="00315CED" w:rsidRPr="00315CED">
        <w:rPr>
          <w:i/>
          <w:iCs/>
        </w:rPr>
        <w:t xml:space="preserve"> and th</w:t>
      </w:r>
      <w:r w:rsidR="00D16AD4">
        <w:rPr>
          <w:i/>
          <w:iCs/>
        </w:rPr>
        <w:t>ose specific to the</w:t>
      </w:r>
      <w:r w:rsidR="00315CED" w:rsidRPr="00315CED">
        <w:rPr>
          <w:i/>
          <w:iCs/>
        </w:rPr>
        <w:t xml:space="preserve"> Murray–Darling Basin, there is no explicit reference to science, research or innovation in key legislative and policy instruments.</w:t>
      </w:r>
      <w:r>
        <w:rPr>
          <w:i/>
          <w:iCs/>
        </w:rPr>
        <w:t xml:space="preserve">  The water sector</w:t>
      </w:r>
      <w:r w:rsidR="00410850">
        <w:rPr>
          <w:i/>
          <w:iCs/>
        </w:rPr>
        <w:t>’s needs are national</w:t>
      </w:r>
      <w:r w:rsidR="00E57F7E">
        <w:rPr>
          <w:i/>
          <w:iCs/>
        </w:rPr>
        <w:t>,</w:t>
      </w:r>
      <w:r w:rsidR="00410850">
        <w:rPr>
          <w:i/>
          <w:iCs/>
        </w:rPr>
        <w:t xml:space="preserve"> and the science is </w:t>
      </w:r>
      <w:r w:rsidR="00410850" w:rsidRPr="00410850">
        <w:rPr>
          <w:i/>
          <w:iCs/>
        </w:rPr>
        <w:t>b</w:t>
      </w:r>
      <w:r w:rsidR="00410850">
        <w:rPr>
          <w:i/>
          <w:iCs/>
        </w:rPr>
        <w:t>r</w:t>
      </w:r>
      <w:r w:rsidR="00410850" w:rsidRPr="00410850">
        <w:rPr>
          <w:i/>
          <w:iCs/>
        </w:rPr>
        <w:t xml:space="preserve">oader including </w:t>
      </w:r>
      <w:r w:rsidR="00410850">
        <w:rPr>
          <w:i/>
          <w:iCs/>
        </w:rPr>
        <w:t xml:space="preserve">topics such as </w:t>
      </w:r>
      <w:r w:rsidR="00410850" w:rsidRPr="00410850">
        <w:rPr>
          <w:i/>
          <w:iCs/>
        </w:rPr>
        <w:t xml:space="preserve">climate, wastewater treatment, research recovery, contaminants, </w:t>
      </w:r>
      <w:r w:rsidR="00297891">
        <w:rPr>
          <w:i/>
          <w:iCs/>
        </w:rPr>
        <w:t xml:space="preserve">digital transformations, </w:t>
      </w:r>
      <w:r w:rsidR="00410850" w:rsidRPr="00410850">
        <w:rPr>
          <w:i/>
          <w:iCs/>
        </w:rPr>
        <w:t>emissions</w:t>
      </w:r>
      <w:r w:rsidR="00410850">
        <w:rPr>
          <w:i/>
          <w:iCs/>
        </w:rPr>
        <w:t>, behaviour change</w:t>
      </w:r>
      <w:r w:rsidR="00297891">
        <w:rPr>
          <w:i/>
          <w:iCs/>
        </w:rPr>
        <w:t>.</w:t>
      </w:r>
    </w:p>
    <w:p w14:paraId="23A6677E" w14:textId="7F4267EF" w:rsidR="007E407C" w:rsidRDefault="007E407C" w:rsidP="001F43AC">
      <w:pPr>
        <w:spacing w:before="120"/>
      </w:pPr>
      <w:r>
        <w:t>Ou</w:t>
      </w:r>
      <w:r w:rsidR="00A878C8">
        <w:t>tside of those exception</w:t>
      </w:r>
      <w:r w:rsidR="003C3814">
        <w:t>s</w:t>
      </w:r>
      <w:r w:rsidR="00A878C8">
        <w:t xml:space="preserve"> the </w:t>
      </w:r>
      <w:r w:rsidR="00B44DFF">
        <w:t>G</w:t>
      </w:r>
      <w:r w:rsidR="00A878C8">
        <w:t xml:space="preserve">ap </w:t>
      </w:r>
      <w:r w:rsidR="00B44DFF">
        <w:t>A</w:t>
      </w:r>
      <w:r w:rsidR="00A878C8">
        <w:t>nalysis found</w:t>
      </w:r>
      <w:r>
        <w:t xml:space="preserve"> that</w:t>
      </w:r>
      <w:r w:rsidR="00A878C8">
        <w:t xml:space="preserve"> </w:t>
      </w:r>
      <w:r>
        <w:t xml:space="preserve">Australia’s core water legislation and policy frameworks do not explicitly articulate the role of science, research and innovation in supporting effective </w:t>
      </w:r>
      <w:r w:rsidR="00B44DFF">
        <w:t xml:space="preserve">whole-of-system </w:t>
      </w:r>
      <w:r>
        <w:t>water management. Where these concepts are referenced, they are typically framed at a high level and lack clarity or specificity.</w:t>
      </w:r>
    </w:p>
    <w:p w14:paraId="41DCFFF3" w14:textId="44C7FEDC" w:rsidR="007E407C" w:rsidRDefault="0071448D" w:rsidP="001F43AC">
      <w:pPr>
        <w:spacing w:before="120"/>
      </w:pPr>
      <w:r>
        <w:t xml:space="preserve">For example, </w:t>
      </w:r>
      <w:r w:rsidR="000F6350">
        <w:t>sections 21(4)(b) and 22(3)(k) of the Water Act 2007 (</w:t>
      </w:r>
      <w:proofErr w:type="spellStart"/>
      <w:r w:rsidR="000F6350">
        <w:t>Cth</w:t>
      </w:r>
      <w:proofErr w:type="spellEnd"/>
      <w:r w:rsidR="000F6350">
        <w:t>) require Basin planning to be informed by the best available scientific knowledge and supported by specified scientific information and models. W</w:t>
      </w:r>
      <w:r w:rsidR="007E407C">
        <w:t>hile the Water Act 2007 (</w:t>
      </w:r>
      <w:proofErr w:type="spellStart"/>
      <w:r w:rsidR="007E407C">
        <w:t>Cth</w:t>
      </w:r>
      <w:proofErr w:type="spellEnd"/>
      <w:r w:rsidR="007E407C">
        <w:t>) embeds requirements for the use of best available information in Basin</w:t>
      </w:r>
      <w:r w:rsidR="007E407C">
        <w:rPr>
          <w:rFonts w:ascii="Cambria Math" w:hAnsi="Cambria Math" w:cs="Cambria Math"/>
        </w:rPr>
        <w:t>‑</w:t>
      </w:r>
      <w:r w:rsidR="007E407C">
        <w:t>scale planning and establishes national water data functions, there is no comparable system</w:t>
      </w:r>
      <w:r w:rsidR="007E407C">
        <w:rPr>
          <w:rFonts w:ascii="Cambria Math" w:hAnsi="Cambria Math" w:cs="Cambria Math"/>
        </w:rPr>
        <w:t>‑</w:t>
      </w:r>
      <w:r w:rsidR="007E407C">
        <w:t>wide framework that defines how scientific capability, research investment or innovation should systematically inform broader water policy, planning and regulation.</w:t>
      </w:r>
      <w:r w:rsidR="00B3549A">
        <w:t xml:space="preserve"> </w:t>
      </w:r>
      <w:r w:rsidR="007E407C">
        <w:t>Consequently, the role of science and research i</w:t>
      </w:r>
      <w:r w:rsidR="00B3549A">
        <w:t>s left to be ancillary</w:t>
      </w:r>
      <w:r w:rsidR="007E407C">
        <w:t>, fragmented or discretionary, rather than embedded as a core element of water governance.</w:t>
      </w:r>
    </w:p>
    <w:p w14:paraId="6AD4BC67" w14:textId="17AFD3FB" w:rsidR="00FA2EAD" w:rsidRDefault="000F6350" w:rsidP="001F43AC">
      <w:pPr>
        <w:spacing w:before="120"/>
      </w:pPr>
      <w:r>
        <w:t xml:space="preserve">For example, </w:t>
      </w:r>
      <w:r w:rsidR="00FA2EAD">
        <w:t>t</w:t>
      </w:r>
      <w:r w:rsidR="007E407C">
        <w:t xml:space="preserve">he Water Act 1989 (Vic) similarly recognises research as a </w:t>
      </w:r>
      <w:r w:rsidR="00B540F3">
        <w:t>“</w:t>
      </w:r>
      <w:r w:rsidR="007E407C">
        <w:t>function</w:t>
      </w:r>
      <w:r w:rsidR="00B540F3">
        <w:t>”</w:t>
      </w:r>
      <w:r w:rsidR="007E407C">
        <w:t xml:space="preserve"> of water corporations under section 91(2)(a). Beyond th</w:t>
      </w:r>
      <w:r w:rsidR="00FA2EAD">
        <w:t>is limited statement, there is no guidance or requirement of how</w:t>
      </w:r>
      <w:r w:rsidR="003F7642">
        <w:t xml:space="preserve"> the research should be undertaken, supported or translated. There are no clear references to</w:t>
      </w:r>
      <w:r w:rsidR="00402788">
        <w:t xml:space="preserve"> quality, standards, or</w:t>
      </w:r>
      <w:r w:rsidR="003F7642">
        <w:t xml:space="preserve"> </w:t>
      </w:r>
      <w:r w:rsidR="00D80C21">
        <w:t>interactions with other jurisdictions</w:t>
      </w:r>
      <w:r w:rsidR="00402788">
        <w:t>,</w:t>
      </w:r>
      <w:r w:rsidR="00D80C21">
        <w:t xml:space="preserve"> </w:t>
      </w:r>
      <w:r w:rsidR="003C3814">
        <w:t>legislation or policy instruments.</w:t>
      </w:r>
    </w:p>
    <w:p w14:paraId="4FB33316" w14:textId="303370BA" w:rsidR="002D763E" w:rsidRDefault="007E407C" w:rsidP="001F43AC">
      <w:pPr>
        <w:spacing w:before="120"/>
      </w:pPr>
      <w:r>
        <w:t>This absence represents a material gap in Australia’s water policy architecture and highlights the need for legislative and planning frameworks to more clearly and consistently embed science and research as foundational enablers of resilient and adaptive water management.</w:t>
      </w:r>
    </w:p>
    <w:p w14:paraId="3A2E5F1F" w14:textId="77777777" w:rsidR="00303BB9" w:rsidRDefault="00303BB9" w:rsidP="001F43AC">
      <w:pPr>
        <w:spacing w:before="120"/>
      </w:pPr>
    </w:p>
    <w:p w14:paraId="1DA90C10" w14:textId="246D4BFB" w:rsidR="00210EB8" w:rsidRPr="002E28FF" w:rsidRDefault="00E57F7E" w:rsidP="002E28FF">
      <w:pPr>
        <w:spacing w:before="120"/>
        <w:jc w:val="center"/>
        <w:rPr>
          <w:b/>
          <w:bCs/>
        </w:rPr>
      </w:pPr>
      <w:r>
        <w:rPr>
          <w:b/>
          <w:bCs/>
        </w:rPr>
        <w:t>“</w:t>
      </w:r>
      <w:r w:rsidR="00BC3A37" w:rsidRPr="00BC3A37">
        <w:rPr>
          <w:b/>
          <w:bCs/>
        </w:rPr>
        <w:t xml:space="preserve">There is no clear legislative allocation of responsibility for coordinating or directing Australia’s </w:t>
      </w:r>
      <w:r w:rsidR="00FF1815">
        <w:rPr>
          <w:b/>
          <w:bCs/>
        </w:rPr>
        <w:t xml:space="preserve">science and </w:t>
      </w:r>
      <w:r w:rsidR="00BC3A37" w:rsidRPr="00BC3A37">
        <w:rPr>
          <w:b/>
          <w:bCs/>
        </w:rPr>
        <w:t>research</w:t>
      </w:r>
      <w:r>
        <w:rPr>
          <w:b/>
          <w:bCs/>
        </w:rPr>
        <w:t>”</w:t>
      </w:r>
    </w:p>
    <w:p w14:paraId="6208D630" w14:textId="7AF4451A" w:rsidR="00407D06" w:rsidRPr="00214623" w:rsidRDefault="00407D06" w:rsidP="001F43AC">
      <w:pPr>
        <w:spacing w:before="120"/>
        <w:rPr>
          <w:i/>
          <w:iCs/>
        </w:rPr>
      </w:pPr>
      <w:r w:rsidRPr="00407D06">
        <w:rPr>
          <w:i/>
          <w:iCs/>
        </w:rPr>
        <w:t>BOM and CSIRO are established</w:t>
      </w:r>
      <w:r w:rsidR="002E28FF">
        <w:rPr>
          <w:i/>
          <w:iCs/>
        </w:rPr>
        <w:t xml:space="preserve"> as statutory func</w:t>
      </w:r>
      <w:r w:rsidR="006F2C85">
        <w:rPr>
          <w:i/>
          <w:iCs/>
        </w:rPr>
        <w:t>t</w:t>
      </w:r>
      <w:r w:rsidR="002E28FF">
        <w:rPr>
          <w:i/>
          <w:iCs/>
        </w:rPr>
        <w:t>ions</w:t>
      </w:r>
      <w:r w:rsidR="006F2C85">
        <w:rPr>
          <w:i/>
          <w:iCs/>
        </w:rPr>
        <w:t xml:space="preserve"> for science and research</w:t>
      </w:r>
      <w:r w:rsidRPr="00407D06">
        <w:rPr>
          <w:i/>
          <w:iCs/>
        </w:rPr>
        <w:t xml:space="preserve">, but </w:t>
      </w:r>
      <w:r w:rsidR="006F2C85">
        <w:rPr>
          <w:i/>
          <w:iCs/>
        </w:rPr>
        <w:t xml:space="preserve">water </w:t>
      </w:r>
      <w:r w:rsidRPr="00407D06">
        <w:rPr>
          <w:i/>
          <w:iCs/>
        </w:rPr>
        <w:t xml:space="preserve">sector </w:t>
      </w:r>
      <w:r w:rsidR="006F2C85">
        <w:rPr>
          <w:i/>
          <w:iCs/>
        </w:rPr>
        <w:t>direction and engagement,</w:t>
      </w:r>
      <w:r w:rsidRPr="00407D06">
        <w:rPr>
          <w:i/>
          <w:iCs/>
        </w:rPr>
        <w:t xml:space="preserve"> and responsibility for research capability are unclear.</w:t>
      </w:r>
    </w:p>
    <w:p w14:paraId="45FBC3E3" w14:textId="2D156FFE" w:rsidR="00210EB8" w:rsidRDefault="00210EB8" w:rsidP="001F43AC">
      <w:pPr>
        <w:spacing w:before="120"/>
      </w:pPr>
      <w:r>
        <w:t xml:space="preserve">Australia has strong scientific institutions that contribute to water knowledge, most notably the Bureau of Meteorology (BoM) and the Commonwealth Scientific and Industrial Research Organisation (CSIRO). The BoM has clear statutory functions under the Water Act 2007 to collect, standardise and publish national water data and accounts, while CSIRO </w:t>
      </w:r>
      <w:r w:rsidR="0052283C">
        <w:t>is directed to undertake</w:t>
      </w:r>
      <w:r>
        <w:t xml:space="preserve"> water</w:t>
      </w:r>
      <w:r>
        <w:rPr>
          <w:rFonts w:ascii="Cambria Math" w:hAnsi="Cambria Math" w:cs="Cambria Math"/>
        </w:rPr>
        <w:t>‑</w:t>
      </w:r>
      <w:r>
        <w:t>related research to inform planning, modelling and management decisions under the Science and Industry Research Act 1949. However, despite these well</w:t>
      </w:r>
      <w:r>
        <w:rPr>
          <w:rFonts w:ascii="Cambria Math" w:hAnsi="Cambria Math" w:cs="Cambria Math"/>
        </w:rPr>
        <w:t>‑</w:t>
      </w:r>
      <w:r>
        <w:t>defined organisation</w:t>
      </w:r>
      <w:r w:rsidR="0052283C">
        <w:t>s</w:t>
      </w:r>
      <w:r>
        <w:t xml:space="preserve">, there is no overarching legislative or policy framework that allocates responsibility for </w:t>
      </w:r>
      <w:r w:rsidR="001A5F4A">
        <w:t xml:space="preserve">engaging, </w:t>
      </w:r>
      <w:r>
        <w:t>coordinating, prioritising or directing Australia</w:t>
      </w:r>
      <w:r>
        <w:rPr>
          <w:rFonts w:ascii="Calibri" w:hAnsi="Calibri" w:cs="Calibri"/>
        </w:rPr>
        <w:t>’</w:t>
      </w:r>
      <w:r>
        <w:t xml:space="preserve">s water research capability across jurisdictions and sectors. As a </w:t>
      </w:r>
      <w:r>
        <w:lastRenderedPageBreak/>
        <w:t xml:space="preserve">result, responsibility for research is fragmented across agencies, programs and funding cycles, with no single </w:t>
      </w:r>
      <w:r w:rsidR="005D56ED">
        <w:t>authority to</w:t>
      </w:r>
      <w:r>
        <w:t xml:space="preserve"> ensur</w:t>
      </w:r>
      <w:r w:rsidR="00A57C15">
        <w:t>e</w:t>
      </w:r>
      <w:r>
        <w:t xml:space="preserve"> that research effort</w:t>
      </w:r>
      <w:r w:rsidR="005D56ED">
        <w:t xml:space="preserve">s are not </w:t>
      </w:r>
      <w:proofErr w:type="gramStart"/>
      <w:r w:rsidR="005D56ED">
        <w:t>duplicated, and</w:t>
      </w:r>
      <w:proofErr w:type="gramEnd"/>
      <w:r>
        <w:t xml:space="preserve"> aligns with national water reform priorities or emerging system risks. </w:t>
      </w:r>
    </w:p>
    <w:p w14:paraId="61057701" w14:textId="08BEFE11" w:rsidR="007065E5" w:rsidRDefault="00210EB8" w:rsidP="001F43AC">
      <w:pPr>
        <w:spacing w:before="120"/>
      </w:pPr>
      <w:r>
        <w:t xml:space="preserve">In the absence of </w:t>
      </w:r>
      <w:r w:rsidR="00EE73EE">
        <w:t>stewardship of the agenda</w:t>
      </w:r>
      <w:r>
        <w:t>, research coordination relies heavily on</w:t>
      </w:r>
      <w:r w:rsidR="00CE58F7">
        <w:t xml:space="preserve"> member-based organisation such as </w:t>
      </w:r>
      <w:r w:rsidR="00CE58F7" w:rsidRPr="00DB4532">
        <w:rPr>
          <w:i/>
          <w:iCs/>
        </w:rPr>
        <w:t>Water Research Australia</w:t>
      </w:r>
      <w:r w:rsidR="00DB4532">
        <w:t>,</w:t>
      </w:r>
      <w:r>
        <w:t xml:space="preserve"> informal arrangements, time</w:t>
      </w:r>
      <w:r>
        <w:rPr>
          <w:rFonts w:ascii="Cambria Math" w:hAnsi="Cambria Math" w:cs="Cambria Math"/>
        </w:rPr>
        <w:t>‑</w:t>
      </w:r>
      <w:r>
        <w:t>limited initiatives and institutional goodwill rather than durable governance settings. This lack of legislative clarity weakens Australia</w:t>
      </w:r>
      <w:r>
        <w:rPr>
          <w:rFonts w:ascii="Calibri" w:hAnsi="Calibri" w:cs="Calibri"/>
        </w:rPr>
        <w:t>’</w:t>
      </w:r>
      <w:r>
        <w:t xml:space="preserve">s ability to strategically </w:t>
      </w:r>
      <w:r w:rsidR="00DB4532">
        <w:t xml:space="preserve">develop and </w:t>
      </w:r>
      <w:r>
        <w:t>deploy its water research capability and limits the effectiveness of science as a system</w:t>
      </w:r>
      <w:r>
        <w:rPr>
          <w:rFonts w:ascii="Cambria Math" w:hAnsi="Cambria Math" w:cs="Cambria Math"/>
        </w:rPr>
        <w:t>‑</w:t>
      </w:r>
      <w:r>
        <w:t>wide enabler of water reform</w:t>
      </w:r>
      <w:r w:rsidR="00DB4532">
        <w:t>.</w:t>
      </w:r>
    </w:p>
    <w:p w14:paraId="126D797A" w14:textId="77777777" w:rsidR="00C278A7" w:rsidRDefault="00C278A7" w:rsidP="001F43AC">
      <w:pPr>
        <w:spacing w:before="120"/>
      </w:pPr>
    </w:p>
    <w:p w14:paraId="6C160982" w14:textId="40EBD2A5" w:rsidR="005666BB" w:rsidRPr="00D34D00" w:rsidRDefault="00C278A7" w:rsidP="001F43AC">
      <w:pPr>
        <w:spacing w:before="120"/>
        <w:rPr>
          <w:b/>
          <w:bCs/>
        </w:rPr>
      </w:pPr>
      <w:r w:rsidRPr="00D34D00">
        <w:rPr>
          <w:b/>
          <w:bCs/>
        </w:rPr>
        <w:t xml:space="preserve">The Risks </w:t>
      </w:r>
      <w:r w:rsidR="005666BB" w:rsidRPr="00D34D00">
        <w:rPr>
          <w:b/>
          <w:bCs/>
        </w:rPr>
        <w:t>of not appropriately focussing on science</w:t>
      </w:r>
    </w:p>
    <w:p w14:paraId="36409954" w14:textId="296DDDF9" w:rsidR="00C9664A" w:rsidRPr="00D34D00" w:rsidRDefault="00AA7CA0" w:rsidP="00C9664A">
      <w:pPr>
        <w:spacing w:before="120"/>
      </w:pPr>
      <w:r w:rsidRPr="00D34D00">
        <w:t>T</w:t>
      </w:r>
      <w:r w:rsidR="00C9664A" w:rsidRPr="00D34D00">
        <w:t xml:space="preserve">he </w:t>
      </w:r>
      <w:r w:rsidR="000333CA">
        <w:t>G</w:t>
      </w:r>
      <w:r w:rsidR="00C9664A" w:rsidRPr="00D34D00">
        <w:t xml:space="preserve">ap </w:t>
      </w:r>
      <w:r w:rsidR="000333CA">
        <w:t>A</w:t>
      </w:r>
      <w:r w:rsidR="00C9664A" w:rsidRPr="00D34D00">
        <w:t>nalysis identified a set of inter</w:t>
      </w:r>
      <w:r w:rsidR="000333CA">
        <w:t>-</w:t>
      </w:r>
      <w:r w:rsidR="00C9664A" w:rsidRPr="00D34D00">
        <w:t xml:space="preserve">related risks that arise where science, research and innovation are not clearly governed or systematically embedded within Australia’s water framework. </w:t>
      </w:r>
      <w:r w:rsidR="00A0711E" w:rsidRPr="00D34D00">
        <w:t xml:space="preserve"> These are</w:t>
      </w:r>
      <w:r w:rsidR="005C0DFF">
        <w:t xml:space="preserve"> noted directly below and</w:t>
      </w:r>
      <w:r w:rsidR="00A0711E" w:rsidRPr="00D34D00">
        <w:t xml:space="preserve"> expanded later in the submission.</w:t>
      </w:r>
    </w:p>
    <w:p w14:paraId="67470713" w14:textId="65A8549C" w:rsidR="00C9664A" w:rsidRPr="00D34D00" w:rsidRDefault="002D192D" w:rsidP="002D192D">
      <w:pPr>
        <w:pStyle w:val="ListParagraph"/>
        <w:numPr>
          <w:ilvl w:val="0"/>
          <w:numId w:val="16"/>
        </w:numPr>
        <w:spacing w:before="120"/>
        <w:rPr>
          <w:sz w:val="24"/>
          <w:szCs w:val="24"/>
        </w:rPr>
      </w:pPr>
      <w:r w:rsidRPr="00D34D00">
        <w:rPr>
          <w:sz w:val="24"/>
          <w:szCs w:val="24"/>
        </w:rPr>
        <w:t>Lack of clarity of o</w:t>
      </w:r>
      <w:r w:rsidR="00C9664A" w:rsidRPr="00D34D00">
        <w:rPr>
          <w:sz w:val="24"/>
          <w:szCs w:val="24"/>
        </w:rPr>
        <w:t>wnership and stewardship of the water science base</w:t>
      </w:r>
      <w:r w:rsidR="00267292" w:rsidRPr="00D34D00">
        <w:rPr>
          <w:sz w:val="24"/>
          <w:szCs w:val="24"/>
        </w:rPr>
        <w:t xml:space="preserve"> creates inefficiencies and potential gaps and duplications</w:t>
      </w:r>
    </w:p>
    <w:p w14:paraId="09C473D0" w14:textId="76E9625C" w:rsidR="00C9664A" w:rsidRPr="00D34D00" w:rsidRDefault="006E588B" w:rsidP="002727D6">
      <w:pPr>
        <w:pStyle w:val="ListParagraph"/>
        <w:numPr>
          <w:ilvl w:val="0"/>
          <w:numId w:val="16"/>
        </w:numPr>
        <w:spacing w:before="120"/>
        <w:rPr>
          <w:sz w:val="24"/>
          <w:szCs w:val="24"/>
        </w:rPr>
      </w:pPr>
      <w:r w:rsidRPr="00D34D00">
        <w:rPr>
          <w:sz w:val="24"/>
          <w:szCs w:val="24"/>
        </w:rPr>
        <w:t>Poor</w:t>
      </w:r>
      <w:r w:rsidR="00B21C39" w:rsidRPr="00D34D00">
        <w:rPr>
          <w:sz w:val="24"/>
          <w:szCs w:val="24"/>
        </w:rPr>
        <w:t xml:space="preserve"> </w:t>
      </w:r>
      <w:r w:rsidR="005C0DFF">
        <w:rPr>
          <w:sz w:val="24"/>
          <w:szCs w:val="24"/>
        </w:rPr>
        <w:t>r</w:t>
      </w:r>
      <w:r w:rsidR="00B21C39" w:rsidRPr="00D34D00">
        <w:rPr>
          <w:sz w:val="24"/>
          <w:szCs w:val="24"/>
        </w:rPr>
        <w:t>esponsiveness</w:t>
      </w:r>
      <w:r w:rsidR="00016904" w:rsidRPr="00D34D00">
        <w:rPr>
          <w:sz w:val="24"/>
          <w:szCs w:val="24"/>
        </w:rPr>
        <w:t xml:space="preserve"> to c</w:t>
      </w:r>
      <w:r w:rsidR="00C9664A" w:rsidRPr="00D34D00">
        <w:rPr>
          <w:sz w:val="24"/>
          <w:szCs w:val="24"/>
        </w:rPr>
        <w:t>limate adaptability and system learning</w:t>
      </w:r>
      <w:r w:rsidRPr="00D34D00">
        <w:rPr>
          <w:sz w:val="24"/>
          <w:szCs w:val="24"/>
        </w:rPr>
        <w:t xml:space="preserve"> due to lack of adaptive and </w:t>
      </w:r>
      <w:proofErr w:type="gramStart"/>
      <w:r w:rsidRPr="00D34D00">
        <w:rPr>
          <w:sz w:val="24"/>
          <w:szCs w:val="24"/>
        </w:rPr>
        <w:t>long term</w:t>
      </w:r>
      <w:proofErr w:type="gramEnd"/>
      <w:r w:rsidRPr="00D34D00">
        <w:rPr>
          <w:sz w:val="24"/>
          <w:szCs w:val="24"/>
        </w:rPr>
        <w:t xml:space="preserve"> research and science</w:t>
      </w:r>
    </w:p>
    <w:p w14:paraId="7DCAA479" w14:textId="7E067EE5" w:rsidR="00C9664A" w:rsidRPr="00D34D00" w:rsidRDefault="00CC7541" w:rsidP="00CC7541">
      <w:pPr>
        <w:pStyle w:val="ListParagraph"/>
        <w:numPr>
          <w:ilvl w:val="0"/>
          <w:numId w:val="16"/>
        </w:numPr>
        <w:spacing w:before="120"/>
        <w:rPr>
          <w:sz w:val="24"/>
          <w:szCs w:val="24"/>
        </w:rPr>
      </w:pPr>
      <w:r w:rsidRPr="00D34D00">
        <w:rPr>
          <w:sz w:val="24"/>
          <w:szCs w:val="24"/>
        </w:rPr>
        <w:t>J</w:t>
      </w:r>
      <w:r w:rsidR="00C9664A" w:rsidRPr="00D34D00">
        <w:rPr>
          <w:sz w:val="24"/>
          <w:szCs w:val="24"/>
        </w:rPr>
        <w:t xml:space="preserve">urisdictional </w:t>
      </w:r>
      <w:r w:rsidRPr="00D34D00">
        <w:rPr>
          <w:sz w:val="24"/>
          <w:szCs w:val="24"/>
        </w:rPr>
        <w:t>in</w:t>
      </w:r>
      <w:r w:rsidR="00C9664A" w:rsidRPr="00D34D00">
        <w:rPr>
          <w:sz w:val="24"/>
          <w:szCs w:val="24"/>
        </w:rPr>
        <w:t xml:space="preserve">consistency and </w:t>
      </w:r>
      <w:r w:rsidR="00DC21EE" w:rsidRPr="00D34D00">
        <w:rPr>
          <w:sz w:val="24"/>
          <w:szCs w:val="24"/>
        </w:rPr>
        <w:t>impede</w:t>
      </w:r>
      <w:r w:rsidR="00D424A1">
        <w:rPr>
          <w:sz w:val="24"/>
          <w:szCs w:val="24"/>
        </w:rPr>
        <w:t>d</w:t>
      </w:r>
      <w:r w:rsidR="00DC21EE" w:rsidRPr="00D34D00">
        <w:rPr>
          <w:sz w:val="24"/>
          <w:szCs w:val="24"/>
        </w:rPr>
        <w:t xml:space="preserve"> </w:t>
      </w:r>
      <w:r w:rsidR="00C9664A" w:rsidRPr="00D34D00">
        <w:rPr>
          <w:sz w:val="24"/>
          <w:szCs w:val="24"/>
        </w:rPr>
        <w:t>reform velocity</w:t>
      </w:r>
      <w:r w:rsidRPr="00D34D00">
        <w:rPr>
          <w:sz w:val="24"/>
          <w:szCs w:val="24"/>
        </w:rPr>
        <w:t xml:space="preserve"> due to lack of integrated science and research</w:t>
      </w:r>
    </w:p>
    <w:p w14:paraId="5140C1C2" w14:textId="15BC4F74" w:rsidR="00C9664A" w:rsidRPr="00D34D00" w:rsidRDefault="00CC7541" w:rsidP="00CC7541">
      <w:pPr>
        <w:pStyle w:val="ListParagraph"/>
        <w:numPr>
          <w:ilvl w:val="0"/>
          <w:numId w:val="16"/>
        </w:numPr>
        <w:spacing w:before="120"/>
        <w:rPr>
          <w:sz w:val="24"/>
          <w:szCs w:val="24"/>
        </w:rPr>
      </w:pPr>
      <w:r w:rsidRPr="00D34D00">
        <w:rPr>
          <w:sz w:val="24"/>
          <w:szCs w:val="24"/>
        </w:rPr>
        <w:t>Reduced</w:t>
      </w:r>
      <w:r w:rsidR="00DC21EE" w:rsidRPr="00D34D00">
        <w:rPr>
          <w:sz w:val="24"/>
          <w:szCs w:val="24"/>
        </w:rPr>
        <w:t xml:space="preserve"> r</w:t>
      </w:r>
      <w:r w:rsidR="00C9664A" w:rsidRPr="00D34D00">
        <w:rPr>
          <w:sz w:val="24"/>
          <w:szCs w:val="24"/>
        </w:rPr>
        <w:t>egulatory and investment confidence</w:t>
      </w:r>
    </w:p>
    <w:p w14:paraId="4E7BF9E5" w14:textId="50D11781" w:rsidR="00C9664A" w:rsidRPr="00D34D00" w:rsidRDefault="00C9664A" w:rsidP="005E0084">
      <w:pPr>
        <w:pStyle w:val="ListParagraph"/>
        <w:numPr>
          <w:ilvl w:val="0"/>
          <w:numId w:val="16"/>
        </w:numPr>
        <w:spacing w:before="120"/>
        <w:rPr>
          <w:sz w:val="24"/>
          <w:szCs w:val="24"/>
        </w:rPr>
      </w:pPr>
      <w:r w:rsidRPr="00D34D00">
        <w:rPr>
          <w:sz w:val="24"/>
          <w:szCs w:val="24"/>
        </w:rPr>
        <w:t xml:space="preserve">Market </w:t>
      </w:r>
      <w:r w:rsidR="00BA1712" w:rsidRPr="00D34D00">
        <w:rPr>
          <w:sz w:val="24"/>
          <w:szCs w:val="24"/>
        </w:rPr>
        <w:t>in</w:t>
      </w:r>
      <w:r w:rsidRPr="00D34D00">
        <w:rPr>
          <w:sz w:val="24"/>
          <w:szCs w:val="24"/>
        </w:rPr>
        <w:t>efficiency and long run costs</w:t>
      </w:r>
    </w:p>
    <w:p w14:paraId="6A1FB4AB" w14:textId="08842B16" w:rsidR="00C9664A" w:rsidRPr="00D34D00" w:rsidRDefault="005E0084" w:rsidP="005E0084">
      <w:pPr>
        <w:pStyle w:val="ListParagraph"/>
        <w:numPr>
          <w:ilvl w:val="0"/>
          <w:numId w:val="16"/>
        </w:numPr>
        <w:spacing w:before="120"/>
        <w:rPr>
          <w:sz w:val="24"/>
          <w:szCs w:val="24"/>
        </w:rPr>
      </w:pPr>
      <w:r w:rsidRPr="00D34D00">
        <w:rPr>
          <w:sz w:val="24"/>
          <w:szCs w:val="24"/>
        </w:rPr>
        <w:t xml:space="preserve">Eroded </w:t>
      </w:r>
      <w:r w:rsidR="00C9664A" w:rsidRPr="00D34D00">
        <w:rPr>
          <w:sz w:val="24"/>
          <w:szCs w:val="24"/>
        </w:rPr>
        <w:t>trust and public confidence</w:t>
      </w:r>
      <w:r w:rsidRPr="00D34D00">
        <w:rPr>
          <w:sz w:val="24"/>
          <w:szCs w:val="24"/>
        </w:rPr>
        <w:t xml:space="preserve"> through lack of stewardship and transparency of good research and science</w:t>
      </w:r>
    </w:p>
    <w:p w14:paraId="395F24B3" w14:textId="10F3851D" w:rsidR="00C9664A" w:rsidRPr="00D34D00" w:rsidRDefault="00994CD1" w:rsidP="00994CD1">
      <w:pPr>
        <w:pStyle w:val="ListParagraph"/>
        <w:numPr>
          <w:ilvl w:val="0"/>
          <w:numId w:val="16"/>
        </w:numPr>
        <w:spacing w:before="120"/>
        <w:rPr>
          <w:sz w:val="24"/>
          <w:szCs w:val="24"/>
        </w:rPr>
      </w:pPr>
      <w:r w:rsidRPr="00D34D00">
        <w:rPr>
          <w:sz w:val="24"/>
          <w:szCs w:val="24"/>
        </w:rPr>
        <w:t xml:space="preserve">Failure to deliver </w:t>
      </w:r>
      <w:r w:rsidR="00F57D2A">
        <w:rPr>
          <w:sz w:val="24"/>
          <w:szCs w:val="24"/>
        </w:rPr>
        <w:t>i</w:t>
      </w:r>
      <w:r w:rsidR="00C9664A" w:rsidRPr="00D34D00">
        <w:rPr>
          <w:sz w:val="24"/>
          <w:szCs w:val="24"/>
        </w:rPr>
        <w:t>nnovation and productivity gains</w:t>
      </w:r>
    </w:p>
    <w:p w14:paraId="36877C07" w14:textId="09D6B2C3" w:rsidR="00C9664A" w:rsidRPr="00D34D00" w:rsidRDefault="00054276" w:rsidP="006846CB">
      <w:pPr>
        <w:pStyle w:val="ListParagraph"/>
        <w:numPr>
          <w:ilvl w:val="0"/>
          <w:numId w:val="16"/>
        </w:numPr>
        <w:spacing w:before="120"/>
        <w:rPr>
          <w:sz w:val="24"/>
          <w:szCs w:val="24"/>
        </w:rPr>
      </w:pPr>
      <w:r w:rsidRPr="00D34D00">
        <w:rPr>
          <w:sz w:val="24"/>
          <w:szCs w:val="24"/>
        </w:rPr>
        <w:t>Uncertain</w:t>
      </w:r>
      <w:r w:rsidR="006846CB" w:rsidRPr="00D34D00">
        <w:rPr>
          <w:sz w:val="24"/>
          <w:szCs w:val="24"/>
        </w:rPr>
        <w:t xml:space="preserve"> research</w:t>
      </w:r>
      <w:r w:rsidRPr="00D34D00">
        <w:rPr>
          <w:sz w:val="24"/>
          <w:szCs w:val="24"/>
        </w:rPr>
        <w:t xml:space="preserve"> f</w:t>
      </w:r>
      <w:r w:rsidR="00C9664A" w:rsidRPr="00D34D00">
        <w:rPr>
          <w:sz w:val="24"/>
          <w:szCs w:val="24"/>
        </w:rPr>
        <w:t xml:space="preserve">unding continuity and priority </w:t>
      </w:r>
      <w:r w:rsidR="000A7075" w:rsidRPr="00D34D00">
        <w:rPr>
          <w:sz w:val="24"/>
          <w:szCs w:val="24"/>
        </w:rPr>
        <w:t>limits</w:t>
      </w:r>
      <w:r w:rsidR="006846CB" w:rsidRPr="00D34D00">
        <w:rPr>
          <w:sz w:val="24"/>
          <w:szCs w:val="24"/>
        </w:rPr>
        <w:t xml:space="preserve"> sustained development of scientific knowledge for decision-making and planning</w:t>
      </w:r>
    </w:p>
    <w:p w14:paraId="1761B414" w14:textId="16A00A0B" w:rsidR="007065E5" w:rsidRPr="00D34D00" w:rsidRDefault="00C9664A" w:rsidP="001F43AC">
      <w:pPr>
        <w:pStyle w:val="ListParagraph"/>
        <w:numPr>
          <w:ilvl w:val="0"/>
          <w:numId w:val="16"/>
        </w:numPr>
        <w:spacing w:before="120"/>
        <w:rPr>
          <w:sz w:val="24"/>
          <w:szCs w:val="24"/>
        </w:rPr>
      </w:pPr>
      <w:r w:rsidRPr="00D34D00">
        <w:rPr>
          <w:sz w:val="24"/>
          <w:szCs w:val="24"/>
        </w:rPr>
        <w:t>Misaligned</w:t>
      </w:r>
      <w:r w:rsidR="00A82231" w:rsidRPr="00D34D00">
        <w:rPr>
          <w:sz w:val="24"/>
          <w:szCs w:val="24"/>
        </w:rPr>
        <w:t xml:space="preserve"> or absent</w:t>
      </w:r>
      <w:r w:rsidRPr="00D34D00">
        <w:rPr>
          <w:sz w:val="24"/>
          <w:szCs w:val="24"/>
        </w:rPr>
        <w:t xml:space="preserve"> incentives for utilities</w:t>
      </w:r>
      <w:r w:rsidR="00A82231" w:rsidRPr="00D34D00">
        <w:rPr>
          <w:sz w:val="24"/>
          <w:szCs w:val="24"/>
        </w:rPr>
        <w:t xml:space="preserve"> to support rese</w:t>
      </w:r>
      <w:r w:rsidR="00D30249" w:rsidRPr="00D34D00">
        <w:rPr>
          <w:sz w:val="24"/>
          <w:szCs w:val="24"/>
        </w:rPr>
        <w:t xml:space="preserve">arch leads to gaps in </w:t>
      </w:r>
      <w:r w:rsidR="0033009E" w:rsidRPr="00D34D00">
        <w:rPr>
          <w:sz w:val="24"/>
          <w:szCs w:val="24"/>
        </w:rPr>
        <w:t>knowledge and broader system and public</w:t>
      </w:r>
      <w:r w:rsidR="00C97ABE" w:rsidRPr="00D34D00">
        <w:rPr>
          <w:sz w:val="24"/>
          <w:szCs w:val="24"/>
        </w:rPr>
        <w:t xml:space="preserve"> good benefits</w:t>
      </w:r>
    </w:p>
    <w:p w14:paraId="2F81627C" w14:textId="77777777" w:rsidR="00024667" w:rsidRDefault="00024667" w:rsidP="001F43AC">
      <w:pPr>
        <w:spacing w:before="120"/>
      </w:pPr>
    </w:p>
    <w:p w14:paraId="22D25805" w14:textId="77777777" w:rsidR="00FF193F" w:rsidRDefault="00FF193F" w:rsidP="001F43AC">
      <w:pPr>
        <w:spacing w:before="120"/>
      </w:pPr>
    </w:p>
    <w:p w14:paraId="3A0078D7" w14:textId="77777777" w:rsidR="00FF193F" w:rsidRDefault="00FF193F" w:rsidP="001F43AC">
      <w:pPr>
        <w:spacing w:before="120"/>
      </w:pPr>
    </w:p>
    <w:p w14:paraId="130FDCFD" w14:textId="77777777" w:rsidR="00FF193F" w:rsidRDefault="00FF193F" w:rsidP="001F43AC">
      <w:pPr>
        <w:spacing w:before="120"/>
      </w:pPr>
    </w:p>
    <w:p w14:paraId="53E84764" w14:textId="77777777" w:rsidR="00FF193F" w:rsidRDefault="00FF193F" w:rsidP="001F43AC">
      <w:pPr>
        <w:spacing w:before="120"/>
      </w:pPr>
    </w:p>
    <w:p w14:paraId="6D097CEE" w14:textId="77777777" w:rsidR="00FF193F" w:rsidRDefault="00FF193F" w:rsidP="001F43AC">
      <w:pPr>
        <w:spacing w:before="120"/>
      </w:pPr>
    </w:p>
    <w:p w14:paraId="516E1EC9" w14:textId="77777777" w:rsidR="00FF193F" w:rsidRDefault="00FF193F" w:rsidP="001F43AC">
      <w:pPr>
        <w:spacing w:before="120"/>
      </w:pPr>
    </w:p>
    <w:p w14:paraId="7AAAF345" w14:textId="77777777" w:rsidR="00FF193F" w:rsidRDefault="00FF193F" w:rsidP="001F43AC">
      <w:pPr>
        <w:spacing w:before="120"/>
      </w:pPr>
    </w:p>
    <w:p w14:paraId="3905124E" w14:textId="77777777" w:rsidR="00FF193F" w:rsidRPr="00D34D00" w:rsidRDefault="00FF193F" w:rsidP="001F43AC">
      <w:pPr>
        <w:spacing w:before="120"/>
      </w:pPr>
    </w:p>
    <w:p w14:paraId="5B617F10" w14:textId="327C37B7" w:rsidR="00C54ED9" w:rsidRDefault="00E74D84" w:rsidP="001F43AC">
      <w:pPr>
        <w:spacing w:before="120"/>
        <w:rPr>
          <w:b/>
          <w:bCs/>
        </w:rPr>
      </w:pPr>
      <w:r>
        <w:rPr>
          <w:b/>
          <w:bCs/>
        </w:rPr>
        <w:lastRenderedPageBreak/>
        <w:t>SUBMISSION INPUTS</w:t>
      </w:r>
    </w:p>
    <w:p w14:paraId="44153B33" w14:textId="37238E01" w:rsidR="00E74D84" w:rsidRDefault="00E74D84" w:rsidP="001F43AC">
      <w:pPr>
        <w:spacing w:before="120"/>
      </w:pPr>
      <w:r w:rsidRPr="00975F2E">
        <w:rPr>
          <w:i/>
          <w:iCs/>
        </w:rPr>
        <w:t>Water Research Australia</w:t>
      </w:r>
      <w:r w:rsidRPr="00E74D84">
        <w:t xml:space="preserve"> wishes to engage in</w:t>
      </w:r>
      <w:r w:rsidR="00975F2E">
        <w:t xml:space="preserve"> the</w:t>
      </w:r>
      <w:r w:rsidRPr="00E74D84">
        <w:t xml:space="preserve"> National Water Reform 2026 inquiry processes to ensure that the enabling supporting environment of policy and legislation support good science-based </w:t>
      </w:r>
      <w:proofErr w:type="gramStart"/>
      <w:r w:rsidRPr="00E74D84">
        <w:t>decision-making, and</w:t>
      </w:r>
      <w:proofErr w:type="gramEnd"/>
      <w:r w:rsidRPr="00E74D84">
        <w:t xml:space="preserve"> secures the role of research to provide that knowledge for a secure, resilient and sustainable water services industry.</w:t>
      </w:r>
    </w:p>
    <w:p w14:paraId="13BB6C4B" w14:textId="77777777" w:rsidR="00E74D84" w:rsidRPr="00E74D84" w:rsidRDefault="00E74D84" w:rsidP="001F43AC">
      <w:pPr>
        <w:spacing w:before="120"/>
      </w:pPr>
    </w:p>
    <w:p w14:paraId="35F1D3F4" w14:textId="77777777" w:rsidR="00E74D84" w:rsidRPr="00024667" w:rsidRDefault="00E74D84" w:rsidP="00E74D84">
      <w:pPr>
        <w:shd w:val="clear" w:color="auto" w:fill="D0CECE" w:themeFill="background2" w:themeFillShade="E6"/>
        <w:spacing w:before="120"/>
        <w:rPr>
          <w:i/>
          <w:iCs/>
        </w:rPr>
      </w:pPr>
      <w:r w:rsidRPr="00024667">
        <w:rPr>
          <w:i/>
          <w:iCs/>
        </w:rPr>
        <w:t xml:space="preserve">Key issues identified for consideration by the Productivity Commissions National Water Reform inquiry include: </w:t>
      </w:r>
    </w:p>
    <w:p w14:paraId="195D172D" w14:textId="77777777" w:rsidR="00E74D84" w:rsidRPr="00024667" w:rsidRDefault="00E74D84" w:rsidP="00E74D84">
      <w:pPr>
        <w:pStyle w:val="ListParagraph"/>
        <w:numPr>
          <w:ilvl w:val="0"/>
          <w:numId w:val="14"/>
        </w:numPr>
        <w:shd w:val="clear" w:color="auto" w:fill="D0CECE" w:themeFill="background2" w:themeFillShade="E6"/>
        <w:spacing w:before="120" w:after="0" w:line="240" w:lineRule="auto"/>
        <w:rPr>
          <w:i/>
          <w:iCs/>
          <w:sz w:val="24"/>
          <w:szCs w:val="24"/>
        </w:rPr>
      </w:pPr>
      <w:r w:rsidRPr="00024667">
        <w:rPr>
          <w:i/>
          <w:iCs/>
          <w:sz w:val="24"/>
          <w:szCs w:val="24"/>
        </w:rPr>
        <w:t xml:space="preserve">Progress towards the NWI objectives has been limited due to a lack of a formal role for science, research and innovation    </w:t>
      </w:r>
    </w:p>
    <w:p w14:paraId="234EE387" w14:textId="77777777" w:rsidR="00E74D84" w:rsidRPr="00024667" w:rsidRDefault="00E74D84" w:rsidP="00E74D84">
      <w:pPr>
        <w:pStyle w:val="ListParagraph"/>
        <w:numPr>
          <w:ilvl w:val="0"/>
          <w:numId w:val="14"/>
        </w:numPr>
        <w:shd w:val="clear" w:color="auto" w:fill="D0CECE" w:themeFill="background2" w:themeFillShade="E6"/>
        <w:spacing w:before="120" w:after="0" w:line="240" w:lineRule="auto"/>
        <w:rPr>
          <w:i/>
          <w:iCs/>
          <w:sz w:val="24"/>
          <w:szCs w:val="24"/>
        </w:rPr>
      </w:pPr>
      <w:r w:rsidRPr="00024667">
        <w:rPr>
          <w:i/>
          <w:iCs/>
          <w:sz w:val="24"/>
          <w:szCs w:val="24"/>
        </w:rPr>
        <w:t xml:space="preserve">Several delivery, investment and system performance risks are introduced across by not embedding science, research and innovation into the Australian water framework </w:t>
      </w:r>
    </w:p>
    <w:p w14:paraId="247B8524" w14:textId="77777777" w:rsidR="00E74D84" w:rsidRPr="00024667" w:rsidRDefault="00E74D84" w:rsidP="00E74D84">
      <w:pPr>
        <w:pStyle w:val="ListParagraph"/>
        <w:numPr>
          <w:ilvl w:val="0"/>
          <w:numId w:val="14"/>
        </w:numPr>
        <w:shd w:val="clear" w:color="auto" w:fill="D0CECE" w:themeFill="background2" w:themeFillShade="E6"/>
        <w:spacing w:before="120" w:after="0" w:line="240" w:lineRule="auto"/>
        <w:rPr>
          <w:i/>
          <w:iCs/>
          <w:sz w:val="24"/>
          <w:szCs w:val="24"/>
        </w:rPr>
      </w:pPr>
      <w:r w:rsidRPr="00024667">
        <w:rPr>
          <w:i/>
          <w:iCs/>
          <w:sz w:val="24"/>
          <w:szCs w:val="24"/>
        </w:rPr>
        <w:t xml:space="preserve">Economic regulation frameworks do not actively incentivise innovation or sustained investment in research and development </w:t>
      </w:r>
    </w:p>
    <w:p w14:paraId="31AF7A6A" w14:textId="77777777" w:rsidR="00E74D84" w:rsidRPr="00024667" w:rsidRDefault="00E74D84" w:rsidP="00E74D84">
      <w:pPr>
        <w:pStyle w:val="ListParagraph"/>
        <w:numPr>
          <w:ilvl w:val="0"/>
          <w:numId w:val="14"/>
        </w:numPr>
        <w:shd w:val="clear" w:color="auto" w:fill="D0CECE" w:themeFill="background2" w:themeFillShade="E6"/>
        <w:spacing w:before="120" w:after="0" w:line="240" w:lineRule="auto"/>
        <w:rPr>
          <w:i/>
          <w:iCs/>
          <w:sz w:val="24"/>
          <w:szCs w:val="24"/>
        </w:rPr>
      </w:pPr>
      <w:r w:rsidRPr="00024667">
        <w:rPr>
          <w:i/>
          <w:iCs/>
          <w:sz w:val="24"/>
          <w:szCs w:val="24"/>
        </w:rPr>
        <w:t>Economic regulatory frameworks do not adequately account for long term benefits and cost reductions arising from R&amp;D investment</w:t>
      </w:r>
    </w:p>
    <w:p w14:paraId="33F80129" w14:textId="77777777" w:rsidR="00E74D84" w:rsidRPr="00024667" w:rsidRDefault="00E74D84" w:rsidP="00E74D84">
      <w:pPr>
        <w:pStyle w:val="ListParagraph"/>
        <w:numPr>
          <w:ilvl w:val="0"/>
          <w:numId w:val="14"/>
        </w:numPr>
        <w:shd w:val="clear" w:color="auto" w:fill="D0CECE" w:themeFill="background2" w:themeFillShade="E6"/>
        <w:spacing w:before="120" w:after="0" w:line="240" w:lineRule="auto"/>
        <w:rPr>
          <w:i/>
          <w:iCs/>
          <w:sz w:val="24"/>
          <w:szCs w:val="24"/>
        </w:rPr>
      </w:pPr>
      <w:r w:rsidRPr="00024667">
        <w:rPr>
          <w:i/>
          <w:iCs/>
          <w:sz w:val="24"/>
          <w:szCs w:val="24"/>
        </w:rPr>
        <w:t>Current assessment frameworks struggle to capture the risks and costs of deferring or avoiding investment</w:t>
      </w:r>
    </w:p>
    <w:p w14:paraId="4C5154C4" w14:textId="77777777" w:rsidR="00E74D84" w:rsidRPr="00024667" w:rsidRDefault="00E74D84" w:rsidP="00E74D84">
      <w:pPr>
        <w:pStyle w:val="ListParagraph"/>
        <w:numPr>
          <w:ilvl w:val="0"/>
          <w:numId w:val="14"/>
        </w:numPr>
        <w:shd w:val="clear" w:color="auto" w:fill="D0CECE" w:themeFill="background2" w:themeFillShade="E6"/>
        <w:spacing w:before="120" w:after="0" w:line="240" w:lineRule="auto"/>
        <w:rPr>
          <w:i/>
          <w:iCs/>
          <w:sz w:val="24"/>
          <w:szCs w:val="24"/>
        </w:rPr>
      </w:pPr>
      <w:r w:rsidRPr="00024667">
        <w:rPr>
          <w:i/>
          <w:iCs/>
          <w:sz w:val="24"/>
          <w:szCs w:val="24"/>
        </w:rPr>
        <w:t>Environmental and climate investment face disproportionate evidentiary hurdles in economic regulatory processes</w:t>
      </w:r>
    </w:p>
    <w:p w14:paraId="672DB8FE" w14:textId="77777777" w:rsidR="00E74D84" w:rsidRPr="00024667" w:rsidRDefault="00E74D84" w:rsidP="00E74D84">
      <w:pPr>
        <w:pStyle w:val="ListParagraph"/>
        <w:numPr>
          <w:ilvl w:val="0"/>
          <w:numId w:val="14"/>
        </w:numPr>
        <w:shd w:val="clear" w:color="auto" w:fill="D0CECE" w:themeFill="background2" w:themeFillShade="E6"/>
        <w:spacing w:before="120" w:after="0" w:line="240" w:lineRule="auto"/>
        <w:rPr>
          <w:i/>
          <w:iCs/>
          <w:sz w:val="24"/>
          <w:szCs w:val="24"/>
        </w:rPr>
      </w:pPr>
      <w:r w:rsidRPr="00024667">
        <w:rPr>
          <w:i/>
          <w:iCs/>
          <w:sz w:val="24"/>
          <w:szCs w:val="24"/>
        </w:rPr>
        <w:t>Affordability constraints contribute to lower levels of investment in innovation and long-term capability</w:t>
      </w:r>
    </w:p>
    <w:p w14:paraId="632CB058" w14:textId="77777777" w:rsidR="00120E19" w:rsidRPr="00120E19" w:rsidRDefault="00120E19" w:rsidP="001F43AC">
      <w:pPr>
        <w:spacing w:before="120"/>
        <w:rPr>
          <w:b/>
          <w:bCs/>
        </w:rPr>
      </w:pPr>
    </w:p>
    <w:p w14:paraId="76AB9CDB" w14:textId="62DF4E61" w:rsidR="00404CA4" w:rsidRPr="008C6708" w:rsidRDefault="00404CA4" w:rsidP="00120E19">
      <w:pPr>
        <w:spacing w:before="120"/>
        <w:ind w:firstLine="720"/>
        <w:rPr>
          <w:b/>
          <w:bCs/>
          <w:i/>
          <w:iCs/>
        </w:rPr>
      </w:pPr>
      <w:r w:rsidRPr="008C6708">
        <w:rPr>
          <w:b/>
          <w:bCs/>
          <w:i/>
          <w:iCs/>
        </w:rPr>
        <w:t>Progress</w:t>
      </w:r>
      <w:r w:rsidR="008C6708" w:rsidRPr="008C6708">
        <w:rPr>
          <w:b/>
          <w:bCs/>
          <w:i/>
          <w:iCs/>
        </w:rPr>
        <w:t xml:space="preserve"> of the NWI</w:t>
      </w:r>
    </w:p>
    <w:p w14:paraId="5DD0FA04" w14:textId="5CD416AA" w:rsidR="008C6708" w:rsidRDefault="00A74F7B" w:rsidP="001F43AC">
      <w:pPr>
        <w:spacing w:before="120"/>
      </w:pPr>
      <w:r w:rsidRPr="00A74F7B">
        <w:t>Progress towards the NWI objectives has been limited due to a lack of a formal role for science, research and innovation in key legislative instruments. Across multiple NWI objectives, effective delivery is contingent on the availability of consistent, credible and transparent scientific evidence. This is especially evident for objectives related to entitlement security and statutory water planning, which rely on robust information about water availability, system behaviour, and future risk.</w:t>
      </w:r>
      <w:r w:rsidR="00764D66">
        <w:t xml:space="preserve"> See Figure below.</w:t>
      </w:r>
    </w:p>
    <w:p w14:paraId="38ACB740" w14:textId="136373D3" w:rsidR="008C6708" w:rsidRDefault="00630890" w:rsidP="00630890">
      <w:pPr>
        <w:spacing w:before="120"/>
        <w:jc w:val="center"/>
      </w:pPr>
      <w:r>
        <w:rPr>
          <w:noProof/>
        </w:rPr>
        <w:lastRenderedPageBreak/>
        <w:drawing>
          <wp:inline distT="0" distB="0" distL="0" distR="0" wp14:anchorId="0ED37295" wp14:editId="096218F0">
            <wp:extent cx="5353050" cy="5206365"/>
            <wp:effectExtent l="0" t="0" r="0" b="0"/>
            <wp:docPr id="1215482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53050" cy="5206365"/>
                    </a:xfrm>
                    <a:prstGeom prst="rect">
                      <a:avLst/>
                    </a:prstGeom>
                    <a:noFill/>
                  </pic:spPr>
                </pic:pic>
              </a:graphicData>
            </a:graphic>
          </wp:inline>
        </w:drawing>
      </w:r>
    </w:p>
    <w:p w14:paraId="32C818AD" w14:textId="5297A55D" w:rsidR="00120E19" w:rsidRDefault="00370324" w:rsidP="00120E19">
      <w:pPr>
        <w:spacing w:before="120"/>
      </w:pPr>
      <w:r>
        <w:t>The Figure above</w:t>
      </w:r>
      <w:r w:rsidR="00120E19">
        <w:t xml:space="preserve"> </w:t>
      </w:r>
      <w:r w:rsidR="002F3F31">
        <w:t>demonstrates the</w:t>
      </w:r>
      <w:r w:rsidR="00120E19">
        <w:t xml:space="preserve"> tension between the long-term nature of objectives related to the environment and sustainability, and the limited embedding of ongoing research in monitoring and evaluation mechanisms. Objectives such as restoring over</w:t>
      </w:r>
      <w:r w:rsidR="0084797D">
        <w:t>-</w:t>
      </w:r>
      <w:r w:rsidR="00120E19">
        <w:t xml:space="preserve">allocated systems to sustainable extraction levels, achieving public benefit outcomes, and managing surface–groundwater connectivity are inherently science intensive and dynamic, particularly in the context of climate change. </w:t>
      </w:r>
    </w:p>
    <w:p w14:paraId="41677CD1" w14:textId="70ACDEE3" w:rsidR="00120E19" w:rsidRDefault="00120E19" w:rsidP="00120E19">
      <w:pPr>
        <w:spacing w:before="120"/>
      </w:pPr>
      <w:r>
        <w:t>The implications extend beyond technical reform into areas of trust, adaptation and innovation. Whe</w:t>
      </w:r>
      <w:r w:rsidR="00633C22">
        <w:t>n</w:t>
      </w:r>
      <w:r>
        <w:t xml:space="preserve"> science underpinning decisions is perceived as opaque, outdated or weakly connected to policy, community acceptance of reform diminishes. Similarly, policy settings intended to promote efficiency and innovation are unlikely to deliver in practice without deliberate mechanisms for research translation and adoption. Innovation in water management requires active institutional support to move from research to operational and economic outcomes.</w:t>
      </w:r>
    </w:p>
    <w:p w14:paraId="63CC907F" w14:textId="35485C82" w:rsidR="00EF7540" w:rsidRDefault="00120E19" w:rsidP="001F43AC">
      <w:pPr>
        <w:spacing w:before="120"/>
      </w:pPr>
      <w:r>
        <w:t xml:space="preserve">The effectiveness of the NWI is closely linked to how well science and research are governed, coordinated and embedded across the water sector’s institutional landscape. Addressing these </w:t>
      </w:r>
      <w:r>
        <w:lastRenderedPageBreak/>
        <w:t>structural weaknesses is therefore not ancillary to reform, but foundational to achieving the NWI’s objectives in a manner that is adaptive, credible and resilient over time.</w:t>
      </w:r>
    </w:p>
    <w:p w14:paraId="0A4FE390" w14:textId="77777777" w:rsidR="006554AC" w:rsidRPr="00EF7540" w:rsidRDefault="006554AC" w:rsidP="001F43AC">
      <w:pPr>
        <w:spacing w:before="120"/>
      </w:pPr>
    </w:p>
    <w:p w14:paraId="53E79230" w14:textId="6990F137" w:rsidR="008C6708" w:rsidRPr="008C6708" w:rsidRDefault="008C6708" w:rsidP="00871EA3">
      <w:pPr>
        <w:spacing w:before="120"/>
        <w:ind w:firstLine="720"/>
        <w:rPr>
          <w:b/>
          <w:bCs/>
          <w:i/>
          <w:iCs/>
        </w:rPr>
      </w:pPr>
      <w:r w:rsidRPr="008C6708">
        <w:rPr>
          <w:b/>
          <w:bCs/>
          <w:i/>
          <w:iCs/>
        </w:rPr>
        <w:t>Barriers and Emerging Risks</w:t>
      </w:r>
    </w:p>
    <w:p w14:paraId="734B93D0" w14:textId="0BCB1D95" w:rsidR="00645466" w:rsidRPr="006554AC" w:rsidRDefault="00645466" w:rsidP="00645466">
      <w:pPr>
        <w:spacing w:before="120"/>
      </w:pPr>
      <w:r w:rsidRPr="006554AC">
        <w:t xml:space="preserve">The </w:t>
      </w:r>
      <w:r w:rsidR="00A058A0">
        <w:t>G</w:t>
      </w:r>
      <w:r w:rsidRPr="006554AC">
        <w:t xml:space="preserve">ap </w:t>
      </w:r>
      <w:r w:rsidR="00A058A0">
        <w:t>A</w:t>
      </w:r>
      <w:r w:rsidRPr="006554AC">
        <w:t>nalysis identified a set of interrelated risks that arise where science, research and innovation are not clearly governed or systematically embedded within Australia’s water framework. These risks reflect how structural weaknesses in the science base translate into constraints on reform delivery, investment confidence and system performance.</w:t>
      </w:r>
    </w:p>
    <w:p w14:paraId="3572941D" w14:textId="77777777" w:rsidR="00645466" w:rsidRPr="00EC7422" w:rsidRDefault="00645466" w:rsidP="00645466">
      <w:pPr>
        <w:pStyle w:val="ListParagraph"/>
        <w:numPr>
          <w:ilvl w:val="0"/>
          <w:numId w:val="17"/>
        </w:numPr>
        <w:spacing w:before="120"/>
        <w:rPr>
          <w:i/>
          <w:iCs/>
          <w:sz w:val="24"/>
          <w:szCs w:val="24"/>
        </w:rPr>
      </w:pPr>
      <w:r w:rsidRPr="00EC7422">
        <w:rPr>
          <w:i/>
          <w:iCs/>
          <w:sz w:val="24"/>
          <w:szCs w:val="24"/>
        </w:rPr>
        <w:t>Lack of clarity of ownership and stewardship of the water science base creates inefficiencies and potential gaps and duplications</w:t>
      </w:r>
    </w:p>
    <w:p w14:paraId="07A8F8A0" w14:textId="77777777" w:rsidR="00645466" w:rsidRPr="006554AC" w:rsidRDefault="00645466" w:rsidP="00645466">
      <w:pPr>
        <w:spacing w:before="120"/>
      </w:pPr>
      <w:r w:rsidRPr="006554AC">
        <w:t>Unclear ownership of the national water science and research base undermines accountability for evidence stewardship, prioritisation and translation into decision</w:t>
      </w:r>
      <w:r w:rsidRPr="006554AC">
        <w:rPr>
          <w:rFonts w:ascii="Cambria Math" w:hAnsi="Cambria Math" w:cs="Cambria Math"/>
        </w:rPr>
        <w:t>‑</w:t>
      </w:r>
      <w:r w:rsidRPr="006554AC">
        <w:t>making. As a result, responsibility for maintaining and updating the evidence base is dispersed across jurisdictions and agencies, increasing the likelihood of duplication, gaps, short</w:t>
      </w:r>
      <w:r w:rsidRPr="006554AC">
        <w:rPr>
          <w:rFonts w:ascii="Cambria Math" w:hAnsi="Cambria Math" w:cs="Cambria Math"/>
        </w:rPr>
        <w:t>‑</w:t>
      </w:r>
      <w:r w:rsidRPr="006554AC">
        <w:t>term research cycles and reliance on outdated or narrowly scoped information.</w:t>
      </w:r>
    </w:p>
    <w:p w14:paraId="7856CEAA" w14:textId="10EAEEA6" w:rsidR="00645466" w:rsidRPr="00EC7422" w:rsidRDefault="00645466" w:rsidP="00645466">
      <w:pPr>
        <w:pStyle w:val="ListParagraph"/>
        <w:numPr>
          <w:ilvl w:val="0"/>
          <w:numId w:val="17"/>
        </w:numPr>
        <w:spacing w:before="120"/>
        <w:rPr>
          <w:i/>
          <w:iCs/>
          <w:sz w:val="24"/>
          <w:szCs w:val="24"/>
        </w:rPr>
      </w:pPr>
      <w:r w:rsidRPr="00EC7422">
        <w:rPr>
          <w:i/>
          <w:iCs/>
          <w:sz w:val="24"/>
          <w:szCs w:val="24"/>
        </w:rPr>
        <w:t xml:space="preserve">Poor </w:t>
      </w:r>
      <w:r w:rsidR="00EC7422">
        <w:rPr>
          <w:i/>
          <w:iCs/>
          <w:sz w:val="24"/>
          <w:szCs w:val="24"/>
        </w:rPr>
        <w:t>r</w:t>
      </w:r>
      <w:r w:rsidRPr="00EC7422">
        <w:rPr>
          <w:i/>
          <w:iCs/>
          <w:sz w:val="24"/>
          <w:szCs w:val="24"/>
        </w:rPr>
        <w:t>esponsiveness to climate adaptability and system learning due to lack of adaptive and long</w:t>
      </w:r>
      <w:r w:rsidR="00EC7422">
        <w:rPr>
          <w:i/>
          <w:iCs/>
          <w:sz w:val="24"/>
          <w:szCs w:val="24"/>
        </w:rPr>
        <w:t>-</w:t>
      </w:r>
      <w:r w:rsidRPr="00EC7422">
        <w:rPr>
          <w:i/>
          <w:iCs/>
          <w:sz w:val="24"/>
          <w:szCs w:val="24"/>
        </w:rPr>
        <w:t>term research and science</w:t>
      </w:r>
    </w:p>
    <w:p w14:paraId="354346F8" w14:textId="36E76B60" w:rsidR="00645466" w:rsidRPr="006554AC" w:rsidRDefault="00645466" w:rsidP="00645466">
      <w:pPr>
        <w:spacing w:before="120"/>
      </w:pPr>
      <w:r w:rsidRPr="006554AC">
        <w:t xml:space="preserve">Current water science to policy pathways largely </w:t>
      </w:r>
      <w:proofErr w:type="gramStart"/>
      <w:r w:rsidRPr="006554AC">
        <w:t>assume</w:t>
      </w:r>
      <w:proofErr w:type="gramEnd"/>
      <w:r w:rsidRPr="006554AC">
        <w:t xml:space="preserve"> linear processes, which are ill</w:t>
      </w:r>
      <w:r w:rsidR="000C608C">
        <w:t>-</w:t>
      </w:r>
      <w:r w:rsidRPr="006554AC">
        <w:t>suited to the dynamic and non</w:t>
      </w:r>
      <w:r w:rsidR="000C608C">
        <w:t>-</w:t>
      </w:r>
      <w:r w:rsidRPr="006554AC">
        <w:t>stationary nature of water systems under climate change. Limited feedback loops between research, planning and operations constrain system learning and adaptive capacity, increasing the risk of maladaptive planning and investment decisions as conditions evolve. Competition for short term funding further reinforces this fragmentation.</w:t>
      </w:r>
    </w:p>
    <w:p w14:paraId="710671A1" w14:textId="77777777" w:rsidR="00645466" w:rsidRPr="002810EC" w:rsidRDefault="00645466" w:rsidP="00645466">
      <w:pPr>
        <w:pStyle w:val="ListParagraph"/>
        <w:numPr>
          <w:ilvl w:val="0"/>
          <w:numId w:val="17"/>
        </w:numPr>
        <w:spacing w:before="120"/>
        <w:rPr>
          <w:i/>
          <w:iCs/>
          <w:sz w:val="24"/>
          <w:szCs w:val="24"/>
        </w:rPr>
      </w:pPr>
      <w:r w:rsidRPr="002810EC">
        <w:rPr>
          <w:i/>
          <w:iCs/>
          <w:sz w:val="24"/>
          <w:szCs w:val="24"/>
        </w:rPr>
        <w:t>Jurisdictional inconsistency and impede reform velocity due to lack of integrated science and research</w:t>
      </w:r>
    </w:p>
    <w:p w14:paraId="1F423004" w14:textId="77777777" w:rsidR="00645466" w:rsidRPr="006554AC" w:rsidRDefault="00645466" w:rsidP="00645466">
      <w:pPr>
        <w:spacing w:before="120"/>
      </w:pPr>
      <w:r w:rsidRPr="006554AC">
        <w:t>Inconsistent scientific assumptions across jurisdictions slow reform processes for the water sector and increase the likelihood of disputes between governments, water users and communities. In the absence of a coordinated water research framework, jurisdictions apply different baselines, climate scenarios and modelling approaches, reducing the portability of science</w:t>
      </w:r>
      <w:r w:rsidRPr="006554AC">
        <w:rPr>
          <w:rFonts w:ascii="Cambria Math" w:hAnsi="Cambria Math" w:cs="Cambria Math"/>
        </w:rPr>
        <w:t>‑</w:t>
      </w:r>
      <w:r w:rsidRPr="006554AC">
        <w:t>based policies and regulatory settings. This increases transaction and dispute resolution costs and weakens national reform momentum. </w:t>
      </w:r>
    </w:p>
    <w:p w14:paraId="4938CD1D" w14:textId="77777777" w:rsidR="00645466" w:rsidRPr="002810EC" w:rsidRDefault="00645466" w:rsidP="00645466">
      <w:pPr>
        <w:pStyle w:val="ListParagraph"/>
        <w:numPr>
          <w:ilvl w:val="0"/>
          <w:numId w:val="17"/>
        </w:numPr>
        <w:spacing w:before="120"/>
        <w:rPr>
          <w:i/>
          <w:iCs/>
          <w:sz w:val="24"/>
          <w:szCs w:val="24"/>
        </w:rPr>
      </w:pPr>
      <w:r w:rsidRPr="002810EC">
        <w:rPr>
          <w:i/>
          <w:iCs/>
          <w:sz w:val="24"/>
          <w:szCs w:val="24"/>
        </w:rPr>
        <w:t>Reduced regulatory and investment confidence</w:t>
      </w:r>
    </w:p>
    <w:p w14:paraId="2321AC33" w14:textId="77777777" w:rsidR="00645466" w:rsidRPr="006554AC" w:rsidRDefault="00645466" w:rsidP="00645466">
      <w:pPr>
        <w:spacing w:before="120"/>
      </w:pPr>
      <w:r w:rsidRPr="006554AC">
        <w:t>Fragmented and short</w:t>
      </w:r>
      <w:r w:rsidRPr="006554AC">
        <w:rPr>
          <w:rFonts w:ascii="Cambria Math" w:hAnsi="Cambria Math" w:cs="Cambria Math"/>
        </w:rPr>
        <w:t>‑</w:t>
      </w:r>
      <w:r w:rsidRPr="006554AC">
        <w:t>term water science and research governance undermines confidence in the durability and credibility of regulatory and planning decisions. Where evidence changes abruptly or lacks transparent justification, decision</w:t>
      </w:r>
      <w:r w:rsidRPr="006554AC">
        <w:rPr>
          <w:rFonts w:ascii="Cambria Math" w:hAnsi="Cambria Math" w:cs="Cambria Math"/>
        </w:rPr>
        <w:t>‑</w:t>
      </w:r>
      <w:r w:rsidRPr="006554AC">
        <w:t>makers are incentivised to adopt reactive or risk</w:t>
      </w:r>
      <w:r w:rsidRPr="006554AC">
        <w:rPr>
          <w:rFonts w:ascii="Cambria Math" w:hAnsi="Cambria Math" w:cs="Cambria Math"/>
        </w:rPr>
        <w:t>‑</w:t>
      </w:r>
      <w:r w:rsidRPr="006554AC">
        <w:t>averse approaches rather than the long</w:t>
      </w:r>
      <w:r w:rsidRPr="006554AC">
        <w:rPr>
          <w:rFonts w:ascii="Cambria Math" w:hAnsi="Cambria Math" w:cs="Cambria Math"/>
        </w:rPr>
        <w:t>‑</w:t>
      </w:r>
      <w:r w:rsidRPr="006554AC">
        <w:t>term outlook required to achieve NWI objectives. This increases perceived regulatory and investment risk across the sector.</w:t>
      </w:r>
    </w:p>
    <w:p w14:paraId="5DD7F21F" w14:textId="77777777" w:rsidR="00645466" w:rsidRPr="00A40594" w:rsidRDefault="00645466" w:rsidP="00645466">
      <w:pPr>
        <w:pStyle w:val="ListParagraph"/>
        <w:numPr>
          <w:ilvl w:val="0"/>
          <w:numId w:val="17"/>
        </w:numPr>
        <w:spacing w:before="120"/>
        <w:rPr>
          <w:i/>
          <w:iCs/>
          <w:sz w:val="24"/>
          <w:szCs w:val="24"/>
        </w:rPr>
      </w:pPr>
      <w:r w:rsidRPr="00A40594">
        <w:rPr>
          <w:i/>
          <w:iCs/>
          <w:sz w:val="24"/>
          <w:szCs w:val="24"/>
        </w:rPr>
        <w:t>Market inefficiency and long run costs</w:t>
      </w:r>
    </w:p>
    <w:p w14:paraId="4070880C" w14:textId="77777777" w:rsidR="00645466" w:rsidRPr="006554AC" w:rsidRDefault="00645466" w:rsidP="00645466">
      <w:pPr>
        <w:spacing w:before="120"/>
      </w:pPr>
      <w:r w:rsidRPr="006554AC">
        <w:lastRenderedPageBreak/>
        <w:t>Poor integration of science and innovation contributes to inefficient water markets, resulting in higher long</w:t>
      </w:r>
      <w:r w:rsidRPr="006554AC">
        <w:rPr>
          <w:rFonts w:ascii="Cambria Math" w:hAnsi="Cambria Math" w:cs="Cambria Math"/>
        </w:rPr>
        <w:t>‑</w:t>
      </w:r>
      <w:r w:rsidRPr="006554AC">
        <w:t>run marginal and average costs than would be achievable under a coordinated, innovation</w:t>
      </w:r>
      <w:r w:rsidRPr="006554AC">
        <w:rPr>
          <w:rFonts w:ascii="Cambria Math" w:hAnsi="Cambria Math" w:cs="Cambria Math"/>
        </w:rPr>
        <w:t>‑</w:t>
      </w:r>
      <w:r w:rsidRPr="006554AC">
        <w:t>enabled system. Slow uptake of efficiency</w:t>
      </w:r>
      <w:r w:rsidRPr="006554AC">
        <w:rPr>
          <w:rFonts w:ascii="Cambria Math" w:hAnsi="Cambria Math" w:cs="Cambria Math"/>
        </w:rPr>
        <w:t>‑</w:t>
      </w:r>
      <w:r w:rsidRPr="006554AC">
        <w:t xml:space="preserve">enhancing technologies and practices reflects the lack of mechanisms to validate, update and embed new knowledge at scale. </w:t>
      </w:r>
    </w:p>
    <w:p w14:paraId="382006B5" w14:textId="77777777" w:rsidR="00645466" w:rsidRPr="00A40594" w:rsidRDefault="00645466" w:rsidP="00645466">
      <w:pPr>
        <w:pStyle w:val="ListParagraph"/>
        <w:numPr>
          <w:ilvl w:val="0"/>
          <w:numId w:val="17"/>
        </w:numPr>
        <w:spacing w:before="120"/>
        <w:rPr>
          <w:i/>
          <w:iCs/>
          <w:sz w:val="24"/>
          <w:szCs w:val="24"/>
        </w:rPr>
      </w:pPr>
      <w:r w:rsidRPr="00A40594">
        <w:rPr>
          <w:i/>
          <w:iCs/>
          <w:sz w:val="24"/>
          <w:szCs w:val="24"/>
        </w:rPr>
        <w:t>Eroded trust and public confidence through lack of stewardship and transparency of good research and science</w:t>
      </w:r>
    </w:p>
    <w:p w14:paraId="3FAE1922" w14:textId="77777777" w:rsidR="00645466" w:rsidRPr="006554AC" w:rsidRDefault="00645466" w:rsidP="00645466">
      <w:pPr>
        <w:spacing w:before="120"/>
      </w:pPr>
      <w:r w:rsidRPr="006554AC">
        <w:t xml:space="preserve">Limited transparency and coordination of the evidence base </w:t>
      </w:r>
      <w:proofErr w:type="gramStart"/>
      <w:r w:rsidRPr="006554AC">
        <w:t>reduces</w:t>
      </w:r>
      <w:proofErr w:type="gramEnd"/>
      <w:r w:rsidRPr="006554AC">
        <w:t xml:space="preserve"> confidence across water planning, markets and environmental management, with flow</w:t>
      </w:r>
      <w:r w:rsidRPr="006554AC">
        <w:rPr>
          <w:rFonts w:ascii="Cambria Math" w:hAnsi="Cambria Math" w:cs="Cambria Math"/>
        </w:rPr>
        <w:t>‑</w:t>
      </w:r>
      <w:r w:rsidRPr="006554AC">
        <w:t xml:space="preserve">on effects to public and consumer trust. Where research priorities, assumptions and updates are opaque or inconsistently applied, stakeholders have limited confidence in decision rationales, particularly where there </w:t>
      </w:r>
      <w:proofErr w:type="gramStart"/>
      <w:r w:rsidRPr="006554AC">
        <w:t>are</w:t>
      </w:r>
      <w:proofErr w:type="gramEnd"/>
      <w:r w:rsidRPr="006554AC">
        <w:t xml:space="preserve"> material impacts associated with adjustments. </w:t>
      </w:r>
    </w:p>
    <w:p w14:paraId="1506FCDA" w14:textId="77777777" w:rsidR="00645466" w:rsidRPr="00694720" w:rsidRDefault="00645466" w:rsidP="00645466">
      <w:pPr>
        <w:pStyle w:val="ListParagraph"/>
        <w:numPr>
          <w:ilvl w:val="0"/>
          <w:numId w:val="17"/>
        </w:numPr>
        <w:spacing w:before="120"/>
        <w:rPr>
          <w:i/>
          <w:iCs/>
          <w:sz w:val="24"/>
          <w:szCs w:val="24"/>
        </w:rPr>
      </w:pPr>
      <w:r w:rsidRPr="00694720">
        <w:rPr>
          <w:i/>
          <w:iCs/>
          <w:sz w:val="24"/>
          <w:szCs w:val="24"/>
        </w:rPr>
        <w:t xml:space="preserve">Failure to deliver </w:t>
      </w:r>
      <w:proofErr w:type="spellStart"/>
      <w:r w:rsidRPr="00694720">
        <w:rPr>
          <w:i/>
          <w:iCs/>
          <w:sz w:val="24"/>
          <w:szCs w:val="24"/>
        </w:rPr>
        <w:t>nnovation</w:t>
      </w:r>
      <w:proofErr w:type="spellEnd"/>
      <w:r w:rsidRPr="00694720">
        <w:rPr>
          <w:i/>
          <w:iCs/>
          <w:sz w:val="24"/>
          <w:szCs w:val="24"/>
        </w:rPr>
        <w:t xml:space="preserve"> and productivity gains</w:t>
      </w:r>
    </w:p>
    <w:p w14:paraId="481F0652" w14:textId="77777777" w:rsidR="00645466" w:rsidRPr="006554AC" w:rsidRDefault="00645466" w:rsidP="00645466">
      <w:pPr>
        <w:spacing w:before="120"/>
      </w:pPr>
      <w:r w:rsidRPr="006554AC">
        <w:t>Innovation fails to deliver operational or economic benefits without active translation, validation and adoption pathways. In the absence of sector</w:t>
      </w:r>
      <w:r w:rsidRPr="006554AC">
        <w:rPr>
          <w:rFonts w:ascii="Cambria Math" w:hAnsi="Cambria Math" w:cs="Cambria Math"/>
        </w:rPr>
        <w:t>‑</w:t>
      </w:r>
      <w:r w:rsidRPr="006554AC">
        <w:t>wide mechanisms to move innovations from pilots into business</w:t>
      </w:r>
      <w:r w:rsidRPr="006554AC">
        <w:rPr>
          <w:rFonts w:ascii="Cambria Math" w:hAnsi="Cambria Math" w:cs="Cambria Math"/>
        </w:rPr>
        <w:t>‑</w:t>
      </w:r>
      <w:r w:rsidRPr="006554AC">
        <w:t>as</w:t>
      </w:r>
      <w:r w:rsidRPr="006554AC">
        <w:rPr>
          <w:rFonts w:ascii="Cambria Math" w:hAnsi="Cambria Math" w:cs="Cambria Math"/>
        </w:rPr>
        <w:t>‑</w:t>
      </w:r>
      <w:r w:rsidRPr="006554AC">
        <w:t xml:space="preserve">usual practice, productivity gains remain fragmented and localised, resulting in foregone efficiency improvements across the system. </w:t>
      </w:r>
    </w:p>
    <w:p w14:paraId="69424A6F" w14:textId="58019C3B" w:rsidR="00645466" w:rsidRPr="006554AC" w:rsidRDefault="00645466" w:rsidP="00645466">
      <w:pPr>
        <w:spacing w:before="120"/>
      </w:pPr>
      <w:r w:rsidRPr="006554AC">
        <w:t xml:space="preserve">There is a clear need for systematic mechanisms to share evidence, research outputs and scientific insights across jurisdictions and utilities, enabling learning to be scaled and embedded consistently. Without coordinated approaches to knowledge transfer and adoption, the sector is unable to capture cumulative productivity </w:t>
      </w:r>
      <w:proofErr w:type="gramStart"/>
      <w:r w:rsidRPr="006554AC">
        <w:t>improvements</w:t>
      </w:r>
      <w:r w:rsidR="00694720">
        <w:t>,</w:t>
      </w:r>
      <w:r w:rsidRPr="006554AC">
        <w:t xml:space="preserve"> or</w:t>
      </w:r>
      <w:proofErr w:type="gramEnd"/>
      <w:r w:rsidRPr="006554AC">
        <w:t xml:space="preserve"> realise the full value of publicly funded research and innovation.</w:t>
      </w:r>
    </w:p>
    <w:p w14:paraId="2F2E6B94" w14:textId="77777777" w:rsidR="00645466" w:rsidRPr="00694720" w:rsidRDefault="00645466" w:rsidP="00645466">
      <w:pPr>
        <w:pStyle w:val="ListParagraph"/>
        <w:numPr>
          <w:ilvl w:val="0"/>
          <w:numId w:val="17"/>
        </w:numPr>
        <w:spacing w:before="120"/>
        <w:rPr>
          <w:i/>
          <w:iCs/>
          <w:sz w:val="24"/>
          <w:szCs w:val="24"/>
        </w:rPr>
      </w:pPr>
      <w:r w:rsidRPr="00694720">
        <w:rPr>
          <w:i/>
          <w:iCs/>
          <w:sz w:val="24"/>
          <w:szCs w:val="24"/>
        </w:rPr>
        <w:t>Uncertain research funding continuity and priority limits sustained development of scientific knowledge for decision-making and planning</w:t>
      </w:r>
    </w:p>
    <w:p w14:paraId="22E1CBC8" w14:textId="77777777" w:rsidR="00645466" w:rsidRPr="006554AC" w:rsidRDefault="00645466" w:rsidP="00645466">
      <w:pPr>
        <w:spacing w:before="120"/>
      </w:pPr>
      <w:r w:rsidRPr="006554AC">
        <w:t>The absence of a clear, durable funding pathway for water science creates a risk of systematic under</w:t>
      </w:r>
      <w:r w:rsidRPr="006554AC">
        <w:rPr>
          <w:rFonts w:ascii="Cambria Math" w:hAnsi="Cambria Math" w:cs="Cambria Math"/>
        </w:rPr>
        <w:t>‑</w:t>
      </w:r>
      <w:r w:rsidRPr="006554AC">
        <w:t>investment and under-prioritisation. Short</w:t>
      </w:r>
      <w:r w:rsidRPr="006554AC">
        <w:rPr>
          <w:rFonts w:ascii="Cambria Math" w:hAnsi="Cambria Math" w:cs="Cambria Math"/>
        </w:rPr>
        <w:t>‑</w:t>
      </w:r>
      <w:r w:rsidRPr="006554AC">
        <w:t>term and episodic funding limit the ability to sustain long</w:t>
      </w:r>
      <w:r w:rsidRPr="006554AC">
        <w:rPr>
          <w:rFonts w:ascii="Cambria Math" w:hAnsi="Cambria Math" w:cs="Cambria Math"/>
        </w:rPr>
        <w:t>‑</w:t>
      </w:r>
      <w:r w:rsidRPr="006554AC">
        <w:t>horizon research and infrastructure</w:t>
      </w:r>
      <w:r w:rsidRPr="006554AC">
        <w:rPr>
          <w:rFonts w:ascii="Cambria Math" w:hAnsi="Cambria Math" w:cs="Cambria Math"/>
        </w:rPr>
        <w:t>‑</w:t>
      </w:r>
      <w:r w:rsidRPr="006554AC">
        <w:t>aligned science. Unlike other sectors, water lacks a dedicated, enduring innovation funding mechanism.</w:t>
      </w:r>
    </w:p>
    <w:p w14:paraId="4B538847" w14:textId="77777777" w:rsidR="00645466" w:rsidRPr="002A04C1" w:rsidRDefault="00645466" w:rsidP="00645466">
      <w:pPr>
        <w:pStyle w:val="ListParagraph"/>
        <w:numPr>
          <w:ilvl w:val="0"/>
          <w:numId w:val="17"/>
        </w:numPr>
        <w:spacing w:before="120"/>
        <w:rPr>
          <w:i/>
          <w:iCs/>
          <w:sz w:val="24"/>
          <w:szCs w:val="24"/>
        </w:rPr>
      </w:pPr>
      <w:r w:rsidRPr="002A04C1">
        <w:rPr>
          <w:i/>
          <w:iCs/>
          <w:sz w:val="24"/>
          <w:szCs w:val="24"/>
        </w:rPr>
        <w:t>Misaligned or absent incentives for utilities to support research leads to gaps in knowledge and broader system and public good benefits</w:t>
      </w:r>
    </w:p>
    <w:p w14:paraId="5E9FF6B7" w14:textId="77777777" w:rsidR="00645466" w:rsidRDefault="00645466" w:rsidP="00645466">
      <w:pPr>
        <w:spacing w:before="120"/>
      </w:pPr>
      <w:r w:rsidRPr="006554AC">
        <w:t>An implicit assumption that utilities will “take care of” water research, without an explicit mandate or cost</w:t>
      </w:r>
      <w:r w:rsidRPr="006554AC">
        <w:rPr>
          <w:rFonts w:ascii="Cambria Math" w:hAnsi="Cambria Math" w:cs="Cambria Math"/>
        </w:rPr>
        <w:t>‑</w:t>
      </w:r>
      <w:r w:rsidRPr="006554AC">
        <w:t>recovery mechanism, risks chronic under</w:t>
      </w:r>
      <w:r w:rsidRPr="006554AC">
        <w:rPr>
          <w:rFonts w:ascii="Cambria Math" w:hAnsi="Cambria Math" w:cs="Cambria Math"/>
        </w:rPr>
        <w:t>‑</w:t>
      </w:r>
      <w:r w:rsidRPr="006554AC">
        <w:t>investment in sector</w:t>
      </w:r>
      <w:r w:rsidRPr="006554AC">
        <w:rPr>
          <w:rFonts w:ascii="Cambria Math" w:hAnsi="Cambria Math" w:cs="Cambria Math"/>
        </w:rPr>
        <w:t>‑</w:t>
      </w:r>
      <w:r w:rsidRPr="006554AC">
        <w:t>wide science that would produce a public benefit. Investment tends to occur only where directly linked to immediate regulatory obligations or price determinations, leaving broader system, environmental and resilience research underprovided.</w:t>
      </w:r>
    </w:p>
    <w:p w14:paraId="095A81EF" w14:textId="77777777" w:rsidR="00CD20F9" w:rsidRDefault="00CD20F9" w:rsidP="00645466">
      <w:pPr>
        <w:spacing w:before="120"/>
      </w:pPr>
    </w:p>
    <w:p w14:paraId="1A965660" w14:textId="77777777" w:rsidR="00CD20F9" w:rsidRDefault="00CD20F9" w:rsidP="00645466">
      <w:pPr>
        <w:spacing w:before="120"/>
      </w:pPr>
    </w:p>
    <w:p w14:paraId="03BF2FB6" w14:textId="77777777" w:rsidR="00CD20F9" w:rsidRPr="006554AC" w:rsidRDefault="00CD20F9" w:rsidP="00645466">
      <w:pPr>
        <w:spacing w:before="120"/>
      </w:pPr>
    </w:p>
    <w:p w14:paraId="179C60F5" w14:textId="77777777" w:rsidR="00B00245" w:rsidRDefault="00B00245" w:rsidP="001F43AC">
      <w:pPr>
        <w:spacing w:before="120"/>
      </w:pPr>
    </w:p>
    <w:p w14:paraId="6E790239" w14:textId="4EE83D12" w:rsidR="00B00245" w:rsidRPr="00B00245" w:rsidRDefault="00B00245" w:rsidP="001F43AC">
      <w:pPr>
        <w:spacing w:before="120"/>
        <w:rPr>
          <w:b/>
          <w:bCs/>
          <w:i/>
          <w:iCs/>
        </w:rPr>
      </w:pPr>
      <w:r w:rsidRPr="00B00245">
        <w:rPr>
          <w:b/>
          <w:bCs/>
          <w:i/>
          <w:iCs/>
        </w:rPr>
        <w:lastRenderedPageBreak/>
        <w:t>Reform Priorities</w:t>
      </w:r>
    </w:p>
    <w:p w14:paraId="44039447" w14:textId="5896143C" w:rsidR="0083501B" w:rsidRPr="00E23A47" w:rsidRDefault="00BF7C4D" w:rsidP="00F23586">
      <w:pPr>
        <w:shd w:val="clear" w:color="auto" w:fill="D0CECE" w:themeFill="background2" w:themeFillShade="E6"/>
        <w:spacing w:before="120"/>
      </w:pPr>
      <w:r w:rsidRPr="00CD20F9">
        <w:rPr>
          <w:i/>
          <w:iCs/>
        </w:rPr>
        <w:t>Water R</w:t>
      </w:r>
      <w:r w:rsidR="001D09CD" w:rsidRPr="00CD20F9">
        <w:rPr>
          <w:i/>
          <w:iCs/>
        </w:rPr>
        <w:t>esearch Australia</w:t>
      </w:r>
      <w:r w:rsidR="0057141C" w:rsidRPr="00E23A47">
        <w:t xml:space="preserve"> propose that future reform priorities give</w:t>
      </w:r>
      <w:r w:rsidR="0083501B" w:rsidRPr="00E23A47">
        <w:t xml:space="preserve"> </w:t>
      </w:r>
      <w:proofErr w:type="spellStart"/>
      <w:r w:rsidR="0083501B" w:rsidRPr="00E23A47">
        <w:t>prioritiy</w:t>
      </w:r>
      <w:proofErr w:type="spellEnd"/>
      <w:r w:rsidR="0083501B" w:rsidRPr="00E23A47">
        <w:t xml:space="preserve"> to providing clear and sustainable </w:t>
      </w:r>
      <w:r w:rsidR="00BF3765" w:rsidRPr="00E23A47">
        <w:t>arrangements that:</w:t>
      </w:r>
    </w:p>
    <w:p w14:paraId="393DFB1A" w14:textId="09CF66E1" w:rsidR="001D09CD" w:rsidRPr="00E23A47" w:rsidRDefault="001D09CD" w:rsidP="00F23586">
      <w:pPr>
        <w:pStyle w:val="ListParagraph"/>
        <w:numPr>
          <w:ilvl w:val="0"/>
          <w:numId w:val="18"/>
        </w:numPr>
        <w:shd w:val="clear" w:color="auto" w:fill="D0CECE" w:themeFill="background2" w:themeFillShade="E6"/>
        <w:spacing w:before="120"/>
        <w:rPr>
          <w:sz w:val="24"/>
          <w:szCs w:val="24"/>
        </w:rPr>
      </w:pPr>
      <w:r w:rsidRPr="00E23A47">
        <w:rPr>
          <w:sz w:val="24"/>
          <w:szCs w:val="24"/>
        </w:rPr>
        <w:t xml:space="preserve">allocate responsibility for coordinating and stewarding the national water science base, </w:t>
      </w:r>
    </w:p>
    <w:p w14:paraId="19D6DCFB" w14:textId="4CB9707A" w:rsidR="001D09CD" w:rsidRPr="00E23A47" w:rsidRDefault="001D09CD" w:rsidP="00F23586">
      <w:pPr>
        <w:pStyle w:val="ListParagraph"/>
        <w:numPr>
          <w:ilvl w:val="0"/>
          <w:numId w:val="18"/>
        </w:numPr>
        <w:shd w:val="clear" w:color="auto" w:fill="D0CECE" w:themeFill="background2" w:themeFillShade="E6"/>
        <w:spacing w:before="120"/>
        <w:rPr>
          <w:sz w:val="24"/>
          <w:szCs w:val="24"/>
        </w:rPr>
      </w:pPr>
      <w:r w:rsidRPr="00E23A47">
        <w:rPr>
          <w:sz w:val="24"/>
          <w:szCs w:val="24"/>
        </w:rPr>
        <w:t xml:space="preserve">secure research pathways, processes, and funding to support the creation of the science to support the desired scienced based decision-making, and </w:t>
      </w:r>
    </w:p>
    <w:p w14:paraId="20E5B582" w14:textId="4B10310C" w:rsidR="001D09CD" w:rsidRPr="00E23A47" w:rsidRDefault="001D09CD" w:rsidP="00F23586">
      <w:pPr>
        <w:pStyle w:val="ListParagraph"/>
        <w:numPr>
          <w:ilvl w:val="0"/>
          <w:numId w:val="18"/>
        </w:numPr>
        <w:shd w:val="clear" w:color="auto" w:fill="D0CECE" w:themeFill="background2" w:themeFillShade="E6"/>
        <w:spacing w:before="120"/>
        <w:rPr>
          <w:sz w:val="24"/>
          <w:szCs w:val="24"/>
        </w:rPr>
      </w:pPr>
      <w:r w:rsidRPr="00E23A47">
        <w:rPr>
          <w:sz w:val="24"/>
          <w:szCs w:val="24"/>
        </w:rPr>
        <w:t>translate research and innovation into consistent policy, planning and regulatory practice.</w:t>
      </w:r>
    </w:p>
    <w:p w14:paraId="03791A9C" w14:textId="14C08702" w:rsidR="003B19BD" w:rsidRDefault="00E23A47" w:rsidP="003B19BD">
      <w:pPr>
        <w:spacing w:before="120"/>
      </w:pPr>
      <w:r w:rsidRPr="0014449F">
        <w:t>Focus on these reform priorities will</w:t>
      </w:r>
      <w:r w:rsidR="00D44D5F">
        <w:t xml:space="preserve"> support </w:t>
      </w:r>
      <w:r w:rsidR="003B19BD">
        <w:t xml:space="preserve">Australia’s water sector </w:t>
      </w:r>
      <w:r w:rsidR="00D44D5F">
        <w:t>as it</w:t>
      </w:r>
      <w:r w:rsidR="003B19BD">
        <w:t xml:space="preserve"> enter</w:t>
      </w:r>
      <w:r w:rsidR="00D44D5F">
        <w:t>s</w:t>
      </w:r>
      <w:r w:rsidR="003B19BD">
        <w:t xml:space="preserve"> a new phase of reform in the context of significant change and uncertaint</w:t>
      </w:r>
      <w:r w:rsidR="00D44D5F">
        <w:t>y</w:t>
      </w:r>
      <w:r w:rsidR="003B19BD">
        <w:t xml:space="preserve"> shaped by climate variability, population growth and urbanisation, ageing infrastructure, rapid digitalisation, affordability concerns, and rising expectations for transparency and meaningful engagement. </w:t>
      </w:r>
    </w:p>
    <w:p w14:paraId="57FE87FB" w14:textId="455C490E" w:rsidR="003B19BD" w:rsidRDefault="00EC7426" w:rsidP="003B19BD">
      <w:pPr>
        <w:spacing w:before="120"/>
      </w:pPr>
      <w:r>
        <w:t xml:space="preserve">Focus on these reform priorities will support </w:t>
      </w:r>
      <w:r w:rsidR="003B19BD">
        <w:t xml:space="preserve">science, research and innovation </w:t>
      </w:r>
      <w:r w:rsidR="000C0A55">
        <w:t xml:space="preserve">to be </w:t>
      </w:r>
      <w:r w:rsidR="003B19BD">
        <w:t>foundational to good strategy and planning, credible policy design, adaptive management, and durable regulatory decision making.</w:t>
      </w:r>
    </w:p>
    <w:p w14:paraId="5AB39E4F" w14:textId="0D0D66FB" w:rsidR="003B19BD" w:rsidRDefault="000C0A55" w:rsidP="003B19BD">
      <w:pPr>
        <w:spacing w:before="120"/>
      </w:pPr>
      <w:r>
        <w:t>Focus on these priorities will</w:t>
      </w:r>
      <w:r w:rsidR="003B19BD">
        <w:t xml:space="preserve"> recognise</w:t>
      </w:r>
      <w:r w:rsidR="00F4299B">
        <w:t xml:space="preserve"> research and science </w:t>
      </w:r>
      <w:r w:rsidR="003B19BD">
        <w:t>as essential infrastructure for reform, enabling adaptive management in the face of uncertainty, reducing policy and investment risk, informing difficult trade</w:t>
      </w:r>
      <w:r w:rsidR="003B19BD">
        <w:rPr>
          <w:rFonts w:ascii="Cambria Math" w:hAnsi="Cambria Math" w:cs="Cambria Math"/>
        </w:rPr>
        <w:t>‑</w:t>
      </w:r>
      <w:r w:rsidR="003B19BD">
        <w:t>offs, and sustaining public trust in decision</w:t>
      </w:r>
      <w:r w:rsidR="003B19BD">
        <w:rPr>
          <w:rFonts w:ascii="Cambria Math" w:hAnsi="Cambria Math" w:cs="Cambria Math"/>
        </w:rPr>
        <w:t>‑</w:t>
      </w:r>
      <w:r w:rsidR="003B19BD">
        <w:t xml:space="preserve">making. </w:t>
      </w:r>
    </w:p>
    <w:p w14:paraId="4A07CD9A" w14:textId="310055DF" w:rsidR="003B19BD" w:rsidRDefault="00F4299B" w:rsidP="003B19BD">
      <w:pPr>
        <w:spacing w:before="120"/>
      </w:pPr>
      <w:r>
        <w:t>Focus on these reform priorities wil</w:t>
      </w:r>
      <w:r w:rsidR="0014449F">
        <w:t>l</w:t>
      </w:r>
      <w:r w:rsidR="003B19BD">
        <w:t xml:space="preserve"> coordinate</w:t>
      </w:r>
      <w:r w:rsidR="0014449F">
        <w:t xml:space="preserve"> effective</w:t>
      </w:r>
      <w:r w:rsidR="003B19BD">
        <w:t xml:space="preserve"> investment in research and scientific capability, and the creation of knowledge and its translation into </w:t>
      </w:r>
      <w:proofErr w:type="spellStart"/>
      <w:r w:rsidR="003B19BD">
        <w:t>into</w:t>
      </w:r>
      <w:proofErr w:type="spellEnd"/>
      <w:r w:rsidR="003B19BD">
        <w:t xml:space="preserve"> policy and practice, </w:t>
      </w:r>
      <w:r w:rsidR="0014449F">
        <w:t xml:space="preserve">enabling </w:t>
      </w:r>
      <w:r w:rsidR="003B19BD">
        <w:t>the ambitions of national water reform.</w:t>
      </w:r>
    </w:p>
    <w:p w14:paraId="4C290EC7" w14:textId="10AD1B72" w:rsidR="00E23A47" w:rsidRDefault="00E23A47" w:rsidP="001F43AC">
      <w:pPr>
        <w:spacing w:before="120"/>
      </w:pPr>
      <w:r>
        <w:t xml:space="preserve">See later section on </w:t>
      </w:r>
      <w:r w:rsidR="00E72295">
        <w:t>“</w:t>
      </w:r>
      <w:r w:rsidR="00E72295" w:rsidRPr="00E72295">
        <w:t>Potential reform solutions responding to the key issues identified</w:t>
      </w:r>
      <w:r w:rsidR="00E72295">
        <w:t>”</w:t>
      </w:r>
    </w:p>
    <w:p w14:paraId="5AEED811" w14:textId="77777777" w:rsidR="00E23A47" w:rsidRPr="00BF3765" w:rsidRDefault="00E23A47" w:rsidP="001F43AC">
      <w:pPr>
        <w:spacing w:before="120"/>
      </w:pPr>
    </w:p>
    <w:p w14:paraId="41E2C0D2" w14:textId="2F15D12E" w:rsidR="00CE5C50" w:rsidRPr="001D09CD" w:rsidRDefault="000A60E1" w:rsidP="001F43AC">
      <w:pPr>
        <w:spacing w:before="120"/>
        <w:rPr>
          <w:b/>
          <w:bCs/>
          <w:i/>
          <w:iCs/>
        </w:rPr>
      </w:pPr>
      <w:r w:rsidRPr="00CA6296">
        <w:rPr>
          <w:b/>
          <w:bCs/>
          <w:i/>
          <w:iCs/>
        </w:rPr>
        <w:t xml:space="preserve">Aspects of </w:t>
      </w:r>
      <w:r w:rsidR="008A2F8E" w:rsidRPr="00CA6296">
        <w:rPr>
          <w:b/>
          <w:bCs/>
          <w:i/>
          <w:iCs/>
        </w:rPr>
        <w:t>current water services arrang</w:t>
      </w:r>
      <w:r w:rsidR="00CE5C50" w:rsidRPr="00CA6296">
        <w:rPr>
          <w:b/>
          <w:bCs/>
          <w:i/>
          <w:iCs/>
        </w:rPr>
        <w:t>ements</w:t>
      </w:r>
      <w:r w:rsidR="00325BB1">
        <w:rPr>
          <w:b/>
          <w:bCs/>
          <w:i/>
          <w:iCs/>
        </w:rPr>
        <w:t xml:space="preserve"> that creates r</w:t>
      </w:r>
      <w:r w:rsidR="00822F68">
        <w:rPr>
          <w:b/>
          <w:bCs/>
          <w:i/>
          <w:iCs/>
        </w:rPr>
        <w:t>isks, inefficiencies and misalignments</w:t>
      </w:r>
    </w:p>
    <w:p w14:paraId="40DFD319" w14:textId="77777777" w:rsidR="002E7C9F" w:rsidRDefault="002E7C9F" w:rsidP="001F43AC">
      <w:pPr>
        <w:spacing w:before="120"/>
        <w:rPr>
          <w:i/>
          <w:iCs/>
        </w:rPr>
      </w:pPr>
    </w:p>
    <w:p w14:paraId="077A12A7" w14:textId="42F80B8C" w:rsidR="007515CF" w:rsidRPr="007515CF" w:rsidRDefault="00125D86" w:rsidP="001F43AC">
      <w:pPr>
        <w:spacing w:before="120"/>
        <w:rPr>
          <w:i/>
          <w:iCs/>
        </w:rPr>
      </w:pPr>
      <w:r>
        <w:rPr>
          <w:i/>
          <w:iCs/>
        </w:rPr>
        <w:t xml:space="preserve">Issue: </w:t>
      </w:r>
      <w:r w:rsidR="007515CF" w:rsidRPr="007515CF">
        <w:rPr>
          <w:i/>
          <w:iCs/>
        </w:rPr>
        <w:t xml:space="preserve">Economic regulation frameworks </w:t>
      </w:r>
      <w:r w:rsidR="007515CF" w:rsidRPr="00524999">
        <w:rPr>
          <w:i/>
          <w:iCs/>
          <w:u w:val="single"/>
        </w:rPr>
        <w:t>do not actively incentivise innovation or sustained investment</w:t>
      </w:r>
      <w:r w:rsidR="007515CF" w:rsidRPr="007515CF">
        <w:rPr>
          <w:i/>
          <w:iCs/>
        </w:rPr>
        <w:t xml:space="preserve"> in research and development.</w:t>
      </w:r>
    </w:p>
    <w:p w14:paraId="2C69B81A" w14:textId="4C937A76" w:rsidR="00C32CDD" w:rsidRDefault="00C32CDD" w:rsidP="00C32CDD">
      <w:pPr>
        <w:spacing w:before="120"/>
      </w:pPr>
      <w:r>
        <w:t xml:space="preserve">As identified through the </w:t>
      </w:r>
      <w:r w:rsidR="00C24225">
        <w:t>G</w:t>
      </w:r>
      <w:r>
        <w:t xml:space="preserve">ap </w:t>
      </w:r>
      <w:r w:rsidR="00C24225">
        <w:t>A</w:t>
      </w:r>
      <w:r>
        <w:t xml:space="preserve">nalysis, regulatory frameworks across Australia currently provide limited incentives for </w:t>
      </w:r>
      <w:r w:rsidR="00C24225">
        <w:t xml:space="preserve">research, </w:t>
      </w:r>
      <w:r>
        <w:t>innovation, experimentation and risk</w:t>
      </w:r>
      <w:r>
        <w:rPr>
          <w:rFonts w:ascii="Cambria Math" w:hAnsi="Cambria Math" w:cs="Cambria Math"/>
        </w:rPr>
        <w:t>‑</w:t>
      </w:r>
      <w:r>
        <w:t xml:space="preserve">taking. As a result, </w:t>
      </w:r>
      <w:r w:rsidR="00481394">
        <w:t xml:space="preserve">planning for </w:t>
      </w:r>
      <w:r>
        <w:t>long</w:t>
      </w:r>
      <w:r>
        <w:rPr>
          <w:rFonts w:ascii="Cambria Math" w:hAnsi="Cambria Math" w:cs="Cambria Math"/>
        </w:rPr>
        <w:t>‑</w:t>
      </w:r>
      <w:r>
        <w:t>term system resilience is neither strongly supported nor consistently rewarded through existing regulatory mechanisms.</w:t>
      </w:r>
    </w:p>
    <w:p w14:paraId="440BFF4C" w14:textId="1009F1B3" w:rsidR="00A4374A" w:rsidRDefault="00A4374A" w:rsidP="00A4374A">
      <w:pPr>
        <w:spacing w:before="120"/>
      </w:pPr>
      <w:r>
        <w:t xml:space="preserve">The </w:t>
      </w:r>
      <w:r w:rsidR="00A80179">
        <w:t xml:space="preserve">2025 </w:t>
      </w:r>
      <w:r>
        <w:t xml:space="preserve">Cunliffe Review </w:t>
      </w:r>
      <w:r w:rsidR="006367D0">
        <w:t xml:space="preserve">of the UK Water Sector </w:t>
      </w:r>
      <w:r>
        <w:t>highlights that where regulatory frameworks prioritise cost certainty and short</w:t>
      </w:r>
      <w:r>
        <w:rPr>
          <w:rFonts w:ascii="Cambria Math" w:hAnsi="Cambria Math" w:cs="Cambria Math"/>
        </w:rPr>
        <w:t>‑</w:t>
      </w:r>
      <w:r>
        <w:t xml:space="preserve">term efficiency, innovation and science become systematically disadvantaged. The </w:t>
      </w:r>
      <w:r w:rsidR="00A80179">
        <w:t>R</w:t>
      </w:r>
      <w:r>
        <w:t>eview finds that inadequate incentives for research and development limit the sector</w:t>
      </w:r>
      <w:r>
        <w:rPr>
          <w:rFonts w:ascii="Calibri" w:hAnsi="Calibri" w:cs="Calibri"/>
        </w:rPr>
        <w:t>’</w:t>
      </w:r>
      <w:r>
        <w:t>s ability to respond to climate change, increase long</w:t>
      </w:r>
      <w:r>
        <w:rPr>
          <w:rFonts w:ascii="Cambria Math" w:hAnsi="Cambria Math" w:cs="Cambria Math"/>
        </w:rPr>
        <w:t>‑</w:t>
      </w:r>
      <w:r>
        <w:t>term system costs, undermine affordability, and erode industry capability. Together, these impacts reinforce a cycle of conservatism that constrains the effective application of research and scientific advancement across the water sector.</w:t>
      </w:r>
    </w:p>
    <w:p w14:paraId="1B13074E" w14:textId="77777777" w:rsidR="00A4374A" w:rsidRDefault="00A4374A" w:rsidP="00C32CDD">
      <w:pPr>
        <w:spacing w:before="120"/>
      </w:pPr>
    </w:p>
    <w:p w14:paraId="62DB792E" w14:textId="77777777" w:rsidR="00213CF9" w:rsidRDefault="00C32CDD" w:rsidP="00C32CDD">
      <w:pPr>
        <w:spacing w:before="120"/>
      </w:pPr>
      <w:r>
        <w:lastRenderedPageBreak/>
        <w:t>A step</w:t>
      </w:r>
      <w:r w:rsidR="00481394">
        <w:t>-</w:t>
      </w:r>
      <w:r>
        <w:t xml:space="preserve">change in regulatory thinking is required to address </w:t>
      </w:r>
      <w:r w:rsidR="00642136">
        <w:t xml:space="preserve">challenges such as climate change, </w:t>
      </w:r>
      <w:r>
        <w:t xml:space="preserve">the infrastructure renewal challenge, while simultaneously balancing service reliability, affordability and financial sustainability. </w:t>
      </w:r>
    </w:p>
    <w:p w14:paraId="6EC888E5" w14:textId="544E5363" w:rsidR="00C32CDD" w:rsidRDefault="00C32CDD" w:rsidP="00213CF9">
      <w:pPr>
        <w:shd w:val="clear" w:color="auto" w:fill="D0CECE" w:themeFill="background2" w:themeFillShade="E6"/>
        <w:spacing w:before="120"/>
        <w:jc w:val="center"/>
      </w:pPr>
      <w:r>
        <w:t>Without stronger incentives</w:t>
      </w:r>
      <w:r w:rsidR="00213CF9">
        <w:t xml:space="preserve"> for innovation</w:t>
      </w:r>
      <w:r>
        <w:t>, the regulatory framework continues to favour conservative, asset</w:t>
      </w:r>
      <w:r>
        <w:rPr>
          <w:rFonts w:ascii="Cambria Math" w:hAnsi="Cambria Math" w:cs="Cambria Math"/>
        </w:rPr>
        <w:t>‑</w:t>
      </w:r>
      <w:r>
        <w:t>led solutions, constraining the sector</w:t>
      </w:r>
      <w:r>
        <w:rPr>
          <w:rFonts w:ascii="Calibri" w:hAnsi="Calibri" w:cs="Calibri"/>
        </w:rPr>
        <w:t>’</w:t>
      </w:r>
      <w:r>
        <w:t>s ability to pursue innovative, adaptive responses to long</w:t>
      </w:r>
      <w:r>
        <w:rPr>
          <w:rFonts w:ascii="Cambria Math" w:hAnsi="Cambria Math" w:cs="Cambria Math"/>
        </w:rPr>
        <w:t>‑</w:t>
      </w:r>
      <w:r>
        <w:t>term uncertainty.</w:t>
      </w:r>
    </w:p>
    <w:p w14:paraId="1E38B606" w14:textId="77777777" w:rsidR="00C32CDD" w:rsidRDefault="00C32CDD" w:rsidP="00C32CDD">
      <w:pPr>
        <w:spacing w:before="120"/>
      </w:pPr>
      <w:r>
        <w:t>The PREMO framework, implemented by the Victorian Essential Services Commission, stands out as one of the few regulatory models in Australia that actively incentivises innovation through the potential for a higher rate of return. PREMO is designed to reward water businesses that deliver greater customer value by linking financial outcomes to the ambition of their proposals. It does this through five assessed elements: performance, risk, engagement, management and outcomes.</w:t>
      </w:r>
    </w:p>
    <w:p w14:paraId="00ABCF56" w14:textId="77777777" w:rsidR="00C32CDD" w:rsidRDefault="00C32CDD" w:rsidP="00C32CDD">
      <w:pPr>
        <w:spacing w:before="120"/>
      </w:pPr>
      <w:r>
        <w:t>Under PREMO, innovation is incentivised by allowing Victorian water businesses to earn a higher return on equity where ambitious, customer</w:t>
      </w:r>
      <w:r>
        <w:rPr>
          <w:rFonts w:ascii="Cambria Math" w:hAnsi="Cambria Math" w:cs="Cambria Math"/>
        </w:rPr>
        <w:t>‑</w:t>
      </w:r>
      <w:r>
        <w:t>focused and efficient proposals, often underpinned by research and innovation, credibly deliver improved outcomes and accept greater risk on behalf of customers. This represents a deliberate shift away from uniform returns and risk</w:t>
      </w:r>
      <w:r>
        <w:rPr>
          <w:rFonts w:ascii="Cambria Math" w:hAnsi="Cambria Math" w:cs="Cambria Math"/>
        </w:rPr>
        <w:t>‑</w:t>
      </w:r>
      <w:r>
        <w:t>averse regulation, placing responsibility and opportunity at the board level.</w:t>
      </w:r>
    </w:p>
    <w:p w14:paraId="5E893A58" w14:textId="77777777" w:rsidR="007515CF" w:rsidRDefault="007515CF" w:rsidP="001F43AC">
      <w:pPr>
        <w:spacing w:before="120"/>
      </w:pPr>
    </w:p>
    <w:p w14:paraId="403696D3" w14:textId="3E16B479" w:rsidR="00BC138C" w:rsidRPr="002E7C9F" w:rsidRDefault="00125D86" w:rsidP="001F43AC">
      <w:pPr>
        <w:spacing w:before="120"/>
        <w:rPr>
          <w:i/>
          <w:iCs/>
        </w:rPr>
      </w:pPr>
      <w:r>
        <w:rPr>
          <w:i/>
          <w:iCs/>
        </w:rPr>
        <w:t xml:space="preserve">Issue: </w:t>
      </w:r>
      <w:r w:rsidR="00BC138C" w:rsidRPr="00BC138C">
        <w:rPr>
          <w:i/>
          <w:iCs/>
        </w:rPr>
        <w:t xml:space="preserve">Economic regulatory frameworks </w:t>
      </w:r>
      <w:r w:rsidR="00BC138C" w:rsidRPr="00BC138C">
        <w:rPr>
          <w:i/>
          <w:iCs/>
          <w:u w:val="single"/>
        </w:rPr>
        <w:t>do not adequately account for long term benefits and cost reductions arising from R&amp;D investment</w:t>
      </w:r>
      <w:r w:rsidR="00BC138C" w:rsidRPr="00BC138C">
        <w:rPr>
          <w:i/>
          <w:iCs/>
        </w:rPr>
        <w:t>.</w:t>
      </w:r>
    </w:p>
    <w:p w14:paraId="54EB7B68" w14:textId="23FD3234" w:rsidR="002173DF" w:rsidRDefault="003277C6" w:rsidP="003277C6">
      <w:pPr>
        <w:spacing w:before="120"/>
      </w:pPr>
      <w:r>
        <w:t>Science and research play a critical role in strengthening the evidence base underpinning prudency assessments of both capital and operating expenditure. Robust scientific analysis, spanning</w:t>
      </w:r>
      <w:r w:rsidR="00213CF9">
        <w:t xml:space="preserve"> areas such as</w:t>
      </w:r>
      <w:r>
        <w:t xml:space="preserve"> climate modelling, asset deterioration, water quality risk, system resilience and service reliability, provides the empirical foundation needed to demonstrate that proposed investments are not only technically sound, but necessary and reasonable in the face of evolving risk profiles. </w:t>
      </w:r>
    </w:p>
    <w:p w14:paraId="64BFB1A3" w14:textId="0FC98FEA" w:rsidR="003277C6" w:rsidRPr="00955EFC" w:rsidRDefault="003277C6" w:rsidP="003B3C36">
      <w:pPr>
        <w:shd w:val="clear" w:color="auto" w:fill="D0CECE" w:themeFill="background2" w:themeFillShade="E6"/>
        <w:spacing w:before="120"/>
        <w:jc w:val="center"/>
      </w:pPr>
      <w:r w:rsidRPr="00955EFC">
        <w:t>In the absence of this evidence</w:t>
      </w:r>
      <w:r w:rsidR="002B6BFF" w:rsidRPr="00955EFC">
        <w:t xml:space="preserve"> from research and science</w:t>
      </w:r>
      <w:r w:rsidRPr="00955EFC">
        <w:t>, prudency assessments risk becoming backward</w:t>
      </w:r>
      <w:r w:rsidRPr="00955EFC">
        <w:rPr>
          <w:rFonts w:ascii="Cambria Math" w:hAnsi="Cambria Math" w:cs="Cambria Math"/>
        </w:rPr>
        <w:t>‑</w:t>
      </w:r>
      <w:r w:rsidRPr="00955EFC">
        <w:t>looking, anchored in historical norms rather than forward</w:t>
      </w:r>
      <w:r w:rsidRPr="00955EFC">
        <w:rPr>
          <w:rFonts w:ascii="Cambria Math" w:hAnsi="Cambria Math" w:cs="Cambria Math"/>
        </w:rPr>
        <w:t>‑</w:t>
      </w:r>
      <w:r w:rsidRPr="00955EFC">
        <w:t>facing assessments of system vulnerability and long</w:t>
      </w:r>
      <w:r w:rsidRPr="00955EFC">
        <w:rPr>
          <w:rFonts w:ascii="Cambria Math" w:hAnsi="Cambria Math" w:cs="Cambria Math"/>
        </w:rPr>
        <w:t>‑</w:t>
      </w:r>
      <w:r w:rsidRPr="00955EFC">
        <w:t>term service obligations.</w:t>
      </w:r>
    </w:p>
    <w:p w14:paraId="290EA524" w14:textId="478FB31C" w:rsidR="003277C6" w:rsidRDefault="003277C6" w:rsidP="003277C6">
      <w:pPr>
        <w:spacing w:before="120"/>
      </w:pPr>
      <w:r>
        <w:t>Well</w:t>
      </w:r>
      <w:r w:rsidR="00B719CB">
        <w:rPr>
          <w:rFonts w:ascii="Cambria Math" w:hAnsi="Cambria Math" w:cs="Cambria Math"/>
        </w:rPr>
        <w:t xml:space="preserve"> </w:t>
      </w:r>
      <w:r>
        <w:t>integrated research also materially improves optioneering and efficiency outcomes. By enabling comparative assessment of intervention pathways under different risk scenarios, science</w:t>
      </w:r>
      <w:r>
        <w:rPr>
          <w:rFonts w:ascii="Cambria Math" w:hAnsi="Cambria Math" w:cs="Cambria Math"/>
        </w:rPr>
        <w:t>‑</w:t>
      </w:r>
      <w:r>
        <w:t>based decision</w:t>
      </w:r>
      <w:r>
        <w:rPr>
          <w:rFonts w:ascii="Cambria Math" w:hAnsi="Cambria Math" w:cs="Cambria Math"/>
        </w:rPr>
        <w:t>‑</w:t>
      </w:r>
      <w:r>
        <w:t>making supports more transparent trade</w:t>
      </w:r>
      <w:r>
        <w:rPr>
          <w:rFonts w:ascii="Cambria Math" w:hAnsi="Cambria Math" w:cs="Cambria Math"/>
        </w:rPr>
        <w:t>‑</w:t>
      </w:r>
      <w:r>
        <w:t>offs between capital intensity, operating strategies and risk exposure. This allows regulators to distinguish between genuinely inefficient expenditure and prudent investment designed to avoid low</w:t>
      </w:r>
      <w:r>
        <w:rPr>
          <w:rFonts w:ascii="Cambria Math" w:hAnsi="Cambria Math" w:cs="Cambria Math"/>
        </w:rPr>
        <w:t>‑</w:t>
      </w:r>
      <w:r>
        <w:t>probability but high</w:t>
      </w:r>
      <w:r>
        <w:rPr>
          <w:rFonts w:ascii="Cambria Math" w:hAnsi="Cambria Math" w:cs="Cambria Math"/>
        </w:rPr>
        <w:t>‑</w:t>
      </w:r>
      <w:r>
        <w:t>impact service failures. In this context, research acts as an enabler of efficiency (not a cost) by reducing uncertainty, avoiding over</w:t>
      </w:r>
      <w:r>
        <w:rPr>
          <w:rFonts w:ascii="Cambria Math" w:hAnsi="Cambria Math" w:cs="Cambria Math"/>
        </w:rPr>
        <w:t>‑</w:t>
      </w:r>
      <w:r>
        <w:t xml:space="preserve"> or under</w:t>
      </w:r>
      <w:r>
        <w:rPr>
          <w:rFonts w:ascii="Cambria Math" w:hAnsi="Cambria Math" w:cs="Cambria Math"/>
        </w:rPr>
        <w:t>‑</w:t>
      </w:r>
      <w:r>
        <w:t>investment, and supporting least</w:t>
      </w:r>
      <w:r>
        <w:rPr>
          <w:rFonts w:ascii="Cambria Math" w:hAnsi="Cambria Math" w:cs="Cambria Math"/>
        </w:rPr>
        <w:t>‑</w:t>
      </w:r>
      <w:r>
        <w:t>regret decision</w:t>
      </w:r>
      <w:r>
        <w:rPr>
          <w:rFonts w:ascii="Cambria Math" w:hAnsi="Cambria Math" w:cs="Cambria Math"/>
        </w:rPr>
        <w:t>‑</w:t>
      </w:r>
      <w:r>
        <w:t>making under deep uncertainty.</w:t>
      </w:r>
    </w:p>
    <w:p w14:paraId="31E21146" w14:textId="77777777" w:rsidR="003277C6" w:rsidRDefault="003277C6" w:rsidP="003277C6">
      <w:pPr>
        <w:spacing w:before="120"/>
      </w:pPr>
      <w:r>
        <w:t>Prudency tests struggle to accommodate investments driven by emerging scientific understanding rather than historical evidence of asset failure or service non</w:t>
      </w:r>
      <w:r>
        <w:rPr>
          <w:rFonts w:ascii="Cambria Math" w:hAnsi="Cambria Math" w:cs="Cambria Math"/>
        </w:rPr>
        <w:t>‑</w:t>
      </w:r>
      <w:r>
        <w:t>compliance. Where risks are uncertain or probabilistic in nature, regulated businesses face significant evidentiary hurdles in demonstrating that expenditure is both prudent and efficient, despite signals from climate science, environmental monitoring or system modelling that service reliability is deteriorating. As a result, investment decisions are frequently deferred until risks crystallise, at which point costs, disruptions and affordability impacts are materially higher.</w:t>
      </w:r>
    </w:p>
    <w:p w14:paraId="48BD70F0" w14:textId="42D0C2E1" w:rsidR="003277C6" w:rsidRDefault="003277C6" w:rsidP="003277C6">
      <w:pPr>
        <w:spacing w:before="120"/>
      </w:pPr>
      <w:r>
        <w:lastRenderedPageBreak/>
        <w:t>More fundamentally, existing frameworks tend to assess prudency at the project or cost</w:t>
      </w:r>
      <w:r>
        <w:rPr>
          <w:rFonts w:ascii="Cambria Math" w:hAnsi="Cambria Math" w:cs="Cambria Math"/>
        </w:rPr>
        <w:t>‑</w:t>
      </w:r>
      <w:r>
        <w:t>line level, rather than at the system or portfolio level where resilience benefits are realised. This narrows the scope for regulators to recognise the value of redundancy, modularity, or adaptive capacity</w:t>
      </w:r>
      <w:r w:rsidR="00F71F1F">
        <w:t xml:space="preserve"> -</w:t>
      </w:r>
      <w:r>
        <w:t xml:space="preserve"> features that are central to managing high</w:t>
      </w:r>
      <w:r>
        <w:rPr>
          <w:rFonts w:ascii="Cambria Math" w:hAnsi="Cambria Math" w:cs="Cambria Math"/>
        </w:rPr>
        <w:t>‑</w:t>
      </w:r>
      <w:r>
        <w:t>impact risks but may appear inefficient when assessed in isolation. Without explicit mechanisms to value uncertainty reduction, optionality and avoided future costs, regulatory decisions can unintentionally discourage innovative or preventative solutions.</w:t>
      </w:r>
    </w:p>
    <w:p w14:paraId="251D7D36" w14:textId="77594925" w:rsidR="003B3C36" w:rsidRPr="00955EFC" w:rsidRDefault="003277C6" w:rsidP="00955EFC">
      <w:pPr>
        <w:shd w:val="clear" w:color="auto" w:fill="D0CECE" w:themeFill="background2" w:themeFillShade="E6"/>
        <w:spacing w:before="120"/>
        <w:jc w:val="center"/>
      </w:pPr>
      <w:r w:rsidRPr="00955EFC">
        <w:t>Strengthening the role of science and research within regulatory decision</w:t>
      </w:r>
      <w:r w:rsidRPr="00955EFC">
        <w:rPr>
          <w:rFonts w:ascii="Cambria Math" w:hAnsi="Cambria Math" w:cs="Cambria Math"/>
        </w:rPr>
        <w:t>‑</w:t>
      </w:r>
      <w:r w:rsidRPr="00955EFC">
        <w:t>making therefore requires a shift from viewing uncertainty as a justification for delay, to recognising it as a rationale for action.</w:t>
      </w:r>
    </w:p>
    <w:p w14:paraId="26A27E1B" w14:textId="288AD998" w:rsidR="003277C6" w:rsidRDefault="003277C6" w:rsidP="00955EFC">
      <w:pPr>
        <w:shd w:val="clear" w:color="auto" w:fill="D0CECE" w:themeFill="background2" w:themeFillShade="E6"/>
        <w:spacing w:before="120"/>
        <w:jc w:val="center"/>
      </w:pPr>
      <w:r>
        <w:t>It also requires clearer regulatory signals that well</w:t>
      </w:r>
      <w:r>
        <w:rPr>
          <w:rFonts w:ascii="Cambria Math" w:hAnsi="Cambria Math" w:cs="Cambria Math"/>
        </w:rPr>
        <w:t>‑</w:t>
      </w:r>
      <w:r>
        <w:t>founded research and long</w:t>
      </w:r>
      <w:r>
        <w:rPr>
          <w:rFonts w:ascii="Cambria Math" w:hAnsi="Cambria Math" w:cs="Cambria Math"/>
        </w:rPr>
        <w:t>‑</w:t>
      </w:r>
      <w:r>
        <w:t>term risk mitigation constitute prudent behaviour, even where benefits extend beyond a single regulatory period.</w:t>
      </w:r>
    </w:p>
    <w:p w14:paraId="5FF767C9" w14:textId="0145C8B5" w:rsidR="003277C6" w:rsidRDefault="003277C6" w:rsidP="003277C6">
      <w:pPr>
        <w:spacing w:before="120"/>
      </w:pPr>
      <w:r>
        <w:t xml:space="preserve">Ultimately, embedding </w:t>
      </w:r>
      <w:r w:rsidR="00E5227E">
        <w:t xml:space="preserve">research and </w:t>
      </w:r>
      <w:r>
        <w:t>science more deeply into prudency and efficiency assessments would support more resilient, efficient and equitable outcomes for customers. By enabling regulators to better account for long</w:t>
      </w:r>
      <w:r>
        <w:rPr>
          <w:rFonts w:ascii="Cambria Math" w:hAnsi="Cambria Math" w:cs="Cambria Math"/>
        </w:rPr>
        <w:t>‑</w:t>
      </w:r>
      <w:r>
        <w:t>term system risks, high</w:t>
      </w:r>
      <w:r>
        <w:rPr>
          <w:rFonts w:ascii="Cambria Math" w:hAnsi="Cambria Math" w:cs="Cambria Math"/>
        </w:rPr>
        <w:t>‑</w:t>
      </w:r>
      <w:r>
        <w:t>consequence events and the value of foresight, regulatory frameworks can more effectively balance service reliability, affordability and financial sustainability under conditions of increasing uncertainty.</w:t>
      </w:r>
    </w:p>
    <w:p w14:paraId="384C00D4" w14:textId="77777777" w:rsidR="003277C6" w:rsidRDefault="003277C6" w:rsidP="003277C6">
      <w:pPr>
        <w:spacing w:before="120"/>
      </w:pPr>
    </w:p>
    <w:p w14:paraId="5D307AB1" w14:textId="2C4E532A" w:rsidR="00BC138C" w:rsidRPr="007473CE" w:rsidRDefault="007473CE" w:rsidP="001F43AC">
      <w:pPr>
        <w:spacing w:before="120"/>
        <w:rPr>
          <w:i/>
          <w:iCs/>
        </w:rPr>
      </w:pPr>
      <w:r w:rsidRPr="007473CE">
        <w:rPr>
          <w:i/>
          <w:iCs/>
        </w:rPr>
        <w:t xml:space="preserve">Issue: Current assessment frameworks </w:t>
      </w:r>
      <w:r w:rsidRPr="007473CE">
        <w:rPr>
          <w:i/>
          <w:iCs/>
          <w:u w:val="single"/>
        </w:rPr>
        <w:t>struggle to capture the risks and costs of deferring or avoiding investment</w:t>
      </w:r>
      <w:r w:rsidR="00412C9D">
        <w:rPr>
          <w:i/>
          <w:iCs/>
        </w:rPr>
        <w:t xml:space="preserve"> that have been enabled by good science and research.</w:t>
      </w:r>
    </w:p>
    <w:p w14:paraId="3DF31DF2" w14:textId="3FFFB7C7" w:rsidR="006D092D" w:rsidRDefault="006D092D" w:rsidP="006D092D">
      <w:pPr>
        <w:spacing w:before="120"/>
      </w:pPr>
      <w:r>
        <w:t>Current assessment frameworks are not well equipped to deal with the valuation of the counterfactual as it relates to emerging</w:t>
      </w:r>
      <w:r w:rsidR="00D82C51">
        <w:t xml:space="preserve"> research and</w:t>
      </w:r>
      <w:r>
        <w:t xml:space="preserve"> science. Prudency and efficiency tests are typically framed around observable costs, historic performance and relatively short regulatory periods, which makes it difficult to recognise the value of investments aimed at reducing uncertain but potentially catastrophic risks. Where the probability of an event is low or its timing uncertain, regulators often default to requiring a high standard of proof that the expenditure is immediately justified, even where the consequences of failure to act would be severe, irreversible or system</w:t>
      </w:r>
      <w:r>
        <w:rPr>
          <w:rFonts w:ascii="Cambria Math" w:hAnsi="Cambria Math" w:cs="Cambria Math"/>
        </w:rPr>
        <w:t>‑</w:t>
      </w:r>
      <w:r>
        <w:t>wide.</w:t>
      </w:r>
    </w:p>
    <w:p w14:paraId="32D0AAF3" w14:textId="621978ED" w:rsidR="006D092D" w:rsidRDefault="006D092D" w:rsidP="006D092D">
      <w:pPr>
        <w:spacing w:before="120"/>
      </w:pPr>
      <w:r>
        <w:t>Science and research can narrow this evidentiary gap by improving understanding of emerging risks, clarifying causal pathways and strengthening confidence in long</w:t>
      </w:r>
      <w:r>
        <w:rPr>
          <w:rFonts w:ascii="Cambria Math" w:hAnsi="Cambria Math" w:cs="Cambria Math"/>
        </w:rPr>
        <w:t>‑</w:t>
      </w:r>
      <w:r>
        <w:t xml:space="preserve">term projections. Improved climate science, asset degradation modelling, </w:t>
      </w:r>
      <w:r w:rsidR="001C516B">
        <w:t>emerging contaminant</w:t>
      </w:r>
      <w:r>
        <w:t xml:space="preserve"> risk assessment a</w:t>
      </w:r>
      <w:r w:rsidR="001C516B">
        <w:t xml:space="preserve">re </w:t>
      </w:r>
      <w:r w:rsidR="00774599">
        <w:t xml:space="preserve">some examples of </w:t>
      </w:r>
      <w:r>
        <w:t>to mak</w:t>
      </w:r>
      <w:r w:rsidR="00774599">
        <w:t>ing</w:t>
      </w:r>
      <w:r>
        <w:t xml:space="preserve"> previously latent risks more visible and defensible in regulatory decision</w:t>
      </w:r>
      <w:r>
        <w:rPr>
          <w:rFonts w:ascii="Cambria Math" w:hAnsi="Cambria Math" w:cs="Cambria Math"/>
        </w:rPr>
        <w:t>‑</w:t>
      </w:r>
      <w:r>
        <w:t xml:space="preserve">making. However, even with better science, existing frameworks struggle to translate this knowledge into an economic valuation that sits comfortably within conventional prudency tests. </w:t>
      </w:r>
      <w:proofErr w:type="gramStart"/>
      <w:r>
        <w:t>In particular, they</w:t>
      </w:r>
      <w:proofErr w:type="gramEnd"/>
      <w:r>
        <w:t xml:space="preserve"> provide limited mechanisms to recognise the value </w:t>
      </w:r>
      <w:r w:rsidR="00483460">
        <w:t xml:space="preserve">provided by research </w:t>
      </w:r>
      <w:r>
        <w:t>of reduced uncertainty, avoided future disruption, or the option value created by earlier, proactive investment.</w:t>
      </w:r>
    </w:p>
    <w:p w14:paraId="0A3B048C" w14:textId="77777777" w:rsidR="006D092D" w:rsidRDefault="006D092D" w:rsidP="006D092D">
      <w:pPr>
        <w:spacing w:before="120"/>
      </w:pPr>
      <w:r>
        <w:t>This creates a structural bias towards deferral, with investment decisions often only supported once risks crystallise through service failures, compliance breaches or extreme events. At that point, the counterfactual becomes obvious with hindsight, but the costs to customers, communities and the environment are materially higher than if action had been taken earlier. The inability to adequately value avoided costs or non</w:t>
      </w:r>
      <w:r>
        <w:rPr>
          <w:rFonts w:ascii="Cambria Math" w:hAnsi="Cambria Math" w:cs="Cambria Math"/>
        </w:rPr>
        <w:t>‑</w:t>
      </w:r>
      <w:r>
        <w:t>events means that regulatory decisions can unintentionally favour short</w:t>
      </w:r>
      <w:r>
        <w:rPr>
          <w:rFonts w:ascii="Cambria Math" w:hAnsi="Cambria Math" w:cs="Cambria Math"/>
        </w:rPr>
        <w:t>‑</w:t>
      </w:r>
      <w:r>
        <w:t>term cost minimisation over long</w:t>
      </w:r>
      <w:r>
        <w:rPr>
          <w:rFonts w:ascii="Cambria Math" w:hAnsi="Cambria Math" w:cs="Cambria Math"/>
        </w:rPr>
        <w:t>‑</w:t>
      </w:r>
      <w:r>
        <w:t>term resilience and productivity.</w:t>
      </w:r>
    </w:p>
    <w:p w14:paraId="56A2649B" w14:textId="5DC39C8F" w:rsidR="007473CE" w:rsidRDefault="006D092D" w:rsidP="006D102C">
      <w:pPr>
        <w:shd w:val="clear" w:color="auto" w:fill="D0CECE" w:themeFill="background2" w:themeFillShade="E6"/>
        <w:spacing w:before="120"/>
        <w:jc w:val="center"/>
      </w:pPr>
      <w:r>
        <w:t>Without reforms that better integrate</w:t>
      </w:r>
      <w:r w:rsidR="00FC144C">
        <w:t xml:space="preserve"> research and</w:t>
      </w:r>
      <w:r>
        <w:t xml:space="preserve"> scientific evidence into prudency assessment and explicitly recognise the risks and costs of inaction, current frameworks risk undermining service </w:t>
      </w:r>
      <w:r>
        <w:lastRenderedPageBreak/>
        <w:t>reliability, increasing long</w:t>
      </w:r>
      <w:r>
        <w:rPr>
          <w:rFonts w:ascii="Cambria Math" w:hAnsi="Cambria Math" w:cs="Cambria Math"/>
        </w:rPr>
        <w:t>‑</w:t>
      </w:r>
      <w:r>
        <w:t>run costs, and constraining the sector</w:t>
      </w:r>
      <w:r>
        <w:rPr>
          <w:rFonts w:ascii="Calibri" w:hAnsi="Calibri" w:cs="Calibri"/>
        </w:rPr>
        <w:t>’</w:t>
      </w:r>
      <w:r>
        <w:t>s ability to respond efficiently to growing uncertainty. Addressing this challenge is therefore central to improving productivity outcomes and ensuring that regulatory settings support timely, risk</w:t>
      </w:r>
      <w:r>
        <w:rPr>
          <w:rFonts w:ascii="Cambria Math" w:hAnsi="Cambria Math" w:cs="Cambria Math"/>
        </w:rPr>
        <w:t>‑</w:t>
      </w:r>
      <w:r>
        <w:t>informed investment decisions</w:t>
      </w:r>
    </w:p>
    <w:p w14:paraId="5A85486E" w14:textId="77777777" w:rsidR="007473CE" w:rsidRDefault="007473CE" w:rsidP="001F43AC">
      <w:pPr>
        <w:spacing w:before="120"/>
      </w:pPr>
    </w:p>
    <w:p w14:paraId="7D62F3B4" w14:textId="475B4116" w:rsidR="00270984" w:rsidRPr="00DE5048" w:rsidRDefault="00270984" w:rsidP="001F43AC">
      <w:pPr>
        <w:spacing w:before="120"/>
        <w:rPr>
          <w:i/>
          <w:iCs/>
        </w:rPr>
      </w:pPr>
      <w:r w:rsidRPr="00DE5048">
        <w:rPr>
          <w:i/>
          <w:iCs/>
        </w:rPr>
        <w:t>Issue</w:t>
      </w:r>
      <w:r w:rsidR="00BA2F3B">
        <w:rPr>
          <w:i/>
          <w:iCs/>
        </w:rPr>
        <w:t xml:space="preserve">: </w:t>
      </w:r>
      <w:r w:rsidR="00133EF0" w:rsidRPr="00133EF0">
        <w:rPr>
          <w:i/>
          <w:iCs/>
        </w:rPr>
        <w:t xml:space="preserve">Environmental and </w:t>
      </w:r>
      <w:r w:rsidR="00133EF0" w:rsidRPr="00BC607B">
        <w:rPr>
          <w:i/>
          <w:iCs/>
          <w:u w:val="single"/>
        </w:rPr>
        <w:t xml:space="preserve">climate </w:t>
      </w:r>
      <w:r w:rsidR="00BC607B" w:rsidRPr="00BC607B">
        <w:rPr>
          <w:i/>
          <w:iCs/>
          <w:u w:val="single"/>
        </w:rPr>
        <w:t xml:space="preserve">research and innovation </w:t>
      </w:r>
      <w:r w:rsidR="00133EF0" w:rsidRPr="00BC607B">
        <w:rPr>
          <w:i/>
          <w:iCs/>
          <w:u w:val="single"/>
        </w:rPr>
        <w:t>investment face</w:t>
      </w:r>
      <w:r w:rsidR="00C77BEA" w:rsidRPr="00BC607B">
        <w:rPr>
          <w:i/>
          <w:iCs/>
          <w:u w:val="single"/>
        </w:rPr>
        <w:t xml:space="preserve"> biases</w:t>
      </w:r>
      <w:r w:rsidR="00C77BEA">
        <w:rPr>
          <w:i/>
          <w:iCs/>
        </w:rPr>
        <w:t xml:space="preserve"> in</w:t>
      </w:r>
      <w:r w:rsidR="00133EF0" w:rsidRPr="00133EF0">
        <w:rPr>
          <w:i/>
          <w:iCs/>
        </w:rPr>
        <w:t xml:space="preserve"> economic regulatory processes</w:t>
      </w:r>
    </w:p>
    <w:p w14:paraId="3140D817" w14:textId="1BA1F562" w:rsidR="00E039F0" w:rsidRDefault="00BC7FE3" w:rsidP="001F43AC">
      <w:pPr>
        <w:spacing w:before="120"/>
      </w:pPr>
      <w:r w:rsidRPr="00BC7FE3">
        <w:t>Short price review cycles favour proven, capital</w:t>
      </w:r>
      <w:r w:rsidRPr="00BC7FE3">
        <w:rPr>
          <w:rFonts w:ascii="Cambria Math" w:hAnsi="Cambria Math" w:cs="Cambria Math"/>
        </w:rPr>
        <w:t>‑</w:t>
      </w:r>
      <w:r w:rsidRPr="00BC7FE3">
        <w:t>intensive solutions that deliver visible outcomes within a single determination period</w:t>
      </w:r>
      <w:r w:rsidR="00BD2008">
        <w:t xml:space="preserve">. Whereas the research, science and innovation required to arrest </w:t>
      </w:r>
      <w:r w:rsidR="00881CC7">
        <w:t xml:space="preserve">system challenges such </w:t>
      </w:r>
      <w:proofErr w:type="spellStart"/>
      <w:r w:rsidR="00881CC7">
        <w:t>s</w:t>
      </w:r>
      <w:proofErr w:type="spellEnd"/>
      <w:r w:rsidR="00881CC7">
        <w:t xml:space="preserve"> </w:t>
      </w:r>
      <w:r w:rsidR="00BD2008">
        <w:t>environmental degradation and impacts of climate change requires sustain</w:t>
      </w:r>
      <w:r w:rsidR="006A05F3">
        <w:t>ed iterative effort and attention over the long term.</w:t>
      </w:r>
      <w:r w:rsidR="00926FBE">
        <w:t xml:space="preserve"> </w:t>
      </w:r>
    </w:p>
    <w:p w14:paraId="0DE60CA2" w14:textId="4740BEAB" w:rsidR="00E039F0" w:rsidRDefault="00E039F0" w:rsidP="00DC5AAC">
      <w:pPr>
        <w:shd w:val="clear" w:color="auto" w:fill="D0CECE" w:themeFill="background2" w:themeFillShade="E6"/>
        <w:spacing w:before="120"/>
        <w:jc w:val="center"/>
      </w:pPr>
      <w:r w:rsidRPr="00BC7FE3">
        <w:t>The Cunliffe Review discusses how the UK’s regulatory structures can actively shape innovation behaviour.  Without mechanisms to manage regulatory risk, allow controlled experimentation, and recognise long</w:t>
      </w:r>
      <w:r w:rsidRPr="00BC7FE3">
        <w:rPr>
          <w:rFonts w:ascii="Cambria Math" w:hAnsi="Cambria Math" w:cs="Cambria Math"/>
        </w:rPr>
        <w:t>‑</w:t>
      </w:r>
      <w:r w:rsidRPr="00BC7FE3">
        <w:t>run benefits, utilities rationally default to lowest</w:t>
      </w:r>
      <w:r w:rsidRPr="00BC7FE3">
        <w:rPr>
          <w:rFonts w:ascii="Cambria Math" w:hAnsi="Cambria Math" w:cs="Cambria Math"/>
        </w:rPr>
        <w:t>‑</w:t>
      </w:r>
      <w:r w:rsidRPr="00BC7FE3">
        <w:t>risk, short</w:t>
      </w:r>
      <w:r w:rsidRPr="00BC7FE3">
        <w:rPr>
          <w:rFonts w:ascii="Cambria Math" w:hAnsi="Cambria Math" w:cs="Cambria Math"/>
        </w:rPr>
        <w:t>‑</w:t>
      </w:r>
      <w:r w:rsidRPr="00BC7FE3">
        <w:t>term compliance strategies.</w:t>
      </w:r>
    </w:p>
    <w:p w14:paraId="0025305A" w14:textId="54F93274" w:rsidR="006D09A3" w:rsidRDefault="00926FBE" w:rsidP="001F43AC">
      <w:pPr>
        <w:spacing w:before="120"/>
      </w:pPr>
      <w:r>
        <w:t>A</w:t>
      </w:r>
      <w:r w:rsidR="00BC7FE3" w:rsidRPr="00BC7FE3">
        <w:t>daptive approaches such as nature</w:t>
      </w:r>
      <w:r w:rsidR="00BC7FE3" w:rsidRPr="00BC7FE3">
        <w:rPr>
          <w:rFonts w:ascii="Cambria Math" w:hAnsi="Cambria Math" w:cs="Cambria Math"/>
        </w:rPr>
        <w:t>‑</w:t>
      </w:r>
      <w:r w:rsidR="00BC7FE3" w:rsidRPr="00BC7FE3">
        <w:t xml:space="preserve">based solutions, </w:t>
      </w:r>
      <w:r>
        <w:t xml:space="preserve">carbon </w:t>
      </w:r>
      <w:r w:rsidR="00E62DC1">
        <w:t>drawdown, emissions reduction</w:t>
      </w:r>
      <w:r w:rsidR="001C38FA">
        <w:t xml:space="preserve"> are essential </w:t>
      </w:r>
      <w:proofErr w:type="gramStart"/>
      <w:r w:rsidR="001C38FA">
        <w:t>longer term</w:t>
      </w:r>
      <w:proofErr w:type="gramEnd"/>
      <w:r w:rsidR="001C38FA">
        <w:t xml:space="preserve"> </w:t>
      </w:r>
      <w:r w:rsidR="001823B2">
        <w:t xml:space="preserve">strategies, whose benefits may not be fully </w:t>
      </w:r>
      <w:proofErr w:type="gramStart"/>
      <w:r w:rsidR="001823B2">
        <w:t>understand</w:t>
      </w:r>
      <w:proofErr w:type="gramEnd"/>
      <w:r w:rsidR="001823B2">
        <w:t xml:space="preserve"> or measured until</w:t>
      </w:r>
      <w:r w:rsidR="009B0C23">
        <w:t xml:space="preserve"> subsequent pricing periods disadvantaging approaches</w:t>
      </w:r>
      <w:r w:rsidR="00CA65A3">
        <w:t xml:space="preserve"> such as these.</w:t>
      </w:r>
    </w:p>
    <w:p w14:paraId="22B3618E" w14:textId="77777777" w:rsidR="00BD2008" w:rsidRDefault="00BD2008" w:rsidP="001F43AC">
      <w:pPr>
        <w:spacing w:before="120"/>
      </w:pPr>
    </w:p>
    <w:p w14:paraId="3015DA97" w14:textId="256FA6BB" w:rsidR="00BA2F3B" w:rsidRPr="006D6913" w:rsidRDefault="006D6913" w:rsidP="006D6913">
      <w:pPr>
        <w:spacing w:before="120"/>
        <w:rPr>
          <w:i/>
          <w:iCs/>
        </w:rPr>
      </w:pPr>
      <w:r w:rsidRPr="006D6913">
        <w:rPr>
          <w:i/>
          <w:iCs/>
        </w:rPr>
        <w:t>Issue</w:t>
      </w:r>
      <w:r w:rsidRPr="00BC607B">
        <w:rPr>
          <w:i/>
          <w:iCs/>
          <w:u w:val="single"/>
        </w:rPr>
        <w:t>: Affordability constraints contribute to lower levels of investment</w:t>
      </w:r>
      <w:r w:rsidRPr="006D6913">
        <w:rPr>
          <w:i/>
          <w:iCs/>
        </w:rPr>
        <w:t xml:space="preserve"> in innovation and long-term capability.</w:t>
      </w:r>
    </w:p>
    <w:p w14:paraId="475E6B25" w14:textId="77777777" w:rsidR="008469C1" w:rsidRDefault="008469C1" w:rsidP="008469C1">
      <w:pPr>
        <w:spacing w:before="120"/>
      </w:pPr>
      <w:r>
        <w:t>Affordability pressures within current regulatory and funding frameworks can unintentionally constrain investment in innovation and long</w:t>
      </w:r>
      <w:r>
        <w:rPr>
          <w:rFonts w:ascii="Cambria Math" w:hAnsi="Cambria Math" w:cs="Cambria Math"/>
        </w:rPr>
        <w:t>‑</w:t>
      </w:r>
      <w:r>
        <w:t>term capability, even where such investment would improve productivity and system resilience over time. In practice, the strong emphasis placed on near</w:t>
      </w:r>
      <w:r>
        <w:rPr>
          <w:rFonts w:ascii="Cambria Math" w:hAnsi="Cambria Math" w:cs="Cambria Math"/>
        </w:rPr>
        <w:t>‑</w:t>
      </w:r>
      <w:r>
        <w:t>term bill impacts and short</w:t>
      </w:r>
      <w:r>
        <w:rPr>
          <w:rFonts w:ascii="Cambria Math" w:hAnsi="Cambria Math" w:cs="Cambria Math"/>
        </w:rPr>
        <w:t>‑</w:t>
      </w:r>
      <w:r>
        <w:t>run cost containment limits the scope for regulated entities to pursue research, trials and capability</w:t>
      </w:r>
      <w:r>
        <w:rPr>
          <w:rFonts w:ascii="Cambria Math" w:hAnsi="Cambria Math" w:cs="Cambria Math"/>
        </w:rPr>
        <w:t>‑</w:t>
      </w:r>
      <w:r>
        <w:t>building activities whose benefits accrue gradually or materialise beyond a single regulatory period.</w:t>
      </w:r>
    </w:p>
    <w:p w14:paraId="0C413C6B" w14:textId="41162740" w:rsidR="008469C1" w:rsidRDefault="00C17A72" w:rsidP="008469C1">
      <w:pPr>
        <w:spacing w:before="120"/>
      </w:pPr>
      <w:r>
        <w:t>A</w:t>
      </w:r>
      <w:r w:rsidR="008469C1">
        <w:t xml:space="preserve">ffordability </w:t>
      </w:r>
      <w:r w:rsidR="002533D5">
        <w:t xml:space="preserve">often </w:t>
      </w:r>
      <w:r w:rsidR="001E47F3">
        <w:t xml:space="preserve">considered achievable only through short term cost control </w:t>
      </w:r>
      <w:r w:rsidR="008469C1">
        <w:t>to be balanced alongside long</w:t>
      </w:r>
      <w:r w:rsidR="008469C1">
        <w:rPr>
          <w:rFonts w:ascii="Cambria Math" w:hAnsi="Cambria Math" w:cs="Cambria Math"/>
        </w:rPr>
        <w:t>‑</w:t>
      </w:r>
      <w:r w:rsidR="008469C1">
        <w:t xml:space="preserve">term efficiency and service reliability, discretionary expenditure such as innovation, applied research and system transformation tends to be deferred. These investments are often perceived as higher risk or less immediately tangible than </w:t>
      </w:r>
      <w:r w:rsidR="00790975">
        <w:t xml:space="preserve">cost controls, </w:t>
      </w:r>
      <w:r w:rsidR="008469C1">
        <w:t>core asset replacement or compliance</w:t>
      </w:r>
      <w:r w:rsidR="008469C1">
        <w:rPr>
          <w:rFonts w:ascii="Cambria Math" w:hAnsi="Cambria Math" w:cs="Cambria Math"/>
        </w:rPr>
        <w:t>‑</w:t>
      </w:r>
      <w:r w:rsidR="008469C1">
        <w:t>driven upgrades, particularly when regulatory frameworks provide limited recognition of their future productivity benefits or risk</w:t>
      </w:r>
      <w:r w:rsidR="008469C1">
        <w:rPr>
          <w:rFonts w:ascii="Cambria Math" w:hAnsi="Cambria Math" w:cs="Cambria Math"/>
        </w:rPr>
        <w:t>‑</w:t>
      </w:r>
      <w:r w:rsidR="008469C1">
        <w:t>reduction value.</w:t>
      </w:r>
    </w:p>
    <w:p w14:paraId="3DB77D68" w14:textId="42CB1A79" w:rsidR="008469C1" w:rsidRDefault="008469C1" w:rsidP="008469C1">
      <w:pPr>
        <w:spacing w:before="120"/>
      </w:pPr>
      <w:r>
        <w:t>Over time, this dynamic can reinforce a cycle of under</w:t>
      </w:r>
      <w:r>
        <w:rPr>
          <w:rFonts w:ascii="Cambria Math" w:hAnsi="Cambria Math" w:cs="Cambria Math"/>
        </w:rPr>
        <w:t>‑</w:t>
      </w:r>
      <w:r>
        <w:t xml:space="preserve">investment in </w:t>
      </w:r>
      <w:r w:rsidR="005D73AA">
        <w:t>research, science and innovation</w:t>
      </w:r>
      <w:r>
        <w:t>. Utilities focus on incremental, lowest</w:t>
      </w:r>
      <w:r>
        <w:rPr>
          <w:rFonts w:ascii="Cambria Math" w:hAnsi="Cambria Math" w:cs="Cambria Math"/>
        </w:rPr>
        <w:t>‑</w:t>
      </w:r>
      <w:r>
        <w:t>cost solutions to manage short</w:t>
      </w:r>
      <w:r>
        <w:rPr>
          <w:rFonts w:ascii="Cambria Math" w:hAnsi="Cambria Math" w:cs="Cambria Math"/>
        </w:rPr>
        <w:t>‑</w:t>
      </w:r>
      <w:r>
        <w:t>term pressures, while opportunities to improve operating efficiency, reduce long</w:t>
      </w:r>
      <w:r>
        <w:rPr>
          <w:rFonts w:ascii="Cambria Math" w:hAnsi="Cambria Math" w:cs="Cambria Math"/>
        </w:rPr>
        <w:t>‑</w:t>
      </w:r>
      <w:r>
        <w:t>run costs, or adapt to emerging challenges are foregone. As a result, affordability constraints may paradoxically lead to higher costs for customers in the long term, as systems become less flexible, less efficient and more exposed to shocks that require expensive reactive responses.</w:t>
      </w:r>
    </w:p>
    <w:p w14:paraId="4352E2E3" w14:textId="4888A321" w:rsidR="008469C1" w:rsidRDefault="008469C1" w:rsidP="008469C1">
      <w:pPr>
        <w:spacing w:before="120"/>
      </w:pPr>
      <w:r>
        <w:t xml:space="preserve">This tension is particularly acute in the water sector, where rising input costs, increasing climate variability and ageing infrastructure place growing demands on system performance. </w:t>
      </w:r>
      <w:r w:rsidR="00255939">
        <w:t xml:space="preserve">Science and </w:t>
      </w:r>
      <w:r w:rsidR="00255939">
        <w:lastRenderedPageBreak/>
        <w:t>evidence-based i</w:t>
      </w:r>
      <w:r>
        <w:t>nnovation</w:t>
      </w:r>
      <w:r w:rsidR="00ED4B8D">
        <w:t xml:space="preserve"> such as</w:t>
      </w:r>
      <w:r>
        <w:t xml:space="preserve"> new treatment processes, data</w:t>
      </w:r>
      <w:r>
        <w:rPr>
          <w:rFonts w:ascii="Cambria Math" w:hAnsi="Cambria Math" w:cs="Cambria Math"/>
        </w:rPr>
        <w:t>‑</w:t>
      </w:r>
      <w:r>
        <w:t>driven asset management, demand management approaches or alternative service models, has the potential to moderate these pressures over time. However, in the absence of explicit regulatory signals or funding mechanisms to support investment in innovation under affordability constraints, these options are often deprioritised in favour of proven, short</w:t>
      </w:r>
      <w:r>
        <w:rPr>
          <w:rFonts w:ascii="Cambria Math" w:hAnsi="Cambria Math" w:cs="Cambria Math"/>
        </w:rPr>
        <w:t>‑</w:t>
      </w:r>
      <w:r>
        <w:t xml:space="preserve">term solutions. </w:t>
      </w:r>
    </w:p>
    <w:p w14:paraId="5DD6EBB7" w14:textId="47840CD5" w:rsidR="008469C1" w:rsidRDefault="008469C1" w:rsidP="006C2ACA">
      <w:pPr>
        <w:shd w:val="clear" w:color="auto" w:fill="D0CECE" w:themeFill="background2" w:themeFillShade="E6"/>
        <w:spacing w:before="120"/>
        <w:jc w:val="center"/>
      </w:pPr>
      <w:r>
        <w:t>From a productivity perspective, this suggests that current arrangements may not be optimally supporting dynamic efficiency. While affordability considerations are essential, reform settings that consistently favour short</w:t>
      </w:r>
      <w:r>
        <w:rPr>
          <w:rFonts w:ascii="Cambria Math" w:hAnsi="Cambria Math" w:cs="Cambria Math"/>
        </w:rPr>
        <w:t>‑</w:t>
      </w:r>
      <w:r>
        <w:t>run cost minimisation over long</w:t>
      </w:r>
      <w:r>
        <w:rPr>
          <w:rFonts w:ascii="Cambria Math" w:hAnsi="Cambria Math" w:cs="Cambria Math"/>
        </w:rPr>
        <w:t>‑</w:t>
      </w:r>
      <w:r>
        <w:t>term capability development risk locking in higher costs and lower performance over time. Addressing this imbalance would require a clearer framework for recognising the long</w:t>
      </w:r>
      <w:r>
        <w:rPr>
          <w:rFonts w:ascii="Cambria Math" w:hAnsi="Cambria Math" w:cs="Cambria Math"/>
        </w:rPr>
        <w:t>‑</w:t>
      </w:r>
      <w:r>
        <w:t xml:space="preserve">term value of </w:t>
      </w:r>
      <w:r w:rsidR="006C2ACA">
        <w:t xml:space="preserve">research and </w:t>
      </w:r>
      <w:r>
        <w:t>innovation and system capability, and for enabling investment that improves affordability outcomes over the medium to long term rather than constraining it.</w:t>
      </w:r>
    </w:p>
    <w:p w14:paraId="191DAFBD" w14:textId="2FED1B9A" w:rsidR="008469C1" w:rsidRDefault="008469C1" w:rsidP="008469C1">
      <w:pPr>
        <w:spacing w:before="120"/>
      </w:pPr>
      <w:r>
        <w:t>The Cunliffe Review reinforces the conclusion that affordability</w:t>
      </w:r>
      <w:r>
        <w:rPr>
          <w:rFonts w:ascii="Cambria Math" w:hAnsi="Cambria Math" w:cs="Cambria Math"/>
        </w:rPr>
        <w:t>‑</w:t>
      </w:r>
      <w:r>
        <w:t>driven regulatory and funding frameworks, while essential for protecting customers in the short term, can unintentionally inhibit the very forms of innovation and capability</w:t>
      </w:r>
      <w:r>
        <w:rPr>
          <w:rFonts w:ascii="Cambria Math" w:hAnsi="Cambria Math" w:cs="Cambria Math"/>
        </w:rPr>
        <w:t>‑</w:t>
      </w:r>
      <w:r>
        <w:t>building required to deliver sustainable affordability over the long term. Where regulatory emphasis is placed predominantly on near</w:t>
      </w:r>
      <w:r>
        <w:rPr>
          <w:rFonts w:ascii="Cambria Math" w:hAnsi="Cambria Math" w:cs="Cambria Math"/>
        </w:rPr>
        <w:t>‑</w:t>
      </w:r>
      <w:r>
        <w:t>term bill impacts and short regulatory cycles, investment in research, innovation and system transformation is deprioritised, even where these investments would materially reduce future costs, improve resilience and enhance service outcomes.</w:t>
      </w:r>
    </w:p>
    <w:p w14:paraId="22EB9A7D" w14:textId="77777777" w:rsidR="008469C1" w:rsidRDefault="008469C1" w:rsidP="008469C1">
      <w:pPr>
        <w:spacing w:before="120"/>
      </w:pPr>
      <w:r>
        <w:t>The Cunliffe Review highlights that while competitive, project</w:t>
      </w:r>
      <w:r>
        <w:rPr>
          <w:rFonts w:ascii="Cambria Math" w:hAnsi="Cambria Math" w:cs="Cambria Math"/>
        </w:rPr>
        <w:t>‑</w:t>
      </w:r>
      <w:r>
        <w:t>based innovation funding is valuable, it has delivered uneven results, with implementation constrained by short</w:t>
      </w:r>
      <w:r>
        <w:rPr>
          <w:rFonts w:ascii="Cambria Math" w:hAnsi="Cambria Math" w:cs="Cambria Math"/>
        </w:rPr>
        <w:t>‑</w:t>
      </w:r>
      <w:r>
        <w:t>term funding horizons, concentration of awards among larger incumbents, and limited pathways for scaling successful trials into business</w:t>
      </w:r>
      <w:r>
        <w:rPr>
          <w:rFonts w:ascii="Cambria Math" w:hAnsi="Cambria Math" w:cs="Cambria Math"/>
        </w:rPr>
        <w:t>‑</w:t>
      </w:r>
      <w:r>
        <w:t>as</w:t>
      </w:r>
      <w:r>
        <w:rPr>
          <w:rFonts w:ascii="Cambria Math" w:hAnsi="Cambria Math" w:cs="Cambria Math"/>
        </w:rPr>
        <w:t>‑</w:t>
      </w:r>
      <w:r>
        <w:t>usual practice. These dynamics mirror broader challenges in water regulation, where innovation is supported at the margins, but not consistently embedded within core regulatory, pricing and governance arrangements. As a result, innovation remains episodic rather than systemic, and productivity gains are slow to diffuse across the sector.</w:t>
      </w:r>
    </w:p>
    <w:p w14:paraId="2F6F0861" w14:textId="7F803CC3" w:rsidR="006D6913" w:rsidRDefault="008469C1" w:rsidP="008469C1">
      <w:pPr>
        <w:spacing w:before="120"/>
      </w:pPr>
      <w:r>
        <w:t>Innovation</w:t>
      </w:r>
      <w:r w:rsidR="007E0206">
        <w:t>, affordability,</w:t>
      </w:r>
      <w:r>
        <w:t xml:space="preserve"> and resilience are not competing objectives, but interdependent ones. Regulatory and governance frameworks that treat affordability as an overriding constraint risk locking the sector into higher long</w:t>
      </w:r>
      <w:r>
        <w:rPr>
          <w:rFonts w:ascii="Cambria Math" w:hAnsi="Cambria Math" w:cs="Cambria Math"/>
        </w:rPr>
        <w:t>‑</w:t>
      </w:r>
      <w:r>
        <w:t>term costs and reduced adaptability. Achieving secure, resilient and affordable water services will therefore require reform settings that explicitly enable</w:t>
      </w:r>
      <w:r w:rsidR="00656AAF">
        <w:t xml:space="preserve"> research and</w:t>
      </w:r>
      <w:r>
        <w:t xml:space="preserve"> innovation, support collaboration, and recognise the long</w:t>
      </w:r>
      <w:r>
        <w:rPr>
          <w:rFonts w:ascii="Cambria Math" w:hAnsi="Cambria Math" w:cs="Cambria Math"/>
        </w:rPr>
        <w:t>‑</w:t>
      </w:r>
      <w:r>
        <w:t>term productivity and risk</w:t>
      </w:r>
      <w:r>
        <w:rPr>
          <w:rFonts w:ascii="Cambria Math" w:hAnsi="Cambria Math" w:cs="Cambria Math"/>
        </w:rPr>
        <w:t>‑</w:t>
      </w:r>
      <w:r>
        <w:t>reduction value of science</w:t>
      </w:r>
      <w:r>
        <w:rPr>
          <w:rFonts w:ascii="Cambria Math" w:hAnsi="Cambria Math" w:cs="Cambria Math"/>
        </w:rPr>
        <w:t>‑</w:t>
      </w:r>
      <w:r>
        <w:t>based investment.</w:t>
      </w:r>
    </w:p>
    <w:p w14:paraId="2BA134EF" w14:textId="77777777" w:rsidR="008469C1" w:rsidRDefault="008469C1" w:rsidP="008469C1">
      <w:pPr>
        <w:spacing w:before="120"/>
      </w:pPr>
    </w:p>
    <w:p w14:paraId="00E642C7" w14:textId="77777777" w:rsidR="00ED0D22" w:rsidRDefault="00ED0D22" w:rsidP="008469C1">
      <w:pPr>
        <w:spacing w:before="120"/>
      </w:pPr>
    </w:p>
    <w:p w14:paraId="3C70E822" w14:textId="77777777" w:rsidR="00ED0D22" w:rsidRDefault="00ED0D22" w:rsidP="008469C1">
      <w:pPr>
        <w:spacing w:before="120"/>
      </w:pPr>
    </w:p>
    <w:p w14:paraId="03E1BB06" w14:textId="77777777" w:rsidR="00ED0D22" w:rsidRDefault="00ED0D22" w:rsidP="008469C1">
      <w:pPr>
        <w:spacing w:before="120"/>
      </w:pPr>
    </w:p>
    <w:p w14:paraId="2E4ACD5B" w14:textId="77777777" w:rsidR="00ED0D22" w:rsidRDefault="00ED0D22" w:rsidP="008469C1">
      <w:pPr>
        <w:spacing w:before="120"/>
      </w:pPr>
    </w:p>
    <w:p w14:paraId="66E88E9F" w14:textId="77777777" w:rsidR="00ED0D22" w:rsidRDefault="00ED0D22" w:rsidP="008469C1">
      <w:pPr>
        <w:spacing w:before="120"/>
      </w:pPr>
    </w:p>
    <w:p w14:paraId="5C411232" w14:textId="77777777" w:rsidR="00ED0D22" w:rsidRDefault="00ED0D22" w:rsidP="008469C1">
      <w:pPr>
        <w:spacing w:before="120"/>
      </w:pPr>
    </w:p>
    <w:p w14:paraId="1EAC066F" w14:textId="06BC47D4" w:rsidR="00F943D1" w:rsidRPr="00F943D1" w:rsidRDefault="00EA43B4" w:rsidP="001F43AC">
      <w:pPr>
        <w:spacing w:before="120"/>
        <w:rPr>
          <w:b/>
          <w:bCs/>
        </w:rPr>
      </w:pPr>
      <w:r w:rsidRPr="00EA43B4">
        <w:rPr>
          <w:b/>
          <w:bCs/>
        </w:rPr>
        <w:lastRenderedPageBreak/>
        <w:t>Recommendations for Reform</w:t>
      </w:r>
    </w:p>
    <w:p w14:paraId="3B7CEB6F" w14:textId="77777777" w:rsidR="0040639A" w:rsidRDefault="0040639A" w:rsidP="00AA35BD">
      <w:pPr>
        <w:spacing w:before="120"/>
        <w:rPr>
          <w:b/>
          <w:bCs/>
          <w:i/>
          <w:iCs/>
        </w:rPr>
      </w:pPr>
    </w:p>
    <w:p w14:paraId="605C3058" w14:textId="602D0DF2" w:rsidR="00C14C54" w:rsidRPr="00F943D1" w:rsidRDefault="004E3EFE" w:rsidP="00AA35BD">
      <w:pPr>
        <w:spacing w:before="120"/>
        <w:rPr>
          <w:b/>
          <w:bCs/>
          <w:i/>
          <w:iCs/>
        </w:rPr>
      </w:pPr>
      <w:r w:rsidRPr="00466BDD">
        <w:rPr>
          <w:b/>
          <w:bCs/>
          <w:i/>
          <w:iCs/>
        </w:rPr>
        <w:t>Potential reform solutions</w:t>
      </w:r>
      <w:r w:rsidR="00466BDD" w:rsidRPr="00466BDD">
        <w:rPr>
          <w:b/>
          <w:bCs/>
          <w:i/>
          <w:iCs/>
        </w:rPr>
        <w:t xml:space="preserve"> responding to the key issues identified</w:t>
      </w:r>
    </w:p>
    <w:p w14:paraId="6769404E" w14:textId="098C2460" w:rsidR="00EA43B4" w:rsidRPr="00B90943" w:rsidRDefault="00AA35BD" w:rsidP="00AA35BD">
      <w:pPr>
        <w:spacing w:before="120"/>
        <w:rPr>
          <w:i/>
          <w:iCs/>
        </w:rPr>
      </w:pPr>
      <w:r>
        <w:rPr>
          <w:i/>
          <w:iCs/>
        </w:rPr>
        <w:t xml:space="preserve">Recommendation 1: </w:t>
      </w:r>
      <w:r w:rsidR="00B90943" w:rsidRPr="00B90943">
        <w:rPr>
          <w:i/>
          <w:iCs/>
        </w:rPr>
        <w:t xml:space="preserve">Treat research and science as essential infrastructure </w:t>
      </w:r>
    </w:p>
    <w:p w14:paraId="205D1453" w14:textId="74A0B608" w:rsidR="00827513" w:rsidRDefault="00AA35BD" w:rsidP="001F43AC">
      <w:pPr>
        <w:spacing w:before="120"/>
      </w:pPr>
      <w:r w:rsidRPr="00AA35BD">
        <w:t xml:space="preserve">Science and research considerations to be explicitly incorporated into </w:t>
      </w:r>
      <w:r w:rsidR="008C58C0">
        <w:t xml:space="preserve">relevant statutory instruments that are </w:t>
      </w:r>
      <w:r w:rsidR="00827513" w:rsidRPr="00827513">
        <w:t>explicitly concerned with decision</w:t>
      </w:r>
      <w:r w:rsidR="00827513" w:rsidRPr="00827513">
        <w:rPr>
          <w:rFonts w:ascii="Cambria Math" w:hAnsi="Cambria Math" w:cs="Cambria Math"/>
        </w:rPr>
        <w:t>‑</w:t>
      </w:r>
      <w:r w:rsidR="00827513" w:rsidRPr="00827513">
        <w:t>making frameworks, planning instruments and long</w:t>
      </w:r>
      <w:r w:rsidR="00827513" w:rsidRPr="00827513">
        <w:rPr>
          <w:rFonts w:ascii="Cambria Math" w:hAnsi="Cambria Math" w:cs="Cambria Math"/>
        </w:rPr>
        <w:t>‑</w:t>
      </w:r>
      <w:r w:rsidR="00827513" w:rsidRPr="00827513">
        <w:t>term system outcomes that depend directly on the availability, quality and use of scientific evidence.</w:t>
      </w:r>
    </w:p>
    <w:p w14:paraId="40CCEC0E" w14:textId="13936907" w:rsidR="00372518" w:rsidRPr="00161F39" w:rsidRDefault="00372518" w:rsidP="000A5BC3">
      <w:pPr>
        <w:spacing w:before="120"/>
      </w:pPr>
      <w:r>
        <w:t>R</w:t>
      </w:r>
      <w:r w:rsidRPr="00161F39">
        <w:t>esearch</w:t>
      </w:r>
      <w:r>
        <w:t xml:space="preserve"> and science</w:t>
      </w:r>
      <w:r w:rsidRPr="00161F39">
        <w:t xml:space="preserve"> cannot be treated as</w:t>
      </w:r>
      <w:r>
        <w:t xml:space="preserve"> optional or</w:t>
      </w:r>
      <w:r w:rsidRPr="00161F39">
        <w:t xml:space="preserve"> ancillary inputs </w:t>
      </w:r>
      <w:r>
        <w:t xml:space="preserve">to the water sector, </w:t>
      </w:r>
      <w:r w:rsidRPr="00161F39">
        <w:t xml:space="preserve">but are </w:t>
      </w:r>
      <w:proofErr w:type="spellStart"/>
      <w:r w:rsidRPr="00161F39">
        <w:t>are</w:t>
      </w:r>
      <w:proofErr w:type="spellEnd"/>
      <w:r w:rsidRPr="00161F39">
        <w:t xml:space="preserve"> essential infrastructure for:</w:t>
      </w:r>
    </w:p>
    <w:p w14:paraId="1088B200" w14:textId="77777777" w:rsidR="00372518" w:rsidRPr="00161F39" w:rsidRDefault="00372518" w:rsidP="000A5BC3">
      <w:pPr>
        <w:pStyle w:val="ListParagraph"/>
        <w:numPr>
          <w:ilvl w:val="0"/>
          <w:numId w:val="14"/>
        </w:numPr>
        <w:spacing w:before="120"/>
        <w:rPr>
          <w:sz w:val="24"/>
          <w:szCs w:val="24"/>
        </w:rPr>
      </w:pPr>
      <w:r>
        <w:rPr>
          <w:sz w:val="24"/>
          <w:szCs w:val="24"/>
        </w:rPr>
        <w:t>Driving c</w:t>
      </w:r>
      <w:r w:rsidRPr="00161F39">
        <w:rPr>
          <w:sz w:val="24"/>
          <w:szCs w:val="24"/>
        </w:rPr>
        <w:t>hange and reform</w:t>
      </w:r>
    </w:p>
    <w:p w14:paraId="67216677" w14:textId="77777777" w:rsidR="00372518" w:rsidRPr="00161F39" w:rsidRDefault="00372518" w:rsidP="000A5BC3">
      <w:pPr>
        <w:pStyle w:val="ListParagraph"/>
        <w:numPr>
          <w:ilvl w:val="0"/>
          <w:numId w:val="14"/>
        </w:numPr>
        <w:spacing w:before="120"/>
        <w:rPr>
          <w:sz w:val="24"/>
          <w:szCs w:val="24"/>
        </w:rPr>
      </w:pPr>
      <w:r>
        <w:rPr>
          <w:sz w:val="24"/>
          <w:szCs w:val="24"/>
        </w:rPr>
        <w:t>E</w:t>
      </w:r>
      <w:r w:rsidRPr="00161F39">
        <w:rPr>
          <w:sz w:val="24"/>
          <w:szCs w:val="24"/>
        </w:rPr>
        <w:t>nabling adaptive management in the face of uncertainty</w:t>
      </w:r>
    </w:p>
    <w:p w14:paraId="0764D37A" w14:textId="77777777" w:rsidR="00372518" w:rsidRPr="00161F39" w:rsidRDefault="00372518" w:rsidP="000A5BC3">
      <w:pPr>
        <w:pStyle w:val="ListParagraph"/>
        <w:numPr>
          <w:ilvl w:val="0"/>
          <w:numId w:val="14"/>
        </w:numPr>
        <w:spacing w:before="120"/>
        <w:rPr>
          <w:sz w:val="24"/>
          <w:szCs w:val="24"/>
        </w:rPr>
      </w:pPr>
      <w:r>
        <w:rPr>
          <w:sz w:val="24"/>
          <w:szCs w:val="24"/>
        </w:rPr>
        <w:t>R</w:t>
      </w:r>
      <w:r w:rsidRPr="00161F39">
        <w:rPr>
          <w:sz w:val="24"/>
          <w:szCs w:val="24"/>
        </w:rPr>
        <w:t>educing policy and investment risk</w:t>
      </w:r>
    </w:p>
    <w:p w14:paraId="4211A68B" w14:textId="77777777" w:rsidR="00372518" w:rsidRPr="00161F39" w:rsidRDefault="00372518" w:rsidP="000A5BC3">
      <w:pPr>
        <w:pStyle w:val="ListParagraph"/>
        <w:numPr>
          <w:ilvl w:val="0"/>
          <w:numId w:val="14"/>
        </w:numPr>
        <w:spacing w:before="120"/>
        <w:rPr>
          <w:sz w:val="24"/>
          <w:szCs w:val="24"/>
        </w:rPr>
      </w:pPr>
      <w:r>
        <w:rPr>
          <w:sz w:val="24"/>
          <w:szCs w:val="24"/>
        </w:rPr>
        <w:t>I</w:t>
      </w:r>
      <w:r w:rsidRPr="00161F39">
        <w:rPr>
          <w:sz w:val="24"/>
          <w:szCs w:val="24"/>
        </w:rPr>
        <w:t>nforming difficult trade</w:t>
      </w:r>
      <w:r w:rsidRPr="00161F39">
        <w:rPr>
          <w:rFonts w:ascii="Cambria Math" w:hAnsi="Cambria Math" w:cs="Cambria Math"/>
          <w:sz w:val="24"/>
          <w:szCs w:val="24"/>
        </w:rPr>
        <w:t>‑</w:t>
      </w:r>
      <w:r w:rsidRPr="00161F39">
        <w:rPr>
          <w:sz w:val="24"/>
          <w:szCs w:val="24"/>
        </w:rPr>
        <w:t>offs</w:t>
      </w:r>
    </w:p>
    <w:p w14:paraId="3A2EF751" w14:textId="77777777" w:rsidR="00372518" w:rsidRDefault="00372518" w:rsidP="000A5BC3">
      <w:pPr>
        <w:pStyle w:val="ListParagraph"/>
        <w:numPr>
          <w:ilvl w:val="0"/>
          <w:numId w:val="14"/>
        </w:numPr>
        <w:spacing w:before="120"/>
        <w:rPr>
          <w:sz w:val="24"/>
          <w:szCs w:val="24"/>
        </w:rPr>
      </w:pPr>
      <w:r>
        <w:rPr>
          <w:sz w:val="24"/>
          <w:szCs w:val="24"/>
        </w:rPr>
        <w:t>S</w:t>
      </w:r>
      <w:r w:rsidRPr="00161F39">
        <w:rPr>
          <w:sz w:val="24"/>
          <w:szCs w:val="24"/>
        </w:rPr>
        <w:t>ustaining public trust in decision</w:t>
      </w:r>
      <w:r w:rsidRPr="00161F39">
        <w:rPr>
          <w:rFonts w:ascii="Cambria Math" w:hAnsi="Cambria Math" w:cs="Cambria Math"/>
          <w:sz w:val="24"/>
          <w:szCs w:val="24"/>
        </w:rPr>
        <w:t>‑</w:t>
      </w:r>
      <w:r w:rsidRPr="00161F39">
        <w:rPr>
          <w:sz w:val="24"/>
          <w:szCs w:val="24"/>
        </w:rPr>
        <w:t>making</w:t>
      </w:r>
    </w:p>
    <w:p w14:paraId="36D2A994" w14:textId="77777777" w:rsidR="00372518" w:rsidRPr="0058043D" w:rsidRDefault="00372518" w:rsidP="00372518">
      <w:pPr>
        <w:spacing w:before="120"/>
      </w:pPr>
      <w:r w:rsidRPr="0058043D">
        <w:t>Without deliberate and coordinated investment in scientific capability, data systems and the translation of research into policy and practice, the ambitions of national water reform will be difficult to realise.</w:t>
      </w:r>
    </w:p>
    <w:p w14:paraId="4AC073B9" w14:textId="77777777" w:rsidR="00372518" w:rsidRPr="00CB23CA" w:rsidRDefault="00372518" w:rsidP="00372518">
      <w:pPr>
        <w:spacing w:before="120"/>
      </w:pPr>
      <w:r>
        <w:t xml:space="preserve">This </w:t>
      </w:r>
      <w:r w:rsidRPr="00CB23CA">
        <w:t>essential</w:t>
      </w:r>
      <w:r>
        <w:t xml:space="preserve"> research</w:t>
      </w:r>
      <w:r w:rsidRPr="00CB23CA">
        <w:t xml:space="preserve"> infrastructure must be inclusive of:</w:t>
      </w:r>
    </w:p>
    <w:p w14:paraId="54245BB2" w14:textId="77777777" w:rsidR="00372518" w:rsidRPr="00CB23CA" w:rsidRDefault="00372518" w:rsidP="00372518">
      <w:pPr>
        <w:pStyle w:val="ListParagraph"/>
        <w:numPr>
          <w:ilvl w:val="0"/>
          <w:numId w:val="14"/>
        </w:numPr>
        <w:spacing w:before="120"/>
        <w:rPr>
          <w:sz w:val="24"/>
          <w:szCs w:val="24"/>
        </w:rPr>
      </w:pPr>
      <w:r w:rsidRPr="00CB23CA">
        <w:rPr>
          <w:sz w:val="24"/>
          <w:szCs w:val="24"/>
        </w:rPr>
        <w:t>Research</w:t>
      </w:r>
      <w:r>
        <w:rPr>
          <w:sz w:val="24"/>
          <w:szCs w:val="24"/>
        </w:rPr>
        <w:t xml:space="preserve"> that is high quality and enables</w:t>
      </w:r>
      <w:r>
        <w:t xml:space="preserve"> sector decision-making and innovation</w:t>
      </w:r>
    </w:p>
    <w:p w14:paraId="11DE8D30" w14:textId="77777777" w:rsidR="00372518" w:rsidRPr="00CB23CA" w:rsidRDefault="00372518" w:rsidP="00372518">
      <w:pPr>
        <w:pStyle w:val="ListParagraph"/>
        <w:numPr>
          <w:ilvl w:val="0"/>
          <w:numId w:val="14"/>
        </w:numPr>
        <w:spacing w:before="120"/>
        <w:rPr>
          <w:sz w:val="24"/>
          <w:szCs w:val="24"/>
        </w:rPr>
      </w:pPr>
      <w:r w:rsidRPr="00CB23CA">
        <w:rPr>
          <w:sz w:val="24"/>
          <w:szCs w:val="24"/>
        </w:rPr>
        <w:t>Pathways to impact</w:t>
      </w:r>
      <w:r>
        <w:rPr>
          <w:sz w:val="24"/>
          <w:szCs w:val="24"/>
        </w:rPr>
        <w:t xml:space="preserve"> mechanisms and options for translating great research, science and knowledge into outcomes in practice and policy</w:t>
      </w:r>
    </w:p>
    <w:p w14:paraId="4A9819E9" w14:textId="6EA4CF20" w:rsidR="00AE5C0B" w:rsidRPr="00F943D1" w:rsidRDefault="00372518" w:rsidP="001F43AC">
      <w:pPr>
        <w:pStyle w:val="ListParagraph"/>
        <w:numPr>
          <w:ilvl w:val="0"/>
          <w:numId w:val="14"/>
        </w:numPr>
        <w:spacing w:before="120"/>
        <w:rPr>
          <w:sz w:val="24"/>
          <w:szCs w:val="24"/>
        </w:rPr>
      </w:pPr>
      <w:r w:rsidRPr="00CB23CA">
        <w:rPr>
          <w:sz w:val="24"/>
          <w:szCs w:val="24"/>
        </w:rPr>
        <w:t>Sustainable</w:t>
      </w:r>
      <w:r>
        <w:rPr>
          <w:sz w:val="24"/>
          <w:szCs w:val="24"/>
        </w:rPr>
        <w:t xml:space="preserve"> research</w:t>
      </w:r>
      <w:r w:rsidRPr="00CB23CA">
        <w:rPr>
          <w:sz w:val="24"/>
          <w:szCs w:val="24"/>
        </w:rPr>
        <w:t xml:space="preserve"> funding</w:t>
      </w:r>
      <w:r>
        <w:rPr>
          <w:sz w:val="24"/>
          <w:szCs w:val="24"/>
        </w:rPr>
        <w:t xml:space="preserve"> that provides ongoing certainty and stewardship of the </w:t>
      </w:r>
      <w:proofErr w:type="spellStart"/>
      <w:r>
        <w:rPr>
          <w:sz w:val="24"/>
          <w:szCs w:val="24"/>
        </w:rPr>
        <w:t>the</w:t>
      </w:r>
      <w:proofErr w:type="spellEnd"/>
      <w:r>
        <w:rPr>
          <w:sz w:val="24"/>
          <w:szCs w:val="24"/>
        </w:rPr>
        <w:t xml:space="preserve"> science and knowledge</w:t>
      </w:r>
    </w:p>
    <w:p w14:paraId="24D8B1C1" w14:textId="1CBD6EDB" w:rsidR="00EA43B4" w:rsidRPr="00015DB1" w:rsidRDefault="00AA35BD" w:rsidP="00AA35BD">
      <w:pPr>
        <w:spacing w:before="120"/>
        <w:rPr>
          <w:i/>
          <w:iCs/>
        </w:rPr>
      </w:pPr>
      <w:proofErr w:type="spellStart"/>
      <w:r>
        <w:rPr>
          <w:i/>
          <w:iCs/>
        </w:rPr>
        <w:t>Recommendit</w:t>
      </w:r>
      <w:r w:rsidR="00AE5C0B">
        <w:rPr>
          <w:i/>
          <w:iCs/>
        </w:rPr>
        <w:t>i</w:t>
      </w:r>
      <w:r>
        <w:rPr>
          <w:i/>
          <w:iCs/>
        </w:rPr>
        <w:t>on</w:t>
      </w:r>
      <w:proofErr w:type="spellEnd"/>
      <w:r>
        <w:rPr>
          <w:i/>
          <w:iCs/>
        </w:rPr>
        <w:t xml:space="preserve"> 2: </w:t>
      </w:r>
      <w:r w:rsidR="00015DB1" w:rsidRPr="00015DB1">
        <w:rPr>
          <w:i/>
          <w:iCs/>
        </w:rPr>
        <w:t xml:space="preserve">Strengthen </w:t>
      </w:r>
      <w:r w:rsidR="00DE5BB2">
        <w:rPr>
          <w:i/>
          <w:iCs/>
        </w:rPr>
        <w:t xml:space="preserve">water </w:t>
      </w:r>
      <w:r w:rsidR="000D1B0F">
        <w:rPr>
          <w:i/>
          <w:iCs/>
        </w:rPr>
        <w:t xml:space="preserve">science and research </w:t>
      </w:r>
      <w:r w:rsidR="00DE7F4F">
        <w:rPr>
          <w:i/>
          <w:iCs/>
        </w:rPr>
        <w:t xml:space="preserve">stewardship, </w:t>
      </w:r>
      <w:r w:rsidR="000D1B0F">
        <w:rPr>
          <w:i/>
          <w:iCs/>
        </w:rPr>
        <w:t xml:space="preserve">transparency, </w:t>
      </w:r>
      <w:r w:rsidR="00015DB1" w:rsidRPr="00015DB1">
        <w:rPr>
          <w:i/>
          <w:iCs/>
        </w:rPr>
        <w:t>and coordination</w:t>
      </w:r>
    </w:p>
    <w:p w14:paraId="4B891920" w14:textId="5F519E6E" w:rsidR="00015DB1" w:rsidRDefault="00015DB1" w:rsidP="001F43AC">
      <w:pPr>
        <w:spacing w:before="120"/>
      </w:pPr>
      <w:r>
        <w:t>A</w:t>
      </w:r>
      <w:r w:rsidR="00326640">
        <w:t xml:space="preserve"> coherent national approach to </w:t>
      </w:r>
      <w:r w:rsidR="005A05A0">
        <w:t xml:space="preserve">the stewardship of </w:t>
      </w:r>
      <w:r w:rsidR="00326640">
        <w:t xml:space="preserve">water science and research </w:t>
      </w:r>
      <w:r w:rsidR="006810C7">
        <w:t xml:space="preserve">should </w:t>
      </w:r>
      <w:r w:rsidR="00326640">
        <w:t>be explored</w:t>
      </w:r>
      <w:r w:rsidR="005A05A0">
        <w:t xml:space="preserve">, </w:t>
      </w:r>
      <w:r w:rsidR="007279CA">
        <w:t xml:space="preserve">that is inclusive of all water-related sectors, interests and scientific needs and endeavours. This should be inclusive of </w:t>
      </w:r>
      <w:r w:rsidR="00571680">
        <w:t>community and environmental stakeholders, and the integration of indigenous knowledge and decision-making.</w:t>
      </w:r>
      <w:r w:rsidR="006C31E4">
        <w:t xml:space="preserve"> </w:t>
      </w:r>
    </w:p>
    <w:p w14:paraId="0B78A6CD" w14:textId="0F67EC5C" w:rsidR="006C31E4" w:rsidRDefault="006C31E4" w:rsidP="001F43AC">
      <w:pPr>
        <w:spacing w:before="120"/>
      </w:pPr>
      <w:r>
        <w:t xml:space="preserve">This stewardship function should consider </w:t>
      </w:r>
      <w:r w:rsidR="00A52019">
        <w:t>research and science standards, capability building,</w:t>
      </w:r>
      <w:r w:rsidR="007A3516">
        <w:t xml:space="preserve"> removing of siloed science and the avoidance of duplication.  It should focus on </w:t>
      </w:r>
      <w:r w:rsidR="003F15E7">
        <w:t>creating</w:t>
      </w:r>
      <w:r w:rsidR="003F15E7" w:rsidRPr="003F15E7">
        <w:t xml:space="preserve"> the enabling supporting environment </w:t>
      </w:r>
      <w:r w:rsidR="00504A14">
        <w:t>for</w:t>
      </w:r>
      <w:r w:rsidR="003F15E7" w:rsidRPr="003F15E7">
        <w:t xml:space="preserve"> good science-based decision-making, and the secures the role of</w:t>
      </w:r>
      <w:r w:rsidR="00504A14">
        <w:t xml:space="preserve"> </w:t>
      </w:r>
      <w:r w:rsidR="003F15E7" w:rsidRPr="003F15E7">
        <w:t>research to provide that knowledge for a secure, resilient and sustainable water services industry</w:t>
      </w:r>
    </w:p>
    <w:p w14:paraId="6D6ED364" w14:textId="6C30038A" w:rsidR="00940FCC" w:rsidRPr="00F943D1" w:rsidRDefault="006939BD" w:rsidP="00940FCC">
      <w:pPr>
        <w:spacing w:before="120"/>
      </w:pPr>
      <w:r>
        <w:t>Industry member based associations like Water Research Australia, the Water Services Association of Australia</w:t>
      </w:r>
      <w:r w:rsidR="00D005DF">
        <w:t xml:space="preserve">, the Australian Water Association,  </w:t>
      </w:r>
      <w:proofErr w:type="spellStart"/>
      <w:r w:rsidR="00D005DF">
        <w:t>VicWater’s</w:t>
      </w:r>
      <w:proofErr w:type="spellEnd"/>
      <w:r w:rsidR="00D005DF">
        <w:t xml:space="preserve"> Intelligent Water Networks, the Queensland Water Directorate, the NSW Water Directorate</w:t>
      </w:r>
      <w:r w:rsidR="00CD0961">
        <w:t xml:space="preserve">, and </w:t>
      </w:r>
      <w:r w:rsidR="00FA7E12">
        <w:t xml:space="preserve">large commonwealth funded centres like the </w:t>
      </w:r>
      <w:proofErr w:type="spellStart"/>
      <w:r w:rsidR="00FA7E12">
        <w:t>OneBasinCRC</w:t>
      </w:r>
      <w:proofErr w:type="spellEnd"/>
      <w:r w:rsidR="00CC2B5B">
        <w:t xml:space="preserve"> already play significant roles in water stewardship</w:t>
      </w:r>
      <w:r w:rsidR="00FB15B9">
        <w:t xml:space="preserve"> across the nation, and is largely </w:t>
      </w:r>
      <w:r w:rsidR="00FB15B9">
        <w:lastRenderedPageBreak/>
        <w:t>based on the goodwill and generosity of its members, and needs to be secured for the longer</w:t>
      </w:r>
      <w:r w:rsidR="00955A63">
        <w:t xml:space="preserve"> term with increased transparency and collaboration for more effective and efficient outcomes.</w:t>
      </w:r>
    </w:p>
    <w:p w14:paraId="3E3F0B5A" w14:textId="3B5D28CD" w:rsidR="00FC4CC3" w:rsidRPr="00AA0333" w:rsidRDefault="00940FCC" w:rsidP="008C5EBB">
      <w:pPr>
        <w:spacing w:before="120"/>
        <w:rPr>
          <w:i/>
          <w:iCs/>
        </w:rPr>
      </w:pPr>
      <w:r>
        <w:rPr>
          <w:i/>
          <w:iCs/>
        </w:rPr>
        <w:t xml:space="preserve">Recommendation 3: </w:t>
      </w:r>
      <w:r w:rsidR="009B233C" w:rsidRPr="00EF4A54">
        <w:rPr>
          <w:i/>
          <w:iCs/>
        </w:rPr>
        <w:t>Economic regulation</w:t>
      </w:r>
      <w:r w:rsidR="00DE5BB2">
        <w:rPr>
          <w:i/>
          <w:iCs/>
        </w:rPr>
        <w:t xml:space="preserve"> for water</w:t>
      </w:r>
      <w:r w:rsidR="000D1B0F">
        <w:rPr>
          <w:i/>
          <w:iCs/>
        </w:rPr>
        <w:t xml:space="preserve"> that</w:t>
      </w:r>
      <w:r w:rsidR="00EF4A54" w:rsidRPr="00EF4A54">
        <w:rPr>
          <w:i/>
          <w:iCs/>
        </w:rPr>
        <w:t xml:space="preserve"> enables and incentivises research</w:t>
      </w:r>
      <w:r w:rsidR="00DE5BB2">
        <w:rPr>
          <w:i/>
          <w:iCs/>
        </w:rPr>
        <w:t xml:space="preserve"> and innovation</w:t>
      </w:r>
    </w:p>
    <w:p w14:paraId="73D472C0" w14:textId="6A1FF0EA" w:rsidR="00FC4CC3" w:rsidRDefault="00FC4CC3" w:rsidP="008C5EBB">
      <w:pPr>
        <w:spacing w:before="120"/>
      </w:pPr>
      <w:r>
        <w:t>E</w:t>
      </w:r>
      <w:r w:rsidRPr="00FC4CC3">
        <w:t>conomic regulators should be required to assess and value long</w:t>
      </w:r>
      <w:r w:rsidRPr="00FC4CC3">
        <w:rPr>
          <w:rFonts w:ascii="Cambria Math" w:hAnsi="Cambria Math" w:cs="Cambria Math"/>
        </w:rPr>
        <w:t>‑</w:t>
      </w:r>
      <w:r w:rsidRPr="00FC4CC3">
        <w:t>term productivity, resilience and risk</w:t>
      </w:r>
      <w:r w:rsidRPr="00FC4CC3">
        <w:rPr>
          <w:rFonts w:ascii="Cambria Math" w:hAnsi="Cambria Math" w:cs="Cambria Math"/>
        </w:rPr>
        <w:t>‑</w:t>
      </w:r>
      <w:r w:rsidRPr="00FC4CC3">
        <w:t>reduction benefits of innovation, rather than treating such expenditure as discretionary or ancillary to core service delivery. To support this, mechanisms to recognise benefits that accrue beyond a single regulatory period, including through longer planning horizons, benefit carry</w:t>
      </w:r>
      <w:r w:rsidRPr="00FC4CC3">
        <w:rPr>
          <w:rFonts w:ascii="Cambria Math" w:hAnsi="Cambria Math" w:cs="Cambria Math"/>
        </w:rPr>
        <w:t>‑</w:t>
      </w:r>
      <w:r w:rsidRPr="00FC4CC3">
        <w:t>over provisions, or explicit innovation outcome incentives should be strengthened to help provide greater clarity on how these benefits can be assessed by economic regulators.</w:t>
      </w:r>
    </w:p>
    <w:p w14:paraId="2D0971B6" w14:textId="3E4D60E1" w:rsidR="008C5EBB" w:rsidRDefault="008C5EBB" w:rsidP="00A55AC8">
      <w:pPr>
        <w:spacing w:before="120"/>
      </w:pPr>
      <w:r>
        <w:t>Long</w:t>
      </w:r>
      <w:r>
        <w:rPr>
          <w:rFonts w:ascii="Cambria Math" w:hAnsi="Cambria Math" w:cs="Cambria Math"/>
        </w:rPr>
        <w:t>‑</w:t>
      </w:r>
      <w:r>
        <w:t>term system resilience is neither strongly supported nor consistently rewarded through existing regulatory mechanisms. A step change in regulatory thinking is required to address the infrastructure renewal challenge, while simultaneously balancing service reliability, affordability and financial sustainability. Without stronger incentives, the regulatory framework continues to favour conservative, asset</w:t>
      </w:r>
      <w:r>
        <w:rPr>
          <w:rFonts w:ascii="Cambria Math" w:hAnsi="Cambria Math" w:cs="Cambria Math"/>
        </w:rPr>
        <w:t>‑</w:t>
      </w:r>
      <w:r>
        <w:t>led solutions, constraining the sector</w:t>
      </w:r>
      <w:r>
        <w:rPr>
          <w:rFonts w:ascii="Calibri" w:hAnsi="Calibri" w:cs="Calibri"/>
        </w:rPr>
        <w:t>’</w:t>
      </w:r>
      <w:r>
        <w:t>s ability to pursue innovative, adaptive responses to long</w:t>
      </w:r>
      <w:r>
        <w:rPr>
          <w:rFonts w:ascii="Cambria Math" w:hAnsi="Cambria Math" w:cs="Cambria Math"/>
        </w:rPr>
        <w:t>‑</w:t>
      </w:r>
      <w:r>
        <w:t>term uncertainty.</w:t>
      </w:r>
    </w:p>
    <w:p w14:paraId="41D28C2A" w14:textId="4372FAB9" w:rsidR="00A55AC8" w:rsidRDefault="00A55AC8" w:rsidP="00A55AC8">
      <w:pPr>
        <w:spacing w:before="120"/>
      </w:pPr>
      <w:r>
        <w:t>Strengthening the role of science and research within regulatory decision</w:t>
      </w:r>
      <w:r>
        <w:rPr>
          <w:rFonts w:ascii="Cambria Math" w:hAnsi="Cambria Math" w:cs="Cambria Math"/>
        </w:rPr>
        <w:t>‑</w:t>
      </w:r>
      <w:r>
        <w:t>making therefore requires a shift from viewing uncertainty as a justification for delay, to recognising it as a rationale for action. This includes greater acceptance of scenario</w:t>
      </w:r>
      <w:r>
        <w:rPr>
          <w:rFonts w:ascii="Cambria Math" w:hAnsi="Cambria Math" w:cs="Cambria Math"/>
        </w:rPr>
        <w:t>‑</w:t>
      </w:r>
      <w:r>
        <w:t>based evidence, probabilistic risk analysis and adaptive pathways planning within prudency frameworks. It also requires clearer regulatory signals that well</w:t>
      </w:r>
      <w:r>
        <w:rPr>
          <w:rFonts w:ascii="Cambria Math" w:hAnsi="Cambria Math" w:cs="Cambria Math"/>
        </w:rPr>
        <w:t>‑</w:t>
      </w:r>
      <w:r>
        <w:t>founded research and long</w:t>
      </w:r>
      <w:r>
        <w:rPr>
          <w:rFonts w:ascii="Cambria Math" w:hAnsi="Cambria Math" w:cs="Cambria Math"/>
        </w:rPr>
        <w:t>‑</w:t>
      </w:r>
      <w:r>
        <w:t>term risk mitigation constitute prudent behaviour, even where benefits extend beyond a single regulatory period.</w:t>
      </w:r>
    </w:p>
    <w:p w14:paraId="69DA1C16" w14:textId="661156B8" w:rsidR="00EF4A54" w:rsidRDefault="00A55AC8" w:rsidP="001F43AC">
      <w:pPr>
        <w:spacing w:before="120"/>
      </w:pPr>
      <w:r>
        <w:t>Ultimately, embedding science more deeply into prudency and efficiency assessments would support more resilient, efficient and equitable outcomes for customers. By enabling regulators to better account for long</w:t>
      </w:r>
      <w:r>
        <w:rPr>
          <w:rFonts w:ascii="Cambria Math" w:hAnsi="Cambria Math" w:cs="Cambria Math"/>
        </w:rPr>
        <w:t>‑</w:t>
      </w:r>
      <w:r>
        <w:t>term system risks, high</w:t>
      </w:r>
      <w:r>
        <w:rPr>
          <w:rFonts w:ascii="Cambria Math" w:hAnsi="Cambria Math" w:cs="Cambria Math"/>
        </w:rPr>
        <w:t>‑</w:t>
      </w:r>
      <w:r>
        <w:t>consequence events and the value of foresight, regulatory frameworks can more effectively balance service reliability, affordability and financial sustainability under conditions of increasing uncertainty.</w:t>
      </w:r>
    </w:p>
    <w:p w14:paraId="7C23BAB7" w14:textId="68EC6F74" w:rsidR="009B233C" w:rsidRPr="0009012F" w:rsidRDefault="0075163E" w:rsidP="0075163E">
      <w:pPr>
        <w:spacing w:before="120"/>
        <w:rPr>
          <w:i/>
          <w:iCs/>
        </w:rPr>
      </w:pPr>
      <w:r>
        <w:rPr>
          <w:i/>
          <w:iCs/>
        </w:rPr>
        <w:t xml:space="preserve">Recommendation 4: </w:t>
      </w:r>
      <w:r w:rsidR="002E1BED">
        <w:rPr>
          <w:i/>
          <w:iCs/>
        </w:rPr>
        <w:t>Establish a reliable, equitable</w:t>
      </w:r>
      <w:r w:rsidR="001A6CC7">
        <w:rPr>
          <w:i/>
          <w:iCs/>
        </w:rPr>
        <w:t>, and recurring funding base for water science, research and innovation.</w:t>
      </w:r>
    </w:p>
    <w:p w14:paraId="65602A05" w14:textId="1DE1CC65" w:rsidR="0075163E" w:rsidRDefault="0075163E" w:rsidP="0075163E">
      <w:pPr>
        <w:spacing w:before="120"/>
      </w:pPr>
      <w:r>
        <w:t>Funding mechanisms should move beyond short</w:t>
      </w:r>
      <w:r>
        <w:rPr>
          <w:rFonts w:ascii="Cambria Math" w:hAnsi="Cambria Math" w:cs="Cambria Math"/>
        </w:rPr>
        <w:t>‑</w:t>
      </w:r>
      <w:r>
        <w:t>term, competitive and ad</w:t>
      </w:r>
      <w:r>
        <w:rPr>
          <w:rFonts w:ascii="Cambria Math" w:hAnsi="Cambria Math" w:cs="Cambria Math"/>
        </w:rPr>
        <w:t>‑</w:t>
      </w:r>
      <w:r>
        <w:t>hoc arrangements to provide stable support for both the development and implementation of innovation, enabling longer</w:t>
      </w:r>
      <w:r>
        <w:rPr>
          <w:rFonts w:ascii="Cambria Math" w:hAnsi="Cambria Math" w:cs="Cambria Math"/>
        </w:rPr>
        <w:t>‑</w:t>
      </w:r>
      <w:r>
        <w:t>term capability</w:t>
      </w:r>
      <w:r>
        <w:rPr>
          <w:rFonts w:ascii="Cambria Math" w:hAnsi="Cambria Math" w:cs="Cambria Math"/>
        </w:rPr>
        <w:t>‑</w:t>
      </w:r>
      <w:r>
        <w:t>building, knowledge sharing and system transformation. A predictable funding base would reduce regulatory and investment risk, support sector</w:t>
      </w:r>
      <w:r>
        <w:rPr>
          <w:rFonts w:ascii="Cambria Math" w:hAnsi="Cambria Math" w:cs="Cambria Math"/>
        </w:rPr>
        <w:t>‑</w:t>
      </w:r>
      <w:r>
        <w:t>wide productivity improvements, and ensure that innovation contributes to improved affordability, resilience and service outcomes over the medium to long term. Consideration should also be given to aligning Commonwealth and state R&amp;D funding with regulatory and pricing frameworks to ensure publicly funded research can be translated into regulated operations and investment decisions.</w:t>
      </w:r>
    </w:p>
    <w:p w14:paraId="14318286" w14:textId="4C02847C" w:rsidR="00FB07FB" w:rsidRDefault="0075163E" w:rsidP="001F43AC">
      <w:pPr>
        <w:spacing w:before="120"/>
      </w:pPr>
      <w:r>
        <w:t>Recommendations from the Cunliffe Review regarding the establishment of regulatory sandboxes for the water sector to allow utilities to trial innovative technologies</w:t>
      </w:r>
      <w:r w:rsidR="0085191C">
        <w:t xml:space="preserve"> and </w:t>
      </w:r>
      <w:r>
        <w:t>service models under controlled conditions, with regulatory flexibility and clear governance parameters should also be considered</w:t>
      </w:r>
    </w:p>
    <w:p w14:paraId="184ED13C" w14:textId="77777777" w:rsidR="0040639A" w:rsidRDefault="0040639A" w:rsidP="001F43AC">
      <w:pPr>
        <w:spacing w:before="120"/>
      </w:pPr>
    </w:p>
    <w:p w14:paraId="399009B0" w14:textId="268415CC" w:rsidR="00FB07FB" w:rsidRPr="004E626E" w:rsidRDefault="006755AC" w:rsidP="006755AC">
      <w:pPr>
        <w:spacing w:before="120"/>
        <w:rPr>
          <w:i/>
          <w:iCs/>
        </w:rPr>
      </w:pPr>
      <w:r>
        <w:rPr>
          <w:i/>
          <w:iCs/>
        </w:rPr>
        <w:lastRenderedPageBreak/>
        <w:t xml:space="preserve">Recommendation 5: </w:t>
      </w:r>
      <w:r w:rsidR="00FB07FB" w:rsidRPr="004E626E">
        <w:rPr>
          <w:i/>
          <w:iCs/>
        </w:rPr>
        <w:t>Assurance expectations</w:t>
      </w:r>
      <w:r w:rsidR="004E626E" w:rsidRPr="004E626E">
        <w:rPr>
          <w:i/>
          <w:iCs/>
        </w:rPr>
        <w:t xml:space="preserve"> supporting research and evidentiary requirements</w:t>
      </w:r>
    </w:p>
    <w:p w14:paraId="7CED74EF" w14:textId="0209D474" w:rsidR="00BA36C0" w:rsidRDefault="00BA36C0" w:rsidP="00891FBF">
      <w:pPr>
        <w:spacing w:before="120"/>
      </w:pPr>
      <w:r>
        <w:t>Exploration of assurance frameworks for research, science and evidentiary standards should be considered and explored.</w:t>
      </w:r>
    </w:p>
    <w:p w14:paraId="6019DC0D" w14:textId="526170B0" w:rsidR="00D11BED" w:rsidRDefault="005A56FC" w:rsidP="001F43AC">
      <w:pPr>
        <w:spacing w:before="120"/>
      </w:pPr>
      <w:r w:rsidRPr="00BC7F41">
        <w:t>Effective water science should be rigorous and focused on delivering the best available and reliable knowledge, while recognising that research is inherently uncertain, evolving and unlikely to produce single definitive answers, particularly in complex and highly variable systems</w:t>
      </w:r>
      <w:r w:rsidR="00FE6825">
        <w:t>. Exploration of assurance frameworks for research, science and evidentiary standards should be</w:t>
      </w:r>
      <w:r w:rsidR="00FB7E5F">
        <w:t xml:space="preserve"> considered and explored</w:t>
      </w:r>
      <w:r w:rsidR="00104817">
        <w:t>.</w:t>
      </w:r>
    </w:p>
    <w:p w14:paraId="18BC3258" w14:textId="2EB0C569" w:rsidR="00ED17F8" w:rsidRDefault="00ED17F8" w:rsidP="001F43AC">
      <w:pPr>
        <w:spacing w:before="120"/>
      </w:pPr>
      <w:r w:rsidRPr="00BC7F41">
        <w:t>As highlighted by O</w:t>
      </w:r>
      <w:r w:rsidRPr="00BC7F41">
        <w:rPr>
          <w:rFonts w:ascii="Calibri" w:hAnsi="Calibri" w:cs="Calibri"/>
        </w:rPr>
        <w:t>’</w:t>
      </w:r>
      <w:r w:rsidRPr="00BC7F41">
        <w:t xml:space="preserve">Kane (2025), the role of science and research is to inform policy in an open and transparent manner, but not to predetermine outcomes. </w:t>
      </w:r>
    </w:p>
    <w:p w14:paraId="185C860F" w14:textId="77777777" w:rsidR="00891FBF" w:rsidRDefault="00891FBF" w:rsidP="00891FBF">
      <w:pPr>
        <w:spacing w:before="120"/>
      </w:pPr>
      <w:r>
        <w:t>One example would be to consider requirements for</w:t>
      </w:r>
      <w:r w:rsidRPr="002A03D1">
        <w:t xml:space="preserve"> standardised “Evidence Statements” to accompany key water decisions, including system planning, regulatory approvals and major infrastructure investments. Evidence Statements would set out the scientific evidence and research relied upon, describe key uncertainties and limitations, and explain how evidence has informed decision</w:t>
      </w:r>
      <w:r w:rsidRPr="002A03D1">
        <w:rPr>
          <w:rFonts w:ascii="Cambria Math" w:hAnsi="Cambria Math" w:cs="Cambria Math"/>
        </w:rPr>
        <w:t>‑</w:t>
      </w:r>
      <w:r w:rsidRPr="002A03D1">
        <w:t>making. This would strengthen transparency, improve decision assurance, and ensure that evolving scientific knowledge is consistently and explicitly considered alongside policy and value</w:t>
      </w:r>
      <w:r w:rsidRPr="002A03D1">
        <w:rPr>
          <w:rFonts w:ascii="Cambria Math" w:hAnsi="Cambria Math" w:cs="Cambria Math"/>
        </w:rPr>
        <w:t>‑</w:t>
      </w:r>
      <w:r w:rsidRPr="002A03D1">
        <w:t>based judgements.</w:t>
      </w:r>
    </w:p>
    <w:p w14:paraId="6B3D9BA3" w14:textId="77777777" w:rsidR="001201B2" w:rsidRDefault="001201B2" w:rsidP="001F43AC">
      <w:pPr>
        <w:spacing w:before="120"/>
      </w:pPr>
    </w:p>
    <w:p w14:paraId="1A157431" w14:textId="2BAA7C47" w:rsidR="00E66124" w:rsidRPr="00E66124" w:rsidRDefault="00E66124" w:rsidP="001F43AC">
      <w:pPr>
        <w:spacing w:before="120"/>
        <w:rPr>
          <w:b/>
          <w:bCs/>
        </w:rPr>
      </w:pPr>
      <w:r w:rsidRPr="00E66124">
        <w:rPr>
          <w:b/>
          <w:bCs/>
        </w:rPr>
        <w:t>C</w:t>
      </w:r>
      <w:r w:rsidR="001B3BF8">
        <w:rPr>
          <w:b/>
          <w:bCs/>
        </w:rPr>
        <w:t>ONCLUSION</w:t>
      </w:r>
    </w:p>
    <w:p w14:paraId="1FC7EA15" w14:textId="73DA0E76" w:rsidR="00C25839" w:rsidRDefault="001B3BF8" w:rsidP="001B3BF8">
      <w:pPr>
        <w:spacing w:before="120"/>
      </w:pPr>
      <w:r>
        <w:t>Australia’s water sector is entering a new phase of reform in the context of significant change and uncertaint</w:t>
      </w:r>
      <w:r w:rsidR="00BD77AF">
        <w:t>y</w:t>
      </w:r>
      <w:r>
        <w:t xml:space="preserve"> shaped by </w:t>
      </w:r>
      <w:r w:rsidR="001201B2">
        <w:t xml:space="preserve">factors such as </w:t>
      </w:r>
      <w:r>
        <w:t xml:space="preserve">climate variability, population growth and urbanisation, ageing infrastructure, rapid digitalisation, affordability concerns, and rising expectations for transparency and meaningful engagement. </w:t>
      </w:r>
    </w:p>
    <w:p w14:paraId="740F13B3" w14:textId="0F69BFAE" w:rsidR="001B3BF8" w:rsidRDefault="001B3BF8" w:rsidP="001B3BF8">
      <w:pPr>
        <w:spacing w:before="120"/>
      </w:pPr>
      <w:r>
        <w:t>In this context</w:t>
      </w:r>
      <w:r w:rsidR="00BD77AF">
        <w:t>,</w:t>
      </w:r>
      <w:r>
        <w:t xml:space="preserve"> science, research and innovation are not optional or ancillary inputs - they are foundational to good strategy and planning, credible policy design, adaptive management, and durable regulatory decision making.</w:t>
      </w:r>
    </w:p>
    <w:p w14:paraId="07B9E9C0" w14:textId="77777777" w:rsidR="00C25839" w:rsidRDefault="001B3BF8" w:rsidP="001B3BF8">
      <w:pPr>
        <w:spacing w:before="120"/>
      </w:pPr>
      <w:r>
        <w:t>Science and research must be recognised as essential infrastructure for reform, enabling adaptive management in the face of uncertainty, reducing policy and investment risk, informing difficult trade</w:t>
      </w:r>
      <w:r>
        <w:rPr>
          <w:rFonts w:ascii="Cambria Math" w:hAnsi="Cambria Math" w:cs="Cambria Math"/>
        </w:rPr>
        <w:t>‑</w:t>
      </w:r>
      <w:r>
        <w:t>offs, and sustaining public trust in decision</w:t>
      </w:r>
      <w:r>
        <w:rPr>
          <w:rFonts w:ascii="Cambria Math" w:hAnsi="Cambria Math" w:cs="Cambria Math"/>
        </w:rPr>
        <w:t>‑</w:t>
      </w:r>
      <w:r>
        <w:t xml:space="preserve">making. </w:t>
      </w:r>
    </w:p>
    <w:p w14:paraId="6D7378F3" w14:textId="4750F394" w:rsidR="00C25839" w:rsidRDefault="001B3BF8" w:rsidP="001B3BF8">
      <w:pPr>
        <w:spacing w:before="120"/>
      </w:pPr>
      <w:r>
        <w:t xml:space="preserve">Without deliberate and coordinated investment in research and scientific capability, and the creation of knowledge and its translation into </w:t>
      </w:r>
      <w:proofErr w:type="spellStart"/>
      <w:r>
        <w:t>into</w:t>
      </w:r>
      <w:proofErr w:type="spellEnd"/>
      <w:r>
        <w:t xml:space="preserve"> policy and practice, the ambitions of national water reform will be difficult to realise.</w:t>
      </w:r>
    </w:p>
    <w:p w14:paraId="459B8DE9" w14:textId="77777777" w:rsidR="00637039" w:rsidRDefault="00637039" w:rsidP="001B3BF8">
      <w:pPr>
        <w:spacing w:before="120"/>
      </w:pPr>
    </w:p>
    <w:p w14:paraId="57669A07" w14:textId="6F485A14" w:rsidR="00E66124" w:rsidRPr="00637039" w:rsidRDefault="00E66124" w:rsidP="001F43AC">
      <w:pPr>
        <w:spacing w:before="120"/>
        <w:rPr>
          <w:b/>
          <w:bCs/>
          <w:sz w:val="20"/>
          <w:szCs w:val="20"/>
        </w:rPr>
      </w:pPr>
      <w:r w:rsidRPr="00637039">
        <w:rPr>
          <w:b/>
          <w:bCs/>
          <w:sz w:val="20"/>
          <w:szCs w:val="20"/>
        </w:rPr>
        <w:t>Acknowledgements</w:t>
      </w:r>
      <w:r w:rsidR="00043E58" w:rsidRPr="00637039">
        <w:rPr>
          <w:b/>
          <w:bCs/>
          <w:sz w:val="20"/>
          <w:szCs w:val="20"/>
        </w:rPr>
        <w:t xml:space="preserve"> &amp; additional considerations</w:t>
      </w:r>
    </w:p>
    <w:p w14:paraId="5A7C793D" w14:textId="7CCEA2D4" w:rsidR="00EA43B4" w:rsidRPr="00637039" w:rsidRDefault="00C25839" w:rsidP="001F43AC">
      <w:pPr>
        <w:spacing w:before="120"/>
        <w:rPr>
          <w:sz w:val="20"/>
          <w:szCs w:val="20"/>
        </w:rPr>
      </w:pPr>
      <w:r w:rsidRPr="00637039">
        <w:rPr>
          <w:i/>
          <w:iCs/>
          <w:sz w:val="20"/>
          <w:szCs w:val="20"/>
        </w:rPr>
        <w:t>Water Research Australia</w:t>
      </w:r>
      <w:r w:rsidRPr="00637039">
        <w:rPr>
          <w:sz w:val="20"/>
          <w:szCs w:val="20"/>
        </w:rPr>
        <w:t xml:space="preserve"> gratefully acknowledges the </w:t>
      </w:r>
      <w:r w:rsidR="00E83577" w:rsidRPr="00637039">
        <w:rPr>
          <w:sz w:val="20"/>
          <w:szCs w:val="20"/>
        </w:rPr>
        <w:t>assistance of the</w:t>
      </w:r>
      <w:r w:rsidR="003E790D" w:rsidRPr="00637039">
        <w:rPr>
          <w:sz w:val="20"/>
          <w:szCs w:val="20"/>
        </w:rPr>
        <w:t xml:space="preserve"> Australian</w:t>
      </w:r>
      <w:r w:rsidR="00E83577" w:rsidRPr="00637039">
        <w:rPr>
          <w:sz w:val="20"/>
          <w:szCs w:val="20"/>
        </w:rPr>
        <w:t xml:space="preserve"> </w:t>
      </w:r>
      <w:r w:rsidR="00EA43B4" w:rsidRPr="00637039">
        <w:rPr>
          <w:sz w:val="20"/>
          <w:szCs w:val="20"/>
        </w:rPr>
        <w:t>GHD</w:t>
      </w:r>
      <w:r w:rsidR="003E790D" w:rsidRPr="00637039">
        <w:rPr>
          <w:sz w:val="20"/>
          <w:szCs w:val="20"/>
        </w:rPr>
        <w:t xml:space="preserve"> Governance Advisory and National Water Markets</w:t>
      </w:r>
      <w:r w:rsidR="00E75548" w:rsidRPr="00637039">
        <w:rPr>
          <w:sz w:val="20"/>
          <w:szCs w:val="20"/>
        </w:rPr>
        <w:t xml:space="preserve"> teams.  </w:t>
      </w:r>
      <w:r w:rsidR="00B75697" w:rsidRPr="00637039">
        <w:rPr>
          <w:sz w:val="20"/>
          <w:szCs w:val="20"/>
        </w:rPr>
        <w:t xml:space="preserve">All parties involved in the preparation of this document have used best endeavours to ensure its </w:t>
      </w:r>
      <w:r w:rsidR="00F24F4C" w:rsidRPr="00637039">
        <w:rPr>
          <w:sz w:val="20"/>
          <w:szCs w:val="20"/>
        </w:rPr>
        <w:t>accuracy and validity</w:t>
      </w:r>
      <w:r w:rsidR="00043E58" w:rsidRPr="00637039">
        <w:rPr>
          <w:sz w:val="20"/>
          <w:szCs w:val="20"/>
        </w:rPr>
        <w:t xml:space="preserve">. Any opinions, conclusions and </w:t>
      </w:r>
      <w:r w:rsidR="00792C8E" w:rsidRPr="00637039">
        <w:rPr>
          <w:sz w:val="20"/>
          <w:szCs w:val="20"/>
        </w:rPr>
        <w:t>recommendations contained in this submission</w:t>
      </w:r>
      <w:r w:rsidR="005B3D14" w:rsidRPr="00637039">
        <w:rPr>
          <w:sz w:val="20"/>
          <w:szCs w:val="20"/>
        </w:rPr>
        <w:t xml:space="preserve"> are based on conditions</w:t>
      </w:r>
      <w:r w:rsidR="0063160C" w:rsidRPr="00637039">
        <w:rPr>
          <w:sz w:val="20"/>
          <w:szCs w:val="20"/>
        </w:rPr>
        <w:t xml:space="preserve">, information and assumptions made and </w:t>
      </w:r>
      <w:r w:rsidR="005B3D14" w:rsidRPr="00637039">
        <w:rPr>
          <w:sz w:val="20"/>
          <w:szCs w:val="20"/>
        </w:rPr>
        <w:t>encountered at the date of pre</w:t>
      </w:r>
      <w:r w:rsidR="0063160C" w:rsidRPr="00637039">
        <w:rPr>
          <w:sz w:val="20"/>
          <w:szCs w:val="20"/>
        </w:rPr>
        <w:t>paration</w:t>
      </w:r>
      <w:r w:rsidR="006D5251" w:rsidRPr="00637039">
        <w:rPr>
          <w:sz w:val="20"/>
          <w:szCs w:val="20"/>
        </w:rPr>
        <w:t xml:space="preserve">. Readers and users of this document should </w:t>
      </w:r>
      <w:r w:rsidR="00AD7CBF" w:rsidRPr="00637039">
        <w:rPr>
          <w:sz w:val="20"/>
          <w:szCs w:val="20"/>
        </w:rPr>
        <w:t>satisfy themselves of the veracity and authority of the information provided before making decisions</w:t>
      </w:r>
      <w:r w:rsidR="00550303" w:rsidRPr="00637039">
        <w:rPr>
          <w:sz w:val="20"/>
          <w:szCs w:val="20"/>
        </w:rPr>
        <w:t>, statements, or investments based on th</w:t>
      </w:r>
      <w:r w:rsidR="00193802" w:rsidRPr="00637039">
        <w:rPr>
          <w:sz w:val="20"/>
          <w:szCs w:val="20"/>
        </w:rPr>
        <w:t>e information contained within.</w:t>
      </w:r>
    </w:p>
    <w:sectPr w:rsidR="00EA43B4" w:rsidRPr="00637039" w:rsidSect="00A07394">
      <w:headerReference w:type="default" r:id="rId14"/>
      <w:footerReference w:type="default" r:id="rId15"/>
      <w:pgSz w:w="11900" w:h="16840"/>
      <w:pgMar w:top="2268" w:right="851"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5B3A5" w14:textId="77777777" w:rsidR="009E0549" w:rsidRDefault="009E0549" w:rsidP="00A07394">
      <w:r>
        <w:separator/>
      </w:r>
    </w:p>
  </w:endnote>
  <w:endnote w:type="continuationSeparator" w:id="0">
    <w:p w14:paraId="3F455CFA" w14:textId="77777777" w:rsidR="009E0549" w:rsidRDefault="009E0549" w:rsidP="00A07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DBFC" w14:textId="75A9F984" w:rsidR="00A07394" w:rsidRDefault="00A07394">
    <w:pPr>
      <w:pStyle w:val="Footer"/>
    </w:pPr>
    <w:r w:rsidRPr="00A07394">
      <w:rPr>
        <w:noProof/>
      </w:rPr>
      <mc:AlternateContent>
        <mc:Choice Requires="wps">
          <w:drawing>
            <wp:anchor distT="0" distB="0" distL="114300" distR="114300" simplePos="0" relativeHeight="251658241" behindDoc="0" locked="0" layoutInCell="1" allowOverlap="1" wp14:anchorId="66A2E346" wp14:editId="401E313F">
              <wp:simplePos x="0" y="0"/>
              <wp:positionH relativeFrom="column">
                <wp:posOffset>-70958</wp:posOffset>
              </wp:positionH>
              <wp:positionV relativeFrom="paragraph">
                <wp:posOffset>125095</wp:posOffset>
              </wp:positionV>
              <wp:extent cx="266065" cy="208280"/>
              <wp:effectExtent l="0" t="0" r="635" b="7620"/>
              <wp:wrapNone/>
              <wp:docPr id="6" name="Text Box 6"/>
              <wp:cNvGraphicFramePr/>
              <a:graphic xmlns:a="http://schemas.openxmlformats.org/drawingml/2006/main">
                <a:graphicData uri="http://schemas.microsoft.com/office/word/2010/wordprocessingShape">
                  <wps:wsp>
                    <wps:cNvSpPr txBox="1"/>
                    <wps:spPr>
                      <a:xfrm>
                        <a:off x="0" y="0"/>
                        <a:ext cx="266065" cy="208280"/>
                      </a:xfrm>
                      <a:prstGeom prst="rect">
                        <a:avLst/>
                      </a:prstGeom>
                      <a:noFill/>
                      <a:ln w="6350">
                        <a:noFill/>
                      </a:ln>
                    </wps:spPr>
                    <wps:txbx>
                      <w:txbxContent>
                        <w:p w14:paraId="12794B5C" w14:textId="0F7EBE89" w:rsidR="00A07394" w:rsidRPr="00322DAD" w:rsidRDefault="00A07394" w:rsidP="006B1660">
                          <w:pPr>
                            <w:rPr>
                              <w:rFonts w:asciiTheme="majorHAnsi" w:hAnsiTheme="majorHAnsi" w:cstheme="majorHAnsi"/>
                              <w:color w:val="009DE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A2E346" id="_x0000_t202" coordsize="21600,21600" o:spt="202" path="m,l,21600r21600,l21600,xe">
              <v:stroke joinstyle="miter"/>
              <v:path gradientshapeok="t" o:connecttype="rect"/>
            </v:shapetype>
            <v:shape id="Text Box 6" o:spid="_x0000_s1026" type="#_x0000_t202" style="position:absolute;margin-left:-5.6pt;margin-top:9.85pt;width:20.95pt;height:16.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" filled="f" stroked="f" strokeweight=".5pt">
              <v:textbox inset="0,0,0,0">
                <w:txbxContent>
                  <w:p w14:paraId="12794B5C" w14:textId="0F7EBE89" w:rsidR="00A07394" w:rsidRPr="00322DAD" w:rsidRDefault="00A07394" w:rsidP="006B1660">
                    <w:pPr>
                      <w:rPr>
                        <w:rFonts w:asciiTheme="majorHAnsi" w:hAnsiTheme="majorHAnsi" w:cstheme="majorHAnsi"/>
                        <w:color w:val="009DE1"/>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C1DED" w14:textId="77777777" w:rsidR="009E0549" w:rsidRDefault="009E0549" w:rsidP="00A07394">
      <w:r>
        <w:separator/>
      </w:r>
    </w:p>
  </w:footnote>
  <w:footnote w:type="continuationSeparator" w:id="0">
    <w:p w14:paraId="0E5FD265" w14:textId="77777777" w:rsidR="009E0549" w:rsidRDefault="009E0549" w:rsidP="00A07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625D4" w14:textId="769109DF" w:rsidR="00A07394" w:rsidRDefault="00A07394">
    <w:pPr>
      <w:pStyle w:val="Header"/>
    </w:pPr>
    <w:r>
      <w:rPr>
        <w:noProof/>
      </w:rPr>
      <w:drawing>
        <wp:anchor distT="0" distB="0" distL="114300" distR="114300" simplePos="0" relativeHeight="251658240" behindDoc="1" locked="0" layoutInCell="1" allowOverlap="1" wp14:anchorId="534C4771" wp14:editId="53A22B65">
          <wp:simplePos x="0" y="0"/>
          <wp:positionH relativeFrom="margin">
            <wp:posOffset>-720090</wp:posOffset>
          </wp:positionH>
          <wp:positionV relativeFrom="margin">
            <wp:posOffset>-1429547</wp:posOffset>
          </wp:positionV>
          <wp:extent cx="7559040" cy="9739423"/>
          <wp:effectExtent l="0" t="0" r="0" b="0"/>
          <wp:wrapNone/>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Letterhead.jpg"/>
                  <pic:cNvPicPr/>
                </pic:nvPicPr>
                <pic:blipFill rotWithShape="1">
                  <a:blip r:embed="rId1">
                    <a:extLst>
                      <a:ext uri="{28A0092B-C50C-407E-A947-70E740481C1C}">
                        <a14:useLocalDpi xmlns:a14="http://schemas.microsoft.com/office/drawing/2010/main" val="0"/>
                      </a:ext>
                    </a:extLst>
                  </a:blip>
                  <a:srcRect b="8844"/>
                  <a:stretch>
                    <a:fillRect/>
                  </a:stretch>
                </pic:blipFill>
                <pic:spPr bwMode="auto">
                  <a:xfrm>
                    <a:off x="0" y="0"/>
                    <a:ext cx="7560000" cy="9740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2A3E"/>
    <w:multiLevelType w:val="hybridMultilevel"/>
    <w:tmpl w:val="6D1418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DD1C4F"/>
    <w:multiLevelType w:val="hybridMultilevel"/>
    <w:tmpl w:val="72E082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0E1440"/>
    <w:multiLevelType w:val="hybridMultilevel"/>
    <w:tmpl w:val="A57E4E1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2765AAE"/>
    <w:multiLevelType w:val="hybridMultilevel"/>
    <w:tmpl w:val="7DDAA89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8BD02CA"/>
    <w:multiLevelType w:val="hybridMultilevel"/>
    <w:tmpl w:val="6854F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1B57B9"/>
    <w:multiLevelType w:val="hybridMultilevel"/>
    <w:tmpl w:val="3F00648A"/>
    <w:lvl w:ilvl="0" w:tplc="114E4E24">
      <w:numFmt w:val="bullet"/>
      <w:lvlText w:val=""/>
      <w:lvlJc w:val="left"/>
      <w:pPr>
        <w:ind w:left="360" w:hanging="360"/>
      </w:pPr>
      <w:rPr>
        <w:rFonts w:ascii="Symbol" w:eastAsiaTheme="minorHAnsi" w:hAnsi="Symbol"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EF20FEF"/>
    <w:multiLevelType w:val="hybridMultilevel"/>
    <w:tmpl w:val="132CBE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1D41D30"/>
    <w:multiLevelType w:val="hybridMultilevel"/>
    <w:tmpl w:val="F2380CAA"/>
    <w:lvl w:ilvl="0" w:tplc="114E4E24">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C43793"/>
    <w:multiLevelType w:val="hybridMultilevel"/>
    <w:tmpl w:val="79C86B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CA4344"/>
    <w:multiLevelType w:val="hybridMultilevel"/>
    <w:tmpl w:val="ACD2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096DB0"/>
    <w:multiLevelType w:val="hybridMultilevel"/>
    <w:tmpl w:val="A01CCD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1865950"/>
    <w:multiLevelType w:val="hybridMultilevel"/>
    <w:tmpl w:val="D624E1B8"/>
    <w:lvl w:ilvl="0" w:tplc="ABBA936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C46EF1"/>
    <w:multiLevelType w:val="hybridMultilevel"/>
    <w:tmpl w:val="A57E4E1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341381E"/>
    <w:multiLevelType w:val="hybridMultilevel"/>
    <w:tmpl w:val="2F4E1CC8"/>
    <w:lvl w:ilvl="0" w:tplc="38627CB2">
      <w:start w:val="1"/>
      <w:numFmt w:val="decimal"/>
      <w:lvlText w:val="%1&gt;"/>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5502662"/>
    <w:multiLevelType w:val="hybridMultilevel"/>
    <w:tmpl w:val="EC9EFC32"/>
    <w:lvl w:ilvl="0" w:tplc="2828CFC2">
      <w:start w:val="7"/>
      <w:numFmt w:val="bullet"/>
      <w:lvlText w:val="-"/>
      <w:lvlJc w:val="left"/>
      <w:pPr>
        <w:ind w:left="1069" w:hanging="360"/>
      </w:pPr>
      <w:rPr>
        <w:rFonts w:ascii="Calibri" w:eastAsiaTheme="minorHAnsi" w:hAnsi="Calibri" w:cs="Calibri"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5" w15:restartNumberingAfterBreak="0">
    <w:nsid w:val="5B2D0723"/>
    <w:multiLevelType w:val="hybridMultilevel"/>
    <w:tmpl w:val="FBBE6E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29C4ADA"/>
    <w:multiLevelType w:val="hybridMultilevel"/>
    <w:tmpl w:val="A60EDA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1A22E37"/>
    <w:multiLevelType w:val="hybridMultilevel"/>
    <w:tmpl w:val="3CE0B8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9BE52C5"/>
    <w:multiLevelType w:val="hybridMultilevel"/>
    <w:tmpl w:val="463E36FE"/>
    <w:lvl w:ilvl="0" w:tplc="ABBA9364">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1673092">
    <w:abstractNumId w:val="9"/>
  </w:num>
  <w:num w:numId="2" w16cid:durableId="592323256">
    <w:abstractNumId w:val="3"/>
  </w:num>
  <w:num w:numId="3" w16cid:durableId="2057655538">
    <w:abstractNumId w:val="14"/>
  </w:num>
  <w:num w:numId="4" w16cid:durableId="63261215">
    <w:abstractNumId w:val="0"/>
  </w:num>
  <w:num w:numId="5" w16cid:durableId="586423760">
    <w:abstractNumId w:val="8"/>
  </w:num>
  <w:num w:numId="6" w16cid:durableId="1052386810">
    <w:abstractNumId w:val="4"/>
  </w:num>
  <w:num w:numId="7" w16cid:durableId="507251545">
    <w:abstractNumId w:val="1"/>
  </w:num>
  <w:num w:numId="8" w16cid:durableId="21826135">
    <w:abstractNumId w:val="10"/>
  </w:num>
  <w:num w:numId="9" w16cid:durableId="819275363">
    <w:abstractNumId w:val="15"/>
  </w:num>
  <w:num w:numId="10" w16cid:durableId="2041861020">
    <w:abstractNumId w:val="6"/>
  </w:num>
  <w:num w:numId="11" w16cid:durableId="2075854720">
    <w:abstractNumId w:val="16"/>
  </w:num>
  <w:num w:numId="12" w16cid:durableId="531503597">
    <w:abstractNumId w:val="11"/>
  </w:num>
  <w:num w:numId="13" w16cid:durableId="316956691">
    <w:abstractNumId w:val="5"/>
  </w:num>
  <w:num w:numId="14" w16cid:durableId="1824151379">
    <w:abstractNumId w:val="7"/>
  </w:num>
  <w:num w:numId="15" w16cid:durableId="528027972">
    <w:abstractNumId w:val="13"/>
  </w:num>
  <w:num w:numId="16" w16cid:durableId="1603341284">
    <w:abstractNumId w:val="2"/>
  </w:num>
  <w:num w:numId="17" w16cid:durableId="1497040514">
    <w:abstractNumId w:val="12"/>
  </w:num>
  <w:num w:numId="18" w16cid:durableId="1150708078">
    <w:abstractNumId w:val="17"/>
  </w:num>
  <w:num w:numId="19" w16cid:durableId="9688270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94"/>
    <w:rsid w:val="00015DB1"/>
    <w:rsid w:val="00016904"/>
    <w:rsid w:val="00024667"/>
    <w:rsid w:val="00030AA8"/>
    <w:rsid w:val="000333CA"/>
    <w:rsid w:val="000363B3"/>
    <w:rsid w:val="00043E58"/>
    <w:rsid w:val="00054276"/>
    <w:rsid w:val="000553B6"/>
    <w:rsid w:val="0007005E"/>
    <w:rsid w:val="0008659A"/>
    <w:rsid w:val="0009012F"/>
    <w:rsid w:val="000A5BC3"/>
    <w:rsid w:val="000A60E1"/>
    <w:rsid w:val="000A7075"/>
    <w:rsid w:val="000C0A55"/>
    <w:rsid w:val="000C2025"/>
    <w:rsid w:val="000C39DD"/>
    <w:rsid w:val="000C608C"/>
    <w:rsid w:val="000D1B0F"/>
    <w:rsid w:val="000D4D2C"/>
    <w:rsid w:val="000D7C88"/>
    <w:rsid w:val="000E3A11"/>
    <w:rsid w:val="000F6350"/>
    <w:rsid w:val="001011DE"/>
    <w:rsid w:val="0010457A"/>
    <w:rsid w:val="00104817"/>
    <w:rsid w:val="001201B2"/>
    <w:rsid w:val="00120E19"/>
    <w:rsid w:val="001239C2"/>
    <w:rsid w:val="00125D86"/>
    <w:rsid w:val="001334EA"/>
    <w:rsid w:val="00133EF0"/>
    <w:rsid w:val="00134910"/>
    <w:rsid w:val="0014449F"/>
    <w:rsid w:val="00161F39"/>
    <w:rsid w:val="00167832"/>
    <w:rsid w:val="0016798B"/>
    <w:rsid w:val="00170E6A"/>
    <w:rsid w:val="0017419A"/>
    <w:rsid w:val="001823B2"/>
    <w:rsid w:val="00185015"/>
    <w:rsid w:val="00193802"/>
    <w:rsid w:val="00195A29"/>
    <w:rsid w:val="001A587E"/>
    <w:rsid w:val="001A5F4A"/>
    <w:rsid w:val="001A6CC7"/>
    <w:rsid w:val="001B2C00"/>
    <w:rsid w:val="001B2C34"/>
    <w:rsid w:val="001B3BF8"/>
    <w:rsid w:val="001B46E5"/>
    <w:rsid w:val="001B741A"/>
    <w:rsid w:val="001C0124"/>
    <w:rsid w:val="001C330A"/>
    <w:rsid w:val="001C38FA"/>
    <w:rsid w:val="001C516B"/>
    <w:rsid w:val="001D09CD"/>
    <w:rsid w:val="001D76C7"/>
    <w:rsid w:val="001E4198"/>
    <w:rsid w:val="001E47F3"/>
    <w:rsid w:val="001F3D67"/>
    <w:rsid w:val="001F43AC"/>
    <w:rsid w:val="001F5C65"/>
    <w:rsid w:val="0020062A"/>
    <w:rsid w:val="002074FC"/>
    <w:rsid w:val="00210EB8"/>
    <w:rsid w:val="00213CF9"/>
    <w:rsid w:val="00214623"/>
    <w:rsid w:val="002167C2"/>
    <w:rsid w:val="002173DF"/>
    <w:rsid w:val="002200D2"/>
    <w:rsid w:val="0022168B"/>
    <w:rsid w:val="00223B31"/>
    <w:rsid w:val="00230400"/>
    <w:rsid w:val="00232E50"/>
    <w:rsid w:val="00233374"/>
    <w:rsid w:val="002533D5"/>
    <w:rsid w:val="00254C88"/>
    <w:rsid w:val="00255939"/>
    <w:rsid w:val="00263006"/>
    <w:rsid w:val="00267292"/>
    <w:rsid w:val="00270984"/>
    <w:rsid w:val="002727D6"/>
    <w:rsid w:val="002810EC"/>
    <w:rsid w:val="00286625"/>
    <w:rsid w:val="00291F31"/>
    <w:rsid w:val="00295F3F"/>
    <w:rsid w:val="00297891"/>
    <w:rsid w:val="002A03D1"/>
    <w:rsid w:val="002A04C1"/>
    <w:rsid w:val="002A32EA"/>
    <w:rsid w:val="002A549D"/>
    <w:rsid w:val="002B31D8"/>
    <w:rsid w:val="002B6BFF"/>
    <w:rsid w:val="002C739A"/>
    <w:rsid w:val="002D0C87"/>
    <w:rsid w:val="002D192D"/>
    <w:rsid w:val="002D20A1"/>
    <w:rsid w:val="002D4B7E"/>
    <w:rsid w:val="002D763E"/>
    <w:rsid w:val="002E1BED"/>
    <w:rsid w:val="002E28FF"/>
    <w:rsid w:val="002E4EF6"/>
    <w:rsid w:val="002E5719"/>
    <w:rsid w:val="002E7C9F"/>
    <w:rsid w:val="002F1BBC"/>
    <w:rsid w:val="002F3F31"/>
    <w:rsid w:val="00303BB9"/>
    <w:rsid w:val="003079A3"/>
    <w:rsid w:val="00315CED"/>
    <w:rsid w:val="0032523E"/>
    <w:rsid w:val="00325BB1"/>
    <w:rsid w:val="00326640"/>
    <w:rsid w:val="003277C6"/>
    <w:rsid w:val="0033009E"/>
    <w:rsid w:val="003327E1"/>
    <w:rsid w:val="0033676F"/>
    <w:rsid w:val="00346374"/>
    <w:rsid w:val="003468C8"/>
    <w:rsid w:val="00350DAE"/>
    <w:rsid w:val="0035340A"/>
    <w:rsid w:val="00353E20"/>
    <w:rsid w:val="00370324"/>
    <w:rsid w:val="00372518"/>
    <w:rsid w:val="00387B3B"/>
    <w:rsid w:val="003A37FB"/>
    <w:rsid w:val="003A4A8F"/>
    <w:rsid w:val="003A7BC1"/>
    <w:rsid w:val="003B19BD"/>
    <w:rsid w:val="003B1DD1"/>
    <w:rsid w:val="003B3C36"/>
    <w:rsid w:val="003C3814"/>
    <w:rsid w:val="003E6A67"/>
    <w:rsid w:val="003E790D"/>
    <w:rsid w:val="003F0619"/>
    <w:rsid w:val="003F15E7"/>
    <w:rsid w:val="003F7642"/>
    <w:rsid w:val="00402788"/>
    <w:rsid w:val="00403705"/>
    <w:rsid w:val="00404CA4"/>
    <w:rsid w:val="0040639A"/>
    <w:rsid w:val="00407D06"/>
    <w:rsid w:val="00410850"/>
    <w:rsid w:val="00412C9D"/>
    <w:rsid w:val="00430D72"/>
    <w:rsid w:val="00433C7E"/>
    <w:rsid w:val="00433F7B"/>
    <w:rsid w:val="00465C5C"/>
    <w:rsid w:val="00466BDD"/>
    <w:rsid w:val="004672C5"/>
    <w:rsid w:val="004739CE"/>
    <w:rsid w:val="004806AA"/>
    <w:rsid w:val="00481394"/>
    <w:rsid w:val="00483460"/>
    <w:rsid w:val="00483642"/>
    <w:rsid w:val="0049361D"/>
    <w:rsid w:val="004A2579"/>
    <w:rsid w:val="004C19AF"/>
    <w:rsid w:val="004D2332"/>
    <w:rsid w:val="004D4FD6"/>
    <w:rsid w:val="004D721B"/>
    <w:rsid w:val="004D7B4B"/>
    <w:rsid w:val="004E3EFE"/>
    <w:rsid w:val="004E626E"/>
    <w:rsid w:val="004F4E46"/>
    <w:rsid w:val="00500374"/>
    <w:rsid w:val="00504A14"/>
    <w:rsid w:val="00507A82"/>
    <w:rsid w:val="005162A4"/>
    <w:rsid w:val="0052283C"/>
    <w:rsid w:val="00524999"/>
    <w:rsid w:val="00542C5F"/>
    <w:rsid w:val="00546331"/>
    <w:rsid w:val="00550303"/>
    <w:rsid w:val="005513B9"/>
    <w:rsid w:val="00552CA8"/>
    <w:rsid w:val="005575C9"/>
    <w:rsid w:val="005616CD"/>
    <w:rsid w:val="0056521E"/>
    <w:rsid w:val="0056573D"/>
    <w:rsid w:val="005666BB"/>
    <w:rsid w:val="0057141C"/>
    <w:rsid w:val="00571680"/>
    <w:rsid w:val="0058043D"/>
    <w:rsid w:val="00583635"/>
    <w:rsid w:val="005928A5"/>
    <w:rsid w:val="005A05A0"/>
    <w:rsid w:val="005A1B0C"/>
    <w:rsid w:val="005A56FC"/>
    <w:rsid w:val="005A5C88"/>
    <w:rsid w:val="005B1684"/>
    <w:rsid w:val="005B3D14"/>
    <w:rsid w:val="005B6960"/>
    <w:rsid w:val="005C0DFF"/>
    <w:rsid w:val="005C112E"/>
    <w:rsid w:val="005C3A0D"/>
    <w:rsid w:val="005D1396"/>
    <w:rsid w:val="005D3EBB"/>
    <w:rsid w:val="005D56ED"/>
    <w:rsid w:val="005D73AA"/>
    <w:rsid w:val="005E0084"/>
    <w:rsid w:val="00604700"/>
    <w:rsid w:val="00606767"/>
    <w:rsid w:val="00614928"/>
    <w:rsid w:val="00621ED5"/>
    <w:rsid w:val="00622E47"/>
    <w:rsid w:val="00625A5A"/>
    <w:rsid w:val="00630890"/>
    <w:rsid w:val="0063160C"/>
    <w:rsid w:val="00633C22"/>
    <w:rsid w:val="0063519E"/>
    <w:rsid w:val="006367D0"/>
    <w:rsid w:val="00636900"/>
    <w:rsid w:val="00637039"/>
    <w:rsid w:val="00642136"/>
    <w:rsid w:val="00644C87"/>
    <w:rsid w:val="00645227"/>
    <w:rsid w:val="00645466"/>
    <w:rsid w:val="00651FD7"/>
    <w:rsid w:val="006554AC"/>
    <w:rsid w:val="00656163"/>
    <w:rsid w:val="00656AAF"/>
    <w:rsid w:val="00662D86"/>
    <w:rsid w:val="00664E55"/>
    <w:rsid w:val="00672850"/>
    <w:rsid w:val="006755AC"/>
    <w:rsid w:val="006810C7"/>
    <w:rsid w:val="00681B06"/>
    <w:rsid w:val="00682FD7"/>
    <w:rsid w:val="006846CB"/>
    <w:rsid w:val="006939BD"/>
    <w:rsid w:val="00694720"/>
    <w:rsid w:val="006A05F3"/>
    <w:rsid w:val="006A6EF5"/>
    <w:rsid w:val="006B1660"/>
    <w:rsid w:val="006B3969"/>
    <w:rsid w:val="006B5747"/>
    <w:rsid w:val="006B6241"/>
    <w:rsid w:val="006B66F0"/>
    <w:rsid w:val="006C2ACA"/>
    <w:rsid w:val="006C31E4"/>
    <w:rsid w:val="006C7C54"/>
    <w:rsid w:val="006D092D"/>
    <w:rsid w:val="006D09A3"/>
    <w:rsid w:val="006D102C"/>
    <w:rsid w:val="006D5251"/>
    <w:rsid w:val="006D6913"/>
    <w:rsid w:val="006E588B"/>
    <w:rsid w:val="006F2C85"/>
    <w:rsid w:val="00702A3C"/>
    <w:rsid w:val="00702CF8"/>
    <w:rsid w:val="007058EA"/>
    <w:rsid w:val="007065E5"/>
    <w:rsid w:val="00713086"/>
    <w:rsid w:val="0071448D"/>
    <w:rsid w:val="00717B9B"/>
    <w:rsid w:val="00723B00"/>
    <w:rsid w:val="007279CA"/>
    <w:rsid w:val="007440DD"/>
    <w:rsid w:val="007453B1"/>
    <w:rsid w:val="0074691D"/>
    <w:rsid w:val="007473CE"/>
    <w:rsid w:val="007515CF"/>
    <w:rsid w:val="0075163E"/>
    <w:rsid w:val="00753223"/>
    <w:rsid w:val="00764D66"/>
    <w:rsid w:val="00765360"/>
    <w:rsid w:val="007742CF"/>
    <w:rsid w:val="00774599"/>
    <w:rsid w:val="00774BED"/>
    <w:rsid w:val="00790975"/>
    <w:rsid w:val="00792C8E"/>
    <w:rsid w:val="007945BA"/>
    <w:rsid w:val="00795DE5"/>
    <w:rsid w:val="007A3516"/>
    <w:rsid w:val="007B5C1D"/>
    <w:rsid w:val="007D2C45"/>
    <w:rsid w:val="007D39EB"/>
    <w:rsid w:val="007D76BC"/>
    <w:rsid w:val="007E0206"/>
    <w:rsid w:val="007E0F8D"/>
    <w:rsid w:val="007E2FF3"/>
    <w:rsid w:val="007E407C"/>
    <w:rsid w:val="007E7F84"/>
    <w:rsid w:val="007F4560"/>
    <w:rsid w:val="007F53B7"/>
    <w:rsid w:val="007F5C51"/>
    <w:rsid w:val="00800F4B"/>
    <w:rsid w:val="008051FD"/>
    <w:rsid w:val="00805E72"/>
    <w:rsid w:val="00810384"/>
    <w:rsid w:val="00821D47"/>
    <w:rsid w:val="00822F68"/>
    <w:rsid w:val="00824B03"/>
    <w:rsid w:val="008251F6"/>
    <w:rsid w:val="00827513"/>
    <w:rsid w:val="0083501B"/>
    <w:rsid w:val="008469C1"/>
    <w:rsid w:val="0084797D"/>
    <w:rsid w:val="0085191C"/>
    <w:rsid w:val="00852CB3"/>
    <w:rsid w:val="00862EF1"/>
    <w:rsid w:val="008648B9"/>
    <w:rsid w:val="00866525"/>
    <w:rsid w:val="00871EA3"/>
    <w:rsid w:val="00873D03"/>
    <w:rsid w:val="00874421"/>
    <w:rsid w:val="00874607"/>
    <w:rsid w:val="008810AE"/>
    <w:rsid w:val="00881CC7"/>
    <w:rsid w:val="00882073"/>
    <w:rsid w:val="00882750"/>
    <w:rsid w:val="00891FBF"/>
    <w:rsid w:val="008A2F8E"/>
    <w:rsid w:val="008A4CD5"/>
    <w:rsid w:val="008A7A4B"/>
    <w:rsid w:val="008B3F69"/>
    <w:rsid w:val="008C0D5C"/>
    <w:rsid w:val="008C58C0"/>
    <w:rsid w:val="008C5EBB"/>
    <w:rsid w:val="008C6708"/>
    <w:rsid w:val="008E0A50"/>
    <w:rsid w:val="00902F31"/>
    <w:rsid w:val="00910DA0"/>
    <w:rsid w:val="00920334"/>
    <w:rsid w:val="00921069"/>
    <w:rsid w:val="00921BE5"/>
    <w:rsid w:val="00926FBE"/>
    <w:rsid w:val="009355E0"/>
    <w:rsid w:val="009406C2"/>
    <w:rsid w:val="00940888"/>
    <w:rsid w:val="00940FCC"/>
    <w:rsid w:val="0094385B"/>
    <w:rsid w:val="00950A4F"/>
    <w:rsid w:val="00950B50"/>
    <w:rsid w:val="00955A63"/>
    <w:rsid w:val="00955EFC"/>
    <w:rsid w:val="009575CC"/>
    <w:rsid w:val="00963ED6"/>
    <w:rsid w:val="009660F7"/>
    <w:rsid w:val="00966838"/>
    <w:rsid w:val="00975F2E"/>
    <w:rsid w:val="00993416"/>
    <w:rsid w:val="00994CD1"/>
    <w:rsid w:val="00995B2F"/>
    <w:rsid w:val="009A25CF"/>
    <w:rsid w:val="009B0C23"/>
    <w:rsid w:val="009B233C"/>
    <w:rsid w:val="009B542F"/>
    <w:rsid w:val="009B61C4"/>
    <w:rsid w:val="009D504C"/>
    <w:rsid w:val="009E0549"/>
    <w:rsid w:val="009F1E80"/>
    <w:rsid w:val="00A058A0"/>
    <w:rsid w:val="00A0711E"/>
    <w:rsid w:val="00A07394"/>
    <w:rsid w:val="00A1097D"/>
    <w:rsid w:val="00A129DA"/>
    <w:rsid w:val="00A134ED"/>
    <w:rsid w:val="00A13BE2"/>
    <w:rsid w:val="00A20B51"/>
    <w:rsid w:val="00A3768C"/>
    <w:rsid w:val="00A40594"/>
    <w:rsid w:val="00A405E2"/>
    <w:rsid w:val="00A4374A"/>
    <w:rsid w:val="00A449C7"/>
    <w:rsid w:val="00A52019"/>
    <w:rsid w:val="00A55AC8"/>
    <w:rsid w:val="00A57C15"/>
    <w:rsid w:val="00A74F7B"/>
    <w:rsid w:val="00A80179"/>
    <w:rsid w:val="00A82231"/>
    <w:rsid w:val="00A878C8"/>
    <w:rsid w:val="00A879C0"/>
    <w:rsid w:val="00A91F81"/>
    <w:rsid w:val="00A9206B"/>
    <w:rsid w:val="00A932F1"/>
    <w:rsid w:val="00AA0333"/>
    <w:rsid w:val="00AA33A0"/>
    <w:rsid w:val="00AA35BD"/>
    <w:rsid w:val="00AA7CA0"/>
    <w:rsid w:val="00AB0EC6"/>
    <w:rsid w:val="00AD7CBF"/>
    <w:rsid w:val="00AE5C0B"/>
    <w:rsid w:val="00AE6AFD"/>
    <w:rsid w:val="00AE7B4D"/>
    <w:rsid w:val="00AF12FE"/>
    <w:rsid w:val="00AF4F16"/>
    <w:rsid w:val="00AF7E7F"/>
    <w:rsid w:val="00B00245"/>
    <w:rsid w:val="00B21C39"/>
    <w:rsid w:val="00B2719C"/>
    <w:rsid w:val="00B31A94"/>
    <w:rsid w:val="00B33950"/>
    <w:rsid w:val="00B33F86"/>
    <w:rsid w:val="00B3549A"/>
    <w:rsid w:val="00B368C4"/>
    <w:rsid w:val="00B44DFF"/>
    <w:rsid w:val="00B45146"/>
    <w:rsid w:val="00B45630"/>
    <w:rsid w:val="00B45A0A"/>
    <w:rsid w:val="00B45CEA"/>
    <w:rsid w:val="00B540F3"/>
    <w:rsid w:val="00B5628C"/>
    <w:rsid w:val="00B66B82"/>
    <w:rsid w:val="00B719CB"/>
    <w:rsid w:val="00B742A9"/>
    <w:rsid w:val="00B75697"/>
    <w:rsid w:val="00B77268"/>
    <w:rsid w:val="00B90943"/>
    <w:rsid w:val="00B93808"/>
    <w:rsid w:val="00B95293"/>
    <w:rsid w:val="00BA1712"/>
    <w:rsid w:val="00BA2F3B"/>
    <w:rsid w:val="00BA36C0"/>
    <w:rsid w:val="00BA4764"/>
    <w:rsid w:val="00BA5E41"/>
    <w:rsid w:val="00BB5381"/>
    <w:rsid w:val="00BC138C"/>
    <w:rsid w:val="00BC3A37"/>
    <w:rsid w:val="00BC3DB4"/>
    <w:rsid w:val="00BC5B62"/>
    <w:rsid w:val="00BC607B"/>
    <w:rsid w:val="00BC7F41"/>
    <w:rsid w:val="00BC7FE3"/>
    <w:rsid w:val="00BD2008"/>
    <w:rsid w:val="00BD2A3E"/>
    <w:rsid w:val="00BD61F1"/>
    <w:rsid w:val="00BD77AF"/>
    <w:rsid w:val="00BE0F06"/>
    <w:rsid w:val="00BE3106"/>
    <w:rsid w:val="00BF3765"/>
    <w:rsid w:val="00BF4A33"/>
    <w:rsid w:val="00BF6120"/>
    <w:rsid w:val="00BF6654"/>
    <w:rsid w:val="00BF7C4D"/>
    <w:rsid w:val="00C14C54"/>
    <w:rsid w:val="00C17A72"/>
    <w:rsid w:val="00C24225"/>
    <w:rsid w:val="00C25839"/>
    <w:rsid w:val="00C26525"/>
    <w:rsid w:val="00C278A7"/>
    <w:rsid w:val="00C30C90"/>
    <w:rsid w:val="00C32CDD"/>
    <w:rsid w:val="00C41A6C"/>
    <w:rsid w:val="00C54ED9"/>
    <w:rsid w:val="00C6085F"/>
    <w:rsid w:val="00C66466"/>
    <w:rsid w:val="00C77BEA"/>
    <w:rsid w:val="00C8207F"/>
    <w:rsid w:val="00C82420"/>
    <w:rsid w:val="00C82DB1"/>
    <w:rsid w:val="00C86316"/>
    <w:rsid w:val="00C873BE"/>
    <w:rsid w:val="00C939B1"/>
    <w:rsid w:val="00C9664A"/>
    <w:rsid w:val="00C97ABE"/>
    <w:rsid w:val="00CA31BB"/>
    <w:rsid w:val="00CA6296"/>
    <w:rsid w:val="00CA65A3"/>
    <w:rsid w:val="00CB1E86"/>
    <w:rsid w:val="00CB23CA"/>
    <w:rsid w:val="00CC1033"/>
    <w:rsid w:val="00CC2B5B"/>
    <w:rsid w:val="00CC7359"/>
    <w:rsid w:val="00CC7541"/>
    <w:rsid w:val="00CD0961"/>
    <w:rsid w:val="00CD20F9"/>
    <w:rsid w:val="00CD3087"/>
    <w:rsid w:val="00CE3168"/>
    <w:rsid w:val="00CE5295"/>
    <w:rsid w:val="00CE58F7"/>
    <w:rsid w:val="00CE5C50"/>
    <w:rsid w:val="00CE733D"/>
    <w:rsid w:val="00CF4D9C"/>
    <w:rsid w:val="00CF6DD3"/>
    <w:rsid w:val="00CF7040"/>
    <w:rsid w:val="00D005DF"/>
    <w:rsid w:val="00D0377E"/>
    <w:rsid w:val="00D0626A"/>
    <w:rsid w:val="00D11BED"/>
    <w:rsid w:val="00D16AD4"/>
    <w:rsid w:val="00D221FD"/>
    <w:rsid w:val="00D30249"/>
    <w:rsid w:val="00D3361C"/>
    <w:rsid w:val="00D34D00"/>
    <w:rsid w:val="00D424A1"/>
    <w:rsid w:val="00D44D5F"/>
    <w:rsid w:val="00D53135"/>
    <w:rsid w:val="00D62970"/>
    <w:rsid w:val="00D64010"/>
    <w:rsid w:val="00D67A94"/>
    <w:rsid w:val="00D72D11"/>
    <w:rsid w:val="00D73F69"/>
    <w:rsid w:val="00D80C21"/>
    <w:rsid w:val="00D82C51"/>
    <w:rsid w:val="00D84B2D"/>
    <w:rsid w:val="00D976A2"/>
    <w:rsid w:val="00DA0249"/>
    <w:rsid w:val="00DA4119"/>
    <w:rsid w:val="00DA7610"/>
    <w:rsid w:val="00DB4532"/>
    <w:rsid w:val="00DB61B6"/>
    <w:rsid w:val="00DC21EE"/>
    <w:rsid w:val="00DC2BC5"/>
    <w:rsid w:val="00DC5AAC"/>
    <w:rsid w:val="00DE5048"/>
    <w:rsid w:val="00DE5BB2"/>
    <w:rsid w:val="00DE7F4F"/>
    <w:rsid w:val="00DF7C8F"/>
    <w:rsid w:val="00E039F0"/>
    <w:rsid w:val="00E10E4C"/>
    <w:rsid w:val="00E23A47"/>
    <w:rsid w:val="00E35927"/>
    <w:rsid w:val="00E416C8"/>
    <w:rsid w:val="00E4541A"/>
    <w:rsid w:val="00E45945"/>
    <w:rsid w:val="00E474A5"/>
    <w:rsid w:val="00E5227E"/>
    <w:rsid w:val="00E52BC7"/>
    <w:rsid w:val="00E540D3"/>
    <w:rsid w:val="00E57F7E"/>
    <w:rsid w:val="00E62DC1"/>
    <w:rsid w:val="00E6439E"/>
    <w:rsid w:val="00E66124"/>
    <w:rsid w:val="00E72295"/>
    <w:rsid w:val="00E74D84"/>
    <w:rsid w:val="00E75548"/>
    <w:rsid w:val="00E83577"/>
    <w:rsid w:val="00EA0C5F"/>
    <w:rsid w:val="00EA43B4"/>
    <w:rsid w:val="00EB13AA"/>
    <w:rsid w:val="00EC7422"/>
    <w:rsid w:val="00EC7426"/>
    <w:rsid w:val="00ED0D22"/>
    <w:rsid w:val="00ED17F8"/>
    <w:rsid w:val="00ED4B8D"/>
    <w:rsid w:val="00EE73EE"/>
    <w:rsid w:val="00EF0FCA"/>
    <w:rsid w:val="00EF4A54"/>
    <w:rsid w:val="00EF749C"/>
    <w:rsid w:val="00EF7540"/>
    <w:rsid w:val="00F016E8"/>
    <w:rsid w:val="00F23586"/>
    <w:rsid w:val="00F24F4C"/>
    <w:rsid w:val="00F426FC"/>
    <w:rsid w:val="00F4299B"/>
    <w:rsid w:val="00F5121A"/>
    <w:rsid w:val="00F52AE7"/>
    <w:rsid w:val="00F54478"/>
    <w:rsid w:val="00F57D2A"/>
    <w:rsid w:val="00F608A0"/>
    <w:rsid w:val="00F66B03"/>
    <w:rsid w:val="00F702B7"/>
    <w:rsid w:val="00F71F1F"/>
    <w:rsid w:val="00F803E4"/>
    <w:rsid w:val="00F9362C"/>
    <w:rsid w:val="00F943D1"/>
    <w:rsid w:val="00F95DFB"/>
    <w:rsid w:val="00FA2EAD"/>
    <w:rsid w:val="00FA7E12"/>
    <w:rsid w:val="00FB07FB"/>
    <w:rsid w:val="00FB15B9"/>
    <w:rsid w:val="00FB648F"/>
    <w:rsid w:val="00FB7E5F"/>
    <w:rsid w:val="00FC144C"/>
    <w:rsid w:val="00FC4CC3"/>
    <w:rsid w:val="00FD4823"/>
    <w:rsid w:val="00FD50D2"/>
    <w:rsid w:val="00FE6825"/>
    <w:rsid w:val="00FF1815"/>
    <w:rsid w:val="00FF193F"/>
    <w:rsid w:val="00FF5341"/>
    <w:rsid w:val="27FFF2BF"/>
    <w:rsid w:val="42DEC440"/>
    <w:rsid w:val="54A2C99A"/>
    <w:rsid w:val="6B8291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EC752"/>
  <w15:chartTrackingRefBased/>
  <w15:docId w15:val="{234DBE23-AADB-4842-8565-ECA326E1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EFE"/>
  </w:style>
  <w:style w:type="paragraph" w:styleId="Heading1">
    <w:name w:val="heading 1"/>
    <w:basedOn w:val="Normal"/>
    <w:link w:val="Heading1Char"/>
    <w:uiPriority w:val="9"/>
    <w:qFormat/>
    <w:rsid w:val="000D4D2C"/>
    <w:pPr>
      <w:spacing w:before="100" w:beforeAutospacing="1" w:after="100" w:afterAutospacing="1"/>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unhideWhenUsed/>
    <w:qFormat/>
    <w:rsid w:val="00BD2A3E"/>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394"/>
    <w:pPr>
      <w:tabs>
        <w:tab w:val="center" w:pos="4680"/>
        <w:tab w:val="right" w:pos="9360"/>
      </w:tabs>
    </w:pPr>
  </w:style>
  <w:style w:type="character" w:customStyle="1" w:styleId="HeaderChar">
    <w:name w:val="Header Char"/>
    <w:basedOn w:val="DefaultParagraphFont"/>
    <w:link w:val="Header"/>
    <w:uiPriority w:val="99"/>
    <w:rsid w:val="00A07394"/>
  </w:style>
  <w:style w:type="paragraph" w:styleId="Footer">
    <w:name w:val="footer"/>
    <w:basedOn w:val="Normal"/>
    <w:link w:val="FooterChar"/>
    <w:uiPriority w:val="99"/>
    <w:unhideWhenUsed/>
    <w:rsid w:val="00A07394"/>
    <w:pPr>
      <w:tabs>
        <w:tab w:val="center" w:pos="4680"/>
        <w:tab w:val="right" w:pos="9360"/>
      </w:tabs>
    </w:pPr>
  </w:style>
  <w:style w:type="character" w:customStyle="1" w:styleId="FooterChar">
    <w:name w:val="Footer Char"/>
    <w:basedOn w:val="DefaultParagraphFont"/>
    <w:link w:val="Footer"/>
    <w:uiPriority w:val="99"/>
    <w:rsid w:val="00A07394"/>
  </w:style>
  <w:style w:type="paragraph" w:customStyle="1" w:styleId="BasicParagraph">
    <w:name w:val="[Basic Paragraph]"/>
    <w:basedOn w:val="Normal"/>
    <w:uiPriority w:val="99"/>
    <w:rsid w:val="00A07394"/>
    <w:pPr>
      <w:autoSpaceDE w:val="0"/>
      <w:autoSpaceDN w:val="0"/>
      <w:adjustRightInd w:val="0"/>
      <w:spacing w:line="288" w:lineRule="auto"/>
      <w:textAlignment w:val="center"/>
    </w:pPr>
    <w:rPr>
      <w:rFonts w:ascii="Minion Pro" w:hAnsi="Minion Pro" w:cs="Minion Pro"/>
      <w:color w:val="000000"/>
      <w:lang w:val="en-US"/>
    </w:rPr>
  </w:style>
  <w:style w:type="character" w:customStyle="1" w:styleId="Heading1Char">
    <w:name w:val="Heading 1 Char"/>
    <w:basedOn w:val="DefaultParagraphFont"/>
    <w:link w:val="Heading1"/>
    <w:uiPriority w:val="9"/>
    <w:rsid w:val="000D4D2C"/>
    <w:rPr>
      <w:rFonts w:ascii="Times New Roman" w:eastAsia="Times New Roman" w:hAnsi="Times New Roman" w:cs="Times New Roman"/>
      <w:b/>
      <w:bCs/>
      <w:kern w:val="36"/>
      <w:sz w:val="48"/>
      <w:szCs w:val="48"/>
      <w:lang w:eastAsia="en-AU"/>
    </w:rPr>
  </w:style>
  <w:style w:type="paragraph" w:styleId="ListParagraph">
    <w:name w:val="List Paragraph"/>
    <w:basedOn w:val="Normal"/>
    <w:uiPriority w:val="34"/>
    <w:qFormat/>
    <w:rsid w:val="000D4D2C"/>
    <w:pPr>
      <w:spacing w:after="160" w:line="259" w:lineRule="auto"/>
      <w:ind w:left="720"/>
      <w:contextualSpacing/>
    </w:pPr>
    <w:rPr>
      <w:sz w:val="22"/>
      <w:szCs w:val="22"/>
    </w:rPr>
  </w:style>
  <w:style w:type="table" w:styleId="TableGrid">
    <w:name w:val="Table Grid"/>
    <w:basedOn w:val="TableNormal"/>
    <w:uiPriority w:val="39"/>
    <w:rsid w:val="000D4D2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D2A3E"/>
    <w:rPr>
      <w:rFonts w:asciiTheme="majorHAnsi" w:eastAsiaTheme="majorEastAsia" w:hAnsiTheme="majorHAnsi" w:cstheme="majorBidi"/>
      <w:color w:val="2F5496" w:themeColor="accent1" w:themeShade="BF"/>
      <w:sz w:val="26"/>
      <w:szCs w:val="26"/>
      <w:lang w:val="en-US"/>
    </w:rPr>
  </w:style>
  <w:style w:type="paragraph" w:styleId="TOCHeading">
    <w:name w:val="TOC Heading"/>
    <w:basedOn w:val="Heading1"/>
    <w:next w:val="Normal"/>
    <w:uiPriority w:val="39"/>
    <w:unhideWhenUsed/>
    <w:qFormat/>
    <w:rsid w:val="00BD2A3E"/>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BD2A3E"/>
    <w:pPr>
      <w:tabs>
        <w:tab w:val="right" w:leader="dot" w:pos="9350"/>
      </w:tabs>
      <w:spacing w:after="100" w:line="259" w:lineRule="auto"/>
    </w:pPr>
    <w:rPr>
      <w:rFonts w:ascii="Century Gothic" w:hAnsi="Century Gothic"/>
      <w:sz w:val="22"/>
      <w:szCs w:val="22"/>
      <w:lang w:val="en-US"/>
    </w:rPr>
  </w:style>
  <w:style w:type="paragraph" w:styleId="TOC2">
    <w:name w:val="toc 2"/>
    <w:basedOn w:val="Normal"/>
    <w:next w:val="Normal"/>
    <w:autoRedefine/>
    <w:uiPriority w:val="39"/>
    <w:unhideWhenUsed/>
    <w:rsid w:val="00BD2A3E"/>
    <w:pPr>
      <w:spacing w:after="100" w:line="259" w:lineRule="auto"/>
      <w:ind w:left="220"/>
    </w:pPr>
    <w:rPr>
      <w:rFonts w:ascii="Century Gothic" w:hAnsi="Century Gothic"/>
      <w:sz w:val="22"/>
      <w:szCs w:val="22"/>
      <w:lang w:val="en-US"/>
    </w:rPr>
  </w:style>
  <w:style w:type="character" w:styleId="Hyperlink">
    <w:name w:val="Hyperlink"/>
    <w:basedOn w:val="DefaultParagraphFont"/>
    <w:uiPriority w:val="99"/>
    <w:unhideWhenUsed/>
    <w:rsid w:val="00BD2A3E"/>
    <w:rPr>
      <w:color w:val="0563C1" w:themeColor="hyperlink"/>
      <w:u w:val="single"/>
    </w:rPr>
  </w:style>
  <w:style w:type="character" w:styleId="UnresolvedMention">
    <w:name w:val="Unresolved Mention"/>
    <w:basedOn w:val="DefaultParagraphFont"/>
    <w:uiPriority w:val="99"/>
    <w:semiHidden/>
    <w:unhideWhenUsed/>
    <w:rsid w:val="00C93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34100">
      <w:bodyDiv w:val="1"/>
      <w:marLeft w:val="0"/>
      <w:marRight w:val="0"/>
      <w:marTop w:val="0"/>
      <w:marBottom w:val="0"/>
      <w:divBdr>
        <w:top w:val="none" w:sz="0" w:space="0" w:color="auto"/>
        <w:left w:val="none" w:sz="0" w:space="0" w:color="auto"/>
        <w:bottom w:val="none" w:sz="0" w:space="0" w:color="auto"/>
        <w:right w:val="none" w:sz="0" w:space="0" w:color="auto"/>
      </w:divBdr>
      <w:divsChild>
        <w:div w:id="1102144068">
          <w:marLeft w:val="0"/>
          <w:marRight w:val="0"/>
          <w:marTop w:val="0"/>
          <w:marBottom w:val="0"/>
          <w:divBdr>
            <w:top w:val="none" w:sz="0" w:space="0" w:color="auto"/>
            <w:left w:val="none" w:sz="0" w:space="0" w:color="auto"/>
            <w:bottom w:val="none" w:sz="0" w:space="0" w:color="auto"/>
            <w:right w:val="none" w:sz="0" w:space="0" w:color="auto"/>
          </w:divBdr>
        </w:div>
        <w:div w:id="1113750399">
          <w:marLeft w:val="0"/>
          <w:marRight w:val="0"/>
          <w:marTop w:val="0"/>
          <w:marBottom w:val="0"/>
          <w:divBdr>
            <w:top w:val="none" w:sz="0" w:space="0" w:color="auto"/>
            <w:left w:val="none" w:sz="0" w:space="0" w:color="auto"/>
            <w:bottom w:val="none" w:sz="0" w:space="0" w:color="auto"/>
            <w:right w:val="none" w:sz="0" w:space="0" w:color="auto"/>
          </w:divBdr>
        </w:div>
        <w:div w:id="1778328849">
          <w:marLeft w:val="0"/>
          <w:marRight w:val="0"/>
          <w:marTop w:val="0"/>
          <w:marBottom w:val="0"/>
          <w:divBdr>
            <w:top w:val="none" w:sz="0" w:space="0" w:color="auto"/>
            <w:left w:val="none" w:sz="0" w:space="0" w:color="auto"/>
            <w:bottom w:val="none" w:sz="0" w:space="0" w:color="auto"/>
            <w:right w:val="none" w:sz="0" w:space="0" w:color="auto"/>
          </w:divBdr>
          <w:divsChild>
            <w:div w:id="635764765">
              <w:marLeft w:val="-75"/>
              <w:marRight w:val="0"/>
              <w:marTop w:val="30"/>
              <w:marBottom w:val="30"/>
              <w:divBdr>
                <w:top w:val="none" w:sz="0" w:space="0" w:color="auto"/>
                <w:left w:val="none" w:sz="0" w:space="0" w:color="auto"/>
                <w:bottom w:val="none" w:sz="0" w:space="0" w:color="auto"/>
                <w:right w:val="none" w:sz="0" w:space="0" w:color="auto"/>
              </w:divBdr>
              <w:divsChild>
                <w:div w:id="507906962">
                  <w:marLeft w:val="0"/>
                  <w:marRight w:val="0"/>
                  <w:marTop w:val="0"/>
                  <w:marBottom w:val="0"/>
                  <w:divBdr>
                    <w:top w:val="none" w:sz="0" w:space="0" w:color="auto"/>
                    <w:left w:val="none" w:sz="0" w:space="0" w:color="auto"/>
                    <w:bottom w:val="none" w:sz="0" w:space="0" w:color="auto"/>
                    <w:right w:val="none" w:sz="0" w:space="0" w:color="auto"/>
                  </w:divBdr>
                  <w:divsChild>
                    <w:div w:id="947465590">
                      <w:marLeft w:val="0"/>
                      <w:marRight w:val="0"/>
                      <w:marTop w:val="0"/>
                      <w:marBottom w:val="0"/>
                      <w:divBdr>
                        <w:top w:val="none" w:sz="0" w:space="0" w:color="auto"/>
                        <w:left w:val="none" w:sz="0" w:space="0" w:color="auto"/>
                        <w:bottom w:val="none" w:sz="0" w:space="0" w:color="auto"/>
                        <w:right w:val="none" w:sz="0" w:space="0" w:color="auto"/>
                      </w:divBdr>
                    </w:div>
                    <w:div w:id="1614484316">
                      <w:marLeft w:val="0"/>
                      <w:marRight w:val="0"/>
                      <w:marTop w:val="0"/>
                      <w:marBottom w:val="0"/>
                      <w:divBdr>
                        <w:top w:val="none" w:sz="0" w:space="0" w:color="auto"/>
                        <w:left w:val="none" w:sz="0" w:space="0" w:color="auto"/>
                        <w:bottom w:val="none" w:sz="0" w:space="0" w:color="auto"/>
                        <w:right w:val="none" w:sz="0" w:space="0" w:color="auto"/>
                      </w:divBdr>
                    </w:div>
                  </w:divsChild>
                </w:div>
                <w:div w:id="761726009">
                  <w:marLeft w:val="0"/>
                  <w:marRight w:val="0"/>
                  <w:marTop w:val="0"/>
                  <w:marBottom w:val="0"/>
                  <w:divBdr>
                    <w:top w:val="none" w:sz="0" w:space="0" w:color="auto"/>
                    <w:left w:val="none" w:sz="0" w:space="0" w:color="auto"/>
                    <w:bottom w:val="none" w:sz="0" w:space="0" w:color="auto"/>
                    <w:right w:val="none" w:sz="0" w:space="0" w:color="auto"/>
                  </w:divBdr>
                  <w:divsChild>
                    <w:div w:id="228615088">
                      <w:marLeft w:val="0"/>
                      <w:marRight w:val="0"/>
                      <w:marTop w:val="0"/>
                      <w:marBottom w:val="0"/>
                      <w:divBdr>
                        <w:top w:val="none" w:sz="0" w:space="0" w:color="auto"/>
                        <w:left w:val="none" w:sz="0" w:space="0" w:color="auto"/>
                        <w:bottom w:val="none" w:sz="0" w:space="0" w:color="auto"/>
                        <w:right w:val="none" w:sz="0" w:space="0" w:color="auto"/>
                      </w:divBdr>
                    </w:div>
                    <w:div w:id="1551763523">
                      <w:marLeft w:val="0"/>
                      <w:marRight w:val="0"/>
                      <w:marTop w:val="0"/>
                      <w:marBottom w:val="0"/>
                      <w:divBdr>
                        <w:top w:val="none" w:sz="0" w:space="0" w:color="auto"/>
                        <w:left w:val="none" w:sz="0" w:space="0" w:color="auto"/>
                        <w:bottom w:val="none" w:sz="0" w:space="0" w:color="auto"/>
                        <w:right w:val="none" w:sz="0" w:space="0" w:color="auto"/>
                      </w:divBdr>
                    </w:div>
                    <w:div w:id="1815827089">
                      <w:marLeft w:val="0"/>
                      <w:marRight w:val="0"/>
                      <w:marTop w:val="0"/>
                      <w:marBottom w:val="0"/>
                      <w:divBdr>
                        <w:top w:val="none" w:sz="0" w:space="0" w:color="auto"/>
                        <w:left w:val="none" w:sz="0" w:space="0" w:color="auto"/>
                        <w:bottom w:val="none" w:sz="0" w:space="0" w:color="auto"/>
                        <w:right w:val="none" w:sz="0" w:space="0" w:color="auto"/>
                      </w:divBdr>
                    </w:div>
                    <w:div w:id="1860779975">
                      <w:marLeft w:val="0"/>
                      <w:marRight w:val="0"/>
                      <w:marTop w:val="0"/>
                      <w:marBottom w:val="0"/>
                      <w:divBdr>
                        <w:top w:val="none" w:sz="0" w:space="0" w:color="auto"/>
                        <w:left w:val="none" w:sz="0" w:space="0" w:color="auto"/>
                        <w:bottom w:val="none" w:sz="0" w:space="0" w:color="auto"/>
                        <w:right w:val="none" w:sz="0" w:space="0" w:color="auto"/>
                      </w:divBdr>
                    </w:div>
                    <w:div w:id="1955748690">
                      <w:marLeft w:val="0"/>
                      <w:marRight w:val="0"/>
                      <w:marTop w:val="0"/>
                      <w:marBottom w:val="0"/>
                      <w:divBdr>
                        <w:top w:val="none" w:sz="0" w:space="0" w:color="auto"/>
                        <w:left w:val="none" w:sz="0" w:space="0" w:color="auto"/>
                        <w:bottom w:val="none" w:sz="0" w:space="0" w:color="auto"/>
                        <w:right w:val="none" w:sz="0" w:space="0" w:color="auto"/>
                      </w:divBdr>
                    </w:div>
                  </w:divsChild>
                </w:div>
                <w:div w:id="782460177">
                  <w:marLeft w:val="0"/>
                  <w:marRight w:val="0"/>
                  <w:marTop w:val="0"/>
                  <w:marBottom w:val="0"/>
                  <w:divBdr>
                    <w:top w:val="none" w:sz="0" w:space="0" w:color="auto"/>
                    <w:left w:val="none" w:sz="0" w:space="0" w:color="auto"/>
                    <w:bottom w:val="none" w:sz="0" w:space="0" w:color="auto"/>
                    <w:right w:val="none" w:sz="0" w:space="0" w:color="auto"/>
                  </w:divBdr>
                  <w:divsChild>
                    <w:div w:id="139423926">
                      <w:marLeft w:val="0"/>
                      <w:marRight w:val="0"/>
                      <w:marTop w:val="0"/>
                      <w:marBottom w:val="0"/>
                      <w:divBdr>
                        <w:top w:val="none" w:sz="0" w:space="0" w:color="auto"/>
                        <w:left w:val="none" w:sz="0" w:space="0" w:color="auto"/>
                        <w:bottom w:val="none" w:sz="0" w:space="0" w:color="auto"/>
                        <w:right w:val="none" w:sz="0" w:space="0" w:color="auto"/>
                      </w:divBdr>
                    </w:div>
                    <w:div w:id="2143618365">
                      <w:marLeft w:val="0"/>
                      <w:marRight w:val="0"/>
                      <w:marTop w:val="0"/>
                      <w:marBottom w:val="0"/>
                      <w:divBdr>
                        <w:top w:val="none" w:sz="0" w:space="0" w:color="auto"/>
                        <w:left w:val="none" w:sz="0" w:space="0" w:color="auto"/>
                        <w:bottom w:val="none" w:sz="0" w:space="0" w:color="auto"/>
                        <w:right w:val="none" w:sz="0" w:space="0" w:color="auto"/>
                      </w:divBdr>
                    </w:div>
                  </w:divsChild>
                </w:div>
                <w:div w:id="1309631899">
                  <w:marLeft w:val="0"/>
                  <w:marRight w:val="0"/>
                  <w:marTop w:val="0"/>
                  <w:marBottom w:val="0"/>
                  <w:divBdr>
                    <w:top w:val="none" w:sz="0" w:space="0" w:color="auto"/>
                    <w:left w:val="none" w:sz="0" w:space="0" w:color="auto"/>
                    <w:bottom w:val="none" w:sz="0" w:space="0" w:color="auto"/>
                    <w:right w:val="none" w:sz="0" w:space="0" w:color="auto"/>
                  </w:divBdr>
                  <w:divsChild>
                    <w:div w:id="2074235174">
                      <w:marLeft w:val="0"/>
                      <w:marRight w:val="0"/>
                      <w:marTop w:val="0"/>
                      <w:marBottom w:val="0"/>
                      <w:divBdr>
                        <w:top w:val="none" w:sz="0" w:space="0" w:color="auto"/>
                        <w:left w:val="none" w:sz="0" w:space="0" w:color="auto"/>
                        <w:bottom w:val="none" w:sz="0" w:space="0" w:color="auto"/>
                        <w:right w:val="none" w:sz="0" w:space="0" w:color="auto"/>
                      </w:divBdr>
                    </w:div>
                  </w:divsChild>
                </w:div>
                <w:div w:id="1432510170">
                  <w:marLeft w:val="0"/>
                  <w:marRight w:val="0"/>
                  <w:marTop w:val="0"/>
                  <w:marBottom w:val="0"/>
                  <w:divBdr>
                    <w:top w:val="none" w:sz="0" w:space="0" w:color="auto"/>
                    <w:left w:val="none" w:sz="0" w:space="0" w:color="auto"/>
                    <w:bottom w:val="none" w:sz="0" w:space="0" w:color="auto"/>
                    <w:right w:val="none" w:sz="0" w:space="0" w:color="auto"/>
                  </w:divBdr>
                  <w:divsChild>
                    <w:div w:id="65078942">
                      <w:marLeft w:val="0"/>
                      <w:marRight w:val="0"/>
                      <w:marTop w:val="0"/>
                      <w:marBottom w:val="0"/>
                      <w:divBdr>
                        <w:top w:val="none" w:sz="0" w:space="0" w:color="auto"/>
                        <w:left w:val="none" w:sz="0" w:space="0" w:color="auto"/>
                        <w:bottom w:val="none" w:sz="0" w:space="0" w:color="auto"/>
                        <w:right w:val="none" w:sz="0" w:space="0" w:color="auto"/>
                      </w:divBdr>
                    </w:div>
                    <w:div w:id="1451825299">
                      <w:marLeft w:val="0"/>
                      <w:marRight w:val="0"/>
                      <w:marTop w:val="0"/>
                      <w:marBottom w:val="0"/>
                      <w:divBdr>
                        <w:top w:val="none" w:sz="0" w:space="0" w:color="auto"/>
                        <w:left w:val="none" w:sz="0" w:space="0" w:color="auto"/>
                        <w:bottom w:val="none" w:sz="0" w:space="0" w:color="auto"/>
                        <w:right w:val="none" w:sz="0" w:space="0" w:color="auto"/>
                      </w:divBdr>
                    </w:div>
                    <w:div w:id="1578977548">
                      <w:marLeft w:val="0"/>
                      <w:marRight w:val="0"/>
                      <w:marTop w:val="0"/>
                      <w:marBottom w:val="0"/>
                      <w:divBdr>
                        <w:top w:val="none" w:sz="0" w:space="0" w:color="auto"/>
                        <w:left w:val="none" w:sz="0" w:space="0" w:color="auto"/>
                        <w:bottom w:val="none" w:sz="0" w:space="0" w:color="auto"/>
                        <w:right w:val="none" w:sz="0" w:space="0" w:color="auto"/>
                      </w:divBdr>
                    </w:div>
                    <w:div w:id="1772698243">
                      <w:marLeft w:val="0"/>
                      <w:marRight w:val="0"/>
                      <w:marTop w:val="0"/>
                      <w:marBottom w:val="0"/>
                      <w:divBdr>
                        <w:top w:val="none" w:sz="0" w:space="0" w:color="auto"/>
                        <w:left w:val="none" w:sz="0" w:space="0" w:color="auto"/>
                        <w:bottom w:val="none" w:sz="0" w:space="0" w:color="auto"/>
                        <w:right w:val="none" w:sz="0" w:space="0" w:color="auto"/>
                      </w:divBdr>
                    </w:div>
                  </w:divsChild>
                </w:div>
                <w:div w:id="2060008809">
                  <w:marLeft w:val="0"/>
                  <w:marRight w:val="0"/>
                  <w:marTop w:val="0"/>
                  <w:marBottom w:val="0"/>
                  <w:divBdr>
                    <w:top w:val="none" w:sz="0" w:space="0" w:color="auto"/>
                    <w:left w:val="none" w:sz="0" w:space="0" w:color="auto"/>
                    <w:bottom w:val="none" w:sz="0" w:space="0" w:color="auto"/>
                    <w:right w:val="none" w:sz="0" w:space="0" w:color="auto"/>
                  </w:divBdr>
                  <w:divsChild>
                    <w:div w:id="34852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785780">
          <w:marLeft w:val="0"/>
          <w:marRight w:val="0"/>
          <w:marTop w:val="0"/>
          <w:marBottom w:val="0"/>
          <w:divBdr>
            <w:top w:val="none" w:sz="0" w:space="0" w:color="auto"/>
            <w:left w:val="none" w:sz="0" w:space="0" w:color="auto"/>
            <w:bottom w:val="none" w:sz="0" w:space="0" w:color="auto"/>
            <w:right w:val="none" w:sz="0" w:space="0" w:color="auto"/>
          </w:divBdr>
        </w:div>
      </w:divsChild>
    </w:div>
    <w:div w:id="667254188">
      <w:bodyDiv w:val="1"/>
      <w:marLeft w:val="0"/>
      <w:marRight w:val="0"/>
      <w:marTop w:val="0"/>
      <w:marBottom w:val="0"/>
      <w:divBdr>
        <w:top w:val="none" w:sz="0" w:space="0" w:color="auto"/>
        <w:left w:val="none" w:sz="0" w:space="0" w:color="auto"/>
        <w:bottom w:val="none" w:sz="0" w:space="0" w:color="auto"/>
        <w:right w:val="none" w:sz="0" w:space="0" w:color="auto"/>
      </w:divBdr>
      <w:divsChild>
        <w:div w:id="419177366">
          <w:marLeft w:val="0"/>
          <w:marRight w:val="0"/>
          <w:marTop w:val="0"/>
          <w:marBottom w:val="0"/>
          <w:divBdr>
            <w:top w:val="none" w:sz="0" w:space="0" w:color="auto"/>
            <w:left w:val="none" w:sz="0" w:space="0" w:color="auto"/>
            <w:bottom w:val="none" w:sz="0" w:space="0" w:color="auto"/>
            <w:right w:val="none" w:sz="0" w:space="0" w:color="auto"/>
          </w:divBdr>
        </w:div>
        <w:div w:id="835805689">
          <w:marLeft w:val="0"/>
          <w:marRight w:val="0"/>
          <w:marTop w:val="0"/>
          <w:marBottom w:val="0"/>
          <w:divBdr>
            <w:top w:val="none" w:sz="0" w:space="0" w:color="auto"/>
            <w:left w:val="none" w:sz="0" w:space="0" w:color="auto"/>
            <w:bottom w:val="none" w:sz="0" w:space="0" w:color="auto"/>
            <w:right w:val="none" w:sz="0" w:space="0" w:color="auto"/>
          </w:divBdr>
          <w:divsChild>
            <w:div w:id="904798205">
              <w:marLeft w:val="-75"/>
              <w:marRight w:val="0"/>
              <w:marTop w:val="30"/>
              <w:marBottom w:val="30"/>
              <w:divBdr>
                <w:top w:val="none" w:sz="0" w:space="0" w:color="auto"/>
                <w:left w:val="none" w:sz="0" w:space="0" w:color="auto"/>
                <w:bottom w:val="none" w:sz="0" w:space="0" w:color="auto"/>
                <w:right w:val="none" w:sz="0" w:space="0" w:color="auto"/>
              </w:divBdr>
              <w:divsChild>
                <w:div w:id="718437130">
                  <w:marLeft w:val="0"/>
                  <w:marRight w:val="0"/>
                  <w:marTop w:val="0"/>
                  <w:marBottom w:val="0"/>
                  <w:divBdr>
                    <w:top w:val="none" w:sz="0" w:space="0" w:color="auto"/>
                    <w:left w:val="none" w:sz="0" w:space="0" w:color="auto"/>
                    <w:bottom w:val="none" w:sz="0" w:space="0" w:color="auto"/>
                    <w:right w:val="none" w:sz="0" w:space="0" w:color="auto"/>
                  </w:divBdr>
                  <w:divsChild>
                    <w:div w:id="883254834">
                      <w:marLeft w:val="0"/>
                      <w:marRight w:val="0"/>
                      <w:marTop w:val="0"/>
                      <w:marBottom w:val="0"/>
                      <w:divBdr>
                        <w:top w:val="none" w:sz="0" w:space="0" w:color="auto"/>
                        <w:left w:val="none" w:sz="0" w:space="0" w:color="auto"/>
                        <w:bottom w:val="none" w:sz="0" w:space="0" w:color="auto"/>
                        <w:right w:val="none" w:sz="0" w:space="0" w:color="auto"/>
                      </w:divBdr>
                    </w:div>
                  </w:divsChild>
                </w:div>
                <w:div w:id="1175419720">
                  <w:marLeft w:val="0"/>
                  <w:marRight w:val="0"/>
                  <w:marTop w:val="0"/>
                  <w:marBottom w:val="0"/>
                  <w:divBdr>
                    <w:top w:val="none" w:sz="0" w:space="0" w:color="auto"/>
                    <w:left w:val="none" w:sz="0" w:space="0" w:color="auto"/>
                    <w:bottom w:val="none" w:sz="0" w:space="0" w:color="auto"/>
                    <w:right w:val="none" w:sz="0" w:space="0" w:color="auto"/>
                  </w:divBdr>
                  <w:divsChild>
                    <w:div w:id="296566308">
                      <w:marLeft w:val="0"/>
                      <w:marRight w:val="0"/>
                      <w:marTop w:val="0"/>
                      <w:marBottom w:val="0"/>
                      <w:divBdr>
                        <w:top w:val="none" w:sz="0" w:space="0" w:color="auto"/>
                        <w:left w:val="none" w:sz="0" w:space="0" w:color="auto"/>
                        <w:bottom w:val="none" w:sz="0" w:space="0" w:color="auto"/>
                        <w:right w:val="none" w:sz="0" w:space="0" w:color="auto"/>
                      </w:divBdr>
                    </w:div>
                    <w:div w:id="322701124">
                      <w:marLeft w:val="0"/>
                      <w:marRight w:val="0"/>
                      <w:marTop w:val="0"/>
                      <w:marBottom w:val="0"/>
                      <w:divBdr>
                        <w:top w:val="none" w:sz="0" w:space="0" w:color="auto"/>
                        <w:left w:val="none" w:sz="0" w:space="0" w:color="auto"/>
                        <w:bottom w:val="none" w:sz="0" w:space="0" w:color="auto"/>
                        <w:right w:val="none" w:sz="0" w:space="0" w:color="auto"/>
                      </w:divBdr>
                    </w:div>
                  </w:divsChild>
                </w:div>
                <w:div w:id="1340817120">
                  <w:marLeft w:val="0"/>
                  <w:marRight w:val="0"/>
                  <w:marTop w:val="0"/>
                  <w:marBottom w:val="0"/>
                  <w:divBdr>
                    <w:top w:val="none" w:sz="0" w:space="0" w:color="auto"/>
                    <w:left w:val="none" w:sz="0" w:space="0" w:color="auto"/>
                    <w:bottom w:val="none" w:sz="0" w:space="0" w:color="auto"/>
                    <w:right w:val="none" w:sz="0" w:space="0" w:color="auto"/>
                  </w:divBdr>
                  <w:divsChild>
                    <w:div w:id="396513858">
                      <w:marLeft w:val="0"/>
                      <w:marRight w:val="0"/>
                      <w:marTop w:val="0"/>
                      <w:marBottom w:val="0"/>
                      <w:divBdr>
                        <w:top w:val="none" w:sz="0" w:space="0" w:color="auto"/>
                        <w:left w:val="none" w:sz="0" w:space="0" w:color="auto"/>
                        <w:bottom w:val="none" w:sz="0" w:space="0" w:color="auto"/>
                        <w:right w:val="none" w:sz="0" w:space="0" w:color="auto"/>
                      </w:divBdr>
                    </w:div>
                    <w:div w:id="583613873">
                      <w:marLeft w:val="0"/>
                      <w:marRight w:val="0"/>
                      <w:marTop w:val="0"/>
                      <w:marBottom w:val="0"/>
                      <w:divBdr>
                        <w:top w:val="none" w:sz="0" w:space="0" w:color="auto"/>
                        <w:left w:val="none" w:sz="0" w:space="0" w:color="auto"/>
                        <w:bottom w:val="none" w:sz="0" w:space="0" w:color="auto"/>
                        <w:right w:val="none" w:sz="0" w:space="0" w:color="auto"/>
                      </w:divBdr>
                    </w:div>
                    <w:div w:id="1164588355">
                      <w:marLeft w:val="0"/>
                      <w:marRight w:val="0"/>
                      <w:marTop w:val="0"/>
                      <w:marBottom w:val="0"/>
                      <w:divBdr>
                        <w:top w:val="none" w:sz="0" w:space="0" w:color="auto"/>
                        <w:left w:val="none" w:sz="0" w:space="0" w:color="auto"/>
                        <w:bottom w:val="none" w:sz="0" w:space="0" w:color="auto"/>
                        <w:right w:val="none" w:sz="0" w:space="0" w:color="auto"/>
                      </w:divBdr>
                    </w:div>
                    <w:div w:id="1343624142">
                      <w:marLeft w:val="0"/>
                      <w:marRight w:val="0"/>
                      <w:marTop w:val="0"/>
                      <w:marBottom w:val="0"/>
                      <w:divBdr>
                        <w:top w:val="none" w:sz="0" w:space="0" w:color="auto"/>
                        <w:left w:val="none" w:sz="0" w:space="0" w:color="auto"/>
                        <w:bottom w:val="none" w:sz="0" w:space="0" w:color="auto"/>
                        <w:right w:val="none" w:sz="0" w:space="0" w:color="auto"/>
                      </w:divBdr>
                    </w:div>
                    <w:div w:id="1905867254">
                      <w:marLeft w:val="0"/>
                      <w:marRight w:val="0"/>
                      <w:marTop w:val="0"/>
                      <w:marBottom w:val="0"/>
                      <w:divBdr>
                        <w:top w:val="none" w:sz="0" w:space="0" w:color="auto"/>
                        <w:left w:val="none" w:sz="0" w:space="0" w:color="auto"/>
                        <w:bottom w:val="none" w:sz="0" w:space="0" w:color="auto"/>
                        <w:right w:val="none" w:sz="0" w:space="0" w:color="auto"/>
                      </w:divBdr>
                    </w:div>
                  </w:divsChild>
                </w:div>
                <w:div w:id="1380932708">
                  <w:marLeft w:val="0"/>
                  <w:marRight w:val="0"/>
                  <w:marTop w:val="0"/>
                  <w:marBottom w:val="0"/>
                  <w:divBdr>
                    <w:top w:val="none" w:sz="0" w:space="0" w:color="auto"/>
                    <w:left w:val="none" w:sz="0" w:space="0" w:color="auto"/>
                    <w:bottom w:val="none" w:sz="0" w:space="0" w:color="auto"/>
                    <w:right w:val="none" w:sz="0" w:space="0" w:color="auto"/>
                  </w:divBdr>
                  <w:divsChild>
                    <w:div w:id="1363630465">
                      <w:marLeft w:val="0"/>
                      <w:marRight w:val="0"/>
                      <w:marTop w:val="0"/>
                      <w:marBottom w:val="0"/>
                      <w:divBdr>
                        <w:top w:val="none" w:sz="0" w:space="0" w:color="auto"/>
                        <w:left w:val="none" w:sz="0" w:space="0" w:color="auto"/>
                        <w:bottom w:val="none" w:sz="0" w:space="0" w:color="auto"/>
                        <w:right w:val="none" w:sz="0" w:space="0" w:color="auto"/>
                      </w:divBdr>
                    </w:div>
                  </w:divsChild>
                </w:div>
                <w:div w:id="1565994162">
                  <w:marLeft w:val="0"/>
                  <w:marRight w:val="0"/>
                  <w:marTop w:val="0"/>
                  <w:marBottom w:val="0"/>
                  <w:divBdr>
                    <w:top w:val="none" w:sz="0" w:space="0" w:color="auto"/>
                    <w:left w:val="none" w:sz="0" w:space="0" w:color="auto"/>
                    <w:bottom w:val="none" w:sz="0" w:space="0" w:color="auto"/>
                    <w:right w:val="none" w:sz="0" w:space="0" w:color="auto"/>
                  </w:divBdr>
                  <w:divsChild>
                    <w:div w:id="525293468">
                      <w:marLeft w:val="0"/>
                      <w:marRight w:val="0"/>
                      <w:marTop w:val="0"/>
                      <w:marBottom w:val="0"/>
                      <w:divBdr>
                        <w:top w:val="none" w:sz="0" w:space="0" w:color="auto"/>
                        <w:left w:val="none" w:sz="0" w:space="0" w:color="auto"/>
                        <w:bottom w:val="none" w:sz="0" w:space="0" w:color="auto"/>
                        <w:right w:val="none" w:sz="0" w:space="0" w:color="auto"/>
                      </w:divBdr>
                    </w:div>
                    <w:div w:id="745152292">
                      <w:marLeft w:val="0"/>
                      <w:marRight w:val="0"/>
                      <w:marTop w:val="0"/>
                      <w:marBottom w:val="0"/>
                      <w:divBdr>
                        <w:top w:val="none" w:sz="0" w:space="0" w:color="auto"/>
                        <w:left w:val="none" w:sz="0" w:space="0" w:color="auto"/>
                        <w:bottom w:val="none" w:sz="0" w:space="0" w:color="auto"/>
                        <w:right w:val="none" w:sz="0" w:space="0" w:color="auto"/>
                      </w:divBdr>
                    </w:div>
                    <w:div w:id="946042343">
                      <w:marLeft w:val="0"/>
                      <w:marRight w:val="0"/>
                      <w:marTop w:val="0"/>
                      <w:marBottom w:val="0"/>
                      <w:divBdr>
                        <w:top w:val="none" w:sz="0" w:space="0" w:color="auto"/>
                        <w:left w:val="none" w:sz="0" w:space="0" w:color="auto"/>
                        <w:bottom w:val="none" w:sz="0" w:space="0" w:color="auto"/>
                        <w:right w:val="none" w:sz="0" w:space="0" w:color="auto"/>
                      </w:divBdr>
                    </w:div>
                    <w:div w:id="1024358267">
                      <w:marLeft w:val="0"/>
                      <w:marRight w:val="0"/>
                      <w:marTop w:val="0"/>
                      <w:marBottom w:val="0"/>
                      <w:divBdr>
                        <w:top w:val="none" w:sz="0" w:space="0" w:color="auto"/>
                        <w:left w:val="none" w:sz="0" w:space="0" w:color="auto"/>
                        <w:bottom w:val="none" w:sz="0" w:space="0" w:color="auto"/>
                        <w:right w:val="none" w:sz="0" w:space="0" w:color="auto"/>
                      </w:divBdr>
                    </w:div>
                  </w:divsChild>
                </w:div>
                <w:div w:id="1877890441">
                  <w:marLeft w:val="0"/>
                  <w:marRight w:val="0"/>
                  <w:marTop w:val="0"/>
                  <w:marBottom w:val="0"/>
                  <w:divBdr>
                    <w:top w:val="none" w:sz="0" w:space="0" w:color="auto"/>
                    <w:left w:val="none" w:sz="0" w:space="0" w:color="auto"/>
                    <w:bottom w:val="none" w:sz="0" w:space="0" w:color="auto"/>
                    <w:right w:val="none" w:sz="0" w:space="0" w:color="auto"/>
                  </w:divBdr>
                  <w:divsChild>
                    <w:div w:id="180171192">
                      <w:marLeft w:val="0"/>
                      <w:marRight w:val="0"/>
                      <w:marTop w:val="0"/>
                      <w:marBottom w:val="0"/>
                      <w:divBdr>
                        <w:top w:val="none" w:sz="0" w:space="0" w:color="auto"/>
                        <w:left w:val="none" w:sz="0" w:space="0" w:color="auto"/>
                        <w:bottom w:val="none" w:sz="0" w:space="0" w:color="auto"/>
                        <w:right w:val="none" w:sz="0" w:space="0" w:color="auto"/>
                      </w:divBdr>
                    </w:div>
                    <w:div w:id="26997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54211">
          <w:marLeft w:val="0"/>
          <w:marRight w:val="0"/>
          <w:marTop w:val="0"/>
          <w:marBottom w:val="0"/>
          <w:divBdr>
            <w:top w:val="none" w:sz="0" w:space="0" w:color="auto"/>
            <w:left w:val="none" w:sz="0" w:space="0" w:color="auto"/>
            <w:bottom w:val="none" w:sz="0" w:space="0" w:color="auto"/>
            <w:right w:val="none" w:sz="0" w:space="0" w:color="auto"/>
          </w:divBdr>
        </w:div>
        <w:div w:id="1615095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independent-water-commission-review-of-the-water-secto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cceew.gov.au/water/policy/publications/water-science-research-review"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1A6B080B0BC2448286476D4BE37019" ma:contentTypeVersion="10" ma:contentTypeDescription="Create a new document." ma:contentTypeScope="" ma:versionID="7b68be6e18f4d2e5d2b7333180e080fc">
  <xsd:schema xmlns:xsd="http://www.w3.org/2001/XMLSchema" xmlns:xs="http://www.w3.org/2001/XMLSchema" xmlns:p="http://schemas.microsoft.com/office/2006/metadata/properties" xmlns:ns2="525413a7-c6dd-413c-8747-dd3127a98452" xmlns:ns3="172845f7-3106-485c-8367-9493e99ef081" targetNamespace="http://schemas.microsoft.com/office/2006/metadata/properties" ma:root="true" ma:fieldsID="f6ec9bcf52354ed3c7cbd44b6428984a" ns2:_="" ns3:_="">
    <xsd:import namespace="525413a7-c6dd-413c-8747-dd3127a98452"/>
    <xsd:import namespace="172845f7-3106-485c-8367-9493e99ef081"/>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413a7-c6dd-413c-8747-dd3127a98452"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ae1dbf4-cf1b-435e-a468-3d29cab17560}" ma:internalName="TaxCatchAll" ma:showField="CatchAllData" ma:web="525413a7-c6dd-413c-8747-dd3127a984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2845f7-3106-485c-8367-9493e99ef0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pprovalAssignedTo" ma:index="14"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5"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6"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7"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25413a7-c6dd-413c-8747-dd3127a98452">
      <Value>1</Value>
    </TaxCatchAll>
    <i0f84bba906045b4af568ee102a52dcb xmlns="525413a7-c6dd-413c-8747-dd3127a984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ApprovalAssignedTo xmlns="172845f7-3106-485c-8367-9493e99ef081">
      <UserInfo>
        <DisplayName/>
        <AccountId xsi:nil="true"/>
        <AccountType/>
      </UserInfo>
    </_ApprovalAssignedTo>
    <_ApprovalRespondedBy xmlns="172845f7-3106-485c-8367-9493e99ef081">
      <UserInfo>
        <DisplayName/>
        <AccountId xsi:nil="true"/>
        <AccountType/>
      </UserInfo>
    </_ApprovalRespondedBy>
    <_ApprovalStatus xmlns="172845f7-3106-485c-8367-9493e99ef081">0</_ApprovalStatus>
    <_ApprovalSentBy xmlns="172845f7-3106-485c-8367-9493e99ef081">
      <UserInfo>
        <DisplayName/>
        <AccountId xsi:nil="true"/>
        <AccountType/>
      </UserInfo>
    </_ApprovalSentB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48670-6D6B-4EE7-9EB6-89DCCE16CA19}">
  <ds:schemaRefs>
    <ds:schemaRef ds:uri="http://schemas.microsoft.com/sharepoint/v3/contenttype/forms"/>
  </ds:schemaRefs>
</ds:datastoreItem>
</file>

<file path=customXml/itemProps2.xml><?xml version="1.0" encoding="utf-8"?>
<ds:datastoreItem xmlns:ds="http://schemas.openxmlformats.org/officeDocument/2006/customXml" ds:itemID="{DA7194EE-820D-4E2A-9988-EFC0F8FD8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413a7-c6dd-413c-8747-dd3127a98452"/>
    <ds:schemaRef ds:uri="172845f7-3106-485c-8367-9493e99ef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028E4B-C411-4335-B226-10D36D5D6AC7}">
  <ds:schemaRefs>
    <ds:schemaRef ds:uri="http://schemas.microsoft.com/office/2006/metadata/properties"/>
    <ds:schemaRef ds:uri="http://schemas.microsoft.com/office/infopath/2007/PartnerControls"/>
    <ds:schemaRef ds:uri="525413a7-c6dd-413c-8747-dd3127a98452"/>
    <ds:schemaRef ds:uri="172845f7-3106-485c-8367-9493e99ef081"/>
  </ds:schemaRefs>
</ds:datastoreItem>
</file>

<file path=customXml/itemProps4.xml><?xml version="1.0" encoding="utf-8"?>
<ds:datastoreItem xmlns:ds="http://schemas.openxmlformats.org/officeDocument/2006/customXml" ds:itemID="{E5951EB4-2405-5A43-A973-1F6B247D2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6891</Words>
  <Characters>44589</Characters>
  <Application>Microsoft Office Word</Application>
  <DocSecurity>0</DocSecurity>
  <Lines>673</Lines>
  <Paragraphs>188</Paragraphs>
  <ScaleCrop>false</ScaleCrop>
  <HeadingPairs>
    <vt:vector size="2" baseType="variant">
      <vt:variant>
        <vt:lpstr>Title</vt:lpstr>
      </vt:variant>
      <vt:variant>
        <vt:i4>1</vt:i4>
      </vt:variant>
    </vt:vector>
  </HeadingPairs>
  <TitlesOfParts>
    <vt:vector size="1" baseType="lpstr">
      <vt:lpstr>Submission 029 - Water Research Australia - National Water Reform 2026 - Public inquiry</vt:lpstr>
    </vt:vector>
  </TitlesOfParts>
  <Company>Water Research Australia</Company>
  <LinksUpToDate>false</LinksUpToDate>
  <CharactersWithSpaces>51377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029 - Water Research Australia - National Water Reform 2026 - Public inquiry</dc:title>
  <dc:subject/>
  <dc:creator>Water Research Australia</dc:creator>
  <cp:keywords/>
  <dc:description/>
  <cp:lastModifiedBy>Tully Lampasona</cp:lastModifiedBy>
  <cp:revision>9</cp:revision>
  <dcterms:created xsi:type="dcterms:W3CDTF">2026-04-24T07:30:00Z</dcterms:created>
  <dcterms:modified xsi:type="dcterms:W3CDTF">2026-04-30T23:44:00Z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0x010100211A6B080B0BC2448286476D4BE37019</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2026-04-30T23:28:39Z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53101aa9-c004-4324-8534-ecdc43e80521</vt:lpwstr>
  </property>
  <property fmtid="{D5CDD505-2E9C-101B-9397-08002B2CF9AE}" pid="11" name="MSIP_Label_c1f2b1ce-4212-46db-a901-dd8453f57141_ContentBits">
    <vt:lpwstr>0</vt:lpwstr>
  </property>
  <property fmtid="{D5CDD505-2E9C-101B-9397-08002B2CF9AE}" pid="12" name="MSIP_Label_c1f2b1ce-4212-46db-a901-dd8453f57141_Tag">
    <vt:lpwstr>10, 0, 1, 1</vt:lpwstr>
  </property>
</Properties>
</file>