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6B0F3" w14:textId="0D84BA72" w:rsidR="003E3923" w:rsidRPr="00891E09" w:rsidRDefault="00000000" w:rsidP="00550810">
      <w:pPr>
        <w:pStyle w:val="BodyText"/>
      </w:pPr>
      <w:sdt>
        <w:sdtPr>
          <w:alias w:val="Date"/>
          <w:tag w:val="Date"/>
          <w:id w:val="1186334277"/>
          <w:placeholder>
            <w:docPart w:val="ABAA1DC54BD04DB4919789DF475B5611"/>
          </w:placeholder>
          <w:dataBinding w:prefixMappings="xmlns:ns0='http://schemas.microsoft.com/office/2006/coverPageProps' " w:xpath="/ns0:CoverPageProperties[1]/ns0:PublishDate[1]" w:storeItemID="{55AF091B-3C7A-41E3-B477-F2FDAA23CFDA}"/>
          <w:date w:fullDate="2026-05-01T00:00:00Z">
            <w:dateFormat w:val="d MMMM yyyy"/>
            <w:lid w:val="en-AU"/>
            <w:storeMappedDataAs w:val="dateTime"/>
            <w:calendar w:val="gregorian"/>
          </w:date>
        </w:sdtPr>
        <w:sdtContent>
          <w:r w:rsidR="00EA360D" w:rsidRPr="00880397">
            <w:t>1 May 2026</w:t>
          </w:r>
        </w:sdtContent>
      </w:sdt>
    </w:p>
    <w:p w14:paraId="0218EE0D" w14:textId="77777777" w:rsidR="003E3923" w:rsidRPr="00891E09" w:rsidRDefault="003E3923" w:rsidP="00550810">
      <w:pPr>
        <w:pStyle w:val="BodyText"/>
      </w:pPr>
    </w:p>
    <w:p w14:paraId="704B39B9" w14:textId="77777777" w:rsidR="009C42A7" w:rsidRDefault="009C42A7" w:rsidP="00EE6D93">
      <w:pPr>
        <w:pStyle w:val="BodyText"/>
        <w:spacing w:before="0" w:after="0" w:line="240" w:lineRule="auto"/>
      </w:pPr>
      <w:r w:rsidRPr="009C42A7">
        <w:t xml:space="preserve">Joanne Chong </w:t>
      </w:r>
    </w:p>
    <w:p w14:paraId="3520ABA6" w14:textId="4FF08A51" w:rsidR="00275DF4" w:rsidRDefault="009C42A7" w:rsidP="00EE6D93">
      <w:pPr>
        <w:pStyle w:val="BodyText"/>
        <w:spacing w:before="0" w:after="0" w:line="240" w:lineRule="auto"/>
      </w:pPr>
      <w:r>
        <w:t>Commissioner</w:t>
      </w:r>
      <w:r w:rsidR="00EE6D93">
        <w:t xml:space="preserve">- </w:t>
      </w:r>
      <w:r w:rsidR="00EA360D" w:rsidRPr="00EA360D">
        <w:t>National Water Reform 202</w:t>
      </w:r>
      <w:r w:rsidR="00EE6D93">
        <w:t>6 Inquiry</w:t>
      </w:r>
      <w:r w:rsidR="00EA360D" w:rsidRPr="00EA360D">
        <w:br/>
        <w:t>Productivity Commission</w:t>
      </w:r>
      <w:r w:rsidR="00A724CC">
        <w:tab/>
      </w:r>
      <w:r w:rsidR="00A724CC">
        <w:tab/>
      </w:r>
      <w:r w:rsidR="00A724CC">
        <w:tab/>
      </w:r>
      <w:r w:rsidR="00A724CC">
        <w:tab/>
      </w:r>
      <w:r w:rsidR="00A724CC">
        <w:tab/>
      </w:r>
      <w:r w:rsidR="00A724CC">
        <w:tab/>
      </w:r>
      <w:r w:rsidR="00A724CC">
        <w:tab/>
      </w:r>
      <w:r w:rsidR="00A724CC">
        <w:tab/>
      </w:r>
      <w:r w:rsidR="00A724CC">
        <w:tab/>
      </w:r>
    </w:p>
    <w:p w14:paraId="4FB6075D" w14:textId="77777777" w:rsidR="00275DF4" w:rsidRDefault="00275DF4" w:rsidP="00A724CC">
      <w:pPr>
        <w:pStyle w:val="BodyText"/>
      </w:pPr>
    </w:p>
    <w:p w14:paraId="7D2E09F6" w14:textId="105E2131" w:rsidR="00EA360D" w:rsidRDefault="00EE6D93" w:rsidP="009C42A7">
      <w:pPr>
        <w:pStyle w:val="BodyText"/>
      </w:pPr>
      <w:r>
        <w:t>Via</w:t>
      </w:r>
      <w:r w:rsidR="00A724CC" w:rsidRPr="00DC304A">
        <w:t xml:space="preserve"> email</w:t>
      </w:r>
      <w:r w:rsidR="00275DF4" w:rsidRPr="00DC304A">
        <w:t xml:space="preserve">: </w:t>
      </w:r>
      <w:hyperlink r:id="rId12" w:history="1">
        <w:r w:rsidR="00051578" w:rsidRPr="00A12532">
          <w:rPr>
            <w:rStyle w:val="Hyperlink"/>
          </w:rPr>
          <w:t>waterreform2026@pc.gov.au</w:t>
        </w:r>
      </w:hyperlink>
      <w:r w:rsidR="00051578">
        <w:t xml:space="preserve"> </w:t>
      </w:r>
    </w:p>
    <w:p w14:paraId="064E27AD" w14:textId="77777777" w:rsidR="00EA360D" w:rsidRDefault="00EA360D" w:rsidP="00550810">
      <w:pPr>
        <w:pStyle w:val="BodyText"/>
      </w:pPr>
    </w:p>
    <w:p w14:paraId="5AC47A05" w14:textId="3707542B" w:rsidR="003E3923" w:rsidRDefault="003E3923" w:rsidP="00550810">
      <w:pPr>
        <w:pStyle w:val="BodyText"/>
      </w:pPr>
      <w:r w:rsidRPr="00891E09">
        <w:t xml:space="preserve">Dear </w:t>
      </w:r>
      <w:r w:rsidR="009C42A7">
        <w:t>Commissioner Chong</w:t>
      </w:r>
      <w:r>
        <w:t>,</w:t>
      </w:r>
    </w:p>
    <w:p w14:paraId="0D7CE7B3" w14:textId="3078BCC0" w:rsidR="00847390" w:rsidRPr="005C67A9" w:rsidRDefault="003810F8" w:rsidP="00550810">
      <w:pPr>
        <w:pStyle w:val="BodyText"/>
        <w:rPr>
          <w:b/>
          <w:bCs/>
        </w:rPr>
      </w:pPr>
      <w:r w:rsidRPr="005C67A9">
        <w:rPr>
          <w:b/>
          <w:bCs/>
        </w:rPr>
        <w:t>RE</w:t>
      </w:r>
      <w:r w:rsidR="00C34E2F">
        <w:rPr>
          <w:b/>
          <w:bCs/>
        </w:rPr>
        <w:t>:</w:t>
      </w:r>
      <w:r w:rsidRPr="005C67A9">
        <w:rPr>
          <w:b/>
          <w:bCs/>
        </w:rPr>
        <w:t xml:space="preserve"> </w:t>
      </w:r>
      <w:r w:rsidRPr="00EA360D">
        <w:rPr>
          <w:b/>
          <w:bCs/>
        </w:rPr>
        <w:t>National Water Reform 2026</w:t>
      </w:r>
      <w:r w:rsidRPr="005C67A9">
        <w:rPr>
          <w:b/>
          <w:bCs/>
        </w:rPr>
        <w:t>: Call for submissions</w:t>
      </w:r>
    </w:p>
    <w:p w14:paraId="0274D91B" w14:textId="77777777" w:rsidR="00847390" w:rsidRPr="00847390" w:rsidRDefault="00847390" w:rsidP="00847390">
      <w:pPr>
        <w:pStyle w:val="BodyText"/>
      </w:pPr>
      <w:r w:rsidRPr="00847390">
        <w:t>WaterNSW welcomes the opportunity to respond to the Productivity Commission’s call for submissions for the National Water Reform 2026 inquiry.</w:t>
      </w:r>
    </w:p>
    <w:p w14:paraId="57B9982E" w14:textId="42C47559" w:rsidR="00847390" w:rsidRPr="00847390" w:rsidRDefault="00847390" w:rsidP="00847390">
      <w:pPr>
        <w:pStyle w:val="BodyText"/>
      </w:pPr>
      <w:r w:rsidRPr="00847390">
        <w:t xml:space="preserve">This submission responds to Information Request Part B </w:t>
      </w:r>
      <w:r w:rsidR="00C34E2F">
        <w:t>–</w:t>
      </w:r>
      <w:r w:rsidRPr="00847390">
        <w:t xml:space="preserve"> secure, resilient and sustainable services </w:t>
      </w:r>
      <w:r w:rsidR="00C34E2F">
        <w:t>–</w:t>
      </w:r>
      <w:r w:rsidRPr="00847390">
        <w:t xml:space="preserve"> specifically Theme 1: Pricing and economic regulation. It focuses on whether current pricing and regulatory frameworks support efficient investment, transparent cost recovery and appropriate risk allocation, while managing affordability and maintaining long-term service resilience.</w:t>
      </w:r>
    </w:p>
    <w:p w14:paraId="060FFF79" w14:textId="77777777" w:rsidR="00847390" w:rsidRPr="00847390" w:rsidRDefault="00847390" w:rsidP="00847390">
      <w:pPr>
        <w:pStyle w:val="BodyText"/>
      </w:pPr>
      <w:r w:rsidRPr="00847390">
        <w:t>WaterNSW’s central position is that national pricing settings should be refreshed to enable transparent identification of the efficient, long</w:t>
      </w:r>
      <w:r w:rsidRPr="00847390">
        <w:noBreakHyphen/>
        <w:t>term costs of service provision, prior and separate to decisions on affordability interventions such as price caps or subsidies. Where affordability outcomes are pursued through moderated prices, the resulting funding gap and policy rationale should be explicitly quantified and transparently funded.</w:t>
      </w:r>
    </w:p>
    <w:p w14:paraId="2EC87882" w14:textId="77777777" w:rsidR="00847390" w:rsidRPr="00847390" w:rsidRDefault="00847390" w:rsidP="00847390">
      <w:pPr>
        <w:pStyle w:val="BodyText"/>
      </w:pPr>
      <w:r w:rsidRPr="00847390">
        <w:t>The submission also draws out implications from recent price setting for rural and regional bulk water services in NSW, and proposes that national guidance be strengthened on cost sharing and transparency (including for broader public benefit obligations and multi</w:t>
      </w:r>
      <w:r w:rsidRPr="00847390">
        <w:noBreakHyphen/>
        <w:t>beneficiary activities), explicit treatment of affordability trade</w:t>
      </w:r>
      <w:r w:rsidRPr="00847390">
        <w:noBreakHyphen/>
        <w:t>offs, and the allocation of incremental costs associated with new and expanding water</w:t>
      </w:r>
      <w:r w:rsidRPr="00847390">
        <w:noBreakHyphen/>
        <w:t>intensive demand profiles.</w:t>
      </w:r>
    </w:p>
    <w:p w14:paraId="3981FFF1" w14:textId="57DC86C6" w:rsidR="00AE289B" w:rsidRDefault="1C72A7F8" w:rsidP="00880397">
      <w:r w:rsidRPr="35B629DD">
        <w:t xml:space="preserve">As an operational business responsible for implementing a wide array of </w:t>
      </w:r>
      <w:r w:rsidR="00275DF4">
        <w:t>n</w:t>
      </w:r>
      <w:r w:rsidRPr="35B629DD">
        <w:t xml:space="preserve">ational and </w:t>
      </w:r>
      <w:r w:rsidR="00275DF4">
        <w:t>s</w:t>
      </w:r>
      <w:r w:rsidRPr="35B629DD">
        <w:t>tate water reforms, policies, and rule changes, WaterNSW has observed that the design of water regulation and policy is frequently not approached in an integrated or holistic way. This lack of coordination results in unnecessary complexity and regulatory inefficiency, making compliance increasingly challenging</w:t>
      </w:r>
      <w:r w:rsidR="098F1EF1" w:rsidRPr="35B629DD">
        <w:t xml:space="preserve"> and una</w:t>
      </w:r>
      <w:r w:rsidR="00207F74">
        <w:t>f</w:t>
      </w:r>
      <w:r w:rsidR="098F1EF1" w:rsidRPr="35B629DD">
        <w:t>fordable</w:t>
      </w:r>
      <w:r w:rsidRPr="35B629DD">
        <w:t>.</w:t>
      </w:r>
    </w:p>
    <w:p w14:paraId="1A9237B1" w14:textId="0A1D6B6E" w:rsidR="00AE289B" w:rsidRDefault="00AE289B" w:rsidP="00AE289B">
      <w:pPr>
        <w:rPr>
          <w:b/>
          <w:bCs/>
        </w:rPr>
      </w:pPr>
      <w:r w:rsidRPr="00DA1315">
        <w:t xml:space="preserve">Thank you for the opportunity to make a submission to the inquiry. If you require any further information, please contact </w:t>
      </w:r>
      <w:proofErr w:type="spellStart"/>
      <w:proofErr w:type="gramStart"/>
      <w:r>
        <w:t>WaterNSW</w:t>
      </w:r>
      <w:proofErr w:type="spellEnd"/>
      <w:r w:rsidRPr="00DA1315">
        <w:t xml:space="preserve"> </w:t>
      </w:r>
      <w:r w:rsidR="008340BA">
        <w:t>.</w:t>
      </w:r>
      <w:proofErr w:type="gramEnd"/>
      <w:r>
        <w:t xml:space="preserve"> </w:t>
      </w:r>
      <w:hyperlink r:id="rId13" w:history="1"/>
      <w:r>
        <w:t xml:space="preserve">  </w:t>
      </w:r>
    </w:p>
    <w:p w14:paraId="5C54E9E2" w14:textId="77777777" w:rsidR="003E3923" w:rsidRPr="00891E09" w:rsidRDefault="003E3923" w:rsidP="00880397">
      <w:pPr>
        <w:pStyle w:val="BodyText"/>
        <w:spacing w:before="240"/>
      </w:pPr>
      <w:r w:rsidRPr="00891E09">
        <w:t>Yours sincerely</w:t>
      </w:r>
      <w:r>
        <w:t>,</w:t>
      </w:r>
    </w:p>
    <w:p w14:paraId="28EE3960" w14:textId="77777777" w:rsidR="00EE6D93" w:rsidRDefault="00EE6D93" w:rsidP="00550810">
      <w:pPr>
        <w:pStyle w:val="BodyText"/>
      </w:pPr>
    </w:p>
    <w:p w14:paraId="126DF120" w14:textId="77777777" w:rsidR="00EB30B1" w:rsidRDefault="00EB30B1" w:rsidP="00EB30B1">
      <w:pPr>
        <w:pStyle w:val="BodyText"/>
        <w:spacing w:after="0"/>
      </w:pPr>
      <w:proofErr w:type="spellStart"/>
      <w:r w:rsidRPr="00EB30B1">
        <w:rPr>
          <w:highlight w:val="black"/>
        </w:rPr>
        <w:t>xxxxxx</w:t>
      </w:r>
      <w:proofErr w:type="spellEnd"/>
      <w:r w:rsidR="00EA360D" w:rsidRPr="00EB30B1">
        <w:t xml:space="preserve"> </w:t>
      </w:r>
      <w:proofErr w:type="spellStart"/>
      <w:r w:rsidRPr="00EB30B1">
        <w:rPr>
          <w:highlight w:val="black"/>
        </w:rPr>
        <w:t>xxxxxx</w:t>
      </w:r>
      <w:proofErr w:type="spellEnd"/>
    </w:p>
    <w:p w14:paraId="52E3F111" w14:textId="48CA42B5" w:rsidR="00A724CC" w:rsidRDefault="00EA360D" w:rsidP="00EB30B1">
      <w:pPr>
        <w:pStyle w:val="BodyText"/>
        <w:spacing w:after="0"/>
        <w:rPr>
          <w:b/>
          <w:bCs/>
          <w:color w:val="62CBE8" w:themeColor="accent3"/>
          <w:sz w:val="28"/>
          <w:szCs w:val="28"/>
        </w:rPr>
      </w:pPr>
      <w:r>
        <w:t>Chief Executive Officer</w:t>
      </w:r>
      <w:r w:rsidR="00A724CC">
        <w:br w:type="page"/>
      </w:r>
    </w:p>
    <w:p w14:paraId="53D30B77" w14:textId="6C10066B" w:rsidR="00AE289B" w:rsidRPr="005C67A9" w:rsidRDefault="00AE289B" w:rsidP="005C67A9">
      <w:pPr>
        <w:pStyle w:val="Heading4"/>
      </w:pPr>
      <w:r w:rsidRPr="005C67A9">
        <w:lastRenderedPageBreak/>
        <w:t>Attachment 1:</w:t>
      </w:r>
      <w:r w:rsidR="002E5F69" w:rsidRPr="005C67A9">
        <w:t xml:space="preserve"> WaterNSW response to </w:t>
      </w:r>
      <w:r w:rsidR="00A86E49" w:rsidRPr="005C67A9">
        <w:t xml:space="preserve">the </w:t>
      </w:r>
      <w:r w:rsidR="005C67A9">
        <w:t>‘</w:t>
      </w:r>
      <w:r w:rsidR="002E5F69" w:rsidRPr="005C67A9">
        <w:t xml:space="preserve">Call for </w:t>
      </w:r>
      <w:r w:rsidR="00A86E49" w:rsidRPr="005C67A9">
        <w:t>s</w:t>
      </w:r>
      <w:r w:rsidR="002E5F69" w:rsidRPr="005C67A9">
        <w:t>ubmissions</w:t>
      </w:r>
      <w:r w:rsidR="005C67A9">
        <w:t>’</w:t>
      </w:r>
      <w:r w:rsidR="002E5F69" w:rsidRPr="005C67A9">
        <w:t xml:space="preserve"> </w:t>
      </w:r>
      <w:r w:rsidR="00A86E49" w:rsidRPr="005C67A9">
        <w:t>p</w:t>
      </w:r>
      <w:r w:rsidR="002E5F69" w:rsidRPr="005C67A9">
        <w:t>aper</w:t>
      </w:r>
    </w:p>
    <w:p w14:paraId="49B68533" w14:textId="77777777" w:rsidR="002E5F69" w:rsidRDefault="00AE289B" w:rsidP="00AE289B">
      <w:pPr>
        <w:spacing w:line="278" w:lineRule="auto"/>
      </w:pPr>
      <w:r>
        <w:t xml:space="preserve">This submission responds to Information Request Part B – secure, resilient and sustainable services, specifically, Theme 1: Pricing and economic regulation. The Commission is examining whether the pricing and regulatory frameworks support efficient investment, cost recovery and appropriate risk allocation while balancing affordability and long-term resilience. </w:t>
      </w:r>
    </w:p>
    <w:p w14:paraId="516ABBAF" w14:textId="0FBB09AB" w:rsidR="00AE289B" w:rsidRPr="00E35602" w:rsidRDefault="00AE289B" w:rsidP="00AE289B">
      <w:pPr>
        <w:spacing w:line="278" w:lineRule="auto"/>
      </w:pPr>
      <w:r w:rsidRPr="00E35602">
        <w:t xml:space="preserve">This submission addresses the </w:t>
      </w:r>
      <w:r>
        <w:t>Commission</w:t>
      </w:r>
      <w:r w:rsidRPr="00E35602">
        <w:t>’s questions on trade-offs in price setting, how affordability is handled, and implications for incentives and efficient investment, including where new and expanding water</w:t>
      </w:r>
      <w:r w:rsidRPr="00E35602">
        <w:noBreakHyphen/>
        <w:t>intensive industries</w:t>
      </w:r>
      <w:r w:rsidR="00663E60">
        <w:t xml:space="preserve">, such as </w:t>
      </w:r>
      <w:r w:rsidRPr="00E35602">
        <w:t>data centres and Artificial Intelligence (AI) infrastructure</w:t>
      </w:r>
      <w:r w:rsidR="00663E60">
        <w:t>,</w:t>
      </w:r>
      <w:r w:rsidRPr="00E35602">
        <w:t xml:space="preserve"> affect costs and risk.</w:t>
      </w:r>
    </w:p>
    <w:p w14:paraId="06AF0B1C" w14:textId="77777777" w:rsidR="00AE289B" w:rsidRDefault="00AE289B" w:rsidP="00AE289B">
      <w:r>
        <w:t xml:space="preserve">WaterNSW reiterates its position in the 2024 inquiry (submissions dated 23 February 2024 and 2 May 2024): national pricing should be reconsidered to enable transparent identification of the real, long-term costs of service provision, prior and separate to, consideration of price caps or direct subsidies for managing affordability issues. </w:t>
      </w:r>
    </w:p>
    <w:p w14:paraId="0449F62F" w14:textId="4B7910F5" w:rsidR="00AE289B" w:rsidRDefault="00AE289B" w:rsidP="00AE289B">
      <w:r>
        <w:t xml:space="preserve">WaterNSW notes that under the ‘Next Steps on the National Water Agreement’ (December 2025), the </w:t>
      </w:r>
      <w:r w:rsidR="00693A8C">
        <w:t>Australian Government</w:t>
      </w:r>
      <w:r>
        <w:t xml:space="preserve"> outlined it will refresh Australia’s water policy with consultation in 2026 on ‘Independent Economic Regulation and Water Services Pricing’ as one of six streams of work to realise the objectives of the National Water Agreement. </w:t>
      </w:r>
      <w:r w:rsidRPr="006F4997">
        <w:t>WaterNSW strongly supports this direction.</w:t>
      </w:r>
    </w:p>
    <w:p w14:paraId="73FCDAE1" w14:textId="77777777" w:rsidR="00273D1F" w:rsidRPr="00273D1F" w:rsidRDefault="00273D1F" w:rsidP="00273D1F">
      <w:pPr>
        <w:spacing w:before="240"/>
        <w:rPr>
          <w:b/>
          <w:bCs/>
        </w:rPr>
      </w:pPr>
      <w:r w:rsidRPr="00273D1F">
        <w:rPr>
          <w:b/>
          <w:bCs/>
        </w:rPr>
        <w:t>Water reforms under current settings lack integration, efficiency and affordability</w:t>
      </w:r>
    </w:p>
    <w:p w14:paraId="3729C8C1" w14:textId="2542BB87" w:rsidR="00B708EF" w:rsidRDefault="00DA0A15" w:rsidP="00570A91">
      <w:pPr>
        <w:pStyle w:val="Heading9"/>
      </w:pPr>
      <w:r>
        <w:t>Following a decade of</w:t>
      </w:r>
      <w:r w:rsidR="00B708EF" w:rsidRPr="35B629DD">
        <w:t xml:space="preserve"> implementing a wide array of National and State water reforms, WaterNSW has </w:t>
      </w:r>
      <w:r w:rsidR="00BD1EBA">
        <w:t xml:space="preserve">had to implement </w:t>
      </w:r>
      <w:r w:rsidR="00673DBF">
        <w:t xml:space="preserve">a growing </w:t>
      </w:r>
      <w:r w:rsidR="00570A91">
        <w:t>range and volume of reforms</w:t>
      </w:r>
      <w:r w:rsidR="00B708EF" w:rsidRPr="35B629DD">
        <w:t xml:space="preserve"> </w:t>
      </w:r>
      <w:r w:rsidR="00570A91">
        <w:t xml:space="preserve">that </w:t>
      </w:r>
      <w:r w:rsidR="00BD1EBA">
        <w:t>are</w:t>
      </w:r>
      <w:r w:rsidR="00B708EF" w:rsidRPr="35B629DD">
        <w:t xml:space="preserve"> frequently not approached in an integrated or holistic way. This lack of coordination results in unnecessary complexity and regulatory inefficiency, making compliance increasingly challenging and </w:t>
      </w:r>
      <w:r w:rsidR="00207F74" w:rsidRPr="35B629DD">
        <w:t>unaffordable</w:t>
      </w:r>
      <w:r w:rsidR="00207F74">
        <w:t>.</w:t>
      </w:r>
    </w:p>
    <w:p w14:paraId="0C7D2BAB" w14:textId="7F1B92EE" w:rsidR="00634107" w:rsidRDefault="00F10EB2" w:rsidP="00634107">
      <w:r>
        <w:t>For example,</w:t>
      </w:r>
      <w:r w:rsidR="00634107">
        <w:t xml:space="preserve"> in </w:t>
      </w:r>
      <w:r>
        <w:t>B</w:t>
      </w:r>
      <w:r w:rsidR="00634107">
        <w:t xml:space="preserve">asin </w:t>
      </w:r>
      <w:r>
        <w:t>P</w:t>
      </w:r>
      <w:r w:rsidR="00634107">
        <w:t xml:space="preserve">lan </w:t>
      </w:r>
      <w:r w:rsidR="00E45D4E">
        <w:t>program</w:t>
      </w:r>
      <w:r w:rsidR="00DF2970">
        <w:t xml:space="preserve"> implementation</w:t>
      </w:r>
      <w:r w:rsidR="00E45D4E">
        <w:t xml:space="preserve">, </w:t>
      </w:r>
      <w:r w:rsidR="00FD40DB">
        <w:t xml:space="preserve">the Australian Government </w:t>
      </w:r>
      <w:r w:rsidR="000756DD">
        <w:t>funds</w:t>
      </w:r>
      <w:r w:rsidR="00FD40DB">
        <w:t xml:space="preserve"> </w:t>
      </w:r>
      <w:r>
        <w:t xml:space="preserve">upfront capital </w:t>
      </w:r>
      <w:r w:rsidR="008F1D37">
        <w:t>and planning</w:t>
      </w:r>
      <w:r>
        <w:t xml:space="preserve">. </w:t>
      </w:r>
      <w:r w:rsidR="000756DD">
        <w:t>However, t</w:t>
      </w:r>
      <w:r>
        <w:t>he operating costs are borne by the States</w:t>
      </w:r>
      <w:r w:rsidR="008F1D37">
        <w:t>, which under the National Water Initiative Pricing Principles results in the costs being passed on to water users.</w:t>
      </w:r>
      <w:r w:rsidR="00386AC4">
        <w:t xml:space="preserve"> That upfront capital for infrastructure is also treated as a grant to the State, </w:t>
      </w:r>
      <w:r w:rsidR="00951860">
        <w:t>which is not commercial for</w:t>
      </w:r>
      <w:r w:rsidR="00386AC4">
        <w:t xml:space="preserve"> infrastructure operator like WaterNSW</w:t>
      </w:r>
      <w:r w:rsidR="005438E7">
        <w:t xml:space="preserve"> (as</w:t>
      </w:r>
      <w:r w:rsidR="00951860">
        <w:t xml:space="preserve"> it does not </w:t>
      </w:r>
      <w:r w:rsidR="00616544">
        <w:t>contribute to the Regulator Asset Base (RAB)</w:t>
      </w:r>
      <w:r w:rsidR="005438E7">
        <w:t>)</w:t>
      </w:r>
      <w:r w:rsidR="00DC2BCB">
        <w:t>.</w:t>
      </w:r>
    </w:p>
    <w:p w14:paraId="7915FB62" w14:textId="5CFE3308" w:rsidR="00D137B5" w:rsidRDefault="00942708" w:rsidP="00634107">
      <w:r w:rsidRPr="008F243A">
        <w:t>In many cases, regulatory reforms are developed and implemented without sufficient regard to their full, end</w:t>
      </w:r>
      <w:r w:rsidRPr="008F243A">
        <w:noBreakHyphen/>
        <w:t>to</w:t>
      </w:r>
      <w:r w:rsidRPr="008F243A">
        <w:noBreakHyphen/>
        <w:t>end cost impacts on delivery agencies and, ultimately, water users. Regulatory Impact Statements are not consistently undertaken or do not adequately assess ongoing operating and compliance costs beyond initial government funding. Once implemented, prescribed cost</w:t>
      </w:r>
      <w:r w:rsidRPr="008F243A">
        <w:noBreakHyphen/>
        <w:t>recovery frameworks</w:t>
      </w:r>
      <w:r w:rsidR="008F243A" w:rsidRPr="008F243A">
        <w:t xml:space="preserve"> – </w:t>
      </w:r>
      <w:r w:rsidRPr="008F243A">
        <w:t>such as those under the National Water Initiative</w:t>
      </w:r>
      <w:r w:rsidR="008F243A" w:rsidRPr="008F243A">
        <w:t xml:space="preserve"> – </w:t>
      </w:r>
      <w:r w:rsidRPr="008F243A">
        <w:t>require these costs to be passed through to water users, regardless of affordability impacts. A more integrated and holistic approach to policy and regulatory design is required to avoid unintended affordability consequences.</w:t>
      </w:r>
    </w:p>
    <w:p w14:paraId="45CC8577" w14:textId="3B7D6B7C" w:rsidR="00AB52B1" w:rsidRPr="00D137B5" w:rsidRDefault="00B708EF" w:rsidP="00AE289B">
      <w:r w:rsidRPr="00880397">
        <w:rPr>
          <w:rStyle w:val="normaltextrun"/>
          <w:rFonts w:ascii="Barlow" w:hAnsi="Barlow" w:cs="Segoe UI"/>
          <w:szCs w:val="22"/>
        </w:rPr>
        <w:t xml:space="preserve">The </w:t>
      </w:r>
      <w:proofErr w:type="gramStart"/>
      <w:r w:rsidRPr="00880397">
        <w:rPr>
          <w:rStyle w:val="normaltextrun"/>
          <w:rFonts w:ascii="Barlow" w:hAnsi="Barlow" w:cs="Segoe UI"/>
          <w:szCs w:val="22"/>
        </w:rPr>
        <w:t>consequences</w:t>
      </w:r>
      <w:proofErr w:type="gramEnd"/>
      <w:r w:rsidRPr="00880397">
        <w:rPr>
          <w:rStyle w:val="normaltextrun"/>
          <w:rFonts w:ascii="Barlow" w:hAnsi="Barlow" w:cs="Segoe UI"/>
          <w:szCs w:val="22"/>
        </w:rPr>
        <w:t xml:space="preserve"> of th</w:t>
      </w:r>
      <w:r w:rsidR="000154D4" w:rsidRPr="00880397">
        <w:rPr>
          <w:rStyle w:val="normaltextrun"/>
          <w:rFonts w:ascii="Barlow" w:hAnsi="Barlow" w:cs="Segoe UI"/>
          <w:szCs w:val="22"/>
        </w:rPr>
        <w:t xml:space="preserve">e </w:t>
      </w:r>
      <w:proofErr w:type="gramStart"/>
      <w:r w:rsidR="00FD24BD">
        <w:rPr>
          <w:rStyle w:val="normaltextrun"/>
          <w:rFonts w:ascii="Barlow" w:hAnsi="Barlow" w:cs="Segoe UI"/>
          <w:szCs w:val="22"/>
        </w:rPr>
        <w:t>aforementioned</w:t>
      </w:r>
      <w:r w:rsidRPr="00880397">
        <w:rPr>
          <w:rStyle w:val="normaltextrun"/>
          <w:rFonts w:ascii="Barlow" w:hAnsi="Barlow" w:cs="Segoe UI"/>
          <w:szCs w:val="22"/>
        </w:rPr>
        <w:t xml:space="preserve"> approach</w:t>
      </w:r>
      <w:proofErr w:type="gramEnd"/>
      <w:r w:rsidRPr="00880397">
        <w:rPr>
          <w:rStyle w:val="normaltextrun"/>
          <w:rFonts w:ascii="Barlow" w:hAnsi="Barlow" w:cs="Segoe UI"/>
          <w:szCs w:val="22"/>
        </w:rPr>
        <w:t xml:space="preserve"> </w:t>
      </w:r>
      <w:r w:rsidR="00244CAF" w:rsidRPr="00880397">
        <w:rPr>
          <w:rStyle w:val="normaltextrun"/>
          <w:rFonts w:ascii="Barlow" w:hAnsi="Barlow" w:cs="Segoe UI"/>
          <w:szCs w:val="22"/>
        </w:rPr>
        <w:t xml:space="preserve">also </w:t>
      </w:r>
      <w:r w:rsidR="004307C3" w:rsidRPr="00880397">
        <w:rPr>
          <w:rStyle w:val="normaltextrun"/>
          <w:rFonts w:ascii="Barlow" w:hAnsi="Barlow" w:cs="Segoe UI"/>
          <w:szCs w:val="22"/>
        </w:rPr>
        <w:t>carries</w:t>
      </w:r>
      <w:r w:rsidRPr="00880397">
        <w:rPr>
          <w:rStyle w:val="normaltextrun"/>
          <w:rFonts w:ascii="Barlow" w:hAnsi="Barlow" w:cs="Segoe UI"/>
          <w:szCs w:val="22"/>
        </w:rPr>
        <w:t xml:space="preserve"> significant costs. In the context of our operations within the Murray–Darling Basin, these costs are</w:t>
      </w:r>
      <w:r w:rsidRPr="00880397">
        <w:rPr>
          <w:rStyle w:val="apple-converted-space"/>
          <w:rFonts w:ascii="Barlow" w:hAnsi="Barlow" w:cs="Segoe UI"/>
          <w:szCs w:val="22"/>
        </w:rPr>
        <w:t> </w:t>
      </w:r>
      <w:r w:rsidRPr="00880397">
        <w:rPr>
          <w:rStyle w:val="normaltextrun"/>
          <w:rFonts w:ascii="Barlow" w:hAnsi="Barlow" w:cs="Segoe UI"/>
          <w:szCs w:val="22"/>
        </w:rPr>
        <w:t>predominantly shouldered</w:t>
      </w:r>
      <w:r w:rsidRPr="00880397">
        <w:rPr>
          <w:rStyle w:val="apple-converted-space"/>
          <w:rFonts w:ascii="Barlow" w:hAnsi="Barlow" w:cs="Segoe UI"/>
          <w:szCs w:val="22"/>
        </w:rPr>
        <w:t> </w:t>
      </w:r>
      <w:r w:rsidRPr="00880397">
        <w:rPr>
          <w:rStyle w:val="normaltextrun"/>
          <w:rFonts w:ascii="Barlow" w:hAnsi="Barlow" w:cs="Segoe UI"/>
          <w:szCs w:val="22"/>
        </w:rPr>
        <w:t>by a shrinking base of water users. These users are finding it difficult to afford even the most basic levels of service, let alone manage the</w:t>
      </w:r>
      <w:r w:rsidRPr="00880397">
        <w:rPr>
          <w:rStyle w:val="apple-converted-space"/>
          <w:rFonts w:ascii="Barlow" w:hAnsi="Barlow" w:cs="Segoe UI"/>
          <w:szCs w:val="22"/>
        </w:rPr>
        <w:t> </w:t>
      </w:r>
      <w:r w:rsidRPr="00880397">
        <w:rPr>
          <w:rStyle w:val="normaltextrun"/>
          <w:rFonts w:ascii="Barlow" w:hAnsi="Barlow" w:cs="Segoe UI"/>
          <w:szCs w:val="22"/>
        </w:rPr>
        <w:t>additional</w:t>
      </w:r>
      <w:r w:rsidRPr="00880397">
        <w:rPr>
          <w:rStyle w:val="apple-converted-space"/>
          <w:rFonts w:ascii="Barlow" w:hAnsi="Barlow" w:cs="Segoe UI"/>
          <w:szCs w:val="22"/>
        </w:rPr>
        <w:t> </w:t>
      </w:r>
      <w:r w:rsidRPr="00880397">
        <w:rPr>
          <w:rStyle w:val="normaltextrun"/>
          <w:rFonts w:ascii="Barlow" w:hAnsi="Barlow" w:cs="Segoe UI"/>
          <w:szCs w:val="22"/>
        </w:rPr>
        <w:t>financial burden imposed by ongoing and increasing reform requirements.</w:t>
      </w:r>
      <w:r w:rsidRPr="00D137B5">
        <w:rPr>
          <w:rStyle w:val="eop"/>
          <w:rFonts w:ascii="Barlow" w:hAnsi="Barlow"/>
          <w:szCs w:val="22"/>
        </w:rPr>
        <w:t> </w:t>
      </w:r>
    </w:p>
    <w:p w14:paraId="0F7F9624" w14:textId="77777777" w:rsidR="00C750D2" w:rsidRDefault="00C750D2">
      <w:pPr>
        <w:spacing w:before="0" w:after="0" w:line="240" w:lineRule="auto"/>
        <w:rPr>
          <w:b/>
          <w:bCs/>
        </w:rPr>
      </w:pPr>
      <w:r>
        <w:rPr>
          <w:b/>
          <w:bCs/>
        </w:rPr>
        <w:br w:type="page"/>
      </w:r>
    </w:p>
    <w:p w14:paraId="3FC56700" w14:textId="09ECFB3C" w:rsidR="00E538ED" w:rsidRPr="008B6F64" w:rsidRDefault="00AE289B" w:rsidP="00880397">
      <w:pPr>
        <w:spacing w:before="240"/>
        <w:rPr>
          <w:b/>
          <w:bCs/>
        </w:rPr>
      </w:pPr>
      <w:r w:rsidRPr="008B6F64">
        <w:rPr>
          <w:b/>
          <w:bCs/>
        </w:rPr>
        <w:lastRenderedPageBreak/>
        <w:t xml:space="preserve">Cost transparency </w:t>
      </w:r>
      <w:r>
        <w:rPr>
          <w:b/>
          <w:bCs/>
        </w:rPr>
        <w:t>should occur first</w:t>
      </w:r>
      <w:r w:rsidRPr="008B6F64">
        <w:rPr>
          <w:b/>
          <w:bCs/>
        </w:rPr>
        <w:t>; affordability second</w:t>
      </w:r>
    </w:p>
    <w:p w14:paraId="63DE6BA0" w14:textId="42AA33FF" w:rsidR="00AE289B" w:rsidRDefault="00AE289B" w:rsidP="00AE289B">
      <w:r w:rsidRPr="008B6F64">
        <w:t xml:space="preserve">Transparency of efficient costs is essential to support informed conversations between customers, infrastructure providers, regulators and government regarding valued service outcomes, </w:t>
      </w:r>
      <w:r w:rsidR="3198127D">
        <w:t xml:space="preserve">asset maintenance and renewals, </w:t>
      </w:r>
      <w:r w:rsidRPr="008B6F64">
        <w:t xml:space="preserve">efficient costs and trade-offs. </w:t>
      </w:r>
      <w:r>
        <w:t xml:space="preserve">This is linked to affordability, but the primary objective is to define the efficient service levels and costs in the long-term interests of customers and consumers. Only once the target state (and transition to that state) is clearly defined can informed decisions be made about how to address affordability. </w:t>
      </w:r>
    </w:p>
    <w:p w14:paraId="66D3B24A" w14:textId="5E2CD164" w:rsidR="00AE289B" w:rsidRDefault="00AE289B" w:rsidP="00AE289B">
      <w:r>
        <w:t xml:space="preserve">Economic regulators have limited direct tools to address affordability. One is deferring investment to </w:t>
      </w:r>
      <w:r w:rsidR="241FF80F">
        <w:t xml:space="preserve">meet </w:t>
      </w:r>
      <w:r>
        <w:t>the optimal target state, which carries real costs through foregone economic and community outcomes</w:t>
      </w:r>
      <w:r w:rsidR="1BC381D5">
        <w:t>,</w:t>
      </w:r>
      <w:r>
        <w:t xml:space="preserve"> increased service </w:t>
      </w:r>
      <w:r w:rsidR="0FBDE5F2">
        <w:t xml:space="preserve">and asset lifecycle </w:t>
      </w:r>
      <w:r>
        <w:t>risk</w:t>
      </w:r>
      <w:r w:rsidR="29CA9891">
        <w:t xml:space="preserve"> and</w:t>
      </w:r>
      <w:r w:rsidR="2EA631ED">
        <w:t xml:space="preserve"> equity issues with future generations having to pay for under investment.</w:t>
      </w:r>
      <w:r>
        <w:t xml:space="preserve"> The other is price capping, which sets prices below efficient cost recovery and cannot be sustained without government filling the funding gap. If affordability outcomes are pursued through price suppression, the size and purpose of the funding gap should be explicitly calculated and transparently communicated.</w:t>
      </w:r>
    </w:p>
    <w:p w14:paraId="626BA091" w14:textId="2DC01062" w:rsidR="00AE289B" w:rsidRPr="001B3779" w:rsidRDefault="009106A5" w:rsidP="00880397">
      <w:pPr>
        <w:spacing w:before="240"/>
        <w:rPr>
          <w:b/>
          <w:bCs/>
        </w:rPr>
      </w:pPr>
      <w:r>
        <w:rPr>
          <w:b/>
          <w:bCs/>
        </w:rPr>
        <w:t>NSW Independent Pricing and Regulatory Tribunal’s (IPART’s)</w:t>
      </w:r>
      <w:r w:rsidR="00AE289B" w:rsidRPr="001B3779">
        <w:rPr>
          <w:b/>
          <w:bCs/>
        </w:rPr>
        <w:t xml:space="preserve"> draft decision </w:t>
      </w:r>
      <w:r w:rsidR="00174576">
        <w:rPr>
          <w:b/>
          <w:bCs/>
        </w:rPr>
        <w:t>illustrates the challenge</w:t>
      </w:r>
    </w:p>
    <w:p w14:paraId="55FBB2CA" w14:textId="559142B8" w:rsidR="00AE289B" w:rsidRDefault="00AE289B" w:rsidP="00AE289B">
      <w:r>
        <w:t xml:space="preserve">The IPART </w:t>
      </w:r>
      <w:r w:rsidR="005A1CA7">
        <w:t>Draft Report</w:t>
      </w:r>
      <w:r>
        <w:t xml:space="preserve"> </w:t>
      </w:r>
      <w:r w:rsidR="7ED5DFF7">
        <w:t xml:space="preserve">released </w:t>
      </w:r>
      <w:r w:rsidR="00A60993">
        <w:t xml:space="preserve">in March 2026 </w:t>
      </w:r>
      <w:r>
        <w:t xml:space="preserve">for </w:t>
      </w:r>
      <w:r w:rsidR="005A1CA7">
        <w:t>WaterNSW’s</w:t>
      </w:r>
      <w:r>
        <w:t xml:space="preserve"> rural and regional bulk water services </w:t>
      </w:r>
      <w:r w:rsidR="0068274F">
        <w:t>demonstrates</w:t>
      </w:r>
      <w:r w:rsidR="002D7B09">
        <w:t xml:space="preserve"> the importance </w:t>
      </w:r>
      <w:r w:rsidR="007128A9">
        <w:t xml:space="preserve">of </w:t>
      </w:r>
      <w:r>
        <w:t>appl</w:t>
      </w:r>
      <w:r w:rsidR="007128A9">
        <w:t xml:space="preserve">ying </w:t>
      </w:r>
      <w:r>
        <w:t xml:space="preserve">a </w:t>
      </w:r>
      <w:r w:rsidRPr="001B3779">
        <w:t xml:space="preserve">building block framework </w:t>
      </w:r>
      <w:r>
        <w:t>to assess the</w:t>
      </w:r>
      <w:r w:rsidRPr="001B3779">
        <w:t xml:space="preserve"> efficient costs </w:t>
      </w:r>
      <w:r>
        <w:t>to meet</w:t>
      </w:r>
      <w:r w:rsidRPr="001B3779">
        <w:t xml:space="preserve"> customers’ long-term </w:t>
      </w:r>
      <w:r>
        <w:t xml:space="preserve">needs and </w:t>
      </w:r>
      <w:r w:rsidRPr="001B3779">
        <w:t>interests</w:t>
      </w:r>
      <w:r>
        <w:t xml:space="preserve">. </w:t>
      </w:r>
      <w:r w:rsidR="00E368D5">
        <w:t xml:space="preserve">Following its </w:t>
      </w:r>
      <w:r w:rsidR="000406C3">
        <w:t xml:space="preserve">initial deferral of </w:t>
      </w:r>
      <w:r w:rsidR="009854CE">
        <w:t xml:space="preserve">consideration of efficient costs, </w:t>
      </w:r>
      <w:r>
        <w:t xml:space="preserve">IPART separately considered affordability and </w:t>
      </w:r>
      <w:r w:rsidR="00140D0C">
        <w:t xml:space="preserve">proposed </w:t>
      </w:r>
      <w:r>
        <w:t xml:space="preserve">a 10% price cap (plus inflation) on annual price increases to all valleys. As a result, around half of the valleys would not recover the efficient costs of bulk water services, requiring a material NSW Government contribution to fund the gap. </w:t>
      </w:r>
    </w:p>
    <w:p w14:paraId="3406E09A" w14:textId="35DCC6BC" w:rsidR="00AE289B" w:rsidRDefault="00452DC1" w:rsidP="00AE289B">
      <w:r>
        <w:t>D</w:t>
      </w:r>
      <w:r w:rsidR="00AE289B">
        <w:t>eferring</w:t>
      </w:r>
      <w:r w:rsidR="00AE289B" w:rsidRPr="008803FF">
        <w:t xml:space="preserve"> expenditure to </w:t>
      </w:r>
      <w:r w:rsidR="00AE289B">
        <w:t>constrain</w:t>
      </w:r>
      <w:r w:rsidR="00AE289B" w:rsidRPr="008803FF">
        <w:t xml:space="preserve"> ‘efficient’ prices</w:t>
      </w:r>
      <w:r w:rsidR="00AE289B">
        <w:t xml:space="preserve"> over </w:t>
      </w:r>
      <w:r w:rsidR="00AE289B" w:rsidRPr="008803FF">
        <w:t>short-term determination period</w:t>
      </w:r>
      <w:r w:rsidR="00AE289B">
        <w:t>s</w:t>
      </w:r>
      <w:r w:rsidR="00AE289B" w:rsidRPr="008803FF">
        <w:t xml:space="preserve"> </w:t>
      </w:r>
      <w:r w:rsidR="00AE289B">
        <w:t>does not deliver</w:t>
      </w:r>
      <w:r w:rsidR="00AE289B" w:rsidRPr="008803FF">
        <w:t xml:space="preserve"> long-term</w:t>
      </w:r>
      <w:r w:rsidR="00AE289B">
        <w:t xml:space="preserve"> customer benefit</w:t>
      </w:r>
      <w:r w:rsidR="00AE289B" w:rsidRPr="008803FF">
        <w:t xml:space="preserve">. </w:t>
      </w:r>
      <w:r w:rsidR="00AE289B">
        <w:t>A</w:t>
      </w:r>
      <w:r w:rsidR="00AE289B" w:rsidRPr="001B3779">
        <w:t>cross all infrastructure sectors</w:t>
      </w:r>
      <w:r w:rsidR="00AE289B">
        <w:t xml:space="preserve">, </w:t>
      </w:r>
      <w:r w:rsidR="00AE289B" w:rsidRPr="001B3779">
        <w:t xml:space="preserve">failure to </w:t>
      </w:r>
      <w:r w:rsidR="00AE289B">
        <w:t>invest when required</w:t>
      </w:r>
      <w:r w:rsidR="00AE289B" w:rsidRPr="001B3779">
        <w:t xml:space="preserve"> </w:t>
      </w:r>
      <w:r w:rsidR="00AE289B">
        <w:t xml:space="preserve">typically results in </w:t>
      </w:r>
      <w:r w:rsidR="00AE289B" w:rsidRPr="008803FF">
        <w:t xml:space="preserve">higher and sustained investment </w:t>
      </w:r>
      <w:r w:rsidR="00AE289B" w:rsidRPr="001B3779">
        <w:t xml:space="preserve">needs </w:t>
      </w:r>
      <w:r w:rsidR="00AE289B">
        <w:t xml:space="preserve">later, </w:t>
      </w:r>
      <w:r w:rsidR="00AE289B" w:rsidRPr="001B3779">
        <w:t xml:space="preserve">while </w:t>
      </w:r>
      <w:r w:rsidR="00AE289B">
        <w:t>increasing asset and service risk for</w:t>
      </w:r>
      <w:r w:rsidR="00AE289B" w:rsidRPr="001B3779">
        <w:t xml:space="preserve"> customers and service providers</w:t>
      </w:r>
      <w:r w:rsidR="00AE289B">
        <w:t>.</w:t>
      </w:r>
    </w:p>
    <w:p w14:paraId="5A5A72CE" w14:textId="40B98268" w:rsidR="00F96CEE" w:rsidRDefault="00F96CEE" w:rsidP="00AE289B">
      <w:r>
        <w:t xml:space="preserve">In their 1 July </w:t>
      </w:r>
      <w:r w:rsidR="00A77821">
        <w:t xml:space="preserve">draft </w:t>
      </w:r>
      <w:r w:rsidR="00244CAF">
        <w:t>determination for</w:t>
      </w:r>
      <w:r w:rsidR="00A77821">
        <w:t xml:space="preserve"> WaterNSW Rural Valleys Bulk Water </w:t>
      </w:r>
      <w:r w:rsidR="00275B61">
        <w:t>customers, IPART observed:</w:t>
      </w:r>
    </w:p>
    <w:p w14:paraId="24246EFB" w14:textId="40187336" w:rsidR="00275B61" w:rsidRDefault="00275B61" w:rsidP="00275B61">
      <w:pPr>
        <w:ind w:left="720"/>
        <w:rPr>
          <w:i/>
          <w:iCs/>
        </w:rPr>
      </w:pPr>
      <w:r w:rsidRPr="00880397">
        <w:rPr>
          <w:i/>
          <w:iCs/>
        </w:rPr>
        <w:t>“…IPART is concerned about the long-term sustainability of the rural and regional water sector. WaterNSW’s costs have increased and are forecast to continue to increase, while the scope to recover these costs from customers is constrained. Ongoing cost pressures and price increases may have significant implications for customers, water security and the long-term viability of the sector.</w:t>
      </w:r>
    </w:p>
    <w:p w14:paraId="2BAD0553" w14:textId="0CBE4FFA" w:rsidR="00275B61" w:rsidRDefault="0001413E" w:rsidP="00880397">
      <w:pPr>
        <w:ind w:left="720"/>
      </w:pPr>
      <w:r w:rsidRPr="0001413E">
        <w:rPr>
          <w:i/>
          <w:iCs/>
        </w:rPr>
        <w:t>IPART’s recent reviews highlight that the costs of providing regional and rural bulk water services</w:t>
      </w:r>
      <w:r>
        <w:rPr>
          <w:i/>
          <w:iCs/>
        </w:rPr>
        <w:t xml:space="preserve"> </w:t>
      </w:r>
      <w:r w:rsidRPr="0001413E">
        <w:rPr>
          <w:i/>
          <w:iCs/>
        </w:rPr>
        <w:t>have increased to a level that is increasingly difficult for customers to afford. IPART has</w:t>
      </w:r>
      <w:r>
        <w:rPr>
          <w:i/>
          <w:iCs/>
        </w:rPr>
        <w:t xml:space="preserve"> </w:t>
      </w:r>
      <w:r w:rsidRPr="0001413E">
        <w:rPr>
          <w:i/>
          <w:iCs/>
        </w:rPr>
        <w:t>responded by limiting price increases and assuming an ongoing contribution from the NSW</w:t>
      </w:r>
      <w:r>
        <w:rPr>
          <w:i/>
          <w:iCs/>
        </w:rPr>
        <w:t xml:space="preserve"> </w:t>
      </w:r>
      <w:r w:rsidRPr="0001413E">
        <w:rPr>
          <w:i/>
          <w:iCs/>
        </w:rPr>
        <w:t xml:space="preserve">Government. These measures are necessary to protect customers in the short term, </w:t>
      </w:r>
      <w:r w:rsidRPr="00880397">
        <w:rPr>
          <w:b/>
          <w:bCs/>
          <w:i/>
          <w:iCs/>
        </w:rPr>
        <w:t>but they do not resolve the underlying challenges facing the rural bulk water sector</w:t>
      </w:r>
      <w:r w:rsidRPr="0001413E">
        <w:rPr>
          <w:i/>
          <w:iCs/>
        </w:rPr>
        <w:t>.</w:t>
      </w:r>
      <w:r>
        <w:rPr>
          <w:i/>
          <w:iCs/>
        </w:rPr>
        <w:t>”</w:t>
      </w:r>
      <w:r w:rsidR="00376BDA">
        <w:rPr>
          <w:i/>
          <w:iCs/>
        </w:rPr>
        <w:t xml:space="preserve"> (emphasis added).</w:t>
      </w:r>
    </w:p>
    <w:p w14:paraId="06E33908" w14:textId="77777777" w:rsidR="00AE289B" w:rsidRPr="001B3779" w:rsidRDefault="00AE289B" w:rsidP="00880397">
      <w:pPr>
        <w:spacing w:before="240"/>
        <w:rPr>
          <w:b/>
          <w:bCs/>
        </w:rPr>
      </w:pPr>
      <w:r w:rsidRPr="00950B10">
        <w:rPr>
          <w:b/>
        </w:rPr>
        <w:t>Emerging risks</w:t>
      </w:r>
      <w:r w:rsidRPr="001B3779">
        <w:rPr>
          <w:b/>
          <w:bCs/>
        </w:rPr>
        <w:t xml:space="preserve"> require planned investment and earlier cost discovery</w:t>
      </w:r>
    </w:p>
    <w:p w14:paraId="39C35BD8" w14:textId="77777777" w:rsidR="00AF29BE" w:rsidRDefault="00AE289B" w:rsidP="00AE289B">
      <w:r>
        <w:t>To meet future challenges, underlying cost drivers – including ageing assets, climate-change pressures</w:t>
      </w:r>
      <w:r w:rsidR="00376BDA">
        <w:t xml:space="preserve">, a shrinking customer base (in part due to structural adjustments </w:t>
      </w:r>
      <w:proofErr w:type="gramStart"/>
      <w:r w:rsidR="00376BDA">
        <w:t>as a result of</w:t>
      </w:r>
      <w:proofErr w:type="gramEnd"/>
      <w:r w:rsidR="00376BDA">
        <w:t xml:space="preserve"> </w:t>
      </w:r>
      <w:proofErr w:type="gramStart"/>
      <w:r w:rsidR="00376BDA">
        <w:t>buy-backs</w:t>
      </w:r>
      <w:proofErr w:type="gramEnd"/>
      <w:r w:rsidR="00376BDA">
        <w:t>)</w:t>
      </w:r>
      <w:r>
        <w:t xml:space="preserve"> and the need for renewed and expanded investment – must be understood</w:t>
      </w:r>
      <w:r w:rsidR="00376BDA">
        <w:t xml:space="preserve"> by </w:t>
      </w:r>
      <w:r w:rsidR="00AF29BE">
        <w:t>those designing water policy and regulation</w:t>
      </w:r>
      <w:r>
        <w:t>.</w:t>
      </w:r>
    </w:p>
    <w:p w14:paraId="560FAD83" w14:textId="39D8D33F" w:rsidR="00AE289B" w:rsidRDefault="00AE289B" w:rsidP="00AE289B">
      <w:r>
        <w:lastRenderedPageBreak/>
        <w:t xml:space="preserve">More comprehensive cost discovery supports more orderly, long-term planning, </w:t>
      </w:r>
      <w:r w:rsidR="00AF29BE">
        <w:t xml:space="preserve">regulation setting, </w:t>
      </w:r>
      <w:r w:rsidR="006B764F">
        <w:t>p</w:t>
      </w:r>
      <w:r w:rsidR="00AF29BE">
        <w:t>olicy design – all leading to</w:t>
      </w:r>
      <w:r>
        <w:t xml:space="preserve"> smoother and more predictable price paths and reduc</w:t>
      </w:r>
      <w:r w:rsidR="00B47C8B">
        <w:t>ing</w:t>
      </w:r>
      <w:r>
        <w:t xml:space="preserve"> reliance on short-term or reactive responses.</w:t>
      </w:r>
    </w:p>
    <w:p w14:paraId="328070FA" w14:textId="77777777" w:rsidR="00AE289B" w:rsidRDefault="00AE289B" w:rsidP="00AE289B">
      <w:r>
        <w:rPr>
          <w:rFonts w:eastAsiaTheme="minorEastAsia"/>
        </w:rPr>
        <w:t>R</w:t>
      </w:r>
      <w:r>
        <w:t>eactive responses reduce transparency in identifying the cost to serve and can embed perceptions of recurrent and unanticipated price increases, prompting further ad-hoc regulatory or policy intervention. Over time, this erodes the public trust in the sector, its governance and institutions.</w:t>
      </w:r>
    </w:p>
    <w:p w14:paraId="67DB6A02" w14:textId="77777777" w:rsidR="00E86F66" w:rsidRPr="00E86F66" w:rsidRDefault="00E86F66" w:rsidP="00880397">
      <w:pPr>
        <w:spacing w:before="240"/>
        <w:rPr>
          <w:b/>
        </w:rPr>
      </w:pPr>
      <w:r w:rsidRPr="00E86F66">
        <w:rPr>
          <w:b/>
          <w:bCs/>
        </w:rPr>
        <w:t>Pricing for concentrated demand: consumption, capacity (entitlements) and reliability</w:t>
      </w:r>
    </w:p>
    <w:p w14:paraId="762C40BA" w14:textId="0FD9119E" w:rsidR="004D0063" w:rsidRPr="005E529F" w:rsidRDefault="004D0063" w:rsidP="004D0063">
      <w:r>
        <w:t xml:space="preserve">A defining characteristic of infrastructure </w:t>
      </w:r>
      <w:r w:rsidR="00DE5221">
        <w:t>operators</w:t>
      </w:r>
      <w:r>
        <w:t xml:space="preserve"> is that they are typically fixed cost businesses, which creates challenges for economic regulators in setting economically efficient prices and price structures, </w:t>
      </w:r>
      <w:r w:rsidRPr="005E529F">
        <w:t>particularly where demand profiles shift materially or become more concentrated, including from new high-volume users such as data centres and AI infrastructure.</w:t>
      </w:r>
    </w:p>
    <w:p w14:paraId="1ABC264B" w14:textId="77777777" w:rsidR="004D0063" w:rsidRDefault="004D0063" w:rsidP="004D0063">
      <w:r>
        <w:t xml:space="preserve">These challenges are sharper when the service is finite and inherently unreliable. WaterNSW has seen shortfalls in the forecast outturn water releases of up to 70%. High variability in the chargeable units against largely fixed costs exposes both customers and service providers to significant risk. Pricing and regulation therefore need an appropriate balance of fixed and variable charges, supported by effective risk-management tools within the framework. </w:t>
      </w:r>
    </w:p>
    <w:p w14:paraId="229FD997" w14:textId="5E7CF7C5" w:rsidR="002B4D82" w:rsidRDefault="002B4D82" w:rsidP="004D0063">
      <w:r>
        <w:t>The increasing fixed cost of water policy and regulations is having to be absorbed by water business</w:t>
      </w:r>
      <w:r w:rsidR="005F2DE7">
        <w:t>es</w:t>
      </w:r>
      <w:r w:rsidR="002F3AB3">
        <w:t>,</w:t>
      </w:r>
      <w:r w:rsidR="005F2DE7">
        <w:t xml:space="preserve"> in between economic regulatory pricing cycles. This means other services are having to be </w:t>
      </w:r>
      <w:r w:rsidR="002F3AB3">
        <w:t xml:space="preserve">reduced or stopped </w:t>
      </w:r>
      <w:proofErr w:type="gramStart"/>
      <w:r w:rsidR="002F3AB3">
        <w:t>in order to</w:t>
      </w:r>
      <w:proofErr w:type="gramEnd"/>
      <w:r w:rsidR="002F3AB3">
        <w:t xml:space="preserve"> absorb the cost of regulation, which impacts customer and community services.</w:t>
      </w:r>
    </w:p>
    <w:p w14:paraId="3F15D580" w14:textId="4E2CFC24" w:rsidR="004D0063" w:rsidRPr="00495F7D" w:rsidRDefault="004D0063" w:rsidP="004D0063">
      <w:pPr>
        <w:spacing w:after="160" w:line="278" w:lineRule="auto"/>
      </w:pPr>
      <w:r w:rsidRPr="00495F7D">
        <w:t xml:space="preserve">Service reliability must also be reflected to ensure allocative efficiency. In regional NSW there are general and high security customers, with high security customers (water for human need, councils and possibly data centres into the future) having priority when allocating water availability. These customers pay a premium in recognition of the increased </w:t>
      </w:r>
      <w:r w:rsidR="00DD1D62">
        <w:t>reliability</w:t>
      </w:r>
      <w:r w:rsidRPr="00495F7D">
        <w:t xml:space="preserve">, and </w:t>
      </w:r>
      <w:r w:rsidR="0079596B">
        <w:t>a theor</w:t>
      </w:r>
      <w:r w:rsidR="00C024AA">
        <w:t>etically higher</w:t>
      </w:r>
      <w:r w:rsidR="0079596B" w:rsidRPr="00495F7D">
        <w:t xml:space="preserve"> </w:t>
      </w:r>
      <w:r w:rsidRPr="00495F7D">
        <w:t>capacity to pay in constrained availability periods compared to general security customers.</w:t>
      </w:r>
    </w:p>
    <w:p w14:paraId="2725B869" w14:textId="77777777" w:rsidR="00AE289B" w:rsidRPr="00D225B0" w:rsidRDefault="00AE289B" w:rsidP="00880397">
      <w:pPr>
        <w:spacing w:before="240"/>
        <w:rPr>
          <w:b/>
          <w:bCs/>
        </w:rPr>
      </w:pPr>
      <w:r w:rsidRPr="3227EC14">
        <w:rPr>
          <w:b/>
          <w:bCs/>
        </w:rPr>
        <w:t>Implications for national guidance on cost sharing and transparency (who pays, and why)</w:t>
      </w:r>
    </w:p>
    <w:p w14:paraId="6D2065D1" w14:textId="33B41329" w:rsidR="00AE289B" w:rsidRDefault="00AE289B" w:rsidP="00AE289B">
      <w:r>
        <w:t>P</w:t>
      </w:r>
      <w:r w:rsidRPr="00A33AF0">
        <w:t xml:space="preserve">ricing and economic regulation settings require clearer guidance on cost sharing between government and users, to </w:t>
      </w:r>
      <w:r>
        <w:t>improve</w:t>
      </w:r>
      <w:r w:rsidRPr="00A33AF0">
        <w:t xml:space="preserve"> transparency about the basis for cost recovery and </w:t>
      </w:r>
      <w:r>
        <w:t>when</w:t>
      </w:r>
      <w:r w:rsidRPr="00A33AF0">
        <w:t xml:space="preserve"> subsidies are required to meet broader public policy objectives or affordability constraints</w:t>
      </w:r>
      <w:r>
        <w:t>. This is particularly relevant in three</w:t>
      </w:r>
      <w:r w:rsidR="00116305">
        <w:t> </w:t>
      </w:r>
      <w:r>
        <w:t>areas:</w:t>
      </w:r>
    </w:p>
    <w:p w14:paraId="0EEEEAB4" w14:textId="77777777" w:rsidR="00AE289B" w:rsidRPr="001B3779" w:rsidRDefault="00AE289B" w:rsidP="00AE289B">
      <w:pPr>
        <w:rPr>
          <w:u w:val="single"/>
        </w:rPr>
      </w:pPr>
      <w:r>
        <w:rPr>
          <w:u w:val="single"/>
        </w:rPr>
        <w:t xml:space="preserve">a) </w:t>
      </w:r>
      <w:r w:rsidRPr="00950B10">
        <w:rPr>
          <w:u w:val="single"/>
        </w:rPr>
        <w:t>The expansion of obligations and service provision</w:t>
      </w:r>
      <w:r w:rsidRPr="001B3779">
        <w:rPr>
          <w:u w:val="single"/>
        </w:rPr>
        <w:t xml:space="preserve">: </w:t>
      </w:r>
    </w:p>
    <w:p w14:paraId="7EAEC4E4" w14:textId="25D72636" w:rsidR="00AE289B" w:rsidRPr="002809CC" w:rsidRDefault="00AE289B" w:rsidP="00AE289B">
      <w:r>
        <w:t>Obligations on water utilities have become more complex since 2004. Price determinations increasingly include efficient costs associated with activities beyond core water delivery and access, including environmental mitigation (for example fish passage)</w:t>
      </w:r>
      <w:r w:rsidR="77507B54">
        <w:t>, land management</w:t>
      </w:r>
      <w:r>
        <w:t>, climate resilience or net zero measures, dam safety, and recreational access. Where drivers and benefits extend beyond water access licence holders, national guidance should support transparent identification of these broader obligations, and clearer principles for allocating costs between beneficiaries, including where government contributions are appropriate.</w:t>
      </w:r>
    </w:p>
    <w:p w14:paraId="31F49434" w14:textId="77777777" w:rsidR="00C750D2" w:rsidRDefault="00C750D2">
      <w:pPr>
        <w:spacing w:before="0" w:after="0" w:line="240" w:lineRule="auto"/>
        <w:rPr>
          <w:u w:val="single"/>
        </w:rPr>
      </w:pPr>
      <w:r>
        <w:rPr>
          <w:u w:val="single"/>
        </w:rPr>
        <w:br w:type="page"/>
      </w:r>
    </w:p>
    <w:p w14:paraId="11C4664D" w14:textId="636EEFDB" w:rsidR="00AE289B" w:rsidRPr="00167170" w:rsidRDefault="00AE289B" w:rsidP="00AE289B">
      <w:pPr>
        <w:rPr>
          <w:u w:val="single"/>
        </w:rPr>
      </w:pPr>
      <w:r>
        <w:rPr>
          <w:u w:val="single"/>
        </w:rPr>
        <w:lastRenderedPageBreak/>
        <w:t xml:space="preserve">b) </w:t>
      </w:r>
      <w:r w:rsidRPr="00167170">
        <w:rPr>
          <w:u w:val="single"/>
        </w:rPr>
        <w:t>Multi</w:t>
      </w:r>
      <w:r w:rsidRPr="00167170">
        <w:rPr>
          <w:u w:val="single"/>
        </w:rPr>
        <w:noBreakHyphen/>
        <w:t>beneficiary activities and defining the ‘user’:</w:t>
      </w:r>
      <w:r>
        <w:t xml:space="preserve"> </w:t>
      </w:r>
    </w:p>
    <w:p w14:paraId="36955B09" w14:textId="77777777" w:rsidR="00AE289B" w:rsidRPr="00E84A41" w:rsidRDefault="00AE289B" w:rsidP="00AE289B">
      <w:r>
        <w:t>National pricing guidance does not sufficiently define who the relevant ‘user’ is for pricing and cost recovery purposes when an activity delivers benefits to multiple parties. In practice, ‘users’ may be interpreted as water access licence holders even where benefits extend to the wider community and the environment. National guidance should define key terms and require a practical method for identifying beneficiaries, distinguishing core delivery and access services from broader public benefit activities, and apportioning costs where there are multiple beneficiaries. It should also require transparency about when and why government contributions are applied, including where recovery from water access licence holders alone is inequitable or unaffordable.</w:t>
      </w:r>
    </w:p>
    <w:p w14:paraId="1AD2318D" w14:textId="77777777" w:rsidR="00AE289B" w:rsidRPr="003252FF" w:rsidRDefault="00AE289B" w:rsidP="00AE289B">
      <w:pPr>
        <w:rPr>
          <w:u w:val="single"/>
        </w:rPr>
      </w:pPr>
      <w:r w:rsidRPr="001B3779">
        <w:rPr>
          <w:u w:val="single"/>
        </w:rPr>
        <w:t xml:space="preserve">c) </w:t>
      </w:r>
      <w:r w:rsidRPr="0000373D">
        <w:rPr>
          <w:u w:val="single"/>
        </w:rPr>
        <w:t>A</w:t>
      </w:r>
      <w:r w:rsidRPr="00E51149">
        <w:rPr>
          <w:u w:val="single"/>
        </w:rPr>
        <w:t>ffordability</w:t>
      </w:r>
      <w:r>
        <w:rPr>
          <w:u w:val="single"/>
        </w:rPr>
        <w:t xml:space="preserve"> and explicit trade-offs</w:t>
      </w:r>
      <w:r w:rsidRPr="00E51149">
        <w:rPr>
          <w:u w:val="single"/>
        </w:rPr>
        <w:t xml:space="preserve">: </w:t>
      </w:r>
    </w:p>
    <w:p w14:paraId="0CC3BA6E" w14:textId="7AAC1EDA" w:rsidR="00AE289B" w:rsidRPr="003252FF" w:rsidRDefault="00AE289B" w:rsidP="00AE289B">
      <w:r>
        <w:t>Affordability is a cross-cutting issue in price setting and should be treated explicitly, rather than implicitly embedded in cost structures or addressed only through limited mechanisms. National guidance should require a clearer examination of the drivers of escalating costs in water services, including climate variability, regulatory requirements, renewal</w:t>
      </w:r>
      <w:r w:rsidR="4F39A5F2" w:rsidRPr="00F41CB8">
        <w:t xml:space="preserve"> of</w:t>
      </w:r>
      <w:r w:rsidR="4F39A5F2">
        <w:t xml:space="preserve"> aging assets</w:t>
      </w:r>
      <w:r>
        <w:t>, and evolving community expectations, and explain how these pressures flow through to bills over time.</w:t>
      </w:r>
    </w:p>
    <w:p w14:paraId="33823B8F" w14:textId="624B0D05" w:rsidR="1DBE1429" w:rsidRDefault="1DBE1429">
      <w:r>
        <w:t xml:space="preserve">Water infrastructure is also changing with climate </w:t>
      </w:r>
      <w:r w:rsidR="1BCE0DC9">
        <w:t>resilient</w:t>
      </w:r>
      <w:r w:rsidR="24D81533">
        <w:t xml:space="preserve"> infrastructure being built, reducing the utilisation of dam </w:t>
      </w:r>
      <w:r w:rsidR="4FF29172">
        <w:t>infrastructure with resulting price and asset valuation impacts.</w:t>
      </w:r>
    </w:p>
    <w:p w14:paraId="4BD3B705" w14:textId="77777777" w:rsidR="00AE289B" w:rsidRPr="00A122AB" w:rsidRDefault="00AE289B" w:rsidP="00AE289B">
      <w:r w:rsidRPr="00A122AB">
        <w:t>Affordability pressures can worsen when demand or usage patterns shift and largely fixed costs must be recovered from fewer (or different) paying customers. Where efficient cost recovery from water access licence holders is constrained, national guidance should support explicit government contributions where recovery from water access licence holders alone would be inequitable or</w:t>
      </w:r>
      <w:r>
        <w:t> </w:t>
      </w:r>
      <w:r w:rsidRPr="00A122AB">
        <w:t>unaffordable.</w:t>
      </w:r>
    </w:p>
    <w:p w14:paraId="14212957" w14:textId="77777777" w:rsidR="00AE289B" w:rsidRPr="001B3779" w:rsidRDefault="00AE289B" w:rsidP="00AE289B">
      <w:pPr>
        <w:spacing w:after="160" w:line="278" w:lineRule="auto"/>
        <w:rPr>
          <w:u w:val="single"/>
        </w:rPr>
      </w:pPr>
      <w:r w:rsidRPr="001B3779">
        <w:rPr>
          <w:u w:val="single"/>
        </w:rPr>
        <w:t>d) New and expanding water</w:t>
      </w:r>
      <w:r w:rsidRPr="001B3779">
        <w:rPr>
          <w:u w:val="single"/>
        </w:rPr>
        <w:noBreakHyphen/>
        <w:t xml:space="preserve">intensive industries – data centres and </w:t>
      </w:r>
      <w:r>
        <w:rPr>
          <w:u w:val="single"/>
        </w:rPr>
        <w:t>AI </w:t>
      </w:r>
      <w:r w:rsidRPr="001B3779">
        <w:rPr>
          <w:u w:val="single"/>
        </w:rPr>
        <w:t>infrastructure:</w:t>
      </w:r>
    </w:p>
    <w:p w14:paraId="573B9F02" w14:textId="2ED1CC44" w:rsidR="00AE289B" w:rsidRDefault="00AE289B" w:rsidP="00AE289B">
      <w:r w:rsidRPr="00920B3B">
        <w:t xml:space="preserve">Data centres and </w:t>
      </w:r>
      <w:r w:rsidR="00C024AA">
        <w:t xml:space="preserve">the associated </w:t>
      </w:r>
      <w:r w:rsidRPr="00920B3B">
        <w:t xml:space="preserve">infrastructure </w:t>
      </w:r>
      <w:r w:rsidR="00C024AA">
        <w:t xml:space="preserve">for AI </w:t>
      </w:r>
      <w:r w:rsidRPr="00920B3B">
        <w:t>can create very large, local</w:t>
      </w:r>
      <w:r>
        <w:t>ly</w:t>
      </w:r>
      <w:r w:rsidRPr="00920B3B">
        <w:noBreakHyphen/>
        <w:t>specific water demand</w:t>
      </w:r>
      <w:r>
        <w:t>.</w:t>
      </w:r>
      <w:r w:rsidRPr="00920B3B">
        <w:t xml:space="preserve"> In constrained systems, meeting that demand can bring forward or expand investment in capacity and drought resilience, and increase operational risk and planning complexity for service providers. </w:t>
      </w:r>
      <w:r>
        <w:t>These</w:t>
      </w:r>
      <w:r w:rsidRPr="00920B3B">
        <w:t xml:space="preserve"> impacts are not proportionate to typical incremental industrial growth and can tighten trade</w:t>
      </w:r>
      <w:r w:rsidRPr="00920B3B">
        <w:noBreakHyphen/>
        <w:t>offs for other users and service outcomes if costs are not clearly assigned.</w:t>
      </w:r>
    </w:p>
    <w:p w14:paraId="254FF69B" w14:textId="77777777" w:rsidR="00AE289B" w:rsidRDefault="00AE289B" w:rsidP="00AE289B">
      <w:r>
        <w:t>N</w:t>
      </w:r>
      <w:r w:rsidRPr="008F6D46">
        <w:t>ational pricing guidance should therefore provide clearer, more direct mechanisms for allocating the efficient incremental costs of this demand profile to the proponents that drive it</w:t>
      </w:r>
      <w:r>
        <w:t>,</w:t>
      </w:r>
      <w:r w:rsidRPr="008F6D46">
        <w:t xml:space="preserve"> including augmentation and connection contributions where new demand triggers new or upgraded capacity, and charges that better reflect supply security and local capacity impacts. </w:t>
      </w:r>
      <w:r w:rsidRPr="00CF2819">
        <w:t>Specifically, consideration should be given to whether project proponents should bear the efficient incremental system costs they trigger, including any additional storage, release, conveyance and operational requirements to maintain supply security for existing users.</w:t>
      </w:r>
    </w:p>
    <w:p w14:paraId="07B45AD9" w14:textId="77777777" w:rsidR="00AE289B" w:rsidRPr="00D60CFE" w:rsidRDefault="00AE289B" w:rsidP="00AE289B">
      <w:pPr>
        <w:spacing w:line="278" w:lineRule="auto"/>
      </w:pPr>
      <w:r w:rsidRPr="008F6D46">
        <w:t>This reduces cross</w:t>
      </w:r>
      <w:r w:rsidRPr="008F6D46">
        <w:noBreakHyphen/>
        <w:t>subsidy risk, supports efficient investment signals, and protects long</w:t>
      </w:r>
      <w:r w:rsidRPr="008F6D46">
        <w:noBreakHyphen/>
        <w:t xml:space="preserve">term service resilience for existing customers while enabling sustainable development of new industries. </w:t>
      </w:r>
      <w:r w:rsidRPr="00D60CFE">
        <w:t>These settings should be underpinned by transparent reporting obligations placed on project proponents, with compliance and monitoring requirements set through relevant regulatory and approval processes, to support cumulative impact assessment and long-term planning.</w:t>
      </w:r>
    </w:p>
    <w:sectPr w:rsidR="00AE289B" w:rsidRPr="00D60CFE" w:rsidSect="00805884">
      <w:headerReference w:type="even" r:id="rId14"/>
      <w:headerReference w:type="default" r:id="rId15"/>
      <w:footerReference w:type="even" r:id="rId16"/>
      <w:footerReference w:type="default" r:id="rId17"/>
      <w:headerReference w:type="first" r:id="rId18"/>
      <w:footerReference w:type="first" r:id="rId19"/>
      <w:pgSz w:w="11900" w:h="16840"/>
      <w:pgMar w:top="907" w:right="907" w:bottom="90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DF54A" w14:textId="77777777" w:rsidR="006670BA" w:rsidRDefault="006670BA" w:rsidP="008F5016">
      <w:r>
        <w:separator/>
      </w:r>
    </w:p>
    <w:p w14:paraId="7B37D399" w14:textId="77777777" w:rsidR="006670BA" w:rsidRDefault="006670BA"/>
  </w:endnote>
  <w:endnote w:type="continuationSeparator" w:id="0">
    <w:p w14:paraId="2DABAF9F" w14:textId="77777777" w:rsidR="006670BA" w:rsidRDefault="006670BA" w:rsidP="008F5016">
      <w:r>
        <w:continuationSeparator/>
      </w:r>
    </w:p>
    <w:p w14:paraId="2E7D36C9" w14:textId="77777777" w:rsidR="006670BA" w:rsidRDefault="006670BA"/>
  </w:endnote>
  <w:endnote w:type="continuationNotice" w:id="1">
    <w:p w14:paraId="15BBC81D" w14:textId="77777777" w:rsidR="006670BA" w:rsidRDefault="006670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8395987"/>
      <w:docPartObj>
        <w:docPartGallery w:val="Page Numbers (Bottom of Page)"/>
        <w:docPartUnique/>
      </w:docPartObj>
    </w:sdtPr>
    <w:sdtContent>
      <w:p w14:paraId="25A81184" w14:textId="77777777" w:rsidR="00B942B9" w:rsidRDefault="00B942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4BFBB" w14:textId="77777777" w:rsidR="00B942B9" w:rsidRDefault="00B942B9" w:rsidP="00B942B9">
    <w:pPr>
      <w:pStyle w:val="Footer"/>
      <w:ind w:right="360"/>
    </w:pPr>
  </w:p>
  <w:p w14:paraId="202C4D6A" w14:textId="77777777" w:rsidR="00997333" w:rsidRDefault="009973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E4D0" w14:textId="77777777" w:rsidR="0062782A" w:rsidRDefault="0062782A" w:rsidP="00825A34">
    <w:pPr>
      <w:pStyle w:val="Footer"/>
    </w:pPr>
  </w:p>
  <w:p w14:paraId="30BBB643" w14:textId="77777777" w:rsidR="00825A34" w:rsidRPr="00035CB6" w:rsidRDefault="00825A34" w:rsidP="00825A34">
    <w:pPr>
      <w:pStyle w:val="Footer"/>
    </w:pPr>
    <w:r w:rsidRPr="00035CB6">
      <w:rPr>
        <w:noProof/>
      </w:rPr>
      <mc:AlternateContent>
        <mc:Choice Requires="wps">
          <w:drawing>
            <wp:anchor distT="0" distB="0" distL="114300" distR="114300" simplePos="0" relativeHeight="251658241" behindDoc="0" locked="0" layoutInCell="1" allowOverlap="1" wp14:anchorId="1BBE0385" wp14:editId="6399D869">
              <wp:simplePos x="0" y="0"/>
              <wp:positionH relativeFrom="column">
                <wp:posOffset>-15240</wp:posOffset>
              </wp:positionH>
              <wp:positionV relativeFrom="paragraph">
                <wp:posOffset>62230</wp:posOffset>
              </wp:positionV>
              <wp:extent cx="6408000" cy="0"/>
              <wp:effectExtent l="0" t="0" r="5715" b="12700"/>
              <wp:wrapNone/>
              <wp:docPr id="429136231" name="Straight Connector 2"/>
              <wp:cNvGraphicFramePr/>
              <a:graphic xmlns:a="http://schemas.openxmlformats.org/drawingml/2006/main">
                <a:graphicData uri="http://schemas.microsoft.com/office/word/2010/wordprocessingShape">
                  <wps:wsp>
                    <wps:cNvCnPr/>
                    <wps:spPr>
                      <a:xfrm>
                        <a:off x="0" y="0"/>
                        <a:ext cx="640800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E6B454" id="Straight Connector 2"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4.9pt" to="503.3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" strokecolor="#7f7f7f [1612]" strokeweight="1pt">
              <v:stroke joinstyle="miter"/>
            </v:line>
          </w:pict>
        </mc:Fallback>
      </mc:AlternateContent>
    </w:r>
  </w:p>
  <w:p w14:paraId="2C4BF2BF" w14:textId="77777777" w:rsidR="00997333" w:rsidRPr="00825A34" w:rsidRDefault="00000000" w:rsidP="00825A34">
    <w:pPr>
      <w:jc w:val="right"/>
    </w:pPr>
    <w:sdt>
      <w:sdtPr>
        <w:rPr>
          <w:rStyle w:val="PageNumber"/>
        </w:rPr>
        <w:id w:val="-1266995404"/>
        <w:docPartObj>
          <w:docPartGallery w:val="Page Numbers (Bottom of Page)"/>
          <w:docPartUnique/>
        </w:docPartObj>
      </w:sdtPr>
      <w:sdtContent>
        <w:r w:rsidR="00825A34" w:rsidRPr="00C3279C">
          <w:rPr>
            <w:rStyle w:val="PageNumber"/>
            <w:sz w:val="18"/>
            <w:szCs w:val="18"/>
          </w:rPr>
          <w:fldChar w:fldCharType="begin"/>
        </w:r>
        <w:r w:rsidR="00825A34" w:rsidRPr="00C3279C">
          <w:rPr>
            <w:rStyle w:val="PageNumber"/>
            <w:sz w:val="18"/>
            <w:szCs w:val="18"/>
          </w:rPr>
          <w:instrText xml:space="preserve"> PAGE </w:instrText>
        </w:r>
        <w:r w:rsidR="00825A34" w:rsidRPr="00C3279C">
          <w:rPr>
            <w:rStyle w:val="PageNumber"/>
            <w:sz w:val="18"/>
            <w:szCs w:val="18"/>
          </w:rPr>
          <w:fldChar w:fldCharType="separate"/>
        </w:r>
        <w:r w:rsidR="00825A34" w:rsidRPr="00C3279C">
          <w:rPr>
            <w:rStyle w:val="PageNumber"/>
            <w:sz w:val="18"/>
            <w:szCs w:val="18"/>
          </w:rPr>
          <w:t>2</w:t>
        </w:r>
        <w:r w:rsidR="00825A34" w:rsidRPr="00C3279C">
          <w:rPr>
            <w:rStyle w:val="PageNumber"/>
            <w:sz w:val="18"/>
            <w:szCs w:val="18"/>
          </w:rPr>
          <w:fldChar w:fldCharType="end"/>
        </w:r>
      </w:sdtContent>
    </w:sdt>
    <w:r w:rsidR="00825A34" w:rsidRPr="001952EB">
      <w:rPr>
        <w:b/>
        <w:bCs/>
        <w:noProof/>
        <w:color w:val="002855" w:themeColor="text2"/>
      </w:rPr>
      <w:drawing>
        <wp:anchor distT="0" distB="0" distL="114300" distR="114300" simplePos="0" relativeHeight="251658242" behindDoc="0" locked="0" layoutInCell="1" allowOverlap="1" wp14:anchorId="20101ED8" wp14:editId="257C111F">
          <wp:simplePos x="0" y="0"/>
          <wp:positionH relativeFrom="column">
            <wp:posOffset>6559</wp:posOffset>
          </wp:positionH>
          <wp:positionV relativeFrom="paragraph">
            <wp:posOffset>102870</wp:posOffset>
          </wp:positionV>
          <wp:extent cx="1314032" cy="360045"/>
          <wp:effectExtent l="0" t="0" r="635" b="1905"/>
          <wp:wrapNone/>
          <wp:docPr id="1297776072" name="Picture 1297776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76072" name="Picture 1297776072"/>
                  <pic:cNvPicPr/>
                </pic:nvPicPr>
                <pic:blipFill>
                  <a:blip r:embed="rId1">
                    <a:extLst>
                      <a:ext uri="{28A0092B-C50C-407E-A947-70E740481C1C}">
                        <a14:useLocalDpi xmlns:a14="http://schemas.microsoft.com/office/drawing/2010/main" val="0"/>
                      </a:ext>
                    </a:extLst>
                  </a:blip>
                  <a:stretch>
                    <a:fillRect/>
                  </a:stretch>
                </pic:blipFill>
                <pic:spPr>
                  <a:xfrm>
                    <a:off x="0" y="0"/>
                    <a:ext cx="1314032" cy="36004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54C2" w14:textId="77777777" w:rsidR="00643915" w:rsidRPr="00AF40F3" w:rsidRDefault="00643915" w:rsidP="008751EF">
    <w:pPr>
      <w:pStyle w:val="NoSpacing"/>
    </w:pPr>
    <w:r w:rsidRPr="00AF40F3">
      <w:rPr>
        <w:noProof/>
      </w:rPr>
      <mc:AlternateContent>
        <mc:Choice Requires="wps">
          <w:drawing>
            <wp:anchor distT="0" distB="0" distL="114300" distR="114300" simplePos="0" relativeHeight="251658240" behindDoc="0" locked="0" layoutInCell="1" allowOverlap="1" wp14:anchorId="2288DC0A" wp14:editId="776E210E">
              <wp:simplePos x="0" y="0"/>
              <wp:positionH relativeFrom="column">
                <wp:posOffset>-15240</wp:posOffset>
              </wp:positionH>
              <wp:positionV relativeFrom="paragraph">
                <wp:posOffset>62230</wp:posOffset>
              </wp:positionV>
              <wp:extent cx="6408000" cy="0"/>
              <wp:effectExtent l="0" t="0" r="5715" b="12700"/>
              <wp:wrapNone/>
              <wp:docPr id="492666264" name="Straight Connector 2"/>
              <wp:cNvGraphicFramePr/>
              <a:graphic xmlns:a="http://schemas.openxmlformats.org/drawingml/2006/main">
                <a:graphicData uri="http://schemas.microsoft.com/office/word/2010/wordprocessingShape">
                  <wps:wsp>
                    <wps:cNvCnPr/>
                    <wps:spPr>
                      <a:xfrm>
                        <a:off x="0" y="0"/>
                        <a:ext cx="640800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7D25BD"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4.9pt" to="503.3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" strokecolor="#7f7f7f [1612]" strokeweight="1pt">
              <v:stroke joinstyle="miter"/>
            </v:line>
          </w:pict>
        </mc:Fallback>
      </mc:AlternateContent>
    </w:r>
  </w:p>
  <w:tbl>
    <w:tblPr>
      <w:tblStyle w:val="TableNoBorder1"/>
      <w:tblW w:w="10065" w:type="dxa"/>
      <w:tblLook w:val="04A0" w:firstRow="1" w:lastRow="0" w:firstColumn="1" w:lastColumn="0" w:noHBand="0" w:noVBand="1"/>
    </w:tblPr>
    <w:tblGrid>
      <w:gridCol w:w="6091"/>
      <w:gridCol w:w="3974"/>
    </w:tblGrid>
    <w:tr w:rsidR="00643915" w:rsidRPr="00257BA5" w14:paraId="7676B59E" w14:textId="77777777" w:rsidTr="00C3279C">
      <w:tc>
        <w:tcPr>
          <w:tcW w:w="6091" w:type="dxa"/>
        </w:tcPr>
        <w:p w14:paraId="03844F20" w14:textId="77777777" w:rsidR="00643915" w:rsidRPr="000246D2" w:rsidRDefault="00643915" w:rsidP="00643915">
          <w:pPr>
            <w:pStyle w:val="Footerspacing"/>
            <w:rPr>
              <w:sz w:val="18"/>
              <w:szCs w:val="18"/>
            </w:rPr>
          </w:pPr>
          <w:proofErr w:type="spellStart"/>
          <w:proofErr w:type="gramStart"/>
          <w:r w:rsidRPr="000246D2">
            <w:rPr>
              <w:b/>
              <w:sz w:val="18"/>
              <w:szCs w:val="18"/>
            </w:rPr>
            <w:t>WaterNSW</w:t>
          </w:r>
          <w:proofErr w:type="spellEnd"/>
          <w:r w:rsidRPr="000246D2">
            <w:rPr>
              <w:b/>
              <w:sz w:val="18"/>
              <w:szCs w:val="18"/>
            </w:rPr>
            <w:t xml:space="preserve">  </w:t>
          </w:r>
          <w:r w:rsidRPr="000246D2">
            <w:rPr>
              <w:sz w:val="18"/>
              <w:szCs w:val="18"/>
            </w:rPr>
            <w:t>ABN</w:t>
          </w:r>
          <w:proofErr w:type="gramEnd"/>
          <w:r w:rsidRPr="000246D2">
            <w:rPr>
              <w:sz w:val="18"/>
              <w:szCs w:val="18"/>
            </w:rPr>
            <w:t xml:space="preserve"> 21 147 934 787</w:t>
          </w:r>
        </w:p>
        <w:p w14:paraId="05DC3E65" w14:textId="0D0CF6E3" w:rsidR="00643915" w:rsidRPr="000246D2" w:rsidRDefault="00643915" w:rsidP="00643915">
          <w:pPr>
            <w:pStyle w:val="Footerspacing"/>
            <w:rPr>
              <w:sz w:val="18"/>
              <w:szCs w:val="18"/>
            </w:rPr>
          </w:pPr>
          <w:r w:rsidRPr="000246D2">
            <w:rPr>
              <w:sz w:val="18"/>
              <w:szCs w:val="18"/>
            </w:rPr>
            <w:t xml:space="preserve">PO Box </w:t>
          </w:r>
          <w:r w:rsidR="00EB30B1" w:rsidRPr="00EB30B1">
            <w:rPr>
              <w:sz w:val="18"/>
              <w:szCs w:val="18"/>
              <w:highlight w:val="black"/>
            </w:rPr>
            <w:t>xxx</w:t>
          </w:r>
          <w:r w:rsidRPr="000246D2">
            <w:rPr>
              <w:sz w:val="18"/>
              <w:szCs w:val="18"/>
            </w:rPr>
            <w:t>, Parramatta NSW 2124</w:t>
          </w:r>
        </w:p>
        <w:p w14:paraId="6D524BE8" w14:textId="40A84016" w:rsidR="00643915" w:rsidRPr="00DB13FC" w:rsidRDefault="00643915" w:rsidP="00643915">
          <w:pPr>
            <w:pStyle w:val="Footerspacing"/>
            <w:rPr>
              <w:b/>
            </w:rPr>
          </w:pPr>
          <w:r w:rsidRPr="000246D2">
            <w:rPr>
              <w:b/>
              <w:bCs/>
              <w:sz w:val="18"/>
              <w:szCs w:val="18"/>
            </w:rPr>
            <w:t>t.</w:t>
          </w:r>
          <w:r w:rsidRPr="000246D2">
            <w:rPr>
              <w:sz w:val="18"/>
              <w:szCs w:val="18"/>
            </w:rPr>
            <w:t xml:space="preserve">   </w:t>
          </w:r>
          <w:proofErr w:type="spellStart"/>
          <w:r w:rsidR="007F5428" w:rsidRPr="007F5428">
            <w:rPr>
              <w:sz w:val="18"/>
              <w:szCs w:val="18"/>
              <w:highlight w:val="black"/>
            </w:rPr>
            <w:t>xxxx</w:t>
          </w:r>
          <w:proofErr w:type="spellEnd"/>
          <w:r w:rsidRPr="000246D2">
            <w:rPr>
              <w:sz w:val="18"/>
              <w:szCs w:val="18"/>
            </w:rPr>
            <w:t xml:space="preserve"> </w:t>
          </w:r>
          <w:r w:rsidR="007F5428" w:rsidRPr="007F5428">
            <w:rPr>
              <w:sz w:val="18"/>
              <w:szCs w:val="18"/>
              <w:highlight w:val="black"/>
            </w:rPr>
            <w:t>xxx</w:t>
          </w:r>
          <w:r w:rsidRPr="000246D2">
            <w:rPr>
              <w:sz w:val="18"/>
              <w:szCs w:val="18"/>
            </w:rPr>
            <w:t xml:space="preserve"> </w:t>
          </w:r>
          <w:proofErr w:type="spellStart"/>
          <w:r w:rsidR="007F5428" w:rsidRPr="007F5428">
            <w:rPr>
              <w:sz w:val="18"/>
              <w:szCs w:val="18"/>
              <w:highlight w:val="black"/>
            </w:rPr>
            <w:t>xxx</w:t>
          </w:r>
          <w:proofErr w:type="spellEnd"/>
          <w:r w:rsidRPr="000246D2">
            <w:rPr>
              <w:sz w:val="18"/>
              <w:szCs w:val="18"/>
            </w:rPr>
            <w:t xml:space="preserve">     </w:t>
          </w:r>
          <w:r w:rsidRPr="000246D2">
            <w:rPr>
              <w:b/>
              <w:bCs/>
              <w:sz w:val="18"/>
              <w:szCs w:val="18"/>
            </w:rPr>
            <w:t>e.</w:t>
          </w:r>
          <w:r w:rsidRPr="000246D2">
            <w:rPr>
              <w:sz w:val="18"/>
              <w:szCs w:val="18"/>
            </w:rPr>
            <w:t xml:space="preserve">   </w:t>
          </w:r>
          <w:proofErr w:type="spellStart"/>
          <w:r w:rsidR="006A0367" w:rsidRPr="006A0367">
            <w:rPr>
              <w:sz w:val="18"/>
              <w:szCs w:val="18"/>
              <w:highlight w:val="black"/>
            </w:rPr>
            <w:t>xxxxxxxxxxxxxxxxxxxxxxxxxxxxxxxxxx</w:t>
          </w:r>
          <w:proofErr w:type="spellEnd"/>
        </w:p>
      </w:tc>
      <w:tc>
        <w:tcPr>
          <w:tcW w:w="3974" w:type="dxa"/>
        </w:tcPr>
        <w:sdt>
          <w:sdtPr>
            <w:rPr>
              <w:rStyle w:val="PageNumber"/>
              <w:sz w:val="18"/>
              <w:szCs w:val="18"/>
            </w:rPr>
            <w:id w:val="1009101740"/>
            <w:docPartObj>
              <w:docPartGallery w:val="Page Numbers (Bottom of Page)"/>
              <w:docPartUnique/>
            </w:docPartObj>
          </w:sdtPr>
          <w:sdtContent>
            <w:p w14:paraId="0936EB5C" w14:textId="77777777" w:rsidR="00643915" w:rsidRPr="00561758" w:rsidRDefault="00643915" w:rsidP="00643915">
              <w:pPr>
                <w:pStyle w:val="Footerspacing"/>
                <w:jc w:val="right"/>
                <w:rPr>
                  <w:rStyle w:val="PageNumber"/>
                  <w:sz w:val="18"/>
                  <w:szCs w:val="18"/>
                </w:rPr>
              </w:pPr>
            </w:p>
            <w:p w14:paraId="1AEFE770" w14:textId="77777777" w:rsidR="00643915" w:rsidRDefault="00643915" w:rsidP="00643915">
              <w:pPr>
                <w:pStyle w:val="Footerspacing"/>
                <w:jc w:val="right"/>
                <w:rPr>
                  <w:rFonts w:eastAsia="Century Gothic" w:cs="Times New Roman"/>
                  <w:color w:val="0053A6"/>
                  <w:sz w:val="18"/>
                  <w:szCs w:val="18"/>
                </w:rPr>
              </w:pPr>
            </w:p>
            <w:p w14:paraId="008E8451" w14:textId="77777777" w:rsidR="00643915" w:rsidRPr="00DB13FC" w:rsidRDefault="00643915" w:rsidP="00C3279C">
              <w:pPr>
                <w:pStyle w:val="Footerspacing"/>
                <w:jc w:val="right"/>
              </w:pPr>
              <w:proofErr w:type="spellStart"/>
              <w:r w:rsidRPr="00561758">
                <w:rPr>
                  <w:b/>
                  <w:color w:val="0054A6" w:themeColor="accent1"/>
                  <w:sz w:val="18"/>
                  <w:szCs w:val="18"/>
                </w:rPr>
                <w:t>WaterNSW</w:t>
              </w:r>
              <w:proofErr w:type="spellEnd"/>
              <w:r w:rsidRPr="00561758">
                <w:rPr>
                  <w:b/>
                  <w:color w:val="0054A6" w:themeColor="accent1"/>
                  <w:sz w:val="18"/>
                  <w:szCs w:val="18"/>
                </w:rPr>
                <w:t xml:space="preserve"> </w:t>
              </w:r>
              <w:r w:rsidRPr="00561758">
                <w:rPr>
                  <w:color w:val="0054A6" w:themeColor="accent1"/>
                  <w:sz w:val="18"/>
                  <w:szCs w:val="18"/>
                </w:rPr>
                <w:t>|</w:t>
              </w:r>
              <w:r w:rsidRPr="00561758">
                <w:rPr>
                  <w:b/>
                  <w:color w:val="0054A6" w:themeColor="accent1"/>
                  <w:sz w:val="18"/>
                  <w:szCs w:val="18"/>
                </w:rPr>
                <w:t xml:space="preserve"> </w:t>
              </w:r>
              <w:r w:rsidRPr="00561758">
                <w:rPr>
                  <w:color w:val="0054A6" w:themeColor="accent1"/>
                  <w:sz w:val="18"/>
                  <w:szCs w:val="18"/>
                </w:rPr>
                <w:t>We’re at the source</w:t>
              </w:r>
            </w:p>
          </w:sdtContent>
        </w:sdt>
      </w:tc>
    </w:tr>
  </w:tbl>
  <w:p w14:paraId="43227652" w14:textId="77777777" w:rsidR="005E3BEF" w:rsidRPr="00825A34" w:rsidRDefault="005E3BEF" w:rsidP="008751EF">
    <w:pPr>
      <w:pStyle w:val="NoSpacing"/>
      <w:rPr>
        <w:sz w:val="6"/>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E72E" w14:textId="77777777" w:rsidR="006670BA" w:rsidRDefault="006670BA" w:rsidP="008F5016">
      <w:r>
        <w:separator/>
      </w:r>
    </w:p>
    <w:p w14:paraId="7238BAC8" w14:textId="77777777" w:rsidR="006670BA" w:rsidRDefault="006670BA"/>
  </w:footnote>
  <w:footnote w:type="continuationSeparator" w:id="0">
    <w:p w14:paraId="2DF4E86F" w14:textId="77777777" w:rsidR="006670BA" w:rsidRDefault="006670BA" w:rsidP="008F5016">
      <w:r>
        <w:continuationSeparator/>
      </w:r>
    </w:p>
    <w:p w14:paraId="2785C1FE" w14:textId="77777777" w:rsidR="006670BA" w:rsidRDefault="006670BA"/>
  </w:footnote>
  <w:footnote w:type="continuationNotice" w:id="1">
    <w:p w14:paraId="4F0A9505" w14:textId="77777777" w:rsidR="006670BA" w:rsidRDefault="006670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5A43" w14:textId="05B8E4E2" w:rsidR="008F189C" w:rsidRDefault="008F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2BF4606D" w14:paraId="3476C8E3" w14:textId="77777777" w:rsidTr="2BF4606D">
      <w:trPr>
        <w:trHeight w:val="300"/>
      </w:trPr>
      <w:tc>
        <w:tcPr>
          <w:tcW w:w="3360" w:type="dxa"/>
        </w:tcPr>
        <w:p w14:paraId="7F41BF86" w14:textId="1C8BC594" w:rsidR="2BF4606D" w:rsidRDefault="2BF4606D" w:rsidP="2BF4606D">
          <w:pPr>
            <w:pStyle w:val="Header"/>
            <w:ind w:left="-115"/>
          </w:pPr>
        </w:p>
      </w:tc>
      <w:tc>
        <w:tcPr>
          <w:tcW w:w="3360" w:type="dxa"/>
        </w:tcPr>
        <w:p w14:paraId="185D872C" w14:textId="77777777" w:rsidR="2BF4606D" w:rsidRDefault="2BF4606D" w:rsidP="2BF4606D">
          <w:pPr>
            <w:pStyle w:val="Header"/>
            <w:jc w:val="center"/>
          </w:pPr>
        </w:p>
      </w:tc>
      <w:tc>
        <w:tcPr>
          <w:tcW w:w="3360" w:type="dxa"/>
        </w:tcPr>
        <w:p w14:paraId="57175077" w14:textId="77777777" w:rsidR="2BF4606D" w:rsidRDefault="2BF4606D" w:rsidP="2BF4606D">
          <w:pPr>
            <w:pStyle w:val="Header"/>
            <w:ind w:right="-115"/>
            <w:jc w:val="right"/>
          </w:pPr>
        </w:p>
      </w:tc>
    </w:tr>
  </w:tbl>
  <w:p w14:paraId="4C057645" w14:textId="77777777" w:rsidR="2BF4606D" w:rsidRDefault="2BF4606D" w:rsidP="2BF46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0385" w14:textId="3C9BCDE0" w:rsidR="000D77C4" w:rsidRDefault="00BD70D7" w:rsidP="00CB1083">
    <w:pPr>
      <w:pStyle w:val="NoSpacing"/>
      <w:jc w:val="right"/>
    </w:pPr>
    <w:r>
      <w:rPr>
        <w:rStyle w:val="wacimagecontainer"/>
        <w:rFonts w:ascii="Segoe UI" w:hAnsi="Segoe UI" w:cs="Segoe UI"/>
        <w:noProof/>
        <w:color w:val="000000"/>
        <w:sz w:val="18"/>
        <w:szCs w:val="18"/>
        <w:shd w:val="clear" w:color="auto" w:fill="FFFFFF"/>
      </w:rPr>
      <w:drawing>
        <wp:inline distT="0" distB="0" distL="0" distR="0" wp14:anchorId="346D9AD8" wp14:editId="4C95718E">
          <wp:extent cx="1826319" cy="500411"/>
          <wp:effectExtent l="0" t="0" r="2540" b="0"/>
          <wp:docPr id="616034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3499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26319" cy="500411"/>
                  </a:xfrm>
                  <a:prstGeom prst="rect">
                    <a:avLst/>
                  </a:prstGeom>
                  <a:noFill/>
                  <a:ln>
                    <a:noFill/>
                  </a:ln>
                </pic:spPr>
              </pic:pic>
            </a:graphicData>
          </a:graphic>
        </wp:inline>
      </w:drawing>
    </w:r>
    <w:r>
      <w:rPr>
        <w:rFonts w:ascii="Barlow" w:hAnsi="Barlow"/>
        <w:szCs w:val="22"/>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85A19"/>
    <w:multiLevelType w:val="hybridMultilevel"/>
    <w:tmpl w:val="5D6671B2"/>
    <w:lvl w:ilvl="0" w:tplc="8BC0D03E">
      <w:start w:val="1"/>
      <w:numFmt w:val="lowerRoman"/>
      <w:pStyle w:val="Listnumberlevel3"/>
      <w:lvlText w:val="%1."/>
      <w:lvlJc w:val="right"/>
      <w:pPr>
        <w:ind w:left="2700" w:hanging="360"/>
      </w:p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1" w15:restartNumberingAfterBreak="0">
    <w:nsid w:val="2D4B5952"/>
    <w:multiLevelType w:val="hybridMultilevel"/>
    <w:tmpl w:val="BDFE4712"/>
    <w:lvl w:ilvl="0" w:tplc="7B3E9650">
      <w:start w:val="1"/>
      <w:numFmt w:val="lowerLetter"/>
      <w:pStyle w:val="Listnumberlevel2"/>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32AE09F0"/>
    <w:multiLevelType w:val="multilevel"/>
    <w:tmpl w:val="FE70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46187"/>
    <w:multiLevelType w:val="hybridMultilevel"/>
    <w:tmpl w:val="8990E0BA"/>
    <w:lvl w:ilvl="0" w:tplc="0478EFEE">
      <w:start w:val="1"/>
      <w:numFmt w:val="decimal"/>
      <w:pStyle w:val="Listnumberlevel1"/>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 w15:restartNumberingAfterBreak="0">
    <w:nsid w:val="4A1E37FF"/>
    <w:multiLevelType w:val="multilevel"/>
    <w:tmpl w:val="A3F43EEA"/>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4AE90F40"/>
    <w:multiLevelType w:val="hybridMultilevel"/>
    <w:tmpl w:val="25721452"/>
    <w:lvl w:ilvl="0" w:tplc="00D07A08">
      <w:start w:val="1"/>
      <w:numFmt w:val="bullet"/>
      <w:pStyle w:val="Listbulletlevel1"/>
      <w:lvlText w:val=""/>
      <w:lvlJc w:val="left"/>
      <w:pPr>
        <w:ind w:left="1446" w:hanging="360"/>
      </w:pPr>
      <w:rPr>
        <w:rFonts w:ascii="Symbol" w:hAnsi="Symbol" w:hint="default"/>
      </w:rPr>
    </w:lvl>
    <w:lvl w:ilvl="1" w:tplc="99780338">
      <w:start w:val="1"/>
      <w:numFmt w:val="bullet"/>
      <w:pStyle w:val="Listbulletlevel2"/>
      <w:lvlText w:val="o"/>
      <w:lvlJc w:val="left"/>
      <w:pPr>
        <w:ind w:left="2166" w:hanging="360"/>
      </w:pPr>
      <w:rPr>
        <w:rFonts w:ascii="Courier New" w:hAnsi="Courier New" w:cs="Courier New" w:hint="default"/>
      </w:rPr>
    </w:lvl>
    <w:lvl w:ilvl="2" w:tplc="7400C644">
      <w:start w:val="1"/>
      <w:numFmt w:val="bullet"/>
      <w:pStyle w:val="Listbulletlevel3"/>
      <w:lvlText w:val=""/>
      <w:lvlJc w:val="left"/>
      <w:pPr>
        <w:ind w:left="2886" w:hanging="360"/>
      </w:pPr>
      <w:rPr>
        <w:rFonts w:ascii="Wingdings" w:hAnsi="Wingdings" w:hint="default"/>
      </w:rPr>
    </w:lvl>
    <w:lvl w:ilvl="3" w:tplc="F88EFD18">
      <w:start w:val="1"/>
      <w:numFmt w:val="bullet"/>
      <w:pStyle w:val="Listbulletlevel4"/>
      <w:lvlText w:val=""/>
      <w:lvlJc w:val="left"/>
      <w:pPr>
        <w:ind w:left="3606" w:hanging="360"/>
      </w:pPr>
      <w:rPr>
        <w:rFonts w:ascii="Symbol" w:hAnsi="Symbol" w:hint="default"/>
      </w:rPr>
    </w:lvl>
    <w:lvl w:ilvl="4" w:tplc="CD40C810">
      <w:start w:val="1"/>
      <w:numFmt w:val="bullet"/>
      <w:pStyle w:val="Listbulletlevel5"/>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6" w15:restartNumberingAfterBreak="0">
    <w:nsid w:val="52862888"/>
    <w:multiLevelType w:val="hybridMultilevel"/>
    <w:tmpl w:val="26E2262E"/>
    <w:lvl w:ilvl="0" w:tplc="1530108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0E6BB4"/>
    <w:multiLevelType w:val="multilevel"/>
    <w:tmpl w:val="596CD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3854937">
    <w:abstractNumId w:val="5"/>
  </w:num>
  <w:num w:numId="2" w16cid:durableId="1068377635">
    <w:abstractNumId w:val="6"/>
  </w:num>
  <w:num w:numId="3" w16cid:durableId="1724787849">
    <w:abstractNumId w:val="4"/>
  </w:num>
  <w:num w:numId="4" w16cid:durableId="142279711">
    <w:abstractNumId w:val="3"/>
  </w:num>
  <w:num w:numId="5" w16cid:durableId="124929509">
    <w:abstractNumId w:val="1"/>
  </w:num>
  <w:num w:numId="6" w16cid:durableId="1139689894">
    <w:abstractNumId w:val="0"/>
  </w:num>
  <w:num w:numId="7" w16cid:durableId="18312991">
    <w:abstractNumId w:val="7"/>
  </w:num>
  <w:num w:numId="8" w16cid:durableId="1024210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0D"/>
    <w:rsid w:val="00004DAC"/>
    <w:rsid w:val="00005002"/>
    <w:rsid w:val="00007E2B"/>
    <w:rsid w:val="0001413E"/>
    <w:rsid w:val="000154D4"/>
    <w:rsid w:val="0001615B"/>
    <w:rsid w:val="00025D00"/>
    <w:rsid w:val="0003569A"/>
    <w:rsid w:val="00035CB6"/>
    <w:rsid w:val="000406C3"/>
    <w:rsid w:val="00041F76"/>
    <w:rsid w:val="0004395C"/>
    <w:rsid w:val="0004404D"/>
    <w:rsid w:val="00051578"/>
    <w:rsid w:val="00054731"/>
    <w:rsid w:val="00055D28"/>
    <w:rsid w:val="00061BAE"/>
    <w:rsid w:val="0006560B"/>
    <w:rsid w:val="000666C6"/>
    <w:rsid w:val="00070525"/>
    <w:rsid w:val="000710C1"/>
    <w:rsid w:val="000756DD"/>
    <w:rsid w:val="0007596F"/>
    <w:rsid w:val="00075A28"/>
    <w:rsid w:val="00081974"/>
    <w:rsid w:val="0008547F"/>
    <w:rsid w:val="000930D0"/>
    <w:rsid w:val="00094123"/>
    <w:rsid w:val="000A531E"/>
    <w:rsid w:val="000A624F"/>
    <w:rsid w:val="000B3CB0"/>
    <w:rsid w:val="000B7A1E"/>
    <w:rsid w:val="000C1E5C"/>
    <w:rsid w:val="000C3F39"/>
    <w:rsid w:val="000D5813"/>
    <w:rsid w:val="000D77C4"/>
    <w:rsid w:val="000E2473"/>
    <w:rsid w:val="000E5AA3"/>
    <w:rsid w:val="000E5E1B"/>
    <w:rsid w:val="000F375D"/>
    <w:rsid w:val="00100882"/>
    <w:rsid w:val="001018CE"/>
    <w:rsid w:val="0010193F"/>
    <w:rsid w:val="00103732"/>
    <w:rsid w:val="00105315"/>
    <w:rsid w:val="0010592F"/>
    <w:rsid w:val="0010648F"/>
    <w:rsid w:val="00116305"/>
    <w:rsid w:val="00130B5B"/>
    <w:rsid w:val="00140D0C"/>
    <w:rsid w:val="0014774C"/>
    <w:rsid w:val="00150CDA"/>
    <w:rsid w:val="00161190"/>
    <w:rsid w:val="00162241"/>
    <w:rsid w:val="0016370C"/>
    <w:rsid w:val="00163FFD"/>
    <w:rsid w:val="001738E7"/>
    <w:rsid w:val="00174576"/>
    <w:rsid w:val="00187C35"/>
    <w:rsid w:val="00191F5C"/>
    <w:rsid w:val="001922EA"/>
    <w:rsid w:val="001925C1"/>
    <w:rsid w:val="001932BF"/>
    <w:rsid w:val="00194388"/>
    <w:rsid w:val="001948B4"/>
    <w:rsid w:val="001A36BE"/>
    <w:rsid w:val="001A7083"/>
    <w:rsid w:val="001B391C"/>
    <w:rsid w:val="001B5987"/>
    <w:rsid w:val="001B6477"/>
    <w:rsid w:val="001C3868"/>
    <w:rsid w:val="001C4921"/>
    <w:rsid w:val="001E5F7F"/>
    <w:rsid w:val="001F08A4"/>
    <w:rsid w:val="00204C3A"/>
    <w:rsid w:val="00205B77"/>
    <w:rsid w:val="00207F74"/>
    <w:rsid w:val="00211749"/>
    <w:rsid w:val="00211851"/>
    <w:rsid w:val="00216A92"/>
    <w:rsid w:val="002212DE"/>
    <w:rsid w:val="0022193D"/>
    <w:rsid w:val="002226B1"/>
    <w:rsid w:val="002239AE"/>
    <w:rsid w:val="002240BF"/>
    <w:rsid w:val="00227547"/>
    <w:rsid w:val="002317D0"/>
    <w:rsid w:val="00232C11"/>
    <w:rsid w:val="00233993"/>
    <w:rsid w:val="00235F45"/>
    <w:rsid w:val="0023670F"/>
    <w:rsid w:val="00236FBB"/>
    <w:rsid w:val="00237B1E"/>
    <w:rsid w:val="00244CAF"/>
    <w:rsid w:val="00254BE4"/>
    <w:rsid w:val="002579F2"/>
    <w:rsid w:val="00267D5D"/>
    <w:rsid w:val="0027139B"/>
    <w:rsid w:val="00273D1F"/>
    <w:rsid w:val="00273D77"/>
    <w:rsid w:val="00275B61"/>
    <w:rsid w:val="00275DF4"/>
    <w:rsid w:val="0028129B"/>
    <w:rsid w:val="00297B6F"/>
    <w:rsid w:val="002A0EC6"/>
    <w:rsid w:val="002B4BED"/>
    <w:rsid w:val="002B4D82"/>
    <w:rsid w:val="002C0CA0"/>
    <w:rsid w:val="002C0E76"/>
    <w:rsid w:val="002C12EF"/>
    <w:rsid w:val="002C5A24"/>
    <w:rsid w:val="002C77DE"/>
    <w:rsid w:val="002D7B09"/>
    <w:rsid w:val="002E0CE6"/>
    <w:rsid w:val="002E246D"/>
    <w:rsid w:val="002E3848"/>
    <w:rsid w:val="002E3FEF"/>
    <w:rsid w:val="002E5EAB"/>
    <w:rsid w:val="002E5F69"/>
    <w:rsid w:val="002E61FE"/>
    <w:rsid w:val="002F2096"/>
    <w:rsid w:val="002F3AB3"/>
    <w:rsid w:val="002F3FA1"/>
    <w:rsid w:val="0030060D"/>
    <w:rsid w:val="003156CD"/>
    <w:rsid w:val="00317056"/>
    <w:rsid w:val="00320DDB"/>
    <w:rsid w:val="003421C0"/>
    <w:rsid w:val="003437C2"/>
    <w:rsid w:val="00352EAE"/>
    <w:rsid w:val="003617A5"/>
    <w:rsid w:val="00372AD7"/>
    <w:rsid w:val="00375B09"/>
    <w:rsid w:val="00376BDA"/>
    <w:rsid w:val="0037787C"/>
    <w:rsid w:val="00380212"/>
    <w:rsid w:val="003810F8"/>
    <w:rsid w:val="0038207B"/>
    <w:rsid w:val="00386AC4"/>
    <w:rsid w:val="003A3FCC"/>
    <w:rsid w:val="003B5A01"/>
    <w:rsid w:val="003C16D4"/>
    <w:rsid w:val="003D3BE4"/>
    <w:rsid w:val="003D5002"/>
    <w:rsid w:val="003D6A08"/>
    <w:rsid w:val="003E3923"/>
    <w:rsid w:val="003E4EDA"/>
    <w:rsid w:val="003E6A16"/>
    <w:rsid w:val="00414B75"/>
    <w:rsid w:val="004179FA"/>
    <w:rsid w:val="004221FC"/>
    <w:rsid w:val="004307C3"/>
    <w:rsid w:val="0043564C"/>
    <w:rsid w:val="00440006"/>
    <w:rsid w:val="004408F2"/>
    <w:rsid w:val="0044126B"/>
    <w:rsid w:val="00441DEE"/>
    <w:rsid w:val="00441E7E"/>
    <w:rsid w:val="00451B08"/>
    <w:rsid w:val="00452912"/>
    <w:rsid w:val="00452DC1"/>
    <w:rsid w:val="00465102"/>
    <w:rsid w:val="004672D4"/>
    <w:rsid w:val="00472E71"/>
    <w:rsid w:val="004739BF"/>
    <w:rsid w:val="00477A60"/>
    <w:rsid w:val="00477CFA"/>
    <w:rsid w:val="00480167"/>
    <w:rsid w:val="00480562"/>
    <w:rsid w:val="00490C61"/>
    <w:rsid w:val="00491FA2"/>
    <w:rsid w:val="00492700"/>
    <w:rsid w:val="004A103F"/>
    <w:rsid w:val="004B04BA"/>
    <w:rsid w:val="004D0063"/>
    <w:rsid w:val="004D2B34"/>
    <w:rsid w:val="004F0F7D"/>
    <w:rsid w:val="00500757"/>
    <w:rsid w:val="0050334D"/>
    <w:rsid w:val="00504D72"/>
    <w:rsid w:val="00505E21"/>
    <w:rsid w:val="005072A3"/>
    <w:rsid w:val="00515EF5"/>
    <w:rsid w:val="005200C7"/>
    <w:rsid w:val="00523E2E"/>
    <w:rsid w:val="00532685"/>
    <w:rsid w:val="00534B11"/>
    <w:rsid w:val="005438E7"/>
    <w:rsid w:val="00544094"/>
    <w:rsid w:val="00544362"/>
    <w:rsid w:val="00550810"/>
    <w:rsid w:val="00552FFE"/>
    <w:rsid w:val="00557EE0"/>
    <w:rsid w:val="005607A4"/>
    <w:rsid w:val="00566696"/>
    <w:rsid w:val="00570A91"/>
    <w:rsid w:val="005821FF"/>
    <w:rsid w:val="00594329"/>
    <w:rsid w:val="00597913"/>
    <w:rsid w:val="00597CBF"/>
    <w:rsid w:val="005A1246"/>
    <w:rsid w:val="005A1CA7"/>
    <w:rsid w:val="005A3030"/>
    <w:rsid w:val="005A5EE2"/>
    <w:rsid w:val="005B1D45"/>
    <w:rsid w:val="005B23F9"/>
    <w:rsid w:val="005B2402"/>
    <w:rsid w:val="005B4254"/>
    <w:rsid w:val="005C0857"/>
    <w:rsid w:val="005C1C6E"/>
    <w:rsid w:val="005C3751"/>
    <w:rsid w:val="005C67A9"/>
    <w:rsid w:val="005C7CB5"/>
    <w:rsid w:val="005D1245"/>
    <w:rsid w:val="005D22BA"/>
    <w:rsid w:val="005D2713"/>
    <w:rsid w:val="005D563F"/>
    <w:rsid w:val="005D7310"/>
    <w:rsid w:val="005E02DA"/>
    <w:rsid w:val="005E08D9"/>
    <w:rsid w:val="005E0F40"/>
    <w:rsid w:val="005E3BEF"/>
    <w:rsid w:val="005E4464"/>
    <w:rsid w:val="005F2DE7"/>
    <w:rsid w:val="005F7804"/>
    <w:rsid w:val="006035A5"/>
    <w:rsid w:val="00607FFD"/>
    <w:rsid w:val="006121B4"/>
    <w:rsid w:val="00612F1B"/>
    <w:rsid w:val="006163E4"/>
    <w:rsid w:val="00616544"/>
    <w:rsid w:val="0062782A"/>
    <w:rsid w:val="00634107"/>
    <w:rsid w:val="006426F1"/>
    <w:rsid w:val="00643915"/>
    <w:rsid w:val="00652B11"/>
    <w:rsid w:val="00655FF7"/>
    <w:rsid w:val="00663E60"/>
    <w:rsid w:val="00664E6C"/>
    <w:rsid w:val="006670BA"/>
    <w:rsid w:val="00673DBF"/>
    <w:rsid w:val="00680391"/>
    <w:rsid w:val="0068274F"/>
    <w:rsid w:val="00685DC2"/>
    <w:rsid w:val="00690E71"/>
    <w:rsid w:val="00692B30"/>
    <w:rsid w:val="00693A8C"/>
    <w:rsid w:val="0069416A"/>
    <w:rsid w:val="00695311"/>
    <w:rsid w:val="006963E8"/>
    <w:rsid w:val="006976E4"/>
    <w:rsid w:val="006A0367"/>
    <w:rsid w:val="006A094F"/>
    <w:rsid w:val="006A568C"/>
    <w:rsid w:val="006A70F3"/>
    <w:rsid w:val="006B199E"/>
    <w:rsid w:val="006B22A5"/>
    <w:rsid w:val="006B6D31"/>
    <w:rsid w:val="006B764F"/>
    <w:rsid w:val="006C0670"/>
    <w:rsid w:val="006C09C3"/>
    <w:rsid w:val="006C3F75"/>
    <w:rsid w:val="006D5DC9"/>
    <w:rsid w:val="006E0A1E"/>
    <w:rsid w:val="006E7FBA"/>
    <w:rsid w:val="006F0459"/>
    <w:rsid w:val="006F19C3"/>
    <w:rsid w:val="006F5684"/>
    <w:rsid w:val="00704E2A"/>
    <w:rsid w:val="00711EEC"/>
    <w:rsid w:val="007128A9"/>
    <w:rsid w:val="007155EF"/>
    <w:rsid w:val="0072008C"/>
    <w:rsid w:val="007235DF"/>
    <w:rsid w:val="00726B21"/>
    <w:rsid w:val="00727104"/>
    <w:rsid w:val="00734CEC"/>
    <w:rsid w:val="007355E7"/>
    <w:rsid w:val="00742167"/>
    <w:rsid w:val="00744E50"/>
    <w:rsid w:val="00752CC3"/>
    <w:rsid w:val="0075770A"/>
    <w:rsid w:val="00765566"/>
    <w:rsid w:val="007718BC"/>
    <w:rsid w:val="0078749D"/>
    <w:rsid w:val="00787C2A"/>
    <w:rsid w:val="00793DE5"/>
    <w:rsid w:val="0079596B"/>
    <w:rsid w:val="007A3EC9"/>
    <w:rsid w:val="007A68D3"/>
    <w:rsid w:val="007B4F5F"/>
    <w:rsid w:val="007C1DFB"/>
    <w:rsid w:val="007C4B43"/>
    <w:rsid w:val="007D242A"/>
    <w:rsid w:val="007D2DF2"/>
    <w:rsid w:val="007D31D4"/>
    <w:rsid w:val="007E2B1C"/>
    <w:rsid w:val="007E660E"/>
    <w:rsid w:val="007F075E"/>
    <w:rsid w:val="007F4381"/>
    <w:rsid w:val="007F5428"/>
    <w:rsid w:val="007F7A57"/>
    <w:rsid w:val="007F7C37"/>
    <w:rsid w:val="008052FE"/>
    <w:rsid w:val="00805884"/>
    <w:rsid w:val="00817487"/>
    <w:rsid w:val="00824C51"/>
    <w:rsid w:val="00825A34"/>
    <w:rsid w:val="00827FB5"/>
    <w:rsid w:val="008340BA"/>
    <w:rsid w:val="00847390"/>
    <w:rsid w:val="00851119"/>
    <w:rsid w:val="00851D99"/>
    <w:rsid w:val="0085256B"/>
    <w:rsid w:val="00864AF1"/>
    <w:rsid w:val="00870DB0"/>
    <w:rsid w:val="008751EF"/>
    <w:rsid w:val="00880397"/>
    <w:rsid w:val="00881545"/>
    <w:rsid w:val="00894CC0"/>
    <w:rsid w:val="008A3553"/>
    <w:rsid w:val="008C1D26"/>
    <w:rsid w:val="008D70F8"/>
    <w:rsid w:val="008E368E"/>
    <w:rsid w:val="008F12DE"/>
    <w:rsid w:val="008F189C"/>
    <w:rsid w:val="008F1D37"/>
    <w:rsid w:val="008F243A"/>
    <w:rsid w:val="008F5016"/>
    <w:rsid w:val="008F64DA"/>
    <w:rsid w:val="00900252"/>
    <w:rsid w:val="009106A5"/>
    <w:rsid w:val="0091386E"/>
    <w:rsid w:val="00916F53"/>
    <w:rsid w:val="00917D67"/>
    <w:rsid w:val="009219DA"/>
    <w:rsid w:val="00933F5C"/>
    <w:rsid w:val="009370A2"/>
    <w:rsid w:val="00942708"/>
    <w:rsid w:val="00943423"/>
    <w:rsid w:val="0094724D"/>
    <w:rsid w:val="009505BA"/>
    <w:rsid w:val="00950AF7"/>
    <w:rsid w:val="00951860"/>
    <w:rsid w:val="00960DBA"/>
    <w:rsid w:val="009711F2"/>
    <w:rsid w:val="00974CBC"/>
    <w:rsid w:val="0097613A"/>
    <w:rsid w:val="009764D9"/>
    <w:rsid w:val="009776FB"/>
    <w:rsid w:val="00983813"/>
    <w:rsid w:val="00983EB5"/>
    <w:rsid w:val="009854CE"/>
    <w:rsid w:val="00997333"/>
    <w:rsid w:val="009A54E0"/>
    <w:rsid w:val="009A6C8B"/>
    <w:rsid w:val="009B02B5"/>
    <w:rsid w:val="009B197F"/>
    <w:rsid w:val="009B6E04"/>
    <w:rsid w:val="009C413F"/>
    <w:rsid w:val="009C42A7"/>
    <w:rsid w:val="009C45ED"/>
    <w:rsid w:val="009D4F42"/>
    <w:rsid w:val="009D74AF"/>
    <w:rsid w:val="009E4E7C"/>
    <w:rsid w:val="009E7543"/>
    <w:rsid w:val="009F19DE"/>
    <w:rsid w:val="009F5108"/>
    <w:rsid w:val="00A02E73"/>
    <w:rsid w:val="00A06AA4"/>
    <w:rsid w:val="00A146A6"/>
    <w:rsid w:val="00A14FE2"/>
    <w:rsid w:val="00A217F0"/>
    <w:rsid w:val="00A24847"/>
    <w:rsid w:val="00A310A1"/>
    <w:rsid w:val="00A311E4"/>
    <w:rsid w:val="00A312CD"/>
    <w:rsid w:val="00A35F11"/>
    <w:rsid w:val="00A43475"/>
    <w:rsid w:val="00A44C37"/>
    <w:rsid w:val="00A450DC"/>
    <w:rsid w:val="00A52EC5"/>
    <w:rsid w:val="00A57F17"/>
    <w:rsid w:val="00A60993"/>
    <w:rsid w:val="00A622C9"/>
    <w:rsid w:val="00A62E6B"/>
    <w:rsid w:val="00A721B6"/>
    <w:rsid w:val="00A724CC"/>
    <w:rsid w:val="00A7359E"/>
    <w:rsid w:val="00A77821"/>
    <w:rsid w:val="00A8545D"/>
    <w:rsid w:val="00A85729"/>
    <w:rsid w:val="00A86E49"/>
    <w:rsid w:val="00A87A9C"/>
    <w:rsid w:val="00A90EE4"/>
    <w:rsid w:val="00A94550"/>
    <w:rsid w:val="00A94D66"/>
    <w:rsid w:val="00AB0A0E"/>
    <w:rsid w:val="00AB48DE"/>
    <w:rsid w:val="00AB52B1"/>
    <w:rsid w:val="00AC5404"/>
    <w:rsid w:val="00AC5B98"/>
    <w:rsid w:val="00AD0569"/>
    <w:rsid w:val="00AD0B61"/>
    <w:rsid w:val="00AD0CEF"/>
    <w:rsid w:val="00AD149E"/>
    <w:rsid w:val="00AD4785"/>
    <w:rsid w:val="00AE289B"/>
    <w:rsid w:val="00AE6EA9"/>
    <w:rsid w:val="00AF29BE"/>
    <w:rsid w:val="00AF2F24"/>
    <w:rsid w:val="00AF45F0"/>
    <w:rsid w:val="00B27B60"/>
    <w:rsid w:val="00B3396A"/>
    <w:rsid w:val="00B33C43"/>
    <w:rsid w:val="00B37625"/>
    <w:rsid w:val="00B40CEF"/>
    <w:rsid w:val="00B41F6E"/>
    <w:rsid w:val="00B47C8B"/>
    <w:rsid w:val="00B5687A"/>
    <w:rsid w:val="00B6677F"/>
    <w:rsid w:val="00B708EF"/>
    <w:rsid w:val="00B71463"/>
    <w:rsid w:val="00B754B3"/>
    <w:rsid w:val="00B77A73"/>
    <w:rsid w:val="00B8677B"/>
    <w:rsid w:val="00B942B9"/>
    <w:rsid w:val="00B952BE"/>
    <w:rsid w:val="00B95836"/>
    <w:rsid w:val="00BA64A7"/>
    <w:rsid w:val="00BB00C8"/>
    <w:rsid w:val="00BB4044"/>
    <w:rsid w:val="00BC3219"/>
    <w:rsid w:val="00BD0536"/>
    <w:rsid w:val="00BD1EBA"/>
    <w:rsid w:val="00BD70D7"/>
    <w:rsid w:val="00BF25C7"/>
    <w:rsid w:val="00BF684A"/>
    <w:rsid w:val="00C015F6"/>
    <w:rsid w:val="00C01971"/>
    <w:rsid w:val="00C024AA"/>
    <w:rsid w:val="00C04CDC"/>
    <w:rsid w:val="00C10624"/>
    <w:rsid w:val="00C16F45"/>
    <w:rsid w:val="00C2486C"/>
    <w:rsid w:val="00C24D1E"/>
    <w:rsid w:val="00C256E0"/>
    <w:rsid w:val="00C3279C"/>
    <w:rsid w:val="00C34E2F"/>
    <w:rsid w:val="00C37104"/>
    <w:rsid w:val="00C52CAD"/>
    <w:rsid w:val="00C55C0B"/>
    <w:rsid w:val="00C648DE"/>
    <w:rsid w:val="00C67E81"/>
    <w:rsid w:val="00C72D9C"/>
    <w:rsid w:val="00C750D2"/>
    <w:rsid w:val="00C87B5B"/>
    <w:rsid w:val="00C9488C"/>
    <w:rsid w:val="00C95E3F"/>
    <w:rsid w:val="00CA0331"/>
    <w:rsid w:val="00CA119D"/>
    <w:rsid w:val="00CA7F8F"/>
    <w:rsid w:val="00CB1083"/>
    <w:rsid w:val="00CB20EE"/>
    <w:rsid w:val="00CB58EA"/>
    <w:rsid w:val="00CB63DE"/>
    <w:rsid w:val="00CC7445"/>
    <w:rsid w:val="00CD09F2"/>
    <w:rsid w:val="00CD584A"/>
    <w:rsid w:val="00CF5E80"/>
    <w:rsid w:val="00D03DE5"/>
    <w:rsid w:val="00D06E9B"/>
    <w:rsid w:val="00D137B5"/>
    <w:rsid w:val="00D15F26"/>
    <w:rsid w:val="00D22D63"/>
    <w:rsid w:val="00D23A1B"/>
    <w:rsid w:val="00D2742F"/>
    <w:rsid w:val="00D34FD7"/>
    <w:rsid w:val="00D35FFA"/>
    <w:rsid w:val="00D452E6"/>
    <w:rsid w:val="00D45834"/>
    <w:rsid w:val="00D51A1E"/>
    <w:rsid w:val="00D530C5"/>
    <w:rsid w:val="00D53E95"/>
    <w:rsid w:val="00D72732"/>
    <w:rsid w:val="00D73905"/>
    <w:rsid w:val="00D7471C"/>
    <w:rsid w:val="00D7479B"/>
    <w:rsid w:val="00D7513C"/>
    <w:rsid w:val="00D80AD2"/>
    <w:rsid w:val="00D8724E"/>
    <w:rsid w:val="00DA06EC"/>
    <w:rsid w:val="00DA0A15"/>
    <w:rsid w:val="00DA1D07"/>
    <w:rsid w:val="00DA36C3"/>
    <w:rsid w:val="00DA60ED"/>
    <w:rsid w:val="00DC2BCB"/>
    <w:rsid w:val="00DC304A"/>
    <w:rsid w:val="00DC326A"/>
    <w:rsid w:val="00DC34E5"/>
    <w:rsid w:val="00DC626C"/>
    <w:rsid w:val="00DD1D62"/>
    <w:rsid w:val="00DE5221"/>
    <w:rsid w:val="00DE68EC"/>
    <w:rsid w:val="00DF2970"/>
    <w:rsid w:val="00DF2D7B"/>
    <w:rsid w:val="00DF4534"/>
    <w:rsid w:val="00DF6B56"/>
    <w:rsid w:val="00E034D3"/>
    <w:rsid w:val="00E13474"/>
    <w:rsid w:val="00E16ADC"/>
    <w:rsid w:val="00E206CB"/>
    <w:rsid w:val="00E242BF"/>
    <w:rsid w:val="00E26BAB"/>
    <w:rsid w:val="00E30654"/>
    <w:rsid w:val="00E368D5"/>
    <w:rsid w:val="00E41732"/>
    <w:rsid w:val="00E45D4E"/>
    <w:rsid w:val="00E503E0"/>
    <w:rsid w:val="00E538ED"/>
    <w:rsid w:val="00E5673E"/>
    <w:rsid w:val="00E568DE"/>
    <w:rsid w:val="00E570B0"/>
    <w:rsid w:val="00E648CC"/>
    <w:rsid w:val="00E6505D"/>
    <w:rsid w:val="00E666BC"/>
    <w:rsid w:val="00E732A2"/>
    <w:rsid w:val="00E74FAE"/>
    <w:rsid w:val="00E86F66"/>
    <w:rsid w:val="00E9225E"/>
    <w:rsid w:val="00EA360D"/>
    <w:rsid w:val="00EB30B1"/>
    <w:rsid w:val="00EC30B3"/>
    <w:rsid w:val="00ED1A08"/>
    <w:rsid w:val="00ED59BD"/>
    <w:rsid w:val="00ED6D7F"/>
    <w:rsid w:val="00EE0550"/>
    <w:rsid w:val="00EE1D25"/>
    <w:rsid w:val="00EE6D93"/>
    <w:rsid w:val="00EE73BD"/>
    <w:rsid w:val="00EF36A5"/>
    <w:rsid w:val="00EF38D9"/>
    <w:rsid w:val="00EF4BE8"/>
    <w:rsid w:val="00F034E3"/>
    <w:rsid w:val="00F10EB2"/>
    <w:rsid w:val="00F10ED9"/>
    <w:rsid w:val="00F156F0"/>
    <w:rsid w:val="00F16238"/>
    <w:rsid w:val="00F20877"/>
    <w:rsid w:val="00F22521"/>
    <w:rsid w:val="00F26CDD"/>
    <w:rsid w:val="00F26D61"/>
    <w:rsid w:val="00F3441F"/>
    <w:rsid w:val="00F345EB"/>
    <w:rsid w:val="00F36D19"/>
    <w:rsid w:val="00F378EE"/>
    <w:rsid w:val="00F41B31"/>
    <w:rsid w:val="00F41CB8"/>
    <w:rsid w:val="00F46780"/>
    <w:rsid w:val="00F50E53"/>
    <w:rsid w:val="00F51C02"/>
    <w:rsid w:val="00F52F3B"/>
    <w:rsid w:val="00F5783F"/>
    <w:rsid w:val="00F607CF"/>
    <w:rsid w:val="00F658E3"/>
    <w:rsid w:val="00F6640D"/>
    <w:rsid w:val="00F83CC0"/>
    <w:rsid w:val="00F841CD"/>
    <w:rsid w:val="00F95389"/>
    <w:rsid w:val="00F96A66"/>
    <w:rsid w:val="00F96CEE"/>
    <w:rsid w:val="00FA5F30"/>
    <w:rsid w:val="00FB0EE3"/>
    <w:rsid w:val="00FB63FF"/>
    <w:rsid w:val="00FB6709"/>
    <w:rsid w:val="00FB6C69"/>
    <w:rsid w:val="00FB7AC0"/>
    <w:rsid w:val="00FC2F61"/>
    <w:rsid w:val="00FC6838"/>
    <w:rsid w:val="00FD1DDA"/>
    <w:rsid w:val="00FD24BD"/>
    <w:rsid w:val="00FD40DB"/>
    <w:rsid w:val="00FE6B40"/>
    <w:rsid w:val="00FF333D"/>
    <w:rsid w:val="00FF4BDD"/>
    <w:rsid w:val="00FF54B8"/>
    <w:rsid w:val="0891566A"/>
    <w:rsid w:val="098F1EF1"/>
    <w:rsid w:val="0B4E85A6"/>
    <w:rsid w:val="0D8BBDBE"/>
    <w:rsid w:val="0E6B643E"/>
    <w:rsid w:val="0FBDE5F2"/>
    <w:rsid w:val="10EC36BD"/>
    <w:rsid w:val="11C4CB62"/>
    <w:rsid w:val="15579E4E"/>
    <w:rsid w:val="1BC381D5"/>
    <w:rsid w:val="1BCE0DC9"/>
    <w:rsid w:val="1C72A7F8"/>
    <w:rsid w:val="1DBE1429"/>
    <w:rsid w:val="1EB18774"/>
    <w:rsid w:val="2386F0E7"/>
    <w:rsid w:val="241FF80F"/>
    <w:rsid w:val="244F145F"/>
    <w:rsid w:val="24D81533"/>
    <w:rsid w:val="2509C1A0"/>
    <w:rsid w:val="26C8FBE3"/>
    <w:rsid w:val="281CDF0E"/>
    <w:rsid w:val="2939A476"/>
    <w:rsid w:val="29CA9891"/>
    <w:rsid w:val="29CC3A09"/>
    <w:rsid w:val="2A2AB051"/>
    <w:rsid w:val="2BCC8DFB"/>
    <w:rsid w:val="2BF4606D"/>
    <w:rsid w:val="2C842550"/>
    <w:rsid w:val="2CF702A6"/>
    <w:rsid w:val="2DBD9D50"/>
    <w:rsid w:val="2EA631ED"/>
    <w:rsid w:val="2F72AB74"/>
    <w:rsid w:val="2F7A6887"/>
    <w:rsid w:val="3019F3C3"/>
    <w:rsid w:val="30C24F6A"/>
    <w:rsid w:val="3198127D"/>
    <w:rsid w:val="3227EC14"/>
    <w:rsid w:val="3475241C"/>
    <w:rsid w:val="35B629DD"/>
    <w:rsid w:val="3A06AA57"/>
    <w:rsid w:val="3F4DE37B"/>
    <w:rsid w:val="3F9ED452"/>
    <w:rsid w:val="4187FC8E"/>
    <w:rsid w:val="424C1E84"/>
    <w:rsid w:val="464F0B81"/>
    <w:rsid w:val="46F46C46"/>
    <w:rsid w:val="483AB7E0"/>
    <w:rsid w:val="486D3661"/>
    <w:rsid w:val="491EE4C6"/>
    <w:rsid w:val="4A377455"/>
    <w:rsid w:val="4BD45A87"/>
    <w:rsid w:val="4CC0D26E"/>
    <w:rsid w:val="4F39A5F2"/>
    <w:rsid w:val="4FF29172"/>
    <w:rsid w:val="51744A15"/>
    <w:rsid w:val="52AC1533"/>
    <w:rsid w:val="544FC1A8"/>
    <w:rsid w:val="550A21C7"/>
    <w:rsid w:val="55EE94F2"/>
    <w:rsid w:val="5BA9BD5D"/>
    <w:rsid w:val="5E7FAF6A"/>
    <w:rsid w:val="608125AB"/>
    <w:rsid w:val="6091DCDF"/>
    <w:rsid w:val="61857F5B"/>
    <w:rsid w:val="628DE48C"/>
    <w:rsid w:val="65CDCE95"/>
    <w:rsid w:val="674DA582"/>
    <w:rsid w:val="7140CD44"/>
    <w:rsid w:val="74FB3EE3"/>
    <w:rsid w:val="75414EF4"/>
    <w:rsid w:val="77507B54"/>
    <w:rsid w:val="77B4EF44"/>
    <w:rsid w:val="7E898BFA"/>
    <w:rsid w:val="7ED5DF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C84C9"/>
  <w15:chartTrackingRefBased/>
  <w15:docId w15:val="{3386C90B-09CF-4503-89C0-4C5BF080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89B"/>
    <w:pPr>
      <w:spacing w:before="120" w:after="120" w:line="276" w:lineRule="auto"/>
    </w:pPr>
    <w:rPr>
      <w:sz w:val="22"/>
    </w:rPr>
  </w:style>
  <w:style w:type="paragraph" w:styleId="Heading1">
    <w:name w:val="heading 1"/>
    <w:basedOn w:val="Normal"/>
    <w:next w:val="Normal"/>
    <w:link w:val="Heading1Char"/>
    <w:uiPriority w:val="9"/>
    <w:qFormat/>
    <w:rsid w:val="00851119"/>
    <w:pPr>
      <w:outlineLvl w:val="0"/>
    </w:pPr>
    <w:rPr>
      <w:b/>
      <w:bCs/>
      <w:color w:val="0054A6" w:themeColor="accent1"/>
      <w:sz w:val="64"/>
      <w:szCs w:val="64"/>
    </w:rPr>
  </w:style>
  <w:style w:type="paragraph" w:styleId="Heading2">
    <w:name w:val="heading 2"/>
    <w:basedOn w:val="Normal"/>
    <w:next w:val="Normal"/>
    <w:link w:val="Heading2Char"/>
    <w:uiPriority w:val="9"/>
    <w:unhideWhenUsed/>
    <w:qFormat/>
    <w:rsid w:val="00851119"/>
    <w:pPr>
      <w:outlineLvl w:val="1"/>
    </w:pPr>
    <w:rPr>
      <w:b/>
      <w:bCs/>
      <w:sz w:val="40"/>
      <w:szCs w:val="40"/>
    </w:rPr>
  </w:style>
  <w:style w:type="paragraph" w:styleId="Heading3">
    <w:name w:val="heading 3"/>
    <w:basedOn w:val="Normal"/>
    <w:next w:val="Normal"/>
    <w:link w:val="Heading3Char"/>
    <w:uiPriority w:val="9"/>
    <w:unhideWhenUsed/>
    <w:qFormat/>
    <w:rsid w:val="00851119"/>
    <w:pPr>
      <w:outlineLvl w:val="2"/>
    </w:pPr>
    <w:rPr>
      <w:b/>
      <w:bCs/>
      <w:color w:val="4884C4" w:themeColor="accent2"/>
      <w:sz w:val="32"/>
      <w:szCs w:val="32"/>
    </w:rPr>
  </w:style>
  <w:style w:type="paragraph" w:styleId="Heading4">
    <w:name w:val="heading 4"/>
    <w:basedOn w:val="Normal"/>
    <w:next w:val="Normal"/>
    <w:link w:val="Heading4Char"/>
    <w:uiPriority w:val="9"/>
    <w:unhideWhenUsed/>
    <w:qFormat/>
    <w:rsid w:val="00851119"/>
    <w:pPr>
      <w:outlineLvl w:val="3"/>
    </w:pPr>
    <w:rPr>
      <w:b/>
      <w:bCs/>
      <w:color w:val="62CBE8" w:themeColor="accent3"/>
      <w:sz w:val="28"/>
      <w:szCs w:val="28"/>
    </w:rPr>
  </w:style>
  <w:style w:type="paragraph" w:styleId="Heading5">
    <w:name w:val="heading 5"/>
    <w:basedOn w:val="Normal"/>
    <w:next w:val="Normal"/>
    <w:link w:val="Heading5Char"/>
    <w:uiPriority w:val="9"/>
    <w:unhideWhenUsed/>
    <w:qFormat/>
    <w:rsid w:val="00851119"/>
    <w:pPr>
      <w:keepNext/>
      <w:keepLines/>
      <w:outlineLvl w:val="4"/>
    </w:pPr>
    <w:rPr>
      <w:rFonts w:eastAsiaTheme="majorEastAsia" w:cstheme="majorBidi"/>
      <w:b/>
      <w:color w:val="002855" w:themeColor="text2"/>
    </w:rPr>
  </w:style>
  <w:style w:type="paragraph" w:styleId="Heading6">
    <w:name w:val="heading 6"/>
    <w:basedOn w:val="Normal"/>
    <w:next w:val="Normal"/>
    <w:link w:val="Heading6Char"/>
    <w:uiPriority w:val="9"/>
    <w:unhideWhenUsed/>
    <w:qFormat/>
    <w:rsid w:val="008F50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F50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F50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F50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119"/>
    <w:rPr>
      <w:b/>
      <w:bCs/>
      <w:color w:val="0054A6" w:themeColor="accent1"/>
      <w:sz w:val="64"/>
      <w:szCs w:val="64"/>
    </w:rPr>
  </w:style>
  <w:style w:type="character" w:customStyle="1" w:styleId="Heading2Char">
    <w:name w:val="Heading 2 Char"/>
    <w:basedOn w:val="DefaultParagraphFont"/>
    <w:link w:val="Heading2"/>
    <w:uiPriority w:val="9"/>
    <w:rsid w:val="00851119"/>
    <w:rPr>
      <w:b/>
      <w:bCs/>
      <w:sz w:val="40"/>
      <w:szCs w:val="40"/>
    </w:rPr>
  </w:style>
  <w:style w:type="character" w:customStyle="1" w:styleId="Heading3Char">
    <w:name w:val="Heading 3 Char"/>
    <w:basedOn w:val="DefaultParagraphFont"/>
    <w:link w:val="Heading3"/>
    <w:uiPriority w:val="9"/>
    <w:rsid w:val="00851119"/>
    <w:rPr>
      <w:b/>
      <w:bCs/>
      <w:color w:val="4884C4" w:themeColor="accent2"/>
      <w:sz w:val="32"/>
      <w:szCs w:val="32"/>
    </w:rPr>
  </w:style>
  <w:style w:type="character" w:customStyle="1" w:styleId="Heading4Char">
    <w:name w:val="Heading 4 Char"/>
    <w:basedOn w:val="DefaultParagraphFont"/>
    <w:link w:val="Heading4"/>
    <w:uiPriority w:val="9"/>
    <w:rsid w:val="00851119"/>
    <w:rPr>
      <w:b/>
      <w:bCs/>
      <w:color w:val="62CBE8" w:themeColor="accent3"/>
      <w:sz w:val="28"/>
      <w:szCs w:val="28"/>
    </w:rPr>
  </w:style>
  <w:style w:type="character" w:customStyle="1" w:styleId="Heading5Char">
    <w:name w:val="Heading 5 Char"/>
    <w:basedOn w:val="DefaultParagraphFont"/>
    <w:link w:val="Heading5"/>
    <w:uiPriority w:val="9"/>
    <w:rsid w:val="00851119"/>
    <w:rPr>
      <w:rFonts w:eastAsiaTheme="majorEastAsia" w:cstheme="majorBidi"/>
      <w:b/>
      <w:color w:val="002855" w:themeColor="text2"/>
      <w:sz w:val="22"/>
    </w:rPr>
  </w:style>
  <w:style w:type="character" w:customStyle="1" w:styleId="Heading6Char">
    <w:name w:val="Heading 6 Char"/>
    <w:basedOn w:val="DefaultParagraphFont"/>
    <w:link w:val="Heading6"/>
    <w:uiPriority w:val="9"/>
    <w:rsid w:val="008F5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F501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F5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F5016"/>
    <w:rPr>
      <w:rFonts w:eastAsiaTheme="majorEastAsia" w:cstheme="majorBidi"/>
      <w:color w:val="272727" w:themeColor="text1" w:themeTint="D8"/>
    </w:rPr>
  </w:style>
  <w:style w:type="paragraph" w:styleId="Title">
    <w:name w:val="Title"/>
    <w:basedOn w:val="CoverTitle"/>
    <w:next w:val="Normal"/>
    <w:link w:val="TitleChar"/>
    <w:uiPriority w:val="10"/>
    <w:qFormat/>
    <w:rsid w:val="0003569A"/>
    <w:rPr>
      <w:rFonts w:ascii="Barlow" w:hAnsi="Barlow"/>
      <w:spacing w:val="-20"/>
      <w:sz w:val="96"/>
      <w:szCs w:val="96"/>
    </w:rPr>
  </w:style>
  <w:style w:type="character" w:customStyle="1" w:styleId="TitleChar">
    <w:name w:val="Title Char"/>
    <w:basedOn w:val="DefaultParagraphFont"/>
    <w:link w:val="Title"/>
    <w:uiPriority w:val="10"/>
    <w:rsid w:val="0003569A"/>
    <w:rPr>
      <w:rFonts w:ascii="Barlow" w:hAnsi="Barlow" w:cs="Century Gothic"/>
      <w:b/>
      <w:bCs/>
      <w:color w:val="0054A6"/>
      <w:spacing w:val="-20"/>
      <w:kern w:val="0"/>
      <w:sz w:val="96"/>
      <w:szCs w:val="96"/>
      <w:lang w:val="en-US" w:eastAsia="ja-JP"/>
      <w14:ligatures w14:val="none"/>
    </w:rPr>
  </w:style>
  <w:style w:type="paragraph" w:styleId="Subtitle">
    <w:name w:val="Subtitle"/>
    <w:basedOn w:val="SecondLine"/>
    <w:next w:val="Normal"/>
    <w:link w:val="SubtitleChar"/>
    <w:uiPriority w:val="11"/>
    <w:qFormat/>
    <w:rsid w:val="0003569A"/>
    <w:rPr>
      <w:color w:val="62CBE8" w:themeColor="accent3"/>
      <w:sz w:val="44"/>
      <w:szCs w:val="44"/>
      <w:lang w:val="en-AU"/>
    </w:rPr>
  </w:style>
  <w:style w:type="character" w:customStyle="1" w:styleId="SubtitleChar">
    <w:name w:val="Subtitle Char"/>
    <w:basedOn w:val="DefaultParagraphFont"/>
    <w:link w:val="Subtitle"/>
    <w:uiPriority w:val="11"/>
    <w:rsid w:val="0003569A"/>
    <w:rPr>
      <w:rFonts w:cs="Century Gothic"/>
      <w:b/>
      <w:color w:val="62CBE8" w:themeColor="accent3"/>
      <w:kern w:val="0"/>
      <w:sz w:val="44"/>
      <w:szCs w:val="44"/>
      <w:lang w:eastAsia="ja-JP"/>
      <w14:ligatures w14:val="none"/>
    </w:rPr>
  </w:style>
  <w:style w:type="paragraph" w:styleId="Quote">
    <w:name w:val="Quote"/>
    <w:basedOn w:val="Normal"/>
    <w:next w:val="Normal"/>
    <w:link w:val="QuoteChar"/>
    <w:uiPriority w:val="29"/>
    <w:qFormat/>
    <w:rsid w:val="008F50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5016"/>
    <w:rPr>
      <w:i/>
      <w:iCs/>
      <w:color w:val="404040" w:themeColor="text1" w:themeTint="BF"/>
    </w:rPr>
  </w:style>
  <w:style w:type="paragraph" w:customStyle="1" w:styleId="Listnumberlevel1">
    <w:name w:val="List number level 1"/>
    <w:basedOn w:val="Normal"/>
    <w:qFormat/>
    <w:rsid w:val="0030060D"/>
    <w:pPr>
      <w:numPr>
        <w:numId w:val="4"/>
      </w:numPr>
      <w:ind w:left="924" w:hanging="567"/>
    </w:pPr>
  </w:style>
  <w:style w:type="character" w:styleId="IntenseEmphasis">
    <w:name w:val="Intense Emphasis"/>
    <w:basedOn w:val="DefaultParagraphFont"/>
    <w:uiPriority w:val="21"/>
    <w:qFormat/>
    <w:rsid w:val="008F5016"/>
    <w:rPr>
      <w:i/>
      <w:iCs/>
      <w:color w:val="003E7C" w:themeColor="accent1" w:themeShade="BF"/>
    </w:rPr>
  </w:style>
  <w:style w:type="paragraph" w:styleId="IntenseQuote">
    <w:name w:val="Intense Quote"/>
    <w:basedOn w:val="Normal"/>
    <w:next w:val="Normal"/>
    <w:link w:val="IntenseQuoteChar"/>
    <w:uiPriority w:val="30"/>
    <w:qFormat/>
    <w:rsid w:val="008F5016"/>
    <w:pPr>
      <w:pBdr>
        <w:top w:val="single" w:sz="4" w:space="10" w:color="003E7C" w:themeColor="accent1" w:themeShade="BF"/>
        <w:bottom w:val="single" w:sz="4" w:space="10" w:color="003E7C" w:themeColor="accent1" w:themeShade="BF"/>
      </w:pBdr>
      <w:spacing w:before="360" w:after="360"/>
      <w:ind w:left="864" w:right="864"/>
      <w:jc w:val="center"/>
    </w:pPr>
    <w:rPr>
      <w:i/>
      <w:iCs/>
      <w:color w:val="003E7C" w:themeColor="accent1" w:themeShade="BF"/>
    </w:rPr>
  </w:style>
  <w:style w:type="character" w:customStyle="1" w:styleId="IntenseQuoteChar">
    <w:name w:val="Intense Quote Char"/>
    <w:basedOn w:val="DefaultParagraphFont"/>
    <w:link w:val="IntenseQuote"/>
    <w:uiPriority w:val="30"/>
    <w:rsid w:val="008F5016"/>
    <w:rPr>
      <w:i/>
      <w:iCs/>
      <w:color w:val="003E7C" w:themeColor="accent1" w:themeShade="BF"/>
    </w:rPr>
  </w:style>
  <w:style w:type="character" w:styleId="IntenseReference">
    <w:name w:val="Intense Reference"/>
    <w:basedOn w:val="DefaultParagraphFont"/>
    <w:uiPriority w:val="32"/>
    <w:rsid w:val="008F5016"/>
    <w:rPr>
      <w:b/>
      <w:bCs/>
      <w:smallCaps/>
      <w:color w:val="003E7C" w:themeColor="accent1" w:themeShade="BF"/>
      <w:spacing w:val="5"/>
    </w:rPr>
  </w:style>
  <w:style w:type="paragraph" w:styleId="Header">
    <w:name w:val="header"/>
    <w:basedOn w:val="Normal"/>
    <w:link w:val="HeaderChar"/>
    <w:uiPriority w:val="99"/>
    <w:unhideWhenUsed/>
    <w:rsid w:val="00035CB6"/>
    <w:pPr>
      <w:tabs>
        <w:tab w:val="center" w:pos="4680"/>
        <w:tab w:val="right" w:pos="9360"/>
      </w:tabs>
      <w:spacing w:before="0" w:after="0"/>
    </w:pPr>
  </w:style>
  <w:style w:type="character" w:customStyle="1" w:styleId="HeaderChar">
    <w:name w:val="Header Char"/>
    <w:basedOn w:val="DefaultParagraphFont"/>
    <w:link w:val="Header"/>
    <w:uiPriority w:val="99"/>
    <w:rsid w:val="00035CB6"/>
    <w:rPr>
      <w:sz w:val="22"/>
    </w:rPr>
  </w:style>
  <w:style w:type="paragraph" w:styleId="Footer">
    <w:name w:val="footer"/>
    <w:basedOn w:val="Normal"/>
    <w:link w:val="FooterChar"/>
    <w:uiPriority w:val="99"/>
    <w:unhideWhenUsed/>
    <w:rsid w:val="00035CB6"/>
    <w:pPr>
      <w:tabs>
        <w:tab w:val="center" w:pos="4680"/>
        <w:tab w:val="right" w:pos="9360"/>
      </w:tabs>
      <w:spacing w:before="0" w:after="0"/>
    </w:pPr>
  </w:style>
  <w:style w:type="character" w:customStyle="1" w:styleId="FooterChar">
    <w:name w:val="Footer Char"/>
    <w:basedOn w:val="DefaultParagraphFont"/>
    <w:link w:val="Footer"/>
    <w:uiPriority w:val="99"/>
    <w:rsid w:val="00035CB6"/>
    <w:rPr>
      <w:sz w:val="22"/>
    </w:rPr>
  </w:style>
  <w:style w:type="paragraph" w:styleId="NoSpacing">
    <w:name w:val="No Spacing"/>
    <w:uiPriority w:val="1"/>
    <w:qFormat/>
    <w:rsid w:val="00CB1083"/>
    <w:rPr>
      <w:sz w:val="22"/>
    </w:rPr>
  </w:style>
  <w:style w:type="paragraph" w:customStyle="1" w:styleId="NbrHeading2">
    <w:name w:val="Nbr Heading 2"/>
    <w:basedOn w:val="Heading2"/>
    <w:uiPriority w:val="1"/>
    <w:qFormat/>
    <w:rsid w:val="00375B09"/>
    <w:pPr>
      <w:keepNext/>
      <w:keepLines/>
      <w:numPr>
        <w:ilvl w:val="1"/>
        <w:numId w:val="3"/>
      </w:numPr>
      <w:tabs>
        <w:tab w:val="clear" w:pos="1134"/>
      </w:tabs>
      <w:ind w:left="1077" w:right="284" w:hanging="1077"/>
    </w:pPr>
    <w:rPr>
      <w:rFonts w:asciiTheme="majorHAnsi" w:eastAsiaTheme="majorEastAsia" w:hAnsiTheme="majorHAnsi" w:cstheme="majorBidi"/>
      <w:bCs w:val="0"/>
      <w:color w:val="000000" w:themeColor="text1"/>
      <w:kern w:val="0"/>
      <w:szCs w:val="28"/>
      <w14:ligatures w14:val="none"/>
    </w:rPr>
  </w:style>
  <w:style w:type="paragraph" w:customStyle="1" w:styleId="NbrHeading3">
    <w:name w:val="Nbr Heading 3"/>
    <w:basedOn w:val="Heading3"/>
    <w:uiPriority w:val="1"/>
    <w:qFormat/>
    <w:rsid w:val="00375B09"/>
    <w:pPr>
      <w:keepNext/>
      <w:keepLines/>
      <w:numPr>
        <w:ilvl w:val="2"/>
        <w:numId w:val="3"/>
      </w:numPr>
      <w:tabs>
        <w:tab w:val="clear" w:pos="1134"/>
      </w:tabs>
      <w:ind w:left="1077" w:right="284" w:hanging="1077"/>
    </w:pPr>
    <w:rPr>
      <w:rFonts w:eastAsiaTheme="majorEastAsia" w:cstheme="majorBidi"/>
      <w:bCs w:val="0"/>
      <w:kern w:val="0"/>
      <w:sz w:val="28"/>
      <w:szCs w:val="20"/>
      <w14:ligatures w14:val="none"/>
    </w:rPr>
  </w:style>
  <w:style w:type="paragraph" w:customStyle="1" w:styleId="NbrHeading4">
    <w:name w:val="Nbr Heading 4"/>
    <w:basedOn w:val="Heading4"/>
    <w:uiPriority w:val="1"/>
    <w:qFormat/>
    <w:rsid w:val="00F345EB"/>
    <w:pPr>
      <w:keepLines/>
      <w:numPr>
        <w:ilvl w:val="3"/>
        <w:numId w:val="3"/>
      </w:numPr>
      <w:tabs>
        <w:tab w:val="clear" w:pos="1134"/>
      </w:tabs>
      <w:ind w:left="1077" w:right="284" w:hanging="1077"/>
    </w:pPr>
    <w:rPr>
      <w:rFonts w:eastAsia="Times New Roman" w:cs="Times New Roman"/>
      <w:bCs w:val="0"/>
      <w:iCs/>
      <w:kern w:val="0"/>
      <w:sz w:val="24"/>
      <w:szCs w:val="20"/>
      <w14:ligatures w14:val="none"/>
    </w:rPr>
  </w:style>
  <w:style w:type="paragraph" w:customStyle="1" w:styleId="NbrHeading1">
    <w:name w:val="Nbr Heading 1"/>
    <w:basedOn w:val="Heading1"/>
    <w:next w:val="BodyText"/>
    <w:uiPriority w:val="1"/>
    <w:qFormat/>
    <w:rsid w:val="00375B09"/>
    <w:pPr>
      <w:keepNext/>
      <w:keepLines/>
      <w:numPr>
        <w:numId w:val="3"/>
      </w:numPr>
      <w:tabs>
        <w:tab w:val="clear" w:pos="1134"/>
      </w:tabs>
      <w:ind w:left="1077" w:right="284" w:hanging="1077"/>
    </w:pPr>
    <w:rPr>
      <w:rFonts w:asciiTheme="majorHAnsi" w:eastAsiaTheme="majorEastAsia" w:hAnsiTheme="majorHAnsi" w:cs="Times New Roman (Headings CS)"/>
      <w:bCs w:val="0"/>
      <w:color w:val="0054A6"/>
      <w:spacing w:val="-10"/>
      <w:kern w:val="0"/>
      <w:szCs w:val="32"/>
      <w14:ligatures w14:val="none"/>
    </w:rPr>
  </w:style>
  <w:style w:type="paragraph" w:styleId="BodyText">
    <w:name w:val="Body Text"/>
    <w:basedOn w:val="Normal"/>
    <w:link w:val="BodyTextChar"/>
    <w:uiPriority w:val="99"/>
    <w:unhideWhenUsed/>
    <w:qFormat/>
    <w:rsid w:val="00F20877"/>
  </w:style>
  <w:style w:type="character" w:customStyle="1" w:styleId="BodyTextChar">
    <w:name w:val="Body Text Char"/>
    <w:basedOn w:val="DefaultParagraphFont"/>
    <w:link w:val="BodyText"/>
    <w:uiPriority w:val="99"/>
    <w:rsid w:val="00F20877"/>
    <w:rPr>
      <w:sz w:val="22"/>
    </w:rPr>
  </w:style>
  <w:style w:type="table" w:styleId="GridTable6Colorful-Accent3">
    <w:name w:val="Grid Table 6 Colorful Accent 3"/>
    <w:basedOn w:val="TableNormal"/>
    <w:uiPriority w:val="51"/>
    <w:rsid w:val="00B942B9"/>
    <w:rPr>
      <w:color w:val="1FAED7" w:themeColor="accent3" w:themeShade="BF"/>
      <w:kern w:val="0"/>
      <w14:ligatures w14:val="none"/>
    </w:rPr>
    <w:tblPr>
      <w:tblStyleRowBandSize w:val="1"/>
      <w:tblStyleColBandSize w:val="1"/>
      <w:tblBorders>
        <w:top w:val="single" w:sz="4" w:space="0" w:color="A0DFF1" w:themeColor="accent3" w:themeTint="99"/>
        <w:left w:val="single" w:sz="4" w:space="0" w:color="A0DFF1" w:themeColor="accent3" w:themeTint="99"/>
        <w:bottom w:val="single" w:sz="4" w:space="0" w:color="A0DFF1" w:themeColor="accent3" w:themeTint="99"/>
        <w:right w:val="single" w:sz="4" w:space="0" w:color="A0DFF1" w:themeColor="accent3" w:themeTint="99"/>
        <w:insideH w:val="single" w:sz="4" w:space="0" w:color="A0DFF1" w:themeColor="accent3" w:themeTint="99"/>
        <w:insideV w:val="single" w:sz="4" w:space="0" w:color="A0DFF1" w:themeColor="accent3" w:themeTint="99"/>
      </w:tblBorders>
    </w:tblPr>
    <w:tblStylePr w:type="firstRow">
      <w:rPr>
        <w:b/>
        <w:bCs/>
      </w:rPr>
      <w:tblPr/>
      <w:tcPr>
        <w:tcBorders>
          <w:bottom w:val="single" w:sz="12" w:space="0" w:color="A0DFF1" w:themeColor="accent3" w:themeTint="99"/>
        </w:tcBorders>
      </w:tcPr>
    </w:tblStylePr>
    <w:tblStylePr w:type="lastRow">
      <w:rPr>
        <w:b/>
        <w:bCs/>
      </w:rPr>
      <w:tblPr/>
      <w:tcPr>
        <w:tcBorders>
          <w:top w:val="double" w:sz="4" w:space="0" w:color="A0DFF1" w:themeColor="accent3" w:themeTint="99"/>
        </w:tcBorders>
      </w:tcPr>
    </w:tblStylePr>
    <w:tblStylePr w:type="firstCol">
      <w:rPr>
        <w:b/>
        <w:bCs/>
      </w:rPr>
    </w:tblStylePr>
    <w:tblStylePr w:type="lastCol">
      <w:rPr>
        <w:b/>
        <w:bCs/>
      </w:rPr>
    </w:tblStylePr>
    <w:tblStylePr w:type="band1Vert">
      <w:tblPr/>
      <w:tcPr>
        <w:shd w:val="clear" w:color="auto" w:fill="DFF4FA" w:themeFill="accent3" w:themeFillTint="33"/>
      </w:tcPr>
    </w:tblStylePr>
    <w:tblStylePr w:type="band1Horz">
      <w:tblPr/>
      <w:tcPr>
        <w:shd w:val="clear" w:color="auto" w:fill="DFF4FA" w:themeFill="accent3" w:themeFillTint="33"/>
      </w:tcPr>
    </w:tblStylePr>
  </w:style>
  <w:style w:type="table" w:styleId="TableGrid">
    <w:name w:val="Table Grid"/>
    <w:basedOn w:val="TableNormal"/>
    <w:uiPriority w:val="39"/>
    <w:rsid w:val="00B9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942B9"/>
    <w:tblPr>
      <w:tblStyleRowBandSize w:val="1"/>
      <w:tblStyleColBandSize w:val="1"/>
      <w:tblBorders>
        <w:top w:val="single" w:sz="4" w:space="0" w:color="3098FF" w:themeColor="accent1" w:themeTint="99"/>
        <w:left w:val="single" w:sz="4" w:space="0" w:color="3098FF" w:themeColor="accent1" w:themeTint="99"/>
        <w:bottom w:val="single" w:sz="4" w:space="0" w:color="3098FF" w:themeColor="accent1" w:themeTint="99"/>
        <w:right w:val="single" w:sz="4" w:space="0" w:color="3098FF" w:themeColor="accent1" w:themeTint="99"/>
        <w:insideH w:val="single" w:sz="4" w:space="0" w:color="3098FF" w:themeColor="accent1" w:themeTint="99"/>
        <w:insideV w:val="single" w:sz="4" w:space="0" w:color="3098FF" w:themeColor="accent1" w:themeTint="99"/>
      </w:tblBorders>
    </w:tblPr>
    <w:tblStylePr w:type="firstRow">
      <w:rPr>
        <w:b/>
        <w:bCs/>
        <w:color w:val="FFFFFF" w:themeColor="background1"/>
      </w:rPr>
      <w:tblPr/>
      <w:tcPr>
        <w:tcBorders>
          <w:top w:val="single" w:sz="4" w:space="0" w:color="0054A6" w:themeColor="accent1"/>
          <w:left w:val="single" w:sz="4" w:space="0" w:color="0054A6" w:themeColor="accent1"/>
          <w:bottom w:val="single" w:sz="4" w:space="0" w:color="0054A6" w:themeColor="accent1"/>
          <w:right w:val="single" w:sz="4" w:space="0" w:color="0054A6" w:themeColor="accent1"/>
          <w:insideH w:val="nil"/>
          <w:insideV w:val="nil"/>
        </w:tcBorders>
        <w:shd w:val="clear" w:color="auto" w:fill="0054A6" w:themeFill="accent1"/>
      </w:tcPr>
    </w:tblStylePr>
    <w:tblStylePr w:type="lastRow">
      <w:rPr>
        <w:b/>
        <w:bCs/>
      </w:rPr>
      <w:tblPr/>
      <w:tcPr>
        <w:tcBorders>
          <w:top w:val="double" w:sz="4" w:space="0" w:color="0054A6" w:themeColor="accent1"/>
        </w:tcBorders>
      </w:tcPr>
    </w:tblStylePr>
    <w:tblStylePr w:type="firstCol">
      <w:rPr>
        <w:b/>
        <w:bCs/>
      </w:rPr>
    </w:tblStylePr>
    <w:tblStylePr w:type="lastCol">
      <w:rPr>
        <w:b/>
        <w:bCs/>
      </w:rPr>
    </w:tblStylePr>
    <w:tblStylePr w:type="band1Vert">
      <w:tblPr/>
      <w:tcPr>
        <w:shd w:val="clear" w:color="auto" w:fill="BADCFF" w:themeFill="accent1" w:themeFillTint="33"/>
      </w:tcPr>
    </w:tblStylePr>
    <w:tblStylePr w:type="band1Horz">
      <w:tblPr/>
      <w:tcPr>
        <w:shd w:val="clear" w:color="auto" w:fill="BADCFF" w:themeFill="accent1" w:themeFillTint="33"/>
      </w:tcPr>
    </w:tblStylePr>
  </w:style>
  <w:style w:type="table" w:styleId="GridTable5Dark-Accent1">
    <w:name w:val="Grid Table 5 Dark Accent 1"/>
    <w:basedOn w:val="TableNormal"/>
    <w:uiPriority w:val="50"/>
    <w:rsid w:val="00B942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DC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A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A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A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A6" w:themeFill="accent1"/>
      </w:tcPr>
    </w:tblStylePr>
    <w:tblStylePr w:type="band1Vert">
      <w:tblPr/>
      <w:tcPr>
        <w:shd w:val="clear" w:color="auto" w:fill="75BAFF" w:themeFill="accent1" w:themeFillTint="66"/>
      </w:tcPr>
    </w:tblStylePr>
    <w:tblStylePr w:type="band1Horz">
      <w:tblPr/>
      <w:tcPr>
        <w:shd w:val="clear" w:color="auto" w:fill="75BAFF" w:themeFill="accent1" w:themeFillTint="66"/>
      </w:tcPr>
    </w:tblStylePr>
  </w:style>
  <w:style w:type="table" w:styleId="ListTable3-Accent1">
    <w:name w:val="List Table 3 Accent 1"/>
    <w:basedOn w:val="TableNormal"/>
    <w:uiPriority w:val="48"/>
    <w:rsid w:val="00B942B9"/>
    <w:tblPr>
      <w:tblStyleRowBandSize w:val="1"/>
      <w:tblStyleColBandSize w:val="1"/>
      <w:tblBorders>
        <w:top w:val="single" w:sz="4" w:space="0" w:color="0054A6" w:themeColor="accent1"/>
        <w:left w:val="single" w:sz="4" w:space="0" w:color="0054A6" w:themeColor="accent1"/>
        <w:bottom w:val="single" w:sz="4" w:space="0" w:color="0054A6" w:themeColor="accent1"/>
        <w:right w:val="single" w:sz="4" w:space="0" w:color="0054A6" w:themeColor="accent1"/>
      </w:tblBorders>
    </w:tblPr>
    <w:tblStylePr w:type="firstRow">
      <w:rPr>
        <w:b/>
        <w:bCs/>
        <w:color w:val="FFFFFF" w:themeColor="background1"/>
      </w:rPr>
      <w:tblPr/>
      <w:tcPr>
        <w:shd w:val="clear" w:color="auto" w:fill="0054A6" w:themeFill="accent1"/>
      </w:tcPr>
    </w:tblStylePr>
    <w:tblStylePr w:type="lastRow">
      <w:rPr>
        <w:b/>
        <w:bCs/>
      </w:rPr>
      <w:tblPr/>
      <w:tcPr>
        <w:tcBorders>
          <w:top w:val="double" w:sz="4" w:space="0" w:color="0054A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4A6" w:themeColor="accent1"/>
          <w:right w:val="single" w:sz="4" w:space="0" w:color="0054A6" w:themeColor="accent1"/>
        </w:tcBorders>
      </w:tcPr>
    </w:tblStylePr>
    <w:tblStylePr w:type="band1Horz">
      <w:tblPr/>
      <w:tcPr>
        <w:tcBorders>
          <w:top w:val="single" w:sz="4" w:space="0" w:color="0054A6" w:themeColor="accent1"/>
          <w:bottom w:val="single" w:sz="4" w:space="0" w:color="0054A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4A6" w:themeColor="accent1"/>
          <w:left w:val="nil"/>
        </w:tcBorders>
      </w:tcPr>
    </w:tblStylePr>
    <w:tblStylePr w:type="swCell">
      <w:tblPr/>
      <w:tcPr>
        <w:tcBorders>
          <w:top w:val="double" w:sz="4" w:space="0" w:color="0054A6" w:themeColor="accent1"/>
          <w:right w:val="nil"/>
        </w:tcBorders>
      </w:tcPr>
    </w:tblStylePr>
  </w:style>
  <w:style w:type="character" w:styleId="PageNumber">
    <w:name w:val="page number"/>
    <w:basedOn w:val="DefaultParagraphFont"/>
    <w:uiPriority w:val="99"/>
    <w:semiHidden/>
    <w:unhideWhenUsed/>
    <w:rsid w:val="00B942B9"/>
  </w:style>
  <w:style w:type="paragraph" w:customStyle="1" w:styleId="Pullquote">
    <w:name w:val="Pull quote"/>
    <w:basedOn w:val="Normal"/>
    <w:qFormat/>
    <w:rsid w:val="00D23A1B"/>
    <w:pPr>
      <w:spacing w:before="240" w:after="240" w:line="400" w:lineRule="exact"/>
      <w:ind w:left="170"/>
    </w:pPr>
    <w:rPr>
      <w:rFonts w:eastAsia="Century Gothic" w:cs="Times New Roman"/>
      <w:b/>
      <w:bCs/>
      <w:color w:val="0054A6"/>
      <w:kern w:val="0"/>
      <w:sz w:val="32"/>
      <w:szCs w:val="28"/>
      <w14:ligatures w14:val="none"/>
    </w:rPr>
  </w:style>
  <w:style w:type="paragraph" w:customStyle="1" w:styleId="RunningHead">
    <w:name w:val="Running Head*"/>
    <w:basedOn w:val="Normal"/>
    <w:uiPriority w:val="99"/>
    <w:rsid w:val="00EE1D25"/>
    <w:pPr>
      <w:suppressAutoHyphens/>
      <w:autoSpaceDE w:val="0"/>
      <w:autoSpaceDN w:val="0"/>
      <w:adjustRightInd w:val="0"/>
      <w:spacing w:line="256" w:lineRule="atLeast"/>
      <w:textAlignment w:val="center"/>
    </w:pPr>
    <w:rPr>
      <w:rFonts w:cs="Century Gothic"/>
      <w:b/>
      <w:bCs/>
      <w:color w:val="FFFFFF" w:themeColor="background1"/>
      <w:spacing w:val="4"/>
      <w:kern w:val="0"/>
      <w:szCs w:val="22"/>
      <w:lang w:val="en-US" w:eastAsia="ja-JP"/>
      <w14:ligatures w14:val="none"/>
    </w:rPr>
  </w:style>
  <w:style w:type="paragraph" w:customStyle="1" w:styleId="CoverTitle">
    <w:name w:val="Cover Title"/>
    <w:basedOn w:val="Normal"/>
    <w:uiPriority w:val="99"/>
    <w:rsid w:val="0003569A"/>
    <w:pPr>
      <w:suppressAutoHyphens/>
      <w:autoSpaceDE w:val="0"/>
      <w:autoSpaceDN w:val="0"/>
      <w:adjustRightInd w:val="0"/>
      <w:spacing w:line="228" w:lineRule="auto"/>
      <w:textAlignment w:val="center"/>
    </w:pPr>
    <w:rPr>
      <w:rFonts w:cs="Century Gothic"/>
      <w:b/>
      <w:bCs/>
      <w:color w:val="0054A6"/>
      <w:kern w:val="0"/>
      <w:sz w:val="64"/>
      <w:szCs w:val="104"/>
      <w:lang w:val="en-US" w:eastAsia="ja-JP"/>
      <w14:ligatures w14:val="none"/>
    </w:rPr>
  </w:style>
  <w:style w:type="paragraph" w:customStyle="1" w:styleId="SecondLine">
    <w:name w:val="Second Line"/>
    <w:basedOn w:val="Normal"/>
    <w:qFormat/>
    <w:rsid w:val="0003569A"/>
    <w:pPr>
      <w:suppressAutoHyphens/>
      <w:autoSpaceDE w:val="0"/>
      <w:autoSpaceDN w:val="0"/>
      <w:adjustRightInd w:val="0"/>
      <w:spacing w:line="288" w:lineRule="auto"/>
      <w:textAlignment w:val="center"/>
    </w:pPr>
    <w:rPr>
      <w:rFonts w:cs="Century Gothic"/>
      <w:b/>
      <w:color w:val="000000" w:themeColor="text1"/>
      <w:kern w:val="0"/>
      <w:sz w:val="32"/>
      <w:szCs w:val="40"/>
      <w:lang w:val="en-US" w:eastAsia="ja-JP"/>
      <w14:ligatures w14:val="none"/>
    </w:rPr>
  </w:style>
  <w:style w:type="paragraph" w:customStyle="1" w:styleId="Tablebodysidebar">
    <w:name w:val="Table body side bar"/>
    <w:basedOn w:val="Normal"/>
    <w:qFormat/>
    <w:rsid w:val="00CB1083"/>
    <w:pPr>
      <w:spacing w:before="100" w:after="100"/>
      <w:ind w:left="34" w:right="176"/>
    </w:pPr>
    <w:rPr>
      <w:color w:val="FFFFFF" w:themeColor="background1"/>
      <w:sz w:val="20"/>
      <w:szCs w:val="22"/>
    </w:rPr>
  </w:style>
  <w:style w:type="paragraph" w:customStyle="1" w:styleId="Tablebody">
    <w:name w:val="Table body"/>
    <w:basedOn w:val="Normal"/>
    <w:qFormat/>
    <w:rsid w:val="00B8677B"/>
    <w:pPr>
      <w:spacing w:before="100" w:after="100"/>
      <w:ind w:left="34" w:right="176"/>
    </w:pPr>
    <w:rPr>
      <w:color w:val="000000" w:themeColor="text1"/>
      <w:kern w:val="0"/>
      <w:sz w:val="20"/>
      <w14:ligatures w14:val="none"/>
    </w:rPr>
  </w:style>
  <w:style w:type="paragraph" w:customStyle="1" w:styleId="Tableheading">
    <w:name w:val="Table heading"/>
    <w:basedOn w:val="Normal"/>
    <w:qFormat/>
    <w:rsid w:val="00440006"/>
    <w:pPr>
      <w:spacing w:before="100" w:after="100"/>
      <w:ind w:left="34" w:right="176"/>
    </w:pPr>
    <w:rPr>
      <w:b/>
      <w:bCs/>
      <w:color w:val="0054A6" w:themeColor="accent1"/>
      <w:kern w:val="0"/>
      <w14:ligatures w14:val="none"/>
    </w:rPr>
  </w:style>
  <w:style w:type="paragraph" w:customStyle="1" w:styleId="Tableheadingwhite">
    <w:name w:val="Table heading white"/>
    <w:basedOn w:val="Normal"/>
    <w:qFormat/>
    <w:rsid w:val="00440006"/>
    <w:pPr>
      <w:spacing w:before="100" w:after="100"/>
      <w:ind w:left="28" w:right="175"/>
    </w:pPr>
    <w:rPr>
      <w:b/>
      <w:bCs/>
      <w:color w:val="FFFFFF" w:themeColor="background1"/>
      <w:kern w:val="0"/>
      <w14:ligatures w14:val="none"/>
    </w:rPr>
  </w:style>
  <w:style w:type="character" w:styleId="Emphasis">
    <w:name w:val="Emphasis"/>
    <w:aliases w:val="Chart and table title"/>
    <w:basedOn w:val="DefaultParagraphFont"/>
    <w:uiPriority w:val="20"/>
    <w:qFormat/>
    <w:rsid w:val="00A35F11"/>
    <w:rPr>
      <w:b/>
      <w:bCs/>
      <w:color w:val="0054A6" w:themeColor="accent1"/>
      <w:sz w:val="24"/>
      <w:szCs w:val="24"/>
    </w:rPr>
  </w:style>
  <w:style w:type="paragraph" w:customStyle="1" w:styleId="Listbulletlevel1">
    <w:name w:val="List bullet level 1"/>
    <w:basedOn w:val="Normal"/>
    <w:qFormat/>
    <w:rsid w:val="00E5673E"/>
    <w:pPr>
      <w:numPr>
        <w:numId w:val="1"/>
      </w:numPr>
      <w:ind w:left="924" w:hanging="567"/>
      <w:contextualSpacing/>
    </w:pPr>
    <w:rPr>
      <w:szCs w:val="22"/>
    </w:rPr>
  </w:style>
  <w:style w:type="paragraph" w:customStyle="1" w:styleId="Listbulletlevel2">
    <w:name w:val="List bullet level 2"/>
    <w:basedOn w:val="Normal"/>
    <w:qFormat/>
    <w:rsid w:val="00E5673E"/>
    <w:pPr>
      <w:numPr>
        <w:ilvl w:val="1"/>
        <w:numId w:val="1"/>
      </w:numPr>
      <w:ind w:left="1418" w:hanging="454"/>
      <w:contextualSpacing/>
    </w:pPr>
    <w:rPr>
      <w:szCs w:val="22"/>
    </w:rPr>
  </w:style>
  <w:style w:type="paragraph" w:customStyle="1" w:styleId="Listbulletlevel3">
    <w:name w:val="List bullet level 3"/>
    <w:basedOn w:val="Normal"/>
    <w:qFormat/>
    <w:rsid w:val="00E5673E"/>
    <w:pPr>
      <w:numPr>
        <w:ilvl w:val="2"/>
        <w:numId w:val="1"/>
      </w:numPr>
      <w:ind w:left="1871" w:hanging="397"/>
      <w:contextualSpacing/>
    </w:pPr>
    <w:rPr>
      <w:szCs w:val="22"/>
    </w:rPr>
  </w:style>
  <w:style w:type="paragraph" w:customStyle="1" w:styleId="Listbulletlevel4">
    <w:name w:val="List bullet level 4"/>
    <w:basedOn w:val="Normal"/>
    <w:qFormat/>
    <w:rsid w:val="00E5673E"/>
    <w:pPr>
      <w:numPr>
        <w:ilvl w:val="3"/>
        <w:numId w:val="1"/>
      </w:numPr>
      <w:ind w:left="2268" w:hanging="397"/>
      <w:contextualSpacing/>
    </w:pPr>
    <w:rPr>
      <w:szCs w:val="22"/>
    </w:rPr>
  </w:style>
  <w:style w:type="paragraph" w:customStyle="1" w:styleId="Listbulletlevel5">
    <w:name w:val="List bullet level 5"/>
    <w:basedOn w:val="Normal"/>
    <w:qFormat/>
    <w:rsid w:val="00E5673E"/>
    <w:pPr>
      <w:numPr>
        <w:ilvl w:val="4"/>
        <w:numId w:val="1"/>
      </w:numPr>
      <w:ind w:left="2665" w:hanging="397"/>
      <w:contextualSpacing/>
    </w:pPr>
    <w:rPr>
      <w:szCs w:val="22"/>
    </w:rPr>
  </w:style>
  <w:style w:type="paragraph" w:customStyle="1" w:styleId="Listnumberlevel2">
    <w:name w:val="List number level 2"/>
    <w:basedOn w:val="Normal"/>
    <w:qFormat/>
    <w:rsid w:val="003E6A16"/>
    <w:pPr>
      <w:numPr>
        <w:numId w:val="5"/>
      </w:numPr>
      <w:ind w:left="1418" w:hanging="454"/>
    </w:pPr>
  </w:style>
  <w:style w:type="paragraph" w:customStyle="1" w:styleId="Listnumberlevel3">
    <w:name w:val="List number level 3"/>
    <w:basedOn w:val="Normal"/>
    <w:qFormat/>
    <w:rsid w:val="009B6E04"/>
    <w:pPr>
      <w:numPr>
        <w:numId w:val="6"/>
      </w:numPr>
      <w:ind w:left="1928" w:hanging="454"/>
    </w:pPr>
  </w:style>
  <w:style w:type="character" w:styleId="CommentReference">
    <w:name w:val="annotation reference"/>
    <w:basedOn w:val="DefaultParagraphFont"/>
    <w:uiPriority w:val="99"/>
    <w:semiHidden/>
    <w:unhideWhenUsed/>
    <w:rsid w:val="00DC326A"/>
    <w:rPr>
      <w:sz w:val="16"/>
      <w:szCs w:val="16"/>
    </w:rPr>
  </w:style>
  <w:style w:type="paragraph" w:styleId="CommentText">
    <w:name w:val="annotation text"/>
    <w:basedOn w:val="Normal"/>
    <w:link w:val="CommentTextChar"/>
    <w:uiPriority w:val="99"/>
    <w:unhideWhenUsed/>
    <w:rsid w:val="00DC326A"/>
    <w:pPr>
      <w:spacing w:line="240" w:lineRule="auto"/>
    </w:pPr>
    <w:rPr>
      <w:sz w:val="20"/>
      <w:szCs w:val="20"/>
    </w:rPr>
  </w:style>
  <w:style w:type="character" w:customStyle="1" w:styleId="CommentTextChar">
    <w:name w:val="Comment Text Char"/>
    <w:basedOn w:val="DefaultParagraphFont"/>
    <w:link w:val="CommentText"/>
    <w:uiPriority w:val="99"/>
    <w:rsid w:val="00DC326A"/>
    <w:rPr>
      <w:sz w:val="20"/>
      <w:szCs w:val="20"/>
    </w:rPr>
  </w:style>
  <w:style w:type="character" w:customStyle="1" w:styleId="wacimagecontainer">
    <w:name w:val="wacimagecontainer"/>
    <w:basedOn w:val="DefaultParagraphFont"/>
    <w:rsid w:val="00BD70D7"/>
  </w:style>
  <w:style w:type="paragraph" w:customStyle="1" w:styleId="BodyCopy">
    <w:name w:val="Body Copy"/>
    <w:basedOn w:val="Normal"/>
    <w:rsid w:val="006B199E"/>
    <w:rPr>
      <w:szCs w:val="22"/>
    </w:rPr>
  </w:style>
  <w:style w:type="table" w:customStyle="1" w:styleId="TableNoBorder1">
    <w:name w:val="Table No Border1"/>
    <w:basedOn w:val="TableNormal"/>
    <w:next w:val="TableGrid"/>
    <w:uiPriority w:val="39"/>
    <w:rsid w:val="006B199E"/>
    <w:rPr>
      <w:kern w:val="0"/>
      <w:sz w:val="22"/>
      <w:szCs w:val="22"/>
      <w14:ligatures w14:val="none"/>
    </w:rPr>
    <w:tblPr>
      <w:tblCellMar>
        <w:left w:w="0" w:type="dxa"/>
        <w:right w:w="0" w:type="dxa"/>
      </w:tblCellMar>
    </w:tblPr>
  </w:style>
  <w:style w:type="paragraph" w:styleId="Caption">
    <w:name w:val="caption"/>
    <w:basedOn w:val="Normal"/>
    <w:next w:val="Normal"/>
    <w:uiPriority w:val="35"/>
    <w:unhideWhenUsed/>
    <w:qFormat/>
    <w:rsid w:val="00A57F17"/>
    <w:pPr>
      <w:spacing w:before="0" w:after="0" w:line="240" w:lineRule="auto"/>
    </w:pPr>
    <w:rPr>
      <w:iCs/>
      <w:szCs w:val="18"/>
    </w:rPr>
  </w:style>
  <w:style w:type="character" w:styleId="BookTitle">
    <w:name w:val="Book Title"/>
    <w:basedOn w:val="DefaultParagraphFont"/>
    <w:uiPriority w:val="33"/>
    <w:rsid w:val="00A57F17"/>
    <w:rPr>
      <w:b/>
      <w:bCs/>
      <w:i/>
      <w:iCs/>
      <w:spacing w:val="5"/>
    </w:rPr>
  </w:style>
  <w:style w:type="character" w:styleId="Strong">
    <w:name w:val="Strong"/>
    <w:basedOn w:val="DefaultParagraphFont"/>
    <w:uiPriority w:val="22"/>
    <w:qFormat/>
    <w:rsid w:val="003E3923"/>
    <w:rPr>
      <w:b/>
      <w:bCs/>
    </w:rPr>
  </w:style>
  <w:style w:type="paragraph" w:customStyle="1" w:styleId="Footerspacing">
    <w:name w:val="Footer spacing"/>
    <w:basedOn w:val="Footer"/>
    <w:qFormat/>
    <w:rsid w:val="00643915"/>
    <w:pPr>
      <w:spacing w:line="240" w:lineRule="auto"/>
    </w:pPr>
  </w:style>
  <w:style w:type="character" w:styleId="Hyperlink">
    <w:name w:val="Hyperlink"/>
    <w:basedOn w:val="DefaultParagraphFont"/>
    <w:uiPriority w:val="99"/>
    <w:unhideWhenUsed/>
    <w:rsid w:val="00AE289B"/>
    <w:rPr>
      <w:color w:val="0054A6" w:themeColor="hyperlink"/>
      <w:u w:val="single"/>
    </w:rPr>
  </w:style>
  <w:style w:type="character" w:styleId="UnresolvedMention">
    <w:name w:val="Unresolved Mention"/>
    <w:basedOn w:val="DefaultParagraphFont"/>
    <w:uiPriority w:val="99"/>
    <w:semiHidden/>
    <w:unhideWhenUsed/>
    <w:rsid w:val="009C42A7"/>
    <w:rPr>
      <w:color w:val="605E5C"/>
      <w:shd w:val="clear" w:color="auto" w:fill="E1DFDD"/>
    </w:rPr>
  </w:style>
  <w:style w:type="paragraph" w:styleId="Revision">
    <w:name w:val="Revision"/>
    <w:hidden/>
    <w:uiPriority w:val="99"/>
    <w:semiHidden/>
    <w:rsid w:val="00B27B60"/>
    <w:rPr>
      <w:sz w:val="22"/>
    </w:rPr>
  </w:style>
  <w:style w:type="paragraph" w:styleId="CommentSubject">
    <w:name w:val="annotation subject"/>
    <w:basedOn w:val="CommentText"/>
    <w:next w:val="CommentText"/>
    <w:link w:val="CommentSubjectChar"/>
    <w:uiPriority w:val="99"/>
    <w:semiHidden/>
    <w:unhideWhenUsed/>
    <w:rsid w:val="001A36BE"/>
    <w:rPr>
      <w:b/>
      <w:bCs/>
    </w:rPr>
  </w:style>
  <w:style w:type="character" w:customStyle="1" w:styleId="CommentSubjectChar">
    <w:name w:val="Comment Subject Char"/>
    <w:basedOn w:val="CommentTextChar"/>
    <w:link w:val="CommentSubject"/>
    <w:uiPriority w:val="99"/>
    <w:semiHidden/>
    <w:rsid w:val="001A36BE"/>
    <w:rPr>
      <w:b/>
      <w:bCs/>
      <w:sz w:val="20"/>
      <w:szCs w:val="20"/>
    </w:rPr>
  </w:style>
  <w:style w:type="character" w:customStyle="1" w:styleId="normaltextrun">
    <w:name w:val="normaltextrun"/>
    <w:basedOn w:val="DefaultParagraphFont"/>
    <w:rsid w:val="00E30654"/>
  </w:style>
  <w:style w:type="character" w:customStyle="1" w:styleId="apple-converted-space">
    <w:name w:val="apple-converted-space"/>
    <w:basedOn w:val="DefaultParagraphFont"/>
    <w:rsid w:val="00E30654"/>
  </w:style>
  <w:style w:type="character" w:customStyle="1" w:styleId="eop">
    <w:name w:val="eop"/>
    <w:basedOn w:val="DefaultParagraphFont"/>
    <w:rsid w:val="00E30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seph.pizzinga@waternsw.com.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waterreform2026@p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AA1DC54BD04DB4919789DF475B5611"/>
        <w:category>
          <w:name w:val="General"/>
          <w:gallery w:val="placeholder"/>
        </w:category>
        <w:types>
          <w:type w:val="bbPlcHdr"/>
        </w:types>
        <w:behaviors>
          <w:behavior w:val="content"/>
        </w:behaviors>
        <w:guid w:val="{C59C9C00-7B8B-45B3-B4EF-7F4B025CEDDF}"/>
      </w:docPartPr>
      <w:docPartBody>
        <w:p w:rsidR="005B41E3" w:rsidRDefault="004C565E">
          <w:pPr>
            <w:pStyle w:val="ABAA1DC54BD04DB4919789DF475B5611"/>
          </w:pPr>
          <w:r>
            <w:rPr>
              <w:highlight w:val="yellow"/>
            </w:rPr>
            <w:t>[Choose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61"/>
    <w:rsid w:val="00047C98"/>
    <w:rsid w:val="00057C89"/>
    <w:rsid w:val="00070525"/>
    <w:rsid w:val="000E5E1B"/>
    <w:rsid w:val="00103732"/>
    <w:rsid w:val="0034084E"/>
    <w:rsid w:val="00356B2D"/>
    <w:rsid w:val="0044126B"/>
    <w:rsid w:val="004773D3"/>
    <w:rsid w:val="004C565E"/>
    <w:rsid w:val="00540361"/>
    <w:rsid w:val="005607A4"/>
    <w:rsid w:val="005B41E3"/>
    <w:rsid w:val="007A5247"/>
    <w:rsid w:val="007B4F5F"/>
    <w:rsid w:val="007C51CA"/>
    <w:rsid w:val="007D08A1"/>
    <w:rsid w:val="008118F6"/>
    <w:rsid w:val="00957066"/>
    <w:rsid w:val="009B02B5"/>
    <w:rsid w:val="009C34CB"/>
    <w:rsid w:val="009D4275"/>
    <w:rsid w:val="009F5108"/>
    <w:rsid w:val="00A57D3F"/>
    <w:rsid w:val="00A66A4F"/>
    <w:rsid w:val="00AD057C"/>
    <w:rsid w:val="00DF2D7B"/>
    <w:rsid w:val="00E66DB1"/>
    <w:rsid w:val="00EE5F1F"/>
    <w:rsid w:val="00F156F0"/>
    <w:rsid w:val="00FF4B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AA1DC54BD04DB4919789DF475B5611">
    <w:name w:val="ABAA1DC54BD04DB4919789DF475B5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0000"/>
      </a:dk1>
      <a:lt1>
        <a:srgbClr val="FFFFFF"/>
      </a:lt1>
      <a:dk2>
        <a:srgbClr val="002855"/>
      </a:dk2>
      <a:lt2>
        <a:srgbClr val="E7E6E6"/>
      </a:lt2>
      <a:accent1>
        <a:srgbClr val="0054A6"/>
      </a:accent1>
      <a:accent2>
        <a:srgbClr val="4884C4"/>
      </a:accent2>
      <a:accent3>
        <a:srgbClr val="62CBE8"/>
      </a:accent3>
      <a:accent4>
        <a:srgbClr val="BED12A"/>
      </a:accent4>
      <a:accent5>
        <a:srgbClr val="FFCD34"/>
      </a:accent5>
      <a:accent6>
        <a:srgbClr val="F36C20"/>
      </a:accent6>
      <a:hlink>
        <a:srgbClr val="0054A6"/>
      </a:hlink>
      <a:folHlink>
        <a:srgbClr val="5F3A3C"/>
      </a:folHlink>
    </a:clrScheme>
    <a:fontScheme name="Barlow">
      <a:majorFont>
        <a:latin typeface="Barlow"/>
        <a:ea typeface=""/>
        <a:cs typeface=""/>
      </a:majorFont>
      <a:minorFont>
        <a:latin typeface="Barl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289E58C39AE949ADD76434DB507210" ma:contentTypeVersion="16" ma:contentTypeDescription="Create a new document." ma:contentTypeScope="" ma:versionID="2dafb9a6ae4b9d11f9ca36264bad6341">
  <xsd:schema xmlns:xsd="http://www.w3.org/2001/XMLSchema" xmlns:xs="http://www.w3.org/2001/XMLSchema" xmlns:p="http://schemas.microsoft.com/office/2006/metadata/properties" xmlns:ns2="a14e6237-4100-43bd-babf-7372333cd848" xmlns:ns3="93ae5357-f149-4009-ba92-9da68cc9be00" targetNamespace="http://schemas.microsoft.com/office/2006/metadata/properties" ma:root="true" ma:fieldsID="5450728c3b4f3c70b6f664d040fb9916" ns2:_="" ns3:_="">
    <xsd:import namespace="a14e6237-4100-43bd-babf-7372333cd848"/>
    <xsd:import namespace="93ae5357-f149-4009-ba92-9da68cc9be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e6237-4100-43bd-babf-7372333cd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Notes" ma:index="13" nillable="true" ma:displayName="Notes" ma:description="Extra info" ma:format="Dropdown" ma:internalName="Notes">
      <xsd:simpleType>
        <xsd:restriction base="dms:Text">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add8f3-fa88-4b92-b89f-09d2ce5de9b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e5357-f149-4009-ba92-9da68cc9be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0e392ae-89f7-46c7-b258-90829747e56c}" ma:internalName="TaxCatchAll" ma:showField="CatchAllData" ma:web="93ae5357-f149-4009-ba92-9da68cc9be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14e6237-4100-43bd-babf-7372333cd848">
      <Terms xmlns="http://schemas.microsoft.com/office/infopath/2007/PartnerControls"/>
    </lcf76f155ced4ddcb4097134ff3c332f>
    <Notes xmlns="a14e6237-4100-43bd-babf-7372333cd848" xsi:nil="true"/>
    <TaxCatchAll xmlns="93ae5357-f149-4009-ba92-9da68cc9be0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2F3399-D047-574D-B669-CB30289D7E3B}">
  <ds:schemaRefs>
    <ds:schemaRef ds:uri="http://schemas.openxmlformats.org/officeDocument/2006/bibliography"/>
  </ds:schemaRefs>
</ds:datastoreItem>
</file>

<file path=customXml/itemProps3.xml><?xml version="1.0" encoding="utf-8"?>
<ds:datastoreItem xmlns:ds="http://schemas.openxmlformats.org/officeDocument/2006/customXml" ds:itemID="{A7F417A1-9221-43C3-A737-58E500AB5FBF}">
  <ds:schemaRefs>
    <ds:schemaRef ds:uri="http://schemas.microsoft.com/sharepoint/v3/contenttype/forms"/>
  </ds:schemaRefs>
</ds:datastoreItem>
</file>

<file path=customXml/itemProps4.xml><?xml version="1.0" encoding="utf-8"?>
<ds:datastoreItem xmlns:ds="http://schemas.openxmlformats.org/officeDocument/2006/customXml" ds:itemID="{603347E9-728B-4ED2-B4AA-7112BE2CE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e6237-4100-43bd-babf-7372333cd848"/>
    <ds:schemaRef ds:uri="93ae5357-f149-4009-ba92-9da68cc9b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05CB45-5009-4763-98D9-325D2EFDC77D}">
  <ds:schemaRefs>
    <ds:schemaRef ds:uri="http://schemas.microsoft.com/office/2006/metadata/properties"/>
    <ds:schemaRef ds:uri="http://schemas.microsoft.com/office/infopath/2007/PartnerControls"/>
    <ds:schemaRef ds:uri="a14e6237-4100-43bd-babf-7372333cd848"/>
    <ds:schemaRef ds:uri="93ae5357-f149-4009-ba92-9da68cc9be00"/>
  </ds:schemaRefs>
</ds:datastoreItem>
</file>

<file path=docMetadata/LabelInfo.xml><?xml version="1.0" encoding="utf-8"?>
<clbl:labelList xmlns:clbl="http://schemas.microsoft.com/office/2020/mipLabelMetadata">
  <clbl:label id="{f9b6d7c0-2c21-4f56-b69d-347b8d3e3da9}" enabled="0" method="" siteId="{f9b6d7c0-2c21-4f56-b69d-347b8d3e3da9}"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2259</Words>
  <Characters>14080</Characters>
  <Application>Microsoft Office Word</Application>
  <DocSecurity>0</DocSecurity>
  <Lines>191</Lines>
  <Paragraphs>57</Paragraphs>
  <ScaleCrop>false</ScaleCrop>
  <HeadingPairs>
    <vt:vector size="2" baseType="variant">
      <vt:variant>
        <vt:lpstr>Title</vt:lpstr>
      </vt:variant>
      <vt:variant>
        <vt:i4>1</vt:i4>
      </vt:variant>
    </vt:vector>
  </HeadingPairs>
  <TitlesOfParts>
    <vt:vector size="1" baseType="lpstr">
      <vt:lpstr>Submission 051 - WaterNSW  - National Water Reform 2026 - Public inquiry</vt:lpstr>
    </vt:vector>
  </TitlesOfParts>
  <Company>WaterNSW</Company>
  <LinksUpToDate>false</LinksUpToDate>
  <CharactersWithSpaces>16313</CharactersWithSpaces>
  <SharedDoc>false</SharedDoc>
  <HLinks>
    <vt:vector size="12" baseType="variant">
      <vt:variant>
        <vt:i4>2162718</vt:i4>
      </vt:variant>
      <vt:variant>
        <vt:i4>3</vt:i4>
      </vt:variant>
      <vt:variant>
        <vt:i4>0</vt:i4>
      </vt:variant>
      <vt:variant>
        <vt:i4>5</vt:i4>
      </vt:variant>
      <vt:variant>
        <vt:lpwstr>mailto:joseph.pizzinga@waternsw.com.au</vt:lpwstr>
      </vt:variant>
      <vt:variant>
        <vt:lpwstr/>
      </vt:variant>
      <vt:variant>
        <vt:i4>1572987</vt:i4>
      </vt:variant>
      <vt:variant>
        <vt:i4>0</vt:i4>
      </vt:variant>
      <vt:variant>
        <vt:i4>0</vt:i4>
      </vt:variant>
      <vt:variant>
        <vt:i4>5</vt:i4>
      </vt:variant>
      <vt:variant>
        <vt:lpwstr>mailto:waterreform2026@pc.gov.au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051 - WaterNSW  - National Water Reform 2026 - Public inquiry</dc:title>
  <dc:subject/>
  <dc:creator>WaterNSW</dc:creator>
  <cp:keywords/>
  <dc:description/>
  <cp:lastModifiedBy>Tully Lampasona</cp:lastModifiedBy>
  <cp:revision>10</cp:revision>
  <dcterms:created xsi:type="dcterms:W3CDTF">2026-05-12T03:23:00Z</dcterms:created>
  <dcterms:modified xsi:type="dcterms:W3CDTF">2026-05-12T03:30:00Z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2b36d-f601-4e6b-943f-5f6005588b93_Enabled">
    <vt:lpwstr>true</vt:lpwstr>
  </property>
  <property fmtid="{D5CDD505-2E9C-101B-9397-08002B2CF9AE}" pid="3" name="MSIP_Label_3452b36d-f601-4e6b-943f-5f6005588b93_SetDate">
    <vt:lpwstr>2024-05-06T05:56:17Z</vt:lpwstr>
  </property>
  <property fmtid="{D5CDD505-2E9C-101B-9397-08002B2CF9AE}" pid="4" name="MSIP_Label_3452b36d-f601-4e6b-943f-5f6005588b93_Method">
    <vt:lpwstr>Standard</vt:lpwstr>
  </property>
  <property fmtid="{D5CDD505-2E9C-101B-9397-08002B2CF9AE}" pid="5" name="MSIP_Label_3452b36d-f601-4e6b-943f-5f6005588b93_Name">
    <vt:lpwstr>Class 2 - Internal Use Only (Private)</vt:lpwstr>
  </property>
  <property fmtid="{D5CDD505-2E9C-101B-9397-08002B2CF9AE}" pid="6" name="MSIP_Label_3452b36d-f601-4e6b-943f-5f6005588b93_SiteId">
    <vt:lpwstr>f9b6d7c0-2c21-4f56-b69d-347b8d3e3da9</vt:lpwstr>
  </property>
  <property fmtid="{D5CDD505-2E9C-101B-9397-08002B2CF9AE}" pid="7" name="MSIP_Label_3452b36d-f601-4e6b-943f-5f6005588b93_ActionId">
    <vt:lpwstr>38c94e52-fe85-4339-9bf3-a0b02b362179</vt:lpwstr>
  </property>
  <property fmtid="{D5CDD505-2E9C-101B-9397-08002B2CF9AE}" pid="8" name="MSIP_Label_3452b36d-f601-4e6b-943f-5f6005588b93_ContentBits">
    <vt:lpwstr>0</vt:lpwstr>
  </property>
  <property fmtid="{D5CDD505-2E9C-101B-9397-08002B2CF9AE}" pid="9" name="MediaServiceImageTags">
    <vt:lpwstr/>
  </property>
  <property fmtid="{D5CDD505-2E9C-101B-9397-08002B2CF9AE}" pid="10" name="ContentTypeId">
    <vt:lpwstr>0x0101006E289E58C39AE949ADD76434DB507210</vt:lpwstr>
  </property>
  <property fmtid="{D5CDD505-2E9C-101B-9397-08002B2CF9AE}" pid="11" name="docLang">
    <vt:lpwstr>en</vt:lpwstr>
  </property>
  <property fmtid="{D5CDD505-2E9C-101B-9397-08002B2CF9AE}" pid="12" name="MSIP_Label_c1f2b1ce-4212-46db-a901-dd8453f57141_Enabled">
    <vt:lpwstr>true</vt:lpwstr>
  </property>
  <property fmtid="{D5CDD505-2E9C-101B-9397-08002B2CF9AE}" pid="13" name="MSIP_Label_c1f2b1ce-4212-46db-a901-dd8453f57141_SetDate">
    <vt:lpwstr>2026-05-12T03:29:45Z</vt:lpwstr>
  </property>
  <property fmtid="{D5CDD505-2E9C-101B-9397-08002B2CF9AE}" pid="14" name="MSIP_Label_c1f2b1ce-4212-46db-a901-dd8453f57141_Method">
    <vt:lpwstr>Privileged</vt:lpwstr>
  </property>
  <property fmtid="{D5CDD505-2E9C-101B-9397-08002B2CF9AE}" pid="15" name="MSIP_Label_c1f2b1ce-4212-46db-a901-dd8453f57141_Name">
    <vt:lpwstr>Publish</vt:lpwstr>
  </property>
  <property fmtid="{D5CDD505-2E9C-101B-9397-08002B2CF9AE}" pid="16" name="MSIP_Label_c1f2b1ce-4212-46db-a901-dd8453f57141_SiteId">
    <vt:lpwstr>29f9330b-c0fe-4244-830e-ba9f275d6c34</vt:lpwstr>
  </property>
  <property fmtid="{D5CDD505-2E9C-101B-9397-08002B2CF9AE}" pid="17" name="MSIP_Label_c1f2b1ce-4212-46db-a901-dd8453f57141_ActionId">
    <vt:lpwstr>5224adc9-551a-42d4-a534-15bc270e82df</vt:lpwstr>
  </property>
  <property fmtid="{D5CDD505-2E9C-101B-9397-08002B2CF9AE}" pid="18" name="MSIP_Label_c1f2b1ce-4212-46db-a901-dd8453f57141_ContentBits">
    <vt:lpwstr>0</vt:lpwstr>
  </property>
  <property fmtid="{D5CDD505-2E9C-101B-9397-08002B2CF9AE}" pid="19" name="MSIP_Label_c1f2b1ce-4212-46db-a901-dd8453f57141_Tag">
    <vt:lpwstr>10, 0, 1, 1</vt:lpwstr>
  </property>
</Properties>
</file>