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D384" w14:textId="77777777" w:rsidR="0021772D" w:rsidRDefault="0021772D" w:rsidP="00507F5C">
      <w:pPr>
        <w:rPr>
          <w:rFonts w:ascii="Times New Roman" w:hAnsi="Times New Roman" w:cs="Times New Roman"/>
          <w:i/>
          <w:iCs/>
        </w:rPr>
      </w:pPr>
    </w:p>
    <w:p w14:paraId="5A1BD6F9" w14:textId="3BC047EB" w:rsidR="00507F5C" w:rsidRPr="00BE78A7" w:rsidRDefault="00507F5C" w:rsidP="0021772D">
      <w:pPr>
        <w:jc w:val="center"/>
        <w:rPr>
          <w:rFonts w:ascii="Times New Roman" w:hAnsi="Times New Roman" w:cs="Times New Roman"/>
          <w:i/>
          <w:iCs/>
        </w:rPr>
      </w:pPr>
      <w:r w:rsidRPr="00BE78A7">
        <w:rPr>
          <w:rFonts w:ascii="Times New Roman" w:hAnsi="Times New Roman" w:cs="Times New Roman"/>
          <w:i/>
          <w:iCs/>
        </w:rPr>
        <w:t>Submission to the Productivity Commission</w:t>
      </w:r>
    </w:p>
    <w:p w14:paraId="79130777" w14:textId="7426644A" w:rsidR="00507F5C" w:rsidRPr="00BE78A7" w:rsidRDefault="00507F5C" w:rsidP="0021772D">
      <w:pPr>
        <w:jc w:val="center"/>
        <w:rPr>
          <w:rFonts w:ascii="Times New Roman" w:hAnsi="Times New Roman" w:cs="Times New Roman"/>
          <w:i/>
          <w:iCs/>
        </w:rPr>
      </w:pPr>
      <w:r w:rsidRPr="00BE78A7">
        <w:rPr>
          <w:rFonts w:ascii="Times New Roman" w:hAnsi="Times New Roman" w:cs="Times New Roman"/>
          <w:i/>
          <w:iCs/>
        </w:rPr>
        <w:t>Housing Supply and Affordability (June 2026)</w:t>
      </w:r>
    </w:p>
    <w:p w14:paraId="418619ED" w14:textId="77777777" w:rsidR="0021772D" w:rsidRDefault="0021772D" w:rsidP="00507F5C">
      <w:pPr>
        <w:rPr>
          <w:rFonts w:ascii="Times New Roman" w:hAnsi="Times New Roman" w:cs="Times New Roman"/>
        </w:rPr>
      </w:pPr>
    </w:p>
    <w:p w14:paraId="6A12477B" w14:textId="29086136" w:rsidR="00507F5C" w:rsidRPr="009C40C0" w:rsidRDefault="00507F5C" w:rsidP="00507F5C">
      <w:pPr>
        <w:rPr>
          <w:rFonts w:ascii="Times New Roman" w:hAnsi="Times New Roman" w:cs="Times New Roman"/>
          <w:i/>
          <w:iCs/>
        </w:rPr>
      </w:pPr>
      <w:r w:rsidRPr="009C40C0">
        <w:rPr>
          <w:rFonts w:ascii="Times New Roman" w:hAnsi="Times New Roman" w:cs="Times New Roman"/>
          <w:i/>
          <w:iCs/>
        </w:rPr>
        <w:t>1. Introduction</w:t>
      </w:r>
    </w:p>
    <w:p w14:paraId="5A4D1F36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 sustainable and inclusive housing future must not be pursued at the expense of economic dynamism, competitive markets, and community resilience. Australia’s current housing system is failing on all three fronts.</w:t>
      </w:r>
    </w:p>
    <w:p w14:paraId="5BB3392D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 evidence suggests that housing supply constraints are not merely technical or capacity-related—they are rooted in systemic regulatory, governance, and institutional failures that distort markets, entrench inequality, and weaken social cohesion.</w:t>
      </w:r>
    </w:p>
    <w:p w14:paraId="05A55608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This submission highlights:</w:t>
      </w:r>
    </w:p>
    <w:p w14:paraId="32E22CDA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Structural failures in planning and regulatory systems</w:t>
      </w:r>
    </w:p>
    <w:p w14:paraId="29DF66A9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Anti-competitive dynamics in land and housing markets</w:t>
      </w:r>
    </w:p>
    <w:p w14:paraId="7A723576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Governance, accountability, and integrity issues</w:t>
      </w:r>
    </w:p>
    <w:p w14:paraId="0A79E86E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Social and spatial consequences of current policy settings</w:t>
      </w:r>
    </w:p>
    <w:p w14:paraId="01D6817B" w14:textId="77777777" w:rsidR="00507F5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 reform agenda grounded in evidence, community participation, and system transparency</w:t>
      </w:r>
    </w:p>
    <w:p w14:paraId="0D439684" w14:textId="77777777" w:rsidR="009C40C0" w:rsidRPr="007A162C" w:rsidRDefault="009C40C0" w:rsidP="009C40C0">
      <w:pPr>
        <w:ind w:left="600"/>
        <w:rPr>
          <w:rFonts w:ascii="Times New Roman" w:hAnsi="Times New Roman" w:cs="Times New Roman"/>
        </w:rPr>
      </w:pPr>
    </w:p>
    <w:p w14:paraId="1D320408" w14:textId="77777777" w:rsidR="00507F5C" w:rsidRPr="009C40C0" w:rsidRDefault="00507F5C" w:rsidP="00507F5C">
      <w:pPr>
        <w:rPr>
          <w:rFonts w:ascii="Times New Roman" w:hAnsi="Times New Roman" w:cs="Times New Roman"/>
          <w:i/>
          <w:iCs/>
        </w:rPr>
      </w:pPr>
      <w:r w:rsidRPr="009C40C0">
        <w:rPr>
          <w:rFonts w:ascii="Times New Roman" w:hAnsi="Times New Roman" w:cs="Times New Roman"/>
          <w:i/>
          <w:iCs/>
        </w:rPr>
        <w:t>2. Core System Failure: Regulatory Distortion and Loss of Dynamism</w:t>
      </w:r>
    </w:p>
    <w:p w14:paraId="22D1712A" w14:textId="783522CA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2.1 Housing regulation is distorting markets and suppressing productivity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"/>
      </w:r>
    </w:p>
    <w:p w14:paraId="57EF22F6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Current regulatory processes:</w:t>
      </w:r>
    </w:p>
    <w:p w14:paraId="0C1D14E2" w14:textId="77777777" w:rsidR="00507F5C" w:rsidRPr="007A162C" w:rsidRDefault="00507F5C" w:rsidP="00507F5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Are anti-competitive, privileging large developers while constraining small and medium entrants</w:t>
      </w:r>
    </w:p>
    <w:p w14:paraId="52B6C997" w14:textId="77777777" w:rsidR="00507F5C" w:rsidRPr="007A162C" w:rsidRDefault="00507F5C" w:rsidP="00507F5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7A162C">
        <w:rPr>
          <w:rFonts w:ascii="Times New Roman" w:hAnsi="Times New Roman" w:cs="Times New Roman"/>
        </w:rPr>
        <w:t>Introduce</w:t>
      </w:r>
      <w:proofErr w:type="gramEnd"/>
      <w:r w:rsidRPr="007A162C">
        <w:rPr>
          <w:rFonts w:ascii="Times New Roman" w:hAnsi="Times New Roman" w:cs="Times New Roman"/>
        </w:rPr>
        <w:t xml:space="preserve"> excessive delays and uncertainty, dampening supply responsiveness</w:t>
      </w:r>
    </w:p>
    <w:p w14:paraId="49607521" w14:textId="77777777" w:rsidR="00507F5C" w:rsidRPr="007A162C" w:rsidRDefault="00507F5C" w:rsidP="00507F5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Encourage pricing distortions across land markets, reducing allocative efficiency</w:t>
      </w:r>
    </w:p>
    <w:p w14:paraId="147A5393" w14:textId="621DE4D1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Development rights are unevenly distributed spatially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"/>
      </w:r>
      <w:r w:rsidRPr="007A162C">
        <w:rPr>
          <w:rFonts w:ascii="Times New Roman" w:hAnsi="Times New Roman" w:cs="Times New Roman"/>
        </w:rPr>
        <w:t>, by project scale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4"/>
      </w:r>
      <w:r w:rsidRPr="007A162C">
        <w:rPr>
          <w:rFonts w:ascii="Times New Roman" w:hAnsi="Times New Roman" w:cs="Times New Roman"/>
        </w:rPr>
        <w:t>, and by developer entity size/type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5"/>
      </w:r>
      <w:r w:rsidRPr="007A162C">
        <w:rPr>
          <w:rFonts w:ascii="Times New Roman" w:hAnsi="Times New Roman" w:cs="Times New Roman"/>
        </w:rPr>
        <w:t>:</w:t>
      </w:r>
    </w:p>
    <w:p w14:paraId="33E4E70D" w14:textId="3BB14111" w:rsidR="00507F5C" w:rsidRPr="007A162C" w:rsidRDefault="00507F5C" w:rsidP="00507F5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Housing is not being built to match </w:t>
      </w:r>
      <w:proofErr w:type="gramStart"/>
      <w:r w:rsidRPr="007A162C">
        <w:rPr>
          <w:rFonts w:ascii="Times New Roman" w:hAnsi="Times New Roman" w:cs="Times New Roman"/>
        </w:rPr>
        <w:t>need</w:t>
      </w:r>
      <w:proofErr w:type="gramEnd"/>
      <w:r w:rsidRPr="007A162C">
        <w:rPr>
          <w:rFonts w:ascii="Times New Roman" w:hAnsi="Times New Roman" w:cs="Times New Roman"/>
        </w:rPr>
        <w:t xml:space="preserve"> and in locations where people want to live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6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7"/>
      </w:r>
    </w:p>
    <w:p w14:paraId="6F809D7C" w14:textId="60C99AC6" w:rsidR="00507F5C" w:rsidRPr="007A162C" w:rsidRDefault="00507F5C" w:rsidP="00507F5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Large developers face lower relative barriers for complex projects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8"/>
      </w:r>
    </w:p>
    <w:p w14:paraId="34268DFE" w14:textId="34A3CBD7" w:rsidR="00507F5C" w:rsidRPr="007A162C" w:rsidRDefault="00507F5C" w:rsidP="00507F5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Smaller developers and landowners face disproportionately high controls, even for low-risk development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9"/>
      </w:r>
      <w:r w:rsidRPr="007A162C">
        <w:rPr>
          <w:rFonts w:ascii="Times New Roman" w:hAnsi="Times New Roman" w:cs="Times New Roman"/>
        </w:rPr>
        <w:t>, such as complex strata hurdles and steep, upfront local infrastructure contribution charges.</w:t>
      </w:r>
    </w:p>
    <w:p w14:paraId="46220B2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This leads to a lack of diversity in developers, a lack of diversity in housing, and reduced innovation and slower supply.</w:t>
      </w:r>
    </w:p>
    <w:p w14:paraId="23120A98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2.2 Missing Links in Construction Productivity</w:t>
      </w:r>
    </w:p>
    <w:p w14:paraId="062D2AA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 supply block is not restricted to planning approvals; it is heavily compounded by a crisis in construction-phase productivity. Traditional building methods face severe capacity constraints that regulatory frameworks fail to mitigate.</w:t>
      </w:r>
    </w:p>
    <w:p w14:paraId="0DC95249" w14:textId="77777777" w:rsidR="00507F5C" w:rsidRPr="007A162C" w:rsidRDefault="00507F5C" w:rsidP="00507F5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Modern Methods of Construction (MMC): Regulatory frameworks across jurisdictions fail to accommodate modular, off-site, and prefabricated construction techniques, forcing innovative providers to navigate outdated, linear compliance pathways designed for traditional builds.</w:t>
      </w:r>
    </w:p>
    <w:p w14:paraId="7F666E4B" w14:textId="77777777" w:rsidR="00507F5C" w:rsidRDefault="00507F5C" w:rsidP="00507F5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National Building Code Fragmentation: Lack of cross-jurisdictional </w:t>
      </w:r>
      <w:proofErr w:type="spellStart"/>
      <w:r w:rsidRPr="007A162C">
        <w:rPr>
          <w:rFonts w:ascii="Times New Roman" w:hAnsi="Times New Roman" w:cs="Times New Roman"/>
        </w:rPr>
        <w:t>harmonisation</w:t>
      </w:r>
      <w:proofErr w:type="spellEnd"/>
      <w:r w:rsidRPr="007A162C">
        <w:rPr>
          <w:rFonts w:ascii="Times New Roman" w:hAnsi="Times New Roman" w:cs="Times New Roman"/>
        </w:rPr>
        <w:t xml:space="preserve"> in building code amendments creates friction for manufacturing-scale housing providers, preventing the sector from achieving true economies of scale.</w:t>
      </w:r>
    </w:p>
    <w:p w14:paraId="3AF68D31" w14:textId="5CFAC9A7" w:rsidR="00606F95" w:rsidRDefault="00310532" w:rsidP="00606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606F95">
        <w:rPr>
          <w:rFonts w:ascii="Times New Roman" w:hAnsi="Times New Roman" w:cs="Times New Roman"/>
        </w:rPr>
        <w:t xml:space="preserve"> </w:t>
      </w:r>
      <w:r w:rsidR="00174352">
        <w:rPr>
          <w:rFonts w:ascii="Times New Roman" w:hAnsi="Times New Roman" w:cs="Times New Roman"/>
        </w:rPr>
        <w:t xml:space="preserve">rigorously </w:t>
      </w:r>
      <w:r>
        <w:rPr>
          <w:rFonts w:ascii="Times New Roman" w:hAnsi="Times New Roman" w:cs="Times New Roman"/>
        </w:rPr>
        <w:t xml:space="preserve">quality </w:t>
      </w:r>
      <w:r w:rsidR="00174352">
        <w:rPr>
          <w:rFonts w:ascii="Times New Roman" w:hAnsi="Times New Roman" w:cs="Times New Roman"/>
        </w:rPr>
        <w:t>tested producer-to-user approach</w:t>
      </w:r>
      <w:r w:rsidR="00606F95">
        <w:rPr>
          <w:rFonts w:ascii="Times New Roman" w:hAnsi="Times New Roman" w:cs="Times New Roman"/>
        </w:rPr>
        <w:t xml:space="preserve"> to MMC is needed to make it </w:t>
      </w:r>
      <w:r w:rsidR="00174352">
        <w:rPr>
          <w:rFonts w:ascii="Times New Roman" w:hAnsi="Times New Roman" w:cs="Times New Roman"/>
        </w:rPr>
        <w:t xml:space="preserve">functional in Australian jurisdictions. </w:t>
      </w:r>
      <w:r>
        <w:rPr>
          <w:rFonts w:ascii="Times New Roman" w:hAnsi="Times New Roman" w:cs="Times New Roman"/>
        </w:rPr>
        <w:t>Input m</w:t>
      </w:r>
      <w:r w:rsidR="00AD50D0">
        <w:rPr>
          <w:rFonts w:ascii="Times New Roman" w:hAnsi="Times New Roman" w:cs="Times New Roman"/>
        </w:rPr>
        <w:t xml:space="preserve">aterials should be rigorously tested to ensure </w:t>
      </w:r>
      <w:r>
        <w:rPr>
          <w:rFonts w:ascii="Times New Roman" w:hAnsi="Times New Roman" w:cs="Times New Roman"/>
        </w:rPr>
        <w:t>they meet</w:t>
      </w:r>
      <w:r w:rsidR="00AD50D0">
        <w:rPr>
          <w:rFonts w:ascii="Times New Roman" w:hAnsi="Times New Roman" w:cs="Times New Roman"/>
        </w:rPr>
        <w:t xml:space="preserve"> local consumer health and safety standards</w:t>
      </w:r>
      <w:r>
        <w:rPr>
          <w:rFonts w:ascii="Times New Roman" w:hAnsi="Times New Roman" w:cs="Times New Roman"/>
        </w:rPr>
        <w:t>.</w:t>
      </w:r>
    </w:p>
    <w:p w14:paraId="27648611" w14:textId="77777777" w:rsidR="00606F95" w:rsidRPr="007A162C" w:rsidRDefault="00606F95" w:rsidP="00606F95">
      <w:pPr>
        <w:rPr>
          <w:rFonts w:ascii="Times New Roman" w:hAnsi="Times New Roman" w:cs="Times New Roman"/>
        </w:rPr>
      </w:pPr>
    </w:p>
    <w:p w14:paraId="17A220CB" w14:textId="77777777" w:rsidR="00507F5C" w:rsidRPr="009C40C0" w:rsidRDefault="00507F5C" w:rsidP="00507F5C">
      <w:pPr>
        <w:rPr>
          <w:rFonts w:ascii="Times New Roman" w:hAnsi="Times New Roman" w:cs="Times New Roman"/>
          <w:i/>
          <w:iCs/>
        </w:rPr>
      </w:pPr>
      <w:r w:rsidRPr="009C40C0">
        <w:rPr>
          <w:rFonts w:ascii="Times New Roman" w:hAnsi="Times New Roman" w:cs="Times New Roman"/>
          <w:i/>
          <w:iCs/>
        </w:rPr>
        <w:t>3. Planning System Weaknesses</w:t>
      </w:r>
    </w:p>
    <w:p w14:paraId="41D0D4CD" w14:textId="1D6DDA50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3.1 Missed opportunities for spatially explicit strategic upzoning and urban renewal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0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1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2"/>
      </w:r>
    </w:p>
    <w:p w14:paraId="03809A2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There are persistent failures to upzone high-amenity areas, rezone land in advance of demand, and enable mixed-use, active, and mass mobility transit development in growth corridors. A long legacy of interoperability and market capacity issues has been left unaddressed and underinvested.</w:t>
      </w:r>
    </w:p>
    <w:p w14:paraId="77A5E623" w14:textId="4041F2BB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Persistent underinvestment and gaps in nationally and jurisdictionally integrated strategic spatial policy and design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3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4"/>
      </w:r>
      <w:r w:rsidRPr="007A162C">
        <w:rPr>
          <w:rFonts w:ascii="Times New Roman" w:hAnsi="Times New Roman" w:cs="Times New Roman"/>
        </w:rPr>
        <w:t xml:space="preserve"> result in:</w:t>
      </w:r>
    </w:p>
    <w:p w14:paraId="327ABA1C" w14:textId="77777777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Lost opportunities for supply and reactive rather than proactive planning</w:t>
      </w:r>
    </w:p>
    <w:p w14:paraId="2942A581" w14:textId="77777777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Misalignment between infrastructure investment and housing delivery</w:t>
      </w:r>
    </w:p>
    <w:p w14:paraId="7CD41DD3" w14:textId="3D01C1E8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Design and quality shortcuts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5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6"/>
      </w:r>
    </w:p>
    <w:p w14:paraId="7089314B" w14:textId="42CC0B31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Diminished funding, financing, and reinvestment capacity for supporting near-term and future, intergenerationally responsive housing stock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7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8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9"/>
      </w:r>
    </w:p>
    <w:p w14:paraId="5A34FE02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3.2 Inadequate use of targeted planning instruments</w:t>
      </w:r>
    </w:p>
    <w:p w14:paraId="3E0184FE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There is a strong case for special purpose rezoning mechanisms, particularly around transport nodes, and transit-oriented development (TOD) frameworks with explicit density targets. Best practice would include:</w:t>
      </w:r>
    </w:p>
    <w:p w14:paraId="5B57DE30" w14:textId="77777777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Region-wide spatial identification of TOD opportunities</w:t>
      </w:r>
    </w:p>
    <w:p w14:paraId="54F3B014" w14:textId="77777777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Binding dwelling and density targets at scale, leveraging frameworks like the </w:t>
      </w:r>
      <w:proofErr w:type="gramStart"/>
      <w:r w:rsidRPr="007A162C">
        <w:rPr>
          <w:rFonts w:ascii="Times New Roman" w:hAnsi="Times New Roman" w:cs="Times New Roman"/>
          <w:i/>
          <w:iCs/>
        </w:rPr>
        <w:t>South East</w:t>
      </w:r>
      <w:proofErr w:type="gramEnd"/>
      <w:r w:rsidRPr="007A162C">
        <w:rPr>
          <w:rFonts w:ascii="Times New Roman" w:hAnsi="Times New Roman" w:cs="Times New Roman"/>
          <w:i/>
          <w:iCs/>
        </w:rPr>
        <w:t xml:space="preserve"> Queensland (SEQ) Regional Plan</w:t>
      </w:r>
      <w:r w:rsidRPr="007A162C">
        <w:rPr>
          <w:rFonts w:ascii="Times New Roman" w:hAnsi="Times New Roman" w:cs="Times New Roman"/>
        </w:rPr>
        <w:t xml:space="preserve"> but enforcing them through mandatory, non-discretionary municipal allocations to eliminate local council bottlenecking.</w:t>
      </w:r>
    </w:p>
    <w:p w14:paraId="23B6C489" w14:textId="77777777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Alignment with federally funded infrastructure through agglomeration targets</w:t>
      </w:r>
    </w:p>
    <w:p w14:paraId="359E8A5F" w14:textId="349DE0CA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Leveraging use of modern spatially explicit digital twin and modelling tools to support integrated spatial and urban analysis at national and jurisdictional administrative levels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0"/>
      </w:r>
    </w:p>
    <w:p w14:paraId="1E2F26BF" w14:textId="1B983492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Human (pedestrian) scale mobility and movement design embedding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1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2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3"/>
      </w:r>
    </w:p>
    <w:p w14:paraId="11EE24C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3.3 Post-Approval Bottlenecks and "Deemed-to-Comply" Realities</w:t>
      </w:r>
    </w:p>
    <w:p w14:paraId="7805093B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Streamlining planning approvals yields minimal dividend if the pipeline stalls immediately post-approval.</w:t>
      </w:r>
    </w:p>
    <w:p w14:paraId="744005B4" w14:textId="77777777" w:rsidR="00507F5C" w:rsidRPr="007A162C" w:rsidRDefault="00507F5C" w:rsidP="00507F5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 Activation Gap: Hundreds of thousands of approved dwellings across Australia sit unbuilt due to financing constraints, labor shortages, and uncoordinated infrastructure rollout.</w:t>
      </w:r>
    </w:p>
    <w:p w14:paraId="5727D289" w14:textId="77777777" w:rsidR="00507F5C" w:rsidRDefault="00507F5C" w:rsidP="00507F5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Infrastructure Sequencing: Dwellings are frequently held back because local utilities (water, power, sewerage) are not sequenced concurrently with planning hand-offs, causing extensive post-approval delays.</w:t>
      </w:r>
    </w:p>
    <w:p w14:paraId="5EB70A41" w14:textId="2D3BB02E" w:rsidR="0008770A" w:rsidRDefault="000315A8" w:rsidP="000315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Urban </w:t>
      </w:r>
      <w:r w:rsidR="007B2560">
        <w:rPr>
          <w:rFonts w:ascii="Times New Roman" w:hAnsi="Times New Roman" w:cs="Times New Roman"/>
        </w:rPr>
        <w:t xml:space="preserve">infrastructure </w:t>
      </w:r>
      <w:r w:rsidR="00AE0D15">
        <w:rPr>
          <w:rFonts w:ascii="Times New Roman" w:hAnsi="Times New Roman" w:cs="Times New Roman"/>
        </w:rPr>
        <w:t xml:space="preserve">and housing </w:t>
      </w:r>
      <w:r>
        <w:rPr>
          <w:rFonts w:ascii="Times New Roman" w:hAnsi="Times New Roman" w:cs="Times New Roman"/>
        </w:rPr>
        <w:t xml:space="preserve">analytics paired with </w:t>
      </w:r>
      <w:r w:rsidR="00F0346B">
        <w:rPr>
          <w:rFonts w:ascii="Times New Roman" w:hAnsi="Times New Roman" w:cs="Times New Roman"/>
        </w:rPr>
        <w:t xml:space="preserve">spatial </w:t>
      </w:r>
      <w:r>
        <w:rPr>
          <w:rFonts w:ascii="Times New Roman" w:hAnsi="Times New Roman" w:cs="Times New Roman"/>
        </w:rPr>
        <w:t>simulation and modelling tools can support coordination and sequencing, streamline and translate interoperability</w:t>
      </w:r>
      <w:r w:rsidR="006D0BF3">
        <w:rPr>
          <w:rFonts w:ascii="Times New Roman" w:hAnsi="Times New Roman" w:cs="Times New Roman"/>
        </w:rPr>
        <w:t xml:space="preserve"> and sustainable development</w:t>
      </w:r>
      <w:r>
        <w:rPr>
          <w:rFonts w:ascii="Times New Roman" w:hAnsi="Times New Roman" w:cs="Times New Roman"/>
        </w:rPr>
        <w:t xml:space="preserve"> requirements</w:t>
      </w:r>
      <w:r w:rsidR="00D501F5" w:rsidRPr="007A162C">
        <w:rPr>
          <w:rStyle w:val="FootnoteReference"/>
          <w:rFonts w:ascii="Times New Roman" w:eastAsia="Times New Roman" w:hAnsi="Times New Roman" w:cs="Times New Roman"/>
        </w:rPr>
        <w:footnoteReference w:id="24"/>
      </w:r>
      <w:r w:rsidR="00D501F5" w:rsidRPr="007A162C">
        <w:rPr>
          <w:rStyle w:val="FootnoteReference"/>
          <w:rFonts w:ascii="Times New Roman" w:eastAsia="Times New Roman" w:hAnsi="Times New Roman" w:cs="Times New Roman"/>
        </w:rPr>
        <w:footnoteReference w:id="25"/>
      </w:r>
      <w:r>
        <w:rPr>
          <w:rFonts w:ascii="Times New Roman" w:hAnsi="Times New Roman" w:cs="Times New Roman"/>
        </w:rPr>
        <w:t>.</w:t>
      </w:r>
      <w:r w:rsidR="00A52FF5">
        <w:rPr>
          <w:rFonts w:ascii="Times New Roman" w:hAnsi="Times New Roman" w:cs="Times New Roman"/>
        </w:rPr>
        <w:t xml:space="preserve"> </w:t>
      </w:r>
      <w:r w:rsidR="008F2F49">
        <w:rPr>
          <w:rFonts w:ascii="Times New Roman" w:hAnsi="Times New Roman" w:cs="Times New Roman"/>
        </w:rPr>
        <w:t xml:space="preserve">Investing in this capacity now will pay dividends by </w:t>
      </w:r>
      <w:r w:rsidR="009A7E97">
        <w:rPr>
          <w:rFonts w:ascii="Times New Roman" w:hAnsi="Times New Roman" w:cs="Times New Roman"/>
        </w:rPr>
        <w:t>modelling</w:t>
      </w:r>
      <w:r w:rsidR="008F2F49">
        <w:rPr>
          <w:rFonts w:ascii="Times New Roman" w:hAnsi="Times New Roman" w:cs="Times New Roman"/>
        </w:rPr>
        <w:t xml:space="preserve"> future housing </w:t>
      </w:r>
      <w:r w:rsidR="007F3F4A">
        <w:rPr>
          <w:rFonts w:ascii="Times New Roman" w:hAnsi="Times New Roman" w:cs="Times New Roman"/>
        </w:rPr>
        <w:t>stock requirements</w:t>
      </w:r>
      <w:r w:rsidR="00D05BA9">
        <w:rPr>
          <w:rFonts w:ascii="Times New Roman" w:hAnsi="Times New Roman" w:cs="Times New Roman"/>
        </w:rPr>
        <w:t xml:space="preserve">, including </w:t>
      </w:r>
      <w:r w:rsidR="00EB09FB">
        <w:rPr>
          <w:rFonts w:ascii="Times New Roman" w:hAnsi="Times New Roman" w:cs="Times New Roman"/>
        </w:rPr>
        <w:t xml:space="preserve">along </w:t>
      </w:r>
      <w:r w:rsidR="00D05BA9">
        <w:rPr>
          <w:rFonts w:ascii="Times New Roman" w:hAnsi="Times New Roman" w:cs="Times New Roman"/>
        </w:rPr>
        <w:t xml:space="preserve">new </w:t>
      </w:r>
      <w:r w:rsidR="00EE4209">
        <w:rPr>
          <w:rFonts w:ascii="Times New Roman" w:hAnsi="Times New Roman" w:cs="Times New Roman"/>
        </w:rPr>
        <w:t xml:space="preserve">high frequency, </w:t>
      </w:r>
      <w:r w:rsidR="00D05BA9">
        <w:rPr>
          <w:rFonts w:ascii="Times New Roman" w:hAnsi="Times New Roman" w:cs="Times New Roman"/>
        </w:rPr>
        <w:t xml:space="preserve">mass mobility transit </w:t>
      </w:r>
      <w:r w:rsidR="00CB7726">
        <w:rPr>
          <w:rFonts w:ascii="Times New Roman" w:hAnsi="Times New Roman" w:cs="Times New Roman"/>
        </w:rPr>
        <w:t xml:space="preserve">station nodes </w:t>
      </w:r>
      <w:r w:rsidR="003F30EF">
        <w:rPr>
          <w:rFonts w:ascii="Times New Roman" w:hAnsi="Times New Roman" w:cs="Times New Roman"/>
        </w:rPr>
        <w:t>and</w:t>
      </w:r>
      <w:r w:rsidR="00F5145F">
        <w:rPr>
          <w:rFonts w:ascii="Times New Roman" w:hAnsi="Times New Roman" w:cs="Times New Roman"/>
        </w:rPr>
        <w:t xml:space="preserve"> </w:t>
      </w:r>
      <w:r w:rsidR="003F30EF">
        <w:rPr>
          <w:rFonts w:ascii="Times New Roman" w:hAnsi="Times New Roman" w:cs="Times New Roman"/>
        </w:rPr>
        <w:t xml:space="preserve">intermodal </w:t>
      </w:r>
      <w:r w:rsidR="00D05BA9">
        <w:rPr>
          <w:rFonts w:ascii="Times New Roman" w:hAnsi="Times New Roman" w:cs="Times New Roman"/>
        </w:rPr>
        <w:t>corridors</w:t>
      </w:r>
      <w:r w:rsidR="00FE74A7">
        <w:rPr>
          <w:rFonts w:ascii="Times New Roman" w:hAnsi="Times New Roman" w:cs="Times New Roman"/>
        </w:rPr>
        <w:t xml:space="preserve"> such as Australia’s future high speed rail network</w:t>
      </w:r>
      <w:r w:rsidR="00772F16">
        <w:rPr>
          <w:rFonts w:ascii="Times New Roman" w:hAnsi="Times New Roman" w:cs="Times New Roman"/>
        </w:rPr>
        <w:t xml:space="preserve"> and </w:t>
      </w:r>
      <w:r w:rsidR="00116209">
        <w:rPr>
          <w:rFonts w:ascii="Times New Roman" w:hAnsi="Times New Roman" w:cs="Times New Roman"/>
        </w:rPr>
        <w:t xml:space="preserve">urban interfacing </w:t>
      </w:r>
      <w:r w:rsidR="00772F16">
        <w:rPr>
          <w:rFonts w:ascii="Times New Roman" w:hAnsi="Times New Roman" w:cs="Times New Roman"/>
        </w:rPr>
        <w:t xml:space="preserve">freight </w:t>
      </w:r>
      <w:r w:rsidR="00022AE3">
        <w:rPr>
          <w:rFonts w:ascii="Times New Roman" w:hAnsi="Times New Roman" w:cs="Times New Roman"/>
        </w:rPr>
        <w:t>and logistics</w:t>
      </w:r>
      <w:r w:rsidR="00772F16">
        <w:rPr>
          <w:rFonts w:ascii="Times New Roman" w:hAnsi="Times New Roman" w:cs="Times New Roman"/>
        </w:rPr>
        <w:t xml:space="preserve"> routes</w:t>
      </w:r>
      <w:r w:rsidR="00D05BA9">
        <w:rPr>
          <w:rFonts w:ascii="Times New Roman" w:hAnsi="Times New Roman" w:cs="Times New Roman"/>
        </w:rPr>
        <w:t xml:space="preserve">. </w:t>
      </w:r>
    </w:p>
    <w:p w14:paraId="0E832457" w14:textId="77777777" w:rsidR="00A52FF5" w:rsidRPr="007A162C" w:rsidRDefault="00A52FF5" w:rsidP="000315A8">
      <w:pPr>
        <w:rPr>
          <w:rFonts w:ascii="Times New Roman" w:hAnsi="Times New Roman" w:cs="Times New Roman"/>
        </w:rPr>
      </w:pPr>
    </w:p>
    <w:p w14:paraId="2DC4AD42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4. Governance, Integrity, and Accountability Failures</w:t>
      </w:r>
    </w:p>
    <w:p w14:paraId="6D378E7F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4.1 Weak governance and lack of independence</w:t>
      </w:r>
    </w:p>
    <w:p w14:paraId="07628FF5" w14:textId="2DA74A12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Current processes often lack independence, are susceptible to political and private sector influence, and contain risks of conflicts of interest and corruption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6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7"/>
      </w:r>
      <w:r w:rsidRPr="007A162C">
        <w:rPr>
          <w:rFonts w:ascii="Times New Roman" w:hAnsi="Times New Roman" w:cs="Times New Roman"/>
        </w:rPr>
        <w:t>.</w:t>
      </w:r>
    </w:p>
    <w:p w14:paraId="6B395A2E" w14:textId="6D6A4732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 Market Integrity Disconnect: In contrast to financial markets, the housing and residential land stock—despite being Australia's largest asset class—lacks comparable nationally consistent safeguards against insider advantages and access to privileged information</w:t>
      </w:r>
      <w:r w:rsidR="00866A7E" w:rsidRPr="00F5145F">
        <w:rPr>
          <w:rStyle w:val="FootnoteReference"/>
          <w:rFonts w:ascii="Times New Roman" w:eastAsia="Times New Roman" w:hAnsi="Times New Roman" w:cs="Times New Roman"/>
        </w:rPr>
        <w:footnoteReference w:id="28"/>
      </w:r>
      <w:r w:rsidR="00866A7E" w:rsidRPr="00F5145F">
        <w:rPr>
          <w:rStyle w:val="FootnoteReference"/>
          <w:rFonts w:ascii="Times New Roman" w:eastAsia="Times New Roman" w:hAnsi="Times New Roman" w:cs="Times New Roman"/>
        </w:rPr>
        <w:footnoteReference w:id="29"/>
      </w:r>
      <w:r w:rsidRPr="00F5145F">
        <w:rPr>
          <w:rFonts w:ascii="Times New Roman" w:hAnsi="Times New Roman" w:cs="Times New Roman"/>
        </w:rPr>
        <w:t>.</w:t>
      </w:r>
      <w:r w:rsidRPr="007A162C">
        <w:rPr>
          <w:rFonts w:ascii="Times New Roman" w:hAnsi="Times New Roman" w:cs="Times New Roman"/>
        </w:rPr>
        <w:t xml:space="preserve"> Just as corporate and financial markets are protected by independent regulatory oversight to prevent market manipulation, the residential land market requires rigid, independent institutional safeguards to govern rezoning disclosures.</w:t>
      </w:r>
    </w:p>
    <w:p w14:paraId="12458F0D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This deficit undermines market integrity, public trust, and the efficient allocation of capital, supply, distribution, and diversity of housing stock.</w:t>
      </w:r>
    </w:p>
    <w:p w14:paraId="118D8E69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4.2 Lack of accountability across government systems</w:t>
      </w:r>
    </w:p>
    <w:p w14:paraId="7E9D1DD2" w14:textId="2A17D6CE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There is no clear accountability for housing supply outcomes, approval timelines, and spatial equity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0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1"/>
      </w:r>
      <w:r w:rsidRPr="007A162C">
        <w:rPr>
          <w:rFonts w:ascii="Times New Roman" w:hAnsi="Times New Roman" w:cs="Times New Roman"/>
        </w:rPr>
        <w:t>. This governance vacuum contributes to persistent under-delivery, crisis-level affordability and accommodation pressures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2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3"/>
      </w:r>
      <w:r w:rsidRPr="007A162C">
        <w:rPr>
          <w:rFonts w:ascii="Times New Roman" w:hAnsi="Times New Roman" w:cs="Times New Roman"/>
        </w:rPr>
        <w:t>, and policy inertia.</w:t>
      </w:r>
    </w:p>
    <w:p w14:paraId="4611C391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6C8DECA9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5. Social and Spatial Inequality</w:t>
      </w:r>
    </w:p>
    <w:p w14:paraId="1BBCF47A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5.1 Systematically unequal impacts</w:t>
      </w:r>
    </w:p>
    <w:p w14:paraId="3AFBA125" w14:textId="34A1724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Existing processes disproportionately affect low-income communities, migrant and refugee communities, younger populations, people with disabilities, veterans, and Aboriginal and Torres Strait Islander individuals, families, and their communities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4"/>
      </w:r>
      <w:r w:rsidRPr="007A162C">
        <w:rPr>
          <w:rFonts w:ascii="Times New Roman" w:hAnsi="Times New Roman" w:cs="Times New Roman"/>
        </w:rPr>
        <w:t>. Housing system failures are widening wealth and disposable income gaps</w:t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5"/>
      </w:r>
      <w:r w:rsidRPr="007A162C">
        <w:rPr>
          <w:rFonts w:ascii="Times New Roman" w:hAnsi="Times New Roman" w:cs="Times New Roman"/>
        </w:rPr>
        <w:t>, health and education inequalities</w:t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6"/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7"/>
      </w:r>
      <w:r w:rsidRPr="007A162C">
        <w:rPr>
          <w:rFonts w:ascii="Times New Roman" w:hAnsi="Times New Roman" w:cs="Times New Roman"/>
        </w:rPr>
        <w:t>, and intergenerational disadvantage</w:t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8"/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9"/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40"/>
      </w:r>
      <w:r w:rsidRPr="007A162C">
        <w:rPr>
          <w:rFonts w:ascii="Times New Roman" w:hAnsi="Times New Roman" w:cs="Times New Roman"/>
        </w:rPr>
        <w:t>.</w:t>
      </w:r>
    </w:p>
    <w:p w14:paraId="6261E474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5.2 Structural spatial inequality within and across regions</w:t>
      </w:r>
    </w:p>
    <w:p w14:paraId="60861213" w14:textId="083C3066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Historical and current dynamics contribute to multi-speed housing markets and intra-LGA and cross-LGA inequality</w:t>
      </w:r>
      <w:r w:rsidR="006C4F23" w:rsidRPr="007A162C">
        <w:rPr>
          <w:rStyle w:val="FootnoteReference"/>
          <w:rFonts w:ascii="Times New Roman" w:eastAsia="Times New Roman" w:hAnsi="Times New Roman" w:cs="Times New Roman"/>
        </w:rPr>
        <w:footnoteReference w:id="41"/>
      </w:r>
      <w:r w:rsidR="006C4F23" w:rsidRPr="007A162C">
        <w:rPr>
          <w:rStyle w:val="FootnoteReference"/>
          <w:rFonts w:ascii="Times New Roman" w:eastAsia="Times New Roman" w:hAnsi="Times New Roman" w:cs="Times New Roman"/>
        </w:rPr>
        <w:footnoteReference w:id="42"/>
      </w:r>
      <w:r w:rsidRPr="007A162C">
        <w:rPr>
          <w:rFonts w:ascii="Times New Roman" w:hAnsi="Times New Roman" w:cs="Times New Roman"/>
        </w:rPr>
        <w:t xml:space="preserve">. Younger and lower-income populations are being displaced to outer LGAs, leading to an </w:t>
      </w:r>
      <w:proofErr w:type="spellStart"/>
      <w:r w:rsidRPr="007A162C">
        <w:rPr>
          <w:rFonts w:ascii="Times New Roman" w:hAnsi="Times New Roman" w:cs="Times New Roman"/>
        </w:rPr>
        <w:t>under-utilisation</w:t>
      </w:r>
      <w:proofErr w:type="spellEnd"/>
      <w:r w:rsidRPr="007A162C">
        <w:rPr>
          <w:rFonts w:ascii="Times New Roman" w:hAnsi="Times New Roman" w:cs="Times New Roman"/>
        </w:rPr>
        <w:t xml:space="preserve"> of infrastructure in high-opportunity areas and overburdened services in growth areas. This results in reduced access to jobs and services, lower economic productivity, and entrenched postcode disadvantage</w:t>
      </w:r>
      <w:r w:rsidR="006C4F23" w:rsidRPr="007A162C">
        <w:rPr>
          <w:rStyle w:val="FootnoteReference"/>
          <w:rFonts w:ascii="Times New Roman" w:eastAsia="Times New Roman" w:hAnsi="Times New Roman" w:cs="Times New Roman"/>
        </w:rPr>
        <w:footnoteReference w:id="43"/>
      </w:r>
      <w:r w:rsidRPr="007A162C">
        <w:rPr>
          <w:rFonts w:ascii="Times New Roman" w:hAnsi="Times New Roman" w:cs="Times New Roman"/>
        </w:rPr>
        <w:t>.</w:t>
      </w:r>
    </w:p>
    <w:p w14:paraId="12705E3D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5.3 Emergence and growth of informal and poorly regulated submarkets</w:t>
      </w:r>
    </w:p>
    <w:p w14:paraId="7BDBFCE2" w14:textId="5617A6A2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Due to supply failure, the market is compensating through informal subletting, rooming accommodation conversions, and secondary dwellings (e.g., granny flats) used as quasi-rental stock</w:t>
      </w:r>
      <w:r w:rsidR="00070E8F" w:rsidRPr="007A162C">
        <w:rPr>
          <w:rStyle w:val="FootnoteReference"/>
          <w:rFonts w:ascii="Times New Roman" w:eastAsia="Times New Roman" w:hAnsi="Times New Roman" w:cs="Times New Roman"/>
        </w:rPr>
        <w:footnoteReference w:id="44"/>
      </w:r>
      <w:r w:rsidRPr="007A162C">
        <w:rPr>
          <w:rFonts w:ascii="Times New Roman" w:hAnsi="Times New Roman" w:cs="Times New Roman"/>
        </w:rPr>
        <w:t>. These submarkets are poorly regulated, expose tenants to legal and safety risks, and reflect unmet demand in formal markets</w:t>
      </w:r>
      <w:r w:rsidR="00070E8F" w:rsidRPr="007A162C">
        <w:rPr>
          <w:rStyle w:val="FootnoteReference"/>
          <w:rFonts w:ascii="Times New Roman" w:eastAsia="Times New Roman" w:hAnsi="Times New Roman" w:cs="Times New Roman"/>
        </w:rPr>
        <w:footnoteReference w:id="45"/>
      </w:r>
      <w:r w:rsidR="00070E8F" w:rsidRPr="007A162C">
        <w:rPr>
          <w:rStyle w:val="FootnoteReference"/>
          <w:rFonts w:ascii="Times New Roman" w:eastAsia="Times New Roman" w:hAnsi="Times New Roman" w:cs="Times New Roman"/>
        </w:rPr>
        <w:footnoteReference w:id="46"/>
      </w:r>
      <w:r w:rsidRPr="007A162C">
        <w:rPr>
          <w:rFonts w:ascii="Times New Roman" w:hAnsi="Times New Roman" w:cs="Times New Roman"/>
        </w:rPr>
        <w:t>.</w:t>
      </w:r>
    </w:p>
    <w:p w14:paraId="36DC3543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4181692E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6. Infrastructure and Community Capacity Constraints</w:t>
      </w:r>
    </w:p>
    <w:p w14:paraId="1CACE5F3" w14:textId="39867F11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Housing growth is not matched with health services, emergency services, transport, and public realm and safety infrastructure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47"/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48"/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49"/>
      </w:r>
      <w:r w:rsidRPr="007A162C">
        <w:rPr>
          <w:rFonts w:ascii="Times New Roman" w:hAnsi="Times New Roman" w:cs="Times New Roman"/>
        </w:rPr>
        <w:t>. This reflects poor integration of planning and infrastructure funding, alongside a lack of forward capacity-building.</w:t>
      </w:r>
    </w:p>
    <w:p w14:paraId="2FFE65C2" w14:textId="624AE723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Without investment in wrap-around systems, rapid densification and outer-urban growth risk increased community vulnerability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0"/>
      </w:r>
      <w:r w:rsidRPr="007A162C">
        <w:rPr>
          <w:rFonts w:ascii="Times New Roman" w:hAnsi="Times New Roman" w:cs="Times New Roman"/>
        </w:rPr>
        <w:t>, community resistance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1"/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2"/>
      </w:r>
      <w:r w:rsidRPr="007A162C">
        <w:rPr>
          <w:rFonts w:ascii="Times New Roman" w:hAnsi="Times New Roman" w:cs="Times New Roman"/>
        </w:rPr>
        <w:t>, declining social cohesion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3"/>
      </w:r>
      <w:r w:rsidRPr="007A162C">
        <w:rPr>
          <w:rFonts w:ascii="Times New Roman" w:hAnsi="Times New Roman" w:cs="Times New Roman"/>
        </w:rPr>
        <w:t>, and geographic isolation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4"/>
      </w:r>
      <w:r w:rsidRPr="007A162C">
        <w:rPr>
          <w:rFonts w:ascii="Times New Roman" w:hAnsi="Times New Roman" w:cs="Times New Roman"/>
        </w:rPr>
        <w:t>.</w:t>
      </w:r>
    </w:p>
    <w:p w14:paraId="0A629A74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4D928C15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7. Community Participation and Social Cohesion</w:t>
      </w:r>
    </w:p>
    <w:p w14:paraId="0A14DBD9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7.1 Need for meaningful community engagement</w:t>
      </w:r>
    </w:p>
    <w:p w14:paraId="5D42BB9E" w14:textId="0F1BF833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Current engagement is often reactive, tokenistic, and poorly accessible</w:t>
      </w:r>
      <w:r w:rsidR="00997B90" w:rsidRPr="007A162C">
        <w:rPr>
          <w:rStyle w:val="FootnoteReference"/>
          <w:rFonts w:ascii="Times New Roman" w:eastAsia="Times New Roman" w:hAnsi="Times New Roman" w:cs="Times New Roman"/>
        </w:rPr>
        <w:footnoteReference w:id="55"/>
      </w:r>
      <w:r w:rsidRPr="007A162C">
        <w:rPr>
          <w:rFonts w:ascii="Times New Roman" w:hAnsi="Times New Roman" w:cs="Times New Roman"/>
        </w:rPr>
        <w:t xml:space="preserve">. Best practice models, such as the </w:t>
      </w:r>
      <w:r w:rsidRPr="007A162C">
        <w:rPr>
          <w:rFonts w:ascii="Times New Roman" w:hAnsi="Times New Roman" w:cs="Times New Roman"/>
          <w:i/>
          <w:iCs/>
        </w:rPr>
        <w:t>Western Sydney Airport</w:t>
      </w:r>
      <w:r w:rsidRPr="007A162C">
        <w:rPr>
          <w:rFonts w:ascii="Times New Roman" w:hAnsi="Times New Roman" w:cs="Times New Roman"/>
        </w:rPr>
        <w:t xml:space="preserve"> consultation frameworks, demonstrate the profound value of accessible, multilingual, and transparent engagement</w:t>
      </w:r>
      <w:r w:rsidR="00997B90" w:rsidRPr="007A162C">
        <w:rPr>
          <w:rStyle w:val="FootnoteReference"/>
          <w:rFonts w:ascii="Times New Roman" w:eastAsia="Times New Roman" w:hAnsi="Times New Roman" w:cs="Times New Roman"/>
        </w:rPr>
        <w:footnoteReference w:id="56"/>
      </w:r>
      <w:r w:rsidRPr="007A162C">
        <w:rPr>
          <w:rFonts w:ascii="Times New Roman" w:hAnsi="Times New Roman" w:cs="Times New Roman"/>
        </w:rPr>
        <w:t xml:space="preserve">. Early and continuous involvement builds </w:t>
      </w:r>
      <w:r w:rsidRPr="007A162C">
        <w:rPr>
          <w:rFonts w:ascii="Times New Roman" w:hAnsi="Times New Roman" w:cs="Times New Roman"/>
        </w:rPr>
        <w:lastRenderedPageBreak/>
        <w:t xml:space="preserve">a comprehensive understanding of community impacts, creating an "Infrastructure and Housing Social </w:t>
      </w:r>
      <w:proofErr w:type="spellStart"/>
      <w:r w:rsidRPr="007A162C">
        <w:rPr>
          <w:rFonts w:ascii="Times New Roman" w:hAnsi="Times New Roman" w:cs="Times New Roman"/>
        </w:rPr>
        <w:t>Licence</w:t>
      </w:r>
      <w:proofErr w:type="spellEnd"/>
      <w:r w:rsidRPr="007A162C">
        <w:rPr>
          <w:rFonts w:ascii="Times New Roman" w:hAnsi="Times New Roman" w:cs="Times New Roman"/>
        </w:rPr>
        <w:t>" that minimizes litigious and localized nimbyism.</w:t>
      </w:r>
    </w:p>
    <w:p w14:paraId="6424878B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7.2 Co-designing housing futures</w:t>
      </w:r>
    </w:p>
    <w:p w14:paraId="6870D5F5" w14:textId="77777777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Communities should be involved in setting housing targets, designing </w:t>
      </w:r>
      <w:proofErr w:type="spellStart"/>
      <w:r w:rsidRPr="007A162C">
        <w:rPr>
          <w:rFonts w:ascii="Times New Roman" w:hAnsi="Times New Roman" w:cs="Times New Roman"/>
        </w:rPr>
        <w:t>neighbourhood</w:t>
      </w:r>
      <w:proofErr w:type="spellEnd"/>
      <w:r w:rsidRPr="007A162C">
        <w:rPr>
          <w:rFonts w:ascii="Times New Roman" w:hAnsi="Times New Roman" w:cs="Times New Roman"/>
        </w:rPr>
        <w:t xml:space="preserve"> visions, and identifying local priorities. Approaches such as design charrettes can improve social </w:t>
      </w:r>
      <w:proofErr w:type="spellStart"/>
      <w:r w:rsidRPr="007A162C">
        <w:rPr>
          <w:rFonts w:ascii="Times New Roman" w:hAnsi="Times New Roman" w:cs="Times New Roman"/>
        </w:rPr>
        <w:t>licence</w:t>
      </w:r>
      <w:proofErr w:type="spellEnd"/>
      <w:r w:rsidRPr="007A162C">
        <w:rPr>
          <w:rFonts w:ascii="Times New Roman" w:hAnsi="Times New Roman" w:cs="Times New Roman"/>
        </w:rPr>
        <w:t>, support better planning outcomes, and strengthen community cohesion.</w:t>
      </w:r>
    </w:p>
    <w:p w14:paraId="46B739C6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4BCCF883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8. Rethinking Urban Models: From Efficiency to Human Outcomes</w:t>
      </w:r>
    </w:p>
    <w:p w14:paraId="116691A2" w14:textId="0F45C078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Current housing and land planning models remain based on politically expedient, linear, efficiency-driven assumptions, which fail to reflect </w:t>
      </w:r>
      <w:proofErr w:type="gramStart"/>
      <w:r w:rsidRPr="007A162C">
        <w:rPr>
          <w:rFonts w:ascii="Times New Roman" w:hAnsi="Times New Roman" w:cs="Times New Roman"/>
        </w:rPr>
        <w:t>real</w:t>
      </w:r>
      <w:proofErr w:type="gramEnd"/>
      <w:r w:rsidRPr="007A162C">
        <w:rPr>
          <w:rFonts w:ascii="Times New Roman" w:hAnsi="Times New Roman" w:cs="Times New Roman"/>
        </w:rPr>
        <w:t xml:space="preserve"> social and cultural dynamics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57"/>
      </w:r>
      <w:r w:rsidRPr="007A162C">
        <w:rPr>
          <w:rFonts w:ascii="Times New Roman" w:hAnsi="Times New Roman" w:cs="Times New Roman"/>
        </w:rPr>
        <w:t>. A shift is needed toward:</w:t>
      </w:r>
    </w:p>
    <w:p w14:paraId="26EDB7BD" w14:textId="0A599242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Housing diversity to reflect community-centered and multigenerational models of urban living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58"/>
      </w:r>
    </w:p>
    <w:p w14:paraId="08AE96DE" w14:textId="20E150D0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Housing for healthy living and improved health and social well-being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59"/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0"/>
      </w:r>
    </w:p>
    <w:p w14:paraId="2CDE87E2" w14:textId="2C0A5116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Supporting ageing in place and independent living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1"/>
      </w:r>
    </w:p>
    <w:p w14:paraId="700FBCA5" w14:textId="1B70EFE8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Culturally sensitive and culturally adequate housing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2"/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3"/>
      </w:r>
    </w:p>
    <w:p w14:paraId="26C4F416" w14:textId="0884870C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Reducing local youth and older adult unemployment through social procurement policies and local economic activation throughout housing development and construction phases</w:t>
      </w:r>
      <w:r w:rsidR="002752FE" w:rsidRPr="007A162C">
        <w:rPr>
          <w:rStyle w:val="FootnoteReference"/>
          <w:rFonts w:ascii="Times New Roman" w:eastAsia="Times New Roman" w:hAnsi="Times New Roman" w:cs="Times New Roman"/>
        </w:rPr>
        <w:footnoteReference w:id="64"/>
      </w:r>
      <w:r w:rsidR="002752FE" w:rsidRPr="007A162C">
        <w:rPr>
          <w:rStyle w:val="FootnoteReference"/>
          <w:rFonts w:ascii="Times New Roman" w:eastAsia="Times New Roman" w:hAnsi="Times New Roman" w:cs="Times New Roman"/>
        </w:rPr>
        <w:footnoteReference w:id="65"/>
      </w:r>
    </w:p>
    <w:p w14:paraId="6CD4CA6E" w14:textId="3507E5E2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Metrics such as burden of disease by location should be </w:t>
      </w:r>
      <w:proofErr w:type="spellStart"/>
      <w:r w:rsidRPr="007A162C">
        <w:rPr>
          <w:rFonts w:ascii="Times New Roman" w:hAnsi="Times New Roman" w:cs="Times New Roman"/>
        </w:rPr>
        <w:t>institutionalised</w:t>
      </w:r>
      <w:proofErr w:type="spellEnd"/>
      <w:r w:rsidRPr="007A162C">
        <w:rPr>
          <w:rFonts w:ascii="Times New Roman" w:hAnsi="Times New Roman" w:cs="Times New Roman"/>
        </w:rPr>
        <w:t xml:space="preserve"> to directly assess spatial inequality, guide investment decisions, and fundamentally link housing density policy to long-term health outcomes</w:t>
      </w:r>
      <w:r w:rsidR="002752FE" w:rsidRPr="007A162C">
        <w:rPr>
          <w:rStyle w:val="FootnoteReference"/>
          <w:rFonts w:ascii="Times New Roman" w:eastAsia="Times New Roman" w:hAnsi="Times New Roman" w:cs="Times New Roman"/>
        </w:rPr>
        <w:footnoteReference w:id="66"/>
      </w:r>
      <w:r w:rsidRPr="007A162C">
        <w:rPr>
          <w:rFonts w:ascii="Times New Roman" w:hAnsi="Times New Roman" w:cs="Times New Roman"/>
        </w:rPr>
        <w:t>.</w:t>
      </w:r>
    </w:p>
    <w:p w14:paraId="1DE64B3D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3A66C104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9. Design Quality, Sustainability, and Resilience</w:t>
      </w:r>
    </w:p>
    <w:p w14:paraId="13079564" w14:textId="7E0B151A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Poor design and spatial placement of new housing stock bears significant economic and social costs</w:t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67"/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68"/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69"/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70"/>
      </w:r>
      <w:r w:rsidR="005901BA" w:rsidRPr="007A162C">
        <w:rPr>
          <w:rStyle w:val="FootnoteReference"/>
          <w:rFonts w:ascii="Times New Roman" w:eastAsia="Times New Roman" w:hAnsi="Times New Roman" w:cs="Times New Roman"/>
        </w:rPr>
        <w:footnoteReference w:id="71"/>
      </w:r>
      <w:r w:rsidRPr="007A162C">
        <w:rPr>
          <w:rFonts w:ascii="Times New Roman" w:hAnsi="Times New Roman" w:cs="Times New Roman"/>
        </w:rPr>
        <w:t>, including legal disputes (e.g., building defects, strata, and body corporate disputes), safety risks, reduced insurability, long-term remediation costs, financial stress, and time lost from work or study.</w:t>
      </w:r>
    </w:p>
    <w:p w14:paraId="24FAD620" w14:textId="1E292FA9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Good design should be climate-resilient and low emissions, operate across multiple scales (building, landscape, metropolitan, and bioregional), and support shared, networked community </w:t>
      </w:r>
      <w:r w:rsidRPr="007A162C">
        <w:rPr>
          <w:rFonts w:ascii="Times New Roman" w:hAnsi="Times New Roman" w:cs="Times New Roman"/>
        </w:rPr>
        <w:lastRenderedPageBreak/>
        <w:t xml:space="preserve">infrastructure. It should be directly rewarded with access to green mortgages and construction </w:t>
      </w:r>
      <w:proofErr w:type="gramStart"/>
      <w:r w:rsidRPr="007A162C">
        <w:rPr>
          <w:rFonts w:ascii="Times New Roman" w:hAnsi="Times New Roman" w:cs="Times New Roman"/>
        </w:rPr>
        <w:t>finance, and</w:t>
      </w:r>
      <w:proofErr w:type="gramEnd"/>
      <w:r w:rsidRPr="007A162C">
        <w:rPr>
          <w:rFonts w:ascii="Times New Roman" w:hAnsi="Times New Roman" w:cs="Times New Roman"/>
        </w:rPr>
        <w:t xml:space="preserve"> must remain insurable</w:t>
      </w:r>
      <w:r w:rsidR="00264F1B" w:rsidRPr="007A162C">
        <w:rPr>
          <w:rStyle w:val="FootnoteReference"/>
          <w:rFonts w:ascii="Times New Roman" w:eastAsia="Times New Roman" w:hAnsi="Times New Roman" w:cs="Times New Roman"/>
        </w:rPr>
        <w:footnoteReference w:id="72"/>
      </w:r>
      <w:r w:rsidRPr="007A162C">
        <w:rPr>
          <w:rFonts w:ascii="Times New Roman" w:hAnsi="Times New Roman" w:cs="Times New Roman"/>
        </w:rPr>
        <w:t>.</w:t>
      </w:r>
    </w:p>
    <w:p w14:paraId="45F5575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Examples of good practice include:</w:t>
      </w:r>
    </w:p>
    <w:p w14:paraId="7023F2DA" w14:textId="6637D045" w:rsidR="00507F5C" w:rsidRPr="007A162C" w:rsidRDefault="00507F5C" w:rsidP="00507F5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Government and city architect appointments to oversee planning and design innovation, standards, and practice guidelines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3"/>
      </w:r>
      <w:r w:rsidRPr="007A162C">
        <w:rPr>
          <w:rFonts w:ascii="Times New Roman" w:hAnsi="Times New Roman" w:cs="Times New Roman"/>
        </w:rPr>
        <w:t>.</w:t>
      </w:r>
    </w:p>
    <w:p w14:paraId="2E287E05" w14:textId="77F6C55A" w:rsidR="00507F5C" w:rsidRPr="007A162C" w:rsidRDefault="00507F5C" w:rsidP="00507F5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Pattern-Based Design Pathways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4"/>
      </w:r>
      <w:r w:rsidRPr="007A162C">
        <w:rPr>
          <w:rFonts w:ascii="Times New Roman" w:hAnsi="Times New Roman" w:cs="Times New Roman"/>
        </w:rPr>
        <w:t xml:space="preserve">: </w:t>
      </w:r>
      <w:proofErr w:type="spellStart"/>
      <w:r w:rsidRPr="007A162C">
        <w:rPr>
          <w:rFonts w:ascii="Times New Roman" w:hAnsi="Times New Roman" w:cs="Times New Roman"/>
        </w:rPr>
        <w:t>Standardised</w:t>
      </w:r>
      <w:proofErr w:type="spellEnd"/>
      <w:r w:rsidRPr="007A162C">
        <w:rPr>
          <w:rFonts w:ascii="Times New Roman" w:hAnsi="Times New Roman" w:cs="Times New Roman"/>
        </w:rPr>
        <w:t>, high-quality architectural "pattern books" should be legally tied to fast-tracked, "deemed-to-comply" approval pathways. This would dramatically lower regulatory costs and design barriers for small and medium-sized (SME) developers.</w:t>
      </w:r>
    </w:p>
    <w:p w14:paraId="62776426" w14:textId="72AAF6E3" w:rsidR="00507F5C" w:rsidRPr="0008770A" w:rsidRDefault="00507F5C" w:rsidP="00BB22FB">
      <w:pPr>
        <w:pStyle w:val="ListParagraph"/>
        <w:numPr>
          <w:ilvl w:val="0"/>
          <w:numId w:val="17"/>
        </w:numPr>
        <w:spacing w:line="279" w:lineRule="auto"/>
        <w:rPr>
          <w:rFonts w:ascii="Times New Roman" w:eastAsia="Times New Roman" w:hAnsi="Times New Roman" w:cs="Times New Roman"/>
        </w:rPr>
      </w:pPr>
      <w:r w:rsidRPr="007A162C">
        <w:rPr>
          <w:rFonts w:ascii="Times New Roman" w:hAnsi="Times New Roman" w:cs="Times New Roman"/>
        </w:rPr>
        <w:t>First Nations-led, Country-centred design frameworks that incorporate Indigenous knowledge and perspectives for the design and governance of housing policy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5"/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6"/>
      </w:r>
      <w:r w:rsidRPr="007A162C">
        <w:rPr>
          <w:rFonts w:ascii="Times New Roman" w:hAnsi="Times New Roman" w:cs="Times New Roman"/>
        </w:rPr>
        <w:t>.</w:t>
      </w:r>
    </w:p>
    <w:p w14:paraId="2495B83C" w14:textId="77777777" w:rsidR="0008770A" w:rsidRPr="007A162C" w:rsidRDefault="0008770A" w:rsidP="0008770A">
      <w:pPr>
        <w:pStyle w:val="ListParagraph"/>
        <w:spacing w:line="279" w:lineRule="auto"/>
        <w:rPr>
          <w:rFonts w:ascii="Times New Roman" w:eastAsia="Times New Roman" w:hAnsi="Times New Roman" w:cs="Times New Roman"/>
        </w:rPr>
      </w:pPr>
    </w:p>
    <w:p w14:paraId="1949F9F2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10. First Nations and Care for Country</w:t>
      </w:r>
    </w:p>
    <w:p w14:paraId="46068138" w14:textId="174F8C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Housing policy must incorporate Care for Country principles, place-based, culturally informed design, and Closing the Gap objectives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7"/>
      </w:r>
      <w:r w:rsidRPr="007A162C">
        <w:rPr>
          <w:rFonts w:ascii="Times New Roman" w:hAnsi="Times New Roman" w:cs="Times New Roman"/>
        </w:rPr>
        <w:t>. This is both a matter of equity and restorative justice, and a pathway to better long-term outcomes for all communities.</w:t>
      </w:r>
    </w:p>
    <w:p w14:paraId="0298260D" w14:textId="771AA711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Planning and housing systems should recognise Country as foundational to place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8"/>
      </w:r>
      <w:r w:rsidRPr="007A162C">
        <w:rPr>
          <w:rFonts w:ascii="Times New Roman" w:hAnsi="Times New Roman" w:cs="Times New Roman"/>
        </w:rPr>
        <w:t>, embed First Nations perspectives in governance and design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9"/>
      </w:r>
      <w:r w:rsidRPr="007A162C">
        <w:rPr>
          <w:rFonts w:ascii="Times New Roman" w:hAnsi="Times New Roman" w:cs="Times New Roman"/>
        </w:rPr>
        <w:t>, and incorporate culturally safe truth-telling and truth-listening practice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80"/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81"/>
      </w:r>
      <w:r w:rsidRPr="007A162C">
        <w:rPr>
          <w:rFonts w:ascii="Times New Roman" w:hAnsi="Times New Roman" w:cs="Times New Roman"/>
        </w:rPr>
        <w:t>.</w:t>
      </w:r>
    </w:p>
    <w:p w14:paraId="35564C16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21F878FF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11. Reform Priorities</w:t>
      </w:r>
    </w:p>
    <w:p w14:paraId="544691EC" w14:textId="01121757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.1 Planning, Regulatory, and Construction Reform</w:t>
      </w:r>
    </w:p>
    <w:p w14:paraId="3258FFEC" w14:textId="77777777" w:rsidR="00507F5C" w:rsidRPr="007A162C" w:rsidRDefault="00507F5C" w:rsidP="00507F5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Introduce targeted rezoning/upzoning mechanisms, especially around transport nodes.</w:t>
      </w:r>
    </w:p>
    <w:p w14:paraId="1B5EDDDF" w14:textId="77777777" w:rsidR="00507F5C" w:rsidRPr="007A162C" w:rsidRDefault="00507F5C" w:rsidP="00507F5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Establish "deemed-to-comply" approval pipelines for pattern-book designs to empower SME developers.</w:t>
      </w:r>
    </w:p>
    <w:p w14:paraId="21728563" w14:textId="570A2177" w:rsidR="00507F5C" w:rsidRPr="007A162C" w:rsidRDefault="00507F5C" w:rsidP="00507F5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Harmonise building regulations </w:t>
      </w:r>
      <w:r w:rsidR="00BE78A7">
        <w:rPr>
          <w:rFonts w:ascii="Times New Roman" w:hAnsi="Times New Roman" w:cs="Times New Roman"/>
        </w:rPr>
        <w:t xml:space="preserve">and consumer protections </w:t>
      </w:r>
      <w:r w:rsidRPr="007A162C">
        <w:rPr>
          <w:rFonts w:ascii="Times New Roman" w:hAnsi="Times New Roman" w:cs="Times New Roman"/>
        </w:rPr>
        <w:t>nationally to remove barriers to Modern Methods of Construction (MMC), such as prefabricated and modular builds.</w:t>
      </w:r>
    </w:p>
    <w:p w14:paraId="4173E47B" w14:textId="2102AB2A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.2 Governance and Accountability</w:t>
      </w:r>
    </w:p>
    <w:p w14:paraId="16112165" w14:textId="77777777" w:rsidR="00507F5C" w:rsidRPr="007A162C" w:rsidRDefault="00507F5C" w:rsidP="00507F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Establish independent oversight mechanisms at a national level to protect the residential land asset class from insider speculation and political influence.</w:t>
      </w:r>
    </w:p>
    <w:p w14:paraId="2A3AE9F2" w14:textId="77777777" w:rsidR="00507F5C" w:rsidRPr="007A162C" w:rsidRDefault="00507F5C" w:rsidP="00507F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Strengthen transparency and anti-corruption safeguards.</w:t>
      </w:r>
    </w:p>
    <w:p w14:paraId="312DC2FB" w14:textId="77777777" w:rsidR="00507F5C" w:rsidRPr="007A162C" w:rsidRDefault="00507F5C" w:rsidP="00507F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Introduce system-wide performance monitoring that tracks the timeline from planning approval to construction commencement, uncovering post-approval bottlenecks.</w:t>
      </w:r>
    </w:p>
    <w:p w14:paraId="439DD766" w14:textId="3FFE5EA6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.3 Market Reform</w:t>
      </w:r>
    </w:p>
    <w:p w14:paraId="195D3115" w14:textId="77777777" w:rsidR="00507F5C" w:rsidRPr="007A162C" w:rsidRDefault="00507F5C" w:rsidP="00507F5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Address anti-competitive dynamics and level the playing field for small and medium developers.</w:t>
      </w:r>
    </w:p>
    <w:p w14:paraId="2730C1FB" w14:textId="77777777" w:rsidR="00507F5C" w:rsidRPr="007A162C" w:rsidRDefault="00507F5C" w:rsidP="00507F5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Improve regulation and safety standards of informal housing submarkets.</w:t>
      </w:r>
    </w:p>
    <w:p w14:paraId="148E7B60" w14:textId="3BD19083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.4 Infrastructure and Social Investment</w:t>
      </w:r>
    </w:p>
    <w:p w14:paraId="391FC667" w14:textId="77777777" w:rsidR="00507F5C" w:rsidRPr="007A162C" w:rsidRDefault="00507F5C" w:rsidP="00507F5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Align housing growth with infrastructure capacity by mandating concurrent utility and services sequencing.</w:t>
      </w:r>
    </w:p>
    <w:p w14:paraId="130B1D8F" w14:textId="77777777" w:rsidR="00507F5C" w:rsidRPr="007A162C" w:rsidRDefault="00507F5C" w:rsidP="00507F5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Invest in community services alongside densification.</w:t>
      </w:r>
    </w:p>
    <w:p w14:paraId="2C79BD02" w14:textId="679B85E8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.5 Evidence and Data Systems</w:t>
      </w:r>
    </w:p>
    <w:p w14:paraId="5554C932" w14:textId="77777777" w:rsidR="00507F5C" w:rsidRPr="007A162C" w:rsidRDefault="00507F5C" w:rsidP="00507F5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Develop spatially explicit, real-time data systems and create a shared “source of truth” accessible to governments and industry.</w:t>
      </w:r>
    </w:p>
    <w:p w14:paraId="30B76A57" w14:textId="77777777" w:rsidR="00507F5C" w:rsidRPr="007A162C" w:rsidRDefault="00507F5C" w:rsidP="00507F5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Use spatial intelligence, digital twin simulation tools, and housing and urban analytics to guide decisions.</w:t>
      </w:r>
    </w:p>
    <w:p w14:paraId="07776A05" w14:textId="77777777" w:rsidR="00507F5C" w:rsidRPr="007A162C" w:rsidRDefault="00507F5C" w:rsidP="00507F5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Integrate health metrics, including burden of disease data, into spatial planning models.</w:t>
      </w:r>
    </w:p>
    <w:p w14:paraId="0B2AF033" w14:textId="74742F08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.6 Community-Centred Approaches</w:t>
      </w:r>
    </w:p>
    <w:p w14:paraId="094D98B7" w14:textId="77777777" w:rsidR="00507F5C" w:rsidRPr="007A162C" w:rsidRDefault="00507F5C" w:rsidP="00507F5C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7A162C">
        <w:rPr>
          <w:rFonts w:ascii="Times New Roman" w:hAnsi="Times New Roman" w:cs="Times New Roman"/>
        </w:rPr>
        <w:t>Institutionalise</w:t>
      </w:r>
      <w:proofErr w:type="spellEnd"/>
      <w:r w:rsidRPr="007A162C">
        <w:rPr>
          <w:rFonts w:ascii="Times New Roman" w:hAnsi="Times New Roman" w:cs="Times New Roman"/>
        </w:rPr>
        <w:t xml:space="preserve"> co-design processes.</w:t>
      </w:r>
    </w:p>
    <w:p w14:paraId="00E86333" w14:textId="77777777" w:rsidR="00507F5C" w:rsidRDefault="00507F5C" w:rsidP="00507F5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Improve accessibility, language integration, and inclusiveness of engagement to secure robust social </w:t>
      </w:r>
      <w:proofErr w:type="spellStart"/>
      <w:r w:rsidRPr="007A162C">
        <w:rPr>
          <w:rFonts w:ascii="Times New Roman" w:hAnsi="Times New Roman" w:cs="Times New Roman"/>
        </w:rPr>
        <w:t>licence</w:t>
      </w:r>
      <w:proofErr w:type="spellEnd"/>
      <w:r w:rsidRPr="007A162C">
        <w:rPr>
          <w:rFonts w:ascii="Times New Roman" w:hAnsi="Times New Roman" w:cs="Times New Roman"/>
        </w:rPr>
        <w:t>.</w:t>
      </w:r>
    </w:p>
    <w:p w14:paraId="4AD2F1E6" w14:textId="77777777" w:rsidR="00F84C96" w:rsidRPr="007A162C" w:rsidRDefault="00F84C96" w:rsidP="00F84C96">
      <w:pPr>
        <w:ind w:left="600"/>
        <w:rPr>
          <w:rFonts w:ascii="Times New Roman" w:hAnsi="Times New Roman" w:cs="Times New Roman"/>
        </w:rPr>
      </w:pPr>
    </w:p>
    <w:p w14:paraId="6E325046" w14:textId="77777777" w:rsidR="00507F5C" w:rsidRPr="00F84C96" w:rsidRDefault="00507F5C" w:rsidP="00507F5C">
      <w:pPr>
        <w:rPr>
          <w:rFonts w:ascii="Times New Roman" w:hAnsi="Times New Roman" w:cs="Times New Roman"/>
          <w:i/>
          <w:iCs/>
        </w:rPr>
      </w:pPr>
      <w:r w:rsidRPr="00F84C96">
        <w:rPr>
          <w:rFonts w:ascii="Times New Roman" w:hAnsi="Times New Roman" w:cs="Times New Roman"/>
          <w:i/>
          <w:iCs/>
        </w:rPr>
        <w:t>12. Conclusion</w:t>
      </w:r>
    </w:p>
    <w:p w14:paraId="1B3E88D7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Australia’s housing crisis is the outcome of a disempowered, fragmented, and distorted system, where markets are constrained rather than enabled, communities are excluded rather than engaged, and accountability is diffuse rather than enforced.</w:t>
      </w:r>
    </w:p>
    <w:p w14:paraId="4914656A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“We all have a stake” in the housing system—but that stake is currently concentrated and controlled by a narrow set of actors with vested personal and political interests.</w:t>
      </w:r>
    </w:p>
    <w:p w14:paraId="2E836E06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Reform must restore:</w:t>
      </w:r>
    </w:p>
    <w:p w14:paraId="03209FD8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Fairness and contestability</w:t>
      </w:r>
    </w:p>
    <w:p w14:paraId="15A0D5C6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Transparency and integrity</w:t>
      </w:r>
    </w:p>
    <w:p w14:paraId="5635B82A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Community voice and trust</w:t>
      </w:r>
    </w:p>
    <w:p w14:paraId="65E70CAE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Economic dynamism, building sector productivity, and long-term systemic resilience</w:t>
      </w:r>
    </w:p>
    <w:p w14:paraId="5FFE679D" w14:textId="77777777" w:rsidR="00507F5C" w:rsidRPr="007A162C" w:rsidRDefault="00507F5C" w:rsidP="00507F5C">
      <w:pPr>
        <w:rPr>
          <w:rFonts w:ascii="Times New Roman" w:hAnsi="Times New Roman" w:cs="Times New Roman"/>
        </w:rPr>
      </w:pPr>
    </w:p>
    <w:sectPr w:rsidR="00507F5C" w:rsidRPr="007A162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007B" w14:textId="77777777" w:rsidR="0083564D" w:rsidRDefault="0083564D" w:rsidP="00866A7E">
      <w:pPr>
        <w:spacing w:after="0" w:line="240" w:lineRule="auto"/>
      </w:pPr>
      <w:r>
        <w:separator/>
      </w:r>
    </w:p>
  </w:endnote>
  <w:endnote w:type="continuationSeparator" w:id="0">
    <w:p w14:paraId="6C4BC6E8" w14:textId="77777777" w:rsidR="0083564D" w:rsidRDefault="0083564D" w:rsidP="0086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367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5CAD754" w14:textId="11920F40" w:rsidR="009C40C0" w:rsidRPr="009C40C0" w:rsidRDefault="009C40C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40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40C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C40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C40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40C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725234C" w14:textId="77777777" w:rsidR="009C40C0" w:rsidRDefault="009C4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7BFC" w14:textId="77777777" w:rsidR="0083564D" w:rsidRDefault="0083564D" w:rsidP="00866A7E">
      <w:pPr>
        <w:spacing w:after="0" w:line="240" w:lineRule="auto"/>
      </w:pPr>
      <w:r>
        <w:separator/>
      </w:r>
    </w:p>
  </w:footnote>
  <w:footnote w:type="continuationSeparator" w:id="0">
    <w:p w14:paraId="1B9DB8B8" w14:textId="77777777" w:rsidR="0083564D" w:rsidRDefault="0083564D" w:rsidP="00866A7E">
      <w:pPr>
        <w:spacing w:after="0" w:line="240" w:lineRule="auto"/>
      </w:pPr>
      <w:r>
        <w:continuationSeparator/>
      </w:r>
    </w:p>
  </w:footnote>
  <w:footnote w:id="1">
    <w:p w14:paraId="29848511" w14:textId="77777777" w:rsidR="00866A7E" w:rsidRPr="00D154B2" w:rsidRDefault="00866A7E" w:rsidP="00866A7E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Reardon, T. 2025. </w:t>
      </w:r>
      <w:r w:rsidRPr="00D154B2">
        <w:t>Competitive economy failures,</w:t>
      </w:r>
      <w:r>
        <w:rPr>
          <w:b/>
          <w:bCs/>
        </w:rPr>
        <w:t xml:space="preserve"> </w:t>
      </w:r>
      <w:r w:rsidRPr="00D154B2">
        <w:rPr>
          <w:i/>
          <w:iCs/>
        </w:rPr>
        <w:t>Housing Industry Association,</w:t>
      </w:r>
      <w:r>
        <w:rPr>
          <w:b/>
          <w:bCs/>
        </w:rPr>
        <w:t xml:space="preserve"> </w:t>
      </w:r>
      <w:hyperlink r:id="rId1" w:history="1">
        <w:r w:rsidRPr="00106706">
          <w:rPr>
            <w:rStyle w:val="Hyperlink"/>
          </w:rPr>
          <w:t>https://hia.com.au/our-industry/housing/in-focus/2025/08/competitive-economy-failures</w:t>
        </w:r>
      </w:hyperlink>
      <w:r>
        <w:t xml:space="preserve"> </w:t>
      </w:r>
    </w:p>
  </w:footnote>
  <w:footnote w:id="2">
    <w:p w14:paraId="5BF193F2" w14:textId="77777777" w:rsidR="00866A7E" w:rsidRPr="00AE5E6D" w:rsidRDefault="00866A7E" w:rsidP="00866A7E">
      <w:pPr>
        <w:pStyle w:val="FootnoteText"/>
        <w:rPr>
          <w:i/>
          <w:iCs/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Weller, G. 2026. Small builders, big contribution, </w:t>
      </w:r>
      <w:r w:rsidRPr="00D154B2">
        <w:rPr>
          <w:i/>
          <w:iCs/>
        </w:rPr>
        <w:t>Housing Industry Association,</w:t>
      </w:r>
      <w:r>
        <w:rPr>
          <w:i/>
          <w:iCs/>
        </w:rPr>
        <w:t xml:space="preserve"> </w:t>
      </w:r>
      <w:hyperlink r:id="rId2" w:history="1">
        <w:r w:rsidRPr="002879D6">
          <w:rPr>
            <w:rStyle w:val="Hyperlink"/>
          </w:rPr>
          <w:t>https://hia.com.au/our-industry/housing/in-focus/2026/04/small-builders-big-contribution</w:t>
        </w:r>
      </w:hyperlink>
      <w:r>
        <w:rPr>
          <w:i/>
          <w:iCs/>
        </w:rPr>
        <w:t xml:space="preserve"> </w:t>
      </w:r>
    </w:p>
  </w:footnote>
  <w:footnote w:id="3">
    <w:p w14:paraId="0CB93066" w14:textId="77777777" w:rsidR="00866A7E" w:rsidRPr="00873DD5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Coates, B. 2025. </w:t>
      </w:r>
      <w:r w:rsidRPr="00873DD5">
        <w:rPr>
          <w:lang w:val="en-AU"/>
        </w:rPr>
        <w:t>Planning better cities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Grattan Institute</w:t>
      </w:r>
      <w:r>
        <w:rPr>
          <w:lang w:val="en-AU"/>
        </w:rPr>
        <w:t xml:space="preserve">, </w:t>
      </w:r>
      <w:hyperlink r:id="rId3" w:history="1">
        <w:r w:rsidRPr="00106706">
          <w:rPr>
            <w:rStyle w:val="Hyperlink"/>
            <w:lang w:val="en-AU"/>
          </w:rPr>
          <w:t>https://grattan.edu.au/news/planning-better-cities/</w:t>
        </w:r>
      </w:hyperlink>
      <w:r>
        <w:rPr>
          <w:lang w:val="en-AU"/>
        </w:rPr>
        <w:t xml:space="preserve"> </w:t>
      </w:r>
    </w:p>
  </w:footnote>
  <w:footnote w:id="4">
    <w:p w14:paraId="1CAD88D8" w14:textId="77777777" w:rsidR="00866A7E" w:rsidRPr="001A4B14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4B14">
        <w:t xml:space="preserve">Sharam, A., &amp; Bryant, L. (2026). Why Does it Take so Long? Apartment Development Timelines. Evidence from Melbourne, Australia. </w:t>
      </w:r>
      <w:r w:rsidRPr="001A4B14">
        <w:rPr>
          <w:i/>
          <w:iCs/>
        </w:rPr>
        <w:t>Urban Policy and Research</w:t>
      </w:r>
      <w:r w:rsidRPr="001A4B14">
        <w:t xml:space="preserve">, </w:t>
      </w:r>
      <w:r w:rsidRPr="001A4B14">
        <w:rPr>
          <w:i/>
          <w:iCs/>
        </w:rPr>
        <w:t>44</w:t>
      </w:r>
      <w:r w:rsidRPr="001A4B14">
        <w:t xml:space="preserve">(1), 1–17. </w:t>
      </w:r>
      <w:hyperlink r:id="rId4" w:history="1">
        <w:r w:rsidRPr="00106706">
          <w:rPr>
            <w:rStyle w:val="Hyperlink"/>
          </w:rPr>
          <w:t>https://doi.org/10.1080/08111146.2026.2648835</w:t>
        </w:r>
      </w:hyperlink>
      <w:r>
        <w:t xml:space="preserve"> </w:t>
      </w:r>
    </w:p>
  </w:footnote>
  <w:footnote w:id="5">
    <w:p w14:paraId="2FDFFDF8" w14:textId="77777777" w:rsidR="00866A7E" w:rsidRPr="001D1BD3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Spiller, M. (2019). Who owns the development rights in our cities? </w:t>
      </w:r>
      <w:r>
        <w:rPr>
          <w:i/>
          <w:iCs/>
          <w:lang w:val="en-AU"/>
        </w:rPr>
        <w:t>SGS Economics &amp; Planning</w:t>
      </w:r>
      <w:r>
        <w:rPr>
          <w:lang w:val="en-AU"/>
        </w:rPr>
        <w:t xml:space="preserve">, </w:t>
      </w:r>
      <w:hyperlink r:id="rId5" w:history="1">
        <w:r w:rsidRPr="00106706">
          <w:rPr>
            <w:rStyle w:val="Hyperlink"/>
            <w:lang w:val="en-AU"/>
          </w:rPr>
          <w:t>https://sgsep.com.au/publications/insights/who-owns-the-development-rights-in-our-cities</w:t>
        </w:r>
      </w:hyperlink>
      <w:r>
        <w:rPr>
          <w:lang w:val="en-AU"/>
        </w:rPr>
        <w:t xml:space="preserve"> </w:t>
      </w:r>
    </w:p>
  </w:footnote>
  <w:footnote w:id="6">
    <w:p w14:paraId="1A19F8D4" w14:textId="77777777" w:rsidR="00866A7E" w:rsidRPr="00713F5D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YWCA Australia. (2026). </w:t>
      </w:r>
      <w:r w:rsidRPr="00713F5D">
        <w:t xml:space="preserve">Housing that </w:t>
      </w:r>
      <w:proofErr w:type="gramStart"/>
      <w:r w:rsidRPr="00713F5D">
        <w:t>works:</w:t>
      </w:r>
      <w:proofErr w:type="gramEnd"/>
      <w:r w:rsidRPr="00713F5D">
        <w:t xml:space="preserve"> economic case for investing in women and families</w:t>
      </w:r>
      <w:r>
        <w:t xml:space="preserve">, </w:t>
      </w:r>
      <w:hyperlink r:id="rId6" w:history="1">
        <w:r w:rsidRPr="00106706">
          <w:rPr>
            <w:rStyle w:val="Hyperlink"/>
          </w:rPr>
          <w:t>https://www.afr.com/companies/infrastructure/housing-that-works-economic-case-for-investing-in-women-and-families-20260501-p5zsxq</w:t>
        </w:r>
      </w:hyperlink>
      <w:r>
        <w:t xml:space="preserve"> </w:t>
      </w:r>
    </w:p>
  </w:footnote>
  <w:footnote w:id="7">
    <w:p w14:paraId="716B93B6" w14:textId="77777777" w:rsidR="00866A7E" w:rsidRPr="0029429F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Carter, J. S. and McAloon, C. (2025). </w:t>
      </w:r>
      <w:r w:rsidRPr="0029429F">
        <w:rPr>
          <w:lang w:val="en-AU"/>
        </w:rPr>
        <w:t>In regional Australia, country communities are forced to become developers amid a scarcity of downsize housing</w:t>
      </w:r>
      <w:r>
        <w:rPr>
          <w:lang w:val="en-AU"/>
        </w:rPr>
        <w:t xml:space="preserve">. </w:t>
      </w:r>
      <w:r>
        <w:rPr>
          <w:i/>
          <w:iCs/>
          <w:lang w:val="en-AU"/>
        </w:rPr>
        <w:t>ABC News</w:t>
      </w:r>
      <w:r>
        <w:rPr>
          <w:lang w:val="en-AU"/>
        </w:rPr>
        <w:t xml:space="preserve">, </w:t>
      </w:r>
      <w:hyperlink r:id="rId7" w:history="1">
        <w:r w:rsidRPr="00106706">
          <w:rPr>
            <w:rStyle w:val="Hyperlink"/>
            <w:lang w:val="en-AU"/>
          </w:rPr>
          <w:t>https://www.abc.net.au/news/2025-11-09/older-country-australians-dont-have-anywhere-to-downsize-to/105959030</w:t>
        </w:r>
      </w:hyperlink>
      <w:r>
        <w:rPr>
          <w:lang w:val="en-AU"/>
        </w:rPr>
        <w:t xml:space="preserve"> </w:t>
      </w:r>
    </w:p>
  </w:footnote>
  <w:footnote w:id="8">
    <w:p w14:paraId="3143984A" w14:textId="77777777" w:rsidR="00866A7E" w:rsidRPr="001A4B14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Thompson, J. (2026). </w:t>
      </w:r>
      <w:r w:rsidRPr="001A4B14">
        <w:t>Contentious developments receiving fast-tracked approval under affordable housing pathway</w:t>
      </w:r>
      <w:r>
        <w:t xml:space="preserve">. </w:t>
      </w:r>
      <w:hyperlink r:id="rId8" w:history="1">
        <w:r w:rsidRPr="00106706">
          <w:rPr>
            <w:rStyle w:val="Hyperlink"/>
          </w:rPr>
          <w:t>https://www.abc.net.au/news/2026-05-20/luxury-apartments-greenlit-under-affordable-housing-scheme/106680592</w:t>
        </w:r>
      </w:hyperlink>
      <w:r>
        <w:t xml:space="preserve"> </w:t>
      </w:r>
    </w:p>
  </w:footnote>
  <w:footnote w:id="9">
    <w:p w14:paraId="0ACFBAB2" w14:textId="77777777" w:rsidR="00866A7E" w:rsidRPr="00760973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Bryant, L. and Sharam, A. (2025). </w:t>
      </w:r>
      <w:r w:rsidRPr="00760973">
        <w:rPr>
          <w:lang w:val="en-AU"/>
        </w:rPr>
        <w:t>Achieving the National Housing Accord: Do we</w:t>
      </w:r>
    </w:p>
    <w:p w14:paraId="5E39EBFF" w14:textId="77777777" w:rsidR="00866A7E" w:rsidRPr="00760973" w:rsidRDefault="00866A7E" w:rsidP="00866A7E">
      <w:pPr>
        <w:pStyle w:val="FootnoteText"/>
        <w:rPr>
          <w:lang w:val="en-AU"/>
        </w:rPr>
      </w:pPr>
      <w:r w:rsidRPr="00760973">
        <w:rPr>
          <w:lang w:val="en-AU"/>
        </w:rPr>
        <w:t>have a chance?</w:t>
      </w:r>
      <w:r>
        <w:rPr>
          <w:lang w:val="en-AU"/>
        </w:rPr>
        <w:t xml:space="preserve"> </w:t>
      </w:r>
      <w:r>
        <w:rPr>
          <w:i/>
          <w:iCs/>
          <w:lang w:val="en-AU"/>
        </w:rPr>
        <w:t>QUT Centre for Justice Briefing Papers</w:t>
      </w:r>
      <w:r>
        <w:rPr>
          <w:lang w:val="en-AU"/>
        </w:rPr>
        <w:t xml:space="preserve">. </w:t>
      </w:r>
      <w:hyperlink r:id="rId9" w:history="1">
        <w:r w:rsidRPr="00106706">
          <w:rPr>
            <w:rStyle w:val="Hyperlink"/>
            <w:lang w:val="en-AU"/>
          </w:rPr>
          <w:t>https://eprints.qut.edu.au/258775/1/BP77_BryantSharam_HousingAccord.pdf</w:t>
        </w:r>
      </w:hyperlink>
      <w:r>
        <w:rPr>
          <w:lang w:val="en-AU"/>
        </w:rPr>
        <w:t xml:space="preserve"> </w:t>
      </w:r>
    </w:p>
  </w:footnote>
  <w:footnote w:id="10">
    <w:p w14:paraId="1A5CE769" w14:textId="77777777" w:rsidR="00866A7E" w:rsidRPr="004E75CC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75CC">
        <w:t xml:space="preserve">Gallagher, R. (2026). Misaligned Policy and Practice: Does Upzoning’s Implicit Reliance on Land Assembly Undermine Densification Goals? </w:t>
      </w:r>
      <w:r w:rsidRPr="004E75CC">
        <w:rPr>
          <w:i/>
          <w:iCs/>
        </w:rPr>
        <w:t>Urban Policy and Research</w:t>
      </w:r>
      <w:r w:rsidRPr="004E75CC">
        <w:t xml:space="preserve">, 1–19. </w:t>
      </w:r>
      <w:hyperlink r:id="rId10" w:history="1">
        <w:r w:rsidRPr="00106706">
          <w:rPr>
            <w:rStyle w:val="Hyperlink"/>
          </w:rPr>
          <w:t>https://doi.org/10.1080/08111146.2026.2656667</w:t>
        </w:r>
      </w:hyperlink>
      <w:r>
        <w:t xml:space="preserve"> </w:t>
      </w:r>
    </w:p>
  </w:footnote>
  <w:footnote w:id="11">
    <w:p w14:paraId="79267165" w14:textId="77777777" w:rsidR="00866A7E" w:rsidRPr="00254EE1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54EE1">
        <w:t>The failure of the nation's largest urban renewal project | 7.30</w:t>
      </w:r>
      <w:r>
        <w:t xml:space="preserve">, </w:t>
      </w:r>
      <w:r w:rsidRPr="00BD3376">
        <w:rPr>
          <w:i/>
          <w:iCs/>
          <w:lang w:val="en-AU"/>
        </w:rPr>
        <w:t>ABC News in Depth</w:t>
      </w:r>
      <w:r>
        <w:rPr>
          <w:i/>
          <w:iCs/>
          <w:lang w:val="en-AU"/>
        </w:rPr>
        <w:t xml:space="preserve"> [</w:t>
      </w:r>
      <w:proofErr w:type="spellStart"/>
      <w:r>
        <w:rPr>
          <w:i/>
          <w:iCs/>
          <w:lang w:val="en-AU"/>
        </w:rPr>
        <w:t>Youtube</w:t>
      </w:r>
      <w:proofErr w:type="spellEnd"/>
      <w:r>
        <w:rPr>
          <w:i/>
          <w:iCs/>
          <w:lang w:val="en-AU"/>
        </w:rPr>
        <w:t xml:space="preserve"> channel]</w:t>
      </w:r>
      <w:r>
        <w:rPr>
          <w:lang w:val="en-AU"/>
        </w:rPr>
        <w:t xml:space="preserve">, published 3 November 2025, </w:t>
      </w:r>
      <w:hyperlink r:id="rId11" w:history="1">
        <w:r w:rsidRPr="00106706">
          <w:rPr>
            <w:rStyle w:val="Hyperlink"/>
            <w:lang w:val="en-AU"/>
          </w:rPr>
          <w:t>https://youtu.be/At2kECwK7Tw?si=82uLHAZdkJ4NqUYY</w:t>
        </w:r>
      </w:hyperlink>
      <w:r>
        <w:rPr>
          <w:lang w:val="en-AU"/>
        </w:rPr>
        <w:t xml:space="preserve"> </w:t>
      </w:r>
    </w:p>
  </w:footnote>
  <w:footnote w:id="12">
    <w:p w14:paraId="52D9301E" w14:textId="77777777" w:rsidR="00866A7E" w:rsidRPr="005E17CA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E17CA">
        <w:t>Pinnegar, S., Randolph, B., &amp; Troy, L. (2020). Decoupling Growth from Growth-dependent Planning Paradigms: Contesting Prevailing Urban Renewal Futures in Sydney, Australia. </w:t>
      </w:r>
      <w:r w:rsidRPr="005E17CA">
        <w:rPr>
          <w:i/>
          <w:iCs/>
        </w:rPr>
        <w:t>Urban Policy and Research</w:t>
      </w:r>
      <w:r w:rsidRPr="005E17CA">
        <w:t>, </w:t>
      </w:r>
      <w:r w:rsidRPr="005E17CA">
        <w:rPr>
          <w:i/>
          <w:iCs/>
        </w:rPr>
        <w:t>38</w:t>
      </w:r>
      <w:r w:rsidRPr="005E17CA">
        <w:t xml:space="preserve">(4), 321–337. </w:t>
      </w:r>
      <w:hyperlink r:id="rId12" w:history="1">
        <w:r w:rsidRPr="00106706">
          <w:rPr>
            <w:rStyle w:val="Hyperlink"/>
          </w:rPr>
          <w:t>https://doi-org.virtual.anu.edu.au/10.1080/08111146.2020.1795636</w:t>
        </w:r>
      </w:hyperlink>
      <w:r>
        <w:t xml:space="preserve"> </w:t>
      </w:r>
    </w:p>
  </w:footnote>
  <w:footnote w:id="13">
    <w:p w14:paraId="3D09CC05" w14:textId="77777777" w:rsidR="00866A7E" w:rsidRPr="00F53CFF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The Urban Developer and Future Urban. (2026). </w:t>
      </w:r>
      <w:r w:rsidRPr="00F53CFF">
        <w:t>Planning Delays Cost Developers as Infrastructure Falls Behind</w:t>
      </w:r>
      <w:r>
        <w:t xml:space="preserve">. </w:t>
      </w:r>
      <w:r>
        <w:rPr>
          <w:i/>
          <w:iCs/>
        </w:rPr>
        <w:t>The Urban Developer</w:t>
      </w:r>
      <w:r>
        <w:t xml:space="preserve">, </w:t>
      </w:r>
      <w:hyperlink r:id="rId13" w:history="1">
        <w:r w:rsidRPr="00106706">
          <w:rPr>
            <w:rStyle w:val="Hyperlink"/>
          </w:rPr>
          <w:t>https://www.theurbandeveloper.com/articles/future-urban-planning-approvals-developer-advice</w:t>
        </w:r>
      </w:hyperlink>
      <w:r>
        <w:t xml:space="preserve"> </w:t>
      </w:r>
    </w:p>
  </w:footnote>
  <w:footnote w:id="14">
    <w:p w14:paraId="3BE4BEB9" w14:textId="77777777" w:rsidR="00866A7E" w:rsidRPr="00C06223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Young, E. (2024). </w:t>
      </w:r>
      <w:r w:rsidRPr="00C06223">
        <w:rPr>
          <w:lang w:val="en-AU"/>
        </w:rPr>
        <w:t xml:space="preserve">Experts have said for years we need more social and affordable housing. So where is </w:t>
      </w:r>
      <w:proofErr w:type="gramStart"/>
      <w:r w:rsidRPr="00C06223">
        <w:rPr>
          <w:lang w:val="en-AU"/>
        </w:rPr>
        <w:t>it?</w:t>
      </w:r>
      <w:r>
        <w:rPr>
          <w:lang w:val="en-AU"/>
        </w:rPr>
        <w:t>,</w:t>
      </w:r>
      <w:proofErr w:type="gramEnd"/>
      <w:r>
        <w:rPr>
          <w:lang w:val="en-AU"/>
        </w:rPr>
        <w:t xml:space="preserve"> </w:t>
      </w:r>
      <w:r>
        <w:rPr>
          <w:i/>
          <w:iCs/>
          <w:lang w:val="en-AU"/>
        </w:rPr>
        <w:t>ABC News</w:t>
      </w:r>
      <w:r>
        <w:rPr>
          <w:lang w:val="en-AU"/>
        </w:rPr>
        <w:t xml:space="preserve">, </w:t>
      </w:r>
      <w:hyperlink r:id="rId14" w:history="1">
        <w:r w:rsidRPr="00106706">
          <w:rPr>
            <w:rStyle w:val="Hyperlink"/>
            <w:lang w:val="en-AU"/>
          </w:rPr>
          <w:t>https://www.abc.net.au/news/2024-01-28/where-is-the-social-and-affordable-housing/103380050</w:t>
        </w:r>
      </w:hyperlink>
      <w:r>
        <w:rPr>
          <w:lang w:val="en-AU"/>
        </w:rPr>
        <w:t xml:space="preserve"> </w:t>
      </w:r>
    </w:p>
  </w:footnote>
  <w:footnote w:id="15">
    <w:p w14:paraId="0778C683" w14:textId="77777777" w:rsidR="00866A7E" w:rsidRPr="00494E1F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Daniel, L., Lang, M., Barlow, C., Phibbs, P., Baker, E., and Hamilton, I. (2024) A national roadmap for improving the building quality of Australian housing stock, AHURI Final Report No. 426, </w:t>
      </w:r>
      <w:r w:rsidRPr="000D0807">
        <w:rPr>
          <w:i/>
          <w:iCs/>
        </w:rPr>
        <w:t>Australian Housing and Urban Research Institute Limited</w:t>
      </w:r>
      <w:r>
        <w:t xml:space="preserve">, Melbourne, </w:t>
      </w:r>
      <w:hyperlink r:id="rId15" w:history="1">
        <w:r w:rsidRPr="00106706">
          <w:rPr>
            <w:rStyle w:val="Hyperlink"/>
          </w:rPr>
          <w:t>https://www.ahuri.edu.au/research/final-reports/426</w:t>
        </w:r>
      </w:hyperlink>
      <w:r>
        <w:t xml:space="preserve">, </w:t>
      </w:r>
      <w:proofErr w:type="spellStart"/>
      <w:r>
        <w:t>doi</w:t>
      </w:r>
      <w:proofErr w:type="spellEnd"/>
      <w:r>
        <w:t>: 10.18408/ahuri3232301</w:t>
      </w:r>
    </w:p>
  </w:footnote>
  <w:footnote w:id="16">
    <w:p w14:paraId="3F645247" w14:textId="77777777" w:rsidR="00866A7E" w:rsidRPr="00456301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6301">
        <w:t xml:space="preserve">Sharam, A., Bryant, L., &amp; Alves, T. (2015). De-risking development of medium density housing to improve housing affordability and boost supply. </w:t>
      </w:r>
      <w:r w:rsidRPr="00456301">
        <w:rPr>
          <w:i/>
          <w:iCs/>
        </w:rPr>
        <w:t>Australian Planner</w:t>
      </w:r>
      <w:r w:rsidRPr="00456301">
        <w:t xml:space="preserve">, </w:t>
      </w:r>
      <w:r w:rsidRPr="00456301">
        <w:rPr>
          <w:i/>
          <w:iCs/>
        </w:rPr>
        <w:t>52</w:t>
      </w:r>
      <w:r w:rsidRPr="00456301">
        <w:t xml:space="preserve">(3), 210–218. </w:t>
      </w:r>
      <w:hyperlink r:id="rId16" w:history="1">
        <w:r w:rsidRPr="00106706">
          <w:rPr>
            <w:rStyle w:val="Hyperlink"/>
          </w:rPr>
          <w:t>https://doi.org/10.1080/07293682.2015.1034146</w:t>
        </w:r>
      </w:hyperlink>
      <w:r>
        <w:t xml:space="preserve"> </w:t>
      </w:r>
    </w:p>
  </w:footnote>
  <w:footnote w:id="17">
    <w:p w14:paraId="28D63177" w14:textId="77777777" w:rsidR="00866A7E" w:rsidRPr="006534E7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Infrastructure Australia (2025). </w:t>
      </w:r>
      <w:r w:rsidRPr="006534E7">
        <w:rPr>
          <w:lang w:val="en-AU"/>
        </w:rPr>
        <w:t>Billions injected into national infrastructure pipeline as governments target energy and housing growth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 xml:space="preserve">Infrastructure Australia </w:t>
      </w:r>
      <w:r>
        <w:rPr>
          <w:lang w:val="en-AU"/>
        </w:rPr>
        <w:t xml:space="preserve">[Media Release], </w:t>
      </w:r>
      <w:hyperlink r:id="rId17" w:history="1">
        <w:r w:rsidRPr="00106706">
          <w:rPr>
            <w:rStyle w:val="Hyperlink"/>
            <w:lang w:val="en-AU"/>
          </w:rPr>
          <w:t>https://www.infrastructureaustralia.gov.au/listing/media-release/billions-injected-national-infrastructure-pipeline-governments-target-energy-and-housing-growth</w:t>
        </w:r>
      </w:hyperlink>
      <w:r>
        <w:rPr>
          <w:lang w:val="en-AU"/>
        </w:rPr>
        <w:t xml:space="preserve"> </w:t>
      </w:r>
    </w:p>
  </w:footnote>
  <w:footnote w:id="18">
    <w:p w14:paraId="3C3473D4" w14:textId="77777777" w:rsidR="00866A7E" w:rsidRPr="008E2B5D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Property Council of Australia (2025). </w:t>
      </w:r>
      <w:r w:rsidRPr="008E2B5D">
        <w:rPr>
          <w:lang w:val="en-AU"/>
        </w:rPr>
        <w:t>Infrastructure capacity key to new housing and industrial land supply</w:t>
      </w:r>
      <w:r>
        <w:rPr>
          <w:lang w:val="en-AU"/>
        </w:rPr>
        <w:t xml:space="preserve">, </w:t>
      </w:r>
      <w:r w:rsidRPr="008E2B5D">
        <w:rPr>
          <w:i/>
          <w:iCs/>
          <w:lang w:val="en-AU"/>
        </w:rPr>
        <w:t>Property Council of Australia</w:t>
      </w:r>
      <w:r>
        <w:rPr>
          <w:lang w:val="en-AU"/>
        </w:rPr>
        <w:t xml:space="preserve"> [Media Release], </w:t>
      </w:r>
      <w:hyperlink r:id="rId18" w:history="1">
        <w:r w:rsidRPr="00106706">
          <w:rPr>
            <w:rStyle w:val="Hyperlink"/>
            <w:lang w:val="en-AU"/>
          </w:rPr>
          <w:t>https://www.propertycouncil.com.au/media-releases/infrastructure-capacity-key-to-new-housing-and-industrial-land-supply</w:t>
        </w:r>
      </w:hyperlink>
      <w:r>
        <w:rPr>
          <w:lang w:val="en-AU"/>
        </w:rPr>
        <w:t xml:space="preserve"> </w:t>
      </w:r>
    </w:p>
  </w:footnote>
  <w:footnote w:id="19">
    <w:p w14:paraId="434C5E70" w14:textId="77777777" w:rsidR="00866A7E" w:rsidRPr="00C9791C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Urban Development Institute of Australia – SA Division (2026). </w:t>
      </w:r>
      <w:r w:rsidRPr="00C9791C">
        <w:rPr>
          <w:lang w:val="en-AU"/>
        </w:rPr>
        <w:t>UDIA State of the Land reveals why Australia’s housing supply crisis will get worse in 2026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UDIASA</w:t>
      </w:r>
      <w:r>
        <w:rPr>
          <w:lang w:val="en-AU"/>
        </w:rPr>
        <w:t xml:space="preserve">, </w:t>
      </w:r>
      <w:hyperlink r:id="rId19" w:history="1">
        <w:r w:rsidRPr="00106706">
          <w:rPr>
            <w:rStyle w:val="Hyperlink"/>
            <w:lang w:val="en-AU"/>
          </w:rPr>
          <w:t>https://www.udiasa.com.au/policy-advocacy/latest-news/udia-state-of-the-land-reveals-why-australias-housing-supply-crisis-will-get-worse-in-2026</w:t>
        </w:r>
      </w:hyperlink>
      <w:r>
        <w:rPr>
          <w:lang w:val="en-AU"/>
        </w:rPr>
        <w:t xml:space="preserve"> </w:t>
      </w:r>
    </w:p>
  </w:footnote>
  <w:footnote w:id="20">
    <w:p w14:paraId="032CFDAC" w14:textId="77777777" w:rsidR="00866A7E" w:rsidRPr="006207BB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Steele, A. (2025). </w:t>
      </w:r>
      <w:r w:rsidRPr="006207BB">
        <w:t>Housing Analytics Lab Opens to Tackle Housing Crisis</w:t>
      </w:r>
      <w:r>
        <w:t xml:space="preserve">, </w:t>
      </w:r>
      <w:r>
        <w:rPr>
          <w:i/>
          <w:iCs/>
        </w:rPr>
        <w:t>Australian Research Data Commons</w:t>
      </w:r>
      <w:r>
        <w:t xml:space="preserve">, </w:t>
      </w:r>
      <w:hyperlink r:id="rId20" w:history="1">
        <w:r w:rsidRPr="00106706">
          <w:rPr>
            <w:rStyle w:val="Hyperlink"/>
          </w:rPr>
          <w:t>https://ardc.edu.au/article/housing-analytics-lab-opens-to-tackle-housing-crisis/</w:t>
        </w:r>
      </w:hyperlink>
      <w:r>
        <w:t xml:space="preserve"> </w:t>
      </w:r>
    </w:p>
  </w:footnote>
  <w:footnote w:id="21">
    <w:p w14:paraId="39257538" w14:textId="77777777" w:rsidR="00866A7E" w:rsidRPr="009421F9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See New South Wales Government, Transport for NSW ‘</w:t>
      </w:r>
      <w:hyperlink r:id="rId21" w:history="1">
        <w:r w:rsidRPr="009421F9">
          <w:rPr>
            <w:rStyle w:val="Hyperlink"/>
          </w:rPr>
          <w:t>NSW Movement and Place Framework</w:t>
        </w:r>
      </w:hyperlink>
      <w:r>
        <w:t>’</w:t>
      </w:r>
    </w:p>
  </w:footnote>
  <w:footnote w:id="22">
    <w:p w14:paraId="6D0EB750" w14:textId="77777777" w:rsidR="00866A7E" w:rsidRPr="004E33E6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See Green Building Council Australia ‘Green Star Communities’ precinct scale rating system, </w:t>
      </w:r>
      <w:hyperlink r:id="rId22" w:history="1">
        <w:r w:rsidRPr="00106706">
          <w:rPr>
            <w:rStyle w:val="Hyperlink"/>
            <w:lang w:val="en-AU"/>
          </w:rPr>
          <w:t>https://new.gbca.org.au/green-star/rating-system/communities/</w:t>
        </w:r>
      </w:hyperlink>
      <w:r>
        <w:rPr>
          <w:lang w:val="en-AU"/>
        </w:rPr>
        <w:t xml:space="preserve"> </w:t>
      </w:r>
    </w:p>
  </w:footnote>
  <w:footnote w:id="23">
    <w:p w14:paraId="689B6D53" w14:textId="77777777" w:rsidR="00866A7E" w:rsidRPr="00120EBC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WSP (2023). </w:t>
      </w:r>
      <w:r w:rsidRPr="00120EBC">
        <w:t>Reimagining movement and place</w:t>
      </w:r>
      <w:r>
        <w:t xml:space="preserve">, </w:t>
      </w:r>
      <w:r>
        <w:rPr>
          <w:i/>
          <w:iCs/>
        </w:rPr>
        <w:t xml:space="preserve">WSP </w:t>
      </w:r>
      <w:r>
        <w:t xml:space="preserve">[blog], </w:t>
      </w:r>
      <w:hyperlink r:id="rId23" w:history="1">
        <w:r w:rsidRPr="00106706">
          <w:rPr>
            <w:rStyle w:val="Hyperlink"/>
          </w:rPr>
          <w:t>https://www.wsp.com/en-au/insights/reimagining-movement-and-place</w:t>
        </w:r>
      </w:hyperlink>
      <w:r>
        <w:t xml:space="preserve"> </w:t>
      </w:r>
    </w:p>
  </w:footnote>
  <w:footnote w:id="24">
    <w:p w14:paraId="0F78EB1E" w14:textId="77777777" w:rsidR="00D501F5" w:rsidRPr="003B069D" w:rsidRDefault="00D501F5" w:rsidP="00D501F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B069D">
        <w:t>Aminpour</w:t>
      </w:r>
      <w:proofErr w:type="spellEnd"/>
      <w:r>
        <w:t xml:space="preserve">, F. and </w:t>
      </w:r>
      <w:proofErr w:type="spellStart"/>
      <w:r w:rsidRPr="003B069D">
        <w:t>Soundararaj</w:t>
      </w:r>
      <w:proofErr w:type="spellEnd"/>
      <w:r>
        <w:t xml:space="preserve">, B. (2025). </w:t>
      </w:r>
      <w:r w:rsidRPr="003B069D">
        <w:t>Building a national digital platform for planning and housing decision support</w:t>
      </w:r>
      <w:r>
        <w:t xml:space="preserve">, </w:t>
      </w:r>
      <w:r w:rsidRPr="003B069D">
        <w:rPr>
          <w:i/>
          <w:iCs/>
        </w:rPr>
        <w:t>UNSW City Futures</w:t>
      </w:r>
      <w:r>
        <w:t xml:space="preserve"> [Blog], </w:t>
      </w:r>
      <w:hyperlink r:id="rId24" w:history="1">
        <w:r w:rsidRPr="00106706">
          <w:rPr>
            <w:rStyle w:val="Hyperlink"/>
          </w:rPr>
          <w:t>https://blogs.cityfutures.unsw.edu.au/news/building-national-digital-platform-planning-and-housing-decision-support</w:t>
        </w:r>
      </w:hyperlink>
      <w:r>
        <w:t xml:space="preserve"> </w:t>
      </w:r>
    </w:p>
  </w:footnote>
  <w:footnote w:id="25">
    <w:p w14:paraId="2CE08FA7" w14:textId="77777777" w:rsidR="00D501F5" w:rsidRPr="00026AF7" w:rsidRDefault="00D501F5" w:rsidP="00D501F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Foth, M., Choi, J., and Satchell, C. (2011). </w:t>
      </w:r>
      <w:r w:rsidRPr="00026AF7">
        <w:rPr>
          <w:lang w:val="en-AU"/>
        </w:rPr>
        <w:t>Urban informatics.</w:t>
      </w:r>
      <w:r>
        <w:rPr>
          <w:lang w:val="en-AU"/>
        </w:rPr>
        <w:t xml:space="preserve"> </w:t>
      </w:r>
      <w:r w:rsidRPr="00026AF7">
        <w:rPr>
          <w:lang w:val="en-AU"/>
        </w:rPr>
        <w:t xml:space="preserve">In Bardram, J E &amp; </w:t>
      </w:r>
      <w:proofErr w:type="spellStart"/>
      <w:r w:rsidRPr="00026AF7">
        <w:rPr>
          <w:lang w:val="en-AU"/>
        </w:rPr>
        <w:t>Ducheneaut</w:t>
      </w:r>
      <w:proofErr w:type="spellEnd"/>
      <w:r w:rsidRPr="00026AF7">
        <w:rPr>
          <w:lang w:val="en-AU"/>
        </w:rPr>
        <w:t xml:space="preserve">, N (Eds.) </w:t>
      </w:r>
      <w:r w:rsidRPr="00E85B1A">
        <w:rPr>
          <w:i/>
          <w:iCs/>
          <w:lang w:val="en-AU"/>
        </w:rPr>
        <w:t>Proceedings of the ACM 2011 Conference on Computer Supported Cooperative Work, CSCW. Association for Computing Machinery</w:t>
      </w:r>
      <w:r w:rsidRPr="00026AF7">
        <w:rPr>
          <w:lang w:val="en-AU"/>
        </w:rPr>
        <w:t>, United States, pp. 1-8.</w:t>
      </w:r>
      <w:r>
        <w:rPr>
          <w:lang w:val="en-AU"/>
        </w:rPr>
        <w:t xml:space="preserve"> </w:t>
      </w:r>
      <w:hyperlink r:id="rId25" w:history="1">
        <w:r w:rsidRPr="008412F4">
          <w:rPr>
            <w:rStyle w:val="Hyperlink"/>
          </w:rPr>
          <w:t>https://doi.org/10.1145/1958824.1958826</w:t>
        </w:r>
      </w:hyperlink>
    </w:p>
  </w:footnote>
  <w:footnote w:id="26">
    <w:p w14:paraId="05D17041" w14:textId="77777777" w:rsidR="00866A7E" w:rsidRPr="006F5067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Ng, Y. (2026). </w:t>
      </w:r>
      <w:r w:rsidRPr="006F5067">
        <w:rPr>
          <w:lang w:val="en-AU"/>
        </w:rPr>
        <w:t>Amid an Olympic boom, it’s risky timing to lift a ban on developers’ political donations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The Conversation</w:t>
      </w:r>
      <w:r>
        <w:rPr>
          <w:lang w:val="en-AU"/>
        </w:rPr>
        <w:t xml:space="preserve">, </w:t>
      </w:r>
      <w:hyperlink r:id="rId26" w:history="1">
        <w:r w:rsidRPr="00106706">
          <w:rPr>
            <w:rStyle w:val="Hyperlink"/>
            <w:lang w:val="en-AU"/>
          </w:rPr>
          <w:t>https://theconversation.com/amid-an-olympic-boom-its-risky-timing-to-lift-a-ban-on-developers-political-donations-274740</w:t>
        </w:r>
      </w:hyperlink>
      <w:r>
        <w:rPr>
          <w:lang w:val="en-AU"/>
        </w:rPr>
        <w:t xml:space="preserve"> </w:t>
      </w:r>
    </w:p>
  </w:footnote>
  <w:footnote w:id="27">
    <w:p w14:paraId="4ECC2DAD" w14:textId="77777777" w:rsidR="00866A7E" w:rsidRPr="00371CA0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Walsh, L. (2026). </w:t>
      </w:r>
      <w:r w:rsidRPr="00371CA0">
        <w:rPr>
          <w:lang w:val="en-AU"/>
        </w:rPr>
        <w:t>Developers with state-tied projects donate to Queensland politicians after ban lifted</w:t>
      </w:r>
      <w:r>
        <w:rPr>
          <w:lang w:val="en-AU"/>
        </w:rPr>
        <w:t xml:space="preserve">, </w:t>
      </w:r>
      <w:hyperlink r:id="rId27" w:history="1">
        <w:r w:rsidRPr="00106706">
          <w:rPr>
            <w:rStyle w:val="Hyperlink"/>
            <w:lang w:val="en-AU"/>
          </w:rPr>
          <w:t>https://www.abc.net.au/news/2026-05-18/developers-donate-thousands-after-qld-ban-life/106683676</w:t>
        </w:r>
      </w:hyperlink>
      <w:r>
        <w:rPr>
          <w:lang w:val="en-AU"/>
        </w:rPr>
        <w:t xml:space="preserve"> </w:t>
      </w:r>
    </w:p>
  </w:footnote>
  <w:footnote w:id="28">
    <w:p w14:paraId="213A3104" w14:textId="77777777" w:rsidR="00866A7E" w:rsidRPr="0061159F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Keane, B. (2021). </w:t>
      </w:r>
      <w:r w:rsidRPr="0061159F">
        <w:t>Zones of corruption: how property development inherently challenges democracy</w:t>
      </w:r>
      <w:r>
        <w:t xml:space="preserve">, </w:t>
      </w:r>
      <w:proofErr w:type="spellStart"/>
      <w:r>
        <w:rPr>
          <w:i/>
          <w:iCs/>
        </w:rPr>
        <w:t>Crikey</w:t>
      </w:r>
      <w:proofErr w:type="spellEnd"/>
      <w:r>
        <w:t xml:space="preserve">, </w:t>
      </w:r>
      <w:hyperlink r:id="rId28" w:history="1">
        <w:r w:rsidRPr="00106706">
          <w:rPr>
            <w:rStyle w:val="Hyperlink"/>
          </w:rPr>
          <w:t>https://www.crikey.com.au/2021/03/24/property-zoning-corruption/</w:t>
        </w:r>
      </w:hyperlink>
      <w:r>
        <w:t xml:space="preserve"> </w:t>
      </w:r>
    </w:p>
  </w:footnote>
  <w:footnote w:id="29">
    <w:p w14:paraId="50773700" w14:textId="77777777" w:rsidR="00866A7E" w:rsidRPr="008164B5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Murray, C. K. and </w:t>
      </w:r>
      <w:proofErr w:type="spellStart"/>
      <w:r>
        <w:rPr>
          <w:lang w:val="en-AU"/>
        </w:rPr>
        <w:t>Frijters</w:t>
      </w:r>
      <w:proofErr w:type="spellEnd"/>
      <w:r>
        <w:rPr>
          <w:lang w:val="en-AU"/>
        </w:rPr>
        <w:t xml:space="preserve">, P. (2016). </w:t>
      </w:r>
      <w:r w:rsidRPr="008164B5">
        <w:rPr>
          <w:lang w:val="en-AU"/>
        </w:rPr>
        <w:t>Clean money, dirty system: Connected landowners capture beneficial land rezoning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Journal of Urban Economics, 93</w:t>
      </w:r>
      <w:r>
        <w:rPr>
          <w:lang w:val="en-AU"/>
        </w:rPr>
        <w:t xml:space="preserve">, pp. 99-114, </w:t>
      </w:r>
      <w:hyperlink r:id="rId29" w:history="1">
        <w:r w:rsidRPr="00106706">
          <w:rPr>
            <w:rStyle w:val="Hyperlink"/>
            <w:lang w:val="en-AU"/>
          </w:rPr>
          <w:t>https://doi.org/10.1016/j.jue.2016.04.001</w:t>
        </w:r>
      </w:hyperlink>
      <w:r>
        <w:rPr>
          <w:lang w:val="en-AU"/>
        </w:rPr>
        <w:t xml:space="preserve"> </w:t>
      </w:r>
    </w:p>
  </w:footnote>
  <w:footnote w:id="30">
    <w:p w14:paraId="166684EC" w14:textId="77777777" w:rsidR="00866A7E" w:rsidRPr="000907AA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0907AA">
        <w:t xml:space="preserve">Nice, Kerry A., and Mark Stevenson. 2026. “Urban Density and Equity of Access to Social Services in Australian Urban Areas.” </w:t>
      </w:r>
      <w:r w:rsidRPr="000907AA">
        <w:rPr>
          <w:i/>
          <w:iCs/>
        </w:rPr>
        <w:t>Findings</w:t>
      </w:r>
      <w:r w:rsidRPr="000907AA">
        <w:t xml:space="preserve">, May 12. </w:t>
      </w:r>
      <w:hyperlink r:id="rId30" w:history="1">
        <w:r w:rsidRPr="000907AA">
          <w:rPr>
            <w:rStyle w:val="Hyperlink"/>
          </w:rPr>
          <w:t>https://doi.org/10.32866/001c.161504</w:t>
        </w:r>
      </w:hyperlink>
    </w:p>
  </w:footnote>
  <w:footnote w:id="31">
    <w:p w14:paraId="760609A1" w14:textId="77777777" w:rsidR="00866A7E" w:rsidRPr="003B294C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3B294C">
        <w:t xml:space="preserve">Wiesel, I., &amp; Liu, F. (2021). </w:t>
      </w:r>
      <w:proofErr w:type="spellStart"/>
      <w:r w:rsidRPr="003B294C">
        <w:t>Conceptualising</w:t>
      </w:r>
      <w:proofErr w:type="spellEnd"/>
      <w:r w:rsidRPr="003B294C">
        <w:t xml:space="preserve"> modes of redistribution in public urban infrastructure. Urban Studies, 58(8). </w:t>
      </w:r>
      <w:hyperlink r:id="rId31" w:history="1">
        <w:r w:rsidRPr="00106706">
          <w:rPr>
            <w:rStyle w:val="Hyperlink"/>
          </w:rPr>
          <w:t>https://doi.org/10.1177/0042098020913188</w:t>
        </w:r>
      </w:hyperlink>
      <w:r>
        <w:t xml:space="preserve"> </w:t>
      </w:r>
    </w:p>
  </w:footnote>
  <w:footnote w:id="32">
    <w:p w14:paraId="6F985388" w14:textId="77777777" w:rsidR="00866A7E" w:rsidRPr="002D5751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‘</w:t>
      </w:r>
      <w:r>
        <w:rPr>
          <w:lang w:val="en-AU"/>
        </w:rPr>
        <w:t xml:space="preserve">Housing Affordability’, </w:t>
      </w:r>
      <w:r>
        <w:rPr>
          <w:i/>
          <w:iCs/>
          <w:lang w:val="en-AU"/>
        </w:rPr>
        <w:t>Australian Institute of Health and Welfare (AIHW)</w:t>
      </w:r>
      <w:r>
        <w:rPr>
          <w:lang w:val="en-AU"/>
        </w:rPr>
        <w:t xml:space="preserve">, Australian Government, 16 October 2025, </w:t>
      </w:r>
      <w:hyperlink r:id="rId32" w:history="1">
        <w:r w:rsidRPr="00106706">
          <w:rPr>
            <w:rStyle w:val="Hyperlink"/>
            <w:lang w:val="en-AU"/>
          </w:rPr>
          <w:t>https://www.aihw.gov.au/reports/australias-welfare/housing-affordability</w:t>
        </w:r>
      </w:hyperlink>
      <w:r>
        <w:rPr>
          <w:lang w:val="en-AU"/>
        </w:rPr>
        <w:t xml:space="preserve">  </w:t>
      </w:r>
    </w:p>
  </w:footnote>
  <w:footnote w:id="33">
    <w:p w14:paraId="41C9792C" w14:textId="77777777" w:rsidR="00866A7E" w:rsidRPr="007812DD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‘Homelessness and homelessness services’,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4 December 2025, </w:t>
      </w:r>
      <w:hyperlink r:id="rId33" w:history="1">
        <w:r w:rsidRPr="00106706">
          <w:rPr>
            <w:rStyle w:val="Hyperlink"/>
            <w:lang w:val="en-AU"/>
          </w:rPr>
          <w:t>https://www.aihw.gov.au/reports/australias-welfare/homelessness-and-homelessness-services</w:t>
        </w:r>
      </w:hyperlink>
      <w:r>
        <w:rPr>
          <w:lang w:val="en-AU"/>
        </w:rPr>
        <w:t xml:space="preserve"> </w:t>
      </w:r>
    </w:p>
  </w:footnote>
  <w:footnote w:id="34">
    <w:p w14:paraId="44A05D51" w14:textId="77777777" w:rsidR="00866A7E" w:rsidRPr="001C12E1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Wheeler, T. (2023). </w:t>
      </w:r>
      <w:r w:rsidRPr="001C12E1">
        <w:t>Inequality in housing and community solutions</w:t>
      </w:r>
      <w:r>
        <w:t xml:space="preserve">, </w:t>
      </w:r>
      <w:r w:rsidRPr="001C12E1">
        <w:rPr>
          <w:i/>
          <w:iCs/>
        </w:rPr>
        <w:t>Journal &amp; Proceedings of the Royal Society of New South Wales, 156</w:t>
      </w:r>
      <w:r>
        <w:t xml:space="preserve">(1), pp. 110–125, </w:t>
      </w:r>
      <w:hyperlink r:id="rId34" w:history="1">
        <w:r w:rsidRPr="00106706">
          <w:rPr>
            <w:rStyle w:val="Hyperlink"/>
          </w:rPr>
          <w:t>https://www.royalsoc.org.au/wp-content/uploads/2023/07/156-1-F-15-Wheeler.pdf</w:t>
        </w:r>
      </w:hyperlink>
      <w:r>
        <w:t xml:space="preserve"> </w:t>
      </w:r>
    </w:p>
  </w:footnote>
  <w:footnote w:id="35">
    <w:p w14:paraId="6F228098" w14:textId="77777777" w:rsidR="001F3F48" w:rsidRPr="00AC24FD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‘Income and income inequality’,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16 October 2025, </w:t>
      </w:r>
      <w:hyperlink r:id="rId35" w:history="1">
        <w:r w:rsidRPr="00106706">
          <w:rPr>
            <w:rStyle w:val="Hyperlink"/>
            <w:lang w:val="en-AU"/>
          </w:rPr>
          <w:t>https://www.aihw.gov.au/reports/australias-welfare/income-and-income-inequality</w:t>
        </w:r>
      </w:hyperlink>
      <w:r>
        <w:rPr>
          <w:lang w:val="en-AU"/>
        </w:rPr>
        <w:t xml:space="preserve"> </w:t>
      </w:r>
    </w:p>
  </w:footnote>
  <w:footnote w:id="36">
    <w:p w14:paraId="17D565CF" w14:textId="77777777" w:rsidR="001F3F48" w:rsidRPr="007C0B67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7C0B67">
        <w:t xml:space="preserve">Li Y, Singh A, Bentley R. Housing Australian Children: A Snapshot of Health Inequities in the First 2000 Days. J Urban Health. 2024 Dec;101(6):1259-1269. </w:t>
      </w:r>
      <w:proofErr w:type="spellStart"/>
      <w:r w:rsidRPr="007C0B67">
        <w:t>doi</w:t>
      </w:r>
      <w:proofErr w:type="spellEnd"/>
      <w:r w:rsidRPr="007C0B67">
        <w:t xml:space="preserve">: </w:t>
      </w:r>
      <w:hyperlink r:id="rId36" w:history="1">
        <w:r w:rsidRPr="007C0B67">
          <w:rPr>
            <w:rStyle w:val="Hyperlink"/>
          </w:rPr>
          <w:t>10.1007/s11524-024-00925-0</w:t>
        </w:r>
      </w:hyperlink>
    </w:p>
  </w:footnote>
  <w:footnote w:id="37">
    <w:p w14:paraId="70AF831C" w14:textId="77777777" w:rsidR="001F3F48" w:rsidRPr="002716EF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‘Social determinants of health’,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2 July 2024, </w:t>
      </w:r>
      <w:hyperlink r:id="rId37" w:history="1">
        <w:r w:rsidRPr="00106706">
          <w:rPr>
            <w:rStyle w:val="Hyperlink"/>
            <w:lang w:val="en-AU"/>
          </w:rPr>
          <w:t>https://www.aihw.gov.au/reports/australias-health/social-determinants-of-health</w:t>
        </w:r>
      </w:hyperlink>
      <w:r>
        <w:rPr>
          <w:lang w:val="en-AU"/>
        </w:rPr>
        <w:t xml:space="preserve"> </w:t>
      </w:r>
    </w:p>
  </w:footnote>
  <w:footnote w:id="38">
    <w:p w14:paraId="30A9DDBE" w14:textId="77777777" w:rsidR="001F3F48" w:rsidRPr="00F125DD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AU"/>
        </w:rPr>
        <w:t>Twyford</w:t>
      </w:r>
      <w:proofErr w:type="spellEnd"/>
      <w:r>
        <w:rPr>
          <w:lang w:val="en-AU"/>
        </w:rPr>
        <w:t xml:space="preserve">, L. (2026). </w:t>
      </w:r>
      <w:r w:rsidRPr="00F125DD">
        <w:rPr>
          <w:lang w:val="en-AU"/>
        </w:rPr>
        <w:t>Select</w:t>
      </w:r>
      <w:r>
        <w:rPr>
          <w:lang w:val="en-AU"/>
        </w:rPr>
        <w:t xml:space="preserve"> </w:t>
      </w:r>
      <w:r w:rsidRPr="00F125DD">
        <w:rPr>
          <w:lang w:val="en-AU"/>
        </w:rPr>
        <w:t>Committee on</w:t>
      </w:r>
      <w:r>
        <w:rPr>
          <w:lang w:val="en-AU"/>
        </w:rPr>
        <w:t xml:space="preserve"> </w:t>
      </w:r>
      <w:r w:rsidRPr="00F125DD">
        <w:rPr>
          <w:lang w:val="en-AU"/>
        </w:rPr>
        <w:t>Intergenerational</w:t>
      </w:r>
      <w:r>
        <w:rPr>
          <w:lang w:val="en-AU"/>
        </w:rPr>
        <w:t xml:space="preserve"> </w:t>
      </w:r>
      <w:r w:rsidRPr="00F125DD">
        <w:rPr>
          <w:lang w:val="en-AU"/>
        </w:rPr>
        <w:t>Housing Inequity</w:t>
      </w:r>
      <w:r>
        <w:rPr>
          <w:lang w:val="en-AU"/>
        </w:rPr>
        <w:t xml:space="preserve"> </w:t>
      </w:r>
      <w:r w:rsidRPr="00F125DD">
        <w:rPr>
          <w:lang w:val="en-AU"/>
        </w:rPr>
        <w:t>in Australia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Queensland Family and Child Commission</w:t>
      </w:r>
      <w:r>
        <w:rPr>
          <w:lang w:val="en-AU"/>
        </w:rPr>
        <w:t xml:space="preserve">, Queensland Government, </w:t>
      </w:r>
      <w:hyperlink r:id="rId38" w:history="1">
        <w:r w:rsidRPr="00106706">
          <w:rPr>
            <w:rStyle w:val="Hyperlink"/>
            <w:lang w:val="en-AU"/>
          </w:rPr>
          <w:t>https://www.qfcc.qld.gov.au/sites/default/files/submission-2026-select-committee-on-intergenerational-housing-inequity-in-australia-principal-commissioner.pdf</w:t>
        </w:r>
      </w:hyperlink>
      <w:r>
        <w:rPr>
          <w:lang w:val="en-AU"/>
        </w:rPr>
        <w:t xml:space="preserve"> </w:t>
      </w:r>
    </w:p>
  </w:footnote>
  <w:footnote w:id="39">
    <w:p w14:paraId="7FAC9497" w14:textId="77777777" w:rsidR="001F3F48" w:rsidRPr="00FA026C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Ong </w:t>
      </w:r>
      <w:proofErr w:type="spellStart"/>
      <w:r>
        <w:rPr>
          <w:lang w:val="en-AU"/>
        </w:rPr>
        <w:t>Viforj</w:t>
      </w:r>
      <w:proofErr w:type="spellEnd"/>
      <w:r>
        <w:rPr>
          <w:lang w:val="en-AU"/>
        </w:rPr>
        <w:t xml:space="preserve">, R. and Phelps, C. (2023). </w:t>
      </w:r>
      <w:r w:rsidRPr="00FA026C">
        <w:rPr>
          <w:lang w:val="en-AU"/>
        </w:rPr>
        <w:t>Australia’s growing intergenerational housing wealth divide: trends and policy implications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CEDA</w:t>
      </w:r>
      <w:r>
        <w:t xml:space="preserve"> [Blog], </w:t>
      </w:r>
      <w:hyperlink r:id="rId39" w:history="1">
        <w:r w:rsidRPr="00106706">
          <w:rPr>
            <w:rStyle w:val="Hyperlink"/>
          </w:rPr>
          <w:t>https://www.ceda.com.au/news-and-resources/opinion/built-environment-urban-planning-cities/australia-s-growing-intergenerational-housing-weal</w:t>
        </w:r>
      </w:hyperlink>
      <w:r>
        <w:t xml:space="preserve"> </w:t>
      </w:r>
    </w:p>
  </w:footnote>
  <w:footnote w:id="40">
    <w:p w14:paraId="1ACD6B81" w14:textId="77777777" w:rsidR="001F3F48" w:rsidRPr="00682FFE" w:rsidRDefault="001F3F48" w:rsidP="001F3F48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t xml:space="preserve"> Australian Institute of Health and Welfare (2019). </w:t>
      </w:r>
      <w:r w:rsidRPr="008B48DF">
        <w:rPr>
          <w:i/>
          <w:iCs/>
        </w:rPr>
        <w:t xml:space="preserve">Australia’s welfare 2019 data insights. Australia’s welfare series no. 14. </w:t>
      </w:r>
      <w:r w:rsidRPr="00682FFE">
        <w:rPr>
          <w:i/>
          <w:iCs/>
          <w:lang w:val="pt-BR"/>
        </w:rPr>
        <w:t xml:space="preserve">Cat. no. AUS 226. </w:t>
      </w:r>
      <w:r w:rsidRPr="00682FFE">
        <w:rPr>
          <w:lang w:val="pt-BR"/>
        </w:rPr>
        <w:t xml:space="preserve">Canberra: AIHW. </w:t>
      </w:r>
      <w:r>
        <w:fldChar w:fldCharType="begin"/>
      </w:r>
      <w:r w:rsidRPr="00B4652E">
        <w:rPr>
          <w:lang w:val="pt-BR"/>
        </w:rPr>
        <w:instrText>HYPERLINK "https://www.aihw.gov.au/getmedia/37c2c8b7-328c-41e1-bace-87ed7a551777/australias-welfare-chapter-2-summary-18sept2019.pdf.aspx"</w:instrText>
      </w:r>
      <w:r>
        <w:fldChar w:fldCharType="separate"/>
      </w:r>
      <w:r w:rsidRPr="00682FFE">
        <w:rPr>
          <w:rStyle w:val="Hyperlink"/>
          <w:lang w:val="pt-BR"/>
        </w:rPr>
        <w:t>https://www.aihw.gov.au/getmedia/37c2c8b7-328c-41e1-bace-87ed7a551777/australias-welfare-chapter-2-summary-18sept2019.pdf.aspx</w:t>
      </w:r>
      <w:r>
        <w:fldChar w:fldCharType="end"/>
      </w:r>
      <w:r w:rsidRPr="00682FFE">
        <w:rPr>
          <w:lang w:val="pt-BR"/>
        </w:rPr>
        <w:t xml:space="preserve"> </w:t>
      </w:r>
    </w:p>
  </w:footnote>
  <w:footnote w:id="41">
    <w:p w14:paraId="7AE31557" w14:textId="77777777" w:rsidR="006C4F23" w:rsidRPr="00827070" w:rsidRDefault="006C4F23" w:rsidP="006C4F23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827070">
        <w:t>Regional growth exposes need for a dedicated national housing plan</w:t>
      </w:r>
      <w:r>
        <w:t xml:space="preserve">’, </w:t>
      </w:r>
      <w:r>
        <w:rPr>
          <w:i/>
          <w:iCs/>
        </w:rPr>
        <w:t xml:space="preserve">Housing Industry Association </w:t>
      </w:r>
      <w:r>
        <w:t xml:space="preserve">[Media Release], 7 April 2026, </w:t>
      </w:r>
      <w:hyperlink r:id="rId40" w:history="1">
        <w:r w:rsidRPr="00106706">
          <w:rPr>
            <w:rStyle w:val="Hyperlink"/>
          </w:rPr>
          <w:t>https://hia.com.au/our-industry/newsroom/industry-policy/2026/04/regional-growth-exposes-need-for-a-dedicated-national-housing-plan?srsltid=AfmBOoqjw_A7aqpWd0ZtnBxf-aqfalIS0-y3pak0C8SOftaqzwAaHLif</w:t>
        </w:r>
      </w:hyperlink>
      <w:r>
        <w:t xml:space="preserve"> </w:t>
      </w:r>
    </w:p>
  </w:footnote>
  <w:footnote w:id="42">
    <w:p w14:paraId="74B6B4EC" w14:textId="77777777" w:rsidR="006C4F23" w:rsidRDefault="006C4F23" w:rsidP="006C4F23">
      <w:pPr>
        <w:pStyle w:val="FootnoteText"/>
      </w:pPr>
      <w:r>
        <w:rPr>
          <w:rStyle w:val="FootnoteReference"/>
        </w:rPr>
        <w:footnoteRef/>
      </w:r>
      <w:r>
        <w:t xml:space="preserve"> Yates, J. (2002). A spatial analysis of trends in housing markets and changing patterns of household</w:t>
      </w:r>
    </w:p>
    <w:p w14:paraId="2047A790" w14:textId="77777777" w:rsidR="006C4F23" w:rsidRPr="00DE3C94" w:rsidRDefault="006C4F23" w:rsidP="006C4F23">
      <w:pPr>
        <w:pStyle w:val="FootnoteText"/>
      </w:pPr>
      <w:r>
        <w:t xml:space="preserve">structure and income, </w:t>
      </w:r>
      <w:r w:rsidRPr="00350CD0">
        <w:t>AHURI Positioning Paper No. 30</w:t>
      </w:r>
      <w:r>
        <w:t xml:space="preserve">, </w:t>
      </w:r>
      <w:r w:rsidRPr="00350CD0">
        <w:rPr>
          <w:i/>
          <w:iCs/>
        </w:rPr>
        <w:t>Australian Housing and Urban Research Institute Limited</w:t>
      </w:r>
      <w:r>
        <w:t xml:space="preserve">, </w:t>
      </w:r>
      <w:hyperlink r:id="rId41" w:history="1">
        <w:r w:rsidRPr="00106706">
          <w:rPr>
            <w:rStyle w:val="Hyperlink"/>
          </w:rPr>
          <w:t>https://www.ahuri.edu.au/sites/default/files/documents/2021-09/AHURI_Positioning_Paper_No30_A_spatial_analysis_of_trends_in_housing_markets_and_changing_patterns_of_household.pdf</w:t>
        </w:r>
      </w:hyperlink>
      <w:r>
        <w:t xml:space="preserve"> </w:t>
      </w:r>
    </w:p>
  </w:footnote>
  <w:footnote w:id="43">
    <w:p w14:paraId="08196890" w14:textId="77777777" w:rsidR="006C4F23" w:rsidRPr="00870DF4" w:rsidRDefault="006C4F23" w:rsidP="006C4F2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Sarkar, S., Shrivastava, R., Gurran, N. and Chapple, K. (2021). Spatial segregation and </w:t>
      </w:r>
      <w:proofErr w:type="spellStart"/>
      <w:r>
        <w:t>neighbourhood</w:t>
      </w:r>
      <w:proofErr w:type="spellEnd"/>
      <w:r>
        <w:t xml:space="preserve"> change, AHURI Final Report No. 414, </w:t>
      </w:r>
      <w:r w:rsidRPr="00350CD0">
        <w:rPr>
          <w:i/>
          <w:iCs/>
        </w:rPr>
        <w:t>Australian Housing and Urban Research Institute Limited</w:t>
      </w:r>
      <w:r>
        <w:t xml:space="preserve">, Melbourne, </w:t>
      </w:r>
      <w:hyperlink r:id="rId42" w:history="1">
        <w:r w:rsidRPr="00106706">
          <w:rPr>
            <w:rStyle w:val="Hyperlink"/>
          </w:rPr>
          <w:t>https://www.ahuri.edu.au/research/final-reports/414</w:t>
        </w:r>
      </w:hyperlink>
      <w:r>
        <w:t xml:space="preserve">, </w:t>
      </w:r>
      <w:proofErr w:type="spellStart"/>
      <w:r>
        <w:t>doi</w:t>
      </w:r>
      <w:proofErr w:type="spellEnd"/>
      <w:r>
        <w:t>: 10.18408/ahuri7323601.</w:t>
      </w:r>
    </w:p>
  </w:footnote>
  <w:footnote w:id="44">
    <w:p w14:paraId="1DC8E0B4" w14:textId="77777777" w:rsidR="00070E8F" w:rsidRPr="00C27634" w:rsidRDefault="00070E8F" w:rsidP="00070E8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Van Onselen, L. (2025). </w:t>
      </w:r>
      <w:r w:rsidRPr="00C27634">
        <w:rPr>
          <w:lang w:val="en-AU"/>
        </w:rPr>
        <w:t>Rental crisis drives Aussies into share housing</w:t>
      </w:r>
      <w:r>
        <w:rPr>
          <w:lang w:val="en-AU"/>
        </w:rPr>
        <w:t xml:space="preserve">, </w:t>
      </w:r>
      <w:proofErr w:type="spellStart"/>
      <w:r>
        <w:rPr>
          <w:i/>
          <w:iCs/>
          <w:lang w:val="en-AU"/>
        </w:rPr>
        <w:t>Macrobusiness</w:t>
      </w:r>
      <w:proofErr w:type="spellEnd"/>
      <w:r>
        <w:rPr>
          <w:lang w:val="en-AU"/>
        </w:rPr>
        <w:t xml:space="preserve">, </w:t>
      </w:r>
      <w:hyperlink r:id="rId43" w:history="1">
        <w:r w:rsidRPr="00106706">
          <w:rPr>
            <w:rStyle w:val="Hyperlink"/>
            <w:lang w:val="en-AU"/>
          </w:rPr>
          <w:t>https://www.macrobusiness.com.au/2025/12/rental-crisis-drives-aussies-into-share-housing/</w:t>
        </w:r>
      </w:hyperlink>
      <w:r>
        <w:rPr>
          <w:lang w:val="en-AU"/>
        </w:rPr>
        <w:t xml:space="preserve"> </w:t>
      </w:r>
    </w:p>
  </w:footnote>
  <w:footnote w:id="45">
    <w:p w14:paraId="6460865E" w14:textId="77777777" w:rsidR="00070E8F" w:rsidRPr="00145300" w:rsidRDefault="00070E8F" w:rsidP="00070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5300">
        <w:t xml:space="preserve">Huda, F. Y., </w:t>
      </w:r>
      <w:proofErr w:type="spellStart"/>
      <w:r w:rsidRPr="00145300">
        <w:t>Kamruzzaman</w:t>
      </w:r>
      <w:proofErr w:type="spellEnd"/>
      <w:r w:rsidRPr="00145300">
        <w:t>, L. (M</w:t>
      </w:r>
      <w:r>
        <w:t>D</w:t>
      </w:r>
      <w:r w:rsidRPr="00145300">
        <w:t xml:space="preserve">), </w:t>
      </w:r>
      <w:proofErr w:type="spellStart"/>
      <w:r w:rsidRPr="00145300">
        <w:t>Nikfalazar</w:t>
      </w:r>
      <w:proofErr w:type="spellEnd"/>
      <w:r w:rsidRPr="00145300">
        <w:t xml:space="preserve">, S., Koh, S. Y., Arunachalam, D., &amp; Lukose, D. (2024). The Trends and Patterns of Informal Housing Practices in Australia. </w:t>
      </w:r>
      <w:r w:rsidRPr="00145300">
        <w:rPr>
          <w:i/>
          <w:iCs/>
        </w:rPr>
        <w:t>Urban Policy and Research</w:t>
      </w:r>
      <w:r w:rsidRPr="00145300">
        <w:t xml:space="preserve">, </w:t>
      </w:r>
      <w:r w:rsidRPr="00145300">
        <w:rPr>
          <w:i/>
          <w:iCs/>
        </w:rPr>
        <w:t>42</w:t>
      </w:r>
      <w:r w:rsidRPr="00145300">
        <w:t xml:space="preserve">(4), 445–462. </w:t>
      </w:r>
      <w:hyperlink r:id="rId44" w:history="1">
        <w:r w:rsidRPr="00106706">
          <w:rPr>
            <w:rStyle w:val="Hyperlink"/>
          </w:rPr>
          <w:t>https://doi.org/10.1080/08111146.2024.2399031</w:t>
        </w:r>
      </w:hyperlink>
      <w:r>
        <w:t xml:space="preserve"> </w:t>
      </w:r>
    </w:p>
  </w:footnote>
  <w:footnote w:id="46">
    <w:p w14:paraId="660FA51B" w14:textId="77777777" w:rsidR="00070E8F" w:rsidRPr="00487651" w:rsidRDefault="00070E8F" w:rsidP="00070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7651">
        <w:t xml:space="preserve">Shrestha, P., &amp; Gurran, N. (2024). Breaking the rules? Informal housing, urban deregulation and secondary dwellings in Australia. </w:t>
      </w:r>
      <w:r w:rsidRPr="00487651">
        <w:rPr>
          <w:i/>
          <w:iCs/>
        </w:rPr>
        <w:t>European Urban and Regional Studies</w:t>
      </w:r>
      <w:r w:rsidRPr="00487651">
        <w:t xml:space="preserve">, </w:t>
      </w:r>
      <w:r w:rsidRPr="00487651">
        <w:rPr>
          <w:i/>
          <w:iCs/>
        </w:rPr>
        <w:t>31</w:t>
      </w:r>
      <w:r w:rsidRPr="00487651">
        <w:t>(4), 394-410.</w:t>
      </w:r>
      <w:r>
        <w:t xml:space="preserve"> </w:t>
      </w:r>
      <w:hyperlink r:id="rId45" w:history="1">
        <w:r w:rsidRPr="00106706">
          <w:rPr>
            <w:rStyle w:val="Hyperlink"/>
          </w:rPr>
          <w:t>https://doi.org/10.1177/09697764221145436</w:t>
        </w:r>
      </w:hyperlink>
      <w:r>
        <w:t xml:space="preserve"> </w:t>
      </w:r>
    </w:p>
  </w:footnote>
  <w:footnote w:id="47">
    <w:p w14:paraId="77C58C62" w14:textId="77777777" w:rsidR="007610FA" w:rsidRPr="00073B10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073B10">
        <w:t>Infrastructure remains the barrier to increased housing supply</w:t>
      </w:r>
      <w:r>
        <w:t xml:space="preserve">’, </w:t>
      </w:r>
      <w:r w:rsidRPr="00073B10">
        <w:rPr>
          <w:i/>
          <w:iCs/>
        </w:rPr>
        <w:t>Housing Industry Association</w:t>
      </w:r>
      <w:r>
        <w:t xml:space="preserve"> [Media Release], 11 June 2026, </w:t>
      </w:r>
      <w:hyperlink r:id="rId46" w:history="1">
        <w:r w:rsidRPr="00106706">
          <w:rPr>
            <w:rStyle w:val="Hyperlink"/>
          </w:rPr>
          <w:t>https://hia.com.au/our-industry/newsroom/economic-research-and-forecasting/2026/06/infrastructure-remains-the-barrier-to-increased-housing-supply?srsltid=AfmBOoooZxWbgKn6N1xOFTTrQ7espuh6IWYZrgoVkBhV2yApCNwKbGH_</w:t>
        </w:r>
      </w:hyperlink>
      <w:r>
        <w:t xml:space="preserve"> </w:t>
      </w:r>
    </w:p>
  </w:footnote>
  <w:footnote w:id="48">
    <w:p w14:paraId="70A78A4D" w14:textId="77777777" w:rsidR="007610FA" w:rsidRPr="00F00EBF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Equity Economics and Australian Local Government Association. (2025). Addressing the housing crisis: unlocking local government’s contribution, </w:t>
      </w:r>
      <w:r>
        <w:rPr>
          <w:i/>
          <w:iCs/>
        </w:rPr>
        <w:t>Australian Local Government Association</w:t>
      </w:r>
      <w:r>
        <w:t xml:space="preserve">, </w:t>
      </w:r>
      <w:hyperlink r:id="rId47" w:history="1">
        <w:r w:rsidRPr="00106706">
          <w:rPr>
            <w:rStyle w:val="Hyperlink"/>
          </w:rPr>
          <w:t>https://alga.com.au/wp-content/uploads/2025/04/Addressing-the-Housing-Crisis-report.pdf</w:t>
        </w:r>
      </w:hyperlink>
      <w:r>
        <w:t xml:space="preserve"> </w:t>
      </w:r>
    </w:p>
  </w:footnote>
  <w:footnote w:id="49">
    <w:p w14:paraId="6671B22B" w14:textId="77777777" w:rsidR="007610FA" w:rsidRPr="002A0AC5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‘</w:t>
      </w:r>
      <w:r w:rsidRPr="002A0AC5">
        <w:rPr>
          <w:lang w:val="en-AU"/>
        </w:rPr>
        <w:t>Infrastructure and services failing to keep pace with new housing growth</w:t>
      </w:r>
      <w:r>
        <w:rPr>
          <w:lang w:val="en-AU"/>
        </w:rPr>
        <w:t xml:space="preserve">’, </w:t>
      </w:r>
      <w:r>
        <w:rPr>
          <w:i/>
          <w:iCs/>
          <w:lang w:val="en-AU"/>
        </w:rPr>
        <w:t>Infrastructure Australia</w:t>
      </w:r>
      <w:r>
        <w:rPr>
          <w:lang w:val="en-AU"/>
        </w:rPr>
        <w:t xml:space="preserve"> [Media Release], 11 December 2018, </w:t>
      </w:r>
      <w:hyperlink r:id="rId48" w:history="1">
        <w:r w:rsidRPr="00106706">
          <w:rPr>
            <w:rStyle w:val="Hyperlink"/>
            <w:lang w:val="en-AU"/>
          </w:rPr>
          <w:t>https://www.infrastructureaustralia.gov.au/listing/media-release/infrastructure-and-services-failing-keep-pace-new-housing-growth</w:t>
        </w:r>
      </w:hyperlink>
      <w:r>
        <w:rPr>
          <w:lang w:val="en-AU"/>
        </w:rPr>
        <w:t xml:space="preserve"> </w:t>
      </w:r>
    </w:p>
  </w:footnote>
  <w:footnote w:id="50">
    <w:p w14:paraId="024BD107" w14:textId="77777777" w:rsidR="007610FA" w:rsidRPr="00250E3E" w:rsidRDefault="007610FA" w:rsidP="007610F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Foster et al. (2013). </w:t>
      </w:r>
      <w:r w:rsidRPr="00250E3E">
        <w:rPr>
          <w:lang w:val="en-AU"/>
        </w:rPr>
        <w:t>Metropolitan Melbourne in 2021:</w:t>
      </w:r>
      <w:r>
        <w:rPr>
          <w:lang w:val="en-AU"/>
        </w:rPr>
        <w:t xml:space="preserve"> </w:t>
      </w:r>
      <w:r w:rsidRPr="00250E3E">
        <w:rPr>
          <w:lang w:val="en-AU"/>
        </w:rPr>
        <w:t>changes and implications for the</w:t>
      </w:r>
      <w:r>
        <w:rPr>
          <w:lang w:val="en-AU"/>
        </w:rPr>
        <w:t xml:space="preserve"> </w:t>
      </w:r>
      <w:r w:rsidRPr="00250E3E">
        <w:rPr>
          <w:lang w:val="en-AU"/>
        </w:rPr>
        <w:t>emergency management sector</w:t>
      </w:r>
      <w:r>
        <w:rPr>
          <w:lang w:val="en-AU"/>
        </w:rPr>
        <w:t xml:space="preserve">, </w:t>
      </w:r>
      <w:r w:rsidRPr="00250E3E">
        <w:rPr>
          <w:i/>
          <w:iCs/>
          <w:lang w:val="en-AU"/>
        </w:rPr>
        <w:t>Victorian Fire Services Commissioner 2021 research program strategic issues series</w:t>
      </w:r>
      <w:r>
        <w:rPr>
          <w:lang w:val="en-AU"/>
        </w:rPr>
        <w:t xml:space="preserve">, </w:t>
      </w:r>
      <w:hyperlink r:id="rId49" w:history="1">
        <w:r w:rsidRPr="00106706">
          <w:rPr>
            <w:rStyle w:val="Hyperlink"/>
            <w:lang w:val="en-AU"/>
          </w:rPr>
          <w:t>https://knowledge.aidr.org.au/media/2255/ajem-28-04-03.pdf</w:t>
        </w:r>
      </w:hyperlink>
      <w:r>
        <w:rPr>
          <w:lang w:val="en-AU"/>
        </w:rPr>
        <w:t xml:space="preserve"> </w:t>
      </w:r>
    </w:p>
  </w:footnote>
  <w:footnote w:id="51">
    <w:p w14:paraId="06C981E3" w14:textId="77777777" w:rsidR="007610FA" w:rsidRPr="00E04CA1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4CA1">
        <w:t xml:space="preserve">Davison, G., Legacy, C., Liu, E., Han, H., Phibbs, P., </w:t>
      </w:r>
      <w:proofErr w:type="spellStart"/>
      <w:r w:rsidRPr="00E04CA1">
        <w:t>Nouwelant</w:t>
      </w:r>
      <w:proofErr w:type="spellEnd"/>
      <w:r w:rsidRPr="00E04CA1">
        <w:t xml:space="preserve">, R., Darcy, M. and Piracha, A. (2013) Understanding and addressing community opposition to affordable housing development, </w:t>
      </w:r>
      <w:r w:rsidRPr="00E04CA1">
        <w:rPr>
          <w:i/>
          <w:iCs/>
        </w:rPr>
        <w:t>AHURI Final Report No.211</w:t>
      </w:r>
      <w:r w:rsidRPr="00E04CA1">
        <w:t>. Melbourne: Australian Housing and Urban Research Institute.</w:t>
      </w:r>
      <w:r>
        <w:t xml:space="preserve"> </w:t>
      </w:r>
      <w:hyperlink r:id="rId50" w:history="1">
        <w:r w:rsidRPr="00106706">
          <w:rPr>
            <w:rStyle w:val="Hyperlink"/>
          </w:rPr>
          <w:t>https://www.ahuri.edu.au/sites/default/files/migration/documents/AHURI_Final_Report_No211_Understanding-and-addressing-community-opposition-to-affordable-housing-development.pdf</w:t>
        </w:r>
      </w:hyperlink>
      <w:r>
        <w:t xml:space="preserve"> </w:t>
      </w:r>
    </w:p>
  </w:footnote>
  <w:footnote w:id="52">
    <w:p w14:paraId="7B889097" w14:textId="77777777" w:rsidR="007610FA" w:rsidRPr="006B7062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062">
        <w:t xml:space="preserve">Newton, P.W., Newman, P.W.G., Glackin, S., Thomson, G. (2022). The Greyfield Challenge to Australian Governments. In: Greening the </w:t>
      </w:r>
      <w:proofErr w:type="spellStart"/>
      <w:r w:rsidRPr="006B7062">
        <w:t>Greyfields</w:t>
      </w:r>
      <w:proofErr w:type="spellEnd"/>
      <w:r w:rsidRPr="006B7062">
        <w:t xml:space="preserve">. Palgrave Macmillan, Singapore. </w:t>
      </w:r>
      <w:hyperlink r:id="rId51" w:history="1">
        <w:r w:rsidRPr="00106706">
          <w:rPr>
            <w:rStyle w:val="Hyperlink"/>
          </w:rPr>
          <w:t>https://doi.org/10.1007/978-981-16-6238-6_2</w:t>
        </w:r>
      </w:hyperlink>
      <w:r>
        <w:t xml:space="preserve"> </w:t>
      </w:r>
    </w:p>
  </w:footnote>
  <w:footnote w:id="53">
    <w:p w14:paraId="33FB6314" w14:textId="77777777" w:rsidR="007610FA" w:rsidRPr="00C0405D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C0405D">
        <w:t>Social cohesion and social connection</w:t>
      </w:r>
      <w:r>
        <w:t xml:space="preserve">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16 October 2025, </w:t>
      </w:r>
      <w:hyperlink r:id="rId52" w:history="1">
        <w:r w:rsidRPr="00106706">
          <w:rPr>
            <w:rStyle w:val="Hyperlink"/>
            <w:lang w:val="en-AU"/>
          </w:rPr>
          <w:t>https://www.aihw.gov.au/reports/australias-welfare/social-cohesion-and-social-connection</w:t>
        </w:r>
      </w:hyperlink>
      <w:r>
        <w:rPr>
          <w:lang w:val="en-AU"/>
        </w:rPr>
        <w:t xml:space="preserve"> </w:t>
      </w:r>
    </w:p>
  </w:footnote>
  <w:footnote w:id="54">
    <w:p w14:paraId="6E921948" w14:textId="77777777" w:rsidR="007610FA" w:rsidRPr="00195725" w:rsidRDefault="007610FA" w:rsidP="007610F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195725">
        <w:t xml:space="preserve">Khan, M.A., Adegboye, O., Lyu, S. </w:t>
      </w:r>
      <w:r w:rsidRPr="00195725">
        <w:rPr>
          <w:i/>
          <w:iCs/>
        </w:rPr>
        <w:t>et al.</w:t>
      </w:r>
      <w:r w:rsidRPr="00195725">
        <w:t xml:space="preserve"> Spatial Disparities in Emergency Service Accessibility for Vulnerable Populations in Melbourne: A Voronoi Tessellation Study. </w:t>
      </w:r>
      <w:r w:rsidRPr="00195725">
        <w:rPr>
          <w:i/>
          <w:iCs/>
        </w:rPr>
        <w:t xml:space="preserve">Spat </w:t>
      </w:r>
      <w:proofErr w:type="spellStart"/>
      <w:r w:rsidRPr="00195725">
        <w:rPr>
          <w:i/>
          <w:iCs/>
        </w:rPr>
        <w:t>Demogr</w:t>
      </w:r>
      <w:proofErr w:type="spellEnd"/>
      <w:r w:rsidRPr="00195725">
        <w:t xml:space="preserve"> </w:t>
      </w:r>
      <w:r w:rsidRPr="00195725">
        <w:rPr>
          <w:b/>
          <w:bCs/>
        </w:rPr>
        <w:t>14</w:t>
      </w:r>
      <w:r w:rsidRPr="00195725">
        <w:t xml:space="preserve">, 6 (2026). </w:t>
      </w:r>
      <w:hyperlink r:id="rId53" w:history="1">
        <w:r w:rsidRPr="00106706">
          <w:rPr>
            <w:rStyle w:val="Hyperlink"/>
          </w:rPr>
          <w:t>https://doi.org/10.1007/s40980-026-00159-5</w:t>
        </w:r>
      </w:hyperlink>
      <w:r>
        <w:t xml:space="preserve"> </w:t>
      </w:r>
    </w:p>
  </w:footnote>
  <w:footnote w:id="55">
    <w:p w14:paraId="20C68071" w14:textId="77777777" w:rsidR="00997B90" w:rsidRPr="00340F1B" w:rsidRDefault="00997B90" w:rsidP="00997B9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40F1B">
        <w:t>Kuestenmacher</w:t>
      </w:r>
      <w:proofErr w:type="spellEnd"/>
      <w:r>
        <w:t xml:space="preserve">, S. (2026). </w:t>
      </w:r>
      <w:r w:rsidRPr="00340F1B">
        <w:t>The Stats Guy: Why modern Australia is less socially cohesive and how to fix this</w:t>
      </w:r>
      <w:r>
        <w:t xml:space="preserve">, </w:t>
      </w:r>
      <w:proofErr w:type="spellStart"/>
      <w:r w:rsidRPr="00FF7CBB">
        <w:rPr>
          <w:i/>
          <w:iCs/>
        </w:rPr>
        <w:t>IndailyQld</w:t>
      </w:r>
      <w:proofErr w:type="spellEnd"/>
      <w:r>
        <w:t xml:space="preserve">, </w:t>
      </w:r>
      <w:hyperlink r:id="rId54" w:history="1">
        <w:r w:rsidRPr="00106706">
          <w:rPr>
            <w:rStyle w:val="Hyperlink"/>
          </w:rPr>
          <w:t>https://www.indailyqld.com.au/news/contributor/simon-kuestenmacher</w:t>
        </w:r>
      </w:hyperlink>
      <w:r>
        <w:t xml:space="preserve"> </w:t>
      </w:r>
    </w:p>
  </w:footnote>
  <w:footnote w:id="56">
    <w:p w14:paraId="3F0D8223" w14:textId="77777777" w:rsidR="00997B90" w:rsidRPr="007B5D0F" w:rsidRDefault="00997B90" w:rsidP="00997B9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See </w:t>
      </w:r>
      <w:r w:rsidRPr="007B5D0F">
        <w:rPr>
          <w:lang w:val="en-AU"/>
        </w:rPr>
        <w:t>Western Sydney International (Nancy-Bird Walton) Airport – Airspace and flight path design</w:t>
      </w:r>
    </w:p>
    <w:p w14:paraId="044648BE" w14:textId="77777777" w:rsidR="00997B90" w:rsidRPr="005B6EE4" w:rsidRDefault="00997B90" w:rsidP="00997B90">
      <w:pPr>
        <w:pStyle w:val="FootnoteText"/>
        <w:rPr>
          <w:lang w:val="en-AU"/>
        </w:rPr>
      </w:pPr>
      <w:r w:rsidRPr="007B5D0F">
        <w:rPr>
          <w:lang w:val="en-AU"/>
        </w:rPr>
        <w:t>Environmental Impact Statement</w:t>
      </w:r>
      <w:r>
        <w:rPr>
          <w:lang w:val="en-AU"/>
        </w:rPr>
        <w:t xml:space="preserve">, 2024, Chapter 9 ‘Community and Stakeholder Engagement’,  </w:t>
      </w:r>
      <w:hyperlink r:id="rId55" w:history="1">
        <w:r w:rsidRPr="00106706">
          <w:rPr>
            <w:rStyle w:val="Hyperlink"/>
            <w:lang w:val="en-AU"/>
          </w:rPr>
          <w:t>https://www.wsiflightpaths.gov.au/pdf-documents/eis-documents/WSI_EIS_Chapter_9_-_Community_and_stakeholder_engagement.pdf</w:t>
        </w:r>
      </w:hyperlink>
      <w:r>
        <w:rPr>
          <w:lang w:val="en-AU"/>
        </w:rPr>
        <w:t xml:space="preserve"> </w:t>
      </w:r>
    </w:p>
  </w:footnote>
  <w:footnote w:id="57">
    <w:p w14:paraId="01F57452" w14:textId="77777777" w:rsidR="00C62F4C" w:rsidRPr="007D4286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Wheeler, T. (2026). </w:t>
      </w:r>
      <w:r w:rsidRPr="007D4286">
        <w:rPr>
          <w:lang w:val="en-AU"/>
        </w:rPr>
        <w:t>Housing Australia: Why we need better planning for housing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Architecture and Design</w:t>
      </w:r>
      <w:r>
        <w:rPr>
          <w:lang w:val="en-AU"/>
        </w:rPr>
        <w:t xml:space="preserve">, </w:t>
      </w:r>
      <w:hyperlink r:id="rId56" w:history="1">
        <w:r w:rsidRPr="00106706">
          <w:rPr>
            <w:rStyle w:val="Hyperlink"/>
            <w:lang w:val="en-AU"/>
          </w:rPr>
          <w:t>https://www.architectureanddesign.com.au/editorial/opinion/housing-australia-why-we-need-better-planning-for-housing</w:t>
        </w:r>
      </w:hyperlink>
      <w:r>
        <w:rPr>
          <w:lang w:val="en-AU"/>
        </w:rPr>
        <w:t xml:space="preserve"> </w:t>
      </w:r>
    </w:p>
  </w:footnote>
  <w:footnote w:id="58">
    <w:p w14:paraId="294CAC2B" w14:textId="77777777" w:rsidR="00C62F4C" w:rsidRPr="001F14BE" w:rsidRDefault="00C62F4C" w:rsidP="00C62F4C">
      <w:pPr>
        <w:pStyle w:val="FootnoteText"/>
      </w:pPr>
      <w:r>
        <w:rPr>
          <w:rStyle w:val="FootnoteReference"/>
        </w:rPr>
        <w:footnoteRef/>
      </w:r>
      <w:r>
        <w:t xml:space="preserve"> Slade, L. (2026). </w:t>
      </w:r>
      <w:r w:rsidRPr="001F14BE">
        <w:t>‘Everyone’s happy’: Why multigenerational living is on the rise</w:t>
      </w:r>
      <w:r>
        <w:t xml:space="preserve">, </w:t>
      </w:r>
      <w:r>
        <w:rPr>
          <w:i/>
          <w:iCs/>
        </w:rPr>
        <w:t>Australian Financial Review</w:t>
      </w:r>
      <w:r>
        <w:t xml:space="preserve">, </w:t>
      </w:r>
      <w:hyperlink r:id="rId57" w:history="1">
        <w:r w:rsidRPr="00106706">
          <w:rPr>
            <w:rStyle w:val="Hyperlink"/>
          </w:rPr>
          <w:t>https://www.afr.com/property/residential/everyone-s-happy-why-multigenerational-living-is-on-the-rise-20260324-p5u8rs</w:t>
        </w:r>
      </w:hyperlink>
      <w:r>
        <w:t xml:space="preserve"> </w:t>
      </w:r>
    </w:p>
  </w:footnote>
  <w:footnote w:id="59">
    <w:p w14:paraId="7EE60AAF" w14:textId="77777777" w:rsidR="00C62F4C" w:rsidRPr="00014620" w:rsidRDefault="00C62F4C" w:rsidP="00C62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AIHW. (2024). </w:t>
      </w:r>
      <w:r w:rsidRPr="00014620">
        <w:rPr>
          <w:lang w:val="en-AU"/>
        </w:rPr>
        <w:t>Australian Burden of Disease Study 2024</w:t>
      </w:r>
      <w:r>
        <w:rPr>
          <w:lang w:val="en-AU"/>
        </w:rPr>
        <w:t xml:space="preserve">, </w:t>
      </w:r>
      <w:r w:rsidRPr="00014620">
        <w:rPr>
          <w:i/>
          <w:iCs/>
          <w:lang w:val="en-AU"/>
        </w:rPr>
        <w:t>AIHW</w:t>
      </w:r>
      <w:r>
        <w:rPr>
          <w:lang w:val="en-AU"/>
        </w:rPr>
        <w:t xml:space="preserve">, </w:t>
      </w:r>
      <w:hyperlink r:id="rId58" w:history="1">
        <w:r w:rsidRPr="00106706">
          <w:rPr>
            <w:rStyle w:val="Hyperlink"/>
            <w:lang w:val="en-AU"/>
          </w:rPr>
          <w:t>https://www.aihw.gov.au/reports/burden-of-disease/australian-burden-of-disease-study-2024/contents/key-findings</w:t>
        </w:r>
      </w:hyperlink>
      <w:r>
        <w:rPr>
          <w:lang w:val="en-AU"/>
        </w:rPr>
        <w:t xml:space="preserve"> </w:t>
      </w:r>
    </w:p>
  </w:footnote>
  <w:footnote w:id="60">
    <w:p w14:paraId="5A34D495" w14:textId="77777777" w:rsidR="00C62F4C" w:rsidRPr="00DC0732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Phibbs, P. and Thompson, S. (2011) The health impacts of housing: toward a policy-relevant research agenda, </w:t>
      </w:r>
      <w:r w:rsidRPr="00863E44">
        <w:rPr>
          <w:i/>
          <w:iCs/>
        </w:rPr>
        <w:t>AHURI Final Report No.173</w:t>
      </w:r>
      <w:r>
        <w:t xml:space="preserve">. Melbourne: Australian Housing and Urban Research Institute. </w:t>
      </w:r>
      <w:hyperlink r:id="rId59" w:history="1">
        <w:r w:rsidRPr="00106706">
          <w:rPr>
            <w:rStyle w:val="Hyperlink"/>
          </w:rPr>
          <w:t>https://www.ahuri.edu.au/sites/default/files/migration/documents/AHURI_Final_Report_No173_The_health_impacts_of_housing_toward_a_policy-relevant_research_agenda.pdf</w:t>
        </w:r>
      </w:hyperlink>
      <w:r>
        <w:t xml:space="preserve"> </w:t>
      </w:r>
    </w:p>
  </w:footnote>
  <w:footnote w:id="61">
    <w:p w14:paraId="22D587E5" w14:textId="77777777" w:rsidR="00C62F4C" w:rsidRPr="0022348C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2348C">
        <w:t xml:space="preserve">E, J., Xia, B., Chen, Q., Buys, L., </w:t>
      </w:r>
      <w:proofErr w:type="spellStart"/>
      <w:r w:rsidRPr="0022348C">
        <w:t>Susilawati</w:t>
      </w:r>
      <w:proofErr w:type="spellEnd"/>
      <w:r w:rsidRPr="0022348C">
        <w:t xml:space="preserve">, C., &amp; </w:t>
      </w:r>
      <w:proofErr w:type="spellStart"/>
      <w:r w:rsidRPr="0022348C">
        <w:t>Drogemuller</w:t>
      </w:r>
      <w:proofErr w:type="spellEnd"/>
      <w:r w:rsidRPr="0022348C">
        <w:t xml:space="preserve">, R. (2024). Impact of the Built Environment on Ageing in Place: A Systematic Overview of Reviews. </w:t>
      </w:r>
      <w:r w:rsidRPr="0022348C">
        <w:rPr>
          <w:i/>
          <w:iCs/>
        </w:rPr>
        <w:t>Buildings</w:t>
      </w:r>
      <w:r w:rsidRPr="0022348C">
        <w:t xml:space="preserve">, </w:t>
      </w:r>
      <w:r w:rsidRPr="0022348C">
        <w:rPr>
          <w:i/>
          <w:iCs/>
        </w:rPr>
        <w:t>14</w:t>
      </w:r>
      <w:r w:rsidRPr="0022348C">
        <w:t xml:space="preserve">(8), 2355. </w:t>
      </w:r>
      <w:hyperlink r:id="rId60" w:history="1">
        <w:r w:rsidRPr="00106706">
          <w:rPr>
            <w:rStyle w:val="Hyperlink"/>
          </w:rPr>
          <w:t>https://doi.org/10.3390/buildings14082355</w:t>
        </w:r>
      </w:hyperlink>
      <w:r>
        <w:t xml:space="preserve"> </w:t>
      </w:r>
    </w:p>
  </w:footnote>
  <w:footnote w:id="62">
    <w:p w14:paraId="56B05CBD" w14:textId="77777777" w:rsidR="00C62F4C" w:rsidRPr="00F2094B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Greenop</w:t>
      </w:r>
      <w:proofErr w:type="spellEnd"/>
      <w:r>
        <w:t xml:space="preserve">, K. (2025). </w:t>
      </w:r>
      <w:r w:rsidRPr="00F2094B">
        <w:t>Fit for purpose: Culturally adequate housing</w:t>
      </w:r>
      <w:r>
        <w:t xml:space="preserve">, </w:t>
      </w:r>
      <w:hyperlink r:id="rId61" w:history="1">
        <w:r w:rsidRPr="00106706">
          <w:rPr>
            <w:rStyle w:val="Hyperlink"/>
          </w:rPr>
          <w:t>https://architectureau.com/articles/fit-for-purpose-culturally-adequate-housing/</w:t>
        </w:r>
      </w:hyperlink>
      <w:r>
        <w:t xml:space="preserve"> </w:t>
      </w:r>
    </w:p>
  </w:footnote>
  <w:footnote w:id="63">
    <w:p w14:paraId="46E2A71C" w14:textId="77777777" w:rsidR="00C62F4C" w:rsidRPr="00F2094B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F2094B">
        <w:t xml:space="preserve">Milligan, V., Phillips, R., Easthope, H., Liu, E., and Memmott, P. (2011) </w:t>
      </w:r>
      <w:r w:rsidRPr="00F2094B">
        <w:rPr>
          <w:i/>
          <w:iCs/>
        </w:rPr>
        <w:t>Urban social housing for Aboriginal people and Torres Strait Islanders: respecting culture and adapting services</w:t>
      </w:r>
      <w:r w:rsidRPr="00F2094B">
        <w:t xml:space="preserve">, AHURI Final Report No. 172, Australian Housing and Urban Research Institute Limited, Melbourne, </w:t>
      </w:r>
      <w:hyperlink r:id="rId62" w:history="1">
        <w:r w:rsidRPr="00106706">
          <w:rPr>
            <w:rStyle w:val="Hyperlink"/>
          </w:rPr>
          <w:t>https://www.ahuri.edu.au/research/final-reports/172</w:t>
        </w:r>
      </w:hyperlink>
      <w:r>
        <w:t xml:space="preserve"> </w:t>
      </w:r>
    </w:p>
  </w:footnote>
  <w:footnote w:id="64">
    <w:p w14:paraId="5F3D8DD5" w14:textId="77777777" w:rsidR="002752FE" w:rsidRPr="00FC531C" w:rsidRDefault="002752FE" w:rsidP="00275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531C">
        <w:t xml:space="preserve">Woolcott, G., Loosemore, M., Keast, R., &amp; Chamberlain, D. (2023). Addressing youth un/underemployment through construction social procurement: an ecological systems theory perspective. </w:t>
      </w:r>
      <w:r w:rsidRPr="00FC531C">
        <w:rPr>
          <w:i/>
          <w:iCs/>
        </w:rPr>
        <w:t>Construction Management and Economics</w:t>
      </w:r>
      <w:r w:rsidRPr="00FC531C">
        <w:t xml:space="preserve">, </w:t>
      </w:r>
      <w:r w:rsidRPr="00FC531C">
        <w:rPr>
          <w:i/>
          <w:iCs/>
        </w:rPr>
        <w:t>41</w:t>
      </w:r>
      <w:r w:rsidRPr="00FC531C">
        <w:t xml:space="preserve">(11–12), 942–960. </w:t>
      </w:r>
      <w:hyperlink r:id="rId63" w:history="1">
        <w:r w:rsidRPr="00106706">
          <w:rPr>
            <w:rStyle w:val="Hyperlink"/>
          </w:rPr>
          <w:t>https://doi.org/10.1080/01446193.2023.2219351</w:t>
        </w:r>
      </w:hyperlink>
      <w:r>
        <w:t xml:space="preserve"> </w:t>
      </w:r>
    </w:p>
  </w:footnote>
  <w:footnote w:id="65">
    <w:p w14:paraId="5777003D" w14:textId="77777777" w:rsidR="002752FE" w:rsidRPr="001B4A54" w:rsidRDefault="002752FE" w:rsidP="00275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Strawa, C. (2022). Supporting young people experiencing disadvantage to secure work, </w:t>
      </w:r>
      <w:r>
        <w:rPr>
          <w:i/>
          <w:iCs/>
          <w:lang w:val="en-AU"/>
        </w:rPr>
        <w:t>Australian Institute of Family Studies</w:t>
      </w:r>
      <w:r>
        <w:rPr>
          <w:lang w:val="en-AU"/>
        </w:rPr>
        <w:t xml:space="preserve">, Australian Government, </w:t>
      </w:r>
      <w:hyperlink r:id="rId64" w:history="1">
        <w:r w:rsidRPr="00106706">
          <w:rPr>
            <w:rStyle w:val="Hyperlink"/>
            <w:lang w:val="en-AU"/>
          </w:rPr>
          <w:t>https://aifs.gov.au/resources/short-articles/supporting-young-people-experiencing-disadvantage-secure-work</w:t>
        </w:r>
      </w:hyperlink>
      <w:r>
        <w:rPr>
          <w:lang w:val="en-AU"/>
        </w:rPr>
        <w:t xml:space="preserve"> </w:t>
      </w:r>
    </w:p>
  </w:footnote>
  <w:footnote w:id="66">
    <w:p w14:paraId="0B0ADD7B" w14:textId="77777777" w:rsidR="002752FE" w:rsidRPr="00BF297D" w:rsidRDefault="002752FE" w:rsidP="00275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AIHW (2021). </w:t>
      </w:r>
      <w:r w:rsidRPr="00BF297D">
        <w:rPr>
          <w:lang w:val="en-AU"/>
        </w:rPr>
        <w:t>Australian Burden of Disease Study 2018: Interactive data on disease burden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AIHW</w:t>
      </w:r>
      <w:r>
        <w:rPr>
          <w:lang w:val="en-AU"/>
        </w:rPr>
        <w:t xml:space="preserve">, Australian Government, </w:t>
      </w:r>
      <w:hyperlink r:id="rId65" w:history="1">
        <w:r w:rsidRPr="00106706">
          <w:rPr>
            <w:rStyle w:val="Hyperlink"/>
            <w:lang w:val="en-AU"/>
          </w:rPr>
          <w:t>https://www.aihw.gov.au/reports/burden-of-disease/abds-2018-interactive-data-disease-burden/contents/remoteness-areas</w:t>
        </w:r>
      </w:hyperlink>
      <w:r>
        <w:rPr>
          <w:lang w:val="en-AU"/>
        </w:rPr>
        <w:t xml:space="preserve"> </w:t>
      </w:r>
    </w:p>
  </w:footnote>
  <w:footnote w:id="67">
    <w:p w14:paraId="2BD0ACA9" w14:textId="77777777" w:rsidR="007E29EE" w:rsidRPr="001A6302" w:rsidRDefault="007E29EE" w:rsidP="007E29EE">
      <w:pPr>
        <w:pStyle w:val="FootnoteText"/>
      </w:pPr>
      <w:r>
        <w:rPr>
          <w:rStyle w:val="FootnoteReference"/>
        </w:rPr>
        <w:footnoteRef/>
      </w:r>
      <w:r>
        <w:t xml:space="preserve"> Johnston, S. (2025). </w:t>
      </w:r>
      <w:r w:rsidRPr="001A6302">
        <w:t>Why climate change will put your insurance premiums underwater</w:t>
      </w:r>
      <w:r>
        <w:t xml:space="preserve">, </w:t>
      </w:r>
      <w:hyperlink r:id="rId66" w:history="1">
        <w:r w:rsidRPr="00106706">
          <w:rPr>
            <w:rStyle w:val="Hyperlink"/>
          </w:rPr>
          <w:t>https://www.afr.com/policy/energy-and-climate/why-climate-change-will-put-your-insurance-premiums-underwater-20251105-p5n7yp</w:t>
        </w:r>
      </w:hyperlink>
      <w:r>
        <w:t xml:space="preserve"> </w:t>
      </w:r>
    </w:p>
  </w:footnote>
  <w:footnote w:id="68">
    <w:p w14:paraId="7F7C8D82" w14:textId="77777777" w:rsidR="007E29EE" w:rsidRPr="00FA32AF" w:rsidRDefault="007E29EE" w:rsidP="007E29EE">
      <w:pPr>
        <w:pStyle w:val="FootnoteText"/>
      </w:pPr>
      <w:r>
        <w:rPr>
          <w:rStyle w:val="FootnoteReference"/>
        </w:rPr>
        <w:footnoteRef/>
      </w:r>
      <w:r>
        <w:t xml:space="preserve"> Colvin, A. (2024). Independent Review of Commonwealth Disaster Funding. Final Report. </w:t>
      </w:r>
      <w:hyperlink r:id="rId67" w:history="1">
        <w:r w:rsidRPr="00106706">
          <w:rPr>
            <w:rStyle w:val="Hyperlink"/>
          </w:rPr>
          <w:t>https://www.nema.gov.au/sites/default/files/2024-10/Independent%20Review%20of%20Commonwealth%20Disaster%20Funding%20-%20Final%20report%20-%20Medium%20Res.PDF</w:t>
        </w:r>
      </w:hyperlink>
      <w:r>
        <w:t xml:space="preserve"> </w:t>
      </w:r>
    </w:p>
  </w:footnote>
  <w:footnote w:id="69">
    <w:p w14:paraId="684DA451" w14:textId="77777777" w:rsidR="007E29EE" w:rsidRPr="00C83381" w:rsidRDefault="007E29EE" w:rsidP="007E29EE">
      <w:pPr>
        <w:pStyle w:val="FootnoteText"/>
      </w:pPr>
      <w:r>
        <w:rPr>
          <w:rStyle w:val="FootnoteReference"/>
        </w:rPr>
        <w:footnoteRef/>
      </w:r>
      <w:r w:rsidRPr="00682FFE">
        <w:rPr>
          <w:lang w:val="es-ES"/>
        </w:rPr>
        <w:t xml:space="preserve"> Groenendaal, B., Miller, D., &amp; Talebian, N. (2025). </w:t>
      </w:r>
      <w:r w:rsidRPr="00C83381">
        <w:t xml:space="preserve">A review of structural health challenges in community title schemes above three </w:t>
      </w:r>
      <w:proofErr w:type="spellStart"/>
      <w:r w:rsidRPr="00C83381">
        <w:t>storeys</w:t>
      </w:r>
      <w:proofErr w:type="spellEnd"/>
      <w:r w:rsidRPr="00C83381">
        <w:t xml:space="preserve"> in Queensland. </w:t>
      </w:r>
      <w:r w:rsidRPr="00C83381">
        <w:rPr>
          <w:i/>
          <w:iCs/>
        </w:rPr>
        <w:t>Australian Planner</w:t>
      </w:r>
      <w:r w:rsidRPr="00C83381">
        <w:t xml:space="preserve">, </w:t>
      </w:r>
      <w:r w:rsidRPr="00C83381">
        <w:rPr>
          <w:i/>
          <w:iCs/>
        </w:rPr>
        <w:t>61</w:t>
      </w:r>
      <w:r w:rsidRPr="00C83381">
        <w:t xml:space="preserve">(1), 15–28. </w:t>
      </w:r>
      <w:hyperlink r:id="rId68" w:history="1">
        <w:r w:rsidRPr="00106706">
          <w:rPr>
            <w:rStyle w:val="Hyperlink"/>
          </w:rPr>
          <w:t>https://doi.org/10.1080/07293682.2025.2478956</w:t>
        </w:r>
      </w:hyperlink>
      <w:r>
        <w:t xml:space="preserve"> </w:t>
      </w:r>
    </w:p>
  </w:footnote>
  <w:footnote w:id="70">
    <w:p w14:paraId="05A5AD71" w14:textId="77777777" w:rsidR="007E29EE" w:rsidRPr="004D43CF" w:rsidRDefault="007E29EE" w:rsidP="007E29EE">
      <w:pPr>
        <w:pStyle w:val="FootnoteText"/>
      </w:pPr>
      <w:r>
        <w:rPr>
          <w:rStyle w:val="FootnoteReference"/>
        </w:rPr>
        <w:footnoteRef/>
      </w:r>
      <w:r>
        <w:t xml:space="preserve"> Equity Economics. (2018). </w:t>
      </w:r>
      <w:r w:rsidRPr="004D43CF">
        <w:t>The cost of building defects: Economic modeling of the cost of building defects in apartments across Australia</w:t>
      </w:r>
      <w:r>
        <w:t xml:space="preserve">, </w:t>
      </w:r>
      <w:r>
        <w:rPr>
          <w:i/>
          <w:iCs/>
        </w:rPr>
        <w:t>Equity Economics</w:t>
      </w:r>
      <w:r>
        <w:t xml:space="preserve">, </w:t>
      </w:r>
      <w:hyperlink r:id="rId69" w:history="1">
        <w:r w:rsidRPr="00106706">
          <w:rPr>
            <w:rStyle w:val="Hyperlink"/>
          </w:rPr>
          <w:t>https://www.equityeconomics.com.au/s/APARTMENTDEFECTS_EquityEconomicsModelingofCost.pdf</w:t>
        </w:r>
      </w:hyperlink>
      <w:r>
        <w:t xml:space="preserve"> </w:t>
      </w:r>
    </w:p>
  </w:footnote>
  <w:footnote w:id="71">
    <w:p w14:paraId="0A3594AA" w14:textId="77777777" w:rsidR="005901BA" w:rsidRPr="00FB7AB3" w:rsidRDefault="005901BA" w:rsidP="005901BA">
      <w:pPr>
        <w:pStyle w:val="FootnoteText"/>
      </w:pPr>
      <w:r>
        <w:rPr>
          <w:rStyle w:val="FootnoteReference"/>
        </w:rPr>
        <w:footnoteRef/>
      </w:r>
      <w:r>
        <w:t xml:space="preserve"> Plass, J. and Zinn, J. O. (2025). </w:t>
      </w:r>
      <w:r w:rsidRPr="00AA02C7">
        <w:t>The Australian housing affordability trap – How environmental, institutional, and structural factors can immobilize Australian households in the face of extreme weather events – A case study on flooding</w:t>
      </w:r>
      <w:r>
        <w:t xml:space="preserve">, </w:t>
      </w:r>
      <w:r>
        <w:rPr>
          <w:i/>
          <w:iCs/>
        </w:rPr>
        <w:t xml:space="preserve">Climate Risk Management, 48, </w:t>
      </w:r>
      <w:r w:rsidRPr="00FB7AB3">
        <w:t>100713</w:t>
      </w:r>
      <w:r>
        <w:t xml:space="preserve">, </w:t>
      </w:r>
      <w:hyperlink r:id="rId70" w:tgtFrame="_blank" w:tooltip="Persistent link using digital object identifier" w:history="1">
        <w:r w:rsidRPr="00FB7AB3">
          <w:rPr>
            <w:rStyle w:val="Hyperlink"/>
          </w:rPr>
          <w:t>https://doi.org/10.1016/j.crm.2025.100713</w:t>
        </w:r>
      </w:hyperlink>
    </w:p>
  </w:footnote>
  <w:footnote w:id="72">
    <w:p w14:paraId="2D162F3A" w14:textId="77777777" w:rsidR="00264F1B" w:rsidRPr="003D38D6" w:rsidRDefault="00264F1B" w:rsidP="00264F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67BBE">
        <w:t>Noroozinejad</w:t>
      </w:r>
      <w:proofErr w:type="spellEnd"/>
      <w:r>
        <w:t xml:space="preserve">, E. and Morrison, N. (2024). </w:t>
      </w:r>
      <w:r w:rsidRPr="00B67BBE">
        <w:t>Cheaper housing and better transport? What you need to know about Australia’s new National Urban Policy</w:t>
      </w:r>
      <w:r>
        <w:t xml:space="preserve">, </w:t>
      </w:r>
      <w:r>
        <w:rPr>
          <w:i/>
          <w:iCs/>
        </w:rPr>
        <w:t>The Conversation</w:t>
      </w:r>
      <w:r>
        <w:t xml:space="preserve">, </w:t>
      </w:r>
      <w:hyperlink r:id="rId71" w:history="1">
        <w:r w:rsidRPr="00106706">
          <w:rPr>
            <w:rStyle w:val="Hyperlink"/>
          </w:rPr>
          <w:t>https://theconversation.com/cheaper-housing-and-better-transport-what-you-need-to-know-about-australias-new-national-urban-policy-244947</w:t>
        </w:r>
      </w:hyperlink>
      <w:r>
        <w:t xml:space="preserve"> </w:t>
      </w:r>
    </w:p>
  </w:footnote>
  <w:footnote w:id="73">
    <w:p w14:paraId="063DD3A4" w14:textId="77777777" w:rsidR="00BB22FB" w:rsidRPr="00426977" w:rsidRDefault="00BB22FB" w:rsidP="00BB22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‘</w:t>
      </w:r>
      <w:r w:rsidRPr="00426977">
        <w:rPr>
          <w:lang w:val="en-AU"/>
        </w:rPr>
        <w:t>COX VOX: Architecture’s Role in Affordable Housing with Paul Focic</w:t>
      </w:r>
      <w:r>
        <w:rPr>
          <w:lang w:val="en-AU"/>
        </w:rPr>
        <w:t xml:space="preserve">’, </w:t>
      </w:r>
      <w:r>
        <w:rPr>
          <w:i/>
          <w:iCs/>
          <w:lang w:val="en-AU"/>
        </w:rPr>
        <w:t>Cox Architecture</w:t>
      </w:r>
      <w:r>
        <w:rPr>
          <w:lang w:val="en-AU"/>
        </w:rPr>
        <w:t xml:space="preserve">, 2 December 2019, </w:t>
      </w:r>
      <w:hyperlink r:id="rId72" w:history="1">
        <w:r w:rsidRPr="00106706">
          <w:rPr>
            <w:rStyle w:val="Hyperlink"/>
            <w:lang w:val="en-AU"/>
          </w:rPr>
          <w:t>https://www.coxarchitecture.com.au/perspective/cox-vox-architectures-role-in-affordable-housing-with-paul-focic/</w:t>
        </w:r>
      </w:hyperlink>
      <w:r>
        <w:rPr>
          <w:lang w:val="en-AU"/>
        </w:rPr>
        <w:t xml:space="preserve">  </w:t>
      </w:r>
    </w:p>
  </w:footnote>
  <w:footnote w:id="74">
    <w:p w14:paraId="50FE1624" w14:textId="77777777" w:rsidR="00BB22FB" w:rsidRPr="00E30B7A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Burke, K. (2025). </w:t>
      </w:r>
      <w:r w:rsidRPr="00E30B7A">
        <w:rPr>
          <w:lang w:val="en-AU"/>
        </w:rPr>
        <w:t>Australia has a $1 solution for the global housing crisis: a pattern book of architecturally designed homes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The Guardian</w:t>
      </w:r>
      <w:r>
        <w:rPr>
          <w:lang w:val="en-AU"/>
        </w:rPr>
        <w:t xml:space="preserve">, </w:t>
      </w:r>
      <w:hyperlink r:id="rId73" w:history="1">
        <w:r w:rsidRPr="00106706">
          <w:rPr>
            <w:rStyle w:val="Hyperlink"/>
            <w:lang w:val="en-AU"/>
          </w:rPr>
          <w:t>https://www.theguardian.com/artanddesign/2025/sep/27/australia-housing-pattern-book-architecturally-designed-homes-exports-solution-global-housing-crisis</w:t>
        </w:r>
      </w:hyperlink>
      <w:r>
        <w:rPr>
          <w:lang w:val="en-AU"/>
        </w:rPr>
        <w:t xml:space="preserve"> </w:t>
      </w:r>
    </w:p>
  </w:footnote>
  <w:footnote w:id="75">
    <w:p w14:paraId="15E1512D" w14:textId="77777777" w:rsidR="00BB22FB" w:rsidRPr="009238DC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AHURI. (2020). </w:t>
      </w:r>
      <w:r w:rsidRPr="009238DC">
        <w:rPr>
          <w:lang w:val="en-AU"/>
        </w:rPr>
        <w:t>Incorporating Indigenous knowledge and perspectives into the development of Australian cities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AHURI</w:t>
      </w:r>
      <w:r>
        <w:rPr>
          <w:lang w:val="en-AU"/>
        </w:rPr>
        <w:t xml:space="preserve">, </w:t>
      </w:r>
      <w:hyperlink r:id="rId74" w:history="1">
        <w:r w:rsidRPr="00106706">
          <w:rPr>
            <w:rStyle w:val="Hyperlink"/>
            <w:lang w:val="en-AU"/>
          </w:rPr>
          <w:t>https://www.ahuri.edu.au/analysis/brief/incorporating-indigenous-knowledge-and-perspectives-development-australian-cities</w:t>
        </w:r>
      </w:hyperlink>
      <w:r>
        <w:rPr>
          <w:lang w:val="en-AU"/>
        </w:rPr>
        <w:t xml:space="preserve"> </w:t>
      </w:r>
    </w:p>
  </w:footnote>
  <w:footnote w:id="76">
    <w:p w14:paraId="7FF3F54C" w14:textId="77777777" w:rsidR="00BB22FB" w:rsidRPr="003D4157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Hromek et al. (2024). </w:t>
      </w:r>
      <w:r w:rsidRPr="003D4157">
        <w:rPr>
          <w:lang w:val="en-AU"/>
        </w:rPr>
        <w:t>A Country-centred approach to civic biodiversity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Architecture, Au,</w:t>
      </w:r>
      <w:r>
        <w:rPr>
          <w:lang w:val="en-AU"/>
        </w:rPr>
        <w:t xml:space="preserve"> </w:t>
      </w:r>
      <w:hyperlink r:id="rId75" w:history="1">
        <w:r w:rsidRPr="00106706">
          <w:rPr>
            <w:rStyle w:val="Hyperlink"/>
            <w:lang w:val="en-AU"/>
          </w:rPr>
          <w:t>https://architectureau.com/articles/a-country-centred-approach-to-civic-biodiversity/#</w:t>
        </w:r>
      </w:hyperlink>
      <w:r>
        <w:rPr>
          <w:lang w:val="en-AU"/>
        </w:rPr>
        <w:t xml:space="preserve"> </w:t>
      </w:r>
    </w:p>
  </w:footnote>
  <w:footnote w:id="77">
    <w:p w14:paraId="61CC5F62" w14:textId="77777777" w:rsidR="00BB22FB" w:rsidRPr="00371EFA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A08C2">
        <w:t>National Indigenous Australians Agency (202</w:t>
      </w:r>
      <w:r>
        <w:t>6</w:t>
      </w:r>
      <w:r w:rsidRPr="002A08C2">
        <w:t xml:space="preserve">) </w:t>
      </w:r>
      <w:hyperlink r:id="rId76" w:history="1">
        <w:r>
          <w:rPr>
            <w:rStyle w:val="Hyperlink"/>
          </w:rPr>
          <w:t>Measure 2.01 Housing</w:t>
        </w:r>
      </w:hyperlink>
      <w:r w:rsidRPr="002A08C2">
        <w:t xml:space="preserve">, Aboriginal and Torres Strait Islander Health Performance Framework website, AIHW, Australian Government, accessed </w:t>
      </w:r>
      <w:r>
        <w:t>12 June 2026.</w:t>
      </w:r>
    </w:p>
  </w:footnote>
  <w:footnote w:id="78">
    <w:p w14:paraId="7F428837" w14:textId="77777777" w:rsidR="00BB22FB" w:rsidRPr="00564E36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Kerslake, C. (2025). </w:t>
      </w:r>
      <w:r w:rsidRPr="00564E36">
        <w:rPr>
          <w:lang w:val="en-AU"/>
        </w:rPr>
        <w:t>Country-Centric Design and Technology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Australian Institute of Architects</w:t>
      </w:r>
      <w:r>
        <w:rPr>
          <w:lang w:val="en-AU"/>
        </w:rPr>
        <w:t xml:space="preserve">, </w:t>
      </w:r>
      <w:hyperlink r:id="rId77" w:history="1">
        <w:r w:rsidRPr="00106706">
          <w:rPr>
            <w:rStyle w:val="Hyperlink"/>
            <w:lang w:val="en-AU"/>
          </w:rPr>
          <w:t>https://www.architecture.com.au/archives/reading-architecture/country-centric-design-and-technology</w:t>
        </w:r>
      </w:hyperlink>
      <w:r>
        <w:rPr>
          <w:lang w:val="en-AU"/>
        </w:rPr>
        <w:t xml:space="preserve"> </w:t>
      </w:r>
    </w:p>
  </w:footnote>
  <w:footnote w:id="79">
    <w:p w14:paraId="414F03AF" w14:textId="77777777" w:rsidR="00BB22FB" w:rsidRPr="00E25750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Moskos, M., Milligan, V., Benedict, R., Phillips, R., Dockery, M., Isherwood, L., Grealy, L., Habibis, D., Murray, G., and van den </w:t>
      </w:r>
      <w:proofErr w:type="spellStart"/>
      <w:r>
        <w:t>Nouwelant</w:t>
      </w:r>
      <w:proofErr w:type="spellEnd"/>
      <w:r>
        <w:t xml:space="preserve">, R. (2026). A framework for the future of Aboriginal and Torres Strait Islander housing in Australia, AHURI Final Report No. 457, Australian Housing and Urban Research Institute Limited, Melbourne, </w:t>
      </w:r>
      <w:hyperlink r:id="rId78" w:history="1">
        <w:r w:rsidRPr="00106706">
          <w:rPr>
            <w:rStyle w:val="Hyperlink"/>
          </w:rPr>
          <w:t>https://www.ahuri.edu.au/research/final-reports/457</w:t>
        </w:r>
      </w:hyperlink>
      <w:r>
        <w:t xml:space="preserve">, </w:t>
      </w:r>
      <w:proofErr w:type="spellStart"/>
      <w:r>
        <w:t>doi</w:t>
      </w:r>
      <w:proofErr w:type="spellEnd"/>
      <w:r>
        <w:t>: 10.18408/ahuri3132001</w:t>
      </w:r>
    </w:p>
  </w:footnote>
  <w:footnote w:id="80">
    <w:p w14:paraId="548831FB" w14:textId="77777777" w:rsidR="00BB22FB" w:rsidRPr="002867B7" w:rsidRDefault="00BB22FB" w:rsidP="00BB22FB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‘</w:t>
      </w:r>
      <w:r w:rsidRPr="002867B7">
        <w:t>From knowing to listening: Responsibility in reconciliation</w:t>
      </w:r>
      <w:r>
        <w:t xml:space="preserve">’, </w:t>
      </w:r>
      <w:r w:rsidRPr="002867B7">
        <w:rPr>
          <w:i/>
          <w:iCs/>
        </w:rPr>
        <w:t>University of Technology Sydney</w:t>
      </w:r>
      <w:r>
        <w:t xml:space="preserve">, 4 June 2026, </w:t>
      </w:r>
      <w:hyperlink r:id="rId79" w:history="1">
        <w:r w:rsidRPr="00106706">
          <w:rPr>
            <w:rStyle w:val="Hyperlink"/>
          </w:rPr>
          <w:t>https://www.uts.edu.au/news/2026/06/recording-truth-listening-readying-australia-for-truth</w:t>
        </w:r>
      </w:hyperlink>
      <w:r>
        <w:t xml:space="preserve"> </w:t>
      </w:r>
    </w:p>
  </w:footnote>
  <w:footnote w:id="81">
    <w:p w14:paraId="07F25F4D" w14:textId="77777777" w:rsidR="00BB22FB" w:rsidRPr="00E233F3" w:rsidRDefault="00BB22FB" w:rsidP="00BB22FB">
      <w:pPr>
        <w:pStyle w:val="FootnoteText"/>
      </w:pPr>
      <w:r>
        <w:rPr>
          <w:rStyle w:val="FootnoteReference"/>
        </w:rPr>
        <w:footnoteRef/>
      </w:r>
      <w:r w:rsidRPr="00682FFE">
        <w:rPr>
          <w:lang w:val="fr-CA"/>
        </w:rPr>
        <w:t xml:space="preserve"> Payne, A. M., &amp; Norman, H. (2025). </w:t>
      </w:r>
      <w:r w:rsidRPr="00E233F3">
        <w:t xml:space="preserve">‘From The heart’: strengthening community-based truth-telling practice in Australia. </w:t>
      </w:r>
      <w:r w:rsidRPr="00E233F3">
        <w:rPr>
          <w:i/>
          <w:iCs/>
        </w:rPr>
        <w:t>Australian Journal of Human Rights</w:t>
      </w:r>
      <w:r w:rsidRPr="00E233F3">
        <w:t xml:space="preserve">, </w:t>
      </w:r>
      <w:r w:rsidRPr="00E233F3">
        <w:rPr>
          <w:i/>
          <w:iCs/>
        </w:rPr>
        <w:t>31</w:t>
      </w:r>
      <w:r w:rsidRPr="00E233F3">
        <w:t xml:space="preserve">(1), 42–62. </w:t>
      </w:r>
      <w:hyperlink r:id="rId80" w:history="1">
        <w:r w:rsidRPr="00106706">
          <w:rPr>
            <w:rStyle w:val="Hyperlink"/>
          </w:rPr>
          <w:t>https://doi.org/10.1080/1323238X.2025.2533541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ook w:val="06A0" w:firstRow="1" w:lastRow="0" w:firstColumn="1" w:lastColumn="0" w:noHBand="1" w:noVBand="1"/>
    </w:tblPr>
    <w:tblGrid>
      <w:gridCol w:w="2835"/>
      <w:gridCol w:w="284"/>
      <w:gridCol w:w="6662"/>
    </w:tblGrid>
    <w:tr w:rsidR="007A162C" w:rsidRPr="007A162C" w14:paraId="32F002C4" w14:textId="77777777" w:rsidTr="007A162C">
      <w:trPr>
        <w:trHeight w:val="300"/>
      </w:trPr>
      <w:tc>
        <w:tcPr>
          <w:tcW w:w="2835" w:type="dxa"/>
        </w:tcPr>
        <w:p w14:paraId="15EF59B3" w14:textId="77777777" w:rsidR="007A162C" w:rsidRPr="007A162C" w:rsidRDefault="007A162C" w:rsidP="007A162C">
          <w:pPr>
            <w:pStyle w:val="Header"/>
            <w:ind w:left="-115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7A162C">
            <w:rPr>
              <w:rFonts w:ascii="Times New Roman" w:hAnsi="Times New Roman" w:cs="Times New Roman"/>
              <w:i/>
              <w:iCs/>
              <w:sz w:val="20"/>
              <w:szCs w:val="20"/>
            </w:rPr>
            <w:t>12/06/2026</w:t>
          </w:r>
        </w:p>
      </w:tc>
      <w:tc>
        <w:tcPr>
          <w:tcW w:w="284" w:type="dxa"/>
        </w:tcPr>
        <w:p w14:paraId="1A50D43D" w14:textId="77777777" w:rsidR="007A162C" w:rsidRPr="007A162C" w:rsidRDefault="007A162C" w:rsidP="007A162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662" w:type="dxa"/>
        </w:tcPr>
        <w:p w14:paraId="29EAE215" w14:textId="77777777" w:rsidR="007A162C" w:rsidRPr="007A162C" w:rsidRDefault="007A162C" w:rsidP="007A162C">
          <w:pPr>
            <w:pStyle w:val="Header"/>
            <w:tabs>
              <w:tab w:val="left" w:pos="612"/>
            </w:tabs>
            <w:ind w:right="-15"/>
            <w:jc w:val="right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7A162C">
            <w:rPr>
              <w:rFonts w:ascii="Times New Roman" w:hAnsi="Times New Roman" w:cs="Times New Roman"/>
              <w:sz w:val="20"/>
              <w:szCs w:val="20"/>
            </w:rPr>
            <w:tab/>
          </w:r>
          <w:r w:rsidRPr="007A162C">
            <w:rPr>
              <w:rFonts w:ascii="Times New Roman" w:hAnsi="Times New Roman" w:cs="Times New Roman"/>
              <w:i/>
              <w:iCs/>
              <w:sz w:val="20"/>
              <w:szCs w:val="20"/>
            </w:rPr>
            <w:t>PC Submission: Housing Supply and Affordability (June 2026)</w:t>
          </w:r>
        </w:p>
      </w:tc>
    </w:tr>
  </w:tbl>
  <w:p w14:paraId="6EE39C3F" w14:textId="77777777" w:rsidR="007A162C" w:rsidRPr="007A162C" w:rsidRDefault="007A162C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E89"/>
    <w:multiLevelType w:val="multilevel"/>
    <w:tmpl w:val="97E261A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 w15:restartNumberingAfterBreak="0">
    <w:nsid w:val="089D1D65"/>
    <w:multiLevelType w:val="multilevel"/>
    <w:tmpl w:val="CB9EF86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 w15:restartNumberingAfterBreak="0">
    <w:nsid w:val="0F3B074F"/>
    <w:multiLevelType w:val="multilevel"/>
    <w:tmpl w:val="1D36E37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3" w15:restartNumberingAfterBreak="0">
    <w:nsid w:val="14C61C84"/>
    <w:multiLevelType w:val="multilevel"/>
    <w:tmpl w:val="5A5032E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4" w15:restartNumberingAfterBreak="0">
    <w:nsid w:val="2DEA2354"/>
    <w:multiLevelType w:val="multilevel"/>
    <w:tmpl w:val="E8A0DF8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5" w15:restartNumberingAfterBreak="0">
    <w:nsid w:val="3201108E"/>
    <w:multiLevelType w:val="multilevel"/>
    <w:tmpl w:val="7E3429D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6" w15:restartNumberingAfterBreak="0">
    <w:nsid w:val="32663C75"/>
    <w:multiLevelType w:val="multilevel"/>
    <w:tmpl w:val="0E0AF3C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7" w15:restartNumberingAfterBreak="0">
    <w:nsid w:val="42C4280E"/>
    <w:multiLevelType w:val="multilevel"/>
    <w:tmpl w:val="9064F72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8" w15:restartNumberingAfterBreak="0">
    <w:nsid w:val="476B08A2"/>
    <w:multiLevelType w:val="multilevel"/>
    <w:tmpl w:val="B9A44C3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9" w15:restartNumberingAfterBreak="0">
    <w:nsid w:val="509F2B75"/>
    <w:multiLevelType w:val="multilevel"/>
    <w:tmpl w:val="E8D023F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0" w15:restartNumberingAfterBreak="0">
    <w:nsid w:val="598F1551"/>
    <w:multiLevelType w:val="multilevel"/>
    <w:tmpl w:val="1D245EB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1" w15:restartNumberingAfterBreak="0">
    <w:nsid w:val="5D74632A"/>
    <w:multiLevelType w:val="multilevel"/>
    <w:tmpl w:val="4114291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2" w15:restartNumberingAfterBreak="0">
    <w:nsid w:val="64C63E03"/>
    <w:multiLevelType w:val="multilevel"/>
    <w:tmpl w:val="572E08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3" w15:restartNumberingAfterBreak="0">
    <w:nsid w:val="6B8A5A63"/>
    <w:multiLevelType w:val="multilevel"/>
    <w:tmpl w:val="8E946C1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4" w15:restartNumberingAfterBreak="0">
    <w:nsid w:val="6C9F99E5"/>
    <w:multiLevelType w:val="hybridMultilevel"/>
    <w:tmpl w:val="D1C29F4E"/>
    <w:lvl w:ilvl="0" w:tplc="ECF045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2E80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1854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383E3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30EA6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1664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326E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4E3D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D81E8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5434EB3"/>
    <w:multiLevelType w:val="multilevel"/>
    <w:tmpl w:val="E766EAA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6" w15:restartNumberingAfterBreak="0">
    <w:nsid w:val="7EF85646"/>
    <w:multiLevelType w:val="multilevel"/>
    <w:tmpl w:val="E1AE94F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 w16cid:durableId="1764648055">
    <w:abstractNumId w:val="10"/>
  </w:num>
  <w:num w:numId="2" w16cid:durableId="1828083938">
    <w:abstractNumId w:val="7"/>
  </w:num>
  <w:num w:numId="3" w16cid:durableId="396904465">
    <w:abstractNumId w:val="5"/>
  </w:num>
  <w:num w:numId="4" w16cid:durableId="1133018165">
    <w:abstractNumId w:val="11"/>
  </w:num>
  <w:num w:numId="5" w16cid:durableId="878052462">
    <w:abstractNumId w:val="1"/>
  </w:num>
  <w:num w:numId="6" w16cid:durableId="1428499564">
    <w:abstractNumId w:val="2"/>
  </w:num>
  <w:num w:numId="7" w16cid:durableId="1135099156">
    <w:abstractNumId w:val="15"/>
  </w:num>
  <w:num w:numId="8" w16cid:durableId="1977025390">
    <w:abstractNumId w:val="12"/>
  </w:num>
  <w:num w:numId="9" w16cid:durableId="1995526862">
    <w:abstractNumId w:val="16"/>
  </w:num>
  <w:num w:numId="10" w16cid:durableId="920287589">
    <w:abstractNumId w:val="8"/>
  </w:num>
  <w:num w:numId="11" w16cid:durableId="903489540">
    <w:abstractNumId w:val="13"/>
  </w:num>
  <w:num w:numId="12" w16cid:durableId="1746100707">
    <w:abstractNumId w:val="6"/>
  </w:num>
  <w:num w:numId="13" w16cid:durableId="1204095549">
    <w:abstractNumId w:val="3"/>
  </w:num>
  <w:num w:numId="14" w16cid:durableId="333340430">
    <w:abstractNumId w:val="0"/>
  </w:num>
  <w:num w:numId="15" w16cid:durableId="199972394">
    <w:abstractNumId w:val="9"/>
  </w:num>
  <w:num w:numId="16" w16cid:durableId="616529367">
    <w:abstractNumId w:val="4"/>
  </w:num>
  <w:num w:numId="17" w16cid:durableId="12688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5C"/>
    <w:rsid w:val="00022AE3"/>
    <w:rsid w:val="000315A8"/>
    <w:rsid w:val="00070E8F"/>
    <w:rsid w:val="000870A6"/>
    <w:rsid w:val="0008770A"/>
    <w:rsid w:val="000E0F6D"/>
    <w:rsid w:val="000F6478"/>
    <w:rsid w:val="00116209"/>
    <w:rsid w:val="00174352"/>
    <w:rsid w:val="001F3F48"/>
    <w:rsid w:val="00210CD3"/>
    <w:rsid w:val="0021772D"/>
    <w:rsid w:val="00217C72"/>
    <w:rsid w:val="00264F1B"/>
    <w:rsid w:val="002752FE"/>
    <w:rsid w:val="00310532"/>
    <w:rsid w:val="003F30EF"/>
    <w:rsid w:val="0041397A"/>
    <w:rsid w:val="004226A9"/>
    <w:rsid w:val="00481BB7"/>
    <w:rsid w:val="00507F5C"/>
    <w:rsid w:val="00541306"/>
    <w:rsid w:val="005901BA"/>
    <w:rsid w:val="005A2AC3"/>
    <w:rsid w:val="00606F95"/>
    <w:rsid w:val="00682FFE"/>
    <w:rsid w:val="006B27E0"/>
    <w:rsid w:val="006C4F23"/>
    <w:rsid w:val="006D0BF3"/>
    <w:rsid w:val="007610FA"/>
    <w:rsid w:val="00772F16"/>
    <w:rsid w:val="007A162C"/>
    <w:rsid w:val="007B2560"/>
    <w:rsid w:val="007E29EE"/>
    <w:rsid w:val="007F10B1"/>
    <w:rsid w:val="007F3F4A"/>
    <w:rsid w:val="00815029"/>
    <w:rsid w:val="0083564D"/>
    <w:rsid w:val="00866A7E"/>
    <w:rsid w:val="008D3F40"/>
    <w:rsid w:val="008F2F49"/>
    <w:rsid w:val="00933C88"/>
    <w:rsid w:val="00997B90"/>
    <w:rsid w:val="009A7E97"/>
    <w:rsid w:val="009C40C0"/>
    <w:rsid w:val="00A52FF5"/>
    <w:rsid w:val="00A569B3"/>
    <w:rsid w:val="00AD50D0"/>
    <w:rsid w:val="00AE0D15"/>
    <w:rsid w:val="00B4652E"/>
    <w:rsid w:val="00BB22FB"/>
    <w:rsid w:val="00BE78A7"/>
    <w:rsid w:val="00C2618B"/>
    <w:rsid w:val="00C62F4C"/>
    <w:rsid w:val="00CB7726"/>
    <w:rsid w:val="00D05BA9"/>
    <w:rsid w:val="00D501F5"/>
    <w:rsid w:val="00D66A8C"/>
    <w:rsid w:val="00EB09FB"/>
    <w:rsid w:val="00EE4209"/>
    <w:rsid w:val="00F0346B"/>
    <w:rsid w:val="00F5145F"/>
    <w:rsid w:val="00F61CC1"/>
    <w:rsid w:val="00F84C96"/>
    <w:rsid w:val="00FB4F40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1FCB3"/>
  <w15:chartTrackingRefBased/>
  <w15:docId w15:val="{912754B4-3716-4332-BC8A-6115270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F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A7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6A7E"/>
    <w:pPr>
      <w:spacing w:after="0" w:line="240" w:lineRule="auto"/>
    </w:pPr>
    <w:rPr>
      <w:kern w:val="0"/>
      <w:sz w:val="20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A7E"/>
    <w:rPr>
      <w:kern w:val="0"/>
      <w:sz w:val="20"/>
      <w:szCs w:val="20"/>
      <w:lang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66A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2C"/>
  </w:style>
  <w:style w:type="paragraph" w:styleId="Footer">
    <w:name w:val="footer"/>
    <w:basedOn w:val="Normal"/>
    <w:link w:val="FooterChar"/>
    <w:uiPriority w:val="99"/>
    <w:unhideWhenUsed/>
    <w:rsid w:val="007A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theconversation.com/amid-an-olympic-boom-its-risky-timing-to-lift-a-ban-on-developers-political-donations-274740" TargetMode="External"/><Relationship Id="rId21" Type="http://schemas.openxmlformats.org/officeDocument/2006/relationships/hyperlink" Target="https://www.transport.nsw.gov.au/industry/nsw-movement-and-place-framework" TargetMode="External"/><Relationship Id="rId42" Type="http://schemas.openxmlformats.org/officeDocument/2006/relationships/hyperlink" Target="https://www.ahuri.edu.au/research/final-reports/414" TargetMode="External"/><Relationship Id="rId47" Type="http://schemas.openxmlformats.org/officeDocument/2006/relationships/hyperlink" Target="https://alga.com.au/wp-content/uploads/2025/04/Addressing-the-Housing-Crisis-report.pdf" TargetMode="External"/><Relationship Id="rId63" Type="http://schemas.openxmlformats.org/officeDocument/2006/relationships/hyperlink" Target="https://doi.org/10.1080/01446193.2023.2219351" TargetMode="External"/><Relationship Id="rId68" Type="http://schemas.openxmlformats.org/officeDocument/2006/relationships/hyperlink" Target="https://doi.org/10.1080/07293682.2025.2478956" TargetMode="External"/><Relationship Id="rId16" Type="http://schemas.openxmlformats.org/officeDocument/2006/relationships/hyperlink" Target="https://doi.org/10.1080/07293682.2015.1034146" TargetMode="External"/><Relationship Id="rId11" Type="http://schemas.openxmlformats.org/officeDocument/2006/relationships/hyperlink" Target="https://youtu.be/At2kECwK7Tw?si=82uLHAZdkJ4NqUYY" TargetMode="External"/><Relationship Id="rId24" Type="http://schemas.openxmlformats.org/officeDocument/2006/relationships/hyperlink" Target="https://blogs.cityfutures.unsw.edu.au/news/building-national-digital-platform-planning-and-housing-decision-support" TargetMode="External"/><Relationship Id="rId32" Type="http://schemas.openxmlformats.org/officeDocument/2006/relationships/hyperlink" Target="https://www.aihw.gov.au/reports/australias-welfare/housing-affordability" TargetMode="External"/><Relationship Id="rId37" Type="http://schemas.openxmlformats.org/officeDocument/2006/relationships/hyperlink" Target="https://www.aihw.gov.au/reports/australias-health/social-determinants-of-health" TargetMode="External"/><Relationship Id="rId40" Type="http://schemas.openxmlformats.org/officeDocument/2006/relationships/hyperlink" Target="https://hia.com.au/our-industry/newsroom/industry-policy/2026/04/regional-growth-exposes-need-for-a-dedicated-national-housing-plan?srsltid=AfmBOoqjw_A7aqpWd0ZtnBxf-aqfalIS0-y3pak0C8SOftaqzwAaHLif" TargetMode="External"/><Relationship Id="rId45" Type="http://schemas.openxmlformats.org/officeDocument/2006/relationships/hyperlink" Target="https://doi.org/10.1177/09697764221145436" TargetMode="External"/><Relationship Id="rId53" Type="http://schemas.openxmlformats.org/officeDocument/2006/relationships/hyperlink" Target="https://doi.org/10.1007/s40980-026-00159-5" TargetMode="External"/><Relationship Id="rId58" Type="http://schemas.openxmlformats.org/officeDocument/2006/relationships/hyperlink" Target="https://www.aihw.gov.au/reports/burden-of-disease/australian-burden-of-disease-study-2024/contents/key-findings" TargetMode="External"/><Relationship Id="rId66" Type="http://schemas.openxmlformats.org/officeDocument/2006/relationships/hyperlink" Target="https://www.afr.com/policy/energy-and-climate/why-climate-change-will-put-your-insurance-premiums-underwater-20251105-p5n7yp" TargetMode="External"/><Relationship Id="rId74" Type="http://schemas.openxmlformats.org/officeDocument/2006/relationships/hyperlink" Target="https://www.ahuri.edu.au/analysis/brief/incorporating-indigenous-knowledge-and-perspectives-development-australian-cities" TargetMode="External"/><Relationship Id="rId79" Type="http://schemas.openxmlformats.org/officeDocument/2006/relationships/hyperlink" Target="https://www.uts.edu.au/news/2026/06/recording-truth-listening-readying-australia-for-truth" TargetMode="External"/><Relationship Id="rId5" Type="http://schemas.openxmlformats.org/officeDocument/2006/relationships/hyperlink" Target="https://sgsep.com.au/publications/insights/who-owns-the-development-rights-in-our-cities" TargetMode="External"/><Relationship Id="rId61" Type="http://schemas.openxmlformats.org/officeDocument/2006/relationships/hyperlink" Target="https://architectureau.com/articles/fit-for-purpose-culturally-adequate-housing/" TargetMode="External"/><Relationship Id="rId19" Type="http://schemas.openxmlformats.org/officeDocument/2006/relationships/hyperlink" Target="https://www.udiasa.com.au/policy-advocacy/latest-news/udia-state-of-the-land-reveals-why-australias-housing-supply-crisis-will-get-worse-in-2026" TargetMode="External"/><Relationship Id="rId14" Type="http://schemas.openxmlformats.org/officeDocument/2006/relationships/hyperlink" Target="https://www.abc.net.au/news/2024-01-28/where-is-the-social-and-affordable-housing/103380050" TargetMode="External"/><Relationship Id="rId22" Type="http://schemas.openxmlformats.org/officeDocument/2006/relationships/hyperlink" Target="https://new.gbca.org.au/green-star/rating-system/communities/" TargetMode="External"/><Relationship Id="rId27" Type="http://schemas.openxmlformats.org/officeDocument/2006/relationships/hyperlink" Target="https://www.abc.net.au/news/2026-05-18/developers-donate-thousands-after-qld-ban-life/106683676" TargetMode="External"/><Relationship Id="rId30" Type="http://schemas.openxmlformats.org/officeDocument/2006/relationships/hyperlink" Target="https://doi.org/10.32866/001c.161504" TargetMode="External"/><Relationship Id="rId35" Type="http://schemas.openxmlformats.org/officeDocument/2006/relationships/hyperlink" Target="https://www.aihw.gov.au/reports/australias-welfare/income-and-income-inequality" TargetMode="External"/><Relationship Id="rId43" Type="http://schemas.openxmlformats.org/officeDocument/2006/relationships/hyperlink" Target="https://www.macrobusiness.com.au/2025/12/rental-crisis-drives-aussies-into-share-housing/" TargetMode="External"/><Relationship Id="rId48" Type="http://schemas.openxmlformats.org/officeDocument/2006/relationships/hyperlink" Target="https://www.infrastructureaustralia.gov.au/listing/media-release/infrastructure-and-services-failing-keep-pace-new-housing-growth" TargetMode="External"/><Relationship Id="rId56" Type="http://schemas.openxmlformats.org/officeDocument/2006/relationships/hyperlink" Target="https://www.architectureanddesign.com.au/editorial/opinion/housing-australia-why-we-need-better-planning-for-housing" TargetMode="External"/><Relationship Id="rId64" Type="http://schemas.openxmlformats.org/officeDocument/2006/relationships/hyperlink" Target="https://aifs.gov.au/resources/short-articles/supporting-young-people-experiencing-disadvantage-secure-work" TargetMode="External"/><Relationship Id="rId69" Type="http://schemas.openxmlformats.org/officeDocument/2006/relationships/hyperlink" Target="https://www.equityeconomics.com.au/s/APARTMENTDEFECTS_EquityEconomicsModelingofCost.pdf" TargetMode="External"/><Relationship Id="rId77" Type="http://schemas.openxmlformats.org/officeDocument/2006/relationships/hyperlink" Target="https://www.architecture.com.au/archives/reading-architecture/country-centric-design-and-technology" TargetMode="External"/><Relationship Id="rId8" Type="http://schemas.openxmlformats.org/officeDocument/2006/relationships/hyperlink" Target="https://www.abc.net.au/news/2026-05-20/luxury-apartments-greenlit-under-affordable-housing-scheme/106680592" TargetMode="External"/><Relationship Id="rId51" Type="http://schemas.openxmlformats.org/officeDocument/2006/relationships/hyperlink" Target="https://doi.org/10.1007/978-981-16-6238-6_2" TargetMode="External"/><Relationship Id="rId72" Type="http://schemas.openxmlformats.org/officeDocument/2006/relationships/hyperlink" Target="https://www.coxarchitecture.com.au/perspective/cox-vox-architectures-role-in-affordable-housing-with-paul-focic/" TargetMode="External"/><Relationship Id="rId80" Type="http://schemas.openxmlformats.org/officeDocument/2006/relationships/hyperlink" Target="https://doi.org/10.1080/1323238X.2025.2533541" TargetMode="External"/><Relationship Id="rId3" Type="http://schemas.openxmlformats.org/officeDocument/2006/relationships/hyperlink" Target="https://grattan.edu.au/news/planning-better-cities/" TargetMode="External"/><Relationship Id="rId12" Type="http://schemas.openxmlformats.org/officeDocument/2006/relationships/hyperlink" Target="https://doi-org.virtual.anu.edu.au/10.1080/08111146.2020.1795636" TargetMode="External"/><Relationship Id="rId17" Type="http://schemas.openxmlformats.org/officeDocument/2006/relationships/hyperlink" Target="https://www.infrastructureaustralia.gov.au/listing/media-release/billions-injected-national-infrastructure-pipeline-governments-target-energy-and-housing-growth" TargetMode="External"/><Relationship Id="rId25" Type="http://schemas.openxmlformats.org/officeDocument/2006/relationships/hyperlink" Target="https://doi.org/10.1145/1958824.1958826" TargetMode="External"/><Relationship Id="rId33" Type="http://schemas.openxmlformats.org/officeDocument/2006/relationships/hyperlink" Target="https://www.aihw.gov.au/reports/australias-welfare/homelessness-and-homelessness-services" TargetMode="External"/><Relationship Id="rId38" Type="http://schemas.openxmlformats.org/officeDocument/2006/relationships/hyperlink" Target="https://www.qfcc.qld.gov.au/sites/default/files/submission-2026-select-committee-on-intergenerational-housing-inequity-in-australia-principal-commissioner.pdf" TargetMode="External"/><Relationship Id="rId46" Type="http://schemas.openxmlformats.org/officeDocument/2006/relationships/hyperlink" Target="https://hia.com.au/our-industry/newsroom/economic-research-and-forecasting/2026/06/infrastructure-remains-the-barrier-to-increased-housing-supply?srsltid=AfmBOoooZxWbgKn6N1xOFTTrQ7espuh6IWYZrgoVkBhV2yApCNwKbGH_" TargetMode="External"/><Relationship Id="rId59" Type="http://schemas.openxmlformats.org/officeDocument/2006/relationships/hyperlink" Target="https://www.ahuri.edu.au/sites/default/files/migration/documents/AHURI_Final_Report_No173_The_health_impacts_of_housing_toward_a_policy-relevant_research_agenda.pdf" TargetMode="External"/><Relationship Id="rId67" Type="http://schemas.openxmlformats.org/officeDocument/2006/relationships/hyperlink" Target="https://www.nema.gov.au/sites/default/files/2024-10/Independent%20Review%20of%20Commonwealth%20Disaster%20Funding%20-%20Final%20report%20-%20Medium%20Res.PDF" TargetMode="External"/><Relationship Id="rId20" Type="http://schemas.openxmlformats.org/officeDocument/2006/relationships/hyperlink" Target="https://ardc.edu.au/article/housing-analytics-lab-opens-to-tackle-housing-crisis/" TargetMode="External"/><Relationship Id="rId41" Type="http://schemas.openxmlformats.org/officeDocument/2006/relationships/hyperlink" Target="https://www.ahuri.edu.au/sites/default/files/documents/2021-09/AHURI_Positioning_Paper_No30_A_spatial_analysis_of_trends_in_housing_markets_and_changing_patterns_of_household.pdf" TargetMode="External"/><Relationship Id="rId54" Type="http://schemas.openxmlformats.org/officeDocument/2006/relationships/hyperlink" Target="https://www.indailyqld.com.au/news/contributor/simon-kuestenmacher" TargetMode="External"/><Relationship Id="rId62" Type="http://schemas.openxmlformats.org/officeDocument/2006/relationships/hyperlink" Target="https://www.ahuri.edu.au/research/final-reports/172" TargetMode="External"/><Relationship Id="rId70" Type="http://schemas.openxmlformats.org/officeDocument/2006/relationships/hyperlink" Target="https://doi.org/10.1016/j.crm.2025.100713" TargetMode="External"/><Relationship Id="rId75" Type="http://schemas.openxmlformats.org/officeDocument/2006/relationships/hyperlink" Target="https://architectureau.com/articles/a-country-centred-approach-to-civic-biodiversity/" TargetMode="External"/><Relationship Id="rId1" Type="http://schemas.openxmlformats.org/officeDocument/2006/relationships/hyperlink" Target="https://hia.com.au/our-industry/housing/in-focus/2025/08/competitive-economy-failures" TargetMode="External"/><Relationship Id="rId6" Type="http://schemas.openxmlformats.org/officeDocument/2006/relationships/hyperlink" Target="https://www.afr.com/companies/infrastructure/housing-that-works-economic-case-for-investing-in-women-and-families-20260501-p5zsxq" TargetMode="External"/><Relationship Id="rId15" Type="http://schemas.openxmlformats.org/officeDocument/2006/relationships/hyperlink" Target="https://www.ahuri.edu.au/research/final-reports/426" TargetMode="External"/><Relationship Id="rId23" Type="http://schemas.openxmlformats.org/officeDocument/2006/relationships/hyperlink" Target="https://www.wsp.com/en-au/insights/reimagining-movement-and-place" TargetMode="External"/><Relationship Id="rId28" Type="http://schemas.openxmlformats.org/officeDocument/2006/relationships/hyperlink" Target="https://www.crikey.com.au/2021/03/24/property-zoning-corruption/" TargetMode="External"/><Relationship Id="rId36" Type="http://schemas.openxmlformats.org/officeDocument/2006/relationships/hyperlink" Target="https://doi.org/10.1007/s11524-024-00925-0" TargetMode="External"/><Relationship Id="rId49" Type="http://schemas.openxmlformats.org/officeDocument/2006/relationships/hyperlink" Target="https://knowledge.aidr.org.au/media/2255/ajem-28-04-03.pdf" TargetMode="External"/><Relationship Id="rId57" Type="http://schemas.openxmlformats.org/officeDocument/2006/relationships/hyperlink" Target="https://www.afr.com/property/residential/everyone-s-happy-why-multigenerational-living-is-on-the-rise-20260324-p5u8rs" TargetMode="External"/><Relationship Id="rId10" Type="http://schemas.openxmlformats.org/officeDocument/2006/relationships/hyperlink" Target="https://doi.org/10.1080/08111146.2026.2656667" TargetMode="External"/><Relationship Id="rId31" Type="http://schemas.openxmlformats.org/officeDocument/2006/relationships/hyperlink" Target="https://doi.org/10.1177/0042098020913188" TargetMode="External"/><Relationship Id="rId44" Type="http://schemas.openxmlformats.org/officeDocument/2006/relationships/hyperlink" Target="https://doi.org/10.1080/08111146.2024.2399031" TargetMode="External"/><Relationship Id="rId52" Type="http://schemas.openxmlformats.org/officeDocument/2006/relationships/hyperlink" Target="https://www.aihw.gov.au/reports/australias-welfare/social-cohesion-and-social-connection" TargetMode="External"/><Relationship Id="rId60" Type="http://schemas.openxmlformats.org/officeDocument/2006/relationships/hyperlink" Target="https://doi.org/10.3390/buildings14082355" TargetMode="External"/><Relationship Id="rId65" Type="http://schemas.openxmlformats.org/officeDocument/2006/relationships/hyperlink" Target="https://www.aihw.gov.au/reports/burden-of-disease/abds-2018-interactive-data-disease-burden/contents/remoteness-areas" TargetMode="External"/><Relationship Id="rId73" Type="http://schemas.openxmlformats.org/officeDocument/2006/relationships/hyperlink" Target="https://www.theguardian.com/artanddesign/2025/sep/27/australia-housing-pattern-book-architecturally-designed-homes-exports-solution-global-housing-crisis" TargetMode="External"/><Relationship Id="rId78" Type="http://schemas.openxmlformats.org/officeDocument/2006/relationships/hyperlink" Target="https://www.ahuri.edu.au/research/final-reports/457" TargetMode="External"/><Relationship Id="rId4" Type="http://schemas.openxmlformats.org/officeDocument/2006/relationships/hyperlink" Target="https://doi.org/10.1080/08111146.2026.2648835" TargetMode="External"/><Relationship Id="rId9" Type="http://schemas.openxmlformats.org/officeDocument/2006/relationships/hyperlink" Target="https://eprints.qut.edu.au/258775/1/BP77_BryantSharam_HousingAccord.pdf" TargetMode="External"/><Relationship Id="rId13" Type="http://schemas.openxmlformats.org/officeDocument/2006/relationships/hyperlink" Target="https://www.theurbandeveloper.com/articles/future-urban-planning-approvals-developer-advice" TargetMode="External"/><Relationship Id="rId18" Type="http://schemas.openxmlformats.org/officeDocument/2006/relationships/hyperlink" Target="https://www.propertycouncil.com.au/media-releases/infrastructure-capacity-key-to-new-housing-and-industrial-land-supply" TargetMode="External"/><Relationship Id="rId39" Type="http://schemas.openxmlformats.org/officeDocument/2006/relationships/hyperlink" Target="https://www.ceda.com.au/news-and-resources/opinion/built-environment-urban-planning-cities/australia-s-growing-intergenerational-housing-weal" TargetMode="External"/><Relationship Id="rId34" Type="http://schemas.openxmlformats.org/officeDocument/2006/relationships/hyperlink" Target="https://www.royalsoc.org.au/wp-content/uploads/2023/07/156-1-F-15-Wheeler.pdf" TargetMode="External"/><Relationship Id="rId50" Type="http://schemas.openxmlformats.org/officeDocument/2006/relationships/hyperlink" Target="https://www.ahuri.edu.au/sites/default/files/migration/documents/AHURI_Final_Report_No211_Understanding-and-addressing-community-opposition-to-affordable-housing-development.pdf" TargetMode="External"/><Relationship Id="rId55" Type="http://schemas.openxmlformats.org/officeDocument/2006/relationships/hyperlink" Target="https://www.wsiflightpaths.gov.au/pdf-documents/eis-documents/WSI_EIS_Chapter_9_-_Community_and_stakeholder_engagement.pdf" TargetMode="External"/><Relationship Id="rId76" Type="http://schemas.openxmlformats.org/officeDocument/2006/relationships/hyperlink" Target="https://www.indigenoushpf.gov.au/measures/2-01-housing" TargetMode="External"/><Relationship Id="rId7" Type="http://schemas.openxmlformats.org/officeDocument/2006/relationships/hyperlink" Target="https://www.abc.net.au/news/2025-11-09/older-country-australians-dont-have-anywhere-to-downsize-to/105959030" TargetMode="External"/><Relationship Id="rId71" Type="http://schemas.openxmlformats.org/officeDocument/2006/relationships/hyperlink" Target="https://theconversation.com/cheaper-housing-and-better-transport-what-you-need-to-know-about-australias-new-national-urban-policy-244947" TargetMode="External"/><Relationship Id="rId2" Type="http://schemas.openxmlformats.org/officeDocument/2006/relationships/hyperlink" Target="https://hia.com.au/our-industry/housing/in-focus/2026/04/small-builders-big-contribution" TargetMode="External"/><Relationship Id="rId29" Type="http://schemas.openxmlformats.org/officeDocument/2006/relationships/hyperlink" Target="https://doi.org/10.1016/j.jue.2016.04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21f6cd06e0e593aaba64089a640df619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1e404f4f39cb8cdfdfc9c9dedfc8094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MPWT-2140667901-98561</_dlc_DocId>
    <_dlc_DocIdUrl xmlns="20393cdf-440a-4521-8f19-00ba43423d00">
      <Url>https://pcgov.sharepoint.com/sites/sceteam/_layouts/15/DocIdRedir.aspx?ID=MPWT-2140667901-98561</Url>
      <Description>MPWT-2140667901-98561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231B-F97D-4651-B5E8-16E5F7459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22D32-5117-425F-A214-FD60FA233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647BC-FA74-482D-940C-0F11D859E0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1ADD8B-2125-4FB6-8CA4-1578A0ACCD00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5.xml><?xml version="1.0" encoding="utf-8"?>
<ds:datastoreItem xmlns:ds="http://schemas.openxmlformats.org/officeDocument/2006/customXml" ds:itemID="{4A0D7D3B-92CF-494A-9A32-ED79D7F4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2019</Words>
  <Characters>12720</Characters>
  <Application>Microsoft Office Word</Application>
  <DocSecurity>0</DocSecurity>
  <Lines>219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7 - Name withheld - Husing supply regulation - Public inquiry</vt:lpstr>
    </vt:vector>
  </TitlesOfParts>
  <Company>Name withheld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7 - Name withheld - Husing supply regulation - Public inquiry</dc:title>
  <dc:subject/>
  <dc:creator>Name withheld</dc:creator>
  <cp:keywords/>
  <dc:description/>
  <cp:lastModifiedBy>Chris Alston</cp:lastModifiedBy>
  <cp:revision>4</cp:revision>
  <dcterms:created xsi:type="dcterms:W3CDTF">2026-06-18T01:19:00Z</dcterms:created>
  <dcterms:modified xsi:type="dcterms:W3CDTF">2026-07-14T04:19:00Z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RevIMBCS">
    <vt:lpwstr>1;#Unclassified|3955eeb1-2d18-4582-aeb2-00144ec3aaf5</vt:lpwstr>
  </property>
  <property fmtid="{D5CDD505-2E9C-101B-9397-08002B2CF9AE}" pid="4" name="MSIP_Label_c1f2b1ce-4212-46db-a901-dd8453f57141_Enabled">
    <vt:lpwstr>true</vt:lpwstr>
  </property>
  <property fmtid="{D5CDD505-2E9C-101B-9397-08002B2CF9AE}" pid="5" name="MSIP_Label_c1f2b1ce-4212-46db-a901-dd8453f57141_SetDate">
    <vt:lpwstr>2026-06-18T01:19:21Z</vt:lpwstr>
  </property>
  <property fmtid="{D5CDD505-2E9C-101B-9397-08002B2CF9AE}" pid="6" name="MSIP_Label_c1f2b1ce-4212-46db-a901-dd8453f57141_Method">
    <vt:lpwstr>Privileged</vt:lpwstr>
  </property>
  <property fmtid="{D5CDD505-2E9C-101B-9397-08002B2CF9AE}" pid="7" name="MSIP_Label_c1f2b1ce-4212-46db-a901-dd8453f57141_Name">
    <vt:lpwstr>Publish</vt:lpwstr>
  </property>
  <property fmtid="{D5CDD505-2E9C-101B-9397-08002B2CF9AE}" pid="8" name="MSIP_Label_c1f2b1ce-4212-46db-a901-dd8453f57141_SiteId">
    <vt:lpwstr>29f9330b-c0fe-4244-830e-ba9f275d6c34</vt:lpwstr>
  </property>
  <property fmtid="{D5CDD505-2E9C-101B-9397-08002B2CF9AE}" pid="9" name="MSIP_Label_c1f2b1ce-4212-46db-a901-dd8453f57141_ActionId">
    <vt:lpwstr>5747f748-9622-4df2-ba9b-bfcd4d16ff00</vt:lpwstr>
  </property>
  <property fmtid="{D5CDD505-2E9C-101B-9397-08002B2CF9AE}" pid="10" name="MSIP_Label_c1f2b1ce-4212-46db-a901-dd8453f57141_ContentBits">
    <vt:lpwstr>0</vt:lpwstr>
  </property>
  <property fmtid="{D5CDD505-2E9C-101B-9397-08002B2CF9AE}" pid="11" name="MSIP_Label_c1f2b1ce-4212-46db-a901-dd8453f57141_Tag">
    <vt:lpwstr>10, 0, 1, 1</vt:lpwstr>
  </property>
  <property fmtid="{D5CDD505-2E9C-101B-9397-08002B2CF9AE}" pid="12" name="_dlc_DocIdItemGuid">
    <vt:lpwstr>e4e8359d-e40a-4c80-a0ca-b1874292c53c</vt:lpwstr>
  </property>
</Properties>
</file>