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975B" w14:textId="6765323E" w:rsidR="00216489" w:rsidRPr="00216489" w:rsidRDefault="00216489" w:rsidP="1A503AC1">
      <w:pPr>
        <w:widowControl w:val="0"/>
        <w:pBdr>
          <w:top w:val="single" w:sz="8" w:space="10" w:color="A7BFDE"/>
          <w:left w:val="none" w:sz="0" w:space="0" w:color="000000"/>
          <w:bottom w:val="single" w:sz="24" w:space="15" w:color="9BBB59"/>
          <w:right w:val="none" w:sz="0" w:space="0" w:color="000000"/>
        </w:pBdr>
        <w:suppressAutoHyphens/>
        <w:spacing w:before="1560" w:after="0" w:line="240" w:lineRule="auto"/>
        <w:jc w:val="center"/>
        <w:rPr>
          <w:rFonts w:ascii="Cambria" w:eastAsia="Times New Roman" w:hAnsi="Cambria" w:cs="Times New Roman"/>
          <w:i/>
          <w:iCs/>
          <w:color w:val="243F60"/>
          <w:sz w:val="60"/>
          <w:szCs w:val="60"/>
          <w:lang w:bidi="en-US"/>
        </w:rPr>
      </w:pPr>
      <w:r w:rsidRPr="1A503AC1">
        <w:rPr>
          <w:rFonts w:ascii="Cambria" w:eastAsia="Times New Roman" w:hAnsi="Cambria" w:cs="Times New Roman"/>
          <w:color w:val="243F60"/>
          <w:sz w:val="60"/>
          <w:szCs w:val="60"/>
          <w:lang w:bidi="en-US"/>
        </w:rPr>
        <w:t xml:space="preserve">Submission to the Productivity Commission </w:t>
      </w:r>
      <w:r w:rsidR="006C0BF3" w:rsidRPr="1A503AC1">
        <w:rPr>
          <w:rFonts w:ascii="Cambria" w:eastAsia="Times New Roman" w:hAnsi="Cambria" w:cs="Times New Roman"/>
          <w:color w:val="243F60"/>
          <w:sz w:val="60"/>
          <w:szCs w:val="60"/>
          <w:lang w:bidi="en-US"/>
        </w:rPr>
        <w:t xml:space="preserve">Inquiry into </w:t>
      </w:r>
      <w:r w:rsidR="00B00209" w:rsidRPr="1A503AC1">
        <w:rPr>
          <w:rFonts w:ascii="Cambria" w:eastAsia="Times New Roman" w:hAnsi="Cambria" w:cs="Times New Roman"/>
          <w:color w:val="243F60"/>
          <w:sz w:val="60"/>
          <w:szCs w:val="60"/>
          <w:lang w:bidi="en-US"/>
        </w:rPr>
        <w:t>Housing Supply Regulation</w:t>
      </w:r>
      <w:r w:rsidR="00C36609" w:rsidRPr="1A503AC1">
        <w:rPr>
          <w:rFonts w:ascii="Cambria" w:eastAsia="Times New Roman" w:hAnsi="Cambria" w:cs="Times New Roman"/>
          <w:color w:val="243F60"/>
          <w:sz w:val="60"/>
          <w:szCs w:val="60"/>
          <w:lang w:bidi="en-US"/>
        </w:rPr>
        <w:t xml:space="preserve"> </w:t>
      </w:r>
    </w:p>
    <w:p w14:paraId="43056430" w14:textId="77777777" w:rsidR="00216489" w:rsidRPr="00216489" w:rsidRDefault="00216489" w:rsidP="00216489">
      <w:pPr>
        <w:widowControl w:val="0"/>
        <w:suppressAutoHyphens/>
        <w:jc w:val="center"/>
        <w:rPr>
          <w:rFonts w:ascii="Calibri" w:eastAsia="Calibri" w:hAnsi="Calibri" w:cs="font280"/>
        </w:rPr>
      </w:pPr>
    </w:p>
    <w:p w14:paraId="40E14F18" w14:textId="77777777" w:rsidR="00216489" w:rsidRPr="00216489" w:rsidRDefault="00216489" w:rsidP="00216489">
      <w:pPr>
        <w:widowControl w:val="0"/>
        <w:suppressAutoHyphens/>
        <w:jc w:val="center"/>
        <w:rPr>
          <w:rFonts w:ascii="Calibri" w:eastAsia="Calibri" w:hAnsi="Calibri" w:cs="font280"/>
        </w:rPr>
      </w:pPr>
    </w:p>
    <w:p w14:paraId="1EA41467" w14:textId="77777777" w:rsidR="00216489" w:rsidRPr="00216489" w:rsidRDefault="00216489" w:rsidP="00216489">
      <w:pPr>
        <w:widowControl w:val="0"/>
        <w:suppressAutoHyphens/>
        <w:jc w:val="center"/>
        <w:rPr>
          <w:rFonts w:ascii="Calibri" w:eastAsia="Calibri" w:hAnsi="Calibri" w:cs="font280"/>
        </w:rPr>
      </w:pPr>
    </w:p>
    <w:p w14:paraId="17AF6E3D" w14:textId="1BAED706" w:rsidR="00216489" w:rsidRPr="00216489" w:rsidRDefault="00B00209" w:rsidP="00216489">
      <w:pPr>
        <w:widowControl w:val="0"/>
        <w:suppressAutoHyphens/>
        <w:jc w:val="center"/>
        <w:rPr>
          <w:rFonts w:ascii="Calibri" w:eastAsia="Calibri" w:hAnsi="Calibri" w:cs="font280"/>
        </w:rPr>
      </w:pPr>
      <w:r>
        <w:rPr>
          <w:rFonts w:ascii="Calibri" w:eastAsia="Calibri" w:hAnsi="Calibri" w:cs="font280"/>
          <w:sz w:val="24"/>
          <w:szCs w:val="24"/>
        </w:rPr>
        <w:t>June</w:t>
      </w:r>
      <w:r w:rsidR="00216489" w:rsidRPr="00216489">
        <w:rPr>
          <w:rFonts w:ascii="Calibri" w:eastAsia="Calibri" w:hAnsi="Calibri" w:cs="font280"/>
          <w:sz w:val="24"/>
          <w:szCs w:val="24"/>
        </w:rPr>
        <w:t xml:space="preserve"> 202</w:t>
      </w:r>
      <w:r>
        <w:rPr>
          <w:rFonts w:ascii="Calibri" w:eastAsia="Calibri" w:hAnsi="Calibri" w:cs="font280"/>
          <w:sz w:val="24"/>
          <w:szCs w:val="24"/>
        </w:rPr>
        <w:t>6</w:t>
      </w:r>
      <w:r w:rsidR="00216489" w:rsidRPr="00216489">
        <w:rPr>
          <w:rFonts w:ascii="Calibri" w:eastAsia="Calibri" w:hAnsi="Calibri" w:cs="font280"/>
          <w:sz w:val="24"/>
          <w:szCs w:val="24"/>
        </w:rPr>
        <w:t xml:space="preserve"> </w:t>
      </w:r>
    </w:p>
    <w:p w14:paraId="4024E431" w14:textId="77777777" w:rsidR="00216489" w:rsidRPr="00216489" w:rsidRDefault="00216489" w:rsidP="00216489">
      <w:pPr>
        <w:widowControl w:val="0"/>
        <w:suppressAutoHyphens/>
        <w:jc w:val="center"/>
        <w:rPr>
          <w:rFonts w:ascii="Calibri" w:eastAsia="Calibri" w:hAnsi="Calibri" w:cs="font280"/>
          <w:sz w:val="24"/>
          <w:szCs w:val="24"/>
        </w:rPr>
      </w:pPr>
    </w:p>
    <w:p w14:paraId="22F2D9F2" w14:textId="77777777" w:rsidR="00216489" w:rsidRPr="00216489" w:rsidRDefault="00216489" w:rsidP="00216489">
      <w:pPr>
        <w:widowControl w:val="0"/>
        <w:suppressAutoHyphens/>
        <w:spacing w:after="1680"/>
        <w:jc w:val="center"/>
        <w:rPr>
          <w:rFonts w:ascii="Calibri" w:eastAsia="Calibri" w:hAnsi="Calibri" w:cs="font280"/>
        </w:rPr>
      </w:pPr>
    </w:p>
    <w:p w14:paraId="599FE4D1" w14:textId="77777777" w:rsidR="00216489" w:rsidRPr="00216489" w:rsidRDefault="00216489" w:rsidP="00216489">
      <w:pPr>
        <w:widowControl w:val="0"/>
        <w:suppressAutoHyphens/>
        <w:spacing w:after="1680"/>
        <w:jc w:val="center"/>
        <w:rPr>
          <w:rFonts w:ascii="Calibri" w:eastAsia="Calibri" w:hAnsi="Calibri" w:cs="font280"/>
          <w:b/>
        </w:rPr>
      </w:pPr>
      <w:r w:rsidRPr="00216489">
        <w:rPr>
          <w:rFonts w:ascii="Calibri" w:eastAsia="Calibri" w:hAnsi="Calibri" w:cs="font280"/>
          <w:noProof/>
          <w:lang w:eastAsia="en-AU"/>
        </w:rPr>
        <w:drawing>
          <wp:inline distT="0" distB="0" distL="0" distR="0" wp14:anchorId="0386F530" wp14:editId="6B78D8B9">
            <wp:extent cx="1866900" cy="86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863600"/>
                    </a:xfrm>
                    <a:prstGeom prst="rect">
                      <a:avLst/>
                    </a:prstGeom>
                    <a:solidFill>
                      <a:srgbClr val="FFFFFF"/>
                    </a:solidFill>
                    <a:ln>
                      <a:noFill/>
                    </a:ln>
                  </pic:spPr>
                </pic:pic>
              </a:graphicData>
            </a:graphic>
          </wp:inline>
        </w:drawing>
      </w:r>
    </w:p>
    <w:p w14:paraId="74671525" w14:textId="77777777" w:rsidR="001437D3" w:rsidRDefault="001437D3">
      <w:pPr>
        <w:rPr>
          <w:rFonts w:ascii="Calibri" w:eastAsia="Calibri" w:hAnsi="Calibri" w:cs="font280"/>
        </w:rPr>
      </w:pPr>
      <w:r>
        <w:rPr>
          <w:rFonts w:ascii="Calibri" w:eastAsia="Calibri" w:hAnsi="Calibri" w:cs="font280"/>
        </w:rPr>
        <w:br w:type="page"/>
      </w:r>
    </w:p>
    <w:p w14:paraId="1B55A642" w14:textId="0A2902E1" w:rsidR="00F47625" w:rsidRDefault="00C779D3" w:rsidP="00C779D3">
      <w:pPr>
        <w:suppressAutoHyphens/>
        <w:spacing w:after="0"/>
        <w:rPr>
          <w:rFonts w:ascii="Calibri" w:eastAsia="Calibri" w:hAnsi="Calibri" w:cs="font280"/>
        </w:rPr>
      </w:pPr>
      <w:r w:rsidRPr="00C779D3">
        <w:rPr>
          <w:rFonts w:ascii="Calibri" w:eastAsia="Calibri" w:hAnsi="Calibri" w:cs="font280"/>
        </w:rPr>
        <w:lastRenderedPageBreak/>
        <w:t>Productivity Commission</w:t>
      </w:r>
      <w:r w:rsidRPr="00C779D3">
        <w:rPr>
          <w:rFonts w:ascii="Calibri" w:eastAsia="Calibri" w:hAnsi="Calibri" w:cs="font280"/>
        </w:rPr>
        <w:br/>
        <w:t>GPO Box 1428</w:t>
      </w:r>
      <w:r w:rsidRPr="00C779D3">
        <w:rPr>
          <w:rFonts w:ascii="Calibri" w:eastAsia="Calibri" w:hAnsi="Calibri" w:cs="font280"/>
        </w:rPr>
        <w:br/>
        <w:t>Canberra City ACT 2601</w:t>
      </w:r>
    </w:p>
    <w:p w14:paraId="2891017E" w14:textId="77777777" w:rsidR="00F47625" w:rsidRPr="00F47625" w:rsidRDefault="00F47625" w:rsidP="00F47625">
      <w:pPr>
        <w:suppressAutoHyphens/>
        <w:spacing w:after="0"/>
        <w:rPr>
          <w:rFonts w:ascii="Calibri" w:eastAsia="Calibri" w:hAnsi="Calibri" w:cs="font280"/>
        </w:rPr>
      </w:pPr>
    </w:p>
    <w:p w14:paraId="510F5168" w14:textId="78C65912" w:rsidR="00216489" w:rsidRPr="00216489" w:rsidRDefault="00C36609" w:rsidP="00216489">
      <w:pPr>
        <w:suppressAutoHyphens/>
        <w:rPr>
          <w:rFonts w:ascii="Calibri" w:eastAsia="Calibri" w:hAnsi="Calibri" w:cs="font280"/>
        </w:rPr>
      </w:pPr>
      <w:r w:rsidRPr="00C36609">
        <w:rPr>
          <w:rFonts w:ascii="Calibri" w:eastAsia="Calibri" w:hAnsi="Calibri" w:cs="font280"/>
          <w:b/>
        </w:rPr>
        <w:t xml:space="preserve">Submission to the Inquiry into </w:t>
      </w:r>
      <w:r w:rsidR="001437D3">
        <w:rPr>
          <w:rFonts w:ascii="Calibri" w:eastAsia="Calibri" w:hAnsi="Calibri" w:cs="font280"/>
          <w:b/>
        </w:rPr>
        <w:t>Housing Supply Regula</w:t>
      </w:r>
      <w:r w:rsidR="000636B5">
        <w:rPr>
          <w:rFonts w:ascii="Calibri" w:eastAsia="Calibri" w:hAnsi="Calibri" w:cs="font280"/>
          <w:b/>
        </w:rPr>
        <w:t>tion</w:t>
      </w:r>
      <w:r w:rsidRPr="00C36609">
        <w:rPr>
          <w:rFonts w:ascii="Calibri" w:eastAsia="Calibri" w:hAnsi="Calibri" w:cs="font280"/>
          <w:b/>
        </w:rPr>
        <w:t xml:space="preserve"> </w:t>
      </w:r>
    </w:p>
    <w:p w14:paraId="10F463DC" w14:textId="40ED5C4D" w:rsidR="00216489" w:rsidRPr="00216489" w:rsidRDefault="00216489" w:rsidP="00216489">
      <w:pPr>
        <w:suppressAutoHyphens/>
        <w:rPr>
          <w:rFonts w:ascii="Calibri" w:eastAsia="Calibri" w:hAnsi="Calibri" w:cs="font280"/>
        </w:rPr>
      </w:pPr>
      <w:r w:rsidRPr="00216489">
        <w:rPr>
          <w:rFonts w:ascii="Calibri" w:eastAsia="Calibri" w:hAnsi="Calibri" w:cs="font280"/>
        </w:rPr>
        <w:t xml:space="preserve">The Centre for Independent Studies (CIS) welcomes the </w:t>
      </w:r>
      <w:r w:rsidR="00C36609" w:rsidRPr="00C36609">
        <w:rPr>
          <w:rFonts w:ascii="Calibri" w:eastAsia="Calibri" w:hAnsi="Calibri" w:cs="font280"/>
        </w:rPr>
        <w:t>Productivity Commission</w:t>
      </w:r>
      <w:r w:rsidR="00C36609">
        <w:rPr>
          <w:rFonts w:ascii="Calibri" w:eastAsia="Calibri" w:hAnsi="Calibri" w:cs="font280"/>
        </w:rPr>
        <w:t>’s</w:t>
      </w:r>
      <w:r w:rsidR="00C36609" w:rsidRPr="00C36609">
        <w:rPr>
          <w:rFonts w:ascii="Calibri" w:eastAsia="Calibri" w:hAnsi="Calibri" w:cs="font280"/>
        </w:rPr>
        <w:t xml:space="preserve"> Inquiry into </w:t>
      </w:r>
      <w:r w:rsidR="0070379B">
        <w:rPr>
          <w:rFonts w:ascii="Calibri" w:eastAsia="Calibri" w:hAnsi="Calibri" w:cs="font280"/>
        </w:rPr>
        <w:t xml:space="preserve">Housing Supply </w:t>
      </w:r>
      <w:r w:rsidR="000636B5">
        <w:rPr>
          <w:rFonts w:ascii="Calibri" w:eastAsia="Calibri" w:hAnsi="Calibri" w:cs="font280"/>
        </w:rPr>
        <w:t xml:space="preserve">Regulation </w:t>
      </w:r>
      <w:r w:rsidR="0070379B">
        <w:rPr>
          <w:rFonts w:ascii="Calibri" w:eastAsia="Calibri" w:hAnsi="Calibri" w:cs="font280"/>
        </w:rPr>
        <w:t>and the opportunity to provide a submission</w:t>
      </w:r>
      <w:r w:rsidRPr="00216489">
        <w:rPr>
          <w:rFonts w:ascii="Calibri" w:eastAsia="Calibri" w:hAnsi="Calibri" w:cs="font280"/>
        </w:rPr>
        <w:t xml:space="preserve">. </w:t>
      </w:r>
    </w:p>
    <w:p w14:paraId="0AA7973D" w14:textId="2CC4711A" w:rsidR="00216489" w:rsidRDefault="00216489" w:rsidP="00C36609">
      <w:pPr>
        <w:suppressAutoHyphens/>
        <w:rPr>
          <w:rFonts w:ascii="Calibri" w:eastAsia="Calibri" w:hAnsi="Calibri" w:cs="font280"/>
        </w:rPr>
      </w:pPr>
      <w:r w:rsidRPr="00216489">
        <w:rPr>
          <w:rFonts w:ascii="Calibri" w:eastAsia="Calibri" w:hAnsi="Calibri" w:cs="font280"/>
        </w:rPr>
        <w:t>The CIS is a leading independent publi</w:t>
      </w:r>
      <w:r w:rsidR="00276B6F">
        <w:rPr>
          <w:rFonts w:ascii="Calibri" w:eastAsia="Calibri" w:hAnsi="Calibri" w:cs="font280"/>
        </w:rPr>
        <w:t>c policy think tank in Austral</w:t>
      </w:r>
      <w:r w:rsidRPr="00216489">
        <w:rPr>
          <w:rFonts w:ascii="Calibri" w:eastAsia="Calibri" w:hAnsi="Calibri" w:cs="font280"/>
        </w:rPr>
        <w:t xml:space="preserve">ia. </w:t>
      </w:r>
      <w:r w:rsidR="00C36609">
        <w:rPr>
          <w:rFonts w:ascii="Calibri" w:eastAsia="Calibri" w:hAnsi="Calibri" w:cs="font280"/>
        </w:rPr>
        <w:t>It</w:t>
      </w:r>
      <w:r w:rsidR="00C36609" w:rsidRPr="00216489">
        <w:rPr>
          <w:rFonts w:ascii="Calibri" w:eastAsia="Calibri" w:hAnsi="Calibri" w:cs="font280"/>
        </w:rPr>
        <w:t xml:space="preserve"> has been a strong advocate for free markets</w:t>
      </w:r>
      <w:r w:rsidR="00EE3E51">
        <w:rPr>
          <w:rFonts w:ascii="Calibri" w:eastAsia="Calibri" w:hAnsi="Calibri" w:cs="font280"/>
        </w:rPr>
        <w:t>, personal choice</w:t>
      </w:r>
      <w:r w:rsidR="00C36609" w:rsidRPr="00216489">
        <w:rPr>
          <w:rFonts w:ascii="Calibri" w:eastAsia="Calibri" w:hAnsi="Calibri" w:cs="font280"/>
        </w:rPr>
        <w:t xml:space="preserve"> and limited government for </w:t>
      </w:r>
      <w:r w:rsidR="00EE3E51">
        <w:rPr>
          <w:rFonts w:ascii="Calibri" w:eastAsia="Calibri" w:hAnsi="Calibri" w:cs="font280"/>
        </w:rPr>
        <w:t>50</w:t>
      </w:r>
      <w:r w:rsidR="00C36609" w:rsidRPr="00216489">
        <w:rPr>
          <w:rFonts w:ascii="Calibri" w:eastAsia="Calibri" w:hAnsi="Calibri" w:cs="font280"/>
        </w:rPr>
        <w:t xml:space="preserve"> years.</w:t>
      </w:r>
      <w:r w:rsidR="001A3B73">
        <w:rPr>
          <w:rFonts w:ascii="Calibri" w:eastAsia="Calibri" w:hAnsi="Calibri" w:cs="font280"/>
        </w:rPr>
        <w:t xml:space="preserve"> </w:t>
      </w:r>
      <w:r w:rsidRPr="00216489">
        <w:rPr>
          <w:rFonts w:ascii="Calibri" w:eastAsia="Calibri" w:hAnsi="Calibri" w:cs="font280"/>
        </w:rPr>
        <w:t xml:space="preserve">The CIS is independent and non-partisan in both its funding and research, does no commissioned research nor takes any government money to support its public policy work. </w:t>
      </w:r>
    </w:p>
    <w:p w14:paraId="6F76BB40" w14:textId="70C9AA8D" w:rsidR="00216489" w:rsidRPr="00216489" w:rsidRDefault="00216489" w:rsidP="00216489">
      <w:pPr>
        <w:suppressAutoHyphens/>
        <w:rPr>
          <w:rFonts w:ascii="Calibri" w:eastAsia="Calibri" w:hAnsi="Calibri" w:cs="font280"/>
        </w:rPr>
      </w:pPr>
      <w:r w:rsidRPr="00216489">
        <w:rPr>
          <w:rFonts w:ascii="Calibri" w:eastAsia="Calibri" w:hAnsi="Calibri" w:cs="font280"/>
        </w:rPr>
        <w:t xml:space="preserve">We would be happy to expand on the points in the attached submission, or to provide further information if this would assist the </w:t>
      </w:r>
      <w:r w:rsidR="004C1678">
        <w:rPr>
          <w:rFonts w:ascii="Calibri" w:eastAsia="Calibri" w:hAnsi="Calibri" w:cs="font280"/>
        </w:rPr>
        <w:t>Commission</w:t>
      </w:r>
      <w:r w:rsidRPr="00216489">
        <w:rPr>
          <w:rFonts w:ascii="Calibri" w:eastAsia="Calibri" w:hAnsi="Calibri" w:cs="font280"/>
        </w:rPr>
        <w:t>.</w:t>
      </w:r>
    </w:p>
    <w:p w14:paraId="38FA6962" w14:textId="77777777" w:rsidR="00216489" w:rsidRPr="00216489" w:rsidRDefault="00216489" w:rsidP="00216489">
      <w:pPr>
        <w:suppressAutoHyphens/>
        <w:rPr>
          <w:rFonts w:ascii="Calibri" w:eastAsia="Calibri" w:hAnsi="Calibri" w:cs="font280"/>
        </w:rPr>
      </w:pPr>
    </w:p>
    <w:p w14:paraId="79A99410" w14:textId="77777777" w:rsidR="00216489" w:rsidRPr="00216489" w:rsidRDefault="00216489" w:rsidP="00216489">
      <w:pPr>
        <w:suppressAutoHyphens/>
        <w:rPr>
          <w:rFonts w:ascii="Calibri" w:eastAsia="Calibri" w:hAnsi="Calibri" w:cs="font280"/>
        </w:rPr>
      </w:pPr>
      <w:r w:rsidRPr="00216489">
        <w:rPr>
          <w:rFonts w:ascii="Calibri" w:eastAsia="Calibri" w:hAnsi="Calibri" w:cs="font280"/>
        </w:rPr>
        <w:t>Yours sincerely,</w:t>
      </w:r>
    </w:p>
    <w:p w14:paraId="79A2243E" w14:textId="6ECA856C" w:rsidR="00216489" w:rsidRDefault="00216489" w:rsidP="00216489">
      <w:pPr>
        <w:suppressAutoHyphens/>
        <w:rPr>
          <w:rFonts w:ascii="Calibri" w:eastAsia="Calibri" w:hAnsi="Calibri" w:cs="font280"/>
        </w:rPr>
      </w:pPr>
    </w:p>
    <w:p w14:paraId="6A6D6563" w14:textId="77777777" w:rsidR="009A3532" w:rsidRPr="00216489" w:rsidRDefault="009A3532" w:rsidP="00216489">
      <w:pPr>
        <w:suppressAutoHyphens/>
        <w:rPr>
          <w:rFonts w:ascii="Calibri" w:eastAsia="Calibri" w:hAnsi="Calibri" w:cs="font280"/>
        </w:rPr>
      </w:pPr>
    </w:p>
    <w:tbl>
      <w:tblPr>
        <w:tblW w:w="0" w:type="auto"/>
        <w:tblInd w:w="108" w:type="dxa"/>
        <w:tblLayout w:type="fixed"/>
        <w:tblLook w:val="0000" w:firstRow="0" w:lastRow="0" w:firstColumn="0" w:lastColumn="0" w:noHBand="0" w:noVBand="0"/>
      </w:tblPr>
      <w:tblGrid>
        <w:gridCol w:w="4505"/>
        <w:gridCol w:w="4504"/>
      </w:tblGrid>
      <w:tr w:rsidR="00216489" w:rsidRPr="00216489" w14:paraId="1712C1B8" w14:textId="77777777" w:rsidTr="001A3B73">
        <w:tc>
          <w:tcPr>
            <w:tcW w:w="4505" w:type="dxa"/>
          </w:tcPr>
          <w:p w14:paraId="5C55573B" w14:textId="77777777" w:rsidR="00216489" w:rsidRPr="00216489" w:rsidRDefault="00216489" w:rsidP="00216489">
            <w:pPr>
              <w:suppressAutoHyphens/>
              <w:spacing w:after="0" w:line="240" w:lineRule="auto"/>
              <w:rPr>
                <w:rFonts w:ascii="Calibri" w:eastAsia="Calibri" w:hAnsi="Calibri" w:cs="font280"/>
              </w:rPr>
            </w:pPr>
          </w:p>
        </w:tc>
        <w:tc>
          <w:tcPr>
            <w:tcW w:w="4504" w:type="dxa"/>
          </w:tcPr>
          <w:p w14:paraId="51006440" w14:textId="77777777" w:rsidR="00216489" w:rsidRPr="00216489" w:rsidRDefault="00216489" w:rsidP="00216489">
            <w:pPr>
              <w:suppressAutoHyphens/>
              <w:spacing w:after="0" w:line="240" w:lineRule="auto"/>
              <w:rPr>
                <w:rFonts w:ascii="Calibri" w:eastAsia="Calibri" w:hAnsi="Calibri" w:cs="font280"/>
              </w:rPr>
            </w:pPr>
          </w:p>
        </w:tc>
      </w:tr>
      <w:tr w:rsidR="00216489" w:rsidRPr="00216489" w14:paraId="15246C62" w14:textId="77777777" w:rsidTr="001A3B73">
        <w:tc>
          <w:tcPr>
            <w:tcW w:w="4505" w:type="dxa"/>
          </w:tcPr>
          <w:p w14:paraId="459E7AD9" w14:textId="77777777" w:rsidR="00216489" w:rsidRPr="00216489" w:rsidRDefault="00216489" w:rsidP="00216489">
            <w:pPr>
              <w:suppressAutoHyphens/>
              <w:spacing w:after="0" w:line="240" w:lineRule="auto"/>
              <w:rPr>
                <w:rFonts w:ascii="Calibri" w:eastAsia="Calibri" w:hAnsi="Calibri" w:cs="font280"/>
              </w:rPr>
            </w:pPr>
            <w:r w:rsidRPr="00216489">
              <w:rPr>
                <w:rFonts w:ascii="Calibri" w:eastAsia="Calibri" w:hAnsi="Calibri" w:cs="font280"/>
              </w:rPr>
              <w:t>Peter Tulip</w:t>
            </w:r>
          </w:p>
          <w:p w14:paraId="6BDBA9DA" w14:textId="778172F0" w:rsidR="00216489" w:rsidRPr="00216489" w:rsidRDefault="00216489" w:rsidP="00216489">
            <w:pPr>
              <w:suppressAutoHyphens/>
              <w:spacing w:after="0" w:line="240" w:lineRule="auto"/>
              <w:rPr>
                <w:rFonts w:ascii="Calibri" w:eastAsia="Calibri" w:hAnsi="Calibri" w:cs="font280"/>
              </w:rPr>
            </w:pPr>
            <w:r w:rsidRPr="00216489">
              <w:rPr>
                <w:rFonts w:ascii="Calibri" w:eastAsia="Calibri" w:hAnsi="Calibri" w:cs="font280"/>
              </w:rPr>
              <w:t>Chief Economist</w:t>
            </w:r>
          </w:p>
          <w:p w14:paraId="0A1E086B" w14:textId="77777777" w:rsidR="00216489" w:rsidRDefault="00216489" w:rsidP="00216489">
            <w:pPr>
              <w:suppressAutoHyphens/>
              <w:spacing w:after="0" w:line="240" w:lineRule="auto"/>
              <w:rPr>
                <w:rFonts w:ascii="Calibri" w:eastAsia="Calibri" w:hAnsi="Calibri" w:cs="font280"/>
              </w:rPr>
            </w:pPr>
            <w:r w:rsidRPr="00216489">
              <w:rPr>
                <w:rFonts w:ascii="Calibri" w:eastAsia="Calibri" w:hAnsi="Calibri" w:cs="font280"/>
              </w:rPr>
              <w:t>Centre for Independent Studies</w:t>
            </w:r>
          </w:p>
          <w:p w14:paraId="650FF3EC" w14:textId="09540FCE" w:rsidR="00D717FA" w:rsidRPr="00216489" w:rsidRDefault="009720B8" w:rsidP="00216489">
            <w:pPr>
              <w:suppressAutoHyphens/>
              <w:spacing w:after="0" w:line="240" w:lineRule="auto"/>
              <w:rPr>
                <w:rFonts w:ascii="Calibri" w:eastAsia="Calibri" w:hAnsi="Calibri" w:cs="font280"/>
              </w:rPr>
            </w:pPr>
            <w:r>
              <w:rPr>
                <w:rFonts w:ascii="Calibri" w:eastAsia="Calibri" w:hAnsi="Calibri" w:cs="font280"/>
              </w:rPr>
              <w:t xml:space="preserve">15 </w:t>
            </w:r>
            <w:r w:rsidR="0096195E">
              <w:rPr>
                <w:rFonts w:ascii="Calibri" w:eastAsia="Calibri" w:hAnsi="Calibri" w:cs="font280"/>
              </w:rPr>
              <w:t>June</w:t>
            </w:r>
            <w:r w:rsidR="00D717FA">
              <w:rPr>
                <w:rFonts w:ascii="Calibri" w:eastAsia="Calibri" w:hAnsi="Calibri" w:cs="font280"/>
              </w:rPr>
              <w:t xml:space="preserve"> 202</w:t>
            </w:r>
            <w:r w:rsidR="0096195E">
              <w:rPr>
                <w:rFonts w:ascii="Calibri" w:eastAsia="Calibri" w:hAnsi="Calibri" w:cs="font280"/>
              </w:rPr>
              <w:t>6</w:t>
            </w:r>
          </w:p>
        </w:tc>
        <w:tc>
          <w:tcPr>
            <w:tcW w:w="4504" w:type="dxa"/>
          </w:tcPr>
          <w:p w14:paraId="300D9BF2" w14:textId="77777777" w:rsidR="00216489" w:rsidRPr="00216489" w:rsidRDefault="00216489" w:rsidP="00216489">
            <w:pPr>
              <w:suppressAutoHyphens/>
              <w:spacing w:after="0" w:line="240" w:lineRule="auto"/>
              <w:rPr>
                <w:rFonts w:ascii="Calibri" w:eastAsia="Calibri" w:hAnsi="Calibri" w:cs="font280"/>
              </w:rPr>
            </w:pPr>
          </w:p>
        </w:tc>
      </w:tr>
    </w:tbl>
    <w:p w14:paraId="315E9A6F" w14:textId="77777777" w:rsidR="00216489" w:rsidRPr="00216489" w:rsidRDefault="00216489" w:rsidP="00216489">
      <w:pPr>
        <w:suppressAutoHyphens/>
        <w:spacing w:after="0" w:line="240" w:lineRule="auto"/>
        <w:rPr>
          <w:rFonts w:ascii="Calibri" w:eastAsia="Calibri" w:hAnsi="Calibri" w:cs="font280"/>
        </w:rPr>
      </w:pPr>
    </w:p>
    <w:p w14:paraId="15575BF5" w14:textId="77777777" w:rsidR="00216489" w:rsidRPr="00216489" w:rsidRDefault="00216489" w:rsidP="00216489">
      <w:pPr>
        <w:suppressAutoHyphens/>
        <w:rPr>
          <w:rFonts w:ascii="Calibri-Bold" w:eastAsia="Calibri" w:hAnsi="Calibri-Bold" w:cs="Calibri-Bold"/>
          <w:b/>
          <w:bCs/>
          <w:sz w:val="28"/>
          <w:szCs w:val="28"/>
        </w:rPr>
      </w:pPr>
    </w:p>
    <w:p w14:paraId="399BB666" w14:textId="77777777" w:rsidR="00216489" w:rsidRPr="00216489" w:rsidRDefault="00216489" w:rsidP="00216489">
      <w:pPr>
        <w:suppressAutoHyphens/>
        <w:jc w:val="center"/>
        <w:rPr>
          <w:rFonts w:ascii="Calibri-Bold" w:eastAsia="Calibri" w:hAnsi="Calibri-Bold" w:cs="Calibri-Bold"/>
          <w:bCs/>
          <w:sz w:val="28"/>
          <w:szCs w:val="28"/>
        </w:rPr>
      </w:pPr>
    </w:p>
    <w:p w14:paraId="48CE14C9" w14:textId="77777777" w:rsidR="00D717FA" w:rsidRDefault="00D717FA">
      <w:pPr>
        <w:rPr>
          <w:rFonts w:ascii="Calibri Light" w:eastAsia="font280" w:hAnsi="Calibri Light" w:cs="font280"/>
          <w:color w:val="2E74B5"/>
          <w:sz w:val="32"/>
          <w:szCs w:val="32"/>
          <w:lang w:val="en-US"/>
        </w:rPr>
      </w:pPr>
      <w:r>
        <w:rPr>
          <w:rFonts w:ascii="Calibri Light" w:eastAsia="font280" w:hAnsi="Calibri Light" w:cs="font280"/>
          <w:color w:val="2E74B5"/>
          <w:sz w:val="32"/>
          <w:szCs w:val="32"/>
          <w:lang w:val="en-US"/>
        </w:rPr>
        <w:br w:type="page"/>
      </w:r>
    </w:p>
    <w:p w14:paraId="5721F0CA" w14:textId="77777777" w:rsidR="009325A2" w:rsidRPr="00216489" w:rsidRDefault="009325A2">
      <w:pPr>
        <w:rPr>
          <w:rFonts w:cstheme="minorHAnsi"/>
        </w:rPr>
      </w:pPr>
    </w:p>
    <w:p w14:paraId="18AA86BC" w14:textId="77777777" w:rsidR="009325A2" w:rsidRPr="00E74B50" w:rsidRDefault="009325A2" w:rsidP="009325A2">
      <w:pPr>
        <w:keepNext/>
        <w:keepLines/>
        <w:suppressAutoHyphens/>
        <w:spacing w:before="240" w:after="0"/>
        <w:ind w:hanging="360"/>
        <w:jc w:val="center"/>
        <w:outlineLvl w:val="0"/>
        <w:rPr>
          <w:rFonts w:ascii="Calibri" w:eastAsia="font280" w:hAnsi="Calibri" w:cs="Calibri"/>
          <w:color w:val="2E74B5"/>
          <w:sz w:val="32"/>
          <w:szCs w:val="32"/>
          <w:lang w:val="en-US"/>
        </w:rPr>
      </w:pPr>
      <w:bookmarkStart w:id="0" w:name="_Toc232413250"/>
      <w:r w:rsidRPr="00E74B50">
        <w:rPr>
          <w:rFonts w:ascii="Calibri" w:eastAsia="font280" w:hAnsi="Calibri" w:cs="Calibri"/>
          <w:color w:val="2E74B5"/>
          <w:sz w:val="32"/>
          <w:szCs w:val="32"/>
          <w:lang w:val="en-US"/>
        </w:rPr>
        <w:t>Contents</w:t>
      </w:r>
      <w:bookmarkEnd w:id="0"/>
    </w:p>
    <w:p w14:paraId="3D055FD3" w14:textId="50008BBB" w:rsidR="001161C0" w:rsidRDefault="009325A2">
      <w:pPr>
        <w:pStyle w:val="TOC1"/>
        <w:rPr>
          <w:rFonts w:eastAsiaTheme="minorEastAsia"/>
          <w:noProof/>
          <w:kern w:val="2"/>
          <w:sz w:val="24"/>
          <w:szCs w:val="24"/>
          <w:lang w:eastAsia="en-AU"/>
          <w14:ligatures w14:val="standardContextual"/>
        </w:rPr>
      </w:pPr>
      <w:r w:rsidRPr="00216489">
        <w:rPr>
          <w:rFonts w:ascii="Calibri" w:eastAsia="Calibri" w:hAnsi="Calibri" w:cs="font280"/>
        </w:rPr>
        <w:fldChar w:fldCharType="begin"/>
      </w:r>
      <w:r w:rsidRPr="00FB64B8">
        <w:rPr>
          <w:rFonts w:ascii="Calibri" w:eastAsia="Calibri" w:hAnsi="Calibri" w:cs="font280"/>
        </w:rPr>
        <w:instrText xml:space="preserve"> TOC \z \o "1-3" \u \h</w:instrText>
      </w:r>
      <w:r w:rsidRPr="00216489">
        <w:rPr>
          <w:rFonts w:ascii="Calibri" w:eastAsia="Calibri" w:hAnsi="Calibri" w:cs="font280"/>
        </w:rPr>
        <w:fldChar w:fldCharType="separate"/>
      </w:r>
      <w:hyperlink w:anchor="_Toc232413250" w:history="1">
        <w:r w:rsidR="001161C0" w:rsidRPr="00931331">
          <w:rPr>
            <w:rStyle w:val="Hyperlink"/>
            <w:rFonts w:ascii="Calibri" w:eastAsia="font280" w:hAnsi="Calibri" w:cs="Calibri"/>
            <w:noProof/>
            <w:lang w:val="en-US"/>
          </w:rPr>
          <w:t>Contents</w:t>
        </w:r>
        <w:r w:rsidR="001161C0">
          <w:rPr>
            <w:noProof/>
            <w:webHidden/>
          </w:rPr>
          <w:tab/>
        </w:r>
        <w:r w:rsidR="001161C0">
          <w:rPr>
            <w:noProof/>
            <w:webHidden/>
          </w:rPr>
          <w:fldChar w:fldCharType="begin"/>
        </w:r>
        <w:r w:rsidR="001161C0">
          <w:rPr>
            <w:noProof/>
            <w:webHidden/>
          </w:rPr>
          <w:instrText xml:space="preserve"> PAGEREF _Toc232413250 \h </w:instrText>
        </w:r>
        <w:r w:rsidR="001161C0">
          <w:rPr>
            <w:noProof/>
            <w:webHidden/>
          </w:rPr>
        </w:r>
        <w:r w:rsidR="001161C0">
          <w:rPr>
            <w:noProof/>
            <w:webHidden/>
          </w:rPr>
          <w:fldChar w:fldCharType="separate"/>
        </w:r>
        <w:r w:rsidR="001161C0">
          <w:rPr>
            <w:noProof/>
            <w:webHidden/>
          </w:rPr>
          <w:t>3</w:t>
        </w:r>
        <w:r w:rsidR="001161C0">
          <w:rPr>
            <w:noProof/>
            <w:webHidden/>
          </w:rPr>
          <w:fldChar w:fldCharType="end"/>
        </w:r>
      </w:hyperlink>
    </w:p>
    <w:p w14:paraId="1239FABF" w14:textId="753B0E55" w:rsidR="001161C0" w:rsidRDefault="001161C0">
      <w:pPr>
        <w:pStyle w:val="TOC1"/>
        <w:rPr>
          <w:rFonts w:eastAsiaTheme="minorEastAsia"/>
          <w:noProof/>
          <w:kern w:val="2"/>
          <w:sz w:val="24"/>
          <w:szCs w:val="24"/>
          <w:lang w:eastAsia="en-AU"/>
          <w14:ligatures w14:val="standardContextual"/>
        </w:rPr>
      </w:pPr>
      <w:hyperlink w:anchor="_Toc232413251" w:history="1">
        <w:r w:rsidRPr="00931331">
          <w:rPr>
            <w:rStyle w:val="Hyperlink"/>
            <w:rFonts w:ascii="Calibri" w:eastAsia="font280" w:hAnsi="Calibri" w:cs="Calibri"/>
            <w:noProof/>
            <w:lang w:val="en-US"/>
          </w:rPr>
          <w:t>Conclusions and Recommendations</w:t>
        </w:r>
        <w:r>
          <w:rPr>
            <w:noProof/>
            <w:webHidden/>
          </w:rPr>
          <w:tab/>
        </w:r>
        <w:r>
          <w:rPr>
            <w:noProof/>
            <w:webHidden/>
          </w:rPr>
          <w:fldChar w:fldCharType="begin"/>
        </w:r>
        <w:r>
          <w:rPr>
            <w:noProof/>
            <w:webHidden/>
          </w:rPr>
          <w:instrText xml:space="preserve"> PAGEREF _Toc232413251 \h </w:instrText>
        </w:r>
        <w:r>
          <w:rPr>
            <w:noProof/>
            <w:webHidden/>
          </w:rPr>
        </w:r>
        <w:r>
          <w:rPr>
            <w:noProof/>
            <w:webHidden/>
          </w:rPr>
          <w:fldChar w:fldCharType="separate"/>
        </w:r>
        <w:r>
          <w:rPr>
            <w:noProof/>
            <w:webHidden/>
          </w:rPr>
          <w:t>3</w:t>
        </w:r>
        <w:r>
          <w:rPr>
            <w:noProof/>
            <w:webHidden/>
          </w:rPr>
          <w:fldChar w:fldCharType="end"/>
        </w:r>
      </w:hyperlink>
    </w:p>
    <w:p w14:paraId="555523BD" w14:textId="5B9EC4C9" w:rsidR="001161C0" w:rsidRDefault="001161C0">
      <w:pPr>
        <w:pStyle w:val="TOC1"/>
        <w:rPr>
          <w:rFonts w:eastAsiaTheme="minorEastAsia"/>
          <w:noProof/>
          <w:kern w:val="2"/>
          <w:sz w:val="24"/>
          <w:szCs w:val="24"/>
          <w:lang w:eastAsia="en-AU"/>
          <w14:ligatures w14:val="standardContextual"/>
        </w:rPr>
      </w:pPr>
      <w:hyperlink w:anchor="_Toc232413252" w:history="1">
        <w:r w:rsidRPr="00931331">
          <w:rPr>
            <w:rStyle w:val="Hyperlink"/>
            <w:noProof/>
          </w:rPr>
          <w:t>1</w:t>
        </w:r>
        <w:r>
          <w:rPr>
            <w:rFonts w:eastAsiaTheme="minorEastAsia"/>
            <w:noProof/>
            <w:kern w:val="2"/>
            <w:sz w:val="24"/>
            <w:szCs w:val="24"/>
            <w:lang w:eastAsia="en-AU"/>
            <w14:ligatures w14:val="standardContextual"/>
          </w:rPr>
          <w:tab/>
        </w:r>
        <w:r w:rsidRPr="00931331">
          <w:rPr>
            <w:rStyle w:val="Hyperlink"/>
            <w:noProof/>
          </w:rPr>
          <w:t>Context</w:t>
        </w:r>
        <w:r>
          <w:rPr>
            <w:noProof/>
            <w:webHidden/>
          </w:rPr>
          <w:tab/>
        </w:r>
        <w:r>
          <w:rPr>
            <w:noProof/>
            <w:webHidden/>
          </w:rPr>
          <w:fldChar w:fldCharType="begin"/>
        </w:r>
        <w:r>
          <w:rPr>
            <w:noProof/>
            <w:webHidden/>
          </w:rPr>
          <w:instrText xml:space="preserve"> PAGEREF _Toc232413252 \h </w:instrText>
        </w:r>
        <w:r>
          <w:rPr>
            <w:noProof/>
            <w:webHidden/>
          </w:rPr>
        </w:r>
        <w:r>
          <w:rPr>
            <w:noProof/>
            <w:webHidden/>
          </w:rPr>
          <w:fldChar w:fldCharType="separate"/>
        </w:r>
        <w:r>
          <w:rPr>
            <w:noProof/>
            <w:webHidden/>
          </w:rPr>
          <w:t>4</w:t>
        </w:r>
        <w:r>
          <w:rPr>
            <w:noProof/>
            <w:webHidden/>
          </w:rPr>
          <w:fldChar w:fldCharType="end"/>
        </w:r>
      </w:hyperlink>
    </w:p>
    <w:p w14:paraId="3E48E5E6" w14:textId="40821CBA" w:rsidR="001161C0" w:rsidRDefault="001161C0">
      <w:pPr>
        <w:pStyle w:val="TOC1"/>
        <w:rPr>
          <w:rFonts w:eastAsiaTheme="minorEastAsia"/>
          <w:noProof/>
          <w:kern w:val="2"/>
          <w:sz w:val="24"/>
          <w:szCs w:val="24"/>
          <w:lang w:eastAsia="en-AU"/>
          <w14:ligatures w14:val="standardContextual"/>
        </w:rPr>
      </w:pPr>
      <w:hyperlink w:anchor="_Toc232413253" w:history="1">
        <w:r w:rsidRPr="00931331">
          <w:rPr>
            <w:rStyle w:val="Hyperlink"/>
            <w:noProof/>
          </w:rPr>
          <w:t>2</w:t>
        </w:r>
        <w:r>
          <w:rPr>
            <w:rFonts w:eastAsiaTheme="minorEastAsia"/>
            <w:noProof/>
            <w:kern w:val="2"/>
            <w:sz w:val="24"/>
            <w:szCs w:val="24"/>
            <w:lang w:eastAsia="en-AU"/>
            <w14:ligatures w14:val="standardContextual"/>
          </w:rPr>
          <w:tab/>
        </w:r>
        <w:r w:rsidRPr="00931331">
          <w:rPr>
            <w:rStyle w:val="Hyperlink"/>
            <w:noProof/>
          </w:rPr>
          <w:t>What should the federal government do?</w:t>
        </w:r>
        <w:r>
          <w:rPr>
            <w:noProof/>
            <w:webHidden/>
          </w:rPr>
          <w:tab/>
        </w:r>
        <w:r>
          <w:rPr>
            <w:noProof/>
            <w:webHidden/>
          </w:rPr>
          <w:fldChar w:fldCharType="begin"/>
        </w:r>
        <w:r>
          <w:rPr>
            <w:noProof/>
            <w:webHidden/>
          </w:rPr>
          <w:instrText xml:space="preserve"> PAGEREF _Toc232413253 \h </w:instrText>
        </w:r>
        <w:r>
          <w:rPr>
            <w:noProof/>
            <w:webHidden/>
          </w:rPr>
        </w:r>
        <w:r>
          <w:rPr>
            <w:noProof/>
            <w:webHidden/>
          </w:rPr>
          <w:fldChar w:fldCharType="separate"/>
        </w:r>
        <w:r>
          <w:rPr>
            <w:noProof/>
            <w:webHidden/>
          </w:rPr>
          <w:t>4</w:t>
        </w:r>
        <w:r>
          <w:rPr>
            <w:noProof/>
            <w:webHidden/>
          </w:rPr>
          <w:fldChar w:fldCharType="end"/>
        </w:r>
      </w:hyperlink>
    </w:p>
    <w:p w14:paraId="0DA87309" w14:textId="1D76BBB7"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54" w:history="1">
        <w:r w:rsidRPr="00931331">
          <w:rPr>
            <w:rStyle w:val="Hyperlink"/>
            <w:noProof/>
          </w:rPr>
          <w:t>2.1</w:t>
        </w:r>
        <w:r>
          <w:rPr>
            <w:rFonts w:eastAsiaTheme="minorEastAsia"/>
            <w:noProof/>
            <w:kern w:val="2"/>
            <w:sz w:val="24"/>
            <w:szCs w:val="24"/>
            <w:lang w:eastAsia="en-AU"/>
            <w14:ligatures w14:val="standardContextual"/>
          </w:rPr>
          <w:tab/>
        </w:r>
        <w:r w:rsidRPr="00931331">
          <w:rPr>
            <w:rStyle w:val="Hyperlink"/>
            <w:noProof/>
          </w:rPr>
          <w:t>Incentive payments</w:t>
        </w:r>
        <w:r>
          <w:rPr>
            <w:noProof/>
            <w:webHidden/>
          </w:rPr>
          <w:tab/>
        </w:r>
        <w:r>
          <w:rPr>
            <w:noProof/>
            <w:webHidden/>
          </w:rPr>
          <w:fldChar w:fldCharType="begin"/>
        </w:r>
        <w:r>
          <w:rPr>
            <w:noProof/>
            <w:webHidden/>
          </w:rPr>
          <w:instrText xml:space="preserve"> PAGEREF _Toc232413254 \h </w:instrText>
        </w:r>
        <w:r>
          <w:rPr>
            <w:noProof/>
            <w:webHidden/>
          </w:rPr>
        </w:r>
        <w:r>
          <w:rPr>
            <w:noProof/>
            <w:webHidden/>
          </w:rPr>
          <w:fldChar w:fldCharType="separate"/>
        </w:r>
        <w:r>
          <w:rPr>
            <w:noProof/>
            <w:webHidden/>
          </w:rPr>
          <w:t>4</w:t>
        </w:r>
        <w:r>
          <w:rPr>
            <w:noProof/>
            <w:webHidden/>
          </w:rPr>
          <w:fldChar w:fldCharType="end"/>
        </w:r>
      </w:hyperlink>
    </w:p>
    <w:p w14:paraId="1251E8E1" w14:textId="3F024385"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55" w:history="1">
        <w:r w:rsidRPr="00931331">
          <w:rPr>
            <w:rStyle w:val="Hyperlink"/>
            <w:noProof/>
          </w:rPr>
          <w:t>2.2</w:t>
        </w:r>
        <w:r>
          <w:rPr>
            <w:rFonts w:eastAsiaTheme="minorEastAsia"/>
            <w:noProof/>
            <w:kern w:val="2"/>
            <w:sz w:val="24"/>
            <w:szCs w:val="24"/>
            <w:lang w:eastAsia="en-AU"/>
            <w14:ligatures w14:val="standardContextual"/>
          </w:rPr>
          <w:tab/>
        </w:r>
        <w:r w:rsidRPr="00931331">
          <w:rPr>
            <w:rStyle w:val="Hyperlink"/>
            <w:noProof/>
          </w:rPr>
          <w:t>Infrastructure grants</w:t>
        </w:r>
        <w:r>
          <w:rPr>
            <w:noProof/>
            <w:webHidden/>
          </w:rPr>
          <w:tab/>
        </w:r>
        <w:r>
          <w:rPr>
            <w:noProof/>
            <w:webHidden/>
          </w:rPr>
          <w:fldChar w:fldCharType="begin"/>
        </w:r>
        <w:r>
          <w:rPr>
            <w:noProof/>
            <w:webHidden/>
          </w:rPr>
          <w:instrText xml:space="preserve"> PAGEREF _Toc232413255 \h </w:instrText>
        </w:r>
        <w:r>
          <w:rPr>
            <w:noProof/>
            <w:webHidden/>
          </w:rPr>
        </w:r>
        <w:r>
          <w:rPr>
            <w:noProof/>
            <w:webHidden/>
          </w:rPr>
          <w:fldChar w:fldCharType="separate"/>
        </w:r>
        <w:r>
          <w:rPr>
            <w:noProof/>
            <w:webHidden/>
          </w:rPr>
          <w:t>5</w:t>
        </w:r>
        <w:r>
          <w:rPr>
            <w:noProof/>
            <w:webHidden/>
          </w:rPr>
          <w:fldChar w:fldCharType="end"/>
        </w:r>
      </w:hyperlink>
    </w:p>
    <w:p w14:paraId="6B5FB396" w14:textId="71A1B8F7"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56" w:history="1">
        <w:r w:rsidRPr="00931331">
          <w:rPr>
            <w:rStyle w:val="Hyperlink"/>
            <w:noProof/>
          </w:rPr>
          <w:t>2.3</w:t>
        </w:r>
        <w:r>
          <w:rPr>
            <w:rFonts w:eastAsiaTheme="minorEastAsia"/>
            <w:noProof/>
            <w:kern w:val="2"/>
            <w:sz w:val="24"/>
            <w:szCs w:val="24"/>
            <w:lang w:eastAsia="en-AU"/>
            <w14:ligatures w14:val="standardContextual"/>
          </w:rPr>
          <w:tab/>
        </w:r>
        <w:r w:rsidRPr="00931331">
          <w:rPr>
            <w:rStyle w:val="Hyperlink"/>
            <w:noProof/>
          </w:rPr>
          <w:t>Education and research</w:t>
        </w:r>
        <w:r>
          <w:rPr>
            <w:noProof/>
            <w:webHidden/>
          </w:rPr>
          <w:tab/>
        </w:r>
        <w:r>
          <w:rPr>
            <w:noProof/>
            <w:webHidden/>
          </w:rPr>
          <w:fldChar w:fldCharType="begin"/>
        </w:r>
        <w:r>
          <w:rPr>
            <w:noProof/>
            <w:webHidden/>
          </w:rPr>
          <w:instrText xml:space="preserve"> PAGEREF _Toc232413256 \h </w:instrText>
        </w:r>
        <w:r>
          <w:rPr>
            <w:noProof/>
            <w:webHidden/>
          </w:rPr>
        </w:r>
        <w:r>
          <w:rPr>
            <w:noProof/>
            <w:webHidden/>
          </w:rPr>
          <w:fldChar w:fldCharType="separate"/>
        </w:r>
        <w:r>
          <w:rPr>
            <w:noProof/>
            <w:webHidden/>
          </w:rPr>
          <w:t>5</w:t>
        </w:r>
        <w:r>
          <w:rPr>
            <w:noProof/>
            <w:webHidden/>
          </w:rPr>
          <w:fldChar w:fldCharType="end"/>
        </w:r>
      </w:hyperlink>
    </w:p>
    <w:p w14:paraId="51797601" w14:textId="49EA9C40"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57" w:history="1">
        <w:r w:rsidRPr="00931331">
          <w:rPr>
            <w:rStyle w:val="Hyperlink"/>
            <w:noProof/>
          </w:rPr>
          <w:t>2.4</w:t>
        </w:r>
        <w:r>
          <w:rPr>
            <w:rFonts w:eastAsiaTheme="minorEastAsia"/>
            <w:noProof/>
            <w:kern w:val="2"/>
            <w:sz w:val="24"/>
            <w:szCs w:val="24"/>
            <w:lang w:eastAsia="en-AU"/>
            <w14:ligatures w14:val="standardContextual"/>
          </w:rPr>
          <w:tab/>
        </w:r>
        <w:r w:rsidRPr="00931331">
          <w:rPr>
            <w:rStyle w:val="Hyperlink"/>
            <w:noProof/>
          </w:rPr>
          <w:t>The rationale for federal involvement</w:t>
        </w:r>
        <w:r>
          <w:rPr>
            <w:noProof/>
            <w:webHidden/>
          </w:rPr>
          <w:tab/>
        </w:r>
        <w:r>
          <w:rPr>
            <w:noProof/>
            <w:webHidden/>
          </w:rPr>
          <w:fldChar w:fldCharType="begin"/>
        </w:r>
        <w:r>
          <w:rPr>
            <w:noProof/>
            <w:webHidden/>
          </w:rPr>
          <w:instrText xml:space="preserve"> PAGEREF _Toc232413257 \h </w:instrText>
        </w:r>
        <w:r>
          <w:rPr>
            <w:noProof/>
            <w:webHidden/>
          </w:rPr>
        </w:r>
        <w:r>
          <w:rPr>
            <w:noProof/>
            <w:webHidden/>
          </w:rPr>
          <w:fldChar w:fldCharType="separate"/>
        </w:r>
        <w:r>
          <w:rPr>
            <w:noProof/>
            <w:webHidden/>
          </w:rPr>
          <w:t>7</w:t>
        </w:r>
        <w:r>
          <w:rPr>
            <w:noProof/>
            <w:webHidden/>
          </w:rPr>
          <w:fldChar w:fldCharType="end"/>
        </w:r>
      </w:hyperlink>
    </w:p>
    <w:p w14:paraId="3BB0EF96" w14:textId="672D463E" w:rsidR="001161C0" w:rsidRDefault="001161C0">
      <w:pPr>
        <w:pStyle w:val="TOC1"/>
        <w:rPr>
          <w:rFonts w:eastAsiaTheme="minorEastAsia"/>
          <w:noProof/>
          <w:kern w:val="2"/>
          <w:sz w:val="24"/>
          <w:szCs w:val="24"/>
          <w:lang w:eastAsia="en-AU"/>
          <w14:ligatures w14:val="standardContextual"/>
        </w:rPr>
      </w:pPr>
      <w:hyperlink w:anchor="_Toc232413258" w:history="1">
        <w:r w:rsidRPr="00931331">
          <w:rPr>
            <w:rStyle w:val="Hyperlink"/>
            <w:noProof/>
          </w:rPr>
          <w:t>3</w:t>
        </w:r>
        <w:r>
          <w:rPr>
            <w:rFonts w:eastAsiaTheme="minorEastAsia"/>
            <w:noProof/>
            <w:kern w:val="2"/>
            <w:sz w:val="24"/>
            <w:szCs w:val="24"/>
            <w:lang w:eastAsia="en-AU"/>
            <w14:ligatures w14:val="standardContextual"/>
          </w:rPr>
          <w:tab/>
        </w:r>
        <w:r w:rsidRPr="00931331">
          <w:rPr>
            <w:rStyle w:val="Hyperlink"/>
            <w:noProof/>
          </w:rPr>
          <w:t>Alternative Federal policies</w:t>
        </w:r>
        <w:r>
          <w:rPr>
            <w:noProof/>
            <w:webHidden/>
          </w:rPr>
          <w:tab/>
        </w:r>
        <w:r>
          <w:rPr>
            <w:noProof/>
            <w:webHidden/>
          </w:rPr>
          <w:fldChar w:fldCharType="begin"/>
        </w:r>
        <w:r>
          <w:rPr>
            <w:noProof/>
            <w:webHidden/>
          </w:rPr>
          <w:instrText xml:space="preserve"> PAGEREF _Toc232413258 \h </w:instrText>
        </w:r>
        <w:r>
          <w:rPr>
            <w:noProof/>
            <w:webHidden/>
          </w:rPr>
        </w:r>
        <w:r>
          <w:rPr>
            <w:noProof/>
            <w:webHidden/>
          </w:rPr>
          <w:fldChar w:fldCharType="separate"/>
        </w:r>
        <w:r>
          <w:rPr>
            <w:noProof/>
            <w:webHidden/>
          </w:rPr>
          <w:t>8</w:t>
        </w:r>
        <w:r>
          <w:rPr>
            <w:noProof/>
            <w:webHidden/>
          </w:rPr>
          <w:fldChar w:fldCharType="end"/>
        </w:r>
      </w:hyperlink>
    </w:p>
    <w:p w14:paraId="0DE42490" w14:textId="6A18AD82"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59" w:history="1">
        <w:r w:rsidRPr="00931331">
          <w:rPr>
            <w:rStyle w:val="Hyperlink"/>
            <w:noProof/>
          </w:rPr>
          <w:t>3.1</w:t>
        </w:r>
        <w:r>
          <w:rPr>
            <w:rFonts w:eastAsiaTheme="minorEastAsia"/>
            <w:noProof/>
            <w:kern w:val="2"/>
            <w:sz w:val="24"/>
            <w:szCs w:val="24"/>
            <w:lang w:eastAsia="en-AU"/>
            <w14:ligatures w14:val="standardContextual"/>
          </w:rPr>
          <w:tab/>
        </w:r>
        <w:r w:rsidRPr="00931331">
          <w:rPr>
            <w:rStyle w:val="Hyperlink"/>
            <w:noProof/>
          </w:rPr>
          <w:t>Current policy priorities</w:t>
        </w:r>
        <w:r>
          <w:rPr>
            <w:noProof/>
            <w:webHidden/>
          </w:rPr>
          <w:tab/>
        </w:r>
        <w:r>
          <w:rPr>
            <w:noProof/>
            <w:webHidden/>
          </w:rPr>
          <w:fldChar w:fldCharType="begin"/>
        </w:r>
        <w:r>
          <w:rPr>
            <w:noProof/>
            <w:webHidden/>
          </w:rPr>
          <w:instrText xml:space="preserve"> PAGEREF _Toc232413259 \h </w:instrText>
        </w:r>
        <w:r>
          <w:rPr>
            <w:noProof/>
            <w:webHidden/>
          </w:rPr>
        </w:r>
        <w:r>
          <w:rPr>
            <w:noProof/>
            <w:webHidden/>
          </w:rPr>
          <w:fldChar w:fldCharType="separate"/>
        </w:r>
        <w:r>
          <w:rPr>
            <w:noProof/>
            <w:webHidden/>
          </w:rPr>
          <w:t>8</w:t>
        </w:r>
        <w:r>
          <w:rPr>
            <w:noProof/>
            <w:webHidden/>
          </w:rPr>
          <w:fldChar w:fldCharType="end"/>
        </w:r>
      </w:hyperlink>
    </w:p>
    <w:p w14:paraId="045B5E57" w14:textId="5D95D08A"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60" w:history="1">
        <w:r w:rsidRPr="00931331">
          <w:rPr>
            <w:rStyle w:val="Hyperlink"/>
            <w:noProof/>
          </w:rPr>
          <w:t>3.2</w:t>
        </w:r>
        <w:r>
          <w:rPr>
            <w:rFonts w:eastAsiaTheme="minorEastAsia"/>
            <w:noProof/>
            <w:kern w:val="2"/>
            <w:sz w:val="24"/>
            <w:szCs w:val="24"/>
            <w:lang w:eastAsia="en-AU"/>
            <w14:ligatures w14:val="standardContextual"/>
          </w:rPr>
          <w:tab/>
        </w:r>
        <w:r w:rsidRPr="00931331">
          <w:rPr>
            <w:rStyle w:val="Hyperlink"/>
            <w:noProof/>
          </w:rPr>
          <w:t>Competition payments</w:t>
        </w:r>
        <w:r>
          <w:rPr>
            <w:noProof/>
            <w:webHidden/>
          </w:rPr>
          <w:tab/>
        </w:r>
        <w:r>
          <w:rPr>
            <w:noProof/>
            <w:webHidden/>
          </w:rPr>
          <w:fldChar w:fldCharType="begin"/>
        </w:r>
        <w:r>
          <w:rPr>
            <w:noProof/>
            <w:webHidden/>
          </w:rPr>
          <w:instrText xml:space="preserve"> PAGEREF _Toc232413260 \h </w:instrText>
        </w:r>
        <w:r>
          <w:rPr>
            <w:noProof/>
            <w:webHidden/>
          </w:rPr>
        </w:r>
        <w:r>
          <w:rPr>
            <w:noProof/>
            <w:webHidden/>
          </w:rPr>
          <w:fldChar w:fldCharType="separate"/>
        </w:r>
        <w:r>
          <w:rPr>
            <w:noProof/>
            <w:webHidden/>
          </w:rPr>
          <w:t>9</w:t>
        </w:r>
        <w:r>
          <w:rPr>
            <w:noProof/>
            <w:webHidden/>
          </w:rPr>
          <w:fldChar w:fldCharType="end"/>
        </w:r>
      </w:hyperlink>
    </w:p>
    <w:p w14:paraId="403EE1A8" w14:textId="3968F14A" w:rsidR="001161C0" w:rsidRDefault="001161C0">
      <w:pPr>
        <w:pStyle w:val="TOC1"/>
        <w:rPr>
          <w:rFonts w:eastAsiaTheme="minorEastAsia"/>
          <w:noProof/>
          <w:kern w:val="2"/>
          <w:sz w:val="24"/>
          <w:szCs w:val="24"/>
          <w:lang w:eastAsia="en-AU"/>
          <w14:ligatures w14:val="standardContextual"/>
        </w:rPr>
      </w:pPr>
      <w:hyperlink w:anchor="_Toc232413261" w:history="1">
        <w:r w:rsidRPr="00931331">
          <w:rPr>
            <w:rStyle w:val="Hyperlink"/>
            <w:noProof/>
          </w:rPr>
          <w:t>4</w:t>
        </w:r>
        <w:r>
          <w:rPr>
            <w:rFonts w:eastAsiaTheme="minorEastAsia"/>
            <w:noProof/>
            <w:kern w:val="2"/>
            <w:sz w:val="24"/>
            <w:szCs w:val="24"/>
            <w:lang w:eastAsia="en-AU"/>
            <w14:ligatures w14:val="standardContextual"/>
          </w:rPr>
          <w:tab/>
        </w:r>
        <w:r w:rsidRPr="00931331">
          <w:rPr>
            <w:rStyle w:val="Hyperlink"/>
            <w:noProof/>
          </w:rPr>
          <w:t>State policies</w:t>
        </w:r>
        <w:r>
          <w:rPr>
            <w:noProof/>
            <w:webHidden/>
          </w:rPr>
          <w:tab/>
        </w:r>
        <w:r>
          <w:rPr>
            <w:noProof/>
            <w:webHidden/>
          </w:rPr>
          <w:fldChar w:fldCharType="begin"/>
        </w:r>
        <w:r>
          <w:rPr>
            <w:noProof/>
            <w:webHidden/>
          </w:rPr>
          <w:instrText xml:space="preserve"> PAGEREF _Toc232413261 \h </w:instrText>
        </w:r>
        <w:r>
          <w:rPr>
            <w:noProof/>
            <w:webHidden/>
          </w:rPr>
        </w:r>
        <w:r>
          <w:rPr>
            <w:noProof/>
            <w:webHidden/>
          </w:rPr>
          <w:fldChar w:fldCharType="separate"/>
        </w:r>
        <w:r>
          <w:rPr>
            <w:noProof/>
            <w:webHidden/>
          </w:rPr>
          <w:t>9</w:t>
        </w:r>
        <w:r>
          <w:rPr>
            <w:noProof/>
            <w:webHidden/>
          </w:rPr>
          <w:fldChar w:fldCharType="end"/>
        </w:r>
      </w:hyperlink>
    </w:p>
    <w:p w14:paraId="4763D0C2" w14:textId="5A577033"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62" w:history="1">
        <w:r w:rsidRPr="00931331">
          <w:rPr>
            <w:rStyle w:val="Hyperlink"/>
            <w:noProof/>
          </w:rPr>
          <w:t>4.1</w:t>
        </w:r>
        <w:r>
          <w:rPr>
            <w:rFonts w:eastAsiaTheme="minorEastAsia"/>
            <w:noProof/>
            <w:kern w:val="2"/>
            <w:sz w:val="24"/>
            <w:szCs w:val="24"/>
            <w:lang w:eastAsia="en-AU"/>
            <w14:ligatures w14:val="standardContextual"/>
          </w:rPr>
          <w:tab/>
        </w:r>
        <w:r w:rsidRPr="00931331">
          <w:rPr>
            <w:rStyle w:val="Hyperlink"/>
            <w:noProof/>
          </w:rPr>
          <w:t>Targets</w:t>
        </w:r>
        <w:r>
          <w:rPr>
            <w:noProof/>
            <w:webHidden/>
          </w:rPr>
          <w:tab/>
        </w:r>
        <w:r>
          <w:rPr>
            <w:noProof/>
            <w:webHidden/>
          </w:rPr>
          <w:fldChar w:fldCharType="begin"/>
        </w:r>
        <w:r>
          <w:rPr>
            <w:noProof/>
            <w:webHidden/>
          </w:rPr>
          <w:instrText xml:space="preserve"> PAGEREF _Toc232413262 \h </w:instrText>
        </w:r>
        <w:r>
          <w:rPr>
            <w:noProof/>
            <w:webHidden/>
          </w:rPr>
        </w:r>
        <w:r>
          <w:rPr>
            <w:noProof/>
            <w:webHidden/>
          </w:rPr>
          <w:fldChar w:fldCharType="separate"/>
        </w:r>
        <w:r>
          <w:rPr>
            <w:noProof/>
            <w:webHidden/>
          </w:rPr>
          <w:t>10</w:t>
        </w:r>
        <w:r>
          <w:rPr>
            <w:noProof/>
            <w:webHidden/>
          </w:rPr>
          <w:fldChar w:fldCharType="end"/>
        </w:r>
      </w:hyperlink>
    </w:p>
    <w:p w14:paraId="5B4C7D70" w14:textId="0B8B9BD0"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63" w:history="1">
        <w:r w:rsidRPr="00931331">
          <w:rPr>
            <w:rStyle w:val="Hyperlink"/>
            <w:noProof/>
          </w:rPr>
          <w:t>4.2</w:t>
        </w:r>
        <w:r>
          <w:rPr>
            <w:rFonts w:eastAsiaTheme="minorEastAsia"/>
            <w:noProof/>
            <w:kern w:val="2"/>
            <w:sz w:val="24"/>
            <w:szCs w:val="24"/>
            <w:lang w:eastAsia="en-AU"/>
            <w14:ligatures w14:val="standardContextual"/>
          </w:rPr>
          <w:tab/>
        </w:r>
        <w:r w:rsidRPr="00931331">
          <w:rPr>
            <w:rStyle w:val="Hyperlink"/>
            <w:noProof/>
          </w:rPr>
          <w:t>Affordable housing requirements</w:t>
        </w:r>
        <w:r>
          <w:rPr>
            <w:noProof/>
            <w:webHidden/>
          </w:rPr>
          <w:tab/>
        </w:r>
        <w:r>
          <w:rPr>
            <w:noProof/>
            <w:webHidden/>
          </w:rPr>
          <w:fldChar w:fldCharType="begin"/>
        </w:r>
        <w:r>
          <w:rPr>
            <w:noProof/>
            <w:webHidden/>
          </w:rPr>
          <w:instrText xml:space="preserve"> PAGEREF _Toc232413263 \h </w:instrText>
        </w:r>
        <w:r>
          <w:rPr>
            <w:noProof/>
            <w:webHidden/>
          </w:rPr>
        </w:r>
        <w:r>
          <w:rPr>
            <w:noProof/>
            <w:webHidden/>
          </w:rPr>
          <w:fldChar w:fldCharType="separate"/>
        </w:r>
        <w:r>
          <w:rPr>
            <w:noProof/>
            <w:webHidden/>
          </w:rPr>
          <w:t>11</w:t>
        </w:r>
        <w:r>
          <w:rPr>
            <w:noProof/>
            <w:webHidden/>
          </w:rPr>
          <w:fldChar w:fldCharType="end"/>
        </w:r>
      </w:hyperlink>
    </w:p>
    <w:p w14:paraId="20751F29" w14:textId="429FF8C4"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64" w:history="1">
        <w:r w:rsidRPr="00931331">
          <w:rPr>
            <w:rStyle w:val="Hyperlink"/>
            <w:noProof/>
          </w:rPr>
          <w:t>4.3</w:t>
        </w:r>
        <w:r>
          <w:rPr>
            <w:rFonts w:eastAsiaTheme="minorEastAsia"/>
            <w:noProof/>
            <w:kern w:val="2"/>
            <w:sz w:val="24"/>
            <w:szCs w:val="24"/>
            <w:lang w:eastAsia="en-AU"/>
            <w14:ligatures w14:val="standardContextual"/>
          </w:rPr>
          <w:tab/>
        </w:r>
        <w:r w:rsidRPr="00931331">
          <w:rPr>
            <w:rStyle w:val="Hyperlink"/>
            <w:noProof/>
          </w:rPr>
          <w:t>Red tape</w:t>
        </w:r>
        <w:r>
          <w:rPr>
            <w:noProof/>
            <w:webHidden/>
          </w:rPr>
          <w:tab/>
        </w:r>
        <w:r>
          <w:rPr>
            <w:noProof/>
            <w:webHidden/>
          </w:rPr>
          <w:fldChar w:fldCharType="begin"/>
        </w:r>
        <w:r>
          <w:rPr>
            <w:noProof/>
            <w:webHidden/>
          </w:rPr>
          <w:instrText xml:space="preserve"> PAGEREF _Toc232413264 \h </w:instrText>
        </w:r>
        <w:r>
          <w:rPr>
            <w:noProof/>
            <w:webHidden/>
          </w:rPr>
        </w:r>
        <w:r>
          <w:rPr>
            <w:noProof/>
            <w:webHidden/>
          </w:rPr>
          <w:fldChar w:fldCharType="separate"/>
        </w:r>
        <w:r>
          <w:rPr>
            <w:noProof/>
            <w:webHidden/>
          </w:rPr>
          <w:t>13</w:t>
        </w:r>
        <w:r>
          <w:rPr>
            <w:noProof/>
            <w:webHidden/>
          </w:rPr>
          <w:fldChar w:fldCharType="end"/>
        </w:r>
      </w:hyperlink>
    </w:p>
    <w:p w14:paraId="483929D5" w14:textId="2C9EA66C" w:rsidR="001161C0" w:rsidRDefault="001161C0">
      <w:pPr>
        <w:pStyle w:val="TOC2"/>
        <w:tabs>
          <w:tab w:val="left" w:pos="960"/>
          <w:tab w:val="right" w:leader="dot" w:pos="9016"/>
        </w:tabs>
        <w:rPr>
          <w:rFonts w:eastAsiaTheme="minorEastAsia"/>
          <w:noProof/>
          <w:kern w:val="2"/>
          <w:sz w:val="24"/>
          <w:szCs w:val="24"/>
          <w:lang w:eastAsia="en-AU"/>
          <w14:ligatures w14:val="standardContextual"/>
        </w:rPr>
      </w:pPr>
      <w:hyperlink w:anchor="_Toc232413265" w:history="1">
        <w:r w:rsidRPr="00931331">
          <w:rPr>
            <w:rStyle w:val="Hyperlink"/>
            <w:noProof/>
          </w:rPr>
          <w:t>4.4</w:t>
        </w:r>
        <w:r>
          <w:rPr>
            <w:rFonts w:eastAsiaTheme="minorEastAsia"/>
            <w:noProof/>
            <w:kern w:val="2"/>
            <w:sz w:val="24"/>
            <w:szCs w:val="24"/>
            <w:lang w:eastAsia="en-AU"/>
            <w14:ligatures w14:val="standardContextual"/>
          </w:rPr>
          <w:tab/>
        </w:r>
        <w:r w:rsidRPr="00931331">
          <w:rPr>
            <w:rStyle w:val="Hyperlink"/>
            <w:noProof/>
          </w:rPr>
          <w:t>Benefits of extra density</w:t>
        </w:r>
        <w:r>
          <w:rPr>
            <w:noProof/>
            <w:webHidden/>
          </w:rPr>
          <w:tab/>
        </w:r>
        <w:r>
          <w:rPr>
            <w:noProof/>
            <w:webHidden/>
          </w:rPr>
          <w:fldChar w:fldCharType="begin"/>
        </w:r>
        <w:r>
          <w:rPr>
            <w:noProof/>
            <w:webHidden/>
          </w:rPr>
          <w:instrText xml:space="preserve"> PAGEREF _Toc232413265 \h </w:instrText>
        </w:r>
        <w:r>
          <w:rPr>
            <w:noProof/>
            <w:webHidden/>
          </w:rPr>
        </w:r>
        <w:r>
          <w:rPr>
            <w:noProof/>
            <w:webHidden/>
          </w:rPr>
          <w:fldChar w:fldCharType="separate"/>
        </w:r>
        <w:r>
          <w:rPr>
            <w:noProof/>
            <w:webHidden/>
          </w:rPr>
          <w:t>14</w:t>
        </w:r>
        <w:r>
          <w:rPr>
            <w:noProof/>
            <w:webHidden/>
          </w:rPr>
          <w:fldChar w:fldCharType="end"/>
        </w:r>
      </w:hyperlink>
    </w:p>
    <w:p w14:paraId="1908B481" w14:textId="5406A439" w:rsidR="00CE4B3F" w:rsidRPr="00216489" w:rsidRDefault="009325A2" w:rsidP="009325A2">
      <w:pPr>
        <w:rPr>
          <w:rFonts w:cstheme="minorHAnsi"/>
        </w:rPr>
      </w:pPr>
      <w:r w:rsidRPr="00216489">
        <w:rPr>
          <w:rFonts w:ascii="Calibri" w:eastAsia="Calibri" w:hAnsi="Calibri" w:cs="font280"/>
        </w:rPr>
        <w:fldChar w:fldCharType="end"/>
      </w:r>
    </w:p>
    <w:p w14:paraId="02CF5495" w14:textId="77777777" w:rsidR="003008A3" w:rsidRDefault="003008A3" w:rsidP="007543B7">
      <w:pPr>
        <w:rPr>
          <w:b/>
          <w:bCs/>
        </w:rPr>
      </w:pPr>
    </w:p>
    <w:p w14:paraId="0218DD11" w14:textId="58B1B527" w:rsidR="002C7931" w:rsidRPr="00311AC9" w:rsidRDefault="004C3702" w:rsidP="00311AC9">
      <w:pPr>
        <w:keepNext/>
        <w:keepLines/>
        <w:suppressAutoHyphens/>
        <w:spacing w:before="240" w:after="0"/>
        <w:ind w:hanging="360"/>
        <w:jc w:val="center"/>
        <w:outlineLvl w:val="0"/>
        <w:rPr>
          <w:rFonts w:ascii="Calibri" w:eastAsia="font280" w:hAnsi="Calibri" w:cs="Calibri"/>
          <w:color w:val="2E74B5"/>
          <w:sz w:val="32"/>
          <w:szCs w:val="32"/>
          <w:lang w:val="en-US"/>
        </w:rPr>
      </w:pPr>
      <w:bookmarkStart w:id="1" w:name="_Toc232413251"/>
      <w:r w:rsidRPr="00311AC9">
        <w:rPr>
          <w:rFonts w:ascii="Calibri" w:eastAsia="font280" w:hAnsi="Calibri" w:cs="Calibri"/>
          <w:color w:val="2E74B5"/>
          <w:sz w:val="32"/>
          <w:szCs w:val="32"/>
          <w:lang w:val="en-US"/>
        </w:rPr>
        <w:t xml:space="preserve">Conclusions and </w:t>
      </w:r>
      <w:r w:rsidR="00B72E7E" w:rsidRPr="00311AC9">
        <w:rPr>
          <w:rFonts w:ascii="Calibri" w:eastAsia="font280" w:hAnsi="Calibri" w:cs="Calibri"/>
          <w:color w:val="2E74B5"/>
          <w:sz w:val="32"/>
          <w:szCs w:val="32"/>
          <w:lang w:val="en-US"/>
        </w:rPr>
        <w:t>Recommendations</w:t>
      </w:r>
      <w:bookmarkEnd w:id="1"/>
    </w:p>
    <w:p w14:paraId="1F25A0AD" w14:textId="5C2D61DF" w:rsidR="00B72E7E" w:rsidRDefault="002C7931" w:rsidP="0053510F">
      <w:pPr>
        <w:pStyle w:val="ListParagraph"/>
        <w:numPr>
          <w:ilvl w:val="0"/>
          <w:numId w:val="30"/>
        </w:numPr>
      </w:pPr>
      <w:r>
        <w:t xml:space="preserve">The Grants </w:t>
      </w:r>
      <w:r w:rsidR="00B72E7E">
        <w:t>Commission</w:t>
      </w:r>
      <w:r>
        <w:t xml:space="preserve"> should make G</w:t>
      </w:r>
      <w:r w:rsidR="004C3702">
        <w:t>S</w:t>
      </w:r>
      <w:r>
        <w:t xml:space="preserve">T distributions </w:t>
      </w:r>
      <w:r w:rsidR="00F6188B">
        <w:t>depend on housing completions.</w:t>
      </w:r>
      <w:r w:rsidR="00F01BD8">
        <w:t xml:space="preserve"> </w:t>
      </w:r>
    </w:p>
    <w:p w14:paraId="51328ED0" w14:textId="69008628" w:rsidR="00B72E7E" w:rsidRDefault="00175788" w:rsidP="0053510F">
      <w:pPr>
        <w:pStyle w:val="ListParagraph"/>
        <w:numPr>
          <w:ilvl w:val="0"/>
          <w:numId w:val="30"/>
        </w:numPr>
      </w:pPr>
      <w:r>
        <w:t>AHURI and NHSAC</w:t>
      </w:r>
      <w:r w:rsidR="00C237A6">
        <w:t xml:space="preserve"> —</w:t>
      </w:r>
      <w:r w:rsidR="001D5074">
        <w:t xml:space="preserve"> </w:t>
      </w:r>
      <w:r>
        <w:t>our t</w:t>
      </w:r>
      <w:r w:rsidR="00F01BD8">
        <w:t>axpayer-funded housing research bodies</w:t>
      </w:r>
      <w:r w:rsidR="00C237A6">
        <w:t xml:space="preserve"> —</w:t>
      </w:r>
      <w:r w:rsidR="00F01BD8">
        <w:t xml:space="preserve"> </w:t>
      </w:r>
      <w:r w:rsidR="00E364CD">
        <w:t xml:space="preserve">need to be </w:t>
      </w:r>
      <w:r w:rsidR="00F30F53">
        <w:t>overhauled</w:t>
      </w:r>
      <w:r w:rsidR="00C7497C">
        <w:t xml:space="preserve">, </w:t>
      </w:r>
      <w:proofErr w:type="gramStart"/>
      <w:r w:rsidR="00E91D49">
        <w:t xml:space="preserve">so as </w:t>
      </w:r>
      <w:r w:rsidR="00C7497C">
        <w:t>to</w:t>
      </w:r>
      <w:proofErr w:type="gramEnd"/>
      <w:r w:rsidR="00C7497C">
        <w:t xml:space="preserve"> contribute more </w:t>
      </w:r>
      <w:r w:rsidR="00525796">
        <w:t xml:space="preserve">constructively </w:t>
      </w:r>
      <w:r w:rsidR="00C7497C">
        <w:t>to policy discussions, especially through economic modelling.</w:t>
      </w:r>
      <w:r w:rsidR="00483D96">
        <w:t xml:space="preserve"> </w:t>
      </w:r>
    </w:p>
    <w:p w14:paraId="0981EE7F" w14:textId="585F2750" w:rsidR="00B72E7E" w:rsidRDefault="00752934" w:rsidP="0053510F">
      <w:pPr>
        <w:pStyle w:val="ListParagraph"/>
        <w:numPr>
          <w:ilvl w:val="0"/>
          <w:numId w:val="30"/>
        </w:numPr>
      </w:pPr>
      <w:r>
        <w:t xml:space="preserve">Federal </w:t>
      </w:r>
      <w:r w:rsidR="008F0E88">
        <w:t>grants</w:t>
      </w:r>
      <w:r>
        <w:t xml:space="preserve"> for policy reforms </w:t>
      </w:r>
      <w:r w:rsidR="006D62BF">
        <w:t>would</w:t>
      </w:r>
      <w:r w:rsidR="005854DB">
        <w:t xml:space="preserve"> improve public education, but paying </w:t>
      </w:r>
      <w:r w:rsidR="00B14D2A">
        <w:t>for</w:t>
      </w:r>
      <w:r w:rsidR="005854DB">
        <w:t xml:space="preserve"> outcomes </w:t>
      </w:r>
      <w:r w:rsidR="006058E1">
        <w:t>may</w:t>
      </w:r>
      <w:r w:rsidR="005854DB">
        <w:t xml:space="preserve"> be more effective.</w:t>
      </w:r>
      <w:r w:rsidR="002C782E">
        <w:t xml:space="preserve"> </w:t>
      </w:r>
    </w:p>
    <w:p w14:paraId="2AF78937" w14:textId="14D954A6" w:rsidR="00CC2D29" w:rsidRDefault="002C782E" w:rsidP="0053510F">
      <w:pPr>
        <w:pStyle w:val="ListParagraph"/>
        <w:numPr>
          <w:ilvl w:val="0"/>
          <w:numId w:val="30"/>
        </w:numPr>
      </w:pPr>
      <w:r>
        <w:t xml:space="preserve">State </w:t>
      </w:r>
      <w:r w:rsidR="0053510F">
        <w:t>governments</w:t>
      </w:r>
      <w:r>
        <w:t xml:space="preserve"> should set and enforce </w:t>
      </w:r>
      <w:r w:rsidR="00ED6577">
        <w:t xml:space="preserve">high </w:t>
      </w:r>
      <w:r>
        <w:t>housing targets for local councils.</w:t>
      </w:r>
      <w:r w:rsidR="00606F2B">
        <w:t xml:space="preserve"> </w:t>
      </w:r>
    </w:p>
    <w:p w14:paraId="17B1611D" w14:textId="15F97EDA" w:rsidR="004C3702" w:rsidRDefault="004C3702" w:rsidP="0053510F">
      <w:pPr>
        <w:pStyle w:val="ListParagraph"/>
        <w:numPr>
          <w:ilvl w:val="0"/>
          <w:numId w:val="30"/>
        </w:numPr>
      </w:pPr>
      <w:r>
        <w:t xml:space="preserve">Affordable housing requirements are </w:t>
      </w:r>
      <w:proofErr w:type="gramStart"/>
      <w:r w:rsidR="001A2DC7">
        <w:t>counter-productive</w:t>
      </w:r>
      <w:proofErr w:type="gramEnd"/>
      <w:r w:rsidR="001A2DC7">
        <w:t>. They</w:t>
      </w:r>
      <w:r w:rsidR="0053510F">
        <w:t xml:space="preserve"> </w:t>
      </w:r>
      <w:r w:rsidR="001A2DC7">
        <w:t>are a tax on development that worsen</w:t>
      </w:r>
      <w:r w:rsidR="00274CDA">
        <w:t>s</w:t>
      </w:r>
      <w:r w:rsidR="001A2DC7">
        <w:t xml:space="preserve"> overall affordability</w:t>
      </w:r>
    </w:p>
    <w:p w14:paraId="15C6E299" w14:textId="45A70D31" w:rsidR="005854DB" w:rsidRDefault="001A2DC7" w:rsidP="0053510F">
      <w:pPr>
        <w:pStyle w:val="ListParagraph"/>
        <w:numPr>
          <w:ilvl w:val="0"/>
          <w:numId w:val="30"/>
        </w:numPr>
      </w:pPr>
      <w:r>
        <w:t xml:space="preserve">Complexity and delay in the planning system </w:t>
      </w:r>
      <w:r w:rsidR="008902D4">
        <w:t>are</w:t>
      </w:r>
      <w:r>
        <w:t xml:space="preserve"> unnecessary cost</w:t>
      </w:r>
      <w:r w:rsidR="008902D4">
        <w:t>s</w:t>
      </w:r>
      <w:r>
        <w:t xml:space="preserve"> that should be reduced.</w:t>
      </w:r>
      <w:r w:rsidR="00606F2B">
        <w:t xml:space="preserve"> </w:t>
      </w:r>
      <w:r>
        <w:t xml:space="preserve">But the much </w:t>
      </w:r>
      <w:r w:rsidR="00C84151">
        <w:t>greater</w:t>
      </w:r>
      <w:r>
        <w:t xml:space="preserve"> problem is </w:t>
      </w:r>
      <w:r w:rsidR="00C00EDC">
        <w:t>simple prohibition on increased density.</w:t>
      </w:r>
    </w:p>
    <w:p w14:paraId="4BCDD121" w14:textId="33438F2F" w:rsidR="00C00EDC" w:rsidRDefault="00D307B1" w:rsidP="0053510F">
      <w:pPr>
        <w:pStyle w:val="ListParagraph"/>
        <w:numPr>
          <w:ilvl w:val="0"/>
          <w:numId w:val="30"/>
        </w:numPr>
      </w:pPr>
      <w:r>
        <w:t>The externalities of housing density are positive not negative. Instead of discouraging density, we should encourag</w:t>
      </w:r>
      <w:r w:rsidR="00057118">
        <w:t>e</w:t>
      </w:r>
      <w:r>
        <w:t xml:space="preserve"> it.</w:t>
      </w:r>
    </w:p>
    <w:p w14:paraId="6DBA91D1" w14:textId="29E84F57" w:rsidR="00754E2B" w:rsidRPr="007543B7" w:rsidRDefault="00C7497C" w:rsidP="007543B7">
      <w:r>
        <w:t xml:space="preserve"> </w:t>
      </w:r>
      <w:r w:rsidR="00754E2B" w:rsidRPr="007543B7">
        <w:br w:type="page"/>
      </w:r>
    </w:p>
    <w:p w14:paraId="1F2A7392" w14:textId="66BE4C4F" w:rsidR="008D0BA2" w:rsidRPr="00045BE3" w:rsidRDefault="00C63E70" w:rsidP="0020211C">
      <w:pPr>
        <w:pStyle w:val="Heading1"/>
      </w:pPr>
      <w:bookmarkStart w:id="2" w:name="_Toc232413252"/>
      <w:r w:rsidRPr="00045BE3">
        <w:lastRenderedPageBreak/>
        <w:t>Context</w:t>
      </w:r>
      <w:bookmarkEnd w:id="2"/>
    </w:p>
    <w:p w14:paraId="7832FE76" w14:textId="59CD2613" w:rsidR="00D357CC" w:rsidRDefault="00D357CC">
      <w:pPr>
        <w:rPr>
          <w:rFonts w:cstheme="minorHAnsi"/>
        </w:rPr>
      </w:pPr>
      <w:r>
        <w:rPr>
          <w:rFonts w:cstheme="minorHAnsi"/>
        </w:rPr>
        <w:t>Many of the issues raised in the Inquiry’s terms of reference are directly discussed</w:t>
      </w:r>
      <w:r w:rsidR="00217732">
        <w:rPr>
          <w:rFonts w:cstheme="minorHAnsi"/>
        </w:rPr>
        <w:t xml:space="preserve"> in the CIS Policy Paper </w:t>
      </w:r>
      <w:r w:rsidR="00217732" w:rsidRPr="00D126DD">
        <w:rPr>
          <w:rFonts w:cstheme="minorHAnsi"/>
          <w:i/>
          <w:iCs/>
        </w:rPr>
        <w:t>Housing Affordability and Supply Restrictions</w:t>
      </w:r>
      <w:r w:rsidR="009A5582">
        <w:rPr>
          <w:rFonts w:cstheme="minorHAnsi"/>
        </w:rPr>
        <w:t xml:space="preserve"> by </w:t>
      </w:r>
      <w:hyperlink r:id="rId12" w:history="1">
        <w:r w:rsidR="009A5582" w:rsidRPr="00046A80">
          <w:rPr>
            <w:rStyle w:val="Hyperlink"/>
            <w:rFonts w:cstheme="minorHAnsi"/>
          </w:rPr>
          <w:t>Peter Tulip</w:t>
        </w:r>
        <w:r w:rsidR="0047651E" w:rsidRPr="00046A80">
          <w:rPr>
            <w:rStyle w:val="Hyperlink"/>
            <w:rFonts w:cstheme="minorHAnsi"/>
          </w:rPr>
          <w:t xml:space="preserve"> (202</w:t>
        </w:r>
        <w:r w:rsidR="00046A80" w:rsidRPr="00046A80">
          <w:rPr>
            <w:rStyle w:val="Hyperlink"/>
            <w:rFonts w:cstheme="minorHAnsi"/>
          </w:rPr>
          <w:t>4)</w:t>
        </w:r>
      </w:hyperlink>
      <w:r w:rsidR="00B64F33">
        <w:rPr>
          <w:rFonts w:cstheme="minorHAnsi"/>
        </w:rPr>
        <w:t>,</w:t>
      </w:r>
      <w:r w:rsidR="00704A32">
        <w:rPr>
          <w:rFonts w:cstheme="minorHAnsi"/>
        </w:rPr>
        <w:t xml:space="preserve"> </w:t>
      </w:r>
      <w:r w:rsidR="00B64F33">
        <w:rPr>
          <w:rFonts w:cstheme="minorHAnsi"/>
        </w:rPr>
        <w:t>w</w:t>
      </w:r>
      <w:r w:rsidR="00704A32">
        <w:rPr>
          <w:rFonts w:cstheme="minorHAnsi"/>
        </w:rPr>
        <w:t xml:space="preserve">hich is </w:t>
      </w:r>
      <w:r w:rsidR="007464AF">
        <w:rPr>
          <w:rFonts w:cstheme="minorHAnsi"/>
        </w:rPr>
        <w:t>an</w:t>
      </w:r>
      <w:r w:rsidR="00704A32">
        <w:rPr>
          <w:rFonts w:cstheme="minorHAnsi"/>
        </w:rPr>
        <w:t xml:space="preserve"> </w:t>
      </w:r>
      <w:r w:rsidR="007464AF">
        <w:rPr>
          <w:rFonts w:cstheme="minorHAnsi"/>
        </w:rPr>
        <w:t>a</w:t>
      </w:r>
      <w:r w:rsidR="00704A32">
        <w:rPr>
          <w:rFonts w:cstheme="minorHAnsi"/>
        </w:rPr>
        <w:t xml:space="preserve">ttachment </w:t>
      </w:r>
      <w:r w:rsidR="007464AF">
        <w:rPr>
          <w:rFonts w:cstheme="minorHAnsi"/>
        </w:rPr>
        <w:t>to this submission</w:t>
      </w:r>
      <w:r w:rsidR="00704A32">
        <w:rPr>
          <w:rFonts w:cstheme="minorHAnsi"/>
        </w:rPr>
        <w:t xml:space="preserve">. </w:t>
      </w:r>
      <w:r w:rsidR="00B64F33">
        <w:rPr>
          <w:rFonts w:cstheme="minorHAnsi"/>
        </w:rPr>
        <w:t xml:space="preserve">In the two years since </w:t>
      </w:r>
      <w:r w:rsidR="00107210">
        <w:rPr>
          <w:rFonts w:cstheme="minorHAnsi"/>
        </w:rPr>
        <w:t>that paper wa</w:t>
      </w:r>
      <w:r w:rsidR="00585758">
        <w:rPr>
          <w:rFonts w:cstheme="minorHAnsi"/>
        </w:rPr>
        <w:t>s</w:t>
      </w:r>
      <w:r w:rsidR="00107210">
        <w:rPr>
          <w:rFonts w:cstheme="minorHAnsi"/>
        </w:rPr>
        <w:t xml:space="preserve"> released, </w:t>
      </w:r>
      <w:r w:rsidR="00450069">
        <w:rPr>
          <w:rFonts w:cstheme="minorHAnsi"/>
        </w:rPr>
        <w:t>a substantial</w:t>
      </w:r>
      <w:r w:rsidR="00107210">
        <w:rPr>
          <w:rFonts w:cstheme="minorHAnsi"/>
        </w:rPr>
        <w:t xml:space="preserve"> flow of research and evidence has only strengthened its conclusions.</w:t>
      </w:r>
      <w:r w:rsidR="00704A32">
        <w:rPr>
          <w:rFonts w:cstheme="minorHAnsi"/>
        </w:rPr>
        <w:t xml:space="preserve"> </w:t>
      </w:r>
    </w:p>
    <w:p w14:paraId="31CA3F47" w14:textId="04A1792C" w:rsidR="009A7038" w:rsidRDefault="00D126DD" w:rsidP="009A7038">
      <w:r>
        <w:rPr>
          <w:rFonts w:cstheme="minorHAnsi"/>
        </w:rPr>
        <w:t>T</w:t>
      </w:r>
      <w:r w:rsidR="00B9430A">
        <w:rPr>
          <w:rFonts w:cstheme="minorHAnsi"/>
        </w:rPr>
        <w:t xml:space="preserve">he paper argues that a wide variety of evidence </w:t>
      </w:r>
      <w:r w:rsidR="009146D3">
        <w:rPr>
          <w:rFonts w:cstheme="minorHAnsi"/>
        </w:rPr>
        <w:t>point</w:t>
      </w:r>
      <w:r w:rsidR="00601812">
        <w:rPr>
          <w:rFonts w:cstheme="minorHAnsi"/>
        </w:rPr>
        <w:t>s</w:t>
      </w:r>
      <w:r w:rsidR="009146D3">
        <w:rPr>
          <w:rFonts w:cstheme="minorHAnsi"/>
        </w:rPr>
        <w:t xml:space="preserve"> to planning restrictions </w:t>
      </w:r>
      <w:r w:rsidR="00810177">
        <w:rPr>
          <w:rFonts w:cstheme="minorHAnsi"/>
        </w:rPr>
        <w:t xml:space="preserve">substantially </w:t>
      </w:r>
      <w:r w:rsidR="00A1700F">
        <w:rPr>
          <w:rFonts w:cstheme="minorHAnsi"/>
        </w:rPr>
        <w:t xml:space="preserve">increasing the cost of </w:t>
      </w:r>
      <w:r w:rsidR="009146D3">
        <w:rPr>
          <w:rFonts w:cstheme="minorHAnsi"/>
        </w:rPr>
        <w:t>housing.</w:t>
      </w:r>
      <w:r w:rsidR="00606F2B">
        <w:rPr>
          <w:rFonts w:cstheme="minorHAnsi"/>
        </w:rPr>
        <w:t xml:space="preserve"> </w:t>
      </w:r>
      <w:r w:rsidR="001B2C1E">
        <w:rPr>
          <w:rFonts w:cstheme="minorHAnsi"/>
        </w:rPr>
        <w:t xml:space="preserve">That conclusion </w:t>
      </w:r>
      <w:r w:rsidR="00E52CFB">
        <w:rPr>
          <w:rFonts w:cstheme="minorHAnsi"/>
        </w:rPr>
        <w:t xml:space="preserve">is </w:t>
      </w:r>
      <w:r w:rsidR="00347A5C">
        <w:rPr>
          <w:rFonts w:cstheme="minorHAnsi"/>
        </w:rPr>
        <w:t xml:space="preserve">now </w:t>
      </w:r>
      <w:r w:rsidR="00045C7C">
        <w:rPr>
          <w:rFonts w:cstheme="minorHAnsi"/>
        </w:rPr>
        <w:t xml:space="preserve">very widely accepted, including </w:t>
      </w:r>
      <w:r w:rsidR="00E25D9A">
        <w:rPr>
          <w:rFonts w:cstheme="minorHAnsi"/>
        </w:rPr>
        <w:t xml:space="preserve">by </w:t>
      </w:r>
      <w:r w:rsidR="009A7038" w:rsidRPr="00C63C71">
        <w:t xml:space="preserve">the </w:t>
      </w:r>
      <w:hyperlink r:id="rId13" w:history="1">
        <w:r w:rsidR="009A7038" w:rsidRPr="00BE5FB3">
          <w:rPr>
            <w:rStyle w:val="Hyperlink"/>
          </w:rPr>
          <w:t>Commonwealth</w:t>
        </w:r>
      </w:hyperlink>
      <w:r w:rsidR="009A7038" w:rsidRPr="00C63C71">
        <w:t xml:space="preserve">, </w:t>
      </w:r>
      <w:hyperlink r:id="rId14" w:history="1">
        <w:r w:rsidR="009A7038" w:rsidRPr="00C63C71">
          <w:rPr>
            <w:rStyle w:val="Hyperlink"/>
          </w:rPr>
          <w:t>NSW</w:t>
        </w:r>
      </w:hyperlink>
      <w:r w:rsidR="009A7038" w:rsidRPr="00C63C71">
        <w:t xml:space="preserve"> and </w:t>
      </w:r>
      <w:hyperlink r:id="rId15" w:history="1">
        <w:r w:rsidR="009A7038" w:rsidRPr="00101671">
          <w:rPr>
            <w:rStyle w:val="Hyperlink"/>
          </w:rPr>
          <w:t>Queensland</w:t>
        </w:r>
      </w:hyperlink>
      <w:r w:rsidR="009A7038" w:rsidRPr="00C63C71">
        <w:t xml:space="preserve"> Productivity Commissions, </w:t>
      </w:r>
      <w:hyperlink r:id="rId16" w:history="1">
        <w:r w:rsidR="00045C7C" w:rsidRPr="00101671">
          <w:rPr>
            <w:rStyle w:val="Hyperlink"/>
          </w:rPr>
          <w:t>Treasury</w:t>
        </w:r>
      </w:hyperlink>
      <w:r w:rsidR="00045C7C" w:rsidRPr="00C63C71">
        <w:t xml:space="preserve">, </w:t>
      </w:r>
      <w:r w:rsidR="009A7038" w:rsidRPr="00C63C71">
        <w:t xml:space="preserve">the </w:t>
      </w:r>
      <w:hyperlink r:id="rId17" w:history="1">
        <w:r w:rsidR="009A7038" w:rsidRPr="00E81E36">
          <w:rPr>
            <w:rStyle w:val="Hyperlink"/>
          </w:rPr>
          <w:t>Grattan Institute</w:t>
        </w:r>
      </w:hyperlink>
      <w:r w:rsidR="009A7038" w:rsidRPr="00C63C71">
        <w:t xml:space="preserve">, </w:t>
      </w:r>
      <w:hyperlink r:id="rId18" w:history="1">
        <w:r w:rsidR="009A7038" w:rsidRPr="004B1B4A">
          <w:rPr>
            <w:rStyle w:val="Hyperlink"/>
          </w:rPr>
          <w:t>CEDA</w:t>
        </w:r>
      </w:hyperlink>
      <w:r w:rsidR="009A7038" w:rsidRPr="00C63C71">
        <w:t xml:space="preserve"> and many others.</w:t>
      </w:r>
      <w:r w:rsidR="001B2C1E">
        <w:t xml:space="preserve"> </w:t>
      </w:r>
      <w:r w:rsidR="004142FE">
        <w:t>T</w:t>
      </w:r>
      <w:r w:rsidR="005E0A0C">
        <w:rPr>
          <w:rFonts w:cstheme="minorHAnsi"/>
        </w:rPr>
        <w:t>his submission does not re</w:t>
      </w:r>
      <w:r w:rsidR="0055788E">
        <w:rPr>
          <w:rFonts w:cstheme="minorHAnsi"/>
        </w:rPr>
        <w:t>tread</w:t>
      </w:r>
      <w:r w:rsidR="006C307A">
        <w:rPr>
          <w:rFonts w:cstheme="minorHAnsi"/>
        </w:rPr>
        <w:t xml:space="preserve"> that ground.</w:t>
      </w:r>
    </w:p>
    <w:p w14:paraId="7F4567E6" w14:textId="6E1F97B1" w:rsidR="00347A5C" w:rsidRDefault="00897DD3">
      <w:pPr>
        <w:rPr>
          <w:rFonts w:cstheme="minorHAnsi"/>
        </w:rPr>
      </w:pPr>
      <w:r>
        <w:rPr>
          <w:rFonts w:cstheme="minorHAnsi"/>
        </w:rPr>
        <w:t>T</w:t>
      </w:r>
      <w:r w:rsidR="006240C2">
        <w:rPr>
          <w:rFonts w:cstheme="minorHAnsi"/>
        </w:rPr>
        <w:t>h</w:t>
      </w:r>
      <w:r>
        <w:rPr>
          <w:rFonts w:cstheme="minorHAnsi"/>
        </w:rPr>
        <w:t>ere are dissenters</w:t>
      </w:r>
      <w:r w:rsidR="00333C4F">
        <w:rPr>
          <w:rFonts w:cstheme="minorHAnsi"/>
        </w:rPr>
        <w:t xml:space="preserve"> from the mainstream view</w:t>
      </w:r>
      <w:r w:rsidR="00F416B5">
        <w:rPr>
          <w:rFonts w:cstheme="minorHAnsi"/>
        </w:rPr>
        <w:t>,</w:t>
      </w:r>
      <w:r w:rsidR="00333C4F" w:rsidRPr="004B00ED">
        <w:rPr>
          <w:rFonts w:cstheme="minorHAnsi"/>
          <w:lang w:val="en-US"/>
        </w:rPr>
        <w:t xml:space="preserve"> </w:t>
      </w:r>
      <w:r w:rsidR="00333C4F">
        <w:rPr>
          <w:rFonts w:cstheme="minorHAnsi"/>
          <w:lang w:val="en-US"/>
        </w:rPr>
        <w:t>including m</w:t>
      </w:r>
      <w:r w:rsidR="004B00ED" w:rsidRPr="004B00ED">
        <w:rPr>
          <w:rFonts w:cstheme="minorHAnsi"/>
          <w:lang w:val="en-US"/>
        </w:rPr>
        <w:t xml:space="preserve">embers of the </w:t>
      </w:r>
      <w:r w:rsidR="004B00ED" w:rsidRPr="004B00ED">
        <w:rPr>
          <w:rFonts w:cstheme="minorHAnsi"/>
        </w:rPr>
        <w:t xml:space="preserve">National Housing Supply and Affordability Council </w:t>
      </w:r>
      <w:r w:rsidR="00E25D9A">
        <w:rPr>
          <w:rFonts w:cstheme="minorHAnsi"/>
        </w:rPr>
        <w:t xml:space="preserve">(NHSAC) </w:t>
      </w:r>
      <w:r w:rsidR="004B00ED" w:rsidRPr="004B00ED">
        <w:rPr>
          <w:rFonts w:cstheme="minorHAnsi"/>
        </w:rPr>
        <w:t xml:space="preserve">and the Australian Housing and Urban Research Institute </w:t>
      </w:r>
      <w:r w:rsidR="00571223">
        <w:rPr>
          <w:rFonts w:cstheme="minorHAnsi"/>
        </w:rPr>
        <w:t>(AHURI)</w:t>
      </w:r>
      <w:r w:rsidR="004B00ED">
        <w:rPr>
          <w:rFonts w:cstheme="minorHAnsi"/>
        </w:rPr>
        <w:t xml:space="preserve">. However, </w:t>
      </w:r>
      <w:r w:rsidR="00E94C56">
        <w:rPr>
          <w:rFonts w:cstheme="minorHAnsi"/>
        </w:rPr>
        <w:t xml:space="preserve">it is difficult to find </w:t>
      </w:r>
      <w:r w:rsidR="00016570">
        <w:rPr>
          <w:rFonts w:cstheme="minorHAnsi"/>
        </w:rPr>
        <w:t>their objections</w:t>
      </w:r>
      <w:r w:rsidR="00E94C56">
        <w:rPr>
          <w:rFonts w:cstheme="minorHAnsi"/>
        </w:rPr>
        <w:t xml:space="preserve"> being </w:t>
      </w:r>
      <w:r w:rsidR="004B00ED">
        <w:rPr>
          <w:rFonts w:cstheme="minorHAnsi"/>
        </w:rPr>
        <w:t>taken seriously</w:t>
      </w:r>
      <w:r w:rsidR="00434447">
        <w:rPr>
          <w:rFonts w:cstheme="minorHAnsi"/>
        </w:rPr>
        <w:t xml:space="preserve"> in the research literature.</w:t>
      </w:r>
      <w:r w:rsidR="00606F2B">
        <w:rPr>
          <w:rFonts w:cstheme="minorHAnsi"/>
        </w:rPr>
        <w:t xml:space="preserve"> </w:t>
      </w:r>
      <w:hyperlink r:id="rId19" w:history="1">
        <w:r w:rsidR="00434447" w:rsidRPr="008D1D78">
          <w:rPr>
            <w:rStyle w:val="Hyperlink"/>
            <w:rFonts w:cstheme="minorHAnsi"/>
          </w:rPr>
          <w:t>Tulip (202</w:t>
        </w:r>
        <w:r w:rsidR="00CD63E2">
          <w:rPr>
            <w:rStyle w:val="Hyperlink"/>
            <w:rFonts w:cstheme="minorHAnsi"/>
          </w:rPr>
          <w:t>1</w:t>
        </w:r>
        <w:r w:rsidR="00434447" w:rsidRPr="008D1D78">
          <w:rPr>
            <w:rStyle w:val="Hyperlink"/>
            <w:rFonts w:cstheme="minorHAnsi"/>
          </w:rPr>
          <w:t>)</w:t>
        </w:r>
      </w:hyperlink>
      <w:r w:rsidR="00434447">
        <w:rPr>
          <w:rFonts w:cstheme="minorHAnsi"/>
        </w:rPr>
        <w:t xml:space="preserve"> argues </w:t>
      </w:r>
      <w:r w:rsidR="00D90E52">
        <w:rPr>
          <w:rFonts w:cstheme="minorHAnsi"/>
        </w:rPr>
        <w:t xml:space="preserve">they </w:t>
      </w:r>
      <w:r w:rsidR="004B00ED" w:rsidRPr="004B00ED">
        <w:rPr>
          <w:rFonts w:cstheme="minorHAnsi"/>
        </w:rPr>
        <w:t>reflect simple misunderstandings.</w:t>
      </w:r>
      <w:r w:rsidR="00810F37">
        <w:rPr>
          <w:rFonts w:cstheme="minorHAnsi"/>
        </w:rPr>
        <w:t xml:space="preserve"> S</w:t>
      </w:r>
      <w:r w:rsidR="0063597B">
        <w:rPr>
          <w:rFonts w:cstheme="minorHAnsi"/>
        </w:rPr>
        <w:t>o</w:t>
      </w:r>
      <w:r w:rsidR="00810F37">
        <w:rPr>
          <w:rFonts w:cstheme="minorHAnsi"/>
        </w:rPr>
        <w:t xml:space="preserve">me of these misunderstandings are discussed in Section 6 of </w:t>
      </w:r>
      <w:r w:rsidR="00EC3B47">
        <w:rPr>
          <w:rFonts w:cstheme="minorHAnsi"/>
        </w:rPr>
        <w:t xml:space="preserve">the </w:t>
      </w:r>
      <w:hyperlink r:id="rId20" w:history="1">
        <w:r w:rsidR="0074431F" w:rsidRPr="00355821">
          <w:rPr>
            <w:rStyle w:val="Hyperlink"/>
            <w:rFonts w:cstheme="minorHAnsi"/>
          </w:rPr>
          <w:t>Attachment</w:t>
        </w:r>
      </w:hyperlink>
      <w:r w:rsidR="0074431F">
        <w:rPr>
          <w:rFonts w:cstheme="minorHAnsi"/>
        </w:rPr>
        <w:t>.</w:t>
      </w:r>
    </w:p>
    <w:p w14:paraId="2A63CBF2" w14:textId="1372CD6D" w:rsidR="0097099F" w:rsidRDefault="00823490">
      <w:pPr>
        <w:rPr>
          <w:rFonts w:cstheme="minorHAnsi"/>
        </w:rPr>
      </w:pPr>
      <w:r>
        <w:rPr>
          <w:rFonts w:cstheme="minorHAnsi"/>
        </w:rPr>
        <w:t>The main policy recommendation of the mainstr</w:t>
      </w:r>
      <w:r w:rsidR="00DE1F45">
        <w:rPr>
          <w:rFonts w:cstheme="minorHAnsi"/>
        </w:rPr>
        <w:t xml:space="preserve">eam </w:t>
      </w:r>
      <w:r w:rsidR="006E00F3">
        <w:rPr>
          <w:rFonts w:cstheme="minorHAnsi"/>
        </w:rPr>
        <w:t>view</w:t>
      </w:r>
      <w:r w:rsidR="00DE1F45">
        <w:rPr>
          <w:rFonts w:cstheme="minorHAnsi"/>
        </w:rPr>
        <w:t xml:space="preserve"> is that </w:t>
      </w:r>
      <w:r w:rsidR="00931532">
        <w:rPr>
          <w:rFonts w:cstheme="minorHAnsi"/>
        </w:rPr>
        <w:t>s</w:t>
      </w:r>
      <w:r w:rsidR="00DE1F45">
        <w:rPr>
          <w:rFonts w:cstheme="minorHAnsi"/>
        </w:rPr>
        <w:t>tate governments should over-ride local councils</w:t>
      </w:r>
      <w:r w:rsidR="00B72046">
        <w:rPr>
          <w:rFonts w:cstheme="minorHAnsi"/>
        </w:rPr>
        <w:t>’</w:t>
      </w:r>
      <w:r w:rsidR="00DE1F45">
        <w:rPr>
          <w:rFonts w:cstheme="minorHAnsi"/>
        </w:rPr>
        <w:t xml:space="preserve"> planning restrictions to </w:t>
      </w:r>
      <w:r w:rsidR="00E77826">
        <w:rPr>
          <w:rFonts w:cstheme="minorHAnsi"/>
        </w:rPr>
        <w:t xml:space="preserve">allow greater housing density, especially </w:t>
      </w:r>
      <w:r w:rsidR="00AF30EF">
        <w:rPr>
          <w:rFonts w:cstheme="minorHAnsi"/>
        </w:rPr>
        <w:t xml:space="preserve">near transport centres </w:t>
      </w:r>
      <w:r w:rsidR="00E77826">
        <w:rPr>
          <w:rFonts w:cstheme="minorHAnsi"/>
        </w:rPr>
        <w:t>in the inner suburbs of our major cities</w:t>
      </w:r>
      <w:r w:rsidR="00AF30EF">
        <w:rPr>
          <w:rFonts w:cstheme="minorHAnsi"/>
        </w:rPr>
        <w:t>.</w:t>
      </w:r>
      <w:r w:rsidR="00606F2B">
        <w:rPr>
          <w:rFonts w:cstheme="minorHAnsi"/>
        </w:rPr>
        <w:t xml:space="preserve"> </w:t>
      </w:r>
      <w:r w:rsidR="00AF30EF">
        <w:rPr>
          <w:rFonts w:cstheme="minorHAnsi"/>
        </w:rPr>
        <w:t>This is happening</w:t>
      </w:r>
      <w:r w:rsidR="00B72046">
        <w:rPr>
          <w:rFonts w:cstheme="minorHAnsi"/>
        </w:rPr>
        <w:t xml:space="preserve"> in NSW and Victoria</w:t>
      </w:r>
      <w:r w:rsidR="0088641C">
        <w:rPr>
          <w:rFonts w:cstheme="minorHAnsi"/>
        </w:rPr>
        <w:t xml:space="preserve">, where </w:t>
      </w:r>
      <w:r w:rsidR="002018B0">
        <w:rPr>
          <w:rFonts w:cstheme="minorHAnsi"/>
        </w:rPr>
        <w:t>h</w:t>
      </w:r>
      <w:r w:rsidR="00AF06B2">
        <w:rPr>
          <w:rFonts w:cstheme="minorHAnsi"/>
        </w:rPr>
        <w:t>ousing policy is substantially in line</w:t>
      </w:r>
      <w:r w:rsidR="00A44CFA">
        <w:rPr>
          <w:rFonts w:cstheme="minorHAnsi"/>
        </w:rPr>
        <w:t xml:space="preserve"> with the available </w:t>
      </w:r>
      <w:r w:rsidR="00F40E5B">
        <w:rPr>
          <w:rFonts w:cstheme="minorHAnsi"/>
        </w:rPr>
        <w:t>r</w:t>
      </w:r>
      <w:r w:rsidR="00D61244">
        <w:rPr>
          <w:rFonts w:cstheme="minorHAnsi"/>
        </w:rPr>
        <w:t>esearch</w:t>
      </w:r>
      <w:r w:rsidR="00687FE4">
        <w:rPr>
          <w:rFonts w:cstheme="minorHAnsi"/>
        </w:rPr>
        <w:t>.</w:t>
      </w:r>
      <w:r w:rsidR="004224EE">
        <w:rPr>
          <w:rFonts w:cstheme="minorHAnsi"/>
        </w:rPr>
        <w:t xml:space="preserve"> </w:t>
      </w:r>
      <w:r w:rsidR="00DA7C99">
        <w:rPr>
          <w:rFonts w:cstheme="minorHAnsi"/>
        </w:rPr>
        <w:t xml:space="preserve">The </w:t>
      </w:r>
      <w:hyperlink r:id="rId21" w:history="1">
        <w:r w:rsidR="004224EE" w:rsidRPr="00AA77BC">
          <w:rPr>
            <w:rStyle w:val="Hyperlink"/>
            <w:rFonts w:cstheme="minorHAnsi"/>
          </w:rPr>
          <w:t>Queensland Productivity Commissi</w:t>
        </w:r>
        <w:r w:rsidR="00B15684" w:rsidRPr="00AA77BC">
          <w:rPr>
            <w:rStyle w:val="Hyperlink"/>
            <w:rFonts w:cstheme="minorHAnsi"/>
          </w:rPr>
          <w:t>on</w:t>
        </w:r>
      </w:hyperlink>
      <w:r w:rsidR="004224EE">
        <w:rPr>
          <w:rFonts w:cstheme="minorHAnsi"/>
        </w:rPr>
        <w:t xml:space="preserve"> </w:t>
      </w:r>
      <w:r w:rsidR="00E14A7B">
        <w:rPr>
          <w:rFonts w:cstheme="minorHAnsi"/>
        </w:rPr>
        <w:t xml:space="preserve">(2025) </w:t>
      </w:r>
      <w:r w:rsidR="004224EE">
        <w:rPr>
          <w:rFonts w:cstheme="minorHAnsi"/>
        </w:rPr>
        <w:t xml:space="preserve">has </w:t>
      </w:r>
      <w:r w:rsidR="00C45383">
        <w:rPr>
          <w:rFonts w:cstheme="minorHAnsi"/>
        </w:rPr>
        <w:t xml:space="preserve">made </w:t>
      </w:r>
      <w:r w:rsidR="006E00BC">
        <w:rPr>
          <w:rFonts w:cstheme="minorHAnsi"/>
        </w:rPr>
        <w:t xml:space="preserve">similar </w:t>
      </w:r>
      <w:r w:rsidR="00C45383">
        <w:rPr>
          <w:rFonts w:cstheme="minorHAnsi"/>
        </w:rPr>
        <w:t>argume</w:t>
      </w:r>
      <w:r w:rsidR="00E14A7B">
        <w:rPr>
          <w:rFonts w:cstheme="minorHAnsi"/>
        </w:rPr>
        <w:t>nts</w:t>
      </w:r>
      <w:r w:rsidR="00C45383">
        <w:rPr>
          <w:rFonts w:cstheme="minorHAnsi"/>
        </w:rPr>
        <w:t xml:space="preserve"> for reform</w:t>
      </w:r>
      <w:r w:rsidR="00E14A7B">
        <w:rPr>
          <w:rFonts w:cstheme="minorHAnsi"/>
        </w:rPr>
        <w:t xml:space="preserve">, </w:t>
      </w:r>
      <w:r w:rsidR="00B15684">
        <w:rPr>
          <w:rFonts w:cstheme="minorHAnsi"/>
        </w:rPr>
        <w:t>which have been rejected by the Queensland government</w:t>
      </w:r>
      <w:r w:rsidR="00A460F2">
        <w:rPr>
          <w:rFonts w:cstheme="minorHAnsi"/>
        </w:rPr>
        <w:t xml:space="preserve"> </w:t>
      </w:r>
      <w:r w:rsidR="004962DC">
        <w:rPr>
          <w:rFonts w:cstheme="minorHAnsi"/>
        </w:rPr>
        <w:t>(</w:t>
      </w:r>
      <w:proofErr w:type="spellStart"/>
      <w:r w:rsidR="00F9086F">
        <w:fldChar w:fldCharType="begin"/>
      </w:r>
      <w:r w:rsidR="00F9086F">
        <w:instrText>HYPERLINK "https://www.smh.com.au/politics/queensland/lnp-to-retain-character-zoning-to-protect-queenslander-homes-20260121-p5nvt3.html"</w:instrText>
      </w:r>
      <w:r w:rsidR="00F9086F">
        <w:fldChar w:fldCharType="separate"/>
      </w:r>
      <w:r w:rsidR="00F9086F" w:rsidRPr="00FC7C87">
        <w:rPr>
          <w:rStyle w:val="Hyperlink"/>
          <w:rFonts w:cstheme="minorHAnsi"/>
        </w:rPr>
        <w:t>Dennien</w:t>
      </w:r>
      <w:proofErr w:type="spellEnd"/>
      <w:r w:rsidR="00F9086F" w:rsidRPr="00FC7C87">
        <w:rPr>
          <w:rStyle w:val="Hyperlink"/>
          <w:rFonts w:cstheme="minorHAnsi"/>
        </w:rPr>
        <w:t>, 2026</w:t>
      </w:r>
      <w:r w:rsidR="00F9086F">
        <w:fldChar w:fldCharType="end"/>
      </w:r>
      <w:r w:rsidR="00F9086F">
        <w:rPr>
          <w:rFonts w:cstheme="minorHAnsi"/>
        </w:rPr>
        <w:t>)</w:t>
      </w:r>
      <w:r w:rsidR="00FB1D6C">
        <w:rPr>
          <w:rFonts w:cstheme="minorHAnsi"/>
        </w:rPr>
        <w:t>.</w:t>
      </w:r>
      <w:r w:rsidR="00606F2B">
        <w:rPr>
          <w:rFonts w:cstheme="minorHAnsi"/>
        </w:rPr>
        <w:t xml:space="preserve"> </w:t>
      </w:r>
    </w:p>
    <w:p w14:paraId="003071BD" w14:textId="3C4754C3" w:rsidR="00BC6794" w:rsidRDefault="00C567AF">
      <w:pPr>
        <w:rPr>
          <w:rFonts w:cstheme="minorHAnsi"/>
        </w:rPr>
      </w:pPr>
      <w:r>
        <w:rPr>
          <w:rFonts w:cstheme="minorHAnsi"/>
        </w:rPr>
        <w:t xml:space="preserve">Given </w:t>
      </w:r>
      <w:r w:rsidR="0045012B">
        <w:rPr>
          <w:rFonts w:cstheme="minorHAnsi"/>
        </w:rPr>
        <w:t xml:space="preserve">these </w:t>
      </w:r>
      <w:r>
        <w:rPr>
          <w:rFonts w:cstheme="minorHAnsi"/>
        </w:rPr>
        <w:t>state developments</w:t>
      </w:r>
      <w:r w:rsidR="00FB1D6C">
        <w:rPr>
          <w:rFonts w:cstheme="minorHAnsi"/>
        </w:rPr>
        <w:t>,</w:t>
      </w:r>
      <w:r w:rsidR="00D166FA">
        <w:rPr>
          <w:rFonts w:cstheme="minorHAnsi"/>
        </w:rPr>
        <w:t xml:space="preserve"> </w:t>
      </w:r>
      <w:r w:rsidR="00FB1D6C">
        <w:rPr>
          <w:rFonts w:cstheme="minorHAnsi"/>
        </w:rPr>
        <w:t>t</w:t>
      </w:r>
      <w:r w:rsidR="00D61244">
        <w:rPr>
          <w:rFonts w:cstheme="minorHAnsi"/>
        </w:rPr>
        <w:t>he</w:t>
      </w:r>
      <w:r w:rsidR="002E5A4C">
        <w:rPr>
          <w:rFonts w:cstheme="minorHAnsi"/>
        </w:rPr>
        <w:t xml:space="preserve"> c</w:t>
      </w:r>
      <w:r w:rsidR="00D61244">
        <w:rPr>
          <w:rFonts w:cstheme="minorHAnsi"/>
        </w:rPr>
        <w:t>leare</w:t>
      </w:r>
      <w:r w:rsidR="002E5A4C">
        <w:rPr>
          <w:rFonts w:cstheme="minorHAnsi"/>
        </w:rPr>
        <w:t>st</w:t>
      </w:r>
      <w:r w:rsidR="00D61244">
        <w:rPr>
          <w:rFonts w:cstheme="minorHAnsi"/>
        </w:rPr>
        <w:t xml:space="preserve"> scope for improvements in </w:t>
      </w:r>
      <w:r w:rsidR="009C6DF3">
        <w:rPr>
          <w:rFonts w:cstheme="minorHAnsi"/>
        </w:rPr>
        <w:t>policy</w:t>
      </w:r>
      <w:r w:rsidR="002E5A4C" w:rsidRPr="002E5A4C">
        <w:rPr>
          <w:rFonts w:cstheme="minorHAnsi"/>
        </w:rPr>
        <w:t xml:space="preserve"> </w:t>
      </w:r>
      <w:r w:rsidR="002E5A4C">
        <w:rPr>
          <w:rFonts w:cstheme="minorHAnsi"/>
        </w:rPr>
        <w:t xml:space="preserve">is at a </w:t>
      </w:r>
      <w:r w:rsidR="00CF0D2F">
        <w:rPr>
          <w:rFonts w:cstheme="minorHAnsi"/>
        </w:rPr>
        <w:t>federal</w:t>
      </w:r>
      <w:r w:rsidR="002E5A4C">
        <w:rPr>
          <w:rFonts w:cstheme="minorHAnsi"/>
        </w:rPr>
        <w:t xml:space="preserve"> </w:t>
      </w:r>
      <w:r>
        <w:rPr>
          <w:rFonts w:cstheme="minorHAnsi"/>
        </w:rPr>
        <w:t>level</w:t>
      </w:r>
      <w:r w:rsidR="00872FEF">
        <w:rPr>
          <w:rFonts w:cstheme="minorHAnsi"/>
        </w:rPr>
        <w:t>, which w</w:t>
      </w:r>
      <w:r w:rsidR="007C5E60">
        <w:rPr>
          <w:rFonts w:cstheme="minorHAnsi"/>
        </w:rPr>
        <w:t>e discuss first.</w:t>
      </w:r>
    </w:p>
    <w:p w14:paraId="307CDE4A" w14:textId="701388BF" w:rsidR="00D32927" w:rsidRDefault="002D411C" w:rsidP="0020211C">
      <w:pPr>
        <w:pStyle w:val="Heading1"/>
      </w:pPr>
      <w:bookmarkStart w:id="3" w:name="_Toc232413253"/>
      <w:r>
        <w:t>What should the federal government do?</w:t>
      </w:r>
      <w:bookmarkEnd w:id="3"/>
    </w:p>
    <w:p w14:paraId="087058F8" w14:textId="4E38C8FD" w:rsidR="000E6E0F" w:rsidRPr="00582806" w:rsidRDefault="00F61E22" w:rsidP="00582806">
      <w:r>
        <w:t xml:space="preserve">Land use regulation is the responsibility of state and local governments. </w:t>
      </w:r>
      <w:r w:rsidR="001E7A63">
        <w:t>Detailed</w:t>
      </w:r>
      <w:r w:rsidR="00987E67">
        <w:t xml:space="preserve"> </w:t>
      </w:r>
      <w:r w:rsidR="001E7A63">
        <w:t>federal</w:t>
      </w:r>
      <w:r w:rsidR="00987E67">
        <w:t xml:space="preserve"> involvement, creating a third level of </w:t>
      </w:r>
      <w:r w:rsidR="00DF3A6A">
        <w:t xml:space="preserve">planning </w:t>
      </w:r>
      <w:r w:rsidR="00987E67">
        <w:t>bure</w:t>
      </w:r>
      <w:r w:rsidR="0033644E">
        <w:t xml:space="preserve">aucracy, would not be </w:t>
      </w:r>
      <w:r w:rsidR="00977CB3">
        <w:t xml:space="preserve">sensible or </w:t>
      </w:r>
      <w:r w:rsidR="00DB1D83">
        <w:t xml:space="preserve">consistent with the </w:t>
      </w:r>
      <w:r w:rsidR="003508C1">
        <w:t>constit</w:t>
      </w:r>
      <w:r w:rsidR="00DC3422">
        <w:t>ution</w:t>
      </w:r>
      <w:r w:rsidR="0033644E">
        <w:t>. Nevertheless, the federal government</w:t>
      </w:r>
      <w:r w:rsidR="004937A5">
        <w:t xml:space="preserve"> </w:t>
      </w:r>
      <w:r w:rsidR="00667998">
        <w:t xml:space="preserve">should </w:t>
      </w:r>
      <w:proofErr w:type="gramStart"/>
      <w:r w:rsidR="00667998">
        <w:t>provide</w:t>
      </w:r>
      <w:r w:rsidR="003217B5">
        <w:t xml:space="preserve"> assistance</w:t>
      </w:r>
      <w:proofErr w:type="gramEnd"/>
      <w:r w:rsidR="003217B5">
        <w:t>, education and encouragement.</w:t>
      </w:r>
    </w:p>
    <w:p w14:paraId="20C3F2E1" w14:textId="4F4D4430" w:rsidR="00AB6FE9" w:rsidRDefault="00874495" w:rsidP="00CC4AAF">
      <w:pPr>
        <w:pStyle w:val="Heading2"/>
      </w:pPr>
      <w:bookmarkStart w:id="4" w:name="_Toc232413254"/>
      <w:r>
        <w:t>Incentive payments</w:t>
      </w:r>
      <w:bookmarkEnd w:id="4"/>
    </w:p>
    <w:p w14:paraId="2D444FBE" w14:textId="363F7D34" w:rsidR="006C32F4" w:rsidRDefault="00B60BD0" w:rsidP="00B60BD0">
      <w:r w:rsidRPr="000723F5">
        <w:t xml:space="preserve">The </w:t>
      </w:r>
      <w:r w:rsidRPr="00150FE9">
        <w:t>New Homes Bonus</w:t>
      </w:r>
      <w:r>
        <w:t xml:space="preserve"> is a simple and direct method of </w:t>
      </w:r>
      <w:r w:rsidR="00110133">
        <w:t>encouraging and assisting</w:t>
      </w:r>
      <w:r w:rsidR="008D271D">
        <w:t xml:space="preserve"> states to build more homes</w:t>
      </w:r>
      <w:r>
        <w:t>. Essentially the Commonwealth provides each state $15,000 per dwelling within given thresholds. However, those thresholds are so high that very few bonuses ($7</w:t>
      </w:r>
      <w:r w:rsidR="00640A5D">
        <w:t>00 million</w:t>
      </w:r>
      <w:r w:rsidR="00BC14D1">
        <w:t xml:space="preserve"> </w:t>
      </w:r>
      <w:r w:rsidR="00F85990">
        <w:t>of a</w:t>
      </w:r>
      <w:r w:rsidR="001F1990">
        <w:t xml:space="preserve"> potential $3 billion</w:t>
      </w:r>
      <w:r>
        <w:t xml:space="preserve">) are expected to be paid. </w:t>
      </w:r>
      <w:r w:rsidR="008D271D">
        <w:t>Even</w:t>
      </w:r>
      <w:r w:rsidR="0013128A">
        <w:t xml:space="preserve"> at the m</w:t>
      </w:r>
      <w:r w:rsidR="00F75077">
        <w:t>a</w:t>
      </w:r>
      <w:r w:rsidR="0013128A">
        <w:t xml:space="preserve">ximum threshold, </w:t>
      </w:r>
      <w:r w:rsidR="00F1288C">
        <w:t xml:space="preserve">transfer </w:t>
      </w:r>
      <w:r w:rsidR="0013128A">
        <w:t>payments of</w:t>
      </w:r>
      <w:r w:rsidR="00B239CA">
        <w:t xml:space="preserve"> only</w:t>
      </w:r>
      <w:r w:rsidR="0013128A">
        <w:t xml:space="preserve"> $3</w:t>
      </w:r>
      <w:r w:rsidR="000A0AFD">
        <w:t> </w:t>
      </w:r>
      <w:r w:rsidR="0013128A">
        <w:t>billion</w:t>
      </w:r>
      <w:r w:rsidR="00F1288C">
        <w:t xml:space="preserve"> do not seem commensurate with what </w:t>
      </w:r>
      <w:r w:rsidR="00F75077">
        <w:t xml:space="preserve">opinion polls say is our top social problem. </w:t>
      </w:r>
      <w:r>
        <w:t>Moreover, it will not be paid till 2029, which is too late to improve incentives or provide financial assistance. Those making the hard decisions to increase supply now will be gone when the money is paid.</w:t>
      </w:r>
      <w:r w:rsidR="00606F2B">
        <w:t xml:space="preserve"> </w:t>
      </w:r>
    </w:p>
    <w:p w14:paraId="210DDA14" w14:textId="00E4011C" w:rsidR="00B60BD0" w:rsidRDefault="006C32F4" w:rsidP="00B60BD0">
      <w:r>
        <w:t xml:space="preserve">Instead, </w:t>
      </w:r>
      <w:r w:rsidR="00B3603A">
        <w:t>t</w:t>
      </w:r>
      <w:r w:rsidR="00B60BD0">
        <w:t>he bonus should be paid as housing is built</w:t>
      </w:r>
      <w:r w:rsidR="006321F9">
        <w:t xml:space="preserve"> (as measured by the ABS building </w:t>
      </w:r>
      <w:r w:rsidR="00DD03AC">
        <w:t>approvals and completion data)</w:t>
      </w:r>
      <w:r w:rsidR="00B60BD0">
        <w:t>. It would be more effective if thresholds were lower.</w:t>
      </w:r>
    </w:p>
    <w:p w14:paraId="7D0CA94B" w14:textId="563D5CAA" w:rsidR="00646A54" w:rsidRPr="000723F5" w:rsidRDefault="009C5CD3" w:rsidP="00B60BD0">
      <w:r>
        <w:t>W</w:t>
      </w:r>
      <w:r w:rsidR="001B327A">
        <w:t xml:space="preserve">hether states meet their targets </w:t>
      </w:r>
      <w:r>
        <w:t>and beco</w:t>
      </w:r>
      <w:r w:rsidR="00090AF9">
        <w:t xml:space="preserve">me eligible for the New Homes Bonus </w:t>
      </w:r>
      <w:r w:rsidR="001B327A">
        <w:t>partly defends on forces outside their control, like interest rates</w:t>
      </w:r>
      <w:r w:rsidR="00457D80">
        <w:t>.</w:t>
      </w:r>
      <w:r w:rsidR="00606F2B">
        <w:t xml:space="preserve"> </w:t>
      </w:r>
      <w:r w:rsidR="004E57B2" w:rsidRPr="004E57B2">
        <w:t>The Grattan Institute (</w:t>
      </w:r>
      <w:hyperlink r:id="rId22" w:history="1">
        <w:r w:rsidR="004E57B2" w:rsidRPr="004E57B2">
          <w:rPr>
            <w:rStyle w:val="Hyperlink"/>
          </w:rPr>
          <w:t>2025</w:t>
        </w:r>
      </w:hyperlink>
      <w:r w:rsidR="004E57B2" w:rsidRPr="004E57B2">
        <w:t xml:space="preserve"> p54) has </w:t>
      </w:r>
      <w:r w:rsidR="004E57B2">
        <w:t xml:space="preserve">suggested this is unfair and has </w:t>
      </w:r>
      <w:r w:rsidR="004E57B2" w:rsidRPr="004E57B2">
        <w:t xml:space="preserve">argued for relaxing payment thresholds when states fail to meet their targets. That </w:t>
      </w:r>
      <w:r w:rsidR="004E57B2" w:rsidRPr="004E57B2">
        <w:lastRenderedPageBreak/>
        <w:t>amounts to moving the target to reward failure.</w:t>
      </w:r>
      <w:r w:rsidR="00606F2B">
        <w:t xml:space="preserve"> </w:t>
      </w:r>
      <w:r w:rsidR="00090AF9" w:rsidRPr="004E57B2">
        <w:t xml:space="preserve">Grattan </w:t>
      </w:r>
      <w:r w:rsidR="004D5895">
        <w:t>suggest</w:t>
      </w:r>
      <w:r w:rsidR="00090AF9">
        <w:t>s</w:t>
      </w:r>
      <w:r w:rsidR="004D5895">
        <w:t xml:space="preserve"> paying for</w:t>
      </w:r>
      <w:r w:rsidR="00887A6E">
        <w:t xml:space="preserve"> reforms instead, discussed in Section 3</w:t>
      </w:r>
      <w:r w:rsidR="007956BD">
        <w:t>.2</w:t>
      </w:r>
      <w:r w:rsidR="00887A6E">
        <w:t>.</w:t>
      </w:r>
      <w:r w:rsidR="00606F2B">
        <w:t xml:space="preserve"> </w:t>
      </w:r>
      <w:r w:rsidR="00887A6E">
        <w:t>Whether payment</w:t>
      </w:r>
      <w:r w:rsidR="00A53E95">
        <w:t xml:space="preserve"> for inputs or out</w:t>
      </w:r>
      <w:r w:rsidR="00376B39">
        <w:t>comes</w:t>
      </w:r>
      <w:r w:rsidR="00A53E95">
        <w:t xml:space="preserve"> </w:t>
      </w:r>
      <w:r w:rsidR="0039284E">
        <w:t>is</w:t>
      </w:r>
      <w:r w:rsidR="00A53E95">
        <w:t xml:space="preserve"> more effective</w:t>
      </w:r>
      <w:r w:rsidR="00452BFE">
        <w:t xml:space="preserve"> varies with circumstances.</w:t>
      </w:r>
      <w:r w:rsidR="00606F2B">
        <w:t xml:space="preserve"> </w:t>
      </w:r>
      <w:r w:rsidR="00714C8B">
        <w:t>It partly depends on whether the quality of</w:t>
      </w:r>
      <w:r w:rsidR="00F76161">
        <w:t xml:space="preserve"> inputs or outputs are easier to ensure. </w:t>
      </w:r>
      <w:r w:rsidR="00452BFE">
        <w:t xml:space="preserve">Paying for </w:t>
      </w:r>
      <w:r w:rsidR="00290AB0">
        <w:t>effort</w:t>
      </w:r>
      <w:r w:rsidR="00452BFE">
        <w:t xml:space="preserve"> </w:t>
      </w:r>
      <w:r w:rsidR="00956C62">
        <w:t xml:space="preserve">often </w:t>
      </w:r>
      <w:r w:rsidR="0025168C">
        <w:t xml:space="preserve">seems </w:t>
      </w:r>
      <w:r w:rsidR="00452BFE">
        <w:t>fair</w:t>
      </w:r>
      <w:r w:rsidR="00956C62">
        <w:t xml:space="preserve"> and overcomes </w:t>
      </w:r>
      <w:r w:rsidR="00CD7495">
        <w:t>risk-aversion</w:t>
      </w:r>
      <w:r w:rsidR="00471FD6">
        <w:t xml:space="preserve">. Paying </w:t>
      </w:r>
      <w:r w:rsidR="00CD7495">
        <w:t xml:space="preserve">for results </w:t>
      </w:r>
      <w:r w:rsidR="00BD2DDB">
        <w:t xml:space="preserve">creates stronger incentives and </w:t>
      </w:r>
      <w:r w:rsidR="00CD7495">
        <w:t xml:space="preserve">is </w:t>
      </w:r>
      <w:r w:rsidR="003509C3">
        <w:t>usually</w:t>
      </w:r>
      <w:r w:rsidR="00CD7495">
        <w:t xml:space="preserve"> more effective.</w:t>
      </w:r>
    </w:p>
    <w:p w14:paraId="54DBCDED" w14:textId="69F3A3BD" w:rsidR="00B60BD0" w:rsidRDefault="00527AFB" w:rsidP="009E0AE2">
      <w:pPr>
        <w:spacing w:after="120"/>
      </w:pPr>
      <w:r>
        <w:t xml:space="preserve">A </w:t>
      </w:r>
      <w:r w:rsidR="00CD7495">
        <w:t>more important</w:t>
      </w:r>
      <w:r>
        <w:t xml:space="preserve"> </w:t>
      </w:r>
      <w:r w:rsidR="00AB6804">
        <w:t xml:space="preserve">difficulty </w:t>
      </w:r>
      <w:r>
        <w:t>with expanding the new homes bon</w:t>
      </w:r>
      <w:r w:rsidR="006F3D3A">
        <w:t>us is that it</w:t>
      </w:r>
      <w:r w:rsidR="00D13DA9">
        <w:t xml:space="preserve"> increases </w:t>
      </w:r>
      <w:r w:rsidR="005F124A">
        <w:t xml:space="preserve">federal expenditure. </w:t>
      </w:r>
      <w:r w:rsidR="006D380C">
        <w:t xml:space="preserve">Judging from </w:t>
      </w:r>
      <w:proofErr w:type="gramStart"/>
      <w:r w:rsidR="005F124A">
        <w:t>past experience</w:t>
      </w:r>
      <w:proofErr w:type="gramEnd"/>
      <w:r w:rsidR="005F124A">
        <w:t xml:space="preserve">, most </w:t>
      </w:r>
      <w:r w:rsidR="00DA47E8">
        <w:t>submissions</w:t>
      </w:r>
      <w:r w:rsidR="005F124A">
        <w:t xml:space="preserve"> to this inquiry will </w:t>
      </w:r>
      <w:r w:rsidR="008D5983">
        <w:t>ignore</w:t>
      </w:r>
      <w:r w:rsidR="006905D3">
        <w:t xml:space="preserve"> </w:t>
      </w:r>
      <w:r w:rsidR="001B30AC">
        <w:t>fiscal constraints.</w:t>
      </w:r>
      <w:r w:rsidR="00606F2B">
        <w:t xml:space="preserve"> </w:t>
      </w:r>
      <w:r w:rsidR="007D22DE">
        <w:t>T</w:t>
      </w:r>
      <w:r w:rsidR="001B30AC">
        <w:t>hat gre</w:t>
      </w:r>
      <w:r w:rsidR="00812870">
        <w:t>a</w:t>
      </w:r>
      <w:r w:rsidR="001B30AC">
        <w:t>tly reduces their relevance.</w:t>
      </w:r>
    </w:p>
    <w:p w14:paraId="05CD4F00" w14:textId="21C01B6A" w:rsidR="002372D8" w:rsidRDefault="00D30952" w:rsidP="009E0AE2">
      <w:pPr>
        <w:spacing w:after="120"/>
      </w:pPr>
      <w:r>
        <w:t xml:space="preserve">A </w:t>
      </w:r>
      <w:r w:rsidR="00CF0D2F">
        <w:t>fiscally neutral</w:t>
      </w:r>
      <w:r w:rsidR="009B11B2">
        <w:t xml:space="preserve"> approach would be for the</w:t>
      </w:r>
      <w:r w:rsidR="009B11B2" w:rsidRPr="00E07A88">
        <w:t xml:space="preserve"> Grants Commission</w:t>
      </w:r>
      <w:r w:rsidR="009B11B2">
        <w:t xml:space="preserve"> to treat </w:t>
      </w:r>
      <w:r w:rsidR="009E0AE2" w:rsidRPr="00E07A88">
        <w:t xml:space="preserve">housing completions </w:t>
      </w:r>
      <w:r w:rsidR="009B11B2">
        <w:t>as</w:t>
      </w:r>
      <w:r w:rsidR="009E0AE2" w:rsidRPr="00E07A88">
        <w:t xml:space="preserve"> a </w:t>
      </w:r>
      <w:r w:rsidR="009E0AE2">
        <w:t>disability</w:t>
      </w:r>
      <w:r w:rsidR="009E0AE2" w:rsidRPr="00E07A88">
        <w:t xml:space="preserve">. </w:t>
      </w:r>
      <w:proofErr w:type="gramStart"/>
      <w:r w:rsidR="00397918">
        <w:t>So</w:t>
      </w:r>
      <w:proofErr w:type="gramEnd"/>
      <w:r w:rsidR="00397918">
        <w:t xml:space="preserve"> </w:t>
      </w:r>
      <w:r w:rsidR="00D978EB">
        <w:t>s</w:t>
      </w:r>
      <w:r w:rsidR="009E0AE2" w:rsidRPr="00E07A88">
        <w:t xml:space="preserve">tates that build more housing </w:t>
      </w:r>
      <w:r w:rsidR="009E0AE2">
        <w:t xml:space="preserve">would </w:t>
      </w:r>
      <w:r w:rsidR="009E0AE2" w:rsidRPr="00E07A88">
        <w:t>receive a higher GST distribution</w:t>
      </w:r>
      <w:r w:rsidR="00397918">
        <w:t xml:space="preserve"> while </w:t>
      </w:r>
      <w:r w:rsidR="00334C62">
        <w:t>those</w:t>
      </w:r>
      <w:r w:rsidR="00397918">
        <w:t xml:space="preserve"> that do not build enough </w:t>
      </w:r>
      <w:r w:rsidR="00334C62">
        <w:t xml:space="preserve">would have </w:t>
      </w:r>
      <w:r w:rsidR="002372D8">
        <w:t>grants withheld</w:t>
      </w:r>
      <w:r w:rsidR="00397918">
        <w:t>.</w:t>
      </w:r>
    </w:p>
    <w:p w14:paraId="638431A8" w14:textId="77777777" w:rsidR="009E0AE2" w:rsidRPr="00E07A88" w:rsidRDefault="009E0AE2" w:rsidP="009E0AE2">
      <w:pPr>
        <w:spacing w:after="120"/>
      </w:pPr>
      <w:r w:rsidRPr="00E07A88">
        <w:t xml:space="preserve">The </w:t>
      </w:r>
      <w:proofErr w:type="gramStart"/>
      <w:r>
        <w:t>Grants</w:t>
      </w:r>
      <w:proofErr w:type="gramEnd"/>
      <w:r>
        <w:t xml:space="preserve"> Commission does something similar with</w:t>
      </w:r>
      <w:r w:rsidRPr="00E07A88">
        <w:t xml:space="preserve"> transport expenditure. In recognition of its greater transport spending requirements, NSW receives $1.24 billion more than an equal per capita distribution, while Queensland receives $762 million less. (</w:t>
      </w:r>
      <w:hyperlink r:id="rId23" w:history="1">
        <w:r w:rsidRPr="00E07A88">
          <w:rPr>
            <w:rStyle w:val="Hyperlink"/>
          </w:rPr>
          <w:t>Commonwealth Grants Commission 2020</w:t>
        </w:r>
      </w:hyperlink>
      <w:r w:rsidRPr="00E07A88">
        <w:t>, Volume 2 Part B, Table 21-17).</w:t>
      </w:r>
    </w:p>
    <w:p w14:paraId="6171E9D3" w14:textId="7170B667" w:rsidR="009E0AE2" w:rsidRDefault="009E0AE2" w:rsidP="009E0AE2">
      <w:pPr>
        <w:spacing w:after="120"/>
      </w:pPr>
      <w:r>
        <w:t>Treating housing as a disability recogni</w:t>
      </w:r>
      <w:r w:rsidRPr="00E07A88">
        <w:t xml:space="preserve">ses that </w:t>
      </w:r>
      <w:r w:rsidR="0074025F">
        <w:t>s</w:t>
      </w:r>
      <w:r w:rsidRPr="00E07A88">
        <w:t xml:space="preserve">tates with </w:t>
      </w:r>
      <w:proofErr w:type="gramStart"/>
      <w:r w:rsidRPr="00E07A88">
        <w:t>rapidly</w:t>
      </w:r>
      <w:r w:rsidR="00FE4504">
        <w:t>-</w:t>
      </w:r>
      <w:r w:rsidRPr="00E07A88">
        <w:t>growing</w:t>
      </w:r>
      <w:proofErr w:type="gramEnd"/>
      <w:r w:rsidRPr="00E07A88">
        <w:t xml:space="preserve"> housing stocks have greater need for capital expenditure on roads, schools, </w:t>
      </w:r>
      <w:r>
        <w:t>utilities</w:t>
      </w:r>
      <w:r w:rsidRPr="00E07A88">
        <w:t xml:space="preserve"> etc.</w:t>
      </w:r>
      <w:r w:rsidR="00606F2B">
        <w:t xml:space="preserve"> </w:t>
      </w:r>
      <w:r w:rsidRPr="00E07A88">
        <w:t>Whereas the benchmark for operational spending is an equal per capita distribution, the benchmark for capital expenses should be growth.</w:t>
      </w:r>
      <w:r w:rsidR="00606F2B">
        <w:t xml:space="preserve"> </w:t>
      </w:r>
      <w:r w:rsidRPr="00E07A88">
        <w:t>In principle, growth in population might be considered more relevant.</w:t>
      </w:r>
      <w:r w:rsidR="00606F2B">
        <w:t xml:space="preserve"> </w:t>
      </w:r>
      <w:r w:rsidRPr="00E07A88">
        <w:t>However</w:t>
      </w:r>
      <w:r w:rsidR="00FE4504">
        <w:t>,</w:t>
      </w:r>
      <w:r w:rsidRPr="00E07A88">
        <w:t xml:space="preserve"> growth in housing is highly correlated but more relevant to incentives.</w:t>
      </w:r>
      <w:r w:rsidR="00022C86">
        <w:t xml:space="preserve"> </w:t>
      </w:r>
      <w:r w:rsidR="00022C86" w:rsidRPr="00E07A88">
        <w:t xml:space="preserve">States </w:t>
      </w:r>
      <w:r w:rsidR="00141563">
        <w:t xml:space="preserve">do not control their </w:t>
      </w:r>
      <w:r w:rsidR="00CF0D2F">
        <w:t>population,</w:t>
      </w:r>
      <w:r w:rsidR="003D40CB">
        <w:t xml:space="preserve"> but </w:t>
      </w:r>
      <w:r w:rsidR="008E359D">
        <w:t xml:space="preserve">they have </w:t>
      </w:r>
      <w:r w:rsidR="003D40CB">
        <w:t xml:space="preserve">a lot of influence </w:t>
      </w:r>
      <w:r w:rsidR="000C19B5">
        <w:t xml:space="preserve">over </w:t>
      </w:r>
      <w:r w:rsidR="00022C86" w:rsidRPr="00E07A88">
        <w:t>housing supply</w:t>
      </w:r>
      <w:r w:rsidR="00022C86">
        <w:t>.</w:t>
      </w:r>
    </w:p>
    <w:p w14:paraId="31992F70" w14:textId="465240CB" w:rsidR="006B616C" w:rsidRDefault="00841594" w:rsidP="00CC4AAF">
      <w:pPr>
        <w:pStyle w:val="Heading2"/>
      </w:pPr>
      <w:bookmarkStart w:id="5" w:name="_Toc232413255"/>
      <w:r>
        <w:t xml:space="preserve">Infrastructure </w:t>
      </w:r>
      <w:r w:rsidR="006938D2">
        <w:t>grants</w:t>
      </w:r>
      <w:bookmarkEnd w:id="5"/>
    </w:p>
    <w:p w14:paraId="7ABC25D4" w14:textId="3EAB2FE5" w:rsidR="00AF1E8A" w:rsidRDefault="003D0D52" w:rsidP="009E0AE2">
      <w:pPr>
        <w:spacing w:after="120"/>
      </w:pPr>
      <w:r>
        <w:t>A</w:t>
      </w:r>
      <w:r w:rsidR="0008772D">
        <w:t xml:space="preserve"> similar</w:t>
      </w:r>
      <w:r w:rsidR="00F316EC">
        <w:t xml:space="preserve"> approach is to tie </w:t>
      </w:r>
      <w:r w:rsidR="002F4788">
        <w:t xml:space="preserve">federal infrastructure spending to new housing. The recently announced $2 billion </w:t>
      </w:r>
      <w:hyperlink r:id="rId24" w:history="1">
        <w:r w:rsidR="002F4788" w:rsidRPr="00F8281E">
          <w:rPr>
            <w:rStyle w:val="Hyperlink"/>
            <w:lang w:val="en-US"/>
          </w:rPr>
          <w:t>Local Infrastructure Fund</w:t>
        </w:r>
        <w:r w:rsidR="002F4788" w:rsidRPr="00F8281E">
          <w:rPr>
            <w:rStyle w:val="Hyperlink"/>
          </w:rPr>
          <w:t> </w:t>
        </w:r>
      </w:hyperlink>
      <w:r w:rsidR="003E736F">
        <w:t>or the Coalition’s proposal to</w:t>
      </w:r>
      <w:r w:rsidR="00FF7A34">
        <w:t xml:space="preserve"> spend $5 billion for 500,000 homes are examples.</w:t>
      </w:r>
      <w:r w:rsidR="002B7A1A">
        <w:t xml:space="preserve"> </w:t>
      </w:r>
      <w:r w:rsidR="005E349B" w:rsidRPr="00B731D2">
        <w:rPr>
          <w:lang w:val="en-US"/>
        </w:rPr>
        <w:t xml:space="preserve">The Local Infrastructure Fund </w:t>
      </w:r>
      <w:r w:rsidR="00B731D2" w:rsidRPr="00B731D2">
        <w:rPr>
          <w:lang w:val="en-US"/>
        </w:rPr>
        <w:t xml:space="preserve">is expected to unlock 65,000 new homes, at an average budgetary cost of only $31,000 per dwelling. </w:t>
      </w:r>
      <w:r w:rsidR="00F64F54">
        <w:t xml:space="preserve">By removing obstacles to market housing these policies </w:t>
      </w:r>
      <w:r w:rsidR="009545DF">
        <w:t>substantially increase housing supply at a low cost to the budget.</w:t>
      </w:r>
    </w:p>
    <w:p w14:paraId="42C40DB9" w14:textId="279405EA" w:rsidR="002103E8" w:rsidRDefault="002103E8" w:rsidP="009E0AE2">
      <w:pPr>
        <w:spacing w:after="120"/>
      </w:pPr>
      <w:r>
        <w:t xml:space="preserve">These proposals are often discussed as being targeted at </w:t>
      </w:r>
      <w:proofErr w:type="spellStart"/>
      <w:r>
        <w:t>greenfields</w:t>
      </w:r>
      <w:proofErr w:type="spellEnd"/>
      <w:r w:rsidR="000A495E">
        <w:t xml:space="preserve">. </w:t>
      </w:r>
      <w:r w:rsidR="00B505CF">
        <w:t xml:space="preserve">However, the scope for </w:t>
      </w:r>
      <w:r w:rsidR="005F0B69">
        <w:t>urb</w:t>
      </w:r>
      <w:r w:rsidR="00855D4B">
        <w:t xml:space="preserve">an </w:t>
      </w:r>
      <w:r w:rsidR="00B505CF">
        <w:t>infill may be greater.</w:t>
      </w:r>
      <w:r w:rsidR="00606F2B">
        <w:t xml:space="preserve"> </w:t>
      </w:r>
      <w:r w:rsidR="00B505CF">
        <w:t xml:space="preserve">The NSW and Victorian </w:t>
      </w:r>
      <w:r w:rsidR="00427B45">
        <w:t>governments</w:t>
      </w:r>
      <w:r w:rsidR="00B505CF">
        <w:t xml:space="preserve"> are upzoni</w:t>
      </w:r>
      <w:r w:rsidR="00427B45">
        <w:t>ng</w:t>
      </w:r>
      <w:r w:rsidR="00B505CF">
        <w:t xml:space="preserve"> near transport centre</w:t>
      </w:r>
      <w:r w:rsidR="00DB7092">
        <w:t>s</w:t>
      </w:r>
      <w:r w:rsidR="00855D4B">
        <w:t xml:space="preserve">, </w:t>
      </w:r>
      <w:r w:rsidR="00DA4A5D">
        <w:t>t</w:t>
      </w:r>
      <w:r w:rsidR="00427B45">
        <w:t>h</w:t>
      </w:r>
      <w:r w:rsidR="00DB7092">
        <w:t xml:space="preserve">e </w:t>
      </w:r>
      <w:r w:rsidR="00DA4A5D">
        <w:t>nu</w:t>
      </w:r>
      <w:r w:rsidR="002E7DF6">
        <w:t>m</w:t>
      </w:r>
      <w:r w:rsidR="00DA4A5D">
        <w:t>ber</w:t>
      </w:r>
      <w:r w:rsidR="00DB7092">
        <w:t xml:space="preserve"> of </w:t>
      </w:r>
      <w:r w:rsidR="00DA4A5D">
        <w:t>which</w:t>
      </w:r>
      <w:r w:rsidR="00DB7092">
        <w:t xml:space="preserve"> has been limited by </w:t>
      </w:r>
      <w:r w:rsidR="0036568D">
        <w:t>infrastructure capacity constraints</w:t>
      </w:r>
      <w:r w:rsidR="00085BFA">
        <w:t>.</w:t>
      </w:r>
      <w:r w:rsidR="009331E4">
        <w:t xml:space="preserve"> </w:t>
      </w:r>
      <w:r w:rsidR="0036568D">
        <w:t xml:space="preserve">Relaxing those </w:t>
      </w:r>
      <w:r w:rsidR="00E93347">
        <w:t xml:space="preserve">political and economic </w:t>
      </w:r>
      <w:r w:rsidR="0036568D">
        <w:t>constraints</w:t>
      </w:r>
      <w:r w:rsidR="000E6686">
        <w:t xml:space="preserve"> would </w:t>
      </w:r>
      <w:r w:rsidR="00BF4E93">
        <w:t>unlock</w:t>
      </w:r>
      <w:r w:rsidR="000E6686">
        <w:t xml:space="preserve"> more housing</w:t>
      </w:r>
      <w:r w:rsidR="006E4EB5">
        <w:t xml:space="preserve"> </w:t>
      </w:r>
      <w:r w:rsidR="00FD2CCE">
        <w:t>in high demand loc</w:t>
      </w:r>
      <w:r w:rsidR="006E4EB5">
        <w:t>ations.</w:t>
      </w:r>
    </w:p>
    <w:p w14:paraId="7EE03CAD" w14:textId="7BFE2960" w:rsidR="00AF1E8A" w:rsidRDefault="00C73694" w:rsidP="009E0AE2">
      <w:pPr>
        <w:spacing w:after="120"/>
      </w:pPr>
      <w:r>
        <w:t>And federal funding</w:t>
      </w:r>
      <w:r w:rsidR="005322F3">
        <w:t xml:space="preserve"> for </w:t>
      </w:r>
      <w:r w:rsidR="00B014C3">
        <w:t xml:space="preserve">urban </w:t>
      </w:r>
      <w:r w:rsidR="005322F3">
        <w:t xml:space="preserve">rail needs to be </w:t>
      </w:r>
      <w:r w:rsidR="002551CA">
        <w:t xml:space="preserve">made </w:t>
      </w:r>
      <w:r w:rsidR="005322F3">
        <w:t>contingent on high density at train stations.</w:t>
      </w:r>
      <w:r w:rsidR="000A6DE3">
        <w:t xml:space="preserve"> Housing density and public transport are complements</w:t>
      </w:r>
      <w:r w:rsidR="006E73C2">
        <w:t>; each</w:t>
      </w:r>
      <w:r w:rsidR="000A6DE3">
        <w:t xml:space="preserve"> increas</w:t>
      </w:r>
      <w:r w:rsidR="006E73C2">
        <w:t>es</w:t>
      </w:r>
      <w:r w:rsidR="000A6DE3">
        <w:t xml:space="preserve"> the return to the other.</w:t>
      </w:r>
    </w:p>
    <w:p w14:paraId="02A57072" w14:textId="3F4D0163" w:rsidR="008A5AA2" w:rsidRDefault="0099242B" w:rsidP="00CC4AAF">
      <w:pPr>
        <w:pStyle w:val="Heading2"/>
      </w:pPr>
      <w:bookmarkStart w:id="6" w:name="_Toc232413256"/>
      <w:r>
        <w:t xml:space="preserve">Education and </w:t>
      </w:r>
      <w:r w:rsidR="00AF1E8A">
        <w:t>research</w:t>
      </w:r>
      <w:bookmarkEnd w:id="6"/>
    </w:p>
    <w:p w14:paraId="0929611A" w14:textId="13A057AE" w:rsidR="009E4454" w:rsidRPr="00C63C71" w:rsidRDefault="009E4454" w:rsidP="009E4454">
      <w:r>
        <w:t xml:space="preserve">Although </w:t>
      </w:r>
      <w:r w:rsidR="00890606">
        <w:t xml:space="preserve">experts agree that </w:t>
      </w:r>
      <w:r w:rsidR="00926D0A">
        <w:t xml:space="preserve">extra supply would improve affordability, </w:t>
      </w:r>
      <w:r w:rsidRPr="00C63C71">
        <w:t>the public does not understand the issues well.</w:t>
      </w:r>
      <w:r w:rsidR="00606F2B">
        <w:t xml:space="preserve"> </w:t>
      </w:r>
      <w:r w:rsidRPr="00C63C71">
        <w:t xml:space="preserve">Only a </w:t>
      </w:r>
      <w:r w:rsidRPr="004F15EC">
        <w:t>third of respondents</w:t>
      </w:r>
      <w:r w:rsidRPr="00C63C71">
        <w:t xml:space="preserve"> to opinion polls say an increase in the supply of housing would improve affordability</w:t>
      </w:r>
      <w:r w:rsidR="00E23780">
        <w:t xml:space="preserve"> (</w:t>
      </w:r>
      <w:hyperlink r:id="rId25" w:history="1">
        <w:r w:rsidR="00E23780" w:rsidRPr="004F15EC">
          <w:rPr>
            <w:rStyle w:val="Hyperlink"/>
          </w:rPr>
          <w:t>Mckinnon, 202</w:t>
        </w:r>
        <w:r w:rsidR="004F15EC">
          <w:rPr>
            <w:rStyle w:val="Hyperlink"/>
          </w:rPr>
          <w:t>3</w:t>
        </w:r>
      </w:hyperlink>
      <w:r w:rsidR="00E23780">
        <w:t>)</w:t>
      </w:r>
      <w:r w:rsidRPr="00C63C71">
        <w:t>.</w:t>
      </w:r>
      <w:r w:rsidR="00606F2B">
        <w:t xml:space="preserve"> </w:t>
      </w:r>
      <w:r w:rsidR="002134E2">
        <w:t>One of the most common</w:t>
      </w:r>
      <w:r w:rsidR="005862EC">
        <w:t xml:space="preserve"> objections to </w:t>
      </w:r>
      <w:r w:rsidR="00381F22">
        <w:t xml:space="preserve">new housing is </w:t>
      </w:r>
      <w:r w:rsidR="005862EC">
        <w:t xml:space="preserve">that it is </w:t>
      </w:r>
      <w:r w:rsidR="00381F22">
        <w:t xml:space="preserve">expensive, so will not improve affordability, </w:t>
      </w:r>
      <w:r w:rsidR="00E61FD4">
        <w:t>ignoring the effect that extra supply has on other properties.</w:t>
      </w:r>
      <w:r w:rsidR="00606F2B">
        <w:t xml:space="preserve"> </w:t>
      </w:r>
      <w:r w:rsidRPr="00C63C71">
        <w:t xml:space="preserve">Discussions </w:t>
      </w:r>
      <w:r>
        <w:t>of h</w:t>
      </w:r>
      <w:r w:rsidRPr="00C63C71">
        <w:t xml:space="preserve">ousing policy at public forums or on talk back radio </w:t>
      </w:r>
      <w:r>
        <w:t>are a</w:t>
      </w:r>
      <w:r w:rsidRPr="00C63C71">
        <w:t xml:space="preserve"> </w:t>
      </w:r>
      <w:r w:rsidR="00421713">
        <w:t>parade</w:t>
      </w:r>
      <w:r w:rsidRPr="00C63C71">
        <w:t xml:space="preserve"> of misunderstanding</w:t>
      </w:r>
      <w:r w:rsidR="00870AA6">
        <w:t xml:space="preserve"> and narrow</w:t>
      </w:r>
      <w:r w:rsidR="004977CA">
        <w:t xml:space="preserve"> vision</w:t>
      </w:r>
      <w:r w:rsidRPr="00C63C71">
        <w:t>.</w:t>
      </w:r>
      <w:r w:rsidR="00F73E63">
        <w:t xml:space="preserve"> Opponents of </w:t>
      </w:r>
      <w:r w:rsidR="00A9018B">
        <w:t xml:space="preserve">new housing developments do not </w:t>
      </w:r>
      <w:r w:rsidR="00D9267D">
        <w:t>recognise</w:t>
      </w:r>
      <w:r w:rsidR="00A9018B">
        <w:t xml:space="preserve"> the harm they do.</w:t>
      </w:r>
    </w:p>
    <w:p w14:paraId="137ED45A" w14:textId="77777777" w:rsidR="009E4454" w:rsidRDefault="009E4454" w:rsidP="009E4454">
      <w:r>
        <w:t>Of course, this makes h</w:t>
      </w:r>
      <w:r w:rsidRPr="00C63C71">
        <w:t xml:space="preserve">ousing policy reforms difficult to implement and </w:t>
      </w:r>
      <w:r>
        <w:t>sustain.</w:t>
      </w:r>
    </w:p>
    <w:p w14:paraId="6503727D" w14:textId="09506211" w:rsidR="00902C00" w:rsidRDefault="009E4454" w:rsidP="009E4454">
      <w:r w:rsidRPr="00C63C71">
        <w:lastRenderedPageBreak/>
        <w:t xml:space="preserve">This situation, where expert opinion is </w:t>
      </w:r>
      <w:r>
        <w:t>persuaded</w:t>
      </w:r>
      <w:r w:rsidRPr="00C63C71">
        <w:t xml:space="preserve"> of the need for change, while the public is not, resembles trade </w:t>
      </w:r>
      <w:r>
        <w:t xml:space="preserve">policy </w:t>
      </w:r>
      <w:r w:rsidRPr="00C63C71">
        <w:t>debates in the 1970s</w:t>
      </w:r>
      <w:r>
        <w:t xml:space="preserve"> and 80s</w:t>
      </w:r>
      <w:r w:rsidRPr="00C63C71">
        <w:t>.</w:t>
      </w:r>
      <w:r w:rsidR="00606F2B">
        <w:t xml:space="preserve"> </w:t>
      </w:r>
      <w:r w:rsidRPr="00C63C71">
        <w:t>Government</w:t>
      </w:r>
      <w:r>
        <w:t>-</w:t>
      </w:r>
      <w:r w:rsidRPr="00C63C71">
        <w:t xml:space="preserve">funded </w:t>
      </w:r>
      <w:r w:rsidR="0040558E">
        <w:t xml:space="preserve">research and </w:t>
      </w:r>
      <w:r w:rsidRPr="00C63C71">
        <w:t>public education through the I</w:t>
      </w:r>
      <w:r w:rsidR="00545077">
        <w:t>ndustries Assistance Commission</w:t>
      </w:r>
      <w:r w:rsidRPr="00C63C71">
        <w:t xml:space="preserve"> helped turn that around and deliver sustained reform.</w:t>
      </w:r>
      <w:r w:rsidR="00C14EAE">
        <w:t xml:space="preserve"> </w:t>
      </w:r>
    </w:p>
    <w:p w14:paraId="03A53320" w14:textId="527B64C3" w:rsidR="009E4454" w:rsidRPr="00C63C71" w:rsidRDefault="00C14EAE" w:rsidP="009E4454">
      <w:r>
        <w:t>Something similar is required now</w:t>
      </w:r>
      <w:r w:rsidR="008B1060">
        <w:t xml:space="preserve"> for housing</w:t>
      </w:r>
      <w:r>
        <w:t>.</w:t>
      </w:r>
    </w:p>
    <w:p w14:paraId="38DA0D8B" w14:textId="38650E36" w:rsidR="008171CC" w:rsidRDefault="0058200A" w:rsidP="009E4454">
      <w:r>
        <w:t>Moreover</w:t>
      </w:r>
      <w:r w:rsidR="009E4454" w:rsidRPr="00C63C71">
        <w:t xml:space="preserve">, </w:t>
      </w:r>
      <w:r w:rsidR="003A6D02">
        <w:t xml:space="preserve">there is </w:t>
      </w:r>
      <w:r w:rsidR="00D166D0">
        <w:t xml:space="preserve">serious need for </w:t>
      </w:r>
      <w:r>
        <w:t xml:space="preserve">quantitative </w:t>
      </w:r>
      <w:r w:rsidR="009E4454">
        <w:t>modelling</w:t>
      </w:r>
      <w:r w:rsidR="00AB1BF8">
        <w:t xml:space="preserve"> and other empirical research</w:t>
      </w:r>
      <w:r w:rsidR="00D166D0">
        <w:t xml:space="preserve">. </w:t>
      </w:r>
      <w:r w:rsidR="00044F51">
        <w:t>For this review, t</w:t>
      </w:r>
      <w:r w:rsidR="0099772E">
        <w:t xml:space="preserve">he </w:t>
      </w:r>
      <w:r w:rsidR="00762DEC">
        <w:t xml:space="preserve">Productivity Commission </w:t>
      </w:r>
      <w:r w:rsidR="0099772E">
        <w:t xml:space="preserve">has </w:t>
      </w:r>
      <w:r w:rsidR="00056F55">
        <w:t>pos</w:t>
      </w:r>
      <w:r w:rsidR="008D2908">
        <w:t>ed</w:t>
      </w:r>
      <w:r w:rsidR="0099772E">
        <w:t xml:space="preserve"> </w:t>
      </w:r>
      <w:r w:rsidR="00016C9F">
        <w:t xml:space="preserve">a long list of </w:t>
      </w:r>
      <w:r w:rsidR="00F1391F">
        <w:t xml:space="preserve">policy-relevant </w:t>
      </w:r>
      <w:r w:rsidR="00016C9F">
        <w:t>questions</w:t>
      </w:r>
      <w:r w:rsidR="00176460">
        <w:t>.</w:t>
      </w:r>
      <w:r w:rsidR="00606F2B">
        <w:t xml:space="preserve"> </w:t>
      </w:r>
      <w:r w:rsidR="00A3560B">
        <w:t xml:space="preserve">Many </w:t>
      </w:r>
      <w:r w:rsidR="00F76712" w:rsidRPr="00F76712">
        <w:t>answer</w:t>
      </w:r>
      <w:r w:rsidR="00F76712">
        <w:t>s r</w:t>
      </w:r>
      <w:r w:rsidR="00DF46CB">
        <w:t>equire</w:t>
      </w:r>
      <w:r w:rsidR="00711157">
        <w:t xml:space="preserve"> </w:t>
      </w:r>
      <w:r w:rsidR="00355647">
        <w:t xml:space="preserve">serious research and </w:t>
      </w:r>
      <w:r w:rsidR="003744DD">
        <w:t>data with limited availability</w:t>
      </w:r>
      <w:r w:rsidR="00711157">
        <w:t xml:space="preserve">. </w:t>
      </w:r>
      <w:r w:rsidR="004750E8">
        <w:t xml:space="preserve">However, </w:t>
      </w:r>
      <w:r w:rsidR="0049088E">
        <w:t xml:space="preserve">these questions are not new. </w:t>
      </w:r>
      <w:r w:rsidR="00611C9F">
        <w:t>Th</w:t>
      </w:r>
      <w:r w:rsidR="00711157">
        <w:t>e</w:t>
      </w:r>
      <w:r w:rsidR="004750E8">
        <w:t>y</w:t>
      </w:r>
      <w:r w:rsidR="00670284">
        <w:t xml:space="preserve"> should have been asked, answered and publicly discussed long ago</w:t>
      </w:r>
      <w:r w:rsidR="008171CC">
        <w:t>.</w:t>
      </w:r>
      <w:r w:rsidR="00606F2B">
        <w:t xml:space="preserve"> </w:t>
      </w:r>
      <w:r w:rsidR="00145311">
        <w:t>W</w:t>
      </w:r>
      <w:r w:rsidR="008171CC">
        <w:t xml:space="preserve">e </w:t>
      </w:r>
      <w:r w:rsidR="00123658">
        <w:t>have</w:t>
      </w:r>
      <w:r w:rsidR="007E5508">
        <w:t xml:space="preserve"> not</w:t>
      </w:r>
      <w:r w:rsidR="00123658">
        <w:t xml:space="preserve"> had</w:t>
      </w:r>
      <w:r w:rsidR="00AC04A4">
        <w:t xml:space="preserve"> </w:t>
      </w:r>
      <w:r w:rsidR="008171CC">
        <w:t>a process equipped for that.</w:t>
      </w:r>
    </w:p>
    <w:p w14:paraId="78190C3A" w14:textId="77E79F35" w:rsidR="00414A62" w:rsidRDefault="00131BF2" w:rsidP="009E4454">
      <w:r>
        <w:t>For example</w:t>
      </w:r>
      <w:r w:rsidR="00C00C0A">
        <w:t>, p</w:t>
      </w:r>
      <w:r w:rsidR="00115769">
        <w:t xml:space="preserve">olicy </w:t>
      </w:r>
      <w:r w:rsidR="00992160">
        <w:t xml:space="preserve">priorities </w:t>
      </w:r>
      <w:r w:rsidR="00810050">
        <w:t>should be informed by estimates of feasib</w:t>
      </w:r>
      <w:r w:rsidR="005B6943">
        <w:t>ility</w:t>
      </w:r>
      <w:r w:rsidR="009D081A">
        <w:t xml:space="preserve"> and</w:t>
      </w:r>
      <w:r w:rsidR="009D081A" w:rsidRPr="009D081A">
        <w:t xml:space="preserve"> </w:t>
      </w:r>
      <w:r w:rsidR="001016E3">
        <w:t>w</w:t>
      </w:r>
      <w:r w:rsidR="009D081A">
        <w:t>here housing is most needed</w:t>
      </w:r>
      <w:r w:rsidR="005B6943">
        <w:t>.</w:t>
      </w:r>
      <w:r w:rsidR="00606F2B">
        <w:t xml:space="preserve"> </w:t>
      </w:r>
      <w:r w:rsidR="005B6943">
        <w:t>I</w:t>
      </w:r>
      <w:r w:rsidR="007F289C">
        <w:t xml:space="preserve">n </w:t>
      </w:r>
      <w:r w:rsidR="00CA2A40">
        <w:t>their</w:t>
      </w:r>
      <w:r w:rsidR="007F289C">
        <w:t xml:space="preserve"> absence</w:t>
      </w:r>
      <w:r w:rsidR="00CA2A40">
        <w:t xml:space="preserve">, we </w:t>
      </w:r>
      <w:r w:rsidR="0096548E">
        <w:t>waste scarce political bandwi</w:t>
      </w:r>
      <w:r w:rsidR="00460367">
        <w:t>dth on policies that will not actually achieve much</w:t>
      </w:r>
      <w:r w:rsidR="00A56EC6">
        <w:t xml:space="preserve"> (</w:t>
      </w:r>
      <w:r w:rsidR="004D3023">
        <w:t>Section 3.1 has</w:t>
      </w:r>
      <w:r w:rsidR="00A56EC6">
        <w:t xml:space="preserve"> examples</w:t>
      </w:r>
      <w:r w:rsidR="004D3023">
        <w:t>)</w:t>
      </w:r>
      <w:r w:rsidR="00277F30">
        <w:t>.</w:t>
      </w:r>
      <w:r w:rsidR="00606F2B">
        <w:t xml:space="preserve"> </w:t>
      </w:r>
      <w:r w:rsidR="00E13149">
        <w:t>The</w:t>
      </w:r>
      <w:r w:rsidR="00462AB7">
        <w:t xml:space="preserve">re are many estimates of </w:t>
      </w:r>
      <w:r w:rsidR="00E13149">
        <w:t>feasibility, varying in detail</w:t>
      </w:r>
      <w:r w:rsidR="00FC3492">
        <w:t>,</w:t>
      </w:r>
      <w:r w:rsidR="00E13149">
        <w:t xml:space="preserve"> scope</w:t>
      </w:r>
      <w:r w:rsidR="00FC3492">
        <w:t xml:space="preserve"> and quality</w:t>
      </w:r>
      <w:r w:rsidR="00E13149">
        <w:t xml:space="preserve">.  </w:t>
      </w:r>
      <w:r w:rsidR="00730B37">
        <w:t>P</w:t>
      </w:r>
      <w:r w:rsidR="00E13149">
        <w:t xml:space="preserve">rominent </w:t>
      </w:r>
      <w:r w:rsidR="00730B37">
        <w:t>examples</w:t>
      </w:r>
      <w:r w:rsidR="00D61D57">
        <w:t xml:space="preserve"> </w:t>
      </w:r>
      <w:r w:rsidR="00E13149">
        <w:t xml:space="preserve">include </w:t>
      </w:r>
      <w:r w:rsidR="00D61D57">
        <w:t>t</w:t>
      </w:r>
      <w:r w:rsidR="00462AB7">
        <w:t>h</w:t>
      </w:r>
      <w:r w:rsidR="00D61D57">
        <w:t xml:space="preserve">e </w:t>
      </w:r>
      <w:r w:rsidR="00A94544">
        <w:t>Grattan</w:t>
      </w:r>
      <w:r w:rsidR="00D61D57">
        <w:t xml:space="preserve"> Institute’s </w:t>
      </w:r>
      <w:r w:rsidR="00CC1C49">
        <w:t>(</w:t>
      </w:r>
      <w:hyperlink r:id="rId26" w:history="1">
        <w:r w:rsidR="00CC1C49" w:rsidRPr="00CC1C49">
          <w:rPr>
            <w:rStyle w:val="Hyperlink"/>
          </w:rPr>
          <w:t>2025</w:t>
        </w:r>
      </w:hyperlink>
      <w:r w:rsidR="00CC1C49">
        <w:t xml:space="preserve">) </w:t>
      </w:r>
      <w:r w:rsidR="00116110" w:rsidRPr="00116110">
        <w:rPr>
          <w:lang w:val="en-US"/>
        </w:rPr>
        <w:t xml:space="preserve">GMAPS </w:t>
      </w:r>
      <w:r w:rsidR="00E52A92">
        <w:t>m</w:t>
      </w:r>
      <w:r w:rsidR="00A94544">
        <w:t xml:space="preserve">odel </w:t>
      </w:r>
      <w:r w:rsidR="00CC1C49">
        <w:t>and the CIE (</w:t>
      </w:r>
      <w:hyperlink r:id="rId27" w:history="1">
        <w:r w:rsidR="00CC1C49" w:rsidRPr="00FC3492">
          <w:rPr>
            <w:rStyle w:val="Hyperlink"/>
          </w:rPr>
          <w:t>2024</w:t>
        </w:r>
      </w:hyperlink>
      <w:r w:rsidR="00CC1C49">
        <w:t>) report for the NSW Productivity Commission</w:t>
      </w:r>
      <w:r w:rsidR="00B4410C">
        <w:t xml:space="preserve">. Many councils have commissioned local studies. </w:t>
      </w:r>
      <w:r w:rsidR="006E7175">
        <w:t xml:space="preserve">Differences </w:t>
      </w:r>
      <w:r w:rsidR="00624E67">
        <w:t xml:space="preserve">between these studies need </w:t>
      </w:r>
      <w:r w:rsidR="008E00B8">
        <w:t>to be resolved</w:t>
      </w:r>
      <w:r w:rsidR="00414A62">
        <w:t xml:space="preserve">, with a view to providing </w:t>
      </w:r>
      <w:r w:rsidR="00337F1B">
        <w:t>robust</w:t>
      </w:r>
      <w:r w:rsidR="00E12FDC">
        <w:t xml:space="preserve"> detailed estimates</w:t>
      </w:r>
      <w:r w:rsidR="00F147B4">
        <w:t>.</w:t>
      </w:r>
    </w:p>
    <w:p w14:paraId="7BD950BD" w14:textId="416BD40C" w:rsidR="00DA6DA4" w:rsidRPr="00DA6DA4" w:rsidRDefault="0042664D" w:rsidP="00DA6DA4">
      <w:r w:rsidRPr="00934DED">
        <w:t xml:space="preserve">Policy </w:t>
      </w:r>
      <w:r w:rsidR="00934DED" w:rsidRPr="00934DED">
        <w:t xml:space="preserve">priorities </w:t>
      </w:r>
      <w:r w:rsidRPr="00934DED">
        <w:t xml:space="preserve">should </w:t>
      </w:r>
      <w:r w:rsidR="00934DED">
        <w:t xml:space="preserve">also </w:t>
      </w:r>
      <w:r w:rsidR="00934DED" w:rsidRPr="00934DED">
        <w:t xml:space="preserve">be </w:t>
      </w:r>
      <w:r w:rsidR="00AC200D">
        <w:t>guided</w:t>
      </w:r>
      <w:r w:rsidR="00934DED" w:rsidRPr="00934DED">
        <w:t xml:space="preserve"> </w:t>
      </w:r>
      <w:r w:rsidR="00934DED">
        <w:t xml:space="preserve">by </w:t>
      </w:r>
      <w:r w:rsidR="001016E3">
        <w:t xml:space="preserve">research </w:t>
      </w:r>
      <w:r>
        <w:t xml:space="preserve">on </w:t>
      </w:r>
      <w:r w:rsidR="003C1DB5">
        <w:t xml:space="preserve">how </w:t>
      </w:r>
      <w:r w:rsidR="001016E3">
        <w:t>housing</w:t>
      </w:r>
      <w:r w:rsidR="003C1DB5">
        <w:t xml:space="preserve"> can most </w:t>
      </w:r>
      <w:r w:rsidR="002E0969">
        <w:t>effectively be delivered.</w:t>
      </w:r>
      <w:r w:rsidR="00606F2B">
        <w:t xml:space="preserve"> </w:t>
      </w:r>
      <w:r w:rsidR="00444EB2">
        <w:t>Attempts to boost housing supply have met with varying degrees of success</w:t>
      </w:r>
      <w:r w:rsidR="00DE7384">
        <w:t xml:space="preserve">. </w:t>
      </w:r>
      <w:r w:rsidR="00DA6DA4" w:rsidRPr="00DA6DA4">
        <w:t xml:space="preserve">Data and research are needed on what has worked and why, both domestically and overseas. </w:t>
      </w:r>
    </w:p>
    <w:p w14:paraId="5AFB5453" w14:textId="4B87C6B0" w:rsidR="00DA6DA4" w:rsidRPr="00DA6DA4" w:rsidRDefault="00DA6DA4" w:rsidP="00DA6DA4">
      <w:r w:rsidRPr="00DA6DA4">
        <w:t xml:space="preserve">To give </w:t>
      </w:r>
      <w:r w:rsidR="00AA0B3C">
        <w:t>an easy</w:t>
      </w:r>
      <w:r w:rsidRPr="00DA6DA4">
        <w:t xml:space="preserve"> example, the NSW government has enacted several housing reforms, including Transport-Oriented Development, </w:t>
      </w:r>
      <w:r w:rsidR="00CF0D2F" w:rsidRPr="00DA6DA4">
        <w:t>Low- and Mid-Rise</w:t>
      </w:r>
      <w:r w:rsidRPr="00DA6DA4">
        <w:t xml:space="preserve"> Housing, the Housing Delivery Authory, targets for local councils and more. To assess what is working and whether further action is needed It would be useful to know how many Development Applications have been a) lodged and b) approved </w:t>
      </w:r>
      <w:proofErr w:type="gramStart"/>
      <w:r w:rsidRPr="00DA6DA4">
        <w:t>as a result of</w:t>
      </w:r>
      <w:proofErr w:type="gramEnd"/>
      <w:r w:rsidRPr="00DA6DA4">
        <w:t xml:space="preserve"> each policy (recognising that is easier for some policies than for others).  </w:t>
      </w:r>
      <w:r w:rsidR="00BA6DC4">
        <w:t>Some of t</w:t>
      </w:r>
      <w:r w:rsidRPr="00DA6DA4">
        <w:t xml:space="preserve">his information is </w:t>
      </w:r>
      <w:r w:rsidR="00BA6DC4">
        <w:t>occasionally</w:t>
      </w:r>
      <w:r w:rsidRPr="00DA6DA4">
        <w:t xml:space="preserve"> provided in Ministerial speeches (e.g. </w:t>
      </w:r>
      <w:hyperlink r:id="rId28" w:history="1">
        <w:r w:rsidRPr="00DA6DA4">
          <w:rPr>
            <w:rStyle w:val="Hyperlink"/>
          </w:rPr>
          <w:t>Scully, 2026</w:t>
        </w:r>
      </w:hyperlink>
      <w:r w:rsidRPr="00DA6DA4">
        <w:t>) but is not regularly published or collated.</w:t>
      </w:r>
    </w:p>
    <w:p w14:paraId="62B1F283" w14:textId="1BE91A84" w:rsidR="00E24BBB" w:rsidRDefault="00322984" w:rsidP="009E4454">
      <w:r>
        <w:t>The Australian government funds two research bodies that should</w:t>
      </w:r>
      <w:r w:rsidR="00922612">
        <w:t xml:space="preserve"> provide public education</w:t>
      </w:r>
      <w:r w:rsidR="002A3B75">
        <w:t xml:space="preserve"> </w:t>
      </w:r>
      <w:r w:rsidR="00922612">
        <w:t>and information but fail.</w:t>
      </w:r>
      <w:r w:rsidR="00606F2B">
        <w:t xml:space="preserve"> </w:t>
      </w:r>
    </w:p>
    <w:p w14:paraId="22F062D4" w14:textId="20C0BA83" w:rsidR="00F6321A" w:rsidRDefault="00F6321A" w:rsidP="00F6321A">
      <w:pPr>
        <w:pStyle w:val="ListParagraph"/>
        <w:numPr>
          <w:ilvl w:val="0"/>
          <w:numId w:val="17"/>
        </w:numPr>
      </w:pPr>
      <w:r w:rsidRPr="00F814E3">
        <w:t>the National Housing Supply and Affordability Council</w:t>
      </w:r>
      <w:r>
        <w:t xml:space="preserve"> </w:t>
      </w:r>
      <w:r w:rsidR="004E1127">
        <w:t xml:space="preserve">(NHSAC) </w:t>
      </w:r>
      <w:r w:rsidR="00F94D40">
        <w:t xml:space="preserve">costs about </w:t>
      </w:r>
      <w:hyperlink r:id="rId29" w:history="1">
        <w:r w:rsidRPr="00F94D40">
          <w:rPr>
            <w:rStyle w:val="Hyperlink"/>
          </w:rPr>
          <w:t xml:space="preserve">$4 </w:t>
        </w:r>
        <w:r w:rsidR="004E1127" w:rsidRPr="00F94D40">
          <w:rPr>
            <w:rStyle w:val="Hyperlink"/>
          </w:rPr>
          <w:t>million</w:t>
        </w:r>
      </w:hyperlink>
      <w:r>
        <w:t xml:space="preserve"> a year.</w:t>
      </w:r>
    </w:p>
    <w:p w14:paraId="58815C90" w14:textId="1F5F6A5A" w:rsidR="00922612" w:rsidRDefault="001C7505" w:rsidP="00E24BBB">
      <w:pPr>
        <w:pStyle w:val="ListParagraph"/>
        <w:numPr>
          <w:ilvl w:val="0"/>
          <w:numId w:val="17"/>
        </w:numPr>
      </w:pPr>
      <w:r>
        <w:t>The Australian Housing and Urban Research</w:t>
      </w:r>
      <w:r w:rsidR="00CF25A4">
        <w:t xml:space="preserve"> Institute (AHURI) </w:t>
      </w:r>
      <w:r w:rsidR="000F6007">
        <w:t xml:space="preserve">has an annual budget of about </w:t>
      </w:r>
      <w:hyperlink r:id="rId30" w:history="1">
        <w:r w:rsidR="000F6007" w:rsidRPr="007E14AA">
          <w:rPr>
            <w:rStyle w:val="Hyperlink"/>
          </w:rPr>
          <w:t>$8 million</w:t>
        </w:r>
      </w:hyperlink>
      <w:r w:rsidR="00D071A6">
        <w:t>.</w:t>
      </w:r>
      <w:r w:rsidR="000F6007">
        <w:t xml:space="preserve"> </w:t>
      </w:r>
      <w:r w:rsidR="004A3B04" w:rsidRPr="00463AA2">
        <w:t>$</w:t>
      </w:r>
      <w:r w:rsidR="000F6007" w:rsidRPr="00463AA2">
        <w:t>2</w:t>
      </w:r>
      <w:r w:rsidR="00A84B84" w:rsidRPr="00463AA2">
        <w:t>.1</w:t>
      </w:r>
      <w:r w:rsidR="000F6007" w:rsidRPr="00463AA2">
        <w:t xml:space="preserve"> million</w:t>
      </w:r>
      <w:r w:rsidR="000F6007">
        <w:t xml:space="preserve"> </w:t>
      </w:r>
      <w:r w:rsidR="00A84B84">
        <w:t>(</w:t>
      </w:r>
      <w:hyperlink r:id="rId31" w:history="1">
        <w:r w:rsidR="00A84B84" w:rsidRPr="00463AA2">
          <w:rPr>
            <w:rStyle w:val="Hyperlink"/>
          </w:rPr>
          <w:t>2026 BP2</w:t>
        </w:r>
      </w:hyperlink>
      <w:r w:rsidR="00A84B84">
        <w:t xml:space="preserve">; </w:t>
      </w:r>
      <w:r w:rsidR="00801A92">
        <w:t xml:space="preserve">p139) </w:t>
      </w:r>
      <w:r w:rsidR="00D071A6">
        <w:t>is</w:t>
      </w:r>
      <w:r w:rsidR="000F6007">
        <w:t xml:space="preserve"> from the Commonwealth, with the rest </w:t>
      </w:r>
      <w:r w:rsidR="00E24BBB">
        <w:t>from st</w:t>
      </w:r>
      <w:r w:rsidR="00DF50B3">
        <w:t>a</w:t>
      </w:r>
      <w:r w:rsidR="00E24BBB">
        <w:t xml:space="preserve">te </w:t>
      </w:r>
      <w:r w:rsidR="00745B24">
        <w:t>governments</w:t>
      </w:r>
      <w:r w:rsidR="00E24BBB">
        <w:t xml:space="preserve"> and universities.</w:t>
      </w:r>
    </w:p>
    <w:p w14:paraId="22A518A0" w14:textId="23396FC2" w:rsidR="009E4454" w:rsidRPr="00C63C71" w:rsidRDefault="0095643B" w:rsidP="009E4454">
      <w:r>
        <w:t>A</w:t>
      </w:r>
      <w:r w:rsidR="00392A6A">
        <w:t>H</w:t>
      </w:r>
      <w:r w:rsidR="009E4454" w:rsidRPr="00C63C71">
        <w:t xml:space="preserve">URI and NHSAC were conceived </w:t>
      </w:r>
      <w:r w:rsidR="009E4454">
        <w:t>in the past</w:t>
      </w:r>
      <w:r w:rsidR="009E4454" w:rsidRPr="00C63C71">
        <w:t xml:space="preserve"> when housing policy was seen as welfare policy.</w:t>
      </w:r>
      <w:r w:rsidR="00606F2B">
        <w:t xml:space="preserve"> </w:t>
      </w:r>
      <w:r w:rsidR="009E4454" w:rsidRPr="00C63C71">
        <w:t xml:space="preserve">Since then, </w:t>
      </w:r>
      <w:r w:rsidR="009E4454">
        <w:t xml:space="preserve">housing has become </w:t>
      </w:r>
      <w:r w:rsidR="009E4454" w:rsidRPr="00C63C71">
        <w:t>a top economic policy issue</w:t>
      </w:r>
      <w:r w:rsidR="00F76431">
        <w:t xml:space="preserve">. That </w:t>
      </w:r>
      <w:r w:rsidR="00FC01EA">
        <w:t xml:space="preserve">shift </w:t>
      </w:r>
      <w:r w:rsidR="00F76431">
        <w:t xml:space="preserve">can be seen </w:t>
      </w:r>
      <w:r w:rsidR="009E4454" w:rsidRPr="00C63C71">
        <w:t>in housing policy moving to Treasury</w:t>
      </w:r>
      <w:r w:rsidR="005569CF">
        <w:t xml:space="preserve">, </w:t>
      </w:r>
      <w:r>
        <w:t>this inquiry</w:t>
      </w:r>
      <w:r w:rsidR="005569CF">
        <w:t>, opinion polls</w:t>
      </w:r>
      <w:r w:rsidR="00F76431">
        <w:t xml:space="preserve"> and the broader public discussion</w:t>
      </w:r>
      <w:r w:rsidR="009E4454" w:rsidRPr="00C63C71">
        <w:t>.</w:t>
      </w:r>
      <w:r w:rsidR="00606F2B">
        <w:t xml:space="preserve"> </w:t>
      </w:r>
      <w:r w:rsidR="009E4454">
        <w:t>However, n</w:t>
      </w:r>
      <w:r w:rsidR="009E4454" w:rsidRPr="00C63C71">
        <w:t xml:space="preserve">either NHSAC </w:t>
      </w:r>
      <w:r w:rsidR="00A96D4E">
        <w:t>n</w:t>
      </w:r>
      <w:r w:rsidR="009E4454" w:rsidRPr="00C63C71">
        <w:t>or AHURI have adjusted</w:t>
      </w:r>
      <w:r w:rsidR="009E4454">
        <w:t>.</w:t>
      </w:r>
      <w:r w:rsidR="00606F2B">
        <w:t xml:space="preserve"> </w:t>
      </w:r>
      <w:r w:rsidR="009E4454" w:rsidRPr="00C63C71">
        <w:t>Both remain focused on welfare issues and ignore economics.</w:t>
      </w:r>
      <w:r w:rsidR="00606F2B">
        <w:t xml:space="preserve"> </w:t>
      </w:r>
      <w:r w:rsidR="009E4454" w:rsidRPr="00C63C71">
        <w:t>There has been a flood of recent economic research that has changed how many economists and policy advisers see housing policy.</w:t>
      </w:r>
      <w:r w:rsidR="00606F2B">
        <w:t xml:space="preserve"> </w:t>
      </w:r>
      <w:r w:rsidR="009E4454" w:rsidRPr="00C63C71">
        <w:t xml:space="preserve">But </w:t>
      </w:r>
      <w:r w:rsidR="009E4454">
        <w:t>the new research</w:t>
      </w:r>
      <w:r w:rsidR="009E4454" w:rsidRPr="00C63C71">
        <w:t xml:space="preserve"> is not cited or discussed by AHURI or NHSAC. </w:t>
      </w:r>
    </w:p>
    <w:p w14:paraId="32AE7B68" w14:textId="406F70AD" w:rsidR="009E4454" w:rsidRDefault="007930E3" w:rsidP="009E4454">
      <w:r>
        <w:t>Reflecting their origins in</w:t>
      </w:r>
      <w:r w:rsidR="009E4454" w:rsidRPr="00C63C71">
        <w:t xml:space="preserve"> welfare-delivery</w:t>
      </w:r>
      <w:r>
        <w:t xml:space="preserve">, </w:t>
      </w:r>
      <w:r w:rsidR="00596876" w:rsidRPr="00596876">
        <w:t xml:space="preserve">AHURI </w:t>
      </w:r>
      <w:r w:rsidR="0000171A">
        <w:t>and</w:t>
      </w:r>
      <w:r w:rsidR="00596876" w:rsidRPr="00596876">
        <w:t xml:space="preserve"> NHSAC </w:t>
      </w:r>
      <w:r>
        <w:t>have a</w:t>
      </w:r>
      <w:r w:rsidR="009E4454" w:rsidRPr="00C63C71">
        <w:t xml:space="preserve"> culture that is hostile to market</w:t>
      </w:r>
      <w:r w:rsidR="009E4454">
        <w:t>s or consideration of trade-offs</w:t>
      </w:r>
      <w:r w:rsidR="009E4454" w:rsidRPr="00C63C71">
        <w:t>.</w:t>
      </w:r>
      <w:r w:rsidR="009E4454">
        <w:t xml:space="preserve"> They attack or (more often) ignore relevant economic research. Insofar as they discuss land use regulation (which is rarely), they defend planning </w:t>
      </w:r>
      <w:r w:rsidR="009E4454">
        <w:lastRenderedPageBreak/>
        <w:t xml:space="preserve">restrictions. They give fringe dissents as much coverage as they give the academic consensus. AHURI-funded researchers regularly publish critiques of mainstream economics; for example </w:t>
      </w:r>
      <w:hyperlink r:id="rId32" w:history="1">
        <w:r w:rsidR="009E4454">
          <w:rPr>
            <w:rStyle w:val="Hyperlink"/>
          </w:rPr>
          <w:t>here</w:t>
        </w:r>
      </w:hyperlink>
      <w:r w:rsidR="009E4454">
        <w:t xml:space="preserve">, </w:t>
      </w:r>
      <w:hyperlink r:id="rId33" w:history="1">
        <w:r w:rsidR="009E4454" w:rsidRPr="00106C70">
          <w:rPr>
            <w:rStyle w:val="Hyperlink"/>
          </w:rPr>
          <w:t>here</w:t>
        </w:r>
      </w:hyperlink>
      <w:r w:rsidR="009E4454">
        <w:t xml:space="preserve"> or </w:t>
      </w:r>
      <w:hyperlink r:id="rId34" w:history="1">
        <w:r w:rsidR="009E4454" w:rsidRPr="003F558D">
          <w:rPr>
            <w:rStyle w:val="Hyperlink"/>
          </w:rPr>
          <w:t>here</w:t>
        </w:r>
      </w:hyperlink>
      <w:r w:rsidR="009E4454">
        <w:t>.</w:t>
      </w:r>
    </w:p>
    <w:p w14:paraId="6AC110FB" w14:textId="7B89E065" w:rsidR="009E4454" w:rsidRDefault="009E4454" w:rsidP="009E4454">
      <w:r w:rsidRPr="00C63C71">
        <w:t>This not partisan.</w:t>
      </w:r>
      <w:r w:rsidR="00606F2B">
        <w:t xml:space="preserve"> </w:t>
      </w:r>
      <w:r w:rsidRPr="00C63C71">
        <w:t xml:space="preserve">Both Liberal and Labor politicians agree on the need for greater housing supply and looser zoning. But that </w:t>
      </w:r>
      <w:r w:rsidR="0054396E">
        <w:t xml:space="preserve">bipartisan </w:t>
      </w:r>
      <w:r w:rsidRPr="00C63C71">
        <w:t>message is undermined by NHSAC and AHURI.</w:t>
      </w:r>
      <w:r w:rsidR="00606F2B">
        <w:t xml:space="preserve"> </w:t>
      </w:r>
    </w:p>
    <w:p w14:paraId="1D95D172" w14:textId="53A95849" w:rsidR="009E4454" w:rsidRDefault="000749F8" w:rsidP="009E4454">
      <w:r>
        <w:t>Public</w:t>
      </w:r>
      <w:r w:rsidR="005F489A">
        <w:t xml:space="preserve"> discuss</w:t>
      </w:r>
      <w:r w:rsidR="004C2427">
        <w:t>ions of</w:t>
      </w:r>
      <w:r w:rsidR="005F489A">
        <w:t xml:space="preserve"> housing policy </w:t>
      </w:r>
      <w:r w:rsidR="00160E4C">
        <w:t>regularly</w:t>
      </w:r>
      <w:r w:rsidR="004C2427">
        <w:t xml:space="preserve"> </w:t>
      </w:r>
      <w:r w:rsidR="00FC60A4">
        <w:t>rel</w:t>
      </w:r>
      <w:r w:rsidR="00C44FC2">
        <w:t>y on</w:t>
      </w:r>
      <w:r w:rsidR="005F489A">
        <w:t xml:space="preserve"> expert modelling</w:t>
      </w:r>
      <w:r w:rsidR="00C57D0F">
        <w:t xml:space="preserve"> </w:t>
      </w:r>
      <w:r w:rsidR="00160E4C">
        <w:t>(indicating strong demand</w:t>
      </w:r>
      <w:r w:rsidR="00CF0D2F">
        <w:t>),</w:t>
      </w:r>
      <w:r w:rsidR="00160E4C">
        <w:t xml:space="preserve"> </w:t>
      </w:r>
      <w:r w:rsidR="00C57D0F">
        <w:t>but</w:t>
      </w:r>
      <w:r w:rsidR="008D6C3F">
        <w:t xml:space="preserve"> </w:t>
      </w:r>
      <w:r w:rsidR="009E4454">
        <w:t>AHURI or NHSAC research</w:t>
      </w:r>
      <w:r w:rsidR="00AD7B07" w:rsidRPr="00AD7B07">
        <w:t xml:space="preserve"> </w:t>
      </w:r>
      <w:r w:rsidR="00AD7B07">
        <w:t xml:space="preserve">is </w:t>
      </w:r>
      <w:r w:rsidR="00C57D0F">
        <w:t>infre</w:t>
      </w:r>
      <w:r w:rsidR="00160E4C">
        <w:t>quently</w:t>
      </w:r>
      <w:r w:rsidR="00AD7B07">
        <w:t xml:space="preserve"> cited</w:t>
      </w:r>
      <w:r w:rsidR="009E4454">
        <w:t>.</w:t>
      </w:r>
      <w:r w:rsidR="00606F2B">
        <w:t xml:space="preserve"> </w:t>
      </w:r>
      <w:r w:rsidR="009E4454">
        <w:t xml:space="preserve">The work of the Grattan Institute, the RBA, the Productivity Commissions, and even the </w:t>
      </w:r>
      <w:r w:rsidR="006C1EF8">
        <w:t>unpaid</w:t>
      </w:r>
      <w:r w:rsidR="009E4454">
        <w:t xml:space="preserve"> volunteers at YIMBY Melbourne has each made a greater contribution to public discussion than the bodies funded to do precisely that.</w:t>
      </w:r>
      <w:r w:rsidR="00BD483A" w:rsidRPr="00BD483A">
        <w:t xml:space="preserve"> </w:t>
      </w:r>
      <w:r w:rsidR="00BD483A">
        <w:t>Commissioning the Productivity Commission</w:t>
      </w:r>
      <w:r w:rsidR="00BD483A" w:rsidRPr="006D2B2B">
        <w:t xml:space="preserve"> </w:t>
      </w:r>
      <w:r w:rsidR="00BD483A">
        <w:t xml:space="preserve">to conduct this inquiry was a </w:t>
      </w:r>
      <w:r w:rsidR="001C6DE3">
        <w:t xml:space="preserve">welcome </w:t>
      </w:r>
      <w:r w:rsidR="00BD483A">
        <w:t>vote of no confidence in AHURI and NHSAC.</w:t>
      </w:r>
      <w:r w:rsidR="00606F2B">
        <w:t xml:space="preserve"> </w:t>
      </w:r>
    </w:p>
    <w:p w14:paraId="30B0499E" w14:textId="6A3AA8A3" w:rsidR="00E7313E" w:rsidRDefault="00457146" w:rsidP="00E7313E">
      <w:r>
        <w:t>T</w:t>
      </w:r>
      <w:r w:rsidR="00E7313E">
        <w:t xml:space="preserve">he </w:t>
      </w:r>
      <w:r w:rsidR="006F568F">
        <w:t>C</w:t>
      </w:r>
      <w:r w:rsidR="00E7313E">
        <w:t xml:space="preserve">ommonwealth government should stop funding AHURI and NHSAC and reallocate their funding to a housing research centre </w:t>
      </w:r>
      <w:r w:rsidR="00E54A54">
        <w:t xml:space="preserve">with a significant modelling capacity </w:t>
      </w:r>
      <w:r w:rsidR="00E7313E">
        <w:t>committed to public education.</w:t>
      </w:r>
      <w:r w:rsidR="00E54A54">
        <w:t xml:space="preserve"> It should be led by mainstream evidence-based economists</w:t>
      </w:r>
      <w:r w:rsidR="00130DF7">
        <w:t>, familiar with</w:t>
      </w:r>
      <w:r w:rsidR="002545EE">
        <w:t xml:space="preserve"> </w:t>
      </w:r>
      <w:r w:rsidR="00130DF7">
        <w:t>at least some of t</w:t>
      </w:r>
      <w:r w:rsidR="00E70214">
        <w:t>h</w:t>
      </w:r>
      <w:r w:rsidR="00130DF7">
        <w:t>e recent research</w:t>
      </w:r>
      <w:r w:rsidR="00E54A54">
        <w:t>.</w:t>
      </w:r>
    </w:p>
    <w:p w14:paraId="15686B09" w14:textId="6865E176" w:rsidR="00A1278E" w:rsidRDefault="00A1278E" w:rsidP="00CC4AAF">
      <w:pPr>
        <w:pStyle w:val="Heading2"/>
      </w:pPr>
      <w:bookmarkStart w:id="7" w:name="_Toc232413257"/>
      <w:r>
        <w:t>The rationale for federal involvement</w:t>
      </w:r>
      <w:bookmarkEnd w:id="7"/>
    </w:p>
    <w:p w14:paraId="4D24AD28" w14:textId="357C2D83" w:rsidR="00EE3EFF" w:rsidRDefault="003E58BE" w:rsidP="00EC0DCC">
      <w:pPr>
        <w:spacing w:after="120"/>
      </w:pPr>
      <w:r>
        <w:t>Justifying federal governmen</w:t>
      </w:r>
      <w:r w:rsidR="00A17C6E">
        <w:t xml:space="preserve">t support </w:t>
      </w:r>
      <w:r w:rsidR="00F33708">
        <w:t>for</w:t>
      </w:r>
      <w:r w:rsidR="00A17C6E">
        <w:t xml:space="preserve"> housing is a somewhat academic question</w:t>
      </w:r>
      <w:r w:rsidR="004355F0">
        <w:t xml:space="preserve">, given that voters </w:t>
      </w:r>
      <w:r w:rsidRPr="003E58BE">
        <w:t xml:space="preserve">and all political parties regard </w:t>
      </w:r>
      <w:r w:rsidR="00997D1A">
        <w:t>it as a top priority</w:t>
      </w:r>
      <w:r w:rsidRPr="003E58BE">
        <w:t xml:space="preserve">. </w:t>
      </w:r>
      <w:r w:rsidR="00A751CB">
        <w:t xml:space="preserve">Nevertheless, </w:t>
      </w:r>
      <w:r w:rsidR="000D522A">
        <w:t xml:space="preserve">the Constitution gives the states responsibility for </w:t>
      </w:r>
      <w:r w:rsidR="00D237F6">
        <w:t>land use regulations</w:t>
      </w:r>
      <w:r w:rsidR="00063B29">
        <w:t xml:space="preserve">, so this is a constraint. </w:t>
      </w:r>
      <w:r w:rsidR="004F7029">
        <w:t xml:space="preserve">However, that </w:t>
      </w:r>
      <w:r w:rsidR="00063B29">
        <w:t>does</w:t>
      </w:r>
      <w:r w:rsidR="004F7029">
        <w:t xml:space="preserve"> not</w:t>
      </w:r>
      <w:r w:rsidR="00375602">
        <w:t xml:space="preserve"> appl</w:t>
      </w:r>
      <w:r w:rsidR="004F7029">
        <w:t>y</w:t>
      </w:r>
      <w:r w:rsidR="00375602">
        <w:t xml:space="preserve"> to policies to encourage</w:t>
      </w:r>
      <w:r w:rsidR="003066C9">
        <w:t>, assist and educate</w:t>
      </w:r>
      <w:r w:rsidR="005442E4">
        <w:t>, where f</w:t>
      </w:r>
      <w:r w:rsidR="00BE0FB5">
        <w:t>ocussed federal involvement is appr</w:t>
      </w:r>
      <w:r w:rsidR="00796E0E">
        <w:t>opriate.</w:t>
      </w:r>
    </w:p>
    <w:p w14:paraId="073E4710" w14:textId="13A361E0" w:rsidR="00991535" w:rsidRDefault="00991535" w:rsidP="00991535">
      <w:pPr>
        <w:spacing w:after="120"/>
      </w:pPr>
      <w:r>
        <w:t xml:space="preserve">There are clear </w:t>
      </w:r>
      <w:r w:rsidRPr="00E07A88">
        <w:t>externalities across states</w:t>
      </w:r>
      <w:r w:rsidRPr="00991535">
        <w:t xml:space="preserve"> </w:t>
      </w:r>
      <w:r>
        <w:t>due to p</w:t>
      </w:r>
      <w:r w:rsidRPr="00E07A88">
        <w:t>opulation mobility. NSW is exporting its housing shortage to other states and Victoria is absorbing much of the brunt.</w:t>
      </w:r>
      <w:r w:rsidR="00606F2B">
        <w:t xml:space="preserve"> </w:t>
      </w:r>
      <w:r>
        <w:t>Construction in one state benefits other</w:t>
      </w:r>
      <w:r w:rsidR="00C172B0">
        <w:t>s</w:t>
      </w:r>
      <w:r>
        <w:t>.</w:t>
      </w:r>
    </w:p>
    <w:p w14:paraId="491BC1E7" w14:textId="46907843" w:rsidR="00582806" w:rsidRDefault="00C172B0" w:rsidP="00EC0DCC">
      <w:pPr>
        <w:spacing w:after="120"/>
      </w:pPr>
      <w:r>
        <w:t xml:space="preserve">Moreover, </w:t>
      </w:r>
      <w:r w:rsidR="00582806" w:rsidRPr="00E07A88">
        <w:t>immigration policy</w:t>
      </w:r>
      <w:r w:rsidR="00441CF0">
        <w:t xml:space="preserve"> (a </w:t>
      </w:r>
      <w:r w:rsidR="00F9145C">
        <w:t>f</w:t>
      </w:r>
      <w:r w:rsidR="00441CF0">
        <w:t>ederal responsibility) needs to be co-ordinated with</w:t>
      </w:r>
      <w:r w:rsidR="00136F2E">
        <w:t xml:space="preserve"> </w:t>
      </w:r>
      <w:r w:rsidR="003066C9">
        <w:t>land release</w:t>
      </w:r>
      <w:r w:rsidR="003066C9" w:rsidRPr="00E07A88">
        <w:t xml:space="preserve"> </w:t>
      </w:r>
      <w:r w:rsidR="006C42BC">
        <w:t xml:space="preserve">and </w:t>
      </w:r>
      <w:r w:rsidR="00582806" w:rsidRPr="00E07A88">
        <w:t>infrastructure</w:t>
      </w:r>
      <w:r w:rsidR="00136F2E">
        <w:t xml:space="preserve"> (State</w:t>
      </w:r>
      <w:r w:rsidR="00D8015C">
        <w:t xml:space="preserve"> responsibilities</w:t>
      </w:r>
      <w:r w:rsidR="00136F2E">
        <w:t>)</w:t>
      </w:r>
      <w:r w:rsidR="00582806" w:rsidRPr="00E07A88">
        <w:t xml:space="preserve">. </w:t>
      </w:r>
      <w:r w:rsidR="00582806">
        <w:t>Divided responsibilities</w:t>
      </w:r>
      <w:r w:rsidR="00C608BB">
        <w:t>, inconsistent incentives</w:t>
      </w:r>
      <w:r w:rsidR="00582806">
        <w:t xml:space="preserve"> and lack of co-ordination </w:t>
      </w:r>
      <w:r w:rsidR="002E740B">
        <w:t xml:space="preserve">have contributed to </w:t>
      </w:r>
      <w:r w:rsidR="00F837CA">
        <w:t xml:space="preserve">Australia </w:t>
      </w:r>
      <w:r w:rsidR="002E740B">
        <w:t>not</w:t>
      </w:r>
      <w:r w:rsidR="00582806" w:rsidRPr="00E07A88">
        <w:t xml:space="preserve"> building enough housing to accommodate our rapidly growing population.</w:t>
      </w:r>
      <w:r w:rsidR="00606F2B">
        <w:t xml:space="preserve"> </w:t>
      </w:r>
      <w:r w:rsidR="00582806">
        <w:t>National Cabinet’s housing targets are an attempt to more closely align these policies.</w:t>
      </w:r>
      <w:r w:rsidR="00606F2B">
        <w:t xml:space="preserve"> </w:t>
      </w:r>
      <w:r w:rsidR="00582806">
        <w:t xml:space="preserve">However, to be effective, they </w:t>
      </w:r>
      <w:r w:rsidR="00796E0E">
        <w:t>need to</w:t>
      </w:r>
      <w:r w:rsidR="00582806">
        <w:t xml:space="preserve"> be backed with substantial incentives and assistance</w:t>
      </w:r>
      <w:r w:rsidR="00006D9D">
        <w:t>, as discussed in Section 2.1</w:t>
      </w:r>
      <w:r w:rsidR="00582806">
        <w:t>.</w:t>
      </w:r>
    </w:p>
    <w:p w14:paraId="1E58A129" w14:textId="650DC9D2" w:rsidR="0099242B" w:rsidRDefault="000A05A7" w:rsidP="003E58BE">
      <w:pPr>
        <w:spacing w:after="120"/>
      </w:pPr>
      <w:r>
        <w:t>R</w:t>
      </w:r>
      <w:r w:rsidR="00191FCF" w:rsidRPr="00191FCF">
        <w:t>esearch</w:t>
      </w:r>
      <w:r w:rsidR="004B57B4">
        <w:t xml:space="preserve">, information and advice are </w:t>
      </w:r>
      <w:r w:rsidR="00191FCF" w:rsidRPr="00191FCF">
        <w:t>public good</w:t>
      </w:r>
      <w:r w:rsidR="004B57B4">
        <w:t>s</w:t>
      </w:r>
      <w:r w:rsidR="00191FCF" w:rsidRPr="00191FCF">
        <w:t xml:space="preserve">, so </w:t>
      </w:r>
      <w:r w:rsidR="004B57B4">
        <w:t>are</w:t>
      </w:r>
      <w:r w:rsidR="00191FCF" w:rsidRPr="00191FCF">
        <w:t xml:space="preserve"> appropriately funded and conducted at a federal level. Moreover, most of our policy discussions, like the current inquiry, are conducted at a national level. </w:t>
      </w:r>
      <w:r w:rsidR="00417999">
        <w:t>Hence,</w:t>
      </w:r>
      <w:r w:rsidR="00191FCF" w:rsidRPr="00191FCF">
        <w:t xml:space="preserve"> this is a federal responsibility.</w:t>
      </w:r>
    </w:p>
    <w:p w14:paraId="28AEF6E2" w14:textId="5CBDFD28" w:rsidR="0016221C" w:rsidRPr="0016221C" w:rsidRDefault="001A5C04" w:rsidP="0016221C">
      <w:pPr>
        <w:spacing w:after="120"/>
      </w:pPr>
      <w:r>
        <w:t xml:space="preserve">To be clear, </w:t>
      </w:r>
      <w:r w:rsidR="0016221C" w:rsidRPr="0016221C">
        <w:t>N</w:t>
      </w:r>
      <w:r w:rsidR="0016221C">
        <w:t>ational Competition</w:t>
      </w:r>
      <w:r w:rsidR="001567C5">
        <w:t xml:space="preserve"> Policy</w:t>
      </w:r>
      <w:r w:rsidR="0016221C" w:rsidRPr="0016221C">
        <w:t xml:space="preserve"> payments </w:t>
      </w:r>
      <w:r w:rsidR="001567C5">
        <w:t>(discussed in Section 3</w:t>
      </w:r>
      <w:r w:rsidR="007956BD">
        <w:t>.2</w:t>
      </w:r>
      <w:r w:rsidR="001567C5">
        <w:t xml:space="preserve">) </w:t>
      </w:r>
      <w:r w:rsidR="0016221C" w:rsidRPr="0016221C">
        <w:t xml:space="preserve">are often justified on the grounds that the Commonwealth gets the benefits of economic growth through tax receipts whereas the </w:t>
      </w:r>
      <w:r w:rsidR="00417999">
        <w:t>s</w:t>
      </w:r>
      <w:r w:rsidR="0016221C" w:rsidRPr="0016221C">
        <w:t>tates bear the costs.</w:t>
      </w:r>
      <w:r w:rsidR="00606F2B">
        <w:t xml:space="preserve"> </w:t>
      </w:r>
      <w:r w:rsidR="0016221C" w:rsidRPr="0016221C">
        <w:t xml:space="preserve">However, this argument is less applicable to housing reforms as most of the benefits accrue </w:t>
      </w:r>
      <w:r w:rsidR="00250F16">
        <w:t>as</w:t>
      </w:r>
      <w:r w:rsidR="0016221C" w:rsidRPr="0016221C">
        <w:t xml:space="preserve"> capital gains to owner-occupied housing and increased consumer surplus, which are lightly taxed.</w:t>
      </w:r>
    </w:p>
    <w:p w14:paraId="052C7B37" w14:textId="77777777" w:rsidR="0016221C" w:rsidRDefault="0016221C" w:rsidP="003E58BE">
      <w:pPr>
        <w:spacing w:after="120"/>
      </w:pPr>
    </w:p>
    <w:p w14:paraId="1E2952AE" w14:textId="6FB85338" w:rsidR="0099242B" w:rsidRDefault="0099242B" w:rsidP="008F7C7C">
      <w:pPr>
        <w:pStyle w:val="Heading1"/>
      </w:pPr>
      <w:bookmarkStart w:id="8" w:name="_Toc232413258"/>
      <w:r>
        <w:lastRenderedPageBreak/>
        <w:t>Alternative Federal policies</w:t>
      </w:r>
      <w:bookmarkEnd w:id="8"/>
    </w:p>
    <w:p w14:paraId="4152FE47" w14:textId="4D49381E" w:rsidR="008E076F" w:rsidRDefault="001A1BDA" w:rsidP="008F7C7C">
      <w:pPr>
        <w:pStyle w:val="Heading2"/>
      </w:pPr>
      <w:bookmarkStart w:id="9" w:name="_Toc232413259"/>
      <w:r>
        <w:t>Current policy priorities</w:t>
      </w:r>
      <w:bookmarkEnd w:id="9"/>
    </w:p>
    <w:p w14:paraId="7FB75D5C" w14:textId="1F52A547" w:rsidR="008E076F" w:rsidRDefault="001B6594" w:rsidP="008F7C7C">
      <w:pPr>
        <w:keepNext/>
        <w:keepLines/>
      </w:pPr>
      <w:r>
        <w:t>T</w:t>
      </w:r>
      <w:r w:rsidR="00090AB3">
        <w:t>a</w:t>
      </w:r>
      <w:r>
        <w:t xml:space="preserve">ble 1 shows </w:t>
      </w:r>
      <w:r w:rsidR="00B24EA8">
        <w:t>new</w:t>
      </w:r>
      <w:r>
        <w:t xml:space="preserve"> </w:t>
      </w:r>
      <w:r w:rsidR="00CC7F9F">
        <w:t xml:space="preserve">federal </w:t>
      </w:r>
      <w:r>
        <w:t>government</w:t>
      </w:r>
      <w:r w:rsidR="005153EA">
        <w:t xml:space="preserve"> spending programs on housing</w:t>
      </w:r>
    </w:p>
    <w:p w14:paraId="11C88CB0" w14:textId="77777777" w:rsidR="005D44C2" w:rsidRPr="005D44C2" w:rsidRDefault="005D44C2" w:rsidP="008F7C7C">
      <w:pPr>
        <w:keepNext/>
        <w:keepLines/>
      </w:pPr>
    </w:p>
    <w:p w14:paraId="55CA00DF" w14:textId="1C17665A" w:rsidR="005D44C2" w:rsidRPr="005D44C2" w:rsidRDefault="0039468D" w:rsidP="002D411C">
      <w:pPr>
        <w:keepNext/>
        <w:keepLines/>
        <w:spacing w:after="0" w:line="240" w:lineRule="auto"/>
        <w:jc w:val="center"/>
        <w:rPr>
          <w:b/>
          <w:bCs/>
        </w:rPr>
      </w:pPr>
      <w:r>
        <w:rPr>
          <w:b/>
          <w:bCs/>
        </w:rPr>
        <w:t xml:space="preserve">Table 1: </w:t>
      </w:r>
      <w:r w:rsidR="00D6024B">
        <w:rPr>
          <w:b/>
          <w:bCs/>
        </w:rPr>
        <w:t>New f</w:t>
      </w:r>
      <w:r>
        <w:rPr>
          <w:b/>
          <w:bCs/>
        </w:rPr>
        <w:t>ederal government housing programs</w:t>
      </w:r>
    </w:p>
    <w:tbl>
      <w:tblPr>
        <w:tblW w:w="0" w:type="auto"/>
        <w:tblCellMar>
          <w:left w:w="0" w:type="dxa"/>
          <w:right w:w="0" w:type="dxa"/>
        </w:tblCellMar>
        <w:tblLook w:val="04A0" w:firstRow="1" w:lastRow="0" w:firstColumn="1" w:lastColumn="0" w:noHBand="0" w:noVBand="1"/>
      </w:tblPr>
      <w:tblGrid>
        <w:gridCol w:w="806"/>
        <w:gridCol w:w="7112"/>
        <w:gridCol w:w="1108"/>
      </w:tblGrid>
      <w:tr w:rsidR="005D44C2" w:rsidRPr="005D44C2" w14:paraId="04286F38" w14:textId="77777777" w:rsidTr="00F64120">
        <w:trPr>
          <w:trHeight w:val="360"/>
        </w:trPr>
        <w:tc>
          <w:tcPr>
            <w:tcW w:w="806" w:type="dxa"/>
            <w:tcBorders>
              <w:top w:val="nil"/>
              <w:left w:val="nil"/>
              <w:bottom w:val="single" w:sz="8" w:space="0" w:color="auto"/>
              <w:right w:val="nil"/>
            </w:tcBorders>
            <w:tcMar>
              <w:top w:w="0" w:type="dxa"/>
              <w:left w:w="108" w:type="dxa"/>
              <w:bottom w:w="0" w:type="dxa"/>
              <w:right w:w="108" w:type="dxa"/>
            </w:tcMar>
            <w:vAlign w:val="center"/>
            <w:hideMark/>
          </w:tcPr>
          <w:p w14:paraId="4190490C" w14:textId="77777777" w:rsidR="005D44C2" w:rsidRPr="005D44C2" w:rsidRDefault="005D44C2" w:rsidP="002D411C">
            <w:pPr>
              <w:keepNext/>
              <w:keepLines/>
              <w:spacing w:after="0" w:line="240" w:lineRule="auto"/>
            </w:pPr>
            <w:r w:rsidRPr="005D44C2">
              <w:rPr>
                <w:b/>
                <w:bCs/>
                <w:lang w:val="en-US"/>
              </w:rPr>
              <w:t>Area</w:t>
            </w:r>
            <w:r w:rsidRPr="005D44C2">
              <w:t> </w:t>
            </w: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574F29A0" w14:textId="77777777" w:rsidR="005D44C2" w:rsidRPr="005D44C2" w:rsidRDefault="005D44C2" w:rsidP="002D411C">
            <w:pPr>
              <w:keepNext/>
              <w:keepLines/>
              <w:spacing w:after="0" w:line="240" w:lineRule="auto"/>
            </w:pPr>
            <w:r w:rsidRPr="005D44C2">
              <w:rPr>
                <w:b/>
                <w:bCs/>
                <w:lang w:val="en-US"/>
              </w:rPr>
              <w:t>Initiative</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12FCB7EB" w14:textId="77777777" w:rsidR="005D44C2" w:rsidRPr="005D44C2" w:rsidRDefault="005D44C2" w:rsidP="002D411C">
            <w:pPr>
              <w:keepNext/>
              <w:keepLines/>
              <w:spacing w:after="0" w:line="240" w:lineRule="auto"/>
              <w:jc w:val="right"/>
            </w:pPr>
            <w:r w:rsidRPr="005D44C2">
              <w:rPr>
                <w:b/>
                <w:bCs/>
                <w:lang w:val="en-US"/>
              </w:rPr>
              <w:t>$b</w:t>
            </w:r>
            <w:r w:rsidRPr="005D44C2">
              <w:t> </w:t>
            </w:r>
          </w:p>
        </w:tc>
      </w:tr>
      <w:tr w:rsidR="005D44C2" w:rsidRPr="005D44C2" w14:paraId="0272ED10" w14:textId="77777777" w:rsidTr="00F64120">
        <w:trPr>
          <w:trHeight w:val="405"/>
        </w:trPr>
        <w:tc>
          <w:tcPr>
            <w:tcW w:w="806" w:type="dxa"/>
            <w:tcMar>
              <w:top w:w="0" w:type="dxa"/>
              <w:left w:w="108" w:type="dxa"/>
              <w:bottom w:w="0" w:type="dxa"/>
              <w:right w:w="108" w:type="dxa"/>
            </w:tcMar>
            <w:vAlign w:val="center"/>
            <w:hideMark/>
          </w:tcPr>
          <w:p w14:paraId="1E3F5757" w14:textId="77777777" w:rsidR="005D44C2" w:rsidRPr="005D44C2" w:rsidRDefault="005D44C2" w:rsidP="002D411C">
            <w:pPr>
              <w:keepNext/>
              <w:keepLines/>
              <w:spacing w:after="0" w:line="240" w:lineRule="auto"/>
            </w:pPr>
            <w:r w:rsidRPr="005D44C2">
              <w:rPr>
                <w:b/>
                <w:bCs/>
                <w:lang w:val="en-US"/>
              </w:rPr>
              <w:t>Buy</w:t>
            </w:r>
            <w:r w:rsidRPr="005D44C2">
              <w:t> </w:t>
            </w:r>
          </w:p>
        </w:tc>
        <w:tc>
          <w:tcPr>
            <w:tcW w:w="7112" w:type="dxa"/>
            <w:tcMar>
              <w:top w:w="0" w:type="dxa"/>
              <w:left w:w="108" w:type="dxa"/>
              <w:bottom w:w="0" w:type="dxa"/>
              <w:right w:w="108" w:type="dxa"/>
            </w:tcMar>
            <w:vAlign w:val="center"/>
            <w:hideMark/>
          </w:tcPr>
          <w:p w14:paraId="7F066D95" w14:textId="26E76A06" w:rsidR="005D44C2" w:rsidRPr="005D44C2" w:rsidRDefault="005D44C2" w:rsidP="002D411C">
            <w:pPr>
              <w:keepNext/>
              <w:keepLines/>
              <w:spacing w:after="0" w:line="240" w:lineRule="auto"/>
            </w:pPr>
            <w:r w:rsidRPr="005D44C2">
              <w:rPr>
                <w:lang w:val="en-US"/>
              </w:rPr>
              <w:t>Help to Buy</w:t>
            </w:r>
            <w:r w:rsidR="00606F2B">
              <w:rPr>
                <w:lang w:val="en-US"/>
              </w:rPr>
              <w:t xml:space="preserve"> </w:t>
            </w:r>
          </w:p>
        </w:tc>
        <w:tc>
          <w:tcPr>
            <w:tcW w:w="1108" w:type="dxa"/>
            <w:tcMar>
              <w:top w:w="0" w:type="dxa"/>
              <w:left w:w="108" w:type="dxa"/>
              <w:bottom w:w="0" w:type="dxa"/>
              <w:right w:w="108" w:type="dxa"/>
            </w:tcMar>
            <w:vAlign w:val="center"/>
            <w:hideMark/>
          </w:tcPr>
          <w:p w14:paraId="34A6EA2F" w14:textId="77777777" w:rsidR="005D44C2" w:rsidRPr="005D44C2" w:rsidRDefault="005D44C2" w:rsidP="002D411C">
            <w:pPr>
              <w:keepNext/>
              <w:keepLines/>
              <w:spacing w:after="0" w:line="240" w:lineRule="auto"/>
              <w:jc w:val="right"/>
            </w:pPr>
            <w:r w:rsidRPr="005D44C2">
              <w:rPr>
                <w:lang w:val="en-US"/>
              </w:rPr>
              <w:t>6.30</w:t>
            </w:r>
            <w:r w:rsidRPr="005D44C2">
              <w:t> </w:t>
            </w:r>
          </w:p>
        </w:tc>
      </w:tr>
      <w:tr w:rsidR="005D44C2" w:rsidRPr="005D44C2" w14:paraId="40426E4B" w14:textId="77777777" w:rsidTr="00F64120">
        <w:trPr>
          <w:trHeight w:val="405"/>
        </w:trPr>
        <w:tc>
          <w:tcPr>
            <w:tcW w:w="80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DFD2614" w14:textId="77777777" w:rsidR="005D44C2" w:rsidRPr="005D44C2" w:rsidRDefault="005D44C2" w:rsidP="002D411C">
            <w:pPr>
              <w:keepNext/>
              <w:keepLines/>
              <w:spacing w:after="0" w:line="240" w:lineRule="auto"/>
            </w:pPr>
            <w:r w:rsidRPr="005D44C2">
              <w:rPr>
                <w:b/>
                <w:bCs/>
                <w:lang w:val="en-US"/>
              </w:rPr>
              <w:t>Rent</w:t>
            </w:r>
            <w:r w:rsidRPr="005D44C2">
              <w:t> </w:t>
            </w:r>
          </w:p>
        </w:tc>
        <w:tc>
          <w:tcPr>
            <w:tcW w:w="711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43AA87A3" w14:textId="77777777" w:rsidR="005D44C2" w:rsidRPr="005D44C2" w:rsidRDefault="005D44C2" w:rsidP="002D411C">
            <w:pPr>
              <w:keepNext/>
              <w:keepLines/>
              <w:spacing w:after="0" w:line="240" w:lineRule="auto"/>
            </w:pPr>
            <w:r w:rsidRPr="005D44C2">
              <w:rPr>
                <w:lang w:val="en-US"/>
              </w:rPr>
              <w:t>Commonwealth Rent Assistance (CRA) increases</w:t>
            </w:r>
            <w:r w:rsidRPr="005D44C2">
              <w:t> </w:t>
            </w:r>
          </w:p>
        </w:tc>
        <w:tc>
          <w:tcPr>
            <w:tcW w:w="110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02255CE" w14:textId="77777777" w:rsidR="005D44C2" w:rsidRPr="005D44C2" w:rsidRDefault="005D44C2" w:rsidP="002D411C">
            <w:pPr>
              <w:keepNext/>
              <w:keepLines/>
              <w:spacing w:after="0" w:line="240" w:lineRule="auto"/>
              <w:jc w:val="right"/>
            </w:pPr>
            <w:r w:rsidRPr="005D44C2">
              <w:rPr>
                <w:lang w:val="en-US"/>
              </w:rPr>
              <w:t>4.60</w:t>
            </w:r>
            <w:r w:rsidRPr="005D44C2">
              <w:t> </w:t>
            </w:r>
          </w:p>
        </w:tc>
      </w:tr>
      <w:tr w:rsidR="002901DA" w:rsidRPr="005D44C2" w14:paraId="5E681A44" w14:textId="77777777" w:rsidTr="00F64120">
        <w:trPr>
          <w:trHeight w:val="360"/>
        </w:trPr>
        <w:tc>
          <w:tcPr>
            <w:tcW w:w="806" w:type="dxa"/>
            <w:vMerge w:val="restart"/>
            <w:tcMar>
              <w:top w:w="0" w:type="dxa"/>
              <w:left w:w="108" w:type="dxa"/>
              <w:bottom w:w="0" w:type="dxa"/>
              <w:right w:w="108" w:type="dxa"/>
            </w:tcMar>
            <w:hideMark/>
          </w:tcPr>
          <w:p w14:paraId="4F8DFE66" w14:textId="77777777" w:rsidR="002901DA" w:rsidRPr="005D44C2" w:rsidRDefault="002901DA" w:rsidP="002D411C">
            <w:pPr>
              <w:keepNext/>
              <w:keepLines/>
              <w:spacing w:after="0" w:line="240" w:lineRule="auto"/>
            </w:pPr>
            <w:r w:rsidRPr="005D44C2">
              <w:rPr>
                <w:b/>
                <w:bCs/>
                <w:lang w:val="en-US"/>
              </w:rPr>
              <w:t>Build</w:t>
            </w:r>
            <w:r w:rsidRPr="005D44C2">
              <w:t> </w:t>
            </w:r>
          </w:p>
          <w:p w14:paraId="61D60E10" w14:textId="77777777" w:rsidR="002901DA" w:rsidRPr="005D44C2" w:rsidRDefault="002901DA" w:rsidP="002D411C">
            <w:pPr>
              <w:keepNext/>
              <w:keepLines/>
              <w:spacing w:after="0" w:line="240" w:lineRule="auto"/>
            </w:pPr>
            <w:r>
              <w:rPr>
                <w:lang w:val="en-US"/>
              </w:rPr>
              <w:t xml:space="preserve"> </w:t>
            </w:r>
          </w:p>
          <w:p w14:paraId="6BE66935" w14:textId="77777777" w:rsidR="002901DA" w:rsidRPr="005D44C2" w:rsidRDefault="002901DA" w:rsidP="002D411C">
            <w:pPr>
              <w:keepNext/>
              <w:keepLines/>
              <w:spacing w:after="0" w:line="240" w:lineRule="auto"/>
            </w:pPr>
            <w:r w:rsidRPr="005D44C2">
              <w:t> </w:t>
            </w:r>
          </w:p>
          <w:p w14:paraId="015EF797" w14:textId="77777777" w:rsidR="002901DA" w:rsidRPr="005D44C2" w:rsidRDefault="002901DA" w:rsidP="002D411C">
            <w:pPr>
              <w:keepNext/>
              <w:keepLines/>
              <w:spacing w:after="0" w:line="240" w:lineRule="auto"/>
            </w:pPr>
            <w:r w:rsidRPr="005D44C2">
              <w:rPr>
                <w:lang w:val="en-US"/>
              </w:rPr>
              <w:t> </w:t>
            </w:r>
            <w:r w:rsidRPr="005D44C2">
              <w:t> </w:t>
            </w:r>
          </w:p>
          <w:p w14:paraId="334D0D89" w14:textId="77777777" w:rsidR="002901DA" w:rsidRPr="005D44C2" w:rsidRDefault="002901DA" w:rsidP="002D411C">
            <w:pPr>
              <w:keepNext/>
              <w:keepLines/>
              <w:spacing w:after="0" w:line="240" w:lineRule="auto"/>
            </w:pPr>
            <w:r w:rsidRPr="005D44C2">
              <w:t> </w:t>
            </w:r>
          </w:p>
          <w:p w14:paraId="2E0D04A8" w14:textId="77777777" w:rsidR="002901DA" w:rsidRPr="005D44C2" w:rsidRDefault="002901DA" w:rsidP="002D411C">
            <w:pPr>
              <w:keepNext/>
              <w:keepLines/>
              <w:spacing w:after="0" w:line="240" w:lineRule="auto"/>
            </w:pPr>
            <w:r w:rsidRPr="005D44C2">
              <w:rPr>
                <w:lang w:val="en-US"/>
              </w:rPr>
              <w:t> </w:t>
            </w:r>
            <w:r w:rsidRPr="005D44C2">
              <w:t> </w:t>
            </w:r>
          </w:p>
          <w:p w14:paraId="15657E67" w14:textId="447875BD" w:rsidR="002901DA" w:rsidRPr="005D44C2" w:rsidRDefault="002901DA" w:rsidP="002D411C">
            <w:pPr>
              <w:keepNext/>
              <w:keepLines/>
              <w:spacing w:after="0" w:line="240" w:lineRule="auto"/>
            </w:pPr>
            <w:r w:rsidRPr="005D44C2">
              <w:t> </w:t>
            </w: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71AEE5BE" w14:textId="77777777" w:rsidR="002901DA" w:rsidRPr="005D44C2" w:rsidRDefault="002901DA" w:rsidP="002D411C">
            <w:pPr>
              <w:keepNext/>
              <w:keepLines/>
              <w:spacing w:after="0" w:line="240" w:lineRule="auto"/>
            </w:pPr>
            <w:r w:rsidRPr="005D44C2">
              <w:rPr>
                <w:lang w:val="en-US"/>
              </w:rPr>
              <w:t>100,000 Homes for First Home Buyers</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5DB0B04B" w14:textId="77777777" w:rsidR="002901DA" w:rsidRPr="005D44C2" w:rsidRDefault="002901DA" w:rsidP="002D411C">
            <w:pPr>
              <w:keepNext/>
              <w:keepLines/>
              <w:spacing w:after="0" w:line="240" w:lineRule="auto"/>
              <w:jc w:val="right"/>
            </w:pPr>
            <w:r w:rsidRPr="005D44C2">
              <w:rPr>
                <w:lang w:val="en-US"/>
              </w:rPr>
              <w:t>10.00</w:t>
            </w:r>
            <w:r w:rsidRPr="005D44C2">
              <w:t> </w:t>
            </w:r>
          </w:p>
        </w:tc>
      </w:tr>
      <w:tr w:rsidR="002901DA" w:rsidRPr="005D44C2" w14:paraId="2CB35020" w14:textId="77777777" w:rsidTr="00F64120">
        <w:trPr>
          <w:trHeight w:val="360"/>
        </w:trPr>
        <w:tc>
          <w:tcPr>
            <w:tcW w:w="0" w:type="auto"/>
            <w:vMerge/>
            <w:vAlign w:val="center"/>
            <w:hideMark/>
          </w:tcPr>
          <w:p w14:paraId="5AC4878E" w14:textId="4DF08D93" w:rsidR="002901DA" w:rsidRPr="005D44C2" w:rsidRDefault="002901DA" w:rsidP="002D411C">
            <w:pPr>
              <w:keepNext/>
              <w:keepLines/>
              <w:spacing w:after="0" w:line="240" w:lineRule="auto"/>
            </w:pPr>
          </w:p>
        </w:tc>
        <w:tc>
          <w:tcPr>
            <w:tcW w:w="7112" w:type="dxa"/>
            <w:tcMar>
              <w:top w:w="0" w:type="dxa"/>
              <w:left w:w="108" w:type="dxa"/>
              <w:bottom w:w="0" w:type="dxa"/>
              <w:right w:w="108" w:type="dxa"/>
            </w:tcMar>
            <w:vAlign w:val="center"/>
            <w:hideMark/>
          </w:tcPr>
          <w:p w14:paraId="40913F28" w14:textId="77777777" w:rsidR="002901DA" w:rsidRPr="005D44C2" w:rsidRDefault="002901DA" w:rsidP="002D411C">
            <w:pPr>
              <w:keepNext/>
              <w:keepLines/>
              <w:spacing w:after="0" w:line="240" w:lineRule="auto"/>
            </w:pPr>
            <w:r w:rsidRPr="005D44C2">
              <w:rPr>
                <w:lang w:val="en-US"/>
              </w:rPr>
              <w:t>New Homes Bonus</w:t>
            </w:r>
            <w:r w:rsidRPr="005D44C2">
              <w:t> </w:t>
            </w:r>
          </w:p>
        </w:tc>
        <w:tc>
          <w:tcPr>
            <w:tcW w:w="1108" w:type="dxa"/>
            <w:tcMar>
              <w:top w:w="0" w:type="dxa"/>
              <w:left w:w="108" w:type="dxa"/>
              <w:bottom w:w="0" w:type="dxa"/>
              <w:right w:w="108" w:type="dxa"/>
            </w:tcMar>
            <w:vAlign w:val="center"/>
            <w:hideMark/>
          </w:tcPr>
          <w:p w14:paraId="1F30C2F1" w14:textId="77777777" w:rsidR="002901DA" w:rsidRPr="005D44C2" w:rsidRDefault="002901DA" w:rsidP="002D411C">
            <w:pPr>
              <w:keepNext/>
              <w:keepLines/>
              <w:spacing w:after="0" w:line="240" w:lineRule="auto"/>
              <w:jc w:val="right"/>
            </w:pPr>
            <w:r w:rsidRPr="005D44C2">
              <w:rPr>
                <w:lang w:val="en-US"/>
              </w:rPr>
              <w:t>3.00</w:t>
            </w:r>
            <w:r w:rsidRPr="005D44C2">
              <w:t> </w:t>
            </w:r>
          </w:p>
        </w:tc>
      </w:tr>
      <w:tr w:rsidR="002901DA" w:rsidRPr="005D44C2" w14:paraId="11007561" w14:textId="77777777" w:rsidTr="00F64120">
        <w:trPr>
          <w:trHeight w:val="360"/>
        </w:trPr>
        <w:tc>
          <w:tcPr>
            <w:tcW w:w="0" w:type="auto"/>
            <w:vMerge/>
            <w:vAlign w:val="center"/>
            <w:hideMark/>
          </w:tcPr>
          <w:p w14:paraId="7615946B" w14:textId="6A716AFC" w:rsidR="002901DA" w:rsidRPr="005D44C2" w:rsidRDefault="002901DA" w:rsidP="002D411C">
            <w:pPr>
              <w:keepNext/>
              <w:keepLines/>
              <w:spacing w:after="0" w:line="240" w:lineRule="auto"/>
            </w:pPr>
          </w:p>
        </w:tc>
        <w:tc>
          <w:tcPr>
            <w:tcW w:w="7112"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34EBC0F0" w14:textId="77777777" w:rsidR="002901DA" w:rsidRPr="005D44C2" w:rsidRDefault="002901DA" w:rsidP="002D411C">
            <w:pPr>
              <w:keepNext/>
              <w:keepLines/>
              <w:spacing w:after="0" w:line="240" w:lineRule="auto"/>
            </w:pPr>
            <w:r w:rsidRPr="005D44C2">
              <w:rPr>
                <w:lang w:val="en-US"/>
              </w:rPr>
              <w:t>Housing Support Program – Local Infrastructure Fund</w:t>
            </w:r>
            <w:r w:rsidRPr="005D44C2">
              <w:t> </w:t>
            </w:r>
          </w:p>
        </w:tc>
        <w:tc>
          <w:tcPr>
            <w:tcW w:w="110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3557899" w14:textId="77777777" w:rsidR="002901DA" w:rsidRPr="005D44C2" w:rsidRDefault="002901DA" w:rsidP="002D411C">
            <w:pPr>
              <w:keepNext/>
              <w:keepLines/>
              <w:spacing w:after="0" w:line="240" w:lineRule="auto"/>
              <w:jc w:val="right"/>
            </w:pPr>
            <w:r w:rsidRPr="005D44C2">
              <w:rPr>
                <w:lang w:val="en-US"/>
              </w:rPr>
              <w:t>2.00</w:t>
            </w:r>
            <w:r w:rsidRPr="005D44C2">
              <w:t> </w:t>
            </w:r>
          </w:p>
        </w:tc>
      </w:tr>
      <w:tr w:rsidR="002901DA" w:rsidRPr="005D44C2" w14:paraId="019D2911" w14:textId="77777777" w:rsidTr="00F64120">
        <w:trPr>
          <w:trHeight w:val="360"/>
        </w:trPr>
        <w:tc>
          <w:tcPr>
            <w:tcW w:w="0" w:type="auto"/>
            <w:vMerge/>
            <w:vAlign w:val="center"/>
            <w:hideMark/>
          </w:tcPr>
          <w:p w14:paraId="59A3BE03" w14:textId="2C428FBA"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79BD66A2" w14:textId="77777777" w:rsidR="002901DA" w:rsidRPr="005D44C2" w:rsidRDefault="002901DA" w:rsidP="002D411C">
            <w:pPr>
              <w:keepNext/>
              <w:keepLines/>
              <w:spacing w:after="0" w:line="240" w:lineRule="auto"/>
            </w:pPr>
            <w:r w:rsidRPr="005D44C2">
              <w:rPr>
                <w:lang w:val="en-US"/>
              </w:rPr>
              <w:t>Housing Support Program – Existing Streams</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7217441E" w14:textId="77777777" w:rsidR="002901DA" w:rsidRPr="005D44C2" w:rsidRDefault="002901DA" w:rsidP="002D411C">
            <w:pPr>
              <w:keepNext/>
              <w:keepLines/>
              <w:spacing w:after="0" w:line="240" w:lineRule="auto"/>
              <w:jc w:val="right"/>
            </w:pPr>
            <w:r w:rsidRPr="005D44C2">
              <w:rPr>
                <w:lang w:val="en-US"/>
              </w:rPr>
              <w:t>1.50</w:t>
            </w:r>
            <w:r w:rsidRPr="005D44C2">
              <w:t> </w:t>
            </w:r>
          </w:p>
        </w:tc>
      </w:tr>
      <w:tr w:rsidR="002901DA" w:rsidRPr="005D44C2" w14:paraId="1E4F1FD8" w14:textId="77777777" w:rsidTr="00F64120">
        <w:trPr>
          <w:trHeight w:val="360"/>
        </w:trPr>
        <w:tc>
          <w:tcPr>
            <w:tcW w:w="0" w:type="auto"/>
            <w:vMerge/>
            <w:vAlign w:val="center"/>
            <w:hideMark/>
          </w:tcPr>
          <w:p w14:paraId="053D0F87" w14:textId="55A7A883"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128950D0" w14:textId="77777777" w:rsidR="002901DA" w:rsidRPr="005D44C2" w:rsidRDefault="002901DA" w:rsidP="002D411C">
            <w:pPr>
              <w:keepNext/>
              <w:keepLines/>
              <w:spacing w:after="0" w:line="240" w:lineRule="auto"/>
            </w:pPr>
            <w:r w:rsidRPr="005D44C2">
              <w:rPr>
                <w:lang w:val="en-US"/>
              </w:rPr>
              <w:t>Housing Australia Future Fund – Social and Affordable (capital)</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38EE0553" w14:textId="77777777" w:rsidR="002901DA" w:rsidRPr="005D44C2" w:rsidRDefault="002901DA" w:rsidP="002D411C">
            <w:pPr>
              <w:keepNext/>
              <w:keepLines/>
              <w:spacing w:after="0" w:line="240" w:lineRule="auto"/>
              <w:jc w:val="right"/>
            </w:pPr>
            <w:r w:rsidRPr="005D44C2">
              <w:rPr>
                <w:lang w:val="en-US"/>
              </w:rPr>
              <w:t>10.00</w:t>
            </w:r>
            <w:r w:rsidRPr="005D44C2">
              <w:t> </w:t>
            </w:r>
          </w:p>
        </w:tc>
      </w:tr>
      <w:tr w:rsidR="002901DA" w:rsidRPr="005D44C2" w14:paraId="6F871741" w14:textId="77777777" w:rsidTr="00F64120">
        <w:trPr>
          <w:trHeight w:val="360"/>
        </w:trPr>
        <w:tc>
          <w:tcPr>
            <w:tcW w:w="0" w:type="auto"/>
            <w:vMerge/>
            <w:vAlign w:val="center"/>
            <w:hideMark/>
          </w:tcPr>
          <w:p w14:paraId="5C857397" w14:textId="3EBFC0AF"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06B044B2" w14:textId="40EC46D8" w:rsidR="002901DA" w:rsidRPr="005D44C2" w:rsidRDefault="002901DA" w:rsidP="002D411C">
            <w:pPr>
              <w:keepNext/>
              <w:keepLines/>
              <w:spacing w:after="0" w:line="240" w:lineRule="auto"/>
            </w:pPr>
            <w:r w:rsidRPr="005D44C2">
              <w:rPr>
                <w:lang w:val="en-US"/>
              </w:rPr>
              <w:t>Housing Australia Future Fund – Social and Affordable (loans)</w:t>
            </w:r>
            <w:r>
              <w:rPr>
                <w:lang w:val="en-US"/>
              </w:rPr>
              <w:t xml:space="preserve">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3348162A" w14:textId="77777777" w:rsidR="002901DA" w:rsidRPr="005D44C2" w:rsidRDefault="002901DA" w:rsidP="002D411C">
            <w:pPr>
              <w:keepNext/>
              <w:keepLines/>
              <w:spacing w:after="0" w:line="240" w:lineRule="auto"/>
              <w:jc w:val="right"/>
            </w:pPr>
            <w:r w:rsidRPr="005D44C2">
              <w:rPr>
                <w:lang w:val="en-US"/>
              </w:rPr>
              <w:t>4.85</w:t>
            </w:r>
            <w:r w:rsidRPr="005D44C2">
              <w:t> </w:t>
            </w:r>
          </w:p>
        </w:tc>
      </w:tr>
      <w:tr w:rsidR="002901DA" w:rsidRPr="005D44C2" w14:paraId="3D2218CF" w14:textId="77777777" w:rsidTr="00F64120">
        <w:trPr>
          <w:trHeight w:val="360"/>
        </w:trPr>
        <w:tc>
          <w:tcPr>
            <w:tcW w:w="0" w:type="auto"/>
            <w:vMerge/>
            <w:vAlign w:val="center"/>
            <w:hideMark/>
          </w:tcPr>
          <w:p w14:paraId="2C941C30" w14:textId="0269BE82"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490A35C7" w14:textId="50CDFB7D" w:rsidR="002901DA" w:rsidRPr="005D44C2" w:rsidRDefault="002901DA" w:rsidP="002D411C">
            <w:pPr>
              <w:keepNext/>
              <w:keepLines/>
              <w:spacing w:after="0" w:line="240" w:lineRule="auto"/>
            </w:pPr>
            <w:r w:rsidRPr="005D44C2">
              <w:rPr>
                <w:lang w:val="en-US"/>
              </w:rPr>
              <w:t>Housing Australia Future Fund – Crisis and Transitional</w:t>
            </w:r>
            <w:r>
              <w:rPr>
                <w:lang w:val="en-US"/>
              </w:rPr>
              <w:t xml:space="preserve">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27BDF30E" w14:textId="77777777" w:rsidR="002901DA" w:rsidRPr="005D44C2" w:rsidRDefault="002901DA" w:rsidP="002D411C">
            <w:pPr>
              <w:keepNext/>
              <w:keepLines/>
              <w:spacing w:after="0" w:line="240" w:lineRule="auto"/>
              <w:jc w:val="right"/>
            </w:pPr>
            <w:r w:rsidRPr="005D44C2">
              <w:rPr>
                <w:lang w:val="en-US"/>
              </w:rPr>
              <w:t>1.00</w:t>
            </w:r>
            <w:r w:rsidRPr="005D44C2">
              <w:t> </w:t>
            </w:r>
          </w:p>
        </w:tc>
      </w:tr>
      <w:tr w:rsidR="002901DA" w:rsidRPr="005D44C2" w14:paraId="49001B17" w14:textId="77777777" w:rsidTr="00F64120">
        <w:trPr>
          <w:trHeight w:val="405"/>
        </w:trPr>
        <w:tc>
          <w:tcPr>
            <w:tcW w:w="806" w:type="dxa"/>
            <w:vMerge/>
            <w:tcMar>
              <w:top w:w="0" w:type="dxa"/>
              <w:left w:w="108" w:type="dxa"/>
              <w:bottom w:w="0" w:type="dxa"/>
              <w:right w:w="108" w:type="dxa"/>
            </w:tcMar>
            <w:vAlign w:val="center"/>
            <w:hideMark/>
          </w:tcPr>
          <w:p w14:paraId="601E83EE" w14:textId="58E95ACD"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0DB82D49" w14:textId="77777777" w:rsidR="002901DA" w:rsidRPr="005D44C2" w:rsidRDefault="002901DA" w:rsidP="002D411C">
            <w:pPr>
              <w:keepNext/>
              <w:keepLines/>
              <w:spacing w:after="0" w:line="240" w:lineRule="auto"/>
            </w:pPr>
            <w:r w:rsidRPr="005D44C2">
              <w:rPr>
                <w:lang w:val="en-US"/>
              </w:rPr>
              <w:t>Social Housing Accelerator</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6DAE0B9B" w14:textId="77777777" w:rsidR="002901DA" w:rsidRPr="005D44C2" w:rsidRDefault="002901DA" w:rsidP="002D411C">
            <w:pPr>
              <w:keepNext/>
              <w:keepLines/>
              <w:spacing w:after="0" w:line="240" w:lineRule="auto"/>
              <w:jc w:val="right"/>
            </w:pPr>
            <w:r w:rsidRPr="005D44C2">
              <w:rPr>
                <w:lang w:val="en-US"/>
              </w:rPr>
              <w:t>2.00</w:t>
            </w:r>
            <w:r w:rsidRPr="005D44C2">
              <w:t> </w:t>
            </w:r>
          </w:p>
        </w:tc>
      </w:tr>
      <w:tr w:rsidR="002901DA" w:rsidRPr="005D44C2" w14:paraId="0ABDB80B" w14:textId="77777777" w:rsidTr="00F64120">
        <w:trPr>
          <w:trHeight w:val="405"/>
        </w:trPr>
        <w:tc>
          <w:tcPr>
            <w:tcW w:w="806" w:type="dxa"/>
            <w:vMerge/>
            <w:tcMar>
              <w:top w:w="0" w:type="dxa"/>
              <w:left w:w="108" w:type="dxa"/>
              <w:bottom w:w="0" w:type="dxa"/>
              <w:right w:w="108" w:type="dxa"/>
            </w:tcMar>
            <w:vAlign w:val="center"/>
            <w:hideMark/>
          </w:tcPr>
          <w:p w14:paraId="241C1CD8" w14:textId="61DA0592"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658B5BFD" w14:textId="77777777" w:rsidR="002901DA" w:rsidRPr="005D44C2" w:rsidRDefault="002901DA" w:rsidP="002D411C">
            <w:pPr>
              <w:keepNext/>
              <w:keepLines/>
              <w:spacing w:after="0" w:line="240" w:lineRule="auto"/>
            </w:pPr>
            <w:r w:rsidRPr="005D44C2">
              <w:rPr>
                <w:lang w:val="en-US"/>
              </w:rPr>
              <w:t>Northern Territory Remote Housing and Homelands </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2E54EABA" w14:textId="77777777" w:rsidR="002901DA" w:rsidRPr="005D44C2" w:rsidRDefault="002901DA" w:rsidP="002D411C">
            <w:pPr>
              <w:keepNext/>
              <w:keepLines/>
              <w:spacing w:after="0" w:line="240" w:lineRule="auto"/>
              <w:jc w:val="right"/>
            </w:pPr>
            <w:r w:rsidRPr="005D44C2">
              <w:rPr>
                <w:lang w:val="en-US"/>
              </w:rPr>
              <w:t>1.05</w:t>
            </w:r>
            <w:r w:rsidRPr="005D44C2">
              <w:t> </w:t>
            </w:r>
          </w:p>
        </w:tc>
      </w:tr>
      <w:tr w:rsidR="002901DA" w:rsidRPr="005D44C2" w14:paraId="0AFBB2D2" w14:textId="77777777" w:rsidTr="00F64120">
        <w:trPr>
          <w:trHeight w:val="405"/>
        </w:trPr>
        <w:tc>
          <w:tcPr>
            <w:tcW w:w="806" w:type="dxa"/>
            <w:vMerge/>
            <w:tcMar>
              <w:top w:w="0" w:type="dxa"/>
              <w:left w:w="108" w:type="dxa"/>
              <w:bottom w:w="0" w:type="dxa"/>
              <w:right w:w="108" w:type="dxa"/>
            </w:tcMar>
            <w:vAlign w:val="center"/>
            <w:hideMark/>
          </w:tcPr>
          <w:p w14:paraId="2B4A22A3" w14:textId="6A0C395F"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561F9A3C" w14:textId="77777777" w:rsidR="002901DA" w:rsidRPr="005D44C2" w:rsidRDefault="002901DA" w:rsidP="002D411C">
            <w:pPr>
              <w:keepNext/>
              <w:keepLines/>
              <w:spacing w:after="0" w:line="240" w:lineRule="auto"/>
            </w:pPr>
            <w:r w:rsidRPr="005D44C2">
              <w:rPr>
                <w:lang w:val="en-US"/>
              </w:rPr>
              <w:t>Supporting young people into community housing</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156CD388" w14:textId="77777777" w:rsidR="002901DA" w:rsidRPr="005D44C2" w:rsidRDefault="002901DA" w:rsidP="002D411C">
            <w:pPr>
              <w:keepNext/>
              <w:keepLines/>
              <w:spacing w:after="0" w:line="240" w:lineRule="auto"/>
              <w:jc w:val="right"/>
            </w:pPr>
            <w:r w:rsidRPr="005D44C2">
              <w:rPr>
                <w:lang w:val="en-US"/>
              </w:rPr>
              <w:t>0.06</w:t>
            </w:r>
            <w:r w:rsidRPr="005D44C2">
              <w:t> </w:t>
            </w:r>
          </w:p>
        </w:tc>
      </w:tr>
      <w:tr w:rsidR="002901DA" w:rsidRPr="005D44C2" w14:paraId="5BAAD48E" w14:textId="77777777" w:rsidTr="00F64120">
        <w:trPr>
          <w:trHeight w:val="360"/>
        </w:trPr>
        <w:tc>
          <w:tcPr>
            <w:tcW w:w="806" w:type="dxa"/>
            <w:vMerge/>
            <w:tcMar>
              <w:top w:w="0" w:type="dxa"/>
              <w:left w:w="108" w:type="dxa"/>
              <w:bottom w:w="0" w:type="dxa"/>
              <w:right w:w="108" w:type="dxa"/>
            </w:tcMar>
            <w:vAlign w:val="center"/>
            <w:hideMark/>
          </w:tcPr>
          <w:p w14:paraId="7507CE6B" w14:textId="64B3F230"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4786DE8C" w14:textId="77777777" w:rsidR="002901DA" w:rsidRPr="005D44C2" w:rsidRDefault="002901DA" w:rsidP="002D411C">
            <w:pPr>
              <w:keepNext/>
              <w:keepLines/>
              <w:spacing w:after="0" w:line="240" w:lineRule="auto"/>
            </w:pPr>
            <w:r w:rsidRPr="005D44C2">
              <w:rPr>
                <w:lang w:val="en-US"/>
              </w:rPr>
              <w:t>National Agreement on Social Housing and Homelessness (additional)</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1C148E7B" w14:textId="77777777" w:rsidR="002901DA" w:rsidRPr="005D44C2" w:rsidRDefault="002901DA" w:rsidP="002D411C">
            <w:pPr>
              <w:keepNext/>
              <w:keepLines/>
              <w:spacing w:after="0" w:line="240" w:lineRule="auto"/>
              <w:jc w:val="right"/>
            </w:pPr>
            <w:r w:rsidRPr="005D44C2">
              <w:rPr>
                <w:lang w:val="en-US"/>
              </w:rPr>
              <w:t>0.43</w:t>
            </w:r>
            <w:r w:rsidRPr="005D44C2">
              <w:t> </w:t>
            </w:r>
          </w:p>
        </w:tc>
      </w:tr>
      <w:tr w:rsidR="002901DA" w:rsidRPr="005D44C2" w14:paraId="688C0005" w14:textId="77777777" w:rsidTr="00F64120">
        <w:trPr>
          <w:trHeight w:val="360"/>
        </w:trPr>
        <w:tc>
          <w:tcPr>
            <w:tcW w:w="806" w:type="dxa"/>
            <w:vMerge/>
            <w:tcMar>
              <w:top w:w="0" w:type="dxa"/>
              <w:left w:w="108" w:type="dxa"/>
              <w:bottom w:w="0" w:type="dxa"/>
              <w:right w:w="108" w:type="dxa"/>
            </w:tcMar>
            <w:vAlign w:val="center"/>
            <w:hideMark/>
          </w:tcPr>
          <w:p w14:paraId="43A93D8D" w14:textId="02640266" w:rsidR="002901DA" w:rsidRPr="005D44C2" w:rsidRDefault="002901DA" w:rsidP="002D411C">
            <w:pPr>
              <w:keepNext/>
              <w:keepLines/>
              <w:spacing w:after="0" w:line="240" w:lineRule="auto"/>
            </w:pP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4EAB2EA0" w14:textId="1026DBBE" w:rsidR="002901DA" w:rsidRPr="005D44C2" w:rsidRDefault="002901DA" w:rsidP="002D411C">
            <w:pPr>
              <w:keepNext/>
              <w:keepLines/>
              <w:spacing w:after="0" w:line="240" w:lineRule="auto"/>
            </w:pPr>
            <w:r w:rsidRPr="005D44C2">
              <w:rPr>
                <w:lang w:val="en-US"/>
              </w:rPr>
              <w:t>Other (e.g., skills, prefab, Build to Rent, Reconnect</w:t>
            </w:r>
            <w:r>
              <w:rPr>
                <w:lang w:val="en-US"/>
              </w:rPr>
              <w:t xml:space="preserve">, </w:t>
            </w:r>
            <w:r w:rsidRPr="00FC51D3">
              <w:rPr>
                <w:lang w:val="en-US"/>
              </w:rPr>
              <w:t>Deposit Guarantee</w:t>
            </w:r>
            <w:r w:rsidRPr="005D44C2">
              <w:rPr>
                <w:lang w:val="en-US"/>
              </w:rPr>
              <w:t>)</w:t>
            </w: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18289941" w14:textId="77777777" w:rsidR="002901DA" w:rsidRPr="005D44C2" w:rsidRDefault="002901DA" w:rsidP="002D411C">
            <w:pPr>
              <w:keepNext/>
              <w:keepLines/>
              <w:spacing w:after="0" w:line="240" w:lineRule="auto"/>
              <w:jc w:val="right"/>
            </w:pPr>
            <w:r w:rsidRPr="005D44C2">
              <w:rPr>
                <w:lang w:val="en-US"/>
              </w:rPr>
              <w:t>0.77</w:t>
            </w:r>
            <w:r w:rsidRPr="005D44C2">
              <w:t> </w:t>
            </w:r>
          </w:p>
        </w:tc>
      </w:tr>
      <w:tr w:rsidR="005D44C2" w:rsidRPr="005D44C2" w14:paraId="2E946397" w14:textId="77777777" w:rsidTr="00F64120">
        <w:trPr>
          <w:trHeight w:val="135"/>
        </w:trPr>
        <w:tc>
          <w:tcPr>
            <w:tcW w:w="80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DE99C80" w14:textId="77777777" w:rsidR="005D44C2" w:rsidRPr="005D44C2" w:rsidRDefault="005D44C2" w:rsidP="002D411C">
            <w:pPr>
              <w:keepNext/>
              <w:keepLines/>
              <w:spacing w:after="0" w:line="240" w:lineRule="auto"/>
            </w:pPr>
            <w:r w:rsidRPr="005D44C2">
              <w:rPr>
                <w:b/>
                <w:bCs/>
                <w:lang w:val="en-US"/>
              </w:rPr>
              <w:t>Total</w:t>
            </w:r>
            <w:r w:rsidRPr="005D44C2">
              <w:t> </w:t>
            </w:r>
          </w:p>
        </w:tc>
        <w:tc>
          <w:tcPr>
            <w:tcW w:w="7112" w:type="dxa"/>
            <w:tcBorders>
              <w:top w:val="nil"/>
              <w:left w:val="nil"/>
              <w:bottom w:val="single" w:sz="8" w:space="0" w:color="auto"/>
              <w:right w:val="nil"/>
            </w:tcBorders>
            <w:tcMar>
              <w:top w:w="0" w:type="dxa"/>
              <w:left w:w="108" w:type="dxa"/>
              <w:bottom w:w="0" w:type="dxa"/>
              <w:right w:w="108" w:type="dxa"/>
            </w:tcMar>
            <w:vAlign w:val="center"/>
            <w:hideMark/>
          </w:tcPr>
          <w:p w14:paraId="6625CEC9" w14:textId="77777777" w:rsidR="005D44C2" w:rsidRPr="005D44C2" w:rsidRDefault="005D44C2" w:rsidP="002D411C">
            <w:pPr>
              <w:keepNext/>
              <w:keepLines/>
              <w:spacing w:after="0" w:line="240" w:lineRule="auto"/>
            </w:pPr>
            <w:r w:rsidRPr="005D44C2">
              <w:t> </w:t>
            </w:r>
          </w:p>
        </w:tc>
        <w:tc>
          <w:tcPr>
            <w:tcW w:w="1108" w:type="dxa"/>
            <w:tcBorders>
              <w:top w:val="nil"/>
              <w:left w:val="nil"/>
              <w:bottom w:val="single" w:sz="8" w:space="0" w:color="auto"/>
              <w:right w:val="nil"/>
            </w:tcBorders>
            <w:tcMar>
              <w:top w:w="0" w:type="dxa"/>
              <w:left w:w="108" w:type="dxa"/>
              <w:bottom w:w="0" w:type="dxa"/>
              <w:right w:w="108" w:type="dxa"/>
            </w:tcMar>
            <w:vAlign w:val="center"/>
            <w:hideMark/>
          </w:tcPr>
          <w:p w14:paraId="537AF1A0" w14:textId="7CFEDD5C" w:rsidR="005D44C2" w:rsidRPr="005D44C2" w:rsidRDefault="005D44C2" w:rsidP="002D411C">
            <w:pPr>
              <w:keepNext/>
              <w:keepLines/>
              <w:spacing w:after="0" w:line="240" w:lineRule="auto"/>
              <w:jc w:val="right"/>
            </w:pPr>
            <w:r w:rsidRPr="005D44C2">
              <w:rPr>
                <w:b/>
                <w:bCs/>
                <w:lang w:val="en-US"/>
              </w:rPr>
              <w:t>47.</w:t>
            </w:r>
            <w:r w:rsidR="004B511D">
              <w:rPr>
                <w:b/>
                <w:bCs/>
                <w:lang w:val="en-US"/>
              </w:rPr>
              <w:t>6</w:t>
            </w:r>
            <w:r w:rsidRPr="005D44C2">
              <w:t> </w:t>
            </w:r>
          </w:p>
        </w:tc>
      </w:tr>
    </w:tbl>
    <w:p w14:paraId="0DBD50E1" w14:textId="3CB06A43" w:rsidR="005D44C2" w:rsidRDefault="00282442" w:rsidP="002D411C">
      <w:pPr>
        <w:spacing w:after="0" w:line="240" w:lineRule="auto"/>
      </w:pPr>
      <w:r>
        <w:t>Source</w:t>
      </w:r>
      <w:r w:rsidR="00F165AF">
        <w:t>: various budget papers</w:t>
      </w:r>
    </w:p>
    <w:p w14:paraId="4F4E7EF6" w14:textId="77777777" w:rsidR="00CE08B5" w:rsidRPr="005D44C2" w:rsidRDefault="00CE08B5" w:rsidP="002D411C">
      <w:pPr>
        <w:spacing w:after="0" w:line="240" w:lineRule="auto"/>
      </w:pPr>
    </w:p>
    <w:p w14:paraId="11889495" w14:textId="5EDFB482" w:rsidR="005153EA" w:rsidRDefault="003E4503" w:rsidP="001B6594">
      <w:r>
        <w:t>Three</w:t>
      </w:r>
      <w:r w:rsidR="000E10EF">
        <w:t xml:space="preserve"> observations</w:t>
      </w:r>
      <w:r w:rsidR="00AC5142">
        <w:t>:</w:t>
      </w:r>
    </w:p>
    <w:p w14:paraId="66C437A3" w14:textId="2EA81DAE" w:rsidR="00775B6E" w:rsidRDefault="003E4503" w:rsidP="00766E5A">
      <w:r>
        <w:t xml:space="preserve">First, </w:t>
      </w:r>
      <w:r w:rsidR="00EF1857">
        <w:t xml:space="preserve">the $10b for </w:t>
      </w:r>
      <w:r w:rsidR="0029500C">
        <w:t>100,00</w:t>
      </w:r>
      <w:r w:rsidR="00326F1E">
        <w:t xml:space="preserve">0 Homes for </w:t>
      </w:r>
      <w:r w:rsidR="00EF1857">
        <w:t>first home buyers</w:t>
      </w:r>
      <w:r w:rsidR="00AE589C">
        <w:t xml:space="preserve"> was </w:t>
      </w:r>
      <w:r w:rsidR="006B62E9">
        <w:t>not emphasised</w:t>
      </w:r>
      <w:r w:rsidR="002837E5">
        <w:t xml:space="preserve"> in the Budget papers</w:t>
      </w:r>
      <w:r w:rsidR="00AE589C">
        <w:t xml:space="preserve"> and has received </w:t>
      </w:r>
      <w:r w:rsidR="00766E5A">
        <w:t>little media coverage</w:t>
      </w:r>
      <w:r w:rsidR="00AE589C">
        <w:t>.</w:t>
      </w:r>
      <w:r w:rsidR="00AE589C" w:rsidRPr="008F3D13">
        <w:t xml:space="preserve"> </w:t>
      </w:r>
      <w:r w:rsidR="00766E5A">
        <w:t xml:space="preserve">However, it </w:t>
      </w:r>
      <w:r w:rsidR="00BC2834">
        <w:t>may be t</w:t>
      </w:r>
      <w:r w:rsidR="00766E5A" w:rsidRPr="00766E5A">
        <w:t xml:space="preserve">he most consequential item </w:t>
      </w:r>
      <w:r w:rsidR="008D1939">
        <w:t>i</w:t>
      </w:r>
      <w:r w:rsidR="00766E5A" w:rsidRPr="00766E5A">
        <w:t xml:space="preserve">n </w:t>
      </w:r>
      <w:r w:rsidR="00BC2834">
        <w:t>Table 1</w:t>
      </w:r>
      <w:r w:rsidR="00766E5A" w:rsidRPr="00766E5A">
        <w:t xml:space="preserve">. </w:t>
      </w:r>
      <w:r w:rsidR="00325A0A">
        <w:t>A</w:t>
      </w:r>
      <w:r w:rsidR="000324F8">
        <w:t xml:space="preserve">greements </w:t>
      </w:r>
      <w:r w:rsidR="00B13F58">
        <w:t xml:space="preserve">have </w:t>
      </w:r>
      <w:r w:rsidR="0080331E">
        <w:t xml:space="preserve">so far been reached to deliver </w:t>
      </w:r>
      <w:r w:rsidR="006E3B3E">
        <w:t>51,000 homes</w:t>
      </w:r>
      <w:r w:rsidR="00D2460C" w:rsidRPr="00D2460C">
        <w:t xml:space="preserve"> </w:t>
      </w:r>
      <w:r w:rsidR="00D2460C">
        <w:t xml:space="preserve">in </w:t>
      </w:r>
      <w:hyperlink r:id="rId35" w:history="1">
        <w:r w:rsidR="00D2460C" w:rsidRPr="00D6158C">
          <w:rPr>
            <w:rStyle w:val="Hyperlink"/>
          </w:rPr>
          <w:t>Queensland</w:t>
        </w:r>
      </w:hyperlink>
      <w:r w:rsidR="001F0241">
        <w:t>, 34,000 homes</w:t>
      </w:r>
      <w:r w:rsidR="00D2460C">
        <w:t xml:space="preserve"> in </w:t>
      </w:r>
      <w:hyperlink r:id="rId36" w:history="1">
        <w:r w:rsidR="00D2460C" w:rsidRPr="00D2460C">
          <w:rPr>
            <w:rStyle w:val="Hyperlink"/>
          </w:rPr>
          <w:t>Western Australia</w:t>
        </w:r>
      </w:hyperlink>
      <w:r w:rsidR="0030022E">
        <w:t xml:space="preserve">, </w:t>
      </w:r>
      <w:r w:rsidR="00F67672">
        <w:t>17,000 homes</w:t>
      </w:r>
      <w:r w:rsidR="0030022E" w:rsidRPr="00D2460C">
        <w:t xml:space="preserve"> </w:t>
      </w:r>
      <w:r w:rsidR="0030022E">
        <w:t xml:space="preserve">in </w:t>
      </w:r>
      <w:hyperlink r:id="rId37" w:history="1">
        <w:r w:rsidR="0030022E" w:rsidRPr="00EC408D">
          <w:rPr>
            <w:rStyle w:val="Hyperlink"/>
          </w:rPr>
          <w:t>South Australia</w:t>
        </w:r>
      </w:hyperlink>
      <w:r w:rsidR="0030022E">
        <w:t xml:space="preserve">, </w:t>
      </w:r>
      <w:r w:rsidR="00C4222F">
        <w:t xml:space="preserve">4,900 home in </w:t>
      </w:r>
      <w:hyperlink r:id="rId38" w:history="1">
        <w:r w:rsidR="00C4222F" w:rsidRPr="004517ED">
          <w:rPr>
            <w:rStyle w:val="Hyperlink"/>
          </w:rPr>
          <w:t>the ACT</w:t>
        </w:r>
      </w:hyperlink>
      <w:r w:rsidR="00C4222F">
        <w:t xml:space="preserve"> and 4,000 homes in </w:t>
      </w:r>
      <w:hyperlink r:id="rId39" w:history="1">
        <w:r w:rsidR="00C4222F" w:rsidRPr="00BA2EC2">
          <w:rPr>
            <w:rStyle w:val="Hyperlink"/>
          </w:rPr>
          <w:t>Tasman</w:t>
        </w:r>
        <w:r w:rsidR="006407BA" w:rsidRPr="00BA2EC2">
          <w:rPr>
            <w:rStyle w:val="Hyperlink"/>
          </w:rPr>
          <w:t>ia</w:t>
        </w:r>
      </w:hyperlink>
      <w:r w:rsidR="006407BA">
        <w:t xml:space="preserve">; for a total so far of </w:t>
      </w:r>
      <w:r w:rsidR="00325A0A" w:rsidRPr="00766E5A">
        <w:t>around 112,000 new homes (</w:t>
      </w:r>
      <w:hyperlink r:id="rId40" w:history="1">
        <w:r w:rsidR="00325A0A" w:rsidRPr="00766E5A">
          <w:rPr>
            <w:rStyle w:val="Hyperlink"/>
          </w:rPr>
          <w:t>Homes for Australia</w:t>
        </w:r>
      </w:hyperlink>
      <w:r w:rsidR="00325A0A" w:rsidRPr="00766E5A">
        <w:t>, p26).</w:t>
      </w:r>
    </w:p>
    <w:p w14:paraId="16280E96" w14:textId="3BDE0642" w:rsidR="00AC5142" w:rsidRDefault="00C15D9B" w:rsidP="001B6594">
      <w:r>
        <w:t>Second, i</w:t>
      </w:r>
      <w:r w:rsidR="004A0819">
        <w:t>n the past, m</w:t>
      </w:r>
      <w:r w:rsidR="00580B71">
        <w:t>any federal</w:t>
      </w:r>
      <w:r w:rsidR="00B11415">
        <w:t xml:space="preserve"> government policies</w:t>
      </w:r>
      <w:r w:rsidR="00334097">
        <w:t xml:space="preserve"> --- </w:t>
      </w:r>
      <w:r w:rsidR="006702C8">
        <w:t xml:space="preserve">such as </w:t>
      </w:r>
      <w:r w:rsidR="00B11415">
        <w:t xml:space="preserve">First Home Buyer Assistance, </w:t>
      </w:r>
      <w:r w:rsidR="006702C8">
        <w:t xml:space="preserve">Help to Buy and increases in </w:t>
      </w:r>
      <w:r w:rsidR="00B70009">
        <w:t>CRA</w:t>
      </w:r>
      <w:r w:rsidR="000B0870">
        <w:t xml:space="preserve"> --- </w:t>
      </w:r>
      <w:r w:rsidR="00B70009">
        <w:t>boosted demand.</w:t>
      </w:r>
      <w:r w:rsidR="00606F2B">
        <w:t xml:space="preserve"> </w:t>
      </w:r>
      <w:r w:rsidR="004C081E">
        <w:t xml:space="preserve">At the last </w:t>
      </w:r>
      <w:r w:rsidR="0037630B">
        <w:t>f</w:t>
      </w:r>
      <w:r w:rsidR="004C081E">
        <w:t xml:space="preserve">ederal election, both parties </w:t>
      </w:r>
      <w:r w:rsidR="00794B45">
        <w:t xml:space="preserve">proposed large demand stimulus. </w:t>
      </w:r>
      <w:r w:rsidR="004F605F">
        <w:t xml:space="preserve">These policies are costly, distortionary and ineffective. </w:t>
      </w:r>
      <w:r w:rsidR="001D6AF2">
        <w:t>T</w:t>
      </w:r>
      <w:r w:rsidR="007D24F1">
        <w:t>he lucky recipients</w:t>
      </w:r>
      <w:r w:rsidR="004B6055">
        <w:t xml:space="preserve"> bid up prices and rents, worsening affordability for everyone else.</w:t>
      </w:r>
      <w:r w:rsidR="00606F2B">
        <w:t xml:space="preserve"> </w:t>
      </w:r>
      <w:r w:rsidR="00B167B0">
        <w:t>Th</w:t>
      </w:r>
      <w:r w:rsidR="007E3E1C">
        <w:t>e</w:t>
      </w:r>
      <w:r w:rsidR="00B167B0">
        <w:t xml:space="preserve">re has </w:t>
      </w:r>
      <w:r w:rsidR="00780785">
        <w:t>since</w:t>
      </w:r>
      <w:r w:rsidR="00B167B0">
        <w:t xml:space="preserve"> been </w:t>
      </w:r>
      <w:r w:rsidR="007E3E1C">
        <w:t xml:space="preserve">a </w:t>
      </w:r>
      <w:r w:rsidR="00111084">
        <w:t>change</w:t>
      </w:r>
      <w:r w:rsidR="00FD64FB">
        <w:t xml:space="preserve"> in direction</w:t>
      </w:r>
      <w:r w:rsidR="007E3E1C">
        <w:t>.</w:t>
      </w:r>
      <w:r w:rsidR="00606F2B">
        <w:t xml:space="preserve"> </w:t>
      </w:r>
      <w:r w:rsidR="00F656E9">
        <w:t>More recent policies, in part</w:t>
      </w:r>
      <w:r w:rsidR="00652DBC">
        <w:t xml:space="preserve">icular the </w:t>
      </w:r>
      <w:r w:rsidR="00652DBC" w:rsidRPr="005D44C2">
        <w:rPr>
          <w:lang w:val="en-US"/>
        </w:rPr>
        <w:t>Local Infrastructure Fund</w:t>
      </w:r>
      <w:r w:rsidR="00652DBC" w:rsidRPr="005D44C2">
        <w:t> </w:t>
      </w:r>
      <w:r w:rsidR="00E12127">
        <w:t xml:space="preserve">and </w:t>
      </w:r>
      <w:r w:rsidR="00E12127" w:rsidRPr="005D44C2">
        <w:rPr>
          <w:lang w:val="en-US"/>
        </w:rPr>
        <w:t>100,000 Homes for First Home Buyers</w:t>
      </w:r>
      <w:r w:rsidR="00E12127" w:rsidRPr="005D44C2">
        <w:t> </w:t>
      </w:r>
      <w:r w:rsidR="00E12127">
        <w:t>are intended to boost supply.</w:t>
      </w:r>
      <w:r w:rsidR="00606F2B">
        <w:t xml:space="preserve"> </w:t>
      </w:r>
      <w:r w:rsidR="00E12127">
        <w:t>Th</w:t>
      </w:r>
      <w:r w:rsidR="004327E8">
        <w:t>is</w:t>
      </w:r>
      <w:r w:rsidR="00E12127">
        <w:t xml:space="preserve"> will</w:t>
      </w:r>
      <w:r w:rsidR="00FB45B2">
        <w:t xml:space="preserve"> </w:t>
      </w:r>
      <w:r w:rsidR="00640443">
        <w:t>help rather than hurt</w:t>
      </w:r>
      <w:r w:rsidR="00FB45B2">
        <w:t xml:space="preserve"> affordability.</w:t>
      </w:r>
    </w:p>
    <w:p w14:paraId="369050E3" w14:textId="255D879B" w:rsidR="00B06331" w:rsidRDefault="00740EF2" w:rsidP="001B6594">
      <w:pPr>
        <w:rPr>
          <w:lang w:val="en-US"/>
        </w:rPr>
      </w:pPr>
      <w:r>
        <w:t>Third, m</w:t>
      </w:r>
      <w:r w:rsidR="00B97CD2">
        <w:t xml:space="preserve">ost of the </w:t>
      </w:r>
      <w:r w:rsidR="00A65C02">
        <w:t>housing supply</w:t>
      </w:r>
      <w:r w:rsidR="00B97CD2">
        <w:t xml:space="preserve"> programs </w:t>
      </w:r>
      <w:r w:rsidR="00A65C02">
        <w:t xml:space="preserve">provide </w:t>
      </w:r>
      <w:r w:rsidR="00072626">
        <w:t>sub</w:t>
      </w:r>
      <w:r w:rsidR="00064F2F">
        <w:t xml:space="preserve">sidised </w:t>
      </w:r>
      <w:r w:rsidR="00A65C02">
        <w:t>housing</w:t>
      </w:r>
      <w:r w:rsidR="00BD3A35">
        <w:t xml:space="preserve"> for</w:t>
      </w:r>
      <w:r w:rsidR="00165E4F">
        <w:t xml:space="preserve"> low-income renters. Notable examples include the </w:t>
      </w:r>
      <w:r w:rsidR="00166E0D" w:rsidRPr="005D44C2">
        <w:rPr>
          <w:lang w:val="en-US"/>
        </w:rPr>
        <w:t>Social Housing Accelerator</w:t>
      </w:r>
      <w:r w:rsidR="00166E0D" w:rsidRPr="005D44C2">
        <w:t> </w:t>
      </w:r>
      <w:r w:rsidR="007C529C">
        <w:t>and</w:t>
      </w:r>
      <w:r w:rsidR="00166E0D">
        <w:t xml:space="preserve"> </w:t>
      </w:r>
      <w:r w:rsidR="005B5FA5" w:rsidRPr="005D44C2">
        <w:rPr>
          <w:lang w:val="en-US"/>
        </w:rPr>
        <w:t>Housing Australia Future Fund</w:t>
      </w:r>
      <w:r w:rsidR="00696313">
        <w:rPr>
          <w:lang w:val="en-US"/>
        </w:rPr>
        <w:t>.</w:t>
      </w:r>
      <w:r w:rsidR="00606F2B">
        <w:rPr>
          <w:lang w:val="en-US"/>
        </w:rPr>
        <w:t xml:space="preserve"> </w:t>
      </w:r>
      <w:r w:rsidR="00DE6551">
        <w:rPr>
          <w:lang w:val="en-US"/>
        </w:rPr>
        <w:t xml:space="preserve">It is </w:t>
      </w:r>
      <w:r w:rsidR="00B90B2E">
        <w:rPr>
          <w:lang w:val="en-US"/>
        </w:rPr>
        <w:t xml:space="preserve">doubtful whether </w:t>
      </w:r>
      <w:r w:rsidR="00FD43EE">
        <w:rPr>
          <w:lang w:val="en-US"/>
        </w:rPr>
        <w:t xml:space="preserve">these policies </w:t>
      </w:r>
      <w:r w:rsidR="00975706">
        <w:rPr>
          <w:lang w:val="en-US"/>
        </w:rPr>
        <w:t>are</w:t>
      </w:r>
      <w:r w:rsidR="00364707">
        <w:rPr>
          <w:lang w:val="en-US"/>
        </w:rPr>
        <w:t xml:space="preserve"> the lowest</w:t>
      </w:r>
      <w:r w:rsidR="00FD43EE">
        <w:rPr>
          <w:lang w:val="en-US"/>
        </w:rPr>
        <w:t xml:space="preserve"> cost</w:t>
      </w:r>
      <w:r w:rsidR="00364707">
        <w:rPr>
          <w:lang w:val="en-US"/>
        </w:rPr>
        <w:t xml:space="preserve"> means of achieving their objective</w:t>
      </w:r>
      <w:r w:rsidR="004755A1">
        <w:rPr>
          <w:lang w:val="en-US"/>
        </w:rPr>
        <w:t>s</w:t>
      </w:r>
      <w:r w:rsidR="00F366EA">
        <w:rPr>
          <w:lang w:val="en-US"/>
        </w:rPr>
        <w:t>.</w:t>
      </w:r>
      <w:r w:rsidR="00606F2B">
        <w:rPr>
          <w:lang w:val="en-US"/>
        </w:rPr>
        <w:t xml:space="preserve"> </w:t>
      </w:r>
      <w:r w:rsidR="00F366EA">
        <w:rPr>
          <w:lang w:val="en-US"/>
        </w:rPr>
        <w:t xml:space="preserve">For example, the </w:t>
      </w:r>
      <w:r w:rsidR="00162C70">
        <w:rPr>
          <w:lang w:val="en-US"/>
        </w:rPr>
        <w:t>$2</w:t>
      </w:r>
      <w:r w:rsidR="001B7293">
        <w:rPr>
          <w:lang w:val="en-US"/>
        </w:rPr>
        <w:t xml:space="preserve"> billion cost of the Social Hous</w:t>
      </w:r>
      <w:r w:rsidR="00D11AD4">
        <w:rPr>
          <w:lang w:val="en-US"/>
        </w:rPr>
        <w:t>i</w:t>
      </w:r>
      <w:r w:rsidR="001B7293">
        <w:rPr>
          <w:lang w:val="en-US"/>
        </w:rPr>
        <w:t xml:space="preserve">ng Accelerator is expected to deliver </w:t>
      </w:r>
      <w:hyperlink r:id="rId41" w:history="1">
        <w:r w:rsidR="001B7293" w:rsidRPr="00B40BC3">
          <w:rPr>
            <w:rStyle w:val="Hyperlink"/>
            <w:lang w:val="en-US"/>
          </w:rPr>
          <w:t>4,251</w:t>
        </w:r>
        <w:r w:rsidR="00685270" w:rsidRPr="00B40BC3">
          <w:rPr>
            <w:rStyle w:val="Hyperlink"/>
            <w:lang w:val="en-US"/>
          </w:rPr>
          <w:t xml:space="preserve"> homes</w:t>
        </w:r>
      </w:hyperlink>
      <w:r w:rsidR="00923BBB">
        <w:rPr>
          <w:lang w:val="en-US"/>
        </w:rPr>
        <w:t xml:space="preserve"> at </w:t>
      </w:r>
      <w:r w:rsidR="00923BBB">
        <w:rPr>
          <w:lang w:val="en-US"/>
        </w:rPr>
        <w:lastRenderedPageBreak/>
        <w:t>an average cost of $470,500</w:t>
      </w:r>
      <w:r w:rsidR="00D11AD4">
        <w:rPr>
          <w:lang w:val="en-US"/>
        </w:rPr>
        <w:t>.</w:t>
      </w:r>
      <w:r w:rsidR="00606F2B">
        <w:rPr>
          <w:lang w:val="en-US"/>
        </w:rPr>
        <w:t xml:space="preserve"> </w:t>
      </w:r>
      <w:r w:rsidR="004C047F">
        <w:rPr>
          <w:lang w:val="en-US"/>
        </w:rPr>
        <w:t xml:space="preserve">The </w:t>
      </w:r>
      <w:r w:rsidR="00DB3632">
        <w:rPr>
          <w:lang w:val="en-US"/>
        </w:rPr>
        <w:t xml:space="preserve">ongoing </w:t>
      </w:r>
      <w:r w:rsidR="004C047F">
        <w:rPr>
          <w:lang w:val="en-US"/>
        </w:rPr>
        <w:t>average</w:t>
      </w:r>
      <w:r w:rsidR="00934934">
        <w:rPr>
          <w:lang w:val="en-US"/>
        </w:rPr>
        <w:t xml:space="preserve"> rental subsidy</w:t>
      </w:r>
      <w:r w:rsidR="00687A75">
        <w:rPr>
          <w:lang w:val="en-US"/>
        </w:rPr>
        <w:t xml:space="preserve"> </w:t>
      </w:r>
      <w:r w:rsidR="009717BB">
        <w:rPr>
          <w:lang w:val="en-US"/>
        </w:rPr>
        <w:t>is</w:t>
      </w:r>
      <w:r w:rsidR="00687A75">
        <w:rPr>
          <w:lang w:val="en-US"/>
        </w:rPr>
        <w:t xml:space="preserve"> </w:t>
      </w:r>
      <w:r w:rsidR="00396A65">
        <w:rPr>
          <w:lang w:val="en-US"/>
        </w:rPr>
        <w:t xml:space="preserve">about </w:t>
      </w:r>
      <w:r w:rsidR="00321BC9">
        <w:rPr>
          <w:lang w:val="en-US"/>
        </w:rPr>
        <w:t>$24,000 a year</w:t>
      </w:r>
      <w:r w:rsidR="00A069BE">
        <w:rPr>
          <w:lang w:val="en-US"/>
        </w:rPr>
        <w:t xml:space="preserve"> (</w:t>
      </w:r>
      <w:hyperlink r:id="rId42" w:history="1">
        <w:r w:rsidR="00A069BE" w:rsidRPr="009717BB">
          <w:rPr>
            <w:rStyle w:val="Hyperlink"/>
          </w:rPr>
          <w:t xml:space="preserve">Troy and </w:t>
        </w:r>
        <w:proofErr w:type="spellStart"/>
        <w:r w:rsidR="00A069BE" w:rsidRPr="009717BB">
          <w:rPr>
            <w:rStyle w:val="Hyperlink"/>
          </w:rPr>
          <w:t>Nouwelant</w:t>
        </w:r>
        <w:proofErr w:type="spellEnd"/>
      </w:hyperlink>
      <w:r w:rsidR="00A069BE">
        <w:t xml:space="preserve">, </w:t>
      </w:r>
      <w:r w:rsidR="00A069BE" w:rsidRPr="00D67867">
        <w:t>2023, p. 15</w:t>
      </w:r>
      <w:r w:rsidR="00A069BE">
        <w:t>)</w:t>
      </w:r>
      <w:r w:rsidR="00700F36">
        <w:rPr>
          <w:lang w:val="en-US"/>
        </w:rPr>
        <w:t>.</w:t>
      </w:r>
    </w:p>
    <w:p w14:paraId="44008915" w14:textId="646FF2B5" w:rsidR="00396A65" w:rsidRDefault="00396A65" w:rsidP="001B6594">
      <w:pPr>
        <w:rPr>
          <w:lang w:val="en-US"/>
        </w:rPr>
      </w:pPr>
      <w:r>
        <w:rPr>
          <w:lang w:val="en-US"/>
        </w:rPr>
        <w:t xml:space="preserve">In </w:t>
      </w:r>
      <w:r w:rsidR="0085798D">
        <w:rPr>
          <w:lang w:val="en-US"/>
        </w:rPr>
        <w:t>contrast</w:t>
      </w:r>
      <w:r>
        <w:rPr>
          <w:lang w:val="en-US"/>
        </w:rPr>
        <w:t xml:space="preserve">, </w:t>
      </w:r>
      <w:r w:rsidR="00C41014">
        <w:rPr>
          <w:lang w:val="en-US"/>
        </w:rPr>
        <w:t xml:space="preserve">as noted </w:t>
      </w:r>
      <w:r w:rsidR="00CE1359">
        <w:rPr>
          <w:lang w:val="en-US"/>
        </w:rPr>
        <w:t xml:space="preserve">earlier, </w:t>
      </w:r>
      <w:r>
        <w:rPr>
          <w:lang w:val="en-US"/>
        </w:rPr>
        <w:t>the $2 billion</w:t>
      </w:r>
      <w:r w:rsidR="00F6516D">
        <w:rPr>
          <w:lang w:val="en-US"/>
        </w:rPr>
        <w:t xml:space="preserve"> </w:t>
      </w:r>
      <w:r w:rsidR="00344785">
        <w:rPr>
          <w:lang w:val="en-US"/>
        </w:rPr>
        <w:t xml:space="preserve">Local Infrastructure Fund </w:t>
      </w:r>
      <w:r w:rsidR="004346C3">
        <w:rPr>
          <w:lang w:val="en-US"/>
        </w:rPr>
        <w:t xml:space="preserve">is expected to unlock </w:t>
      </w:r>
      <w:r w:rsidR="00111F30">
        <w:rPr>
          <w:lang w:val="en-US"/>
        </w:rPr>
        <w:t xml:space="preserve">65,000 new homes, </w:t>
      </w:r>
      <w:r w:rsidR="00FF04B0">
        <w:rPr>
          <w:lang w:val="en-US"/>
        </w:rPr>
        <w:t xml:space="preserve">at an average budgetary cost of </w:t>
      </w:r>
      <w:r w:rsidR="00F460CE">
        <w:rPr>
          <w:lang w:val="en-US"/>
        </w:rPr>
        <w:t>only</w:t>
      </w:r>
      <w:r w:rsidR="00111F30">
        <w:rPr>
          <w:lang w:val="en-US"/>
        </w:rPr>
        <w:t xml:space="preserve"> $31,000 per dwe</w:t>
      </w:r>
      <w:r w:rsidR="001567D1">
        <w:rPr>
          <w:lang w:val="en-US"/>
        </w:rPr>
        <w:t>l</w:t>
      </w:r>
      <w:r w:rsidR="00111F30">
        <w:rPr>
          <w:lang w:val="en-US"/>
        </w:rPr>
        <w:t>ling.</w:t>
      </w:r>
      <w:r w:rsidR="00DB4399">
        <w:rPr>
          <w:lang w:val="en-US"/>
        </w:rPr>
        <w:t xml:space="preserve"> </w:t>
      </w:r>
      <w:r w:rsidR="00EB7293">
        <w:rPr>
          <w:lang w:val="en-US"/>
        </w:rPr>
        <w:t>S</w:t>
      </w:r>
      <w:r w:rsidR="00DB4399">
        <w:rPr>
          <w:lang w:val="en-US"/>
        </w:rPr>
        <w:t>tandard rules of thumb</w:t>
      </w:r>
      <w:r w:rsidR="00DA7F62">
        <w:rPr>
          <w:lang w:val="en-US"/>
        </w:rPr>
        <w:t xml:space="preserve"> </w:t>
      </w:r>
      <w:r w:rsidR="00EB7293">
        <w:rPr>
          <w:lang w:val="en-US"/>
        </w:rPr>
        <w:t xml:space="preserve">suggest </w:t>
      </w:r>
      <w:r w:rsidR="00E1787B">
        <w:rPr>
          <w:lang w:val="en-US"/>
        </w:rPr>
        <w:t>this</w:t>
      </w:r>
      <w:r w:rsidR="008F0DDE">
        <w:rPr>
          <w:lang w:val="en-US"/>
        </w:rPr>
        <w:t xml:space="preserve"> extra supply</w:t>
      </w:r>
      <w:r w:rsidR="008E111D">
        <w:rPr>
          <w:lang w:val="en-US"/>
        </w:rPr>
        <w:t xml:space="preserve"> would</w:t>
      </w:r>
      <w:r w:rsidR="00E1787B">
        <w:rPr>
          <w:lang w:val="en-US"/>
        </w:rPr>
        <w:t xml:space="preserve"> reduce </w:t>
      </w:r>
      <w:r w:rsidR="0001495A">
        <w:rPr>
          <w:lang w:val="en-US"/>
        </w:rPr>
        <w:t>rents</w:t>
      </w:r>
      <w:r w:rsidR="00EF192E">
        <w:rPr>
          <w:lang w:val="en-US"/>
        </w:rPr>
        <w:t xml:space="preserve"> throughout the whole rental market</w:t>
      </w:r>
      <w:r w:rsidR="0001495A">
        <w:rPr>
          <w:lang w:val="en-US"/>
        </w:rPr>
        <w:t xml:space="preserve"> by </w:t>
      </w:r>
      <w:r w:rsidR="00B50DA5">
        <w:rPr>
          <w:lang w:val="en-US"/>
        </w:rPr>
        <w:t>an</w:t>
      </w:r>
      <w:r w:rsidR="00E90C9C">
        <w:rPr>
          <w:lang w:val="en-US"/>
        </w:rPr>
        <w:t xml:space="preserve"> average </w:t>
      </w:r>
      <w:r w:rsidR="0001495A">
        <w:rPr>
          <w:lang w:val="en-US"/>
        </w:rPr>
        <w:t>1½</w:t>
      </w:r>
      <w:r w:rsidR="008C17FD">
        <w:rPr>
          <w:lang w:val="en-US"/>
        </w:rPr>
        <w:t>%</w:t>
      </w:r>
      <w:r w:rsidR="00FD76E3">
        <w:rPr>
          <w:lang w:val="en-US"/>
        </w:rPr>
        <w:t xml:space="preserve">. </w:t>
      </w:r>
      <w:r w:rsidR="00581C5B">
        <w:rPr>
          <w:lang w:val="en-US"/>
        </w:rPr>
        <w:t xml:space="preserve">That is </w:t>
      </w:r>
      <w:r w:rsidR="00820A98">
        <w:rPr>
          <w:lang w:val="en-US"/>
        </w:rPr>
        <w:t xml:space="preserve">a saving of </w:t>
      </w:r>
      <w:r w:rsidR="00581C5B">
        <w:rPr>
          <w:lang w:val="en-US"/>
        </w:rPr>
        <w:t>about $</w:t>
      </w:r>
      <w:r w:rsidR="00320E51">
        <w:rPr>
          <w:lang w:val="en-US"/>
        </w:rPr>
        <w:t>4</w:t>
      </w:r>
      <w:r w:rsidR="00581C5B">
        <w:rPr>
          <w:lang w:val="en-US"/>
        </w:rPr>
        <w:t>00</w:t>
      </w:r>
      <w:r w:rsidR="00320E51">
        <w:rPr>
          <w:lang w:val="en-US"/>
        </w:rPr>
        <w:t xml:space="preserve"> a year for each of Australia’s 4</w:t>
      </w:r>
      <w:r w:rsidR="004A3C10">
        <w:rPr>
          <w:lang w:val="en-US"/>
        </w:rPr>
        <w:t> </w:t>
      </w:r>
      <w:r w:rsidR="00320E51">
        <w:rPr>
          <w:lang w:val="en-US"/>
        </w:rPr>
        <w:t>million renting households</w:t>
      </w:r>
      <w:r w:rsidR="006062F7">
        <w:rPr>
          <w:lang w:val="en-US"/>
        </w:rPr>
        <w:t xml:space="preserve">, or about </w:t>
      </w:r>
      <w:r w:rsidR="00FE5FE8">
        <w:rPr>
          <w:lang w:val="en-US"/>
        </w:rPr>
        <w:t>$1.6 billion a year off the national rental bill</w:t>
      </w:r>
      <w:r w:rsidR="00320E51">
        <w:rPr>
          <w:lang w:val="en-US"/>
        </w:rPr>
        <w:t>.</w:t>
      </w:r>
      <w:r w:rsidR="00320E51">
        <w:rPr>
          <w:rStyle w:val="FootnoteReference"/>
          <w:lang w:val="en-US"/>
        </w:rPr>
        <w:footnoteReference w:id="1"/>
      </w:r>
      <w:r w:rsidR="00320E51">
        <w:rPr>
          <w:lang w:val="en-US"/>
        </w:rPr>
        <w:t xml:space="preserve"> </w:t>
      </w:r>
      <w:proofErr w:type="gramStart"/>
      <w:r w:rsidR="00A15E1A">
        <w:rPr>
          <w:lang w:val="en-US"/>
        </w:rPr>
        <w:t>L</w:t>
      </w:r>
      <w:r w:rsidR="001A6FEE">
        <w:rPr>
          <w:lang w:val="en-US"/>
        </w:rPr>
        <w:t>ow income</w:t>
      </w:r>
      <w:proofErr w:type="gramEnd"/>
      <w:r w:rsidR="001A6FEE">
        <w:rPr>
          <w:lang w:val="en-US"/>
        </w:rPr>
        <w:t xml:space="preserve"> renters</w:t>
      </w:r>
      <w:r w:rsidR="00A15E1A" w:rsidRPr="00A15E1A">
        <w:rPr>
          <w:lang w:val="en-US"/>
        </w:rPr>
        <w:t xml:space="preserve"> </w:t>
      </w:r>
      <w:r w:rsidR="00A15E1A">
        <w:rPr>
          <w:lang w:val="en-US"/>
        </w:rPr>
        <w:t>disproportionately benefit</w:t>
      </w:r>
      <w:r w:rsidR="00D07E58">
        <w:rPr>
          <w:lang w:val="en-US"/>
        </w:rPr>
        <w:t xml:space="preserve">, judging from results </w:t>
      </w:r>
      <w:r w:rsidR="00A15E1A">
        <w:rPr>
          <w:lang w:val="en-US"/>
        </w:rPr>
        <w:t>in Auckland (</w:t>
      </w:r>
      <w:r w:rsidR="00035A7B">
        <w:rPr>
          <w:lang w:val="en-US"/>
        </w:rPr>
        <w:t>see Chart 5 in the attachment</w:t>
      </w:r>
      <w:r w:rsidR="00A15E1A">
        <w:rPr>
          <w:lang w:val="en-US"/>
        </w:rPr>
        <w:t>) and New York (</w:t>
      </w:r>
      <w:hyperlink r:id="rId43" w:history="1">
        <w:r w:rsidR="00A15E1A" w:rsidRPr="00B02E66">
          <w:rPr>
            <w:rStyle w:val="Hyperlink"/>
            <w:lang w:val="en-US"/>
          </w:rPr>
          <w:t>Rollet, 2025</w:t>
        </w:r>
      </w:hyperlink>
      <w:r w:rsidR="00A15E1A">
        <w:rPr>
          <w:lang w:val="en-US"/>
        </w:rPr>
        <w:t>, Figure G.16)</w:t>
      </w:r>
      <w:r w:rsidR="001A6FEE">
        <w:rPr>
          <w:lang w:val="en-US"/>
        </w:rPr>
        <w:t xml:space="preserve">. Moreover, </w:t>
      </w:r>
      <w:r w:rsidR="009329DD">
        <w:rPr>
          <w:lang w:val="en-US"/>
        </w:rPr>
        <w:t>increased housing supply</w:t>
      </w:r>
      <w:r w:rsidR="00455561">
        <w:rPr>
          <w:lang w:val="en-US"/>
        </w:rPr>
        <w:t xml:space="preserve"> reduces the rate of homelessness</w:t>
      </w:r>
      <w:r w:rsidR="0021605E">
        <w:rPr>
          <w:lang w:val="en-US"/>
        </w:rPr>
        <w:t xml:space="preserve"> </w:t>
      </w:r>
      <w:r w:rsidR="00455561">
        <w:rPr>
          <w:lang w:val="en-US"/>
        </w:rPr>
        <w:t xml:space="preserve">more effectively than popular </w:t>
      </w:r>
      <w:r w:rsidR="00503CA2">
        <w:rPr>
          <w:lang w:val="en-US"/>
        </w:rPr>
        <w:t>alternatives</w:t>
      </w:r>
      <w:r w:rsidR="00F02B0F">
        <w:rPr>
          <w:lang w:val="en-US"/>
        </w:rPr>
        <w:t>. See</w:t>
      </w:r>
      <w:r w:rsidR="00C46F18">
        <w:rPr>
          <w:lang w:val="en-US"/>
        </w:rPr>
        <w:t xml:space="preserve"> </w:t>
      </w:r>
      <w:r w:rsidR="00085D73" w:rsidRPr="00D07E58">
        <w:rPr>
          <w:i/>
          <w:iCs/>
          <w:lang w:val="en-US"/>
        </w:rPr>
        <w:t xml:space="preserve">Homelessness Is </w:t>
      </w:r>
      <w:r w:rsidR="00C646B8" w:rsidRPr="00D07E58">
        <w:rPr>
          <w:i/>
          <w:iCs/>
          <w:lang w:val="en-US"/>
        </w:rPr>
        <w:t xml:space="preserve">a </w:t>
      </w:r>
      <w:r w:rsidR="00085D73" w:rsidRPr="00D07E58">
        <w:rPr>
          <w:i/>
          <w:iCs/>
          <w:lang w:val="en-US"/>
        </w:rPr>
        <w:t>Housing Problem</w:t>
      </w:r>
      <w:r w:rsidR="00085D73" w:rsidRPr="00085D73">
        <w:rPr>
          <w:lang w:val="en-US"/>
        </w:rPr>
        <w:t xml:space="preserve"> by </w:t>
      </w:r>
      <w:hyperlink r:id="rId44" w:history="1">
        <w:r w:rsidR="00085D73" w:rsidRPr="0021605E">
          <w:rPr>
            <w:rStyle w:val="Hyperlink"/>
            <w:lang w:val="en-US"/>
          </w:rPr>
          <w:t xml:space="preserve">Colburn and </w:t>
        </w:r>
        <w:proofErr w:type="spellStart"/>
        <w:r w:rsidR="00085D73" w:rsidRPr="0021605E">
          <w:rPr>
            <w:rStyle w:val="Hyperlink"/>
            <w:lang w:val="en-US"/>
          </w:rPr>
          <w:t>Aldern</w:t>
        </w:r>
        <w:proofErr w:type="spellEnd"/>
        <w:r w:rsidR="00276A58">
          <w:rPr>
            <w:rStyle w:val="Hyperlink"/>
            <w:lang w:val="en-US"/>
          </w:rPr>
          <w:t xml:space="preserve"> (</w:t>
        </w:r>
        <w:r w:rsidR="00085D73" w:rsidRPr="0021605E">
          <w:rPr>
            <w:rStyle w:val="Hyperlink"/>
            <w:lang w:val="en-US"/>
          </w:rPr>
          <w:t>2022</w:t>
        </w:r>
      </w:hyperlink>
      <w:r w:rsidR="0021605E">
        <w:rPr>
          <w:lang w:val="en-US"/>
        </w:rPr>
        <w:t>)</w:t>
      </w:r>
      <w:r w:rsidR="0019604F">
        <w:rPr>
          <w:lang w:val="en-US"/>
        </w:rPr>
        <w:t xml:space="preserve"> or </w:t>
      </w:r>
      <w:hyperlink r:id="rId45" w:history="1">
        <w:r w:rsidR="00EA497E" w:rsidRPr="00D80D77">
          <w:rPr>
            <w:rStyle w:val="Hyperlink"/>
          </w:rPr>
          <w:t>Glynn, Byrne &amp; Culhane (2021)</w:t>
        </w:r>
      </w:hyperlink>
      <w:r w:rsidR="00085D73" w:rsidRPr="00085D73">
        <w:rPr>
          <w:lang w:val="en-US"/>
        </w:rPr>
        <w:t>.</w:t>
      </w:r>
      <w:r w:rsidR="005F472E">
        <w:rPr>
          <w:lang w:val="en-US"/>
        </w:rPr>
        <w:t xml:space="preserve"> </w:t>
      </w:r>
    </w:p>
    <w:p w14:paraId="0965B7C2" w14:textId="0CC94949" w:rsidR="00BD0DF0" w:rsidRDefault="00642D7B" w:rsidP="00BD0DF0">
      <w:pPr>
        <w:rPr>
          <w:lang w:val="en-US"/>
        </w:rPr>
      </w:pPr>
      <w:r>
        <w:rPr>
          <w:lang w:val="en-US"/>
        </w:rPr>
        <w:t xml:space="preserve">Policies </w:t>
      </w:r>
      <w:r w:rsidR="007405C0">
        <w:rPr>
          <w:lang w:val="en-US"/>
        </w:rPr>
        <w:t xml:space="preserve">to increase </w:t>
      </w:r>
      <w:r w:rsidR="00FC1A4F">
        <w:rPr>
          <w:lang w:val="en-US"/>
        </w:rPr>
        <w:t>market</w:t>
      </w:r>
      <w:r w:rsidR="007405C0">
        <w:rPr>
          <w:lang w:val="en-US"/>
        </w:rPr>
        <w:t xml:space="preserve"> supply</w:t>
      </w:r>
      <w:r w:rsidR="007252E5">
        <w:rPr>
          <w:lang w:val="en-US"/>
        </w:rPr>
        <w:t xml:space="preserve"> </w:t>
      </w:r>
      <w:r>
        <w:rPr>
          <w:lang w:val="en-US"/>
        </w:rPr>
        <w:t>would</w:t>
      </w:r>
      <w:r w:rsidR="007252E5">
        <w:rPr>
          <w:lang w:val="en-US"/>
        </w:rPr>
        <w:t xml:space="preserve"> help those </w:t>
      </w:r>
      <w:r w:rsidR="00DE3624">
        <w:rPr>
          <w:lang w:val="en-US"/>
        </w:rPr>
        <w:t>at the lowest rungs of the housing market</w:t>
      </w:r>
      <w:r w:rsidR="008F5059">
        <w:rPr>
          <w:lang w:val="en-US"/>
        </w:rPr>
        <w:t xml:space="preserve"> </w:t>
      </w:r>
      <w:r w:rsidR="00032852">
        <w:rPr>
          <w:lang w:val="en-US"/>
        </w:rPr>
        <w:t>at low cost to the budget</w:t>
      </w:r>
      <w:r w:rsidR="007252E5">
        <w:rPr>
          <w:lang w:val="en-US"/>
        </w:rPr>
        <w:t>.</w:t>
      </w:r>
      <w:r w:rsidR="00606F2B">
        <w:rPr>
          <w:lang w:val="en-US"/>
        </w:rPr>
        <w:t xml:space="preserve"> </w:t>
      </w:r>
      <w:r w:rsidR="007E0349">
        <w:rPr>
          <w:lang w:val="en-US"/>
        </w:rPr>
        <w:t>T</w:t>
      </w:r>
      <w:r w:rsidR="00032852">
        <w:rPr>
          <w:lang w:val="en-US"/>
        </w:rPr>
        <w:t>hey would also improve affordability for the 96% of households who live in market housing</w:t>
      </w:r>
      <w:r w:rsidR="007E0349">
        <w:rPr>
          <w:lang w:val="en-US"/>
        </w:rPr>
        <w:t xml:space="preserve">. </w:t>
      </w:r>
      <w:r w:rsidR="00487A76">
        <w:rPr>
          <w:lang w:val="en-US"/>
        </w:rPr>
        <w:t>S</w:t>
      </w:r>
      <w:r w:rsidR="00BD0DF0" w:rsidRPr="00642D7B">
        <w:rPr>
          <w:lang w:val="en-US"/>
        </w:rPr>
        <w:t>ocial housing subs</w:t>
      </w:r>
      <w:r w:rsidR="00503CA2">
        <w:rPr>
          <w:lang w:val="en-US"/>
        </w:rPr>
        <w:t>i</w:t>
      </w:r>
      <w:r w:rsidR="00BD0DF0" w:rsidRPr="00642D7B">
        <w:rPr>
          <w:lang w:val="en-US"/>
        </w:rPr>
        <w:t>dies</w:t>
      </w:r>
      <w:r w:rsidR="00BD0DF0">
        <w:rPr>
          <w:lang w:val="en-US"/>
        </w:rPr>
        <w:t xml:space="preserve"> </w:t>
      </w:r>
      <w:r w:rsidR="00540E76">
        <w:rPr>
          <w:lang w:val="en-US"/>
        </w:rPr>
        <w:t xml:space="preserve">should be </w:t>
      </w:r>
      <w:r w:rsidR="00540E76" w:rsidRPr="00642D7B">
        <w:rPr>
          <w:lang w:val="en-US"/>
        </w:rPr>
        <w:t>re</w:t>
      </w:r>
      <w:r w:rsidR="00AF21E5">
        <w:rPr>
          <w:lang w:val="en-US"/>
        </w:rPr>
        <w:t xml:space="preserve">allocated </w:t>
      </w:r>
      <w:r w:rsidR="00BD0DF0">
        <w:rPr>
          <w:lang w:val="en-US"/>
        </w:rPr>
        <w:t>to more cost-effective policies</w:t>
      </w:r>
      <w:r w:rsidR="00E403FF">
        <w:rPr>
          <w:lang w:val="en-US"/>
        </w:rPr>
        <w:t>.</w:t>
      </w:r>
      <w:r w:rsidR="00606F2B">
        <w:rPr>
          <w:lang w:val="en-US"/>
        </w:rPr>
        <w:t xml:space="preserve"> </w:t>
      </w:r>
    </w:p>
    <w:p w14:paraId="0625261B" w14:textId="44C88BF5" w:rsidR="00BF05CC" w:rsidRPr="008E076F" w:rsidRDefault="00BF05CC" w:rsidP="00CC4AAF">
      <w:pPr>
        <w:pStyle w:val="Heading2"/>
      </w:pPr>
      <w:bookmarkStart w:id="10" w:name="_Toc232413260"/>
      <w:r>
        <w:t>Competition payments</w:t>
      </w:r>
      <w:bookmarkEnd w:id="10"/>
    </w:p>
    <w:p w14:paraId="3CB0E464" w14:textId="2A120DAF" w:rsidR="00347990" w:rsidRDefault="00EF11F1" w:rsidP="009E0AE2">
      <w:pPr>
        <w:spacing w:after="120"/>
      </w:pPr>
      <w:r>
        <w:t xml:space="preserve">The </w:t>
      </w:r>
      <w:r w:rsidR="008809CE" w:rsidRPr="00E07A88">
        <w:t>Grattan Institute (</w:t>
      </w:r>
      <w:hyperlink r:id="rId46" w:history="1">
        <w:r w:rsidR="008809CE" w:rsidRPr="00E07A88">
          <w:rPr>
            <w:rStyle w:val="Hyperlink"/>
          </w:rPr>
          <w:t>2025 p67</w:t>
        </w:r>
      </w:hyperlink>
      <w:r w:rsidR="008809CE" w:rsidRPr="00E07A88">
        <w:t xml:space="preserve">) </w:t>
      </w:r>
      <w:r w:rsidR="00E46C05">
        <w:t xml:space="preserve">and </w:t>
      </w:r>
      <w:r w:rsidR="00523CD2">
        <w:t xml:space="preserve">Productivity Commission Chair </w:t>
      </w:r>
      <w:r w:rsidR="00E46C05">
        <w:t>Daniel</w:t>
      </w:r>
      <w:r w:rsidR="0006616C">
        <w:t xml:space="preserve">le Wood </w:t>
      </w:r>
      <w:r w:rsidR="00700590">
        <w:t>(</w:t>
      </w:r>
      <w:hyperlink r:id="rId47" w:history="1">
        <w:r w:rsidR="00700590" w:rsidRPr="00700590">
          <w:rPr>
            <w:rStyle w:val="Hyperlink"/>
          </w:rPr>
          <w:t>2026</w:t>
        </w:r>
      </w:hyperlink>
      <w:r w:rsidR="00700590">
        <w:t xml:space="preserve">) </w:t>
      </w:r>
      <w:r>
        <w:t>ha</w:t>
      </w:r>
      <w:r w:rsidR="00700590">
        <w:t>ve</w:t>
      </w:r>
      <w:r>
        <w:t xml:space="preserve"> </w:t>
      </w:r>
      <w:r w:rsidR="00BC46E2">
        <w:t>advocated</w:t>
      </w:r>
      <w:r>
        <w:t xml:space="preserve"> incentive pay</w:t>
      </w:r>
      <w:r w:rsidR="00347990">
        <w:t>m</w:t>
      </w:r>
      <w:r>
        <w:t>ents</w:t>
      </w:r>
      <w:r w:rsidR="00694FA5">
        <w:t xml:space="preserve"> for </w:t>
      </w:r>
      <w:r w:rsidR="00A87AB6">
        <w:t>favoured</w:t>
      </w:r>
      <w:r w:rsidR="00694FA5">
        <w:t xml:space="preserve"> policy reforms</w:t>
      </w:r>
      <w:r w:rsidR="00E51D7A">
        <w:t xml:space="preserve">. </w:t>
      </w:r>
      <w:r w:rsidR="00193460">
        <w:t xml:space="preserve">This has </w:t>
      </w:r>
      <w:r w:rsidR="009E0AE2" w:rsidRPr="00E07A88">
        <w:t xml:space="preserve">recently </w:t>
      </w:r>
      <w:r w:rsidR="00193460">
        <w:t xml:space="preserve">been </w:t>
      </w:r>
      <w:r w:rsidR="009E0AE2" w:rsidRPr="00E07A88">
        <w:t xml:space="preserve">agreed by </w:t>
      </w:r>
      <w:r w:rsidR="00B422F1">
        <w:t>s</w:t>
      </w:r>
      <w:r w:rsidR="009E0AE2" w:rsidRPr="00E07A88">
        <w:t xml:space="preserve">tate and </w:t>
      </w:r>
      <w:r w:rsidR="00B422F1">
        <w:t>f</w:t>
      </w:r>
      <w:r w:rsidR="009E0AE2" w:rsidRPr="00E07A88">
        <w:t xml:space="preserve">ederal </w:t>
      </w:r>
      <w:r w:rsidR="00B422F1">
        <w:t>t</w:t>
      </w:r>
      <w:r w:rsidR="009E0AE2" w:rsidRPr="00E07A88">
        <w:t>reasurers (</w:t>
      </w:r>
      <w:hyperlink r:id="rId48" w:history="1">
        <w:r w:rsidR="009E0AE2" w:rsidRPr="00E07A88">
          <w:rPr>
            <w:rStyle w:val="Hyperlink"/>
          </w:rPr>
          <w:t>Chalmers, 2025</w:t>
        </w:r>
      </w:hyperlink>
      <w:r w:rsidR="009E0AE2" w:rsidRPr="00E07A88">
        <w:t>)</w:t>
      </w:r>
      <w:r w:rsidR="00193460">
        <w:t>, with t</w:t>
      </w:r>
      <w:r w:rsidR="009E0AE2" w:rsidRPr="00E07A88">
        <w:t xml:space="preserve">he top item on </w:t>
      </w:r>
      <w:hyperlink r:id="rId49" w:history="1">
        <w:r w:rsidR="009E0AE2" w:rsidRPr="00E07A88">
          <w:rPr>
            <w:rStyle w:val="Hyperlink"/>
          </w:rPr>
          <w:t>the list of reforms</w:t>
        </w:r>
      </w:hyperlink>
      <w:r w:rsidR="009E0AE2" w:rsidRPr="00E07A88">
        <w:t xml:space="preserve"> </w:t>
      </w:r>
      <w:r w:rsidR="00A85418">
        <w:t>being</w:t>
      </w:r>
      <w:r w:rsidR="009E0AE2" w:rsidRPr="00E07A88">
        <w:t xml:space="preserve"> “liberalising and standardising commercial zoning rules and planning requirements”.</w:t>
      </w:r>
      <w:r w:rsidR="00606F2B">
        <w:t xml:space="preserve"> </w:t>
      </w:r>
    </w:p>
    <w:p w14:paraId="65195A6A" w14:textId="24A84BB0" w:rsidR="0080272C" w:rsidRDefault="0080272C" w:rsidP="009E0AE2">
      <w:pPr>
        <w:spacing w:after="120"/>
      </w:pPr>
      <w:r>
        <w:t>However, the payments are relatively small.</w:t>
      </w:r>
      <w:r w:rsidR="00606F2B">
        <w:t xml:space="preserve"> </w:t>
      </w:r>
      <w:r w:rsidRPr="00E07A88">
        <w:t xml:space="preserve">The National Productivity Fund, from which payments are currently made, is $900 million. Payments from </w:t>
      </w:r>
      <w:r w:rsidR="007340FF" w:rsidRPr="007340FF">
        <w:t>the National Competition Policy (NCP)</w:t>
      </w:r>
      <w:r w:rsidRPr="00E07A88">
        <w:t xml:space="preserve"> from 1997–98 to 2005–06, were on a similar scale.</w:t>
      </w:r>
      <w:r w:rsidR="00606F2B">
        <w:t xml:space="preserve"> </w:t>
      </w:r>
    </w:p>
    <w:p w14:paraId="26973696" w14:textId="1D41DA5B" w:rsidR="004D08E3" w:rsidRDefault="00C05127" w:rsidP="009E0AE2">
      <w:pPr>
        <w:spacing w:after="120"/>
      </w:pPr>
      <w:r>
        <w:t xml:space="preserve">The Commonwealth’s endorsement of good policy provides </w:t>
      </w:r>
      <w:r w:rsidR="0051470F">
        <w:t>education</w:t>
      </w:r>
      <w:r w:rsidR="009F1305">
        <w:t xml:space="preserve"> and encourag</w:t>
      </w:r>
      <w:r>
        <w:t>ement</w:t>
      </w:r>
      <w:r w:rsidR="00A47E33">
        <w:t>.</w:t>
      </w:r>
      <w:r w:rsidR="00927DE7">
        <w:t xml:space="preserve"> </w:t>
      </w:r>
      <w:r w:rsidR="00544B08">
        <w:t>However, the</w:t>
      </w:r>
      <w:r w:rsidR="0093450D">
        <w:t>i</w:t>
      </w:r>
      <w:r w:rsidR="00544B08">
        <w:t>r potential is limited.</w:t>
      </w:r>
    </w:p>
    <w:p w14:paraId="7266FA88" w14:textId="68DBD5A3" w:rsidR="00544B08" w:rsidRDefault="005654E8" w:rsidP="009E0AE2">
      <w:pPr>
        <w:spacing w:after="120"/>
      </w:pPr>
      <w:r>
        <w:t>The</w:t>
      </w:r>
      <w:r w:rsidR="00544B08">
        <w:t xml:space="preserve"> main problem is t</w:t>
      </w:r>
      <w:r w:rsidR="006A7648">
        <w:t>h</w:t>
      </w:r>
      <w:r w:rsidR="00544B08">
        <w:t>e fiscal cost</w:t>
      </w:r>
      <w:r w:rsidR="00441ED6">
        <w:t xml:space="preserve">. </w:t>
      </w:r>
      <w:r w:rsidR="00E605E3">
        <w:t>Payments on a larg</w:t>
      </w:r>
      <w:r w:rsidR="00122909">
        <w:t xml:space="preserve">e scale would be expensive.  </w:t>
      </w:r>
      <w:r w:rsidR="00441ED6">
        <w:t xml:space="preserve">As </w:t>
      </w:r>
      <w:r w:rsidR="006A7648">
        <w:t>n</w:t>
      </w:r>
      <w:r w:rsidR="00441ED6">
        <w:t>oted above, Grants Commission d</w:t>
      </w:r>
      <w:r w:rsidR="00B261CE">
        <w:t>i</w:t>
      </w:r>
      <w:r w:rsidR="00441ED6">
        <w:t>stributions are fiscally neutral</w:t>
      </w:r>
      <w:r w:rsidR="008809CE">
        <w:t>.</w:t>
      </w:r>
    </w:p>
    <w:p w14:paraId="1E1BD641" w14:textId="6E23D6B4" w:rsidR="008A4B86" w:rsidRDefault="00017E68" w:rsidP="00017E68">
      <w:pPr>
        <w:spacing w:after="120"/>
      </w:pPr>
      <w:r>
        <w:t xml:space="preserve">Another problem is that </w:t>
      </w:r>
      <w:r w:rsidR="009E0AE2">
        <w:t xml:space="preserve">councils have </w:t>
      </w:r>
      <w:r w:rsidR="00C14AB0">
        <w:t>an incentive to take payments for ostensible reforms while blocking housing in other ways</w:t>
      </w:r>
      <w:r w:rsidR="004D6396">
        <w:t>.</w:t>
      </w:r>
      <w:r w:rsidR="009E0AE2">
        <w:t xml:space="preserve"> P</w:t>
      </w:r>
      <w:r w:rsidR="009E0AE2" w:rsidRPr="00E07A88">
        <w:t>rocess-related incentive payments in the United States and Canada have been riddled with anomalies</w:t>
      </w:r>
      <w:r w:rsidR="009E0AE2">
        <w:t xml:space="preserve">, administrative costs </w:t>
      </w:r>
      <w:r w:rsidR="009E0AE2" w:rsidRPr="00E07A88">
        <w:t>and gaming.</w:t>
      </w:r>
      <w:r w:rsidR="00606F2B">
        <w:t xml:space="preserve"> </w:t>
      </w:r>
      <w:r w:rsidR="009E0AE2" w:rsidRPr="00E07A88">
        <w:t>For example, Los Angeles, a poster</w:t>
      </w:r>
      <w:r w:rsidR="00C30523">
        <w:t xml:space="preserve"> </w:t>
      </w:r>
      <w:r w:rsidR="009E0AE2" w:rsidRPr="00E07A88">
        <w:t xml:space="preserve">child for restrictive zoning, </w:t>
      </w:r>
      <w:r w:rsidR="009E0AE2">
        <w:t>i</w:t>
      </w:r>
      <w:r w:rsidR="009E0AE2" w:rsidRPr="00E07A88">
        <w:t>s designated “pro</w:t>
      </w:r>
      <w:r w:rsidR="009636D2">
        <w:t>-</w:t>
      </w:r>
      <w:r w:rsidR="009E0AE2" w:rsidRPr="00E07A88">
        <w:t>housing” and receives large incentive payments as a result.</w:t>
      </w:r>
      <w:r w:rsidR="00606F2B">
        <w:t xml:space="preserve"> </w:t>
      </w:r>
      <w:hyperlink r:id="rId50" w:history="1">
        <w:r w:rsidR="009E0AE2" w:rsidRPr="00573C02">
          <w:rPr>
            <w:rStyle w:val="Hyperlink"/>
          </w:rPr>
          <w:t>This media story</w:t>
        </w:r>
      </w:hyperlink>
      <w:r w:rsidR="009E0AE2">
        <w:t xml:space="preserve"> has examples of </w:t>
      </w:r>
      <w:r w:rsidR="003D02BC">
        <w:t>sham</w:t>
      </w:r>
      <w:r w:rsidR="009E0AE2">
        <w:t xml:space="preserve"> plans designed to satisfy process requirements. </w:t>
      </w:r>
      <w:hyperlink r:id="rId51" w:history="1">
        <w:r w:rsidR="009E0AE2" w:rsidRPr="00E07A88">
          <w:rPr>
            <w:rStyle w:val="Hyperlink"/>
          </w:rPr>
          <w:t>Furth and Hamilton, 2018</w:t>
        </w:r>
      </w:hyperlink>
      <w:r w:rsidR="009E0AE2" w:rsidRPr="00E07A88">
        <w:t xml:space="preserve"> </w:t>
      </w:r>
      <w:r w:rsidR="00CF32B1">
        <w:t xml:space="preserve">argue for payments based on </w:t>
      </w:r>
      <w:r w:rsidR="00B41267" w:rsidRPr="00B41267">
        <w:t>measurable housing outcomes rather than paperwork, planning processes, or procedural compliance</w:t>
      </w:r>
      <w:r w:rsidR="00CF32B1">
        <w:t>.</w:t>
      </w:r>
      <w:r w:rsidR="00606F2B">
        <w:t xml:space="preserve"> </w:t>
      </w:r>
    </w:p>
    <w:p w14:paraId="63F77FDF" w14:textId="17DAC8BB" w:rsidR="009E0AE2" w:rsidRDefault="009E0AE2" w:rsidP="00017E68">
      <w:pPr>
        <w:spacing w:after="120"/>
      </w:pPr>
      <w:r w:rsidRPr="00E07A88">
        <w:t>If you pay for plans, you get plans. If you pay for completions, people get somewhere to live.</w:t>
      </w:r>
      <w:r w:rsidR="00606F2B">
        <w:t xml:space="preserve"> </w:t>
      </w:r>
    </w:p>
    <w:p w14:paraId="2126FA8C" w14:textId="3D4968A3" w:rsidR="00037439" w:rsidRDefault="00694CAD" w:rsidP="0020211C">
      <w:pPr>
        <w:pStyle w:val="Heading1"/>
      </w:pPr>
      <w:bookmarkStart w:id="11" w:name="_Toc232413261"/>
      <w:r>
        <w:t xml:space="preserve">State </w:t>
      </w:r>
      <w:r w:rsidR="006244E8">
        <w:t>policies</w:t>
      </w:r>
      <w:bookmarkEnd w:id="11"/>
      <w:r w:rsidR="003407BF">
        <w:t xml:space="preserve"> </w:t>
      </w:r>
    </w:p>
    <w:p w14:paraId="5C055A59" w14:textId="6D669C4E" w:rsidR="007D178B" w:rsidRDefault="00265226" w:rsidP="00C33D32">
      <w:r>
        <w:t xml:space="preserve">As noted above, the policies of the NSW and Victorian governments </w:t>
      </w:r>
      <w:r w:rsidR="00F847CB">
        <w:t>have been in the right direction</w:t>
      </w:r>
      <w:r w:rsidR="0092747C">
        <w:t>.</w:t>
      </w:r>
      <w:r w:rsidR="00606F2B">
        <w:t xml:space="preserve"> </w:t>
      </w:r>
      <w:r w:rsidR="0092747C">
        <w:t xml:space="preserve">There is </w:t>
      </w:r>
      <w:r w:rsidR="00833B7C">
        <w:t>room for disagreement about priorities and details</w:t>
      </w:r>
      <w:r w:rsidR="00032660">
        <w:t>;</w:t>
      </w:r>
      <w:r w:rsidR="00833B7C">
        <w:t xml:space="preserve"> </w:t>
      </w:r>
      <w:r w:rsidR="001E7811">
        <w:t>though</w:t>
      </w:r>
      <w:r w:rsidR="00833B7C">
        <w:t xml:space="preserve"> often these reflect </w:t>
      </w:r>
      <w:r w:rsidR="00CB0531">
        <w:t>different assessments of what is politically feasible.</w:t>
      </w:r>
      <w:r w:rsidR="00606F2B">
        <w:t xml:space="preserve"> </w:t>
      </w:r>
      <w:r w:rsidR="00CD4EE8">
        <w:t>Moreover,</w:t>
      </w:r>
      <w:r w:rsidR="00C07E4A">
        <w:t xml:space="preserve"> data to guide detailed policy d</w:t>
      </w:r>
      <w:r w:rsidR="00602214">
        <w:t>ecisions is lacking, as discussed in Section 2.3</w:t>
      </w:r>
      <w:r w:rsidR="007D178B">
        <w:t>.</w:t>
      </w:r>
    </w:p>
    <w:p w14:paraId="64538845" w14:textId="2A70A2C4" w:rsidR="00324A1C" w:rsidRDefault="00D559EB" w:rsidP="00C33D32">
      <w:r>
        <w:lastRenderedPageBreak/>
        <w:t>T</w:t>
      </w:r>
      <w:r w:rsidR="00CB0531">
        <w:t>hi</w:t>
      </w:r>
      <w:r w:rsidR="00BB50CF">
        <w:t>s</w:t>
      </w:r>
      <w:r w:rsidR="00CB0531">
        <w:t xml:space="preserve"> section </w:t>
      </w:r>
      <w:r>
        <w:t>discusses</w:t>
      </w:r>
      <w:r w:rsidR="00C76727">
        <w:t>:</w:t>
      </w:r>
      <w:r>
        <w:t xml:space="preserve"> </w:t>
      </w:r>
      <w:r w:rsidR="00720772">
        <w:t>two</w:t>
      </w:r>
      <w:r>
        <w:t xml:space="preserve"> area</w:t>
      </w:r>
      <w:r w:rsidR="00720772">
        <w:t>s where state policies could be improved</w:t>
      </w:r>
      <w:r w:rsidR="00C76727">
        <w:t>,</w:t>
      </w:r>
      <w:r w:rsidR="00720772">
        <w:t xml:space="preserve"> </w:t>
      </w:r>
      <w:r w:rsidR="005A713E">
        <w:t xml:space="preserve">the setting of targets and </w:t>
      </w:r>
      <w:r w:rsidR="00C4137F">
        <w:t>affordable</w:t>
      </w:r>
      <w:r w:rsidR="005A713E">
        <w:t xml:space="preserve"> housing </w:t>
      </w:r>
      <w:r w:rsidR="00C4137F">
        <w:t>requirements</w:t>
      </w:r>
      <w:r w:rsidR="00C76727">
        <w:t>;</w:t>
      </w:r>
      <w:r w:rsidR="005A713E">
        <w:t xml:space="preserve"> and two </w:t>
      </w:r>
      <w:r w:rsidR="00C4137F">
        <w:t>issues</w:t>
      </w:r>
      <w:r w:rsidR="00D6307E">
        <w:t xml:space="preserve"> that are often misunderstood, the importance of </w:t>
      </w:r>
      <w:r w:rsidR="00B52199">
        <w:t>administrative</w:t>
      </w:r>
      <w:r w:rsidR="00D6307E">
        <w:t xml:space="preserve"> costs and the benefits of extra density.</w:t>
      </w:r>
    </w:p>
    <w:p w14:paraId="0058E3F7" w14:textId="6A3503CE" w:rsidR="00DC2A57" w:rsidRPr="001E31D9" w:rsidRDefault="00B2111E" w:rsidP="00CC4AAF">
      <w:pPr>
        <w:pStyle w:val="Heading2"/>
      </w:pPr>
      <w:r w:rsidRPr="001E31D9">
        <w:t xml:space="preserve"> </w:t>
      </w:r>
      <w:bookmarkStart w:id="12" w:name="_Toc232413262"/>
      <w:r w:rsidR="00285DD9">
        <w:t>Targets</w:t>
      </w:r>
      <w:bookmarkEnd w:id="12"/>
    </w:p>
    <w:p w14:paraId="3871C24E" w14:textId="210D2301" w:rsidR="00FB7387" w:rsidRDefault="00285DD9" w:rsidP="00E03FD9">
      <w:r>
        <w:t xml:space="preserve">State governments </w:t>
      </w:r>
      <w:r w:rsidR="003A2596">
        <w:t xml:space="preserve">have two </w:t>
      </w:r>
      <w:r w:rsidR="00FB7387">
        <w:t xml:space="preserve">approaches to </w:t>
      </w:r>
      <w:r w:rsidR="003A2596">
        <w:t>relax</w:t>
      </w:r>
      <w:r w:rsidR="00FB7387">
        <w:t>ing</w:t>
      </w:r>
      <w:r w:rsidR="003A2596">
        <w:t xml:space="preserve"> zoning restrictions</w:t>
      </w:r>
      <w:r w:rsidR="00FB7387">
        <w:t>.</w:t>
      </w:r>
      <w:r w:rsidR="00606F2B">
        <w:t xml:space="preserve"> </w:t>
      </w:r>
      <w:r w:rsidR="00FB7387">
        <w:t>They can</w:t>
      </w:r>
      <w:r w:rsidR="00537980">
        <w:t xml:space="preserve"> directly </w:t>
      </w:r>
      <w:r w:rsidR="00FB7387">
        <w:t>say</w:t>
      </w:r>
      <w:r w:rsidR="00537980">
        <w:t xml:space="preserve"> this building x is permitted at this site y.</w:t>
      </w:r>
      <w:r w:rsidR="00606F2B">
        <w:t xml:space="preserve"> </w:t>
      </w:r>
      <w:r w:rsidR="000577A4">
        <w:t xml:space="preserve">Or they can give a </w:t>
      </w:r>
      <w:r w:rsidR="00982F98">
        <w:t xml:space="preserve">local </w:t>
      </w:r>
      <w:r w:rsidR="000577A4">
        <w:t xml:space="preserve">council a numerical target and </w:t>
      </w:r>
      <w:r w:rsidR="00B05E74">
        <w:t xml:space="preserve">let it choose the precise location and </w:t>
      </w:r>
      <w:r w:rsidR="00362606">
        <w:t>form of new buildings.</w:t>
      </w:r>
      <w:r w:rsidR="00606F2B">
        <w:t xml:space="preserve"> </w:t>
      </w:r>
      <w:r w:rsidR="00362606">
        <w:t>The two approaches are complement</w:t>
      </w:r>
      <w:r w:rsidR="000850BE">
        <w:t>ary</w:t>
      </w:r>
      <w:r w:rsidR="00362606">
        <w:t>.</w:t>
      </w:r>
      <w:r w:rsidR="00606F2B">
        <w:t xml:space="preserve"> </w:t>
      </w:r>
      <w:r w:rsidR="00720DF4">
        <w:t>T</w:t>
      </w:r>
      <w:r w:rsidR="00B42201">
        <w:t xml:space="preserve">he threat of </w:t>
      </w:r>
      <w:r w:rsidR="00530F39">
        <w:t xml:space="preserve">direct controls in the </w:t>
      </w:r>
      <w:r w:rsidR="00F3110E">
        <w:t>event</w:t>
      </w:r>
      <w:r w:rsidR="00530F39">
        <w:t xml:space="preserve"> of non-compliance</w:t>
      </w:r>
      <w:r w:rsidR="00582DAA" w:rsidRPr="00582DAA">
        <w:t xml:space="preserve"> </w:t>
      </w:r>
      <w:r w:rsidR="006D265F">
        <w:t>helps</w:t>
      </w:r>
      <w:r w:rsidR="00582DAA">
        <w:t xml:space="preserve"> to enforce targets</w:t>
      </w:r>
      <w:r w:rsidR="00530F39">
        <w:t>.</w:t>
      </w:r>
    </w:p>
    <w:p w14:paraId="474BACC7" w14:textId="4DAAAFAE" w:rsidR="00530F39" w:rsidRDefault="00B34A9D" w:rsidP="00E03FD9">
      <w:r>
        <w:t xml:space="preserve">There are substantial advantages in </w:t>
      </w:r>
      <w:r w:rsidR="003E1A8F">
        <w:t>having</w:t>
      </w:r>
      <w:r>
        <w:t xml:space="preserve"> targets.</w:t>
      </w:r>
      <w:r w:rsidR="00606F2B">
        <w:t xml:space="preserve"> </w:t>
      </w:r>
      <w:r w:rsidR="00F55698">
        <w:t xml:space="preserve">As discussed in Section </w:t>
      </w:r>
      <w:r w:rsidR="00542CFD">
        <w:t xml:space="preserve">2.4, </w:t>
      </w:r>
      <w:r w:rsidR="00597409">
        <w:t>central governments have a strong interest in setting the quantity of new housing</w:t>
      </w:r>
      <w:r w:rsidR="00BA2F84">
        <w:t xml:space="preserve">, </w:t>
      </w:r>
      <w:r w:rsidR="00542CFD">
        <w:t xml:space="preserve">however </w:t>
      </w:r>
      <w:r w:rsidR="00BA2F84">
        <w:t>the precise location and form</w:t>
      </w:r>
      <w:r w:rsidR="00542CFD">
        <w:t xml:space="preserve"> can be decided</w:t>
      </w:r>
      <w:r w:rsidR="00F55698">
        <w:t xml:space="preserve"> </w:t>
      </w:r>
      <w:r w:rsidR="000F7D58">
        <w:t>l</w:t>
      </w:r>
      <w:r w:rsidR="00542CFD">
        <w:t>ocal</w:t>
      </w:r>
      <w:r w:rsidR="000F7D58">
        <w:t>ly</w:t>
      </w:r>
      <w:r w:rsidR="00542CFD">
        <w:t xml:space="preserve"> </w:t>
      </w:r>
      <w:proofErr w:type="gramStart"/>
      <w:r w:rsidR="00F55698">
        <w:t>so as to</w:t>
      </w:r>
      <w:proofErr w:type="gramEnd"/>
      <w:r w:rsidR="00F55698">
        <w:t xml:space="preserve"> minimise local externalities.</w:t>
      </w:r>
      <w:r w:rsidR="00606F2B">
        <w:t xml:space="preserve"> </w:t>
      </w:r>
      <w:r w:rsidR="00806769">
        <w:t xml:space="preserve">Politically, </w:t>
      </w:r>
      <w:r w:rsidR="004E02FB">
        <w:t>‘</w:t>
      </w:r>
      <w:r w:rsidR="00C909EE">
        <w:t>local control</w:t>
      </w:r>
      <w:r w:rsidR="004E02FB">
        <w:t>’</w:t>
      </w:r>
      <w:r w:rsidR="0080262F">
        <w:t xml:space="preserve"> and objections to </w:t>
      </w:r>
      <w:r w:rsidR="00E56F24">
        <w:t>‘</w:t>
      </w:r>
      <w:r w:rsidR="0080262F">
        <w:t>one-size fits all</w:t>
      </w:r>
      <w:r w:rsidR="00E56F24">
        <w:t>’</w:t>
      </w:r>
      <w:r w:rsidR="00C909EE">
        <w:t xml:space="preserve"> ha</w:t>
      </w:r>
      <w:r w:rsidR="002D31C6">
        <w:t>ve</w:t>
      </w:r>
      <w:r w:rsidR="00C909EE">
        <w:t xml:space="preserve"> strong appeal.</w:t>
      </w:r>
      <w:r w:rsidR="00606F2B">
        <w:t xml:space="preserve"> </w:t>
      </w:r>
      <w:r w:rsidR="00C909EE">
        <w:t>Th</w:t>
      </w:r>
      <w:r w:rsidR="002D31C6">
        <w:t>ese</w:t>
      </w:r>
      <w:r w:rsidR="00C909EE">
        <w:t xml:space="preserve"> may be sm</w:t>
      </w:r>
      <w:r w:rsidR="0031168D">
        <w:t>okescreen</w:t>
      </w:r>
      <w:r w:rsidR="002D31C6">
        <w:t>s</w:t>
      </w:r>
      <w:r w:rsidR="0031168D">
        <w:t xml:space="preserve"> for underlying objections</w:t>
      </w:r>
      <w:r w:rsidR="006D3FE1">
        <w:t>; nevertheless,</w:t>
      </w:r>
      <w:r w:rsidR="0031168D">
        <w:t xml:space="preserve"> </w:t>
      </w:r>
      <w:r w:rsidR="002D31C6">
        <w:t>the</w:t>
      </w:r>
      <w:r w:rsidR="00452AC2">
        <w:t xml:space="preserve">se concerns </w:t>
      </w:r>
      <w:r w:rsidR="0031168D">
        <w:t xml:space="preserve">can be readily </w:t>
      </w:r>
      <w:r w:rsidR="007C4150">
        <w:t>allayed</w:t>
      </w:r>
      <w:r w:rsidR="0031168D">
        <w:t>.</w:t>
      </w:r>
    </w:p>
    <w:p w14:paraId="5820EA4F" w14:textId="6B249FD9" w:rsidR="0020188F" w:rsidRDefault="00F61E72" w:rsidP="00E03FD9">
      <w:r>
        <w:t>The NSW government</w:t>
      </w:r>
      <w:r w:rsidR="00506782">
        <w:t xml:space="preserve"> has announced several direct controls</w:t>
      </w:r>
      <w:r w:rsidR="00E56F24">
        <w:t>,</w:t>
      </w:r>
      <w:r w:rsidR="00083F4C">
        <w:t xml:space="preserve"> which </w:t>
      </w:r>
      <w:r w:rsidR="00506782">
        <w:t xml:space="preserve">it has </w:t>
      </w:r>
      <w:r w:rsidR="00A914E4">
        <w:t xml:space="preserve">allowed local councils to vary </w:t>
      </w:r>
      <w:proofErr w:type="gramStart"/>
      <w:r w:rsidR="00A914E4">
        <w:t>as long as</w:t>
      </w:r>
      <w:proofErr w:type="gramEnd"/>
      <w:r w:rsidR="00A914E4">
        <w:t xml:space="preserve"> quantitative targets were met. </w:t>
      </w:r>
      <w:r w:rsidR="00846C65">
        <w:t>Councils in Burwood, the Inner West and Ku-ring-gai</w:t>
      </w:r>
      <w:r w:rsidR="00A64D3D">
        <w:t xml:space="preserve"> </w:t>
      </w:r>
      <w:r w:rsidR="00D84F4F">
        <w:t xml:space="preserve">designed </w:t>
      </w:r>
      <w:r w:rsidR="00A64D3D">
        <w:t xml:space="preserve">their own alternatives to the </w:t>
      </w:r>
      <w:r>
        <w:t>Transport-Oriented Development</w:t>
      </w:r>
      <w:r w:rsidR="00A64D3D">
        <w:t xml:space="preserve"> controls. Mosman is </w:t>
      </w:r>
      <w:r w:rsidR="007F75EA">
        <w:t xml:space="preserve">replacing the </w:t>
      </w:r>
      <w:r w:rsidR="00CF0D2F">
        <w:t>Low- and Mid-Rise</w:t>
      </w:r>
      <w:r w:rsidR="007F75EA">
        <w:t xml:space="preserve"> Housing controls with its alternative.</w:t>
      </w:r>
      <w:r w:rsidR="00606F2B">
        <w:t xml:space="preserve"> </w:t>
      </w:r>
      <w:r w:rsidR="002322A9">
        <w:t>The</w:t>
      </w:r>
      <w:r w:rsidR="005E1857">
        <w:t xml:space="preserve"> councils’</w:t>
      </w:r>
      <w:r w:rsidR="002322A9">
        <w:t xml:space="preserve"> alternatives typically involve more concentrated high-rise development with a smaller footprint </w:t>
      </w:r>
      <w:r w:rsidR="00083F4C">
        <w:t xml:space="preserve">than the </w:t>
      </w:r>
      <w:r w:rsidR="00E56813">
        <w:t>s</w:t>
      </w:r>
      <w:r w:rsidR="00083F4C">
        <w:t>tate proposals.</w:t>
      </w:r>
      <w:r w:rsidR="001334DB">
        <w:t xml:space="preserve"> </w:t>
      </w:r>
      <w:r w:rsidR="00422B09">
        <w:t>Even in</w:t>
      </w:r>
      <w:r w:rsidR="00994902">
        <w:t xml:space="preserve"> council areas where </w:t>
      </w:r>
      <w:r w:rsidR="00E56813">
        <w:t>s</w:t>
      </w:r>
      <w:r w:rsidR="001334DB">
        <w:t>tate</w:t>
      </w:r>
      <w:r w:rsidR="00994902">
        <w:t xml:space="preserve"> proposals</w:t>
      </w:r>
      <w:r w:rsidR="001334DB">
        <w:t xml:space="preserve"> </w:t>
      </w:r>
      <w:r w:rsidR="005A3CF7">
        <w:t>are not being implemented</w:t>
      </w:r>
      <w:r w:rsidR="00CA52E2">
        <w:t xml:space="preserve">, </w:t>
      </w:r>
      <w:r w:rsidR="00F02123">
        <w:t>th</w:t>
      </w:r>
      <w:r w:rsidR="00994902">
        <w:t>ose proposals</w:t>
      </w:r>
      <w:r w:rsidR="00F02123">
        <w:t xml:space="preserve"> played a critical role</w:t>
      </w:r>
      <w:r w:rsidR="00951512">
        <w:t xml:space="preserve">. Their </w:t>
      </w:r>
      <w:r w:rsidR="00CA52E2">
        <w:t xml:space="preserve">threat was essential </w:t>
      </w:r>
      <w:r w:rsidR="00A14C26">
        <w:t xml:space="preserve">to getting councils to </w:t>
      </w:r>
      <w:r w:rsidR="0020188F">
        <w:t>suggest</w:t>
      </w:r>
      <w:r w:rsidR="00A14C26">
        <w:t xml:space="preserve"> constructive alternatives.</w:t>
      </w:r>
    </w:p>
    <w:p w14:paraId="2002A6AE" w14:textId="406CA76E" w:rsidR="00FB7387" w:rsidRDefault="00806D28" w:rsidP="00E03FD9">
      <w:r>
        <w:t xml:space="preserve"> </w:t>
      </w:r>
      <w:r w:rsidR="0087205C">
        <w:t>T</w:t>
      </w:r>
      <w:r w:rsidR="00E033EC">
        <w:t>he NSW government has set overall numerical targets</w:t>
      </w:r>
      <w:r w:rsidR="0087205C">
        <w:t xml:space="preserve"> for most local councils in metropolitan areas</w:t>
      </w:r>
      <w:r w:rsidR="0000498A">
        <w:t>, consistent with the national target</w:t>
      </w:r>
      <w:r w:rsidR="0087205C">
        <w:t>.</w:t>
      </w:r>
      <w:r w:rsidR="00606F2B">
        <w:t xml:space="preserve"> </w:t>
      </w:r>
      <w:r w:rsidR="00FD4FBF">
        <w:t>Other states should follow this approach</w:t>
      </w:r>
      <w:r w:rsidR="00433837">
        <w:t xml:space="preserve"> (perhaps </w:t>
      </w:r>
      <w:r w:rsidR="00354DE0">
        <w:t>an appro</w:t>
      </w:r>
      <w:r w:rsidR="00D45989">
        <w:t>priate policy for</w:t>
      </w:r>
      <w:r w:rsidR="00433837">
        <w:t xml:space="preserve"> NCP payments)</w:t>
      </w:r>
      <w:r w:rsidR="000A3367">
        <w:t>. However, they appear not to have the information needed</w:t>
      </w:r>
      <w:r w:rsidR="00635C34">
        <w:t>.</w:t>
      </w:r>
      <w:r w:rsidR="00606F2B">
        <w:t xml:space="preserve"> </w:t>
      </w:r>
      <w:r w:rsidR="00DD3B25">
        <w:t>For example, infill targe</w:t>
      </w:r>
      <w:r w:rsidR="00B60530">
        <w:t>t</w:t>
      </w:r>
      <w:r w:rsidR="00DD3B25">
        <w:t>s should reflect counci</w:t>
      </w:r>
      <w:r w:rsidR="00B60530">
        <w:t>l-level estimates of the zoning premium</w:t>
      </w:r>
      <w:r w:rsidR="00A942FE">
        <w:t xml:space="preserve">, which are available for </w:t>
      </w:r>
      <w:r w:rsidR="00E95E91">
        <w:t xml:space="preserve">some states but not others. </w:t>
      </w:r>
      <w:r w:rsidR="00050608">
        <w:t xml:space="preserve">Tulip </w:t>
      </w:r>
      <w:r w:rsidR="00341ECB">
        <w:t>(</w:t>
      </w:r>
      <w:hyperlink r:id="rId52" w:history="1">
        <w:r w:rsidR="00341ECB" w:rsidRPr="00E50F5E">
          <w:rPr>
            <w:rStyle w:val="Hyperlink"/>
          </w:rPr>
          <w:t>2023</w:t>
        </w:r>
      </w:hyperlink>
      <w:r w:rsidR="00341ECB">
        <w:t>, Chart 1</w:t>
      </w:r>
      <w:r w:rsidR="00E50F5E">
        <w:t xml:space="preserve"> or Table 2)</w:t>
      </w:r>
      <w:r w:rsidR="00E95E91">
        <w:t xml:space="preserve"> shows estimates for NSW</w:t>
      </w:r>
      <w:r w:rsidR="00E50F5E">
        <w:t xml:space="preserve">. </w:t>
      </w:r>
      <w:r w:rsidR="004C07D1">
        <w:t>Infrastructure capacity is al</w:t>
      </w:r>
      <w:r w:rsidR="004E5828">
        <w:t>so important</w:t>
      </w:r>
      <w:r w:rsidR="00EF0C41">
        <w:t xml:space="preserve"> but harder to gauge</w:t>
      </w:r>
      <w:r w:rsidR="004E5828">
        <w:t xml:space="preserve">. </w:t>
      </w:r>
      <w:r w:rsidR="00635C34">
        <w:t>Again, we need to overhaul</w:t>
      </w:r>
      <w:r w:rsidR="002A7156">
        <w:t xml:space="preserve"> our national housing research infrastructure.</w:t>
      </w:r>
    </w:p>
    <w:p w14:paraId="54EBA2AC" w14:textId="5325B68F" w:rsidR="002A7156" w:rsidRDefault="00464D9F" w:rsidP="00E03FD9">
      <w:r>
        <w:t>Targets mean little if they are not enforced</w:t>
      </w:r>
      <w:r w:rsidR="00990AD4">
        <w:t>.</w:t>
      </w:r>
      <w:r w:rsidR="00606F2B">
        <w:t xml:space="preserve"> </w:t>
      </w:r>
      <w:r w:rsidR="004F0467">
        <w:t>The NSW government needs to start applying graduated remedies to laggard councils.</w:t>
      </w:r>
      <w:r w:rsidR="00606F2B">
        <w:t xml:space="preserve"> </w:t>
      </w:r>
      <w:r w:rsidR="001B5C4A">
        <w:t xml:space="preserve">This should start with a request to explain, escalating to </w:t>
      </w:r>
      <w:r w:rsidR="00C06C77">
        <w:t>a</w:t>
      </w:r>
      <w:r w:rsidR="003A7E20">
        <w:t>n override</w:t>
      </w:r>
      <w:r w:rsidR="00C06C77">
        <w:t xml:space="preserve"> of zoning restrictions.</w:t>
      </w:r>
      <w:r w:rsidR="00606F2B">
        <w:t xml:space="preserve"> </w:t>
      </w:r>
      <w:r w:rsidR="002C3899">
        <w:t>Discretionary intervention is unreliable</w:t>
      </w:r>
      <w:r w:rsidR="003B2C0E">
        <w:t xml:space="preserve"> —</w:t>
      </w:r>
      <w:r w:rsidR="00B633F7">
        <w:t xml:space="preserve"> it gives councils an incen</w:t>
      </w:r>
      <w:r w:rsidR="00FC71DE">
        <w:t>tive</w:t>
      </w:r>
      <w:r w:rsidR="00B633F7">
        <w:t xml:space="preserve"> to provoke </w:t>
      </w:r>
      <w:r w:rsidR="005856BB">
        <w:t>a fight</w:t>
      </w:r>
      <w:r w:rsidR="00222920">
        <w:t>, and it puts the onus on</w:t>
      </w:r>
      <w:r w:rsidR="005856BB">
        <w:t xml:space="preserve"> </w:t>
      </w:r>
      <w:r w:rsidR="003B2C0E">
        <w:t>s</w:t>
      </w:r>
      <w:r w:rsidR="005856BB">
        <w:t xml:space="preserve">tate politicians </w:t>
      </w:r>
      <w:r w:rsidR="00FC71DE">
        <w:t>who may be</w:t>
      </w:r>
      <w:r w:rsidR="005856BB">
        <w:t xml:space="preserve"> averse to conflict.</w:t>
      </w:r>
      <w:r w:rsidR="00606F2B">
        <w:t xml:space="preserve"> </w:t>
      </w:r>
      <w:proofErr w:type="gramStart"/>
      <w:r w:rsidR="00222920">
        <w:t>So</w:t>
      </w:r>
      <w:proofErr w:type="gramEnd"/>
      <w:r w:rsidR="00222920">
        <w:t xml:space="preserve"> remedies should be specified in advance and automatically applied.</w:t>
      </w:r>
      <w:r w:rsidR="00606F2B">
        <w:t xml:space="preserve"> </w:t>
      </w:r>
    </w:p>
    <w:p w14:paraId="388C002D" w14:textId="3D08B286" w:rsidR="00A432A7" w:rsidRDefault="00A432A7" w:rsidP="00E03FD9">
      <w:r>
        <w:t>The main trigger for rem</w:t>
      </w:r>
      <w:r w:rsidR="00B3091D">
        <w:t>e</w:t>
      </w:r>
      <w:r>
        <w:t>dial action should be building approvals</w:t>
      </w:r>
      <w:r w:rsidR="00126708">
        <w:t xml:space="preserve">, </w:t>
      </w:r>
      <w:r w:rsidR="00906A9D">
        <w:t xml:space="preserve">with some weight also given to </w:t>
      </w:r>
      <w:r w:rsidR="00B3091D">
        <w:t xml:space="preserve">Development Approvals. Table </w:t>
      </w:r>
      <w:r w:rsidR="00585413">
        <w:t>2</w:t>
      </w:r>
      <w:r w:rsidR="00B3091D">
        <w:t xml:space="preserve"> shows</w:t>
      </w:r>
      <w:r w:rsidR="00E616C6">
        <w:t xml:space="preserve"> the </w:t>
      </w:r>
      <w:r w:rsidR="00D50960">
        <w:t xml:space="preserve">20 </w:t>
      </w:r>
      <w:r w:rsidR="00E616C6">
        <w:t>worst performing councils, in terms of meeting their target, in NSW.</w:t>
      </w:r>
    </w:p>
    <w:p w14:paraId="1C7A0DCA" w14:textId="77777777" w:rsidR="005E798F" w:rsidRDefault="005E798F">
      <w:r>
        <w:br w:type="page"/>
      </w:r>
    </w:p>
    <w:p w14:paraId="1B621659" w14:textId="602E8497" w:rsidR="00CE0D24" w:rsidRPr="00911489" w:rsidRDefault="00911489" w:rsidP="00911489">
      <w:pPr>
        <w:jc w:val="center"/>
        <w:rPr>
          <w:b/>
          <w:bCs/>
        </w:rPr>
      </w:pPr>
      <w:r>
        <w:rPr>
          <w:b/>
          <w:bCs/>
        </w:rPr>
        <w:lastRenderedPageBreak/>
        <w:t xml:space="preserve">Table 2:  </w:t>
      </w:r>
      <w:r w:rsidR="0061146D" w:rsidRPr="00911489">
        <w:rPr>
          <w:b/>
          <w:bCs/>
        </w:rPr>
        <w:t xml:space="preserve">Worst </w:t>
      </w:r>
      <w:r w:rsidR="00164D3E" w:rsidRPr="00911489">
        <w:rPr>
          <w:b/>
          <w:bCs/>
        </w:rPr>
        <w:t xml:space="preserve">Performing </w:t>
      </w:r>
      <w:r w:rsidR="0061146D" w:rsidRPr="00911489">
        <w:rPr>
          <w:b/>
          <w:bCs/>
        </w:rPr>
        <w:t>NSW Council</w:t>
      </w:r>
      <w:r w:rsidR="00CE0D24" w:rsidRPr="00911489">
        <w:rPr>
          <w:b/>
          <w:bCs/>
        </w:rPr>
        <w:t>s</w:t>
      </w:r>
      <w:r w:rsidR="00CE0D24" w:rsidRPr="00911489">
        <w:rPr>
          <w:b/>
          <w:bCs/>
        </w:rPr>
        <w:br/>
        <w:t>Ratio of Building Approvals to Target</w:t>
      </w:r>
      <w:r w:rsidRPr="00911489">
        <w:rPr>
          <w:b/>
          <w:bCs/>
        </w:rPr>
        <w:br/>
      </w:r>
      <w:r w:rsidR="00CE0D24" w:rsidRPr="00911489">
        <w:rPr>
          <w:b/>
          <w:bCs/>
        </w:rPr>
        <w:t xml:space="preserve">July 2024 to </w:t>
      </w:r>
      <w:r w:rsidRPr="00911489">
        <w:rPr>
          <w:b/>
          <w:bCs/>
        </w:rPr>
        <w:t>April 2026</w:t>
      </w:r>
    </w:p>
    <w:tbl>
      <w:tblPr>
        <w:tblW w:w="0" w:type="auto"/>
        <w:tblLook w:val="04A0" w:firstRow="1" w:lastRow="0" w:firstColumn="1" w:lastColumn="0" w:noHBand="0" w:noVBand="1"/>
      </w:tblPr>
      <w:tblGrid>
        <w:gridCol w:w="2279"/>
        <w:gridCol w:w="1661"/>
        <w:gridCol w:w="1677"/>
        <w:gridCol w:w="2027"/>
        <w:gridCol w:w="1382"/>
      </w:tblGrid>
      <w:tr w:rsidR="005433D3" w:rsidRPr="005433D3" w14:paraId="12A75C01" w14:textId="77777777" w:rsidTr="00A567B3">
        <w:trPr>
          <w:trHeight w:val="900"/>
        </w:trPr>
        <w:tc>
          <w:tcPr>
            <w:tcW w:w="0" w:type="auto"/>
            <w:tcBorders>
              <w:top w:val="nil"/>
              <w:left w:val="nil"/>
              <w:bottom w:val="nil"/>
              <w:right w:val="nil"/>
            </w:tcBorders>
            <w:noWrap/>
            <w:hideMark/>
          </w:tcPr>
          <w:p w14:paraId="16B45091" w14:textId="77777777" w:rsidR="005433D3" w:rsidRPr="005433D3" w:rsidRDefault="005433D3" w:rsidP="00D96C51">
            <w:pPr>
              <w:spacing w:after="0" w:line="240" w:lineRule="auto"/>
              <w:rPr>
                <w:rFonts w:ascii="Calibri" w:eastAsia="Times New Roman" w:hAnsi="Calibri" w:cs="Calibri"/>
                <w:b/>
                <w:bCs/>
                <w:color w:val="000000"/>
                <w:lang w:eastAsia="en-AU"/>
              </w:rPr>
            </w:pPr>
            <w:r w:rsidRPr="005433D3">
              <w:rPr>
                <w:rFonts w:ascii="Calibri" w:eastAsia="Times New Roman" w:hAnsi="Calibri" w:cs="Calibri"/>
                <w:b/>
                <w:bCs/>
                <w:color w:val="000000"/>
                <w:lang w:eastAsia="en-AU"/>
              </w:rPr>
              <w:t>Council</w:t>
            </w:r>
          </w:p>
        </w:tc>
        <w:tc>
          <w:tcPr>
            <w:tcW w:w="0" w:type="auto"/>
            <w:tcBorders>
              <w:top w:val="nil"/>
              <w:left w:val="nil"/>
              <w:bottom w:val="nil"/>
              <w:right w:val="nil"/>
            </w:tcBorders>
            <w:hideMark/>
          </w:tcPr>
          <w:p w14:paraId="1E839156" w14:textId="77777777" w:rsidR="005433D3" w:rsidRPr="005433D3" w:rsidRDefault="005433D3" w:rsidP="00D96C51">
            <w:pPr>
              <w:spacing w:after="0" w:line="240" w:lineRule="auto"/>
              <w:jc w:val="center"/>
              <w:rPr>
                <w:rFonts w:ascii="Calibri" w:eastAsia="Times New Roman" w:hAnsi="Calibri" w:cs="Calibri"/>
                <w:b/>
                <w:bCs/>
                <w:color w:val="000000"/>
                <w:lang w:eastAsia="en-AU"/>
              </w:rPr>
            </w:pPr>
            <w:r w:rsidRPr="005433D3">
              <w:rPr>
                <w:rFonts w:ascii="Calibri" w:eastAsia="Times New Roman" w:hAnsi="Calibri" w:cs="Calibri"/>
                <w:b/>
                <w:bCs/>
                <w:color w:val="000000"/>
                <w:lang w:eastAsia="en-AU"/>
              </w:rPr>
              <w:t xml:space="preserve">Target          </w:t>
            </w:r>
            <w:r w:rsidRPr="005433D3">
              <w:rPr>
                <w:rFonts w:ascii="Calibri" w:eastAsia="Times New Roman" w:hAnsi="Calibri" w:cs="Calibri"/>
                <w:color w:val="000000"/>
                <w:lang w:eastAsia="en-AU"/>
              </w:rPr>
              <w:t xml:space="preserve"> </w:t>
            </w:r>
            <w:proofErr w:type="gramStart"/>
            <w:r w:rsidRPr="005433D3">
              <w:rPr>
                <w:rFonts w:ascii="Calibri" w:eastAsia="Times New Roman" w:hAnsi="Calibri" w:cs="Calibri"/>
                <w:color w:val="000000"/>
                <w:lang w:eastAsia="en-AU"/>
              </w:rPr>
              <w:t xml:space="preserve">   (</w:t>
            </w:r>
            <w:proofErr w:type="gramEnd"/>
            <w:r w:rsidRPr="005433D3">
              <w:rPr>
                <w:rFonts w:ascii="Calibri" w:eastAsia="Times New Roman" w:hAnsi="Calibri" w:cs="Calibri"/>
                <w:color w:val="000000"/>
                <w:lang w:eastAsia="en-AU"/>
              </w:rPr>
              <w:t>to April 2026)</w:t>
            </w:r>
          </w:p>
        </w:tc>
        <w:tc>
          <w:tcPr>
            <w:tcW w:w="0" w:type="auto"/>
            <w:tcBorders>
              <w:top w:val="nil"/>
              <w:left w:val="nil"/>
              <w:bottom w:val="nil"/>
              <w:right w:val="nil"/>
            </w:tcBorders>
            <w:hideMark/>
          </w:tcPr>
          <w:p w14:paraId="386B4EBC" w14:textId="78A439DE" w:rsidR="005433D3" w:rsidRPr="005433D3" w:rsidRDefault="005433D3" w:rsidP="00D96C51">
            <w:pPr>
              <w:spacing w:after="0" w:line="240" w:lineRule="auto"/>
              <w:jc w:val="center"/>
              <w:rPr>
                <w:rFonts w:ascii="Calibri" w:eastAsia="Times New Roman" w:hAnsi="Calibri" w:cs="Calibri"/>
                <w:b/>
                <w:bCs/>
                <w:color w:val="000000"/>
                <w:lang w:eastAsia="en-AU"/>
              </w:rPr>
            </w:pPr>
            <w:r w:rsidRPr="005433D3">
              <w:rPr>
                <w:rFonts w:ascii="Calibri" w:eastAsia="Times New Roman" w:hAnsi="Calibri" w:cs="Calibri"/>
                <w:b/>
                <w:bCs/>
                <w:color w:val="000000"/>
                <w:lang w:eastAsia="en-AU"/>
              </w:rPr>
              <w:t xml:space="preserve">Approvals  </w:t>
            </w:r>
            <w:r w:rsidR="00BA4A44">
              <w:rPr>
                <w:rFonts w:ascii="Calibri" w:eastAsia="Times New Roman" w:hAnsi="Calibri" w:cs="Calibri"/>
                <w:b/>
                <w:bCs/>
                <w:color w:val="000000"/>
                <w:lang w:eastAsia="en-AU"/>
              </w:rPr>
              <w:br/>
            </w:r>
            <w:r w:rsidRPr="005433D3">
              <w:rPr>
                <w:rFonts w:ascii="Calibri" w:eastAsia="Times New Roman" w:hAnsi="Calibri" w:cs="Calibri"/>
                <w:color w:val="000000"/>
                <w:lang w:eastAsia="en-AU"/>
              </w:rPr>
              <w:t xml:space="preserve">(July 2024 </w:t>
            </w:r>
            <w:r w:rsidR="00BA4A44">
              <w:rPr>
                <w:rFonts w:ascii="Calibri" w:eastAsia="Times New Roman" w:hAnsi="Calibri" w:cs="Calibri"/>
                <w:color w:val="000000"/>
                <w:lang w:eastAsia="en-AU"/>
              </w:rPr>
              <w:t>to</w:t>
            </w:r>
            <w:r w:rsidRPr="005433D3">
              <w:rPr>
                <w:rFonts w:ascii="Calibri" w:eastAsia="Times New Roman" w:hAnsi="Calibri" w:cs="Calibri"/>
                <w:color w:val="000000"/>
                <w:lang w:eastAsia="en-AU"/>
              </w:rPr>
              <w:t xml:space="preserve"> April 2026)</w:t>
            </w:r>
          </w:p>
        </w:tc>
        <w:tc>
          <w:tcPr>
            <w:tcW w:w="0" w:type="auto"/>
            <w:tcBorders>
              <w:top w:val="nil"/>
              <w:left w:val="nil"/>
              <w:bottom w:val="nil"/>
              <w:right w:val="nil"/>
            </w:tcBorders>
            <w:hideMark/>
          </w:tcPr>
          <w:p w14:paraId="07B84882" w14:textId="2449A66A" w:rsidR="005433D3" w:rsidRPr="005433D3" w:rsidRDefault="005433D3" w:rsidP="00D96C51">
            <w:pPr>
              <w:spacing w:after="0" w:line="240" w:lineRule="auto"/>
              <w:jc w:val="center"/>
              <w:rPr>
                <w:rFonts w:ascii="Calibri" w:eastAsia="Times New Roman" w:hAnsi="Calibri" w:cs="Calibri"/>
                <w:b/>
                <w:bCs/>
                <w:color w:val="000000"/>
                <w:lang w:eastAsia="en-AU"/>
              </w:rPr>
            </w:pPr>
            <w:proofErr w:type="gramStart"/>
            <w:r w:rsidRPr="005433D3">
              <w:rPr>
                <w:rFonts w:ascii="Calibri" w:eastAsia="Times New Roman" w:hAnsi="Calibri" w:cs="Calibri"/>
                <w:b/>
                <w:bCs/>
                <w:color w:val="000000"/>
                <w:lang w:eastAsia="en-AU"/>
              </w:rPr>
              <w:t>Ratio  A</w:t>
            </w:r>
            <w:r w:rsidRPr="005433D3">
              <w:rPr>
                <w:rFonts w:ascii="Calibri" w:eastAsia="Times New Roman" w:hAnsi="Calibri" w:cs="Calibri"/>
                <w:color w:val="000000"/>
                <w:lang w:eastAsia="en-AU"/>
              </w:rPr>
              <w:t>pprovals</w:t>
            </w:r>
            <w:proofErr w:type="gramEnd"/>
            <w:r w:rsidRPr="005433D3">
              <w:rPr>
                <w:rFonts w:ascii="Calibri" w:eastAsia="Times New Roman" w:hAnsi="Calibri" w:cs="Calibri"/>
                <w:color w:val="000000"/>
                <w:lang w:eastAsia="en-AU"/>
              </w:rPr>
              <w:t>/</w:t>
            </w:r>
            <w:r w:rsidR="00E834CB">
              <w:rPr>
                <w:rFonts w:ascii="Calibri" w:eastAsia="Times New Roman" w:hAnsi="Calibri" w:cs="Calibri"/>
                <w:color w:val="000000"/>
                <w:lang w:eastAsia="en-AU"/>
              </w:rPr>
              <w:t>T</w:t>
            </w:r>
            <w:r w:rsidRPr="005433D3">
              <w:rPr>
                <w:rFonts w:ascii="Calibri" w:eastAsia="Times New Roman" w:hAnsi="Calibri" w:cs="Calibri"/>
                <w:color w:val="000000"/>
                <w:lang w:eastAsia="en-AU"/>
              </w:rPr>
              <w:t>arget</w:t>
            </w:r>
          </w:p>
        </w:tc>
        <w:tc>
          <w:tcPr>
            <w:tcW w:w="0" w:type="auto"/>
            <w:tcBorders>
              <w:top w:val="nil"/>
              <w:left w:val="nil"/>
              <w:bottom w:val="nil"/>
              <w:right w:val="nil"/>
            </w:tcBorders>
            <w:hideMark/>
          </w:tcPr>
          <w:p w14:paraId="43C25E45" w14:textId="77777777" w:rsidR="005433D3" w:rsidRPr="005433D3" w:rsidRDefault="005433D3" w:rsidP="00D96C51">
            <w:pPr>
              <w:spacing w:after="0" w:line="240" w:lineRule="auto"/>
              <w:jc w:val="center"/>
              <w:rPr>
                <w:rFonts w:ascii="Calibri" w:eastAsia="Times New Roman" w:hAnsi="Calibri" w:cs="Calibri"/>
                <w:b/>
                <w:bCs/>
                <w:color w:val="000000"/>
                <w:lang w:eastAsia="en-AU"/>
              </w:rPr>
            </w:pPr>
            <w:r w:rsidRPr="005433D3">
              <w:rPr>
                <w:rFonts w:ascii="Calibri" w:eastAsia="Times New Roman" w:hAnsi="Calibri" w:cs="Calibri"/>
                <w:b/>
                <w:bCs/>
                <w:color w:val="000000"/>
                <w:lang w:eastAsia="en-AU"/>
              </w:rPr>
              <w:t>Rank</w:t>
            </w:r>
            <w:r w:rsidRPr="005433D3">
              <w:rPr>
                <w:rFonts w:ascii="Calibri" w:eastAsia="Times New Roman" w:hAnsi="Calibri" w:cs="Calibri"/>
                <w:color w:val="000000"/>
                <w:lang w:eastAsia="en-AU"/>
              </w:rPr>
              <w:t xml:space="preserve">           </w:t>
            </w:r>
            <w:proofErr w:type="gramStart"/>
            <w:r w:rsidRPr="005433D3">
              <w:rPr>
                <w:rFonts w:ascii="Calibri" w:eastAsia="Times New Roman" w:hAnsi="Calibri" w:cs="Calibri"/>
                <w:color w:val="000000"/>
                <w:lang w:eastAsia="en-AU"/>
              </w:rPr>
              <w:t xml:space="preserve">   (</w:t>
            </w:r>
            <w:proofErr w:type="gramEnd"/>
            <w:r w:rsidRPr="005433D3">
              <w:rPr>
                <w:rFonts w:ascii="Calibri" w:eastAsia="Times New Roman" w:hAnsi="Calibri" w:cs="Calibri"/>
                <w:color w:val="000000"/>
                <w:lang w:eastAsia="en-AU"/>
              </w:rPr>
              <w:t>out of 43)</w:t>
            </w:r>
          </w:p>
        </w:tc>
      </w:tr>
      <w:tr w:rsidR="005433D3" w:rsidRPr="005433D3" w14:paraId="2CD20F69" w14:textId="77777777" w:rsidTr="00736711">
        <w:trPr>
          <w:trHeight w:val="300"/>
        </w:trPr>
        <w:tc>
          <w:tcPr>
            <w:tcW w:w="0" w:type="auto"/>
            <w:tcBorders>
              <w:top w:val="nil"/>
              <w:left w:val="nil"/>
              <w:bottom w:val="nil"/>
              <w:right w:val="nil"/>
            </w:tcBorders>
            <w:noWrap/>
            <w:vAlign w:val="bottom"/>
            <w:hideMark/>
          </w:tcPr>
          <w:p w14:paraId="39814B29"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Strathfield</w:t>
            </w:r>
          </w:p>
        </w:tc>
        <w:tc>
          <w:tcPr>
            <w:tcW w:w="0" w:type="auto"/>
            <w:tcBorders>
              <w:top w:val="nil"/>
              <w:left w:val="nil"/>
              <w:bottom w:val="nil"/>
              <w:right w:val="nil"/>
            </w:tcBorders>
            <w:noWrap/>
            <w:vAlign w:val="center"/>
            <w:hideMark/>
          </w:tcPr>
          <w:p w14:paraId="302D3199" w14:textId="4EC24F31"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1,283</w:t>
            </w:r>
          </w:p>
        </w:tc>
        <w:tc>
          <w:tcPr>
            <w:tcW w:w="0" w:type="auto"/>
            <w:tcBorders>
              <w:top w:val="nil"/>
              <w:left w:val="nil"/>
              <w:bottom w:val="nil"/>
              <w:right w:val="nil"/>
            </w:tcBorders>
            <w:noWrap/>
            <w:vAlign w:val="center"/>
            <w:hideMark/>
          </w:tcPr>
          <w:p w14:paraId="50D47BEB"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293</w:t>
            </w:r>
          </w:p>
        </w:tc>
        <w:tc>
          <w:tcPr>
            <w:tcW w:w="0" w:type="auto"/>
            <w:tcBorders>
              <w:top w:val="nil"/>
              <w:left w:val="nil"/>
              <w:bottom w:val="nil"/>
              <w:right w:val="nil"/>
            </w:tcBorders>
            <w:noWrap/>
            <w:vAlign w:val="center"/>
            <w:hideMark/>
          </w:tcPr>
          <w:p w14:paraId="02A2CF33"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23%</w:t>
            </w:r>
          </w:p>
        </w:tc>
        <w:tc>
          <w:tcPr>
            <w:tcW w:w="0" w:type="auto"/>
            <w:tcBorders>
              <w:top w:val="nil"/>
              <w:left w:val="nil"/>
              <w:bottom w:val="nil"/>
              <w:right w:val="nil"/>
            </w:tcBorders>
            <w:noWrap/>
            <w:vAlign w:val="bottom"/>
            <w:hideMark/>
          </w:tcPr>
          <w:p w14:paraId="3AF38F6D"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43</w:t>
            </w:r>
          </w:p>
        </w:tc>
      </w:tr>
      <w:tr w:rsidR="005433D3" w:rsidRPr="005433D3" w14:paraId="208EFA3B" w14:textId="77777777" w:rsidTr="00736711">
        <w:trPr>
          <w:trHeight w:val="300"/>
        </w:trPr>
        <w:tc>
          <w:tcPr>
            <w:tcW w:w="0" w:type="auto"/>
            <w:tcBorders>
              <w:top w:val="nil"/>
              <w:left w:val="nil"/>
              <w:bottom w:val="nil"/>
              <w:right w:val="nil"/>
            </w:tcBorders>
            <w:noWrap/>
            <w:vAlign w:val="bottom"/>
            <w:hideMark/>
          </w:tcPr>
          <w:p w14:paraId="11A5EC37"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Willoughby</w:t>
            </w:r>
          </w:p>
        </w:tc>
        <w:tc>
          <w:tcPr>
            <w:tcW w:w="0" w:type="auto"/>
            <w:tcBorders>
              <w:top w:val="nil"/>
              <w:left w:val="nil"/>
              <w:bottom w:val="nil"/>
              <w:right w:val="nil"/>
            </w:tcBorders>
            <w:noWrap/>
            <w:vAlign w:val="center"/>
            <w:hideMark/>
          </w:tcPr>
          <w:p w14:paraId="2563AEE2" w14:textId="2C2E5E8E"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1,247</w:t>
            </w:r>
          </w:p>
        </w:tc>
        <w:tc>
          <w:tcPr>
            <w:tcW w:w="0" w:type="auto"/>
            <w:tcBorders>
              <w:top w:val="nil"/>
              <w:left w:val="nil"/>
              <w:bottom w:val="nil"/>
              <w:right w:val="nil"/>
            </w:tcBorders>
            <w:noWrap/>
            <w:vAlign w:val="center"/>
            <w:hideMark/>
          </w:tcPr>
          <w:p w14:paraId="7C38D0B7"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380</w:t>
            </w:r>
          </w:p>
        </w:tc>
        <w:tc>
          <w:tcPr>
            <w:tcW w:w="0" w:type="auto"/>
            <w:tcBorders>
              <w:top w:val="nil"/>
              <w:left w:val="nil"/>
              <w:bottom w:val="nil"/>
              <w:right w:val="nil"/>
            </w:tcBorders>
            <w:noWrap/>
            <w:vAlign w:val="center"/>
            <w:hideMark/>
          </w:tcPr>
          <w:p w14:paraId="2AABFAA9"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30%</w:t>
            </w:r>
          </w:p>
        </w:tc>
        <w:tc>
          <w:tcPr>
            <w:tcW w:w="0" w:type="auto"/>
            <w:tcBorders>
              <w:top w:val="nil"/>
              <w:left w:val="nil"/>
              <w:bottom w:val="nil"/>
              <w:right w:val="nil"/>
            </w:tcBorders>
            <w:noWrap/>
            <w:vAlign w:val="bottom"/>
            <w:hideMark/>
          </w:tcPr>
          <w:p w14:paraId="22BBFABD"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42</w:t>
            </w:r>
          </w:p>
        </w:tc>
      </w:tr>
      <w:tr w:rsidR="005433D3" w:rsidRPr="005433D3" w14:paraId="597319F1" w14:textId="77777777" w:rsidTr="00736711">
        <w:trPr>
          <w:trHeight w:val="300"/>
        </w:trPr>
        <w:tc>
          <w:tcPr>
            <w:tcW w:w="0" w:type="auto"/>
            <w:tcBorders>
              <w:top w:val="nil"/>
              <w:left w:val="nil"/>
              <w:bottom w:val="nil"/>
              <w:right w:val="nil"/>
            </w:tcBorders>
            <w:noWrap/>
            <w:vAlign w:val="bottom"/>
            <w:hideMark/>
          </w:tcPr>
          <w:p w14:paraId="28226D8C"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Waverley</w:t>
            </w:r>
          </w:p>
        </w:tc>
        <w:tc>
          <w:tcPr>
            <w:tcW w:w="0" w:type="auto"/>
            <w:tcBorders>
              <w:top w:val="nil"/>
              <w:left w:val="nil"/>
              <w:bottom w:val="nil"/>
              <w:right w:val="nil"/>
            </w:tcBorders>
            <w:noWrap/>
            <w:vAlign w:val="center"/>
            <w:hideMark/>
          </w:tcPr>
          <w:p w14:paraId="4BD14B9B" w14:textId="11B8FA7E"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880</w:t>
            </w:r>
          </w:p>
        </w:tc>
        <w:tc>
          <w:tcPr>
            <w:tcW w:w="0" w:type="auto"/>
            <w:tcBorders>
              <w:top w:val="nil"/>
              <w:left w:val="nil"/>
              <w:bottom w:val="nil"/>
              <w:right w:val="nil"/>
            </w:tcBorders>
            <w:noWrap/>
            <w:vAlign w:val="center"/>
            <w:hideMark/>
          </w:tcPr>
          <w:p w14:paraId="374E588B"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286</w:t>
            </w:r>
          </w:p>
        </w:tc>
        <w:tc>
          <w:tcPr>
            <w:tcW w:w="0" w:type="auto"/>
            <w:tcBorders>
              <w:top w:val="nil"/>
              <w:left w:val="nil"/>
              <w:bottom w:val="nil"/>
              <w:right w:val="nil"/>
            </w:tcBorders>
            <w:noWrap/>
            <w:vAlign w:val="center"/>
            <w:hideMark/>
          </w:tcPr>
          <w:p w14:paraId="53A7A12A"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33%</w:t>
            </w:r>
          </w:p>
        </w:tc>
        <w:tc>
          <w:tcPr>
            <w:tcW w:w="0" w:type="auto"/>
            <w:tcBorders>
              <w:top w:val="nil"/>
              <w:left w:val="nil"/>
              <w:bottom w:val="nil"/>
              <w:right w:val="nil"/>
            </w:tcBorders>
            <w:noWrap/>
            <w:vAlign w:val="bottom"/>
            <w:hideMark/>
          </w:tcPr>
          <w:p w14:paraId="60DEABD6"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41</w:t>
            </w:r>
          </w:p>
        </w:tc>
      </w:tr>
      <w:tr w:rsidR="005433D3" w:rsidRPr="005433D3" w14:paraId="2BAF0076" w14:textId="77777777" w:rsidTr="00736711">
        <w:trPr>
          <w:trHeight w:val="300"/>
        </w:trPr>
        <w:tc>
          <w:tcPr>
            <w:tcW w:w="0" w:type="auto"/>
            <w:tcBorders>
              <w:top w:val="nil"/>
              <w:left w:val="nil"/>
              <w:bottom w:val="nil"/>
              <w:right w:val="nil"/>
            </w:tcBorders>
            <w:noWrap/>
            <w:vAlign w:val="bottom"/>
            <w:hideMark/>
          </w:tcPr>
          <w:p w14:paraId="2FB70D4A"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North Sydney</w:t>
            </w:r>
          </w:p>
        </w:tc>
        <w:tc>
          <w:tcPr>
            <w:tcW w:w="0" w:type="auto"/>
            <w:tcBorders>
              <w:top w:val="nil"/>
              <w:left w:val="nil"/>
              <w:bottom w:val="nil"/>
              <w:right w:val="nil"/>
            </w:tcBorders>
            <w:noWrap/>
            <w:vAlign w:val="center"/>
            <w:hideMark/>
          </w:tcPr>
          <w:p w14:paraId="1C85A873" w14:textId="28C359AC"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2,163</w:t>
            </w:r>
          </w:p>
        </w:tc>
        <w:tc>
          <w:tcPr>
            <w:tcW w:w="0" w:type="auto"/>
            <w:tcBorders>
              <w:top w:val="nil"/>
              <w:left w:val="nil"/>
              <w:bottom w:val="nil"/>
              <w:right w:val="nil"/>
            </w:tcBorders>
            <w:noWrap/>
            <w:vAlign w:val="center"/>
            <w:hideMark/>
          </w:tcPr>
          <w:p w14:paraId="4E9C1214"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724</w:t>
            </w:r>
          </w:p>
        </w:tc>
        <w:tc>
          <w:tcPr>
            <w:tcW w:w="0" w:type="auto"/>
            <w:tcBorders>
              <w:top w:val="nil"/>
              <w:left w:val="nil"/>
              <w:bottom w:val="nil"/>
              <w:right w:val="nil"/>
            </w:tcBorders>
            <w:noWrap/>
            <w:vAlign w:val="center"/>
            <w:hideMark/>
          </w:tcPr>
          <w:p w14:paraId="546E5BFC"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33%</w:t>
            </w:r>
          </w:p>
        </w:tc>
        <w:tc>
          <w:tcPr>
            <w:tcW w:w="0" w:type="auto"/>
            <w:tcBorders>
              <w:top w:val="nil"/>
              <w:left w:val="nil"/>
              <w:bottom w:val="nil"/>
              <w:right w:val="nil"/>
            </w:tcBorders>
            <w:noWrap/>
            <w:vAlign w:val="bottom"/>
            <w:hideMark/>
          </w:tcPr>
          <w:p w14:paraId="28CBC0C5"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40</w:t>
            </w:r>
          </w:p>
        </w:tc>
      </w:tr>
      <w:tr w:rsidR="005433D3" w:rsidRPr="005433D3" w14:paraId="4848E372" w14:textId="77777777" w:rsidTr="00736711">
        <w:trPr>
          <w:trHeight w:val="300"/>
        </w:trPr>
        <w:tc>
          <w:tcPr>
            <w:tcW w:w="0" w:type="auto"/>
            <w:tcBorders>
              <w:top w:val="nil"/>
              <w:left w:val="nil"/>
              <w:bottom w:val="nil"/>
              <w:right w:val="nil"/>
            </w:tcBorders>
            <w:noWrap/>
            <w:vAlign w:val="bottom"/>
            <w:hideMark/>
          </w:tcPr>
          <w:p w14:paraId="73B17FDD"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Ku-ring-gai</w:t>
            </w:r>
          </w:p>
        </w:tc>
        <w:tc>
          <w:tcPr>
            <w:tcW w:w="0" w:type="auto"/>
            <w:tcBorders>
              <w:top w:val="nil"/>
              <w:left w:val="nil"/>
              <w:bottom w:val="nil"/>
              <w:right w:val="nil"/>
            </w:tcBorders>
            <w:noWrap/>
            <w:vAlign w:val="center"/>
            <w:hideMark/>
          </w:tcPr>
          <w:p w14:paraId="7B8328AF" w14:textId="5042E483"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2,787</w:t>
            </w:r>
          </w:p>
        </w:tc>
        <w:tc>
          <w:tcPr>
            <w:tcW w:w="0" w:type="auto"/>
            <w:tcBorders>
              <w:top w:val="nil"/>
              <w:left w:val="nil"/>
              <w:bottom w:val="nil"/>
              <w:right w:val="nil"/>
            </w:tcBorders>
            <w:noWrap/>
            <w:vAlign w:val="center"/>
            <w:hideMark/>
          </w:tcPr>
          <w:p w14:paraId="71BCB4E3"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978</w:t>
            </w:r>
          </w:p>
        </w:tc>
        <w:tc>
          <w:tcPr>
            <w:tcW w:w="0" w:type="auto"/>
            <w:tcBorders>
              <w:top w:val="nil"/>
              <w:left w:val="nil"/>
              <w:bottom w:val="nil"/>
              <w:right w:val="nil"/>
            </w:tcBorders>
            <w:noWrap/>
            <w:vAlign w:val="center"/>
            <w:hideMark/>
          </w:tcPr>
          <w:p w14:paraId="6F745748"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35%</w:t>
            </w:r>
          </w:p>
        </w:tc>
        <w:tc>
          <w:tcPr>
            <w:tcW w:w="0" w:type="auto"/>
            <w:tcBorders>
              <w:top w:val="nil"/>
              <w:left w:val="nil"/>
              <w:bottom w:val="nil"/>
              <w:right w:val="nil"/>
            </w:tcBorders>
            <w:noWrap/>
            <w:vAlign w:val="bottom"/>
            <w:hideMark/>
          </w:tcPr>
          <w:p w14:paraId="5D4557DF"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39</w:t>
            </w:r>
          </w:p>
        </w:tc>
      </w:tr>
      <w:tr w:rsidR="005433D3" w:rsidRPr="005433D3" w14:paraId="08F80BF4" w14:textId="77777777" w:rsidTr="00736711">
        <w:trPr>
          <w:trHeight w:val="300"/>
        </w:trPr>
        <w:tc>
          <w:tcPr>
            <w:tcW w:w="0" w:type="auto"/>
            <w:tcBorders>
              <w:top w:val="nil"/>
              <w:left w:val="nil"/>
              <w:bottom w:val="nil"/>
              <w:right w:val="nil"/>
            </w:tcBorders>
            <w:noWrap/>
            <w:vAlign w:val="bottom"/>
            <w:hideMark/>
          </w:tcPr>
          <w:p w14:paraId="2F4A79A9"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Hornsby</w:t>
            </w:r>
          </w:p>
        </w:tc>
        <w:tc>
          <w:tcPr>
            <w:tcW w:w="0" w:type="auto"/>
            <w:tcBorders>
              <w:top w:val="nil"/>
              <w:left w:val="nil"/>
              <w:bottom w:val="nil"/>
              <w:right w:val="nil"/>
            </w:tcBorders>
            <w:noWrap/>
            <w:vAlign w:val="center"/>
            <w:hideMark/>
          </w:tcPr>
          <w:p w14:paraId="572A1BCA" w14:textId="4D35876A"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2,017</w:t>
            </w:r>
          </w:p>
        </w:tc>
        <w:tc>
          <w:tcPr>
            <w:tcW w:w="0" w:type="auto"/>
            <w:tcBorders>
              <w:top w:val="nil"/>
              <w:left w:val="nil"/>
              <w:bottom w:val="nil"/>
              <w:right w:val="nil"/>
            </w:tcBorders>
            <w:noWrap/>
            <w:vAlign w:val="center"/>
            <w:hideMark/>
          </w:tcPr>
          <w:p w14:paraId="0578F498"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759</w:t>
            </w:r>
          </w:p>
        </w:tc>
        <w:tc>
          <w:tcPr>
            <w:tcW w:w="0" w:type="auto"/>
            <w:tcBorders>
              <w:top w:val="nil"/>
              <w:left w:val="nil"/>
              <w:bottom w:val="nil"/>
              <w:right w:val="nil"/>
            </w:tcBorders>
            <w:noWrap/>
            <w:vAlign w:val="center"/>
            <w:hideMark/>
          </w:tcPr>
          <w:p w14:paraId="0C4C2764"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38%</w:t>
            </w:r>
          </w:p>
        </w:tc>
        <w:tc>
          <w:tcPr>
            <w:tcW w:w="0" w:type="auto"/>
            <w:tcBorders>
              <w:top w:val="nil"/>
              <w:left w:val="nil"/>
              <w:bottom w:val="nil"/>
              <w:right w:val="nil"/>
            </w:tcBorders>
            <w:noWrap/>
            <w:vAlign w:val="bottom"/>
            <w:hideMark/>
          </w:tcPr>
          <w:p w14:paraId="608FD555"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38</w:t>
            </w:r>
          </w:p>
        </w:tc>
      </w:tr>
      <w:tr w:rsidR="005433D3" w:rsidRPr="005433D3" w14:paraId="27CA62EB" w14:textId="77777777" w:rsidTr="00736711">
        <w:trPr>
          <w:trHeight w:val="300"/>
        </w:trPr>
        <w:tc>
          <w:tcPr>
            <w:tcW w:w="0" w:type="auto"/>
            <w:tcBorders>
              <w:top w:val="nil"/>
              <w:left w:val="nil"/>
              <w:bottom w:val="nil"/>
              <w:right w:val="nil"/>
            </w:tcBorders>
            <w:noWrap/>
            <w:vAlign w:val="bottom"/>
            <w:hideMark/>
          </w:tcPr>
          <w:p w14:paraId="2EEF3C99"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Hunters Hill</w:t>
            </w:r>
          </w:p>
        </w:tc>
        <w:tc>
          <w:tcPr>
            <w:tcW w:w="0" w:type="auto"/>
            <w:tcBorders>
              <w:top w:val="nil"/>
              <w:left w:val="nil"/>
              <w:bottom w:val="nil"/>
              <w:right w:val="nil"/>
            </w:tcBorders>
            <w:noWrap/>
            <w:vAlign w:val="center"/>
            <w:hideMark/>
          </w:tcPr>
          <w:p w14:paraId="2AF492D3" w14:textId="1560D04A"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147</w:t>
            </w:r>
          </w:p>
        </w:tc>
        <w:tc>
          <w:tcPr>
            <w:tcW w:w="0" w:type="auto"/>
            <w:tcBorders>
              <w:top w:val="nil"/>
              <w:left w:val="nil"/>
              <w:bottom w:val="nil"/>
              <w:right w:val="nil"/>
            </w:tcBorders>
            <w:noWrap/>
            <w:vAlign w:val="center"/>
            <w:hideMark/>
          </w:tcPr>
          <w:p w14:paraId="03B168F2"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57</w:t>
            </w:r>
          </w:p>
        </w:tc>
        <w:tc>
          <w:tcPr>
            <w:tcW w:w="0" w:type="auto"/>
            <w:tcBorders>
              <w:top w:val="nil"/>
              <w:left w:val="nil"/>
              <w:bottom w:val="nil"/>
              <w:right w:val="nil"/>
            </w:tcBorders>
            <w:noWrap/>
            <w:vAlign w:val="center"/>
            <w:hideMark/>
          </w:tcPr>
          <w:p w14:paraId="4813B98C"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39%</w:t>
            </w:r>
          </w:p>
        </w:tc>
        <w:tc>
          <w:tcPr>
            <w:tcW w:w="0" w:type="auto"/>
            <w:tcBorders>
              <w:top w:val="nil"/>
              <w:left w:val="nil"/>
              <w:bottom w:val="nil"/>
              <w:right w:val="nil"/>
            </w:tcBorders>
            <w:noWrap/>
            <w:vAlign w:val="bottom"/>
            <w:hideMark/>
          </w:tcPr>
          <w:p w14:paraId="37C1FB17"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37</w:t>
            </w:r>
          </w:p>
        </w:tc>
      </w:tr>
      <w:tr w:rsidR="005433D3" w:rsidRPr="005433D3" w14:paraId="25689517" w14:textId="77777777" w:rsidTr="00736711">
        <w:trPr>
          <w:trHeight w:val="300"/>
        </w:trPr>
        <w:tc>
          <w:tcPr>
            <w:tcW w:w="0" w:type="auto"/>
            <w:tcBorders>
              <w:top w:val="nil"/>
              <w:left w:val="nil"/>
              <w:bottom w:val="nil"/>
              <w:right w:val="nil"/>
            </w:tcBorders>
            <w:noWrap/>
            <w:vAlign w:val="bottom"/>
            <w:hideMark/>
          </w:tcPr>
          <w:p w14:paraId="1A41A8BD"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Newcastle</w:t>
            </w:r>
          </w:p>
        </w:tc>
        <w:tc>
          <w:tcPr>
            <w:tcW w:w="0" w:type="auto"/>
            <w:tcBorders>
              <w:top w:val="nil"/>
              <w:left w:val="nil"/>
              <w:bottom w:val="nil"/>
              <w:right w:val="nil"/>
            </w:tcBorders>
            <w:noWrap/>
            <w:vAlign w:val="center"/>
            <w:hideMark/>
          </w:tcPr>
          <w:p w14:paraId="63F32C8E" w14:textId="71843C98"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4,070</w:t>
            </w:r>
          </w:p>
        </w:tc>
        <w:tc>
          <w:tcPr>
            <w:tcW w:w="0" w:type="auto"/>
            <w:tcBorders>
              <w:top w:val="nil"/>
              <w:left w:val="nil"/>
              <w:bottom w:val="nil"/>
              <w:right w:val="nil"/>
            </w:tcBorders>
            <w:noWrap/>
            <w:vAlign w:val="center"/>
            <w:hideMark/>
          </w:tcPr>
          <w:p w14:paraId="030131E2" w14:textId="4A135B6F"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1,614</w:t>
            </w:r>
          </w:p>
        </w:tc>
        <w:tc>
          <w:tcPr>
            <w:tcW w:w="0" w:type="auto"/>
            <w:tcBorders>
              <w:top w:val="nil"/>
              <w:left w:val="nil"/>
              <w:bottom w:val="nil"/>
              <w:right w:val="nil"/>
            </w:tcBorders>
            <w:noWrap/>
            <w:vAlign w:val="center"/>
            <w:hideMark/>
          </w:tcPr>
          <w:p w14:paraId="5FE36CF6"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40%</w:t>
            </w:r>
          </w:p>
        </w:tc>
        <w:tc>
          <w:tcPr>
            <w:tcW w:w="0" w:type="auto"/>
            <w:tcBorders>
              <w:top w:val="nil"/>
              <w:left w:val="nil"/>
              <w:bottom w:val="nil"/>
              <w:right w:val="nil"/>
            </w:tcBorders>
            <w:noWrap/>
            <w:vAlign w:val="bottom"/>
            <w:hideMark/>
          </w:tcPr>
          <w:p w14:paraId="32D80C9C"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36</w:t>
            </w:r>
          </w:p>
        </w:tc>
      </w:tr>
      <w:tr w:rsidR="005433D3" w:rsidRPr="005433D3" w14:paraId="40D8E81B" w14:textId="77777777" w:rsidTr="00736711">
        <w:trPr>
          <w:trHeight w:val="300"/>
        </w:trPr>
        <w:tc>
          <w:tcPr>
            <w:tcW w:w="0" w:type="auto"/>
            <w:tcBorders>
              <w:top w:val="nil"/>
              <w:left w:val="nil"/>
              <w:bottom w:val="nil"/>
              <w:right w:val="nil"/>
            </w:tcBorders>
            <w:noWrap/>
            <w:vAlign w:val="bottom"/>
            <w:hideMark/>
          </w:tcPr>
          <w:p w14:paraId="382C53B8"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Sydney</w:t>
            </w:r>
          </w:p>
        </w:tc>
        <w:tc>
          <w:tcPr>
            <w:tcW w:w="0" w:type="auto"/>
            <w:tcBorders>
              <w:top w:val="nil"/>
              <w:left w:val="nil"/>
              <w:bottom w:val="nil"/>
              <w:right w:val="nil"/>
            </w:tcBorders>
            <w:noWrap/>
            <w:vAlign w:val="center"/>
            <w:hideMark/>
          </w:tcPr>
          <w:p w14:paraId="179494CF" w14:textId="2EC90DF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6,930</w:t>
            </w:r>
          </w:p>
        </w:tc>
        <w:tc>
          <w:tcPr>
            <w:tcW w:w="0" w:type="auto"/>
            <w:tcBorders>
              <w:top w:val="nil"/>
              <w:left w:val="nil"/>
              <w:bottom w:val="nil"/>
              <w:right w:val="nil"/>
            </w:tcBorders>
            <w:noWrap/>
            <w:vAlign w:val="center"/>
            <w:hideMark/>
          </w:tcPr>
          <w:p w14:paraId="3A1D904F"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3,008</w:t>
            </w:r>
          </w:p>
        </w:tc>
        <w:tc>
          <w:tcPr>
            <w:tcW w:w="0" w:type="auto"/>
            <w:tcBorders>
              <w:top w:val="nil"/>
              <w:left w:val="nil"/>
              <w:bottom w:val="nil"/>
              <w:right w:val="nil"/>
            </w:tcBorders>
            <w:noWrap/>
            <w:vAlign w:val="center"/>
            <w:hideMark/>
          </w:tcPr>
          <w:p w14:paraId="1B35E8A4"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43%</w:t>
            </w:r>
          </w:p>
        </w:tc>
        <w:tc>
          <w:tcPr>
            <w:tcW w:w="0" w:type="auto"/>
            <w:tcBorders>
              <w:top w:val="nil"/>
              <w:left w:val="nil"/>
              <w:bottom w:val="nil"/>
              <w:right w:val="nil"/>
            </w:tcBorders>
            <w:noWrap/>
            <w:vAlign w:val="bottom"/>
            <w:hideMark/>
          </w:tcPr>
          <w:p w14:paraId="7E2A890E"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35</w:t>
            </w:r>
          </w:p>
        </w:tc>
      </w:tr>
      <w:tr w:rsidR="005433D3" w:rsidRPr="005433D3" w14:paraId="3679B785" w14:textId="77777777" w:rsidTr="00736711">
        <w:trPr>
          <w:trHeight w:val="300"/>
        </w:trPr>
        <w:tc>
          <w:tcPr>
            <w:tcW w:w="0" w:type="auto"/>
            <w:tcBorders>
              <w:top w:val="nil"/>
              <w:left w:val="nil"/>
              <w:bottom w:val="nil"/>
              <w:right w:val="nil"/>
            </w:tcBorders>
            <w:noWrap/>
            <w:vAlign w:val="bottom"/>
            <w:hideMark/>
          </w:tcPr>
          <w:p w14:paraId="5C4D1DC3"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Lane Cove</w:t>
            </w:r>
          </w:p>
        </w:tc>
        <w:tc>
          <w:tcPr>
            <w:tcW w:w="0" w:type="auto"/>
            <w:tcBorders>
              <w:top w:val="nil"/>
              <w:left w:val="nil"/>
              <w:bottom w:val="nil"/>
              <w:right w:val="nil"/>
            </w:tcBorders>
            <w:noWrap/>
            <w:vAlign w:val="center"/>
            <w:hideMark/>
          </w:tcPr>
          <w:p w14:paraId="157BA666" w14:textId="3CFB9952"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1,247</w:t>
            </w:r>
          </w:p>
        </w:tc>
        <w:tc>
          <w:tcPr>
            <w:tcW w:w="0" w:type="auto"/>
            <w:tcBorders>
              <w:top w:val="nil"/>
              <w:left w:val="nil"/>
              <w:bottom w:val="nil"/>
              <w:right w:val="nil"/>
            </w:tcBorders>
            <w:noWrap/>
            <w:vAlign w:val="center"/>
            <w:hideMark/>
          </w:tcPr>
          <w:p w14:paraId="43AB4164"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548</w:t>
            </w:r>
          </w:p>
        </w:tc>
        <w:tc>
          <w:tcPr>
            <w:tcW w:w="0" w:type="auto"/>
            <w:tcBorders>
              <w:top w:val="nil"/>
              <w:left w:val="nil"/>
              <w:bottom w:val="nil"/>
              <w:right w:val="nil"/>
            </w:tcBorders>
            <w:noWrap/>
            <w:vAlign w:val="center"/>
            <w:hideMark/>
          </w:tcPr>
          <w:p w14:paraId="1BF864DC"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44%</w:t>
            </w:r>
          </w:p>
        </w:tc>
        <w:tc>
          <w:tcPr>
            <w:tcW w:w="0" w:type="auto"/>
            <w:tcBorders>
              <w:top w:val="nil"/>
              <w:left w:val="nil"/>
              <w:bottom w:val="nil"/>
              <w:right w:val="nil"/>
            </w:tcBorders>
            <w:noWrap/>
            <w:vAlign w:val="bottom"/>
            <w:hideMark/>
          </w:tcPr>
          <w:p w14:paraId="234202FF"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34</w:t>
            </w:r>
          </w:p>
        </w:tc>
      </w:tr>
      <w:tr w:rsidR="005433D3" w:rsidRPr="005433D3" w14:paraId="266170F9" w14:textId="77777777" w:rsidTr="00736711">
        <w:trPr>
          <w:trHeight w:val="300"/>
        </w:trPr>
        <w:tc>
          <w:tcPr>
            <w:tcW w:w="0" w:type="auto"/>
            <w:tcBorders>
              <w:top w:val="nil"/>
              <w:left w:val="nil"/>
              <w:bottom w:val="nil"/>
              <w:right w:val="nil"/>
            </w:tcBorders>
            <w:noWrap/>
            <w:vAlign w:val="bottom"/>
            <w:hideMark/>
          </w:tcPr>
          <w:p w14:paraId="76823CB5"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Randwick</w:t>
            </w:r>
          </w:p>
        </w:tc>
        <w:tc>
          <w:tcPr>
            <w:tcW w:w="0" w:type="auto"/>
            <w:tcBorders>
              <w:top w:val="nil"/>
              <w:left w:val="nil"/>
              <w:bottom w:val="nil"/>
              <w:right w:val="nil"/>
            </w:tcBorders>
            <w:noWrap/>
            <w:vAlign w:val="center"/>
            <w:hideMark/>
          </w:tcPr>
          <w:p w14:paraId="7D5FF252" w14:textId="755ADCC8"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1,467</w:t>
            </w:r>
          </w:p>
        </w:tc>
        <w:tc>
          <w:tcPr>
            <w:tcW w:w="0" w:type="auto"/>
            <w:tcBorders>
              <w:top w:val="nil"/>
              <w:left w:val="nil"/>
              <w:bottom w:val="nil"/>
              <w:right w:val="nil"/>
            </w:tcBorders>
            <w:noWrap/>
            <w:vAlign w:val="center"/>
            <w:hideMark/>
          </w:tcPr>
          <w:p w14:paraId="64E03CAE"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656</w:t>
            </w:r>
          </w:p>
        </w:tc>
        <w:tc>
          <w:tcPr>
            <w:tcW w:w="0" w:type="auto"/>
            <w:tcBorders>
              <w:top w:val="nil"/>
              <w:left w:val="nil"/>
              <w:bottom w:val="nil"/>
              <w:right w:val="nil"/>
            </w:tcBorders>
            <w:noWrap/>
            <w:vAlign w:val="center"/>
            <w:hideMark/>
          </w:tcPr>
          <w:p w14:paraId="0984DA06"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45%</w:t>
            </w:r>
          </w:p>
        </w:tc>
        <w:tc>
          <w:tcPr>
            <w:tcW w:w="0" w:type="auto"/>
            <w:tcBorders>
              <w:top w:val="nil"/>
              <w:left w:val="nil"/>
              <w:bottom w:val="nil"/>
              <w:right w:val="nil"/>
            </w:tcBorders>
            <w:noWrap/>
            <w:vAlign w:val="bottom"/>
            <w:hideMark/>
          </w:tcPr>
          <w:p w14:paraId="48ACC07E"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33</w:t>
            </w:r>
          </w:p>
        </w:tc>
      </w:tr>
      <w:tr w:rsidR="005433D3" w:rsidRPr="005433D3" w14:paraId="6D471127" w14:textId="77777777" w:rsidTr="00736711">
        <w:trPr>
          <w:trHeight w:val="300"/>
        </w:trPr>
        <w:tc>
          <w:tcPr>
            <w:tcW w:w="0" w:type="auto"/>
            <w:tcBorders>
              <w:top w:val="nil"/>
              <w:left w:val="nil"/>
              <w:bottom w:val="nil"/>
              <w:right w:val="nil"/>
            </w:tcBorders>
            <w:noWrap/>
            <w:vAlign w:val="bottom"/>
            <w:hideMark/>
          </w:tcPr>
          <w:p w14:paraId="0337DA13"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Northern Beaches</w:t>
            </w:r>
          </w:p>
        </w:tc>
        <w:tc>
          <w:tcPr>
            <w:tcW w:w="0" w:type="auto"/>
            <w:tcBorders>
              <w:top w:val="nil"/>
              <w:left w:val="nil"/>
              <w:bottom w:val="nil"/>
              <w:right w:val="nil"/>
            </w:tcBorders>
            <w:noWrap/>
            <w:vAlign w:val="center"/>
            <w:hideMark/>
          </w:tcPr>
          <w:p w14:paraId="10B5C7AC" w14:textId="343D819F"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2,163</w:t>
            </w:r>
          </w:p>
        </w:tc>
        <w:tc>
          <w:tcPr>
            <w:tcW w:w="0" w:type="auto"/>
            <w:tcBorders>
              <w:top w:val="nil"/>
              <w:left w:val="nil"/>
              <w:bottom w:val="nil"/>
              <w:right w:val="nil"/>
            </w:tcBorders>
            <w:noWrap/>
            <w:vAlign w:val="center"/>
            <w:hideMark/>
          </w:tcPr>
          <w:p w14:paraId="28B9D0E1"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994</w:t>
            </w:r>
          </w:p>
        </w:tc>
        <w:tc>
          <w:tcPr>
            <w:tcW w:w="0" w:type="auto"/>
            <w:tcBorders>
              <w:top w:val="nil"/>
              <w:left w:val="nil"/>
              <w:bottom w:val="nil"/>
              <w:right w:val="nil"/>
            </w:tcBorders>
            <w:noWrap/>
            <w:vAlign w:val="center"/>
            <w:hideMark/>
          </w:tcPr>
          <w:p w14:paraId="7B8F057A"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46%</w:t>
            </w:r>
          </w:p>
        </w:tc>
        <w:tc>
          <w:tcPr>
            <w:tcW w:w="0" w:type="auto"/>
            <w:tcBorders>
              <w:top w:val="nil"/>
              <w:left w:val="nil"/>
              <w:bottom w:val="nil"/>
              <w:right w:val="nil"/>
            </w:tcBorders>
            <w:noWrap/>
            <w:vAlign w:val="bottom"/>
            <w:hideMark/>
          </w:tcPr>
          <w:p w14:paraId="38D20CEF"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32</w:t>
            </w:r>
          </w:p>
        </w:tc>
      </w:tr>
      <w:tr w:rsidR="005433D3" w:rsidRPr="005433D3" w14:paraId="58199336" w14:textId="77777777" w:rsidTr="00736711">
        <w:trPr>
          <w:trHeight w:val="300"/>
        </w:trPr>
        <w:tc>
          <w:tcPr>
            <w:tcW w:w="0" w:type="auto"/>
            <w:tcBorders>
              <w:top w:val="nil"/>
              <w:left w:val="nil"/>
              <w:bottom w:val="nil"/>
              <w:right w:val="nil"/>
            </w:tcBorders>
            <w:noWrap/>
            <w:vAlign w:val="bottom"/>
            <w:hideMark/>
          </w:tcPr>
          <w:p w14:paraId="5A69E753"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Woollahra</w:t>
            </w:r>
          </w:p>
        </w:tc>
        <w:tc>
          <w:tcPr>
            <w:tcW w:w="0" w:type="auto"/>
            <w:tcBorders>
              <w:top w:val="nil"/>
              <w:left w:val="nil"/>
              <w:bottom w:val="nil"/>
              <w:right w:val="nil"/>
            </w:tcBorders>
            <w:noWrap/>
            <w:vAlign w:val="center"/>
            <w:hideMark/>
          </w:tcPr>
          <w:p w14:paraId="2BDC3332" w14:textId="14DCE56C"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697</w:t>
            </w:r>
          </w:p>
        </w:tc>
        <w:tc>
          <w:tcPr>
            <w:tcW w:w="0" w:type="auto"/>
            <w:tcBorders>
              <w:top w:val="nil"/>
              <w:left w:val="nil"/>
              <w:bottom w:val="nil"/>
              <w:right w:val="nil"/>
            </w:tcBorders>
            <w:noWrap/>
            <w:vAlign w:val="center"/>
            <w:hideMark/>
          </w:tcPr>
          <w:p w14:paraId="39A4C90D"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324</w:t>
            </w:r>
          </w:p>
        </w:tc>
        <w:tc>
          <w:tcPr>
            <w:tcW w:w="0" w:type="auto"/>
            <w:tcBorders>
              <w:top w:val="nil"/>
              <w:left w:val="nil"/>
              <w:bottom w:val="nil"/>
              <w:right w:val="nil"/>
            </w:tcBorders>
            <w:noWrap/>
            <w:vAlign w:val="center"/>
            <w:hideMark/>
          </w:tcPr>
          <w:p w14:paraId="01C1C0EF"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47%</w:t>
            </w:r>
          </w:p>
        </w:tc>
        <w:tc>
          <w:tcPr>
            <w:tcW w:w="0" w:type="auto"/>
            <w:tcBorders>
              <w:top w:val="nil"/>
              <w:left w:val="nil"/>
              <w:bottom w:val="nil"/>
              <w:right w:val="nil"/>
            </w:tcBorders>
            <w:noWrap/>
            <w:vAlign w:val="bottom"/>
            <w:hideMark/>
          </w:tcPr>
          <w:p w14:paraId="01132FB3"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31</w:t>
            </w:r>
          </w:p>
        </w:tc>
      </w:tr>
      <w:tr w:rsidR="005433D3" w:rsidRPr="005433D3" w14:paraId="32FEC121" w14:textId="77777777" w:rsidTr="00736711">
        <w:trPr>
          <w:trHeight w:val="300"/>
        </w:trPr>
        <w:tc>
          <w:tcPr>
            <w:tcW w:w="0" w:type="auto"/>
            <w:tcBorders>
              <w:top w:val="nil"/>
              <w:left w:val="nil"/>
              <w:bottom w:val="nil"/>
              <w:right w:val="nil"/>
            </w:tcBorders>
            <w:noWrap/>
            <w:vAlign w:val="bottom"/>
            <w:hideMark/>
          </w:tcPr>
          <w:p w14:paraId="68315D65"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Cumberland</w:t>
            </w:r>
          </w:p>
        </w:tc>
        <w:tc>
          <w:tcPr>
            <w:tcW w:w="0" w:type="auto"/>
            <w:tcBorders>
              <w:top w:val="nil"/>
              <w:left w:val="nil"/>
              <w:bottom w:val="nil"/>
              <w:right w:val="nil"/>
            </w:tcBorders>
            <w:noWrap/>
            <w:vAlign w:val="center"/>
            <w:hideMark/>
          </w:tcPr>
          <w:p w14:paraId="48D8D02C" w14:textId="10A1940F"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4,473</w:t>
            </w:r>
          </w:p>
        </w:tc>
        <w:tc>
          <w:tcPr>
            <w:tcW w:w="0" w:type="auto"/>
            <w:tcBorders>
              <w:top w:val="nil"/>
              <w:left w:val="nil"/>
              <w:bottom w:val="nil"/>
              <w:right w:val="nil"/>
            </w:tcBorders>
            <w:noWrap/>
            <w:vAlign w:val="center"/>
            <w:hideMark/>
          </w:tcPr>
          <w:p w14:paraId="40B6F1B7"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2,226</w:t>
            </w:r>
          </w:p>
        </w:tc>
        <w:tc>
          <w:tcPr>
            <w:tcW w:w="0" w:type="auto"/>
            <w:tcBorders>
              <w:top w:val="nil"/>
              <w:left w:val="nil"/>
              <w:bottom w:val="nil"/>
              <w:right w:val="nil"/>
            </w:tcBorders>
            <w:noWrap/>
            <w:vAlign w:val="center"/>
            <w:hideMark/>
          </w:tcPr>
          <w:p w14:paraId="4563C921"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50%</w:t>
            </w:r>
          </w:p>
        </w:tc>
        <w:tc>
          <w:tcPr>
            <w:tcW w:w="0" w:type="auto"/>
            <w:tcBorders>
              <w:top w:val="nil"/>
              <w:left w:val="nil"/>
              <w:bottom w:val="nil"/>
              <w:right w:val="nil"/>
            </w:tcBorders>
            <w:noWrap/>
            <w:vAlign w:val="bottom"/>
            <w:hideMark/>
          </w:tcPr>
          <w:p w14:paraId="2027D40D"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30</w:t>
            </w:r>
          </w:p>
        </w:tc>
      </w:tr>
      <w:tr w:rsidR="005433D3" w:rsidRPr="005433D3" w14:paraId="439416B1" w14:textId="77777777" w:rsidTr="00736711">
        <w:trPr>
          <w:trHeight w:val="300"/>
        </w:trPr>
        <w:tc>
          <w:tcPr>
            <w:tcW w:w="0" w:type="auto"/>
            <w:tcBorders>
              <w:top w:val="nil"/>
              <w:left w:val="nil"/>
              <w:bottom w:val="nil"/>
              <w:right w:val="nil"/>
            </w:tcBorders>
            <w:noWrap/>
            <w:vAlign w:val="bottom"/>
            <w:hideMark/>
          </w:tcPr>
          <w:p w14:paraId="7243D09F"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Canterbury-Bankstown</w:t>
            </w:r>
          </w:p>
        </w:tc>
        <w:tc>
          <w:tcPr>
            <w:tcW w:w="0" w:type="auto"/>
            <w:tcBorders>
              <w:top w:val="nil"/>
              <w:left w:val="nil"/>
              <w:bottom w:val="nil"/>
              <w:right w:val="nil"/>
            </w:tcBorders>
            <w:noWrap/>
            <w:vAlign w:val="center"/>
            <w:hideMark/>
          </w:tcPr>
          <w:p w14:paraId="2EA76876" w14:textId="6D18AEDA"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5,317</w:t>
            </w:r>
          </w:p>
        </w:tc>
        <w:tc>
          <w:tcPr>
            <w:tcW w:w="0" w:type="auto"/>
            <w:tcBorders>
              <w:top w:val="nil"/>
              <w:left w:val="nil"/>
              <w:bottom w:val="nil"/>
              <w:right w:val="nil"/>
            </w:tcBorders>
            <w:noWrap/>
            <w:vAlign w:val="center"/>
            <w:hideMark/>
          </w:tcPr>
          <w:p w14:paraId="675F44B7"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2,831</w:t>
            </w:r>
          </w:p>
        </w:tc>
        <w:tc>
          <w:tcPr>
            <w:tcW w:w="0" w:type="auto"/>
            <w:tcBorders>
              <w:top w:val="nil"/>
              <w:left w:val="nil"/>
              <w:bottom w:val="nil"/>
              <w:right w:val="nil"/>
            </w:tcBorders>
            <w:noWrap/>
            <w:vAlign w:val="center"/>
            <w:hideMark/>
          </w:tcPr>
          <w:p w14:paraId="4CDC161E"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53%</w:t>
            </w:r>
          </w:p>
        </w:tc>
        <w:tc>
          <w:tcPr>
            <w:tcW w:w="0" w:type="auto"/>
            <w:tcBorders>
              <w:top w:val="nil"/>
              <w:left w:val="nil"/>
              <w:bottom w:val="nil"/>
              <w:right w:val="nil"/>
            </w:tcBorders>
            <w:noWrap/>
            <w:vAlign w:val="bottom"/>
            <w:hideMark/>
          </w:tcPr>
          <w:p w14:paraId="32495D7B"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29</w:t>
            </w:r>
          </w:p>
        </w:tc>
      </w:tr>
      <w:tr w:rsidR="005433D3" w:rsidRPr="005433D3" w14:paraId="22BB68FE" w14:textId="77777777" w:rsidTr="00736711">
        <w:trPr>
          <w:trHeight w:val="300"/>
        </w:trPr>
        <w:tc>
          <w:tcPr>
            <w:tcW w:w="0" w:type="auto"/>
            <w:tcBorders>
              <w:top w:val="nil"/>
              <w:left w:val="nil"/>
              <w:bottom w:val="nil"/>
              <w:right w:val="nil"/>
            </w:tcBorders>
            <w:noWrap/>
            <w:vAlign w:val="bottom"/>
            <w:hideMark/>
          </w:tcPr>
          <w:p w14:paraId="23376A6E"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Georges River</w:t>
            </w:r>
          </w:p>
        </w:tc>
        <w:tc>
          <w:tcPr>
            <w:tcW w:w="0" w:type="auto"/>
            <w:tcBorders>
              <w:top w:val="nil"/>
              <w:left w:val="nil"/>
              <w:bottom w:val="nil"/>
              <w:right w:val="nil"/>
            </w:tcBorders>
            <w:noWrap/>
            <w:vAlign w:val="center"/>
            <w:hideMark/>
          </w:tcPr>
          <w:p w14:paraId="1FFAC78B" w14:textId="7461DE02"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2,310</w:t>
            </w:r>
          </w:p>
        </w:tc>
        <w:tc>
          <w:tcPr>
            <w:tcW w:w="0" w:type="auto"/>
            <w:tcBorders>
              <w:top w:val="nil"/>
              <w:left w:val="nil"/>
              <w:bottom w:val="nil"/>
              <w:right w:val="nil"/>
            </w:tcBorders>
            <w:noWrap/>
            <w:vAlign w:val="center"/>
            <w:hideMark/>
          </w:tcPr>
          <w:p w14:paraId="72C5E135"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1,239</w:t>
            </w:r>
          </w:p>
        </w:tc>
        <w:tc>
          <w:tcPr>
            <w:tcW w:w="0" w:type="auto"/>
            <w:tcBorders>
              <w:top w:val="nil"/>
              <w:left w:val="nil"/>
              <w:bottom w:val="nil"/>
              <w:right w:val="nil"/>
            </w:tcBorders>
            <w:noWrap/>
            <w:vAlign w:val="center"/>
            <w:hideMark/>
          </w:tcPr>
          <w:p w14:paraId="2C5D938F"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54%</w:t>
            </w:r>
          </w:p>
        </w:tc>
        <w:tc>
          <w:tcPr>
            <w:tcW w:w="0" w:type="auto"/>
            <w:tcBorders>
              <w:top w:val="nil"/>
              <w:left w:val="nil"/>
              <w:bottom w:val="nil"/>
              <w:right w:val="nil"/>
            </w:tcBorders>
            <w:noWrap/>
            <w:vAlign w:val="bottom"/>
            <w:hideMark/>
          </w:tcPr>
          <w:p w14:paraId="1CF29E9B"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28</w:t>
            </w:r>
          </w:p>
        </w:tc>
      </w:tr>
      <w:tr w:rsidR="005433D3" w:rsidRPr="005433D3" w14:paraId="0794B255" w14:textId="77777777" w:rsidTr="00736711">
        <w:trPr>
          <w:trHeight w:val="300"/>
        </w:trPr>
        <w:tc>
          <w:tcPr>
            <w:tcW w:w="0" w:type="auto"/>
            <w:tcBorders>
              <w:top w:val="nil"/>
              <w:left w:val="nil"/>
              <w:bottom w:val="nil"/>
              <w:right w:val="nil"/>
            </w:tcBorders>
            <w:noWrap/>
            <w:vAlign w:val="bottom"/>
            <w:hideMark/>
          </w:tcPr>
          <w:p w14:paraId="0AB79319"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Inner West</w:t>
            </w:r>
          </w:p>
        </w:tc>
        <w:tc>
          <w:tcPr>
            <w:tcW w:w="0" w:type="auto"/>
            <w:tcBorders>
              <w:top w:val="nil"/>
              <w:left w:val="nil"/>
              <w:bottom w:val="nil"/>
              <w:right w:val="nil"/>
            </w:tcBorders>
            <w:noWrap/>
            <w:vAlign w:val="center"/>
            <w:hideMark/>
          </w:tcPr>
          <w:p w14:paraId="3F92C9C0" w14:textId="282AB2E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2,860</w:t>
            </w:r>
          </w:p>
        </w:tc>
        <w:tc>
          <w:tcPr>
            <w:tcW w:w="0" w:type="auto"/>
            <w:tcBorders>
              <w:top w:val="nil"/>
              <w:left w:val="nil"/>
              <w:bottom w:val="nil"/>
              <w:right w:val="nil"/>
            </w:tcBorders>
            <w:noWrap/>
            <w:vAlign w:val="center"/>
            <w:hideMark/>
          </w:tcPr>
          <w:p w14:paraId="7D528FE8"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1,604</w:t>
            </w:r>
          </w:p>
        </w:tc>
        <w:tc>
          <w:tcPr>
            <w:tcW w:w="0" w:type="auto"/>
            <w:tcBorders>
              <w:top w:val="nil"/>
              <w:left w:val="nil"/>
              <w:bottom w:val="nil"/>
              <w:right w:val="nil"/>
            </w:tcBorders>
            <w:noWrap/>
            <w:vAlign w:val="center"/>
            <w:hideMark/>
          </w:tcPr>
          <w:p w14:paraId="6367AA38"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56%</w:t>
            </w:r>
          </w:p>
        </w:tc>
        <w:tc>
          <w:tcPr>
            <w:tcW w:w="0" w:type="auto"/>
            <w:tcBorders>
              <w:top w:val="nil"/>
              <w:left w:val="nil"/>
              <w:bottom w:val="nil"/>
              <w:right w:val="nil"/>
            </w:tcBorders>
            <w:noWrap/>
            <w:vAlign w:val="bottom"/>
            <w:hideMark/>
          </w:tcPr>
          <w:p w14:paraId="1AFA18C3"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27</w:t>
            </w:r>
          </w:p>
        </w:tc>
      </w:tr>
      <w:tr w:rsidR="005433D3" w:rsidRPr="005433D3" w14:paraId="0116410B" w14:textId="77777777" w:rsidTr="00736711">
        <w:trPr>
          <w:trHeight w:val="300"/>
        </w:trPr>
        <w:tc>
          <w:tcPr>
            <w:tcW w:w="0" w:type="auto"/>
            <w:tcBorders>
              <w:top w:val="nil"/>
              <w:left w:val="nil"/>
              <w:bottom w:val="nil"/>
              <w:right w:val="nil"/>
            </w:tcBorders>
            <w:noWrap/>
            <w:vAlign w:val="bottom"/>
            <w:hideMark/>
          </w:tcPr>
          <w:p w14:paraId="6E8A10E9"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Bayside</w:t>
            </w:r>
          </w:p>
        </w:tc>
        <w:tc>
          <w:tcPr>
            <w:tcW w:w="0" w:type="auto"/>
            <w:tcBorders>
              <w:top w:val="nil"/>
              <w:left w:val="nil"/>
              <w:bottom w:val="nil"/>
              <w:right w:val="nil"/>
            </w:tcBorders>
            <w:noWrap/>
            <w:vAlign w:val="center"/>
            <w:hideMark/>
          </w:tcPr>
          <w:p w14:paraId="41B7B707" w14:textId="60A0A813"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3,703</w:t>
            </w:r>
          </w:p>
        </w:tc>
        <w:tc>
          <w:tcPr>
            <w:tcW w:w="0" w:type="auto"/>
            <w:tcBorders>
              <w:top w:val="nil"/>
              <w:left w:val="nil"/>
              <w:bottom w:val="nil"/>
              <w:right w:val="nil"/>
            </w:tcBorders>
            <w:noWrap/>
            <w:vAlign w:val="center"/>
            <w:hideMark/>
          </w:tcPr>
          <w:p w14:paraId="3FF54F1A"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2,117</w:t>
            </w:r>
          </w:p>
        </w:tc>
        <w:tc>
          <w:tcPr>
            <w:tcW w:w="0" w:type="auto"/>
            <w:tcBorders>
              <w:top w:val="nil"/>
              <w:left w:val="nil"/>
              <w:bottom w:val="nil"/>
              <w:right w:val="nil"/>
            </w:tcBorders>
            <w:noWrap/>
            <w:vAlign w:val="center"/>
            <w:hideMark/>
          </w:tcPr>
          <w:p w14:paraId="40E85DD4"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57%</w:t>
            </w:r>
          </w:p>
        </w:tc>
        <w:tc>
          <w:tcPr>
            <w:tcW w:w="0" w:type="auto"/>
            <w:tcBorders>
              <w:top w:val="nil"/>
              <w:left w:val="nil"/>
              <w:bottom w:val="nil"/>
              <w:right w:val="nil"/>
            </w:tcBorders>
            <w:noWrap/>
            <w:vAlign w:val="bottom"/>
            <w:hideMark/>
          </w:tcPr>
          <w:p w14:paraId="2D646F80"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26</w:t>
            </w:r>
          </w:p>
        </w:tc>
      </w:tr>
      <w:tr w:rsidR="005433D3" w:rsidRPr="005433D3" w14:paraId="70941C8C" w14:textId="77777777" w:rsidTr="00736711">
        <w:trPr>
          <w:trHeight w:val="300"/>
        </w:trPr>
        <w:tc>
          <w:tcPr>
            <w:tcW w:w="0" w:type="auto"/>
            <w:tcBorders>
              <w:top w:val="nil"/>
              <w:left w:val="nil"/>
              <w:bottom w:val="nil"/>
              <w:right w:val="nil"/>
            </w:tcBorders>
            <w:noWrap/>
            <w:vAlign w:val="bottom"/>
            <w:hideMark/>
          </w:tcPr>
          <w:p w14:paraId="4DC9F7AC"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Blacktown</w:t>
            </w:r>
          </w:p>
        </w:tc>
        <w:tc>
          <w:tcPr>
            <w:tcW w:w="0" w:type="auto"/>
            <w:tcBorders>
              <w:top w:val="nil"/>
              <w:left w:val="nil"/>
              <w:bottom w:val="nil"/>
              <w:right w:val="nil"/>
            </w:tcBorders>
            <w:noWrap/>
            <w:vAlign w:val="center"/>
            <w:hideMark/>
          </w:tcPr>
          <w:p w14:paraId="582F4F8F" w14:textId="184F275C"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7,847</w:t>
            </w:r>
          </w:p>
        </w:tc>
        <w:tc>
          <w:tcPr>
            <w:tcW w:w="0" w:type="auto"/>
            <w:tcBorders>
              <w:top w:val="nil"/>
              <w:left w:val="nil"/>
              <w:bottom w:val="nil"/>
              <w:right w:val="nil"/>
            </w:tcBorders>
            <w:noWrap/>
            <w:vAlign w:val="center"/>
            <w:hideMark/>
          </w:tcPr>
          <w:p w14:paraId="2A0C1098"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4,522</w:t>
            </w:r>
          </w:p>
        </w:tc>
        <w:tc>
          <w:tcPr>
            <w:tcW w:w="0" w:type="auto"/>
            <w:tcBorders>
              <w:top w:val="nil"/>
              <w:left w:val="nil"/>
              <w:bottom w:val="nil"/>
              <w:right w:val="nil"/>
            </w:tcBorders>
            <w:noWrap/>
            <w:vAlign w:val="center"/>
            <w:hideMark/>
          </w:tcPr>
          <w:p w14:paraId="2BE5636C"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58%</w:t>
            </w:r>
          </w:p>
        </w:tc>
        <w:tc>
          <w:tcPr>
            <w:tcW w:w="0" w:type="auto"/>
            <w:tcBorders>
              <w:top w:val="nil"/>
              <w:left w:val="nil"/>
              <w:bottom w:val="nil"/>
              <w:right w:val="nil"/>
            </w:tcBorders>
            <w:noWrap/>
            <w:vAlign w:val="bottom"/>
            <w:hideMark/>
          </w:tcPr>
          <w:p w14:paraId="1A23F5A9"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25</w:t>
            </w:r>
          </w:p>
        </w:tc>
      </w:tr>
      <w:tr w:rsidR="005433D3" w:rsidRPr="005433D3" w14:paraId="7E7526AA" w14:textId="77777777" w:rsidTr="00736711">
        <w:trPr>
          <w:trHeight w:val="300"/>
        </w:trPr>
        <w:tc>
          <w:tcPr>
            <w:tcW w:w="0" w:type="auto"/>
            <w:tcBorders>
              <w:top w:val="nil"/>
              <w:left w:val="nil"/>
              <w:bottom w:val="nil"/>
              <w:right w:val="nil"/>
            </w:tcBorders>
            <w:noWrap/>
            <w:vAlign w:val="bottom"/>
            <w:hideMark/>
          </w:tcPr>
          <w:p w14:paraId="7D1823FC" w14:textId="77777777" w:rsidR="005433D3" w:rsidRPr="005433D3" w:rsidRDefault="005433D3" w:rsidP="005433D3">
            <w:pPr>
              <w:spacing w:after="0" w:line="240" w:lineRule="auto"/>
              <w:rPr>
                <w:rFonts w:ascii="Calibri" w:eastAsia="Times New Roman" w:hAnsi="Calibri" w:cs="Calibri"/>
                <w:color w:val="000000"/>
                <w:lang w:eastAsia="en-AU"/>
              </w:rPr>
            </w:pPr>
            <w:r w:rsidRPr="005433D3">
              <w:rPr>
                <w:rFonts w:ascii="Calibri" w:eastAsia="Times New Roman" w:hAnsi="Calibri" w:cs="Calibri"/>
                <w:color w:val="000000"/>
                <w:lang w:eastAsia="en-AU"/>
              </w:rPr>
              <w:t>Kiama</w:t>
            </w:r>
          </w:p>
        </w:tc>
        <w:tc>
          <w:tcPr>
            <w:tcW w:w="0" w:type="auto"/>
            <w:tcBorders>
              <w:top w:val="nil"/>
              <w:left w:val="nil"/>
              <w:bottom w:val="nil"/>
              <w:right w:val="nil"/>
            </w:tcBorders>
            <w:noWrap/>
            <w:vAlign w:val="center"/>
            <w:hideMark/>
          </w:tcPr>
          <w:p w14:paraId="222987F0" w14:textId="02AB02C6"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330</w:t>
            </w:r>
          </w:p>
        </w:tc>
        <w:tc>
          <w:tcPr>
            <w:tcW w:w="0" w:type="auto"/>
            <w:tcBorders>
              <w:top w:val="nil"/>
              <w:left w:val="nil"/>
              <w:bottom w:val="nil"/>
              <w:right w:val="nil"/>
            </w:tcBorders>
            <w:noWrap/>
            <w:vAlign w:val="center"/>
            <w:hideMark/>
          </w:tcPr>
          <w:p w14:paraId="2E50D2BD" w14:textId="17657E79"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193</w:t>
            </w:r>
          </w:p>
        </w:tc>
        <w:tc>
          <w:tcPr>
            <w:tcW w:w="0" w:type="auto"/>
            <w:tcBorders>
              <w:top w:val="nil"/>
              <w:left w:val="nil"/>
              <w:bottom w:val="nil"/>
              <w:right w:val="nil"/>
            </w:tcBorders>
            <w:noWrap/>
            <w:vAlign w:val="center"/>
            <w:hideMark/>
          </w:tcPr>
          <w:p w14:paraId="6DB15A40" w14:textId="77777777" w:rsidR="005433D3" w:rsidRPr="005433D3" w:rsidRDefault="005433D3" w:rsidP="00736711">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58%</w:t>
            </w:r>
          </w:p>
        </w:tc>
        <w:tc>
          <w:tcPr>
            <w:tcW w:w="0" w:type="auto"/>
            <w:tcBorders>
              <w:top w:val="nil"/>
              <w:left w:val="nil"/>
              <w:bottom w:val="nil"/>
              <w:right w:val="nil"/>
            </w:tcBorders>
            <w:noWrap/>
            <w:vAlign w:val="bottom"/>
            <w:hideMark/>
          </w:tcPr>
          <w:p w14:paraId="47E02EED" w14:textId="77777777" w:rsidR="005433D3" w:rsidRPr="005433D3" w:rsidRDefault="005433D3" w:rsidP="005433D3">
            <w:pPr>
              <w:spacing w:after="0" w:line="240" w:lineRule="auto"/>
              <w:jc w:val="center"/>
              <w:rPr>
                <w:rFonts w:ascii="Calibri" w:eastAsia="Times New Roman" w:hAnsi="Calibri" w:cs="Calibri"/>
                <w:color w:val="000000"/>
                <w:lang w:eastAsia="en-AU"/>
              </w:rPr>
            </w:pPr>
            <w:r w:rsidRPr="005433D3">
              <w:rPr>
                <w:rFonts w:ascii="Calibri" w:eastAsia="Times New Roman" w:hAnsi="Calibri" w:cs="Calibri"/>
                <w:color w:val="000000"/>
                <w:lang w:eastAsia="en-AU"/>
              </w:rPr>
              <w:t>24</w:t>
            </w:r>
          </w:p>
        </w:tc>
      </w:tr>
    </w:tbl>
    <w:p w14:paraId="5E598AEA" w14:textId="77777777" w:rsidR="005433D3" w:rsidRDefault="005433D3" w:rsidP="00E03FD9"/>
    <w:p w14:paraId="548E14F6" w14:textId="77777777" w:rsidR="001B47F0" w:rsidRDefault="001B47F0" w:rsidP="00E03FD9"/>
    <w:p w14:paraId="6BA08569" w14:textId="183304B3" w:rsidR="00062196" w:rsidRDefault="00E87B7D" w:rsidP="00CC4AAF">
      <w:pPr>
        <w:pStyle w:val="Heading2"/>
      </w:pPr>
      <w:bookmarkStart w:id="13" w:name="_Toc232413263"/>
      <w:r>
        <w:t>Affordable housing requirements</w:t>
      </w:r>
      <w:bookmarkEnd w:id="13"/>
    </w:p>
    <w:p w14:paraId="7C2286C7" w14:textId="7F0213FA" w:rsidR="005E71C3" w:rsidRPr="005E71C3" w:rsidRDefault="008E34F0" w:rsidP="005E71C3">
      <w:pPr>
        <w:rPr>
          <w:rFonts w:cstheme="minorHAnsi"/>
        </w:rPr>
      </w:pPr>
      <w:r>
        <w:rPr>
          <w:rFonts w:cstheme="minorHAnsi"/>
        </w:rPr>
        <w:t xml:space="preserve">Arguably the </w:t>
      </w:r>
      <w:r w:rsidR="00A7142F">
        <w:rPr>
          <w:rFonts w:cstheme="minorHAnsi"/>
        </w:rPr>
        <w:t xml:space="preserve">greatest weakness in recent state government </w:t>
      </w:r>
      <w:r w:rsidR="000F427B">
        <w:rPr>
          <w:rFonts w:cstheme="minorHAnsi"/>
        </w:rPr>
        <w:t>endeavours</w:t>
      </w:r>
      <w:r w:rsidR="00A7142F">
        <w:rPr>
          <w:rFonts w:cstheme="minorHAnsi"/>
        </w:rPr>
        <w:t xml:space="preserve"> to increase housing supply</w:t>
      </w:r>
      <w:r w:rsidR="000F427B">
        <w:rPr>
          <w:rFonts w:cstheme="minorHAnsi"/>
        </w:rPr>
        <w:t xml:space="preserve"> is the requirement that new</w:t>
      </w:r>
      <w:r w:rsidR="00635843">
        <w:rPr>
          <w:rFonts w:cstheme="minorHAnsi"/>
        </w:rPr>
        <w:t xml:space="preserve"> housing include a substantial </w:t>
      </w:r>
      <w:r w:rsidR="003B2C0E">
        <w:rPr>
          <w:rFonts w:cstheme="minorHAnsi"/>
        </w:rPr>
        <w:t>‘</w:t>
      </w:r>
      <w:r w:rsidR="00635843">
        <w:rPr>
          <w:rFonts w:cstheme="minorHAnsi"/>
        </w:rPr>
        <w:t>affordable</w:t>
      </w:r>
      <w:r w:rsidR="003B2C0E">
        <w:rPr>
          <w:rFonts w:cstheme="minorHAnsi"/>
        </w:rPr>
        <w:t>’</w:t>
      </w:r>
      <w:r w:rsidR="00635843">
        <w:rPr>
          <w:rFonts w:cstheme="minorHAnsi"/>
        </w:rPr>
        <w:t xml:space="preserve"> component.</w:t>
      </w:r>
      <w:r w:rsidR="00AC6BE6">
        <w:rPr>
          <w:rFonts w:cstheme="minorHAnsi"/>
        </w:rPr>
        <w:t xml:space="preserve">  This </w:t>
      </w:r>
      <w:r w:rsidR="009364C1">
        <w:rPr>
          <w:rFonts w:cstheme="minorHAnsi"/>
        </w:rPr>
        <w:t xml:space="preserve">reflects </w:t>
      </w:r>
      <w:r w:rsidR="005E71C3" w:rsidRPr="005E71C3">
        <w:rPr>
          <w:rFonts w:cstheme="minorHAnsi"/>
        </w:rPr>
        <w:t>widespread misunderstanding, regularly amplified in the media.</w:t>
      </w:r>
    </w:p>
    <w:p w14:paraId="5756F291" w14:textId="0DC550EA" w:rsidR="00E87B7D" w:rsidRDefault="002E68CF" w:rsidP="009C6444">
      <w:pPr>
        <w:rPr>
          <w:rFonts w:cstheme="minorHAnsi"/>
        </w:rPr>
      </w:pPr>
      <w:r>
        <w:rPr>
          <w:rFonts w:cstheme="minorHAnsi"/>
        </w:rPr>
        <w:t>Affordable housing requirements are</w:t>
      </w:r>
      <w:r w:rsidR="00AC6BE6">
        <w:rPr>
          <w:rFonts w:cstheme="minorHAnsi"/>
        </w:rPr>
        <w:t xml:space="preserve"> </w:t>
      </w:r>
      <w:r w:rsidR="005E71C3">
        <w:rPr>
          <w:rFonts w:cstheme="minorHAnsi"/>
        </w:rPr>
        <w:t xml:space="preserve">counterproductive. They are </w:t>
      </w:r>
      <w:r w:rsidR="00AC6BE6">
        <w:rPr>
          <w:rFonts w:cstheme="minorHAnsi"/>
        </w:rPr>
        <w:t>a tax on development</w:t>
      </w:r>
      <w:r w:rsidR="00C21937">
        <w:rPr>
          <w:rFonts w:cstheme="minorHAnsi"/>
        </w:rPr>
        <w:t xml:space="preserve"> that impair</w:t>
      </w:r>
      <w:r w:rsidR="00EC3C98">
        <w:rPr>
          <w:rFonts w:cstheme="minorHAnsi"/>
        </w:rPr>
        <w:t>s</w:t>
      </w:r>
      <w:r w:rsidR="00C21937">
        <w:rPr>
          <w:rFonts w:cstheme="minorHAnsi"/>
        </w:rPr>
        <w:t xml:space="preserve"> feasibility, reduce</w:t>
      </w:r>
      <w:r w:rsidR="00EC3C98">
        <w:rPr>
          <w:rFonts w:cstheme="minorHAnsi"/>
        </w:rPr>
        <w:t>s</w:t>
      </w:r>
      <w:r w:rsidR="00C21937">
        <w:rPr>
          <w:rFonts w:cstheme="minorHAnsi"/>
        </w:rPr>
        <w:t xml:space="preserve"> supply and hence worsen</w:t>
      </w:r>
      <w:r w:rsidR="00EC3C98">
        <w:rPr>
          <w:rFonts w:cstheme="minorHAnsi"/>
        </w:rPr>
        <w:t>s</w:t>
      </w:r>
      <w:r>
        <w:rPr>
          <w:rFonts w:cstheme="minorHAnsi"/>
        </w:rPr>
        <w:t xml:space="preserve"> overall affordability.</w:t>
      </w:r>
      <w:r w:rsidR="00606F2B">
        <w:rPr>
          <w:rFonts w:cstheme="minorHAnsi"/>
        </w:rPr>
        <w:t xml:space="preserve"> </w:t>
      </w:r>
      <w:r w:rsidR="00563021">
        <w:rPr>
          <w:rFonts w:cstheme="minorHAnsi"/>
        </w:rPr>
        <w:t>Some examples:</w:t>
      </w:r>
    </w:p>
    <w:p w14:paraId="4E11D81C" w14:textId="4764D341" w:rsidR="00BA4FB2" w:rsidRDefault="00654909" w:rsidP="001B47F0">
      <w:pPr>
        <w:keepNext/>
        <w:keepLines/>
        <w:rPr>
          <w:rFonts w:cstheme="minorHAnsi"/>
        </w:rPr>
      </w:pPr>
      <w:r>
        <w:rPr>
          <w:rFonts w:cstheme="minorHAnsi"/>
        </w:rPr>
        <w:lastRenderedPageBreak/>
        <w:t>I</w:t>
      </w:r>
      <w:r w:rsidRPr="00BA4FB2">
        <w:rPr>
          <w:rFonts w:cstheme="minorHAnsi"/>
        </w:rPr>
        <w:t>n 2021</w:t>
      </w:r>
      <w:r w:rsidR="00FA67B5">
        <w:rPr>
          <w:rFonts w:cstheme="minorHAnsi"/>
        </w:rPr>
        <w:t xml:space="preserve">, </w:t>
      </w:r>
      <w:r w:rsidR="00BA4FB2" w:rsidRPr="00BA4FB2">
        <w:rPr>
          <w:rFonts w:cstheme="minorHAnsi"/>
        </w:rPr>
        <w:t>Portland, Maine</w:t>
      </w:r>
      <w:r w:rsidR="002714B6">
        <w:rPr>
          <w:rFonts w:cstheme="minorHAnsi"/>
        </w:rPr>
        <w:t xml:space="preserve">’s </w:t>
      </w:r>
      <w:r w:rsidR="006864CD">
        <w:rPr>
          <w:rFonts w:cstheme="minorHAnsi"/>
        </w:rPr>
        <w:t>‘</w:t>
      </w:r>
      <w:r w:rsidR="002714B6">
        <w:rPr>
          <w:rFonts w:cstheme="minorHAnsi"/>
        </w:rPr>
        <w:t>inclusionary zoning</w:t>
      </w:r>
      <w:r w:rsidR="006864CD">
        <w:rPr>
          <w:rFonts w:cstheme="minorHAnsi"/>
        </w:rPr>
        <w:t>’</w:t>
      </w:r>
      <w:r w:rsidR="002714B6">
        <w:rPr>
          <w:rFonts w:cstheme="minorHAnsi"/>
        </w:rPr>
        <w:t xml:space="preserve"> (IZ)</w:t>
      </w:r>
      <w:r w:rsidR="00BA4FB2" w:rsidRPr="00BA4FB2">
        <w:rPr>
          <w:rFonts w:cstheme="minorHAnsi"/>
        </w:rPr>
        <w:t xml:space="preserve"> required that 25% of new housing be affordable.</w:t>
      </w:r>
      <w:r w:rsidR="00FA67B5">
        <w:rPr>
          <w:rFonts w:cstheme="minorHAnsi"/>
        </w:rPr>
        <w:t xml:space="preserve"> Construction collapsed.</w:t>
      </w:r>
      <w:r w:rsidR="00F25355">
        <w:rPr>
          <w:rFonts w:cstheme="minorHAnsi"/>
        </w:rPr>
        <w:t xml:space="preserve"> </w:t>
      </w:r>
    </w:p>
    <w:p w14:paraId="08D3BB4B" w14:textId="42A69A2E" w:rsidR="000A7BD1" w:rsidRDefault="008214E6" w:rsidP="00D3422C">
      <w:pPr>
        <w:spacing w:after="0" w:line="240" w:lineRule="auto"/>
        <w:rPr>
          <w:rFonts w:cstheme="minorHAnsi"/>
        </w:rPr>
      </w:pPr>
      <w:r w:rsidRPr="008214E6">
        <w:rPr>
          <w:rFonts w:cstheme="minorHAnsi"/>
          <w:noProof/>
        </w:rPr>
        <w:drawing>
          <wp:inline distT="0" distB="0" distL="0" distR="0" wp14:anchorId="29502D5F" wp14:editId="35515851">
            <wp:extent cx="5731510" cy="2426970"/>
            <wp:effectExtent l="0" t="0" r="2540" b="0"/>
            <wp:docPr id="1949616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16682" name=""/>
                    <pic:cNvPicPr/>
                  </pic:nvPicPr>
                  <pic:blipFill>
                    <a:blip r:embed="rId53"/>
                    <a:stretch>
                      <a:fillRect/>
                    </a:stretch>
                  </pic:blipFill>
                  <pic:spPr>
                    <a:xfrm>
                      <a:off x="0" y="0"/>
                      <a:ext cx="5731510" cy="2426970"/>
                    </a:xfrm>
                    <a:prstGeom prst="rect">
                      <a:avLst/>
                    </a:prstGeom>
                  </pic:spPr>
                </pic:pic>
              </a:graphicData>
            </a:graphic>
          </wp:inline>
        </w:drawing>
      </w:r>
    </w:p>
    <w:p w14:paraId="462140FB" w14:textId="48CADF97" w:rsidR="00D3422C" w:rsidRPr="00D3422C" w:rsidRDefault="00D3422C" w:rsidP="00D3422C">
      <w:pPr>
        <w:jc w:val="right"/>
        <w:rPr>
          <w:rFonts w:cstheme="minorHAnsi"/>
          <w:sz w:val="18"/>
          <w:szCs w:val="18"/>
        </w:rPr>
      </w:pPr>
      <w:r w:rsidRPr="00D3422C">
        <w:rPr>
          <w:rFonts w:cstheme="minorHAnsi"/>
          <w:sz w:val="18"/>
          <w:szCs w:val="18"/>
        </w:rPr>
        <w:t xml:space="preserve">Source: </w:t>
      </w:r>
      <w:hyperlink r:id="rId54" w:history="1">
        <w:r w:rsidRPr="00D3422C">
          <w:rPr>
            <w:rStyle w:val="Hyperlink"/>
            <w:rFonts w:cstheme="minorHAnsi"/>
            <w:sz w:val="18"/>
            <w:szCs w:val="18"/>
          </w:rPr>
          <w:t>2024 Housing Report</w:t>
        </w:r>
      </w:hyperlink>
      <w:r w:rsidRPr="00D3422C">
        <w:rPr>
          <w:rFonts w:cstheme="minorHAnsi"/>
          <w:sz w:val="18"/>
          <w:szCs w:val="18"/>
        </w:rPr>
        <w:t>, City of Portland p18</w:t>
      </w:r>
    </w:p>
    <w:p w14:paraId="39F57A47" w14:textId="312A81DB" w:rsidR="0076697C" w:rsidRDefault="003B5E91" w:rsidP="009C6444">
      <w:pPr>
        <w:rPr>
          <w:rFonts w:cstheme="minorHAnsi"/>
        </w:rPr>
      </w:pPr>
      <w:r w:rsidRPr="003B5E91">
        <w:rPr>
          <w:rFonts w:cstheme="minorHAnsi"/>
        </w:rPr>
        <w:t xml:space="preserve">In 2019, Seattle’s </w:t>
      </w:r>
      <w:r w:rsidR="006864CD">
        <w:rPr>
          <w:rFonts w:cstheme="minorHAnsi"/>
        </w:rPr>
        <w:t>‘</w:t>
      </w:r>
      <w:r w:rsidRPr="003B5E91">
        <w:rPr>
          <w:rFonts w:cstheme="minorHAnsi"/>
        </w:rPr>
        <w:t>mandatory housing affordability</w:t>
      </w:r>
      <w:r w:rsidR="006864CD">
        <w:rPr>
          <w:rFonts w:cstheme="minorHAnsi"/>
        </w:rPr>
        <w:t>’</w:t>
      </w:r>
      <w:r w:rsidRPr="003B5E91">
        <w:rPr>
          <w:rFonts w:cstheme="minorHAnsi"/>
        </w:rPr>
        <w:t xml:space="preserve"> (MHA) required builders to include subsidised components in medium density projects. Construction </w:t>
      </w:r>
      <w:r w:rsidR="00B96D13">
        <w:rPr>
          <w:rFonts w:cstheme="minorHAnsi"/>
        </w:rPr>
        <w:t xml:space="preserve">also </w:t>
      </w:r>
      <w:r w:rsidRPr="003B5E91">
        <w:rPr>
          <w:rFonts w:cstheme="minorHAnsi"/>
        </w:rPr>
        <w:t xml:space="preserve">collapsed. </w:t>
      </w:r>
    </w:p>
    <w:p w14:paraId="16AE9C9D" w14:textId="59DAE552" w:rsidR="009D5036" w:rsidRDefault="009D5036" w:rsidP="00D3422C">
      <w:pPr>
        <w:spacing w:after="0"/>
        <w:rPr>
          <w:rFonts w:cstheme="minorHAnsi"/>
        </w:rPr>
      </w:pPr>
      <w:r>
        <w:rPr>
          <w:noProof/>
        </w:rPr>
        <w:drawing>
          <wp:inline distT="0" distB="0" distL="0" distR="0" wp14:anchorId="327B4C27" wp14:editId="25F79DC5">
            <wp:extent cx="5731510" cy="3569970"/>
            <wp:effectExtent l="0" t="0" r="2540" b="0"/>
            <wp:docPr id="29373080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1510" cy="3569970"/>
                    </a:xfrm>
                    <a:prstGeom prst="rect">
                      <a:avLst/>
                    </a:prstGeom>
                    <a:noFill/>
                    <a:ln>
                      <a:noFill/>
                    </a:ln>
                  </pic:spPr>
                </pic:pic>
              </a:graphicData>
            </a:graphic>
          </wp:inline>
        </w:drawing>
      </w:r>
    </w:p>
    <w:p w14:paraId="1F82EC93" w14:textId="086A1CF8" w:rsidR="00D3422C" w:rsidRPr="00C41C14" w:rsidRDefault="00D3422C" w:rsidP="00D3422C">
      <w:pPr>
        <w:spacing w:line="240" w:lineRule="auto"/>
        <w:jc w:val="right"/>
        <w:rPr>
          <w:sz w:val="18"/>
          <w:szCs w:val="18"/>
          <w:lang w:val="fr-CA"/>
        </w:rPr>
      </w:pPr>
      <w:r w:rsidRPr="00C41C14">
        <w:rPr>
          <w:sz w:val="18"/>
          <w:szCs w:val="18"/>
          <w:lang w:val="fr-CA"/>
        </w:rPr>
        <w:t xml:space="preserve">Source: </w:t>
      </w:r>
      <w:hyperlink r:id="rId56" w:history="1">
        <w:r w:rsidRPr="00C41C14">
          <w:rPr>
            <w:rStyle w:val="Hyperlink"/>
            <w:rFonts w:cstheme="minorHAnsi"/>
            <w:sz w:val="18"/>
            <w:szCs w:val="18"/>
            <w:lang w:val="fr-CA"/>
          </w:rPr>
          <w:t>https://sightline.org/2024/04/18/seattle-deserves-a-better-comp-plan/</w:t>
        </w:r>
      </w:hyperlink>
    </w:p>
    <w:p w14:paraId="3FE76145" w14:textId="022D706C" w:rsidR="00386E69" w:rsidRDefault="00A53A06" w:rsidP="6FF2E0DC">
      <w:pPr>
        <w:rPr>
          <w:lang w:val="en-US"/>
        </w:rPr>
      </w:pPr>
      <w:r w:rsidRPr="6FF2E0DC">
        <w:rPr>
          <w:lang w:val="en-US"/>
        </w:rPr>
        <w:t xml:space="preserve">In 2019, Lawrenceville, Pennsylvania required 10% of units in large buildings to be </w:t>
      </w:r>
      <w:r w:rsidR="00171E40" w:rsidRPr="6FF2E0DC">
        <w:rPr>
          <w:lang w:val="en-US"/>
        </w:rPr>
        <w:t>‘</w:t>
      </w:r>
      <w:r w:rsidRPr="6FF2E0DC">
        <w:rPr>
          <w:lang w:val="en-US"/>
        </w:rPr>
        <w:t>affordable</w:t>
      </w:r>
      <w:r w:rsidR="00171E40" w:rsidRPr="6FF2E0DC">
        <w:rPr>
          <w:lang w:val="en-US"/>
        </w:rPr>
        <w:t>’</w:t>
      </w:r>
      <w:r w:rsidRPr="6FF2E0DC">
        <w:rPr>
          <w:lang w:val="en-US"/>
        </w:rPr>
        <w:t xml:space="preserve">. Construction fell 30% while increasing 36% and 18% in nearby </w:t>
      </w:r>
      <w:proofErr w:type="spellStart"/>
      <w:r w:rsidRPr="6FF2E0DC">
        <w:rPr>
          <w:lang w:val="en-US"/>
        </w:rPr>
        <w:t>neighbourhoods</w:t>
      </w:r>
      <w:proofErr w:type="spellEnd"/>
      <w:r w:rsidRPr="6FF2E0DC">
        <w:rPr>
          <w:lang w:val="en-US"/>
        </w:rPr>
        <w:t>.</w:t>
      </w:r>
      <w:r w:rsidR="00606F2B" w:rsidRPr="6FF2E0DC">
        <w:rPr>
          <w:lang w:val="en-US"/>
        </w:rPr>
        <w:t xml:space="preserve"> </w:t>
      </w:r>
      <w:r w:rsidR="00175D67" w:rsidRPr="6FF2E0DC">
        <w:rPr>
          <w:lang w:val="en-US"/>
        </w:rPr>
        <w:t>(</w:t>
      </w:r>
      <w:hyperlink r:id="rId57">
        <w:r w:rsidR="00175D67" w:rsidRPr="6FF2E0DC">
          <w:rPr>
            <w:rStyle w:val="Hyperlink"/>
            <w:lang w:val="en-US"/>
          </w:rPr>
          <w:t xml:space="preserve">Billings and </w:t>
        </w:r>
        <w:proofErr w:type="spellStart"/>
        <w:r w:rsidR="00175D67" w:rsidRPr="6FF2E0DC">
          <w:rPr>
            <w:rStyle w:val="Hyperlink"/>
            <w:lang w:val="en-US"/>
          </w:rPr>
          <w:t>Vatz</w:t>
        </w:r>
        <w:proofErr w:type="spellEnd"/>
        <w:r w:rsidR="00175D67" w:rsidRPr="6FF2E0DC">
          <w:rPr>
            <w:rStyle w:val="Hyperlink"/>
            <w:lang w:val="en-US"/>
          </w:rPr>
          <w:t>, 2025</w:t>
        </w:r>
      </w:hyperlink>
      <w:r w:rsidR="00175D67" w:rsidRPr="6FF2E0DC">
        <w:rPr>
          <w:lang w:val="en-US"/>
        </w:rPr>
        <w:t>)</w:t>
      </w:r>
      <w:r w:rsidR="00386E69" w:rsidRPr="6FF2E0DC">
        <w:rPr>
          <w:lang w:val="en-US"/>
        </w:rPr>
        <w:t>.</w:t>
      </w:r>
    </w:p>
    <w:p w14:paraId="1B394062" w14:textId="3037BB71" w:rsidR="00715C6F" w:rsidRDefault="00386E69" w:rsidP="00715C6F">
      <w:pPr>
        <w:rPr>
          <w:rFonts w:cstheme="minorHAnsi"/>
        </w:rPr>
      </w:pPr>
      <w:hyperlink r:id="rId58" w:history="1">
        <w:r w:rsidRPr="00FB0728">
          <w:rPr>
            <w:rStyle w:val="Hyperlink"/>
            <w:rFonts w:cstheme="minorHAnsi"/>
            <w:lang w:val="en"/>
          </w:rPr>
          <w:t>Connor (2026)</w:t>
        </w:r>
      </w:hyperlink>
      <w:r>
        <w:rPr>
          <w:rFonts w:cstheme="minorHAnsi"/>
          <w:lang w:val="en"/>
        </w:rPr>
        <w:t xml:space="preserve"> provides more examples. </w:t>
      </w:r>
      <w:hyperlink r:id="rId59" w:history="1">
        <w:r w:rsidR="00CD79CF" w:rsidRPr="00660AAF">
          <w:rPr>
            <w:rStyle w:val="Hyperlink"/>
            <w:rFonts w:cstheme="minorHAnsi"/>
          </w:rPr>
          <w:t>Phillips</w:t>
        </w:r>
      </w:hyperlink>
      <w:r w:rsidR="00715C6F">
        <w:rPr>
          <w:rFonts w:cstheme="minorHAnsi"/>
        </w:rPr>
        <w:t xml:space="preserve"> </w:t>
      </w:r>
      <w:r w:rsidR="00BE7415">
        <w:rPr>
          <w:rFonts w:cstheme="minorHAnsi"/>
        </w:rPr>
        <w:t xml:space="preserve">(2024) </w:t>
      </w:r>
      <w:r w:rsidR="00CD79CF" w:rsidRPr="00CD79CF">
        <w:rPr>
          <w:rFonts w:cstheme="minorHAnsi"/>
        </w:rPr>
        <w:t>estimates that every below-market unit produced by Inclusionary Zoning in Los Angeles reduces market-rate production by more than 4</w:t>
      </w:r>
      <w:r w:rsidR="001648A5">
        <w:rPr>
          <w:rFonts w:cstheme="minorHAnsi"/>
        </w:rPr>
        <w:t> </w:t>
      </w:r>
      <w:r w:rsidR="00CD79CF" w:rsidRPr="00CD79CF">
        <w:rPr>
          <w:rFonts w:cstheme="minorHAnsi"/>
        </w:rPr>
        <w:t xml:space="preserve">units, worsening affordability for everyone except the lucky lottery winners. </w:t>
      </w:r>
      <w:r w:rsidR="00D32823" w:rsidRPr="00D32823">
        <w:rPr>
          <w:rFonts w:cstheme="minorHAnsi"/>
        </w:rPr>
        <w:t xml:space="preserve">An earlier research </w:t>
      </w:r>
      <w:r w:rsidR="00D32823" w:rsidRPr="00D32823">
        <w:rPr>
          <w:rFonts w:cstheme="minorHAnsi"/>
        </w:rPr>
        <w:lastRenderedPageBreak/>
        <w:t xml:space="preserve">survey (preceding </w:t>
      </w:r>
      <w:r w:rsidR="00EA6B22">
        <w:rPr>
          <w:rFonts w:cstheme="minorHAnsi"/>
        </w:rPr>
        <w:t xml:space="preserve">the </w:t>
      </w:r>
      <w:r w:rsidR="00D32823" w:rsidRPr="00D32823">
        <w:rPr>
          <w:rFonts w:cstheme="minorHAnsi"/>
        </w:rPr>
        <w:t>examples above) by</w:t>
      </w:r>
      <w:r w:rsidR="00FE6CD3">
        <w:rPr>
          <w:rFonts w:cstheme="minorHAnsi"/>
        </w:rPr>
        <w:t xml:space="preserve"> </w:t>
      </w:r>
      <w:hyperlink r:id="rId60" w:history="1">
        <w:r w:rsidR="00FE6CD3" w:rsidRPr="00AE7EFB">
          <w:rPr>
            <w:rStyle w:val="Hyperlink"/>
            <w:rFonts w:cstheme="minorHAnsi"/>
          </w:rPr>
          <w:t>Hamilton (2021)</w:t>
        </w:r>
      </w:hyperlink>
      <w:r w:rsidR="00D32823">
        <w:rPr>
          <w:rFonts w:cstheme="minorHAnsi"/>
        </w:rPr>
        <w:t xml:space="preserve"> </w:t>
      </w:r>
      <w:r w:rsidR="00D32823" w:rsidRPr="00D32823">
        <w:rPr>
          <w:rFonts w:cstheme="minorHAnsi"/>
        </w:rPr>
        <w:t xml:space="preserve">found that inclusionary zoning hurts more than it helps. </w:t>
      </w:r>
    </w:p>
    <w:p w14:paraId="38DA5D3A" w14:textId="1D95F661" w:rsidR="00900F70" w:rsidRPr="00900F70" w:rsidRDefault="00900F70" w:rsidP="00900F70">
      <w:pPr>
        <w:rPr>
          <w:rFonts w:cstheme="minorHAnsi"/>
        </w:rPr>
      </w:pPr>
      <w:r w:rsidRPr="00900F70">
        <w:rPr>
          <w:rFonts w:cstheme="minorHAnsi"/>
        </w:rPr>
        <w:t xml:space="preserve">The mistake made by advocates of affordable housing requirements is to focus exclusively on the </w:t>
      </w:r>
      <w:r w:rsidR="00095FD4">
        <w:rPr>
          <w:rFonts w:cstheme="minorHAnsi"/>
        </w:rPr>
        <w:t>rent</w:t>
      </w:r>
      <w:r w:rsidRPr="00900F70">
        <w:rPr>
          <w:rFonts w:cstheme="minorHAnsi"/>
        </w:rPr>
        <w:t xml:space="preserve"> paid at </w:t>
      </w:r>
      <w:r w:rsidR="00800398">
        <w:rPr>
          <w:rFonts w:cstheme="minorHAnsi"/>
        </w:rPr>
        <w:t xml:space="preserve">the </w:t>
      </w:r>
      <w:r w:rsidR="005863F3">
        <w:rPr>
          <w:rFonts w:cstheme="minorHAnsi"/>
        </w:rPr>
        <w:t>new</w:t>
      </w:r>
      <w:r w:rsidRPr="00900F70">
        <w:rPr>
          <w:rFonts w:cstheme="minorHAnsi"/>
        </w:rPr>
        <w:t xml:space="preserve"> site, ignoring the effect that extra supply has on </w:t>
      </w:r>
      <w:r w:rsidR="00D17BB7">
        <w:rPr>
          <w:rFonts w:cstheme="minorHAnsi"/>
        </w:rPr>
        <w:t>rents</w:t>
      </w:r>
      <w:r w:rsidR="009D599B">
        <w:rPr>
          <w:rFonts w:cstheme="minorHAnsi"/>
        </w:rPr>
        <w:t xml:space="preserve"> </w:t>
      </w:r>
      <w:r w:rsidRPr="00900F70">
        <w:rPr>
          <w:rFonts w:cstheme="minorHAnsi"/>
        </w:rPr>
        <w:t xml:space="preserve">elsewhere.  A simple numerical </w:t>
      </w:r>
      <w:r w:rsidR="00122830">
        <w:rPr>
          <w:rFonts w:cstheme="minorHAnsi"/>
        </w:rPr>
        <w:t>comparison</w:t>
      </w:r>
      <w:r w:rsidRPr="00900F70">
        <w:rPr>
          <w:rFonts w:cstheme="minorHAnsi"/>
        </w:rPr>
        <w:t xml:space="preserve"> shows that the latter </w:t>
      </w:r>
      <w:r w:rsidR="00583095">
        <w:rPr>
          <w:rFonts w:cstheme="minorHAnsi"/>
        </w:rPr>
        <w:t>is</w:t>
      </w:r>
      <w:r w:rsidRPr="00900F70">
        <w:rPr>
          <w:rFonts w:cstheme="minorHAnsi"/>
        </w:rPr>
        <w:t xml:space="preserve"> far more important.  </w:t>
      </w:r>
    </w:p>
    <w:p w14:paraId="2C3755DC" w14:textId="74A50A52" w:rsidR="00900F70" w:rsidRPr="00A57032" w:rsidRDefault="00900F70" w:rsidP="00A57032">
      <w:pPr>
        <w:numPr>
          <w:ilvl w:val="0"/>
          <w:numId w:val="31"/>
        </w:numPr>
        <w:rPr>
          <w:rFonts w:cstheme="minorHAnsi"/>
        </w:rPr>
      </w:pPr>
      <w:r w:rsidRPr="00900F70">
        <w:rPr>
          <w:rFonts w:cstheme="minorHAnsi"/>
        </w:rPr>
        <w:t xml:space="preserve">Suppose 1% </w:t>
      </w:r>
      <w:r w:rsidR="00FE50AB">
        <w:rPr>
          <w:rFonts w:cstheme="minorHAnsi"/>
        </w:rPr>
        <w:t xml:space="preserve">of an unchanged housing stock is given </w:t>
      </w:r>
      <w:r w:rsidR="00CA5D93">
        <w:rPr>
          <w:rFonts w:cstheme="minorHAnsi"/>
        </w:rPr>
        <w:t>an</w:t>
      </w:r>
      <w:r w:rsidR="005F0619">
        <w:rPr>
          <w:rFonts w:cstheme="minorHAnsi"/>
        </w:rPr>
        <w:t xml:space="preserve"> </w:t>
      </w:r>
      <w:r w:rsidR="005F0619" w:rsidRPr="00900F70">
        <w:rPr>
          <w:rFonts w:cstheme="minorHAnsi"/>
        </w:rPr>
        <w:t>“affordable housing” discount of 25%</w:t>
      </w:r>
      <w:r w:rsidR="005F0619">
        <w:rPr>
          <w:rFonts w:cstheme="minorHAnsi"/>
        </w:rPr>
        <w:t>.</w:t>
      </w:r>
      <w:r w:rsidR="005F0619" w:rsidRPr="00900F70">
        <w:rPr>
          <w:rFonts w:cstheme="minorHAnsi"/>
        </w:rPr>
        <w:t xml:space="preserve"> </w:t>
      </w:r>
      <w:r w:rsidRPr="00900F70">
        <w:rPr>
          <w:rFonts w:cstheme="minorHAnsi"/>
        </w:rPr>
        <w:t xml:space="preserve">If other rents are unchanged, the average rent falls </w:t>
      </w:r>
      <w:r w:rsidR="005F0619" w:rsidRPr="00900F70">
        <w:rPr>
          <w:rFonts w:cstheme="minorHAnsi"/>
        </w:rPr>
        <w:t>by 0.25</w:t>
      </w:r>
      <w:proofErr w:type="gramStart"/>
      <w:r w:rsidR="005F0619" w:rsidRPr="00900F70">
        <w:rPr>
          <w:rFonts w:cstheme="minorHAnsi"/>
        </w:rPr>
        <w:t>%  (</w:t>
      </w:r>
      <w:proofErr w:type="gramEnd"/>
      <w:r w:rsidR="005F0619" w:rsidRPr="00900F70">
        <w:rPr>
          <w:rFonts w:cstheme="minorHAnsi"/>
        </w:rPr>
        <w:t>=1</w:t>
      </w:r>
      <w:proofErr w:type="gramStart"/>
      <w:r w:rsidR="005F0619" w:rsidRPr="00900F70">
        <w:rPr>
          <w:rFonts w:cstheme="minorHAnsi"/>
        </w:rPr>
        <w:t>-[</w:t>
      </w:r>
      <w:proofErr w:type="gramEnd"/>
      <w:r w:rsidR="005F0619" w:rsidRPr="00900F70">
        <w:rPr>
          <w:rFonts w:cstheme="minorHAnsi"/>
        </w:rPr>
        <w:t>0.99x1 + .01x.75]).</w:t>
      </w:r>
      <w:r w:rsidRPr="00A57032">
        <w:rPr>
          <w:rFonts w:cstheme="minorHAnsi"/>
        </w:rPr>
        <w:t xml:space="preserve"> This is the direct effect.</w:t>
      </w:r>
    </w:p>
    <w:p w14:paraId="413634F9" w14:textId="0194A8C3" w:rsidR="00900F70" w:rsidRPr="00900F70" w:rsidRDefault="0008114C" w:rsidP="00900F70">
      <w:pPr>
        <w:numPr>
          <w:ilvl w:val="0"/>
          <w:numId w:val="31"/>
        </w:numPr>
        <w:rPr>
          <w:rFonts w:cstheme="minorHAnsi"/>
        </w:rPr>
      </w:pPr>
      <w:r>
        <w:rPr>
          <w:rFonts w:cstheme="minorHAnsi"/>
        </w:rPr>
        <w:t xml:space="preserve">Alternatively, suppose that 1% is </w:t>
      </w:r>
      <w:r w:rsidRPr="0058529F">
        <w:rPr>
          <w:rFonts w:cstheme="minorHAnsi"/>
          <w:i/>
          <w:iCs/>
        </w:rPr>
        <w:t>additional</w:t>
      </w:r>
      <w:r w:rsidR="008D2C37">
        <w:rPr>
          <w:rFonts w:cstheme="minorHAnsi"/>
        </w:rPr>
        <w:t xml:space="preserve"> to the stock. </w:t>
      </w:r>
      <w:r w:rsidR="00900F70" w:rsidRPr="00900F70">
        <w:rPr>
          <w:rFonts w:cstheme="minorHAnsi"/>
        </w:rPr>
        <w:t xml:space="preserve">Central estimates suggest the 1% increase in supply would reduce </w:t>
      </w:r>
      <w:r w:rsidR="00900F70" w:rsidRPr="00900F70">
        <w:rPr>
          <w:rFonts w:cstheme="minorHAnsi"/>
          <w:i/>
          <w:iCs/>
        </w:rPr>
        <w:t>other</w:t>
      </w:r>
      <w:r w:rsidR="00900F70" w:rsidRPr="00900F70">
        <w:rPr>
          <w:rFonts w:cstheme="minorHAnsi"/>
        </w:rPr>
        <w:t xml:space="preserve"> rents </w:t>
      </w:r>
      <w:r w:rsidR="007D7D74">
        <w:rPr>
          <w:rFonts w:cstheme="minorHAnsi"/>
        </w:rPr>
        <w:t xml:space="preserve">and hence rents </w:t>
      </w:r>
      <w:r w:rsidR="0083607E">
        <w:rPr>
          <w:rFonts w:cstheme="minorHAnsi"/>
        </w:rPr>
        <w:t>in</w:t>
      </w:r>
      <w:r w:rsidR="007D7D74">
        <w:rPr>
          <w:rFonts w:cstheme="minorHAnsi"/>
        </w:rPr>
        <w:t xml:space="preserve"> general </w:t>
      </w:r>
      <w:r w:rsidR="00900F70" w:rsidRPr="00900F70">
        <w:rPr>
          <w:rFonts w:cstheme="minorHAnsi"/>
        </w:rPr>
        <w:t>by an average 2.5%. Th</w:t>
      </w:r>
      <w:r w:rsidR="00BA0B16">
        <w:rPr>
          <w:rFonts w:cstheme="minorHAnsi"/>
        </w:rPr>
        <w:t>is</w:t>
      </w:r>
      <w:r w:rsidR="00900F70" w:rsidRPr="00900F70">
        <w:rPr>
          <w:rFonts w:cstheme="minorHAnsi"/>
        </w:rPr>
        <w:t xml:space="preserve"> indirect effect </w:t>
      </w:r>
      <w:r w:rsidR="00112FC8">
        <w:rPr>
          <w:rFonts w:cstheme="minorHAnsi"/>
        </w:rPr>
        <w:t xml:space="preserve">is ten times as large as </w:t>
      </w:r>
      <w:r w:rsidR="00900F70" w:rsidRPr="00900F70">
        <w:rPr>
          <w:rFonts w:cstheme="minorHAnsi"/>
        </w:rPr>
        <w:t>the direct effect.</w:t>
      </w:r>
      <w:r w:rsidR="00B96759">
        <w:rPr>
          <w:rFonts w:cstheme="minorHAnsi"/>
        </w:rPr>
        <w:t xml:space="preserve"> It is the quantity of </w:t>
      </w:r>
      <w:r w:rsidR="003E7924">
        <w:rPr>
          <w:rFonts w:cstheme="minorHAnsi"/>
        </w:rPr>
        <w:t>new supply that drives affordability, not its price.</w:t>
      </w:r>
    </w:p>
    <w:p w14:paraId="579B0C6C" w14:textId="7A904A4E" w:rsidR="00900F70" w:rsidRPr="00900F70" w:rsidRDefault="00900F70" w:rsidP="00900F70">
      <w:pPr>
        <w:numPr>
          <w:ilvl w:val="0"/>
          <w:numId w:val="31"/>
        </w:numPr>
        <w:rPr>
          <w:rFonts w:cstheme="minorHAnsi"/>
        </w:rPr>
      </w:pPr>
      <w:r w:rsidRPr="00900F70">
        <w:rPr>
          <w:rFonts w:cstheme="minorHAnsi"/>
        </w:rPr>
        <w:t xml:space="preserve">As a corollary, when affordable housing requirements reduce </w:t>
      </w:r>
      <w:r w:rsidR="00871132">
        <w:rPr>
          <w:rFonts w:cstheme="minorHAnsi"/>
        </w:rPr>
        <w:t xml:space="preserve">overall </w:t>
      </w:r>
      <w:r w:rsidRPr="00900F70">
        <w:rPr>
          <w:rFonts w:cstheme="minorHAnsi"/>
        </w:rPr>
        <w:t xml:space="preserve">supply, as </w:t>
      </w:r>
      <w:r w:rsidR="00B1622A">
        <w:rPr>
          <w:rFonts w:cstheme="minorHAnsi"/>
        </w:rPr>
        <w:t>in the examples above</w:t>
      </w:r>
      <w:r w:rsidRPr="00900F70">
        <w:rPr>
          <w:rFonts w:cstheme="minorHAnsi"/>
        </w:rPr>
        <w:t>, average rents go up.</w:t>
      </w:r>
    </w:p>
    <w:p w14:paraId="09092004" w14:textId="752E9091" w:rsidR="00A35B2D" w:rsidRPr="00A35B2D" w:rsidRDefault="00AE7EFB" w:rsidP="00A35B2D">
      <w:pPr>
        <w:rPr>
          <w:rFonts w:cstheme="minorHAnsi"/>
        </w:rPr>
      </w:pPr>
      <w:r>
        <w:rPr>
          <w:rFonts w:cstheme="minorHAnsi"/>
        </w:rPr>
        <w:t>Proponents of affordable housing requirements, such as the Committee for Sydney or the</w:t>
      </w:r>
      <w:r w:rsidR="00522C13">
        <w:rPr>
          <w:rFonts w:cstheme="minorHAnsi"/>
        </w:rPr>
        <w:t xml:space="preserve"> </w:t>
      </w:r>
      <w:r w:rsidR="001472EB" w:rsidRPr="001472EB">
        <w:rPr>
          <w:rFonts w:cstheme="minorHAnsi"/>
        </w:rPr>
        <w:t>Community Housing Industry Association</w:t>
      </w:r>
      <w:r w:rsidR="001472EB">
        <w:rPr>
          <w:rFonts w:cstheme="minorHAnsi"/>
        </w:rPr>
        <w:t xml:space="preserve"> (</w:t>
      </w:r>
      <w:r w:rsidR="001E1CE4">
        <w:rPr>
          <w:rFonts w:cstheme="minorHAnsi"/>
        </w:rPr>
        <w:t>CHIA</w:t>
      </w:r>
      <w:r w:rsidR="001472EB">
        <w:rPr>
          <w:rFonts w:cstheme="minorHAnsi"/>
        </w:rPr>
        <w:t>)</w:t>
      </w:r>
      <w:r w:rsidR="0079647A">
        <w:rPr>
          <w:rFonts w:cstheme="minorHAnsi"/>
        </w:rPr>
        <w:t>,</w:t>
      </w:r>
      <w:r w:rsidR="001E1CE4">
        <w:rPr>
          <w:rFonts w:cstheme="minorHAnsi"/>
        </w:rPr>
        <w:t xml:space="preserve"> have been asked for evidence </w:t>
      </w:r>
      <w:r w:rsidR="0067655B">
        <w:rPr>
          <w:rFonts w:cstheme="minorHAnsi"/>
        </w:rPr>
        <w:t>that</w:t>
      </w:r>
      <w:r w:rsidR="001E1CE4">
        <w:rPr>
          <w:rFonts w:cstheme="minorHAnsi"/>
        </w:rPr>
        <w:t xml:space="preserve"> benefits </w:t>
      </w:r>
      <w:r w:rsidR="0067655B">
        <w:rPr>
          <w:rFonts w:cstheme="minorHAnsi"/>
        </w:rPr>
        <w:t>excee</w:t>
      </w:r>
      <w:r w:rsidR="00EF01DE">
        <w:rPr>
          <w:rFonts w:cstheme="minorHAnsi"/>
        </w:rPr>
        <w:t>d costs and</w:t>
      </w:r>
      <w:r w:rsidR="001E1CE4">
        <w:rPr>
          <w:rFonts w:cstheme="minorHAnsi"/>
        </w:rPr>
        <w:t xml:space="preserve"> have not produced any</w:t>
      </w:r>
      <w:r w:rsidR="002D3C87">
        <w:rPr>
          <w:rFonts w:cstheme="minorHAnsi"/>
        </w:rPr>
        <w:t>.</w:t>
      </w:r>
    </w:p>
    <w:p w14:paraId="3E1E0176" w14:textId="77777777" w:rsidR="00A35B2D" w:rsidRPr="00670E5D" w:rsidRDefault="00A35B2D" w:rsidP="00670E5D">
      <w:pPr>
        <w:pStyle w:val="Heading2"/>
      </w:pPr>
      <w:bookmarkStart w:id="14" w:name="_Toc232413264"/>
      <w:r w:rsidRPr="00670E5D">
        <w:t>Red tape</w:t>
      </w:r>
      <w:bookmarkEnd w:id="14"/>
    </w:p>
    <w:p w14:paraId="202AD4B3" w14:textId="43503002" w:rsidR="00A35B2D" w:rsidRDefault="00A35B2D" w:rsidP="00A35B2D">
      <w:pPr>
        <w:rPr>
          <w:rFonts w:cstheme="minorHAnsi"/>
        </w:rPr>
      </w:pPr>
      <w:r w:rsidRPr="00A35B2D">
        <w:rPr>
          <w:rFonts w:cstheme="minorHAnsi"/>
        </w:rPr>
        <w:t xml:space="preserve">Past reports by the Productivity Commission, such as </w:t>
      </w:r>
      <w:r w:rsidRPr="00A35B2D">
        <w:rPr>
          <w:rFonts w:cstheme="minorHAnsi"/>
          <w:i/>
        </w:rPr>
        <w:t>Shifting the Dial</w:t>
      </w:r>
      <w:r w:rsidRPr="00A35B2D">
        <w:rPr>
          <w:rFonts w:cstheme="minorHAnsi"/>
        </w:rPr>
        <w:t xml:space="preserve"> (</w:t>
      </w:r>
      <w:hyperlink r:id="rId61" w:history="1">
        <w:r w:rsidRPr="00A35B2D">
          <w:rPr>
            <w:rStyle w:val="Hyperlink"/>
            <w:rFonts w:cstheme="minorHAnsi"/>
          </w:rPr>
          <w:t>2017</w:t>
        </w:r>
      </w:hyperlink>
      <w:r w:rsidRPr="00A35B2D">
        <w:rPr>
          <w:rFonts w:cstheme="minorHAnsi"/>
        </w:rPr>
        <w:t xml:space="preserve">, Section 4.6) and </w:t>
      </w:r>
      <w:r w:rsidRPr="00A35B2D">
        <w:rPr>
          <w:rFonts w:cstheme="minorHAnsi"/>
          <w:i/>
        </w:rPr>
        <w:t>Performance Benchmarking of Australian Business Regulation: Planning, Zoning and Development Assessments</w:t>
      </w:r>
      <w:r w:rsidRPr="00A35B2D">
        <w:rPr>
          <w:rFonts w:cstheme="minorHAnsi"/>
        </w:rPr>
        <w:t xml:space="preserve"> (</w:t>
      </w:r>
      <w:hyperlink r:id="rId62" w:history="1">
        <w:r w:rsidRPr="00A35B2D">
          <w:rPr>
            <w:rStyle w:val="Hyperlink"/>
            <w:rFonts w:cstheme="minorHAnsi"/>
          </w:rPr>
          <w:t>2011</w:t>
        </w:r>
      </w:hyperlink>
      <w:r w:rsidRPr="00A35B2D">
        <w:rPr>
          <w:rFonts w:cstheme="minorHAnsi"/>
        </w:rPr>
        <w:t>) have emphasised the complexity of the planning system and the excessive administrative burden it places upon developers. The CIS Submission (</w:t>
      </w:r>
      <w:hyperlink r:id="rId63" w:history="1">
        <w:r w:rsidRPr="00A35B2D">
          <w:rPr>
            <w:rStyle w:val="Hyperlink"/>
            <w:rFonts w:cstheme="minorHAnsi"/>
          </w:rPr>
          <w:t>2022</w:t>
        </w:r>
      </w:hyperlink>
      <w:r w:rsidRPr="00A35B2D">
        <w:rPr>
          <w:rFonts w:cstheme="minorHAnsi"/>
        </w:rPr>
        <w:t>) to the Productivity Commission’s Inquiry into Australia’s Productivity Performance argued this was unbalanced and misleading.</w:t>
      </w:r>
      <w:r w:rsidR="00606F2B">
        <w:rPr>
          <w:rFonts w:cstheme="minorHAnsi"/>
        </w:rPr>
        <w:t xml:space="preserve"> </w:t>
      </w:r>
      <w:r w:rsidR="000558E0">
        <w:rPr>
          <w:rFonts w:cstheme="minorHAnsi"/>
        </w:rPr>
        <w:t>The</w:t>
      </w:r>
      <w:r w:rsidRPr="00A35B2D">
        <w:rPr>
          <w:rFonts w:cstheme="minorHAnsi"/>
        </w:rPr>
        <w:t xml:space="preserve"> cost of zoning restrictions comes </w:t>
      </w:r>
      <w:r w:rsidR="0049590F">
        <w:rPr>
          <w:rFonts w:cstheme="minorHAnsi"/>
        </w:rPr>
        <w:t xml:space="preserve">mainly </w:t>
      </w:r>
      <w:r w:rsidRPr="00A35B2D">
        <w:rPr>
          <w:rFonts w:cstheme="minorHAnsi"/>
        </w:rPr>
        <w:t xml:space="preserve">from the restriction on supply, sometimes called the </w:t>
      </w:r>
      <w:r w:rsidR="00171E40">
        <w:rPr>
          <w:rFonts w:cstheme="minorHAnsi"/>
        </w:rPr>
        <w:t>‘</w:t>
      </w:r>
      <w:r w:rsidRPr="00A35B2D">
        <w:rPr>
          <w:rFonts w:cstheme="minorHAnsi"/>
        </w:rPr>
        <w:t>zoning premium</w:t>
      </w:r>
      <w:r w:rsidR="00171E40">
        <w:rPr>
          <w:rFonts w:cstheme="minorHAnsi"/>
        </w:rPr>
        <w:t>’</w:t>
      </w:r>
      <w:r w:rsidR="00283CA2">
        <w:rPr>
          <w:rFonts w:cstheme="minorHAnsi"/>
        </w:rPr>
        <w:t>,</w:t>
      </w:r>
      <w:r w:rsidR="00D16461">
        <w:rPr>
          <w:rFonts w:cstheme="minorHAnsi"/>
        </w:rPr>
        <w:t xml:space="preserve"> rather than the regulatory thicket</w:t>
      </w:r>
      <w:r w:rsidRPr="00A35B2D">
        <w:rPr>
          <w:rFonts w:cstheme="minorHAnsi"/>
        </w:rPr>
        <w:t>. In economics terms, red tape raises the supply curve, when the far bigger cost is the wedge between supply and demand caused by quantity restrictions.</w:t>
      </w:r>
      <w:r w:rsidR="00606F2B">
        <w:rPr>
          <w:rFonts w:cstheme="minorHAnsi"/>
        </w:rPr>
        <w:t xml:space="preserve"> </w:t>
      </w:r>
      <w:r w:rsidRPr="00A35B2D">
        <w:rPr>
          <w:rFonts w:cstheme="minorHAnsi"/>
        </w:rPr>
        <w:t>Ma</w:t>
      </w:r>
      <w:r w:rsidR="0013326C">
        <w:rPr>
          <w:rFonts w:cstheme="minorHAnsi"/>
        </w:rPr>
        <w:t>t</w:t>
      </w:r>
      <w:r w:rsidRPr="00A35B2D">
        <w:rPr>
          <w:rFonts w:cstheme="minorHAnsi"/>
        </w:rPr>
        <w:t>thew Maltman (</w:t>
      </w:r>
      <w:hyperlink r:id="rId64" w:history="1">
        <w:r w:rsidRPr="00A35B2D">
          <w:rPr>
            <w:rStyle w:val="Hyperlink"/>
            <w:rFonts w:cstheme="minorHAnsi"/>
          </w:rPr>
          <w:t>2025</w:t>
        </w:r>
      </w:hyperlink>
      <w:r w:rsidRPr="00A35B2D">
        <w:rPr>
          <w:rFonts w:cstheme="minorHAnsi"/>
        </w:rPr>
        <w:t>) of the e61 Institute elaborates.</w:t>
      </w:r>
    </w:p>
    <w:p w14:paraId="12C75EB7" w14:textId="6B396318" w:rsidR="00887019" w:rsidRDefault="002D066C" w:rsidP="002D066C">
      <w:pPr>
        <w:rPr>
          <w:rFonts w:cstheme="minorHAnsi"/>
        </w:rPr>
      </w:pPr>
      <w:r w:rsidRPr="002D066C">
        <w:rPr>
          <w:rFonts w:cstheme="minorHAnsi"/>
        </w:rPr>
        <w:t>The past mistakes of the Productivity Commission may reflect an over-emphasis on salient examples relative to quantitative analysis, especially if that analysis is technically challenging.</w:t>
      </w:r>
      <w:r w:rsidR="0084185F">
        <w:rPr>
          <w:rFonts w:cstheme="minorHAnsi"/>
        </w:rPr>
        <w:t xml:space="preserve"> </w:t>
      </w:r>
      <w:r w:rsidR="0056519B">
        <w:rPr>
          <w:rFonts w:cstheme="minorHAnsi"/>
        </w:rPr>
        <w:t>It leads to poor policy recommendations. F</w:t>
      </w:r>
      <w:r w:rsidR="00887019">
        <w:rPr>
          <w:rFonts w:cstheme="minorHAnsi"/>
        </w:rPr>
        <w:t>as</w:t>
      </w:r>
      <w:r w:rsidR="0056519B">
        <w:rPr>
          <w:rFonts w:cstheme="minorHAnsi"/>
        </w:rPr>
        <w:t xml:space="preserve">ter rejections </w:t>
      </w:r>
      <w:r w:rsidR="00887019">
        <w:rPr>
          <w:rFonts w:cstheme="minorHAnsi"/>
        </w:rPr>
        <w:t>don’t help.</w:t>
      </w:r>
    </w:p>
    <w:p w14:paraId="14BBEFC5" w14:textId="20D8B383" w:rsidR="002D066C" w:rsidRPr="002D066C" w:rsidRDefault="002D066C" w:rsidP="002D066C">
      <w:pPr>
        <w:rPr>
          <w:rFonts w:cstheme="minorHAnsi"/>
        </w:rPr>
      </w:pPr>
      <w:r w:rsidRPr="002D066C">
        <w:rPr>
          <w:rFonts w:cstheme="minorHAnsi"/>
        </w:rPr>
        <w:t xml:space="preserve">We are pleased to see </w:t>
      </w:r>
      <w:r w:rsidR="00261108">
        <w:rPr>
          <w:rFonts w:cstheme="minorHAnsi"/>
        </w:rPr>
        <w:t xml:space="preserve">a more </w:t>
      </w:r>
      <w:r w:rsidR="00CF0D2F">
        <w:rPr>
          <w:rFonts w:cstheme="minorHAnsi"/>
        </w:rPr>
        <w:t>empirically based</w:t>
      </w:r>
      <w:r w:rsidR="005C4097">
        <w:rPr>
          <w:rFonts w:cstheme="minorHAnsi"/>
        </w:rPr>
        <w:t xml:space="preserve"> emphasis in </w:t>
      </w:r>
      <w:r w:rsidRPr="002D066C">
        <w:rPr>
          <w:rFonts w:cstheme="minorHAnsi"/>
        </w:rPr>
        <w:t>recent Productivity Commission reports:</w:t>
      </w:r>
    </w:p>
    <w:p w14:paraId="5DFD021B" w14:textId="77777777" w:rsidR="00A35B2D" w:rsidRPr="00A35B2D" w:rsidRDefault="00A35B2D" w:rsidP="00E93D07">
      <w:pPr>
        <w:ind w:left="720"/>
        <w:rPr>
          <w:rFonts w:cstheme="minorHAnsi"/>
          <w:i/>
          <w:iCs/>
        </w:rPr>
      </w:pPr>
      <w:r w:rsidRPr="00A35B2D">
        <w:rPr>
          <w:rFonts w:cstheme="minorHAnsi"/>
          <w:i/>
          <w:iCs/>
        </w:rPr>
        <w:t>For houses, we estimate that by far the largest component (50-80%) of the regulatory cost comes from distortionary costs from restrictive zoning laws. Substantive compliance costs represent 5-20% of the regulatory cost, while delay and paperwork costs, while significant, make up a smaller proportion.</w:t>
      </w:r>
    </w:p>
    <w:p w14:paraId="4E46B1B4" w14:textId="77777777" w:rsidR="00A35B2D" w:rsidRPr="00A35B2D" w:rsidRDefault="00A35B2D" w:rsidP="00E93D07">
      <w:pPr>
        <w:ind w:left="720"/>
        <w:rPr>
          <w:rFonts w:cstheme="minorHAnsi"/>
          <w:i/>
          <w:iCs/>
        </w:rPr>
      </w:pPr>
      <w:r w:rsidRPr="00A35B2D">
        <w:rPr>
          <w:rFonts w:cstheme="minorHAnsi"/>
          <w:i/>
          <w:iCs/>
        </w:rPr>
        <w:t>For units, as the price of land per unit is significantly lower than for houses, zoning costs are less significant, at 13-42% of the total regulatory costs. Paperwork (administrative and assessment) costs make up around 33-36% of the total regulatory cost for unit construction.</w:t>
      </w:r>
    </w:p>
    <w:p w14:paraId="091C35D0" w14:textId="77777777" w:rsidR="00A35B2D" w:rsidRPr="00A35B2D" w:rsidRDefault="00A35B2D" w:rsidP="00E93D07">
      <w:pPr>
        <w:ind w:left="720"/>
        <w:rPr>
          <w:rFonts w:cstheme="minorHAnsi"/>
          <w:i/>
          <w:iCs/>
        </w:rPr>
      </w:pPr>
      <w:r w:rsidRPr="00A35B2D">
        <w:rPr>
          <w:rFonts w:cstheme="minorHAnsi"/>
          <w:i/>
          <w:iCs/>
        </w:rPr>
        <w:t xml:space="preserve">-- Productivity Commission, 2025 </w:t>
      </w:r>
      <w:hyperlink r:id="rId65" w:history="1">
        <w:r w:rsidRPr="00A35B2D">
          <w:rPr>
            <w:rStyle w:val="Hyperlink"/>
            <w:rFonts w:cstheme="minorHAnsi"/>
            <w:i/>
            <w:iCs/>
          </w:rPr>
          <w:t>Creating a more dynamic and resilient economy</w:t>
        </w:r>
      </w:hyperlink>
      <w:r w:rsidRPr="00A35B2D">
        <w:rPr>
          <w:rFonts w:cstheme="minorHAnsi"/>
          <w:i/>
          <w:iCs/>
        </w:rPr>
        <w:t>, page 177</w:t>
      </w:r>
    </w:p>
    <w:p w14:paraId="1A4923DD" w14:textId="77777777" w:rsidR="00A35B2D" w:rsidRPr="00A35B2D" w:rsidRDefault="00A35B2D" w:rsidP="00A35B2D">
      <w:pPr>
        <w:rPr>
          <w:rFonts w:cstheme="minorHAnsi"/>
        </w:rPr>
      </w:pPr>
      <w:r w:rsidRPr="00A35B2D">
        <w:rPr>
          <w:rFonts w:cstheme="minorHAnsi"/>
        </w:rPr>
        <w:lastRenderedPageBreak/>
        <w:t xml:space="preserve">Research commissioned by the Queensland Productivity Commission is more thorough. The </w:t>
      </w:r>
      <w:hyperlink r:id="rId66" w:history="1">
        <w:r w:rsidRPr="00A35B2D">
          <w:rPr>
            <w:rStyle w:val="Hyperlink"/>
            <w:rFonts w:cstheme="minorHAnsi"/>
          </w:rPr>
          <w:t>Centre for International Economics (2025)</w:t>
        </w:r>
      </w:hyperlink>
      <w:r w:rsidRPr="00A35B2D">
        <w:rPr>
          <w:rFonts w:cstheme="minorHAnsi"/>
        </w:rPr>
        <w:t xml:space="preserve"> estimates that zoning restrictions and their associated margins add: </w:t>
      </w:r>
    </w:p>
    <w:p w14:paraId="02F18AB7" w14:textId="77777777" w:rsidR="00A35B2D" w:rsidRPr="00A35B2D" w:rsidRDefault="00A35B2D" w:rsidP="00A35B2D">
      <w:pPr>
        <w:numPr>
          <w:ilvl w:val="0"/>
          <w:numId w:val="20"/>
        </w:numPr>
        <w:rPr>
          <w:rFonts w:cstheme="minorHAnsi"/>
        </w:rPr>
      </w:pPr>
      <w:r w:rsidRPr="00A35B2D">
        <w:rPr>
          <w:rFonts w:cstheme="minorHAnsi"/>
        </w:rPr>
        <w:t xml:space="preserve">$105,000 to the cost of a townhouse in a character zone in Brisbane — equivalent to 71 per cent of total regulatory costs </w:t>
      </w:r>
    </w:p>
    <w:p w14:paraId="07632F27" w14:textId="77777777" w:rsidR="00A35B2D" w:rsidRPr="00A35B2D" w:rsidRDefault="00A35B2D" w:rsidP="00A35B2D">
      <w:pPr>
        <w:numPr>
          <w:ilvl w:val="0"/>
          <w:numId w:val="20"/>
        </w:numPr>
        <w:rPr>
          <w:rFonts w:cstheme="minorHAnsi"/>
        </w:rPr>
      </w:pPr>
      <w:r w:rsidRPr="00A35B2D">
        <w:rPr>
          <w:rFonts w:cstheme="minorHAnsi"/>
        </w:rPr>
        <w:t xml:space="preserve">$78,000 to the cost of an inner-city apartment in Brisbane — equivalent to 64 per cent of total regulatory costs </w:t>
      </w:r>
    </w:p>
    <w:p w14:paraId="0314A625" w14:textId="77777777" w:rsidR="00A35B2D" w:rsidRPr="00A35B2D" w:rsidRDefault="00A35B2D" w:rsidP="00A35B2D">
      <w:pPr>
        <w:numPr>
          <w:ilvl w:val="0"/>
          <w:numId w:val="20"/>
        </w:numPr>
        <w:rPr>
          <w:rFonts w:cstheme="minorHAnsi"/>
        </w:rPr>
      </w:pPr>
      <w:r w:rsidRPr="00A35B2D">
        <w:rPr>
          <w:rFonts w:cstheme="minorHAnsi"/>
        </w:rPr>
        <w:t>$149,000 to the cost of a detached house on the urban fringe in Brisbane — equivalent to 80 per cent of the total regulatory costs.</w:t>
      </w:r>
    </w:p>
    <w:p w14:paraId="4A367BAD" w14:textId="1A7AD3CD" w:rsidR="00A35B2D" w:rsidRPr="00A35B2D" w:rsidRDefault="00A35B2D" w:rsidP="00A35B2D">
      <w:pPr>
        <w:rPr>
          <w:rFonts w:cstheme="minorHAnsi"/>
        </w:rPr>
      </w:pPr>
      <w:r w:rsidRPr="00A35B2D">
        <w:rPr>
          <w:rFonts w:cstheme="minorHAnsi"/>
        </w:rPr>
        <w:t>These results are not well understood, so public discussion and policy are misdirected.</w:t>
      </w:r>
      <w:r w:rsidR="00606F2B">
        <w:rPr>
          <w:rFonts w:cstheme="minorHAnsi"/>
        </w:rPr>
        <w:t xml:space="preserve"> </w:t>
      </w:r>
      <w:r w:rsidRPr="00A35B2D">
        <w:rPr>
          <w:rFonts w:cstheme="minorHAnsi"/>
        </w:rPr>
        <w:t xml:space="preserve">For example, the NSW government’s </w:t>
      </w:r>
      <w:hyperlink r:id="rId67" w:history="1">
        <w:r w:rsidRPr="00A35B2D">
          <w:rPr>
            <w:rStyle w:val="Hyperlink"/>
            <w:rFonts w:cstheme="minorHAnsi"/>
          </w:rPr>
          <w:t>council league table</w:t>
        </w:r>
      </w:hyperlink>
      <w:r w:rsidRPr="00A35B2D">
        <w:rPr>
          <w:rFonts w:cstheme="minorHAnsi"/>
        </w:rPr>
        <w:t xml:space="preserve"> provides detailed, timely estimates of how quickly local councils are assessing development applications. However, the</w:t>
      </w:r>
      <w:r w:rsidR="007A34D0">
        <w:rPr>
          <w:rFonts w:cstheme="minorHAnsi"/>
        </w:rPr>
        <w:t xml:space="preserve"> league table</w:t>
      </w:r>
      <w:r w:rsidRPr="00A35B2D">
        <w:rPr>
          <w:rFonts w:cstheme="minorHAnsi"/>
        </w:rPr>
        <w:t xml:space="preserve"> do</w:t>
      </w:r>
      <w:r w:rsidR="007A34D0">
        <w:rPr>
          <w:rFonts w:cstheme="minorHAnsi"/>
        </w:rPr>
        <w:t>es</w:t>
      </w:r>
      <w:r w:rsidRPr="00A35B2D">
        <w:rPr>
          <w:rFonts w:cstheme="minorHAnsi"/>
        </w:rPr>
        <w:t xml:space="preserve"> not report the far more important estimates of whether councils are meeting their housing targets</w:t>
      </w:r>
      <w:r w:rsidR="00585413">
        <w:rPr>
          <w:rFonts w:cstheme="minorHAnsi"/>
        </w:rPr>
        <w:t xml:space="preserve"> </w:t>
      </w:r>
      <w:r w:rsidR="00674263">
        <w:rPr>
          <w:rFonts w:cstheme="minorHAnsi"/>
        </w:rPr>
        <w:t>(</w:t>
      </w:r>
      <w:r w:rsidR="007772A7">
        <w:rPr>
          <w:rFonts w:cstheme="minorHAnsi"/>
        </w:rPr>
        <w:t xml:space="preserve">as presented in </w:t>
      </w:r>
      <w:r w:rsidR="007D643F">
        <w:rPr>
          <w:rFonts w:cstheme="minorHAnsi"/>
        </w:rPr>
        <w:t xml:space="preserve">Table </w:t>
      </w:r>
      <w:r w:rsidR="00674263">
        <w:rPr>
          <w:rFonts w:cstheme="minorHAnsi"/>
        </w:rPr>
        <w:t>2</w:t>
      </w:r>
      <w:r w:rsidR="007D643F">
        <w:rPr>
          <w:rFonts w:cstheme="minorHAnsi"/>
        </w:rPr>
        <w:t>)</w:t>
      </w:r>
      <w:r w:rsidR="00674263">
        <w:rPr>
          <w:rFonts w:cstheme="minorHAnsi"/>
        </w:rPr>
        <w:t>.</w:t>
      </w:r>
    </w:p>
    <w:p w14:paraId="273366CF" w14:textId="26A101B1" w:rsidR="00A35B2D" w:rsidRPr="00A35B2D" w:rsidRDefault="00A35B2D" w:rsidP="00A35B2D">
      <w:pPr>
        <w:rPr>
          <w:rFonts w:cstheme="minorHAnsi"/>
        </w:rPr>
      </w:pPr>
      <w:r w:rsidRPr="00A35B2D">
        <w:rPr>
          <w:rFonts w:cstheme="minorHAnsi"/>
        </w:rPr>
        <w:t>Estimates like those above need to be emphasised.</w:t>
      </w:r>
      <w:r w:rsidR="00606F2B">
        <w:rPr>
          <w:rFonts w:cstheme="minorHAnsi"/>
        </w:rPr>
        <w:t xml:space="preserve"> </w:t>
      </w:r>
      <w:r w:rsidRPr="00A35B2D">
        <w:rPr>
          <w:rFonts w:cstheme="minorHAnsi"/>
        </w:rPr>
        <w:t>However, they also need more work.</w:t>
      </w:r>
      <w:r w:rsidR="00606F2B">
        <w:rPr>
          <w:rFonts w:cstheme="minorHAnsi"/>
        </w:rPr>
        <w:t xml:space="preserve"> </w:t>
      </w:r>
      <w:r w:rsidRPr="00A35B2D">
        <w:rPr>
          <w:rFonts w:cstheme="minorHAnsi"/>
        </w:rPr>
        <w:t>Policy priorities vary by region, requiring disaggregated estimates.</w:t>
      </w:r>
      <w:r w:rsidR="00606F2B">
        <w:rPr>
          <w:rFonts w:cstheme="minorHAnsi"/>
        </w:rPr>
        <w:t xml:space="preserve"> </w:t>
      </w:r>
      <w:r w:rsidRPr="00A35B2D">
        <w:rPr>
          <w:rFonts w:cstheme="minorHAnsi"/>
        </w:rPr>
        <w:t>Zoning costs are a higher proportion of total regulatory costs where affordability is worst, as in the inner suburbs of Sydney.</w:t>
      </w:r>
      <w:r w:rsidR="00606F2B">
        <w:rPr>
          <w:rFonts w:cstheme="minorHAnsi"/>
        </w:rPr>
        <w:t xml:space="preserve"> </w:t>
      </w:r>
      <w:r w:rsidRPr="00A35B2D">
        <w:rPr>
          <w:rFonts w:cstheme="minorHAnsi"/>
        </w:rPr>
        <w:t>The estimates reflect detailed investigation into housing in major cities. However</w:t>
      </w:r>
      <w:r w:rsidR="00714BFE">
        <w:rPr>
          <w:rFonts w:cstheme="minorHAnsi"/>
        </w:rPr>
        <w:t>,</w:t>
      </w:r>
      <w:r w:rsidRPr="00A35B2D">
        <w:rPr>
          <w:rFonts w:cstheme="minorHAnsi"/>
        </w:rPr>
        <w:t xml:space="preserve"> our knowledge of regulatory costs in regional areas is poor.</w:t>
      </w:r>
      <w:r w:rsidR="00606F2B">
        <w:rPr>
          <w:rFonts w:cstheme="minorHAnsi"/>
        </w:rPr>
        <w:t xml:space="preserve"> </w:t>
      </w:r>
    </w:p>
    <w:p w14:paraId="79FBD74E" w14:textId="51E67919" w:rsidR="00A35B2D" w:rsidRPr="00A35B2D" w:rsidRDefault="00A35B2D" w:rsidP="00A35B2D">
      <w:pPr>
        <w:rPr>
          <w:rFonts w:cstheme="minorHAnsi"/>
        </w:rPr>
      </w:pPr>
      <w:r w:rsidRPr="00A35B2D">
        <w:rPr>
          <w:rFonts w:cstheme="minorHAnsi"/>
        </w:rPr>
        <w:t>These estimates matter, in part because they influence housing targets and other policy priorities.</w:t>
      </w:r>
      <w:r w:rsidR="00606F2B">
        <w:rPr>
          <w:rFonts w:cstheme="minorHAnsi"/>
        </w:rPr>
        <w:t xml:space="preserve"> </w:t>
      </w:r>
      <w:r w:rsidRPr="00A35B2D">
        <w:rPr>
          <w:rFonts w:cstheme="minorHAnsi"/>
        </w:rPr>
        <w:t xml:space="preserve">To </w:t>
      </w:r>
      <w:r w:rsidR="00F905E4">
        <w:rPr>
          <w:rFonts w:cstheme="minorHAnsi"/>
        </w:rPr>
        <w:t>re</w:t>
      </w:r>
      <w:r w:rsidR="00130A60">
        <w:rPr>
          <w:rFonts w:cstheme="minorHAnsi"/>
        </w:rPr>
        <w:t>iterate</w:t>
      </w:r>
      <w:r w:rsidRPr="00A35B2D">
        <w:rPr>
          <w:rFonts w:cstheme="minorHAnsi"/>
        </w:rPr>
        <w:t xml:space="preserve">, this is </w:t>
      </w:r>
      <w:proofErr w:type="gramStart"/>
      <w:r w:rsidRPr="00A35B2D">
        <w:rPr>
          <w:rFonts w:cstheme="minorHAnsi"/>
        </w:rPr>
        <w:t>research</w:t>
      </w:r>
      <w:proofErr w:type="gramEnd"/>
      <w:r w:rsidRPr="00A35B2D">
        <w:rPr>
          <w:rFonts w:cstheme="minorHAnsi"/>
        </w:rPr>
        <w:t xml:space="preserve"> that AHURI and NHSAC should have been doing</w:t>
      </w:r>
      <w:r w:rsidR="00517775">
        <w:rPr>
          <w:rFonts w:cstheme="minorHAnsi"/>
        </w:rPr>
        <w:t xml:space="preserve">. </w:t>
      </w:r>
      <w:r w:rsidRPr="00A35B2D">
        <w:rPr>
          <w:rFonts w:cstheme="minorHAnsi"/>
        </w:rPr>
        <w:t xml:space="preserve"> </w:t>
      </w:r>
      <w:r w:rsidR="00517775">
        <w:rPr>
          <w:rFonts w:cstheme="minorHAnsi"/>
        </w:rPr>
        <w:t>H</w:t>
      </w:r>
      <w:r w:rsidRPr="00A35B2D">
        <w:rPr>
          <w:rFonts w:cstheme="minorHAnsi"/>
        </w:rPr>
        <w:t>owever</w:t>
      </w:r>
      <w:r w:rsidR="00517775">
        <w:rPr>
          <w:rFonts w:cstheme="minorHAnsi"/>
        </w:rPr>
        <w:t>,</w:t>
      </w:r>
      <w:r w:rsidRPr="00A35B2D">
        <w:rPr>
          <w:rFonts w:cstheme="minorHAnsi"/>
        </w:rPr>
        <w:t xml:space="preserve"> they lack the technical capacity or the interest in economic policy.</w:t>
      </w:r>
    </w:p>
    <w:p w14:paraId="7C322551" w14:textId="77777777" w:rsidR="00A80159" w:rsidRPr="00A80159" w:rsidRDefault="00A80159" w:rsidP="00CC4AAF">
      <w:pPr>
        <w:pStyle w:val="Heading2"/>
      </w:pPr>
      <w:bookmarkStart w:id="15" w:name="_Toc232413265"/>
      <w:r w:rsidRPr="00A80159">
        <w:t>Benefits of extra density</w:t>
      </w:r>
      <w:bookmarkEnd w:id="15"/>
    </w:p>
    <w:p w14:paraId="2ACEA198" w14:textId="246C8316" w:rsidR="00A80159" w:rsidRDefault="00A80159" w:rsidP="00A80159">
      <w:pPr>
        <w:rPr>
          <w:rFonts w:cstheme="minorHAnsi"/>
        </w:rPr>
      </w:pPr>
      <w:r>
        <w:rPr>
          <w:rFonts w:cstheme="minorHAnsi"/>
        </w:rPr>
        <w:t xml:space="preserve">The </w:t>
      </w:r>
      <w:r w:rsidRPr="001001FB">
        <w:rPr>
          <w:rFonts w:cstheme="minorHAnsi"/>
        </w:rPr>
        <w:t>Productivity Commission</w:t>
      </w:r>
      <w:r>
        <w:rPr>
          <w:rFonts w:cstheme="minorHAnsi"/>
        </w:rPr>
        <w:t>’s</w:t>
      </w:r>
      <w:r>
        <w:t xml:space="preserve"> </w:t>
      </w:r>
      <w:hyperlink r:id="rId68" w:history="1">
        <w:r w:rsidRPr="001001FB">
          <w:rPr>
            <w:rStyle w:val="Hyperlink"/>
            <w:rFonts w:cstheme="minorHAnsi"/>
          </w:rPr>
          <w:t>Creating a more dynamic and resilient economy</w:t>
        </w:r>
      </w:hyperlink>
      <w:r w:rsidRPr="001001FB">
        <w:rPr>
          <w:rFonts w:cstheme="minorHAnsi"/>
        </w:rPr>
        <w:t xml:space="preserve"> </w:t>
      </w:r>
      <w:r>
        <w:rPr>
          <w:rFonts w:cstheme="minorHAnsi"/>
        </w:rPr>
        <w:t>(</w:t>
      </w:r>
      <w:r w:rsidRPr="001001FB">
        <w:rPr>
          <w:rFonts w:cstheme="minorHAnsi"/>
        </w:rPr>
        <w:t>2025</w:t>
      </w:r>
      <w:r>
        <w:rPr>
          <w:rFonts w:cstheme="minorHAnsi"/>
        </w:rPr>
        <w:t>, Appendix C.6)</w:t>
      </w:r>
      <w:r w:rsidRPr="001001FB">
        <w:rPr>
          <w:rFonts w:cstheme="minorHAnsi"/>
        </w:rPr>
        <w:t xml:space="preserve"> provide</w:t>
      </w:r>
      <w:r>
        <w:rPr>
          <w:rFonts w:cstheme="minorHAnsi"/>
        </w:rPr>
        <w:t>s</w:t>
      </w:r>
      <w:r w:rsidRPr="001001FB">
        <w:rPr>
          <w:rFonts w:cstheme="minorHAnsi"/>
        </w:rPr>
        <w:t xml:space="preserve"> estimates of the costs of </w:t>
      </w:r>
      <w:r>
        <w:rPr>
          <w:rFonts w:cstheme="minorHAnsi"/>
        </w:rPr>
        <w:t xml:space="preserve">land use </w:t>
      </w:r>
      <w:r w:rsidRPr="001001FB">
        <w:rPr>
          <w:rFonts w:cstheme="minorHAnsi"/>
        </w:rPr>
        <w:t>regulations.</w:t>
      </w:r>
      <w:r w:rsidR="00606F2B">
        <w:rPr>
          <w:rFonts w:cstheme="minorHAnsi"/>
        </w:rPr>
        <w:t xml:space="preserve"> </w:t>
      </w:r>
      <w:r>
        <w:rPr>
          <w:rFonts w:cstheme="minorHAnsi"/>
        </w:rPr>
        <w:t>That is useful for setting research priorities. But policy decisions need to compare these with benefits</w:t>
      </w:r>
      <w:r w:rsidR="00EE51F4">
        <w:rPr>
          <w:rFonts w:cstheme="minorHAnsi"/>
        </w:rPr>
        <w:t>, which is rarely done</w:t>
      </w:r>
      <w:r>
        <w:rPr>
          <w:rFonts w:cstheme="minorHAnsi"/>
        </w:rPr>
        <w:t>.</w:t>
      </w:r>
      <w:r w:rsidR="00606F2B">
        <w:rPr>
          <w:rFonts w:cstheme="minorHAnsi"/>
        </w:rPr>
        <w:t xml:space="preserve"> </w:t>
      </w:r>
      <w:r w:rsidR="00E2634B">
        <w:rPr>
          <w:rFonts w:cstheme="minorHAnsi"/>
        </w:rPr>
        <w:t xml:space="preserve">We need to require that </w:t>
      </w:r>
      <w:r w:rsidR="00EE51F4">
        <w:rPr>
          <w:rFonts w:cstheme="minorHAnsi"/>
        </w:rPr>
        <w:t>costs of regulations</w:t>
      </w:r>
      <w:r w:rsidR="00E557DC">
        <w:rPr>
          <w:rFonts w:cstheme="minorHAnsi"/>
        </w:rPr>
        <w:t xml:space="preserve"> be compared with benefits</w:t>
      </w:r>
      <w:r w:rsidR="009B6492">
        <w:rPr>
          <w:rFonts w:cstheme="minorHAnsi"/>
        </w:rPr>
        <w:t>.</w:t>
      </w:r>
      <w:r>
        <w:rPr>
          <w:rFonts w:cstheme="minorHAnsi"/>
        </w:rPr>
        <w:t xml:space="preserve"> </w:t>
      </w:r>
    </w:p>
    <w:p w14:paraId="5419FFC9" w14:textId="5AD2D1F5" w:rsidR="00A80159" w:rsidRPr="001001FB" w:rsidRDefault="00A80159" w:rsidP="00A80159">
      <w:pPr>
        <w:rPr>
          <w:rFonts w:cstheme="minorHAnsi"/>
        </w:rPr>
      </w:pPr>
      <w:r>
        <w:rPr>
          <w:rFonts w:cstheme="minorHAnsi"/>
        </w:rPr>
        <w:t xml:space="preserve">Some estimates of benefits are relatively straightforward. For example, the benefit of heritage restrictions </w:t>
      </w:r>
      <w:r w:rsidR="008631F9">
        <w:rPr>
          <w:rFonts w:cstheme="minorHAnsi"/>
        </w:rPr>
        <w:t>can</w:t>
      </w:r>
      <w:r>
        <w:rPr>
          <w:rFonts w:cstheme="minorHAnsi"/>
        </w:rPr>
        <w:t xml:space="preserve"> be gauged by surveys of willingness to pay. </w:t>
      </w:r>
      <w:hyperlink r:id="rId69" w:history="1">
        <w:r w:rsidRPr="00BE614D">
          <w:rPr>
            <w:rStyle w:val="Hyperlink"/>
            <w:rFonts w:cstheme="minorHAnsi"/>
          </w:rPr>
          <w:t>SGS Economics and Planning</w:t>
        </w:r>
      </w:hyperlink>
      <w:r w:rsidRPr="00BE614D">
        <w:rPr>
          <w:rFonts w:cstheme="minorHAnsi"/>
        </w:rPr>
        <w:t xml:space="preserve"> (2018) </w:t>
      </w:r>
      <w:r>
        <w:rPr>
          <w:rFonts w:cstheme="minorHAnsi"/>
        </w:rPr>
        <w:t xml:space="preserve">and </w:t>
      </w:r>
      <w:hyperlink r:id="rId70" w:history="1">
        <w:r w:rsidRPr="00ED64E4">
          <w:rPr>
            <w:rStyle w:val="Hyperlink"/>
            <w:rFonts w:cstheme="minorHAnsi"/>
            <w:lang w:val="en-US"/>
          </w:rPr>
          <w:t>Fifer</w:t>
        </w:r>
      </w:hyperlink>
      <w:r w:rsidRPr="00ED64E4">
        <w:rPr>
          <w:rFonts w:cstheme="minorHAnsi"/>
          <w:lang w:val="en-US"/>
        </w:rPr>
        <w:t xml:space="preserve"> (forthcoming) </w:t>
      </w:r>
      <w:r>
        <w:rPr>
          <w:rFonts w:cstheme="minorHAnsi"/>
        </w:rPr>
        <w:t>are examples.</w:t>
      </w:r>
      <w:r w:rsidR="00606F2B">
        <w:rPr>
          <w:rFonts w:cstheme="minorHAnsi"/>
        </w:rPr>
        <w:t xml:space="preserve"> </w:t>
      </w:r>
      <w:r>
        <w:rPr>
          <w:rFonts w:cstheme="minorHAnsi"/>
        </w:rPr>
        <w:t>These surveys find substantial willingness to pay for heritage items of national or state significance but not for items of local significance</w:t>
      </w:r>
      <w:r w:rsidR="00435983">
        <w:rPr>
          <w:rFonts w:cstheme="minorHAnsi"/>
        </w:rPr>
        <w:t>,</w:t>
      </w:r>
      <w:r>
        <w:rPr>
          <w:rFonts w:cstheme="minorHAnsi"/>
        </w:rPr>
        <w:t xml:space="preserve"> </w:t>
      </w:r>
      <w:proofErr w:type="gramStart"/>
      <w:r>
        <w:rPr>
          <w:rFonts w:cstheme="minorHAnsi"/>
        </w:rPr>
        <w:t>the overwhelming majority of</w:t>
      </w:r>
      <w:proofErr w:type="gramEnd"/>
      <w:r>
        <w:rPr>
          <w:rFonts w:cstheme="minorHAnsi"/>
        </w:rPr>
        <w:t xml:space="preserve"> heritage preserved items.</w:t>
      </w:r>
      <w:r w:rsidR="00606F2B">
        <w:rPr>
          <w:rFonts w:cstheme="minorHAnsi"/>
        </w:rPr>
        <w:t xml:space="preserve"> </w:t>
      </w:r>
      <w:r>
        <w:rPr>
          <w:rFonts w:cstheme="minorHAnsi"/>
        </w:rPr>
        <w:t>Those estimates of benefits can easily be compared with</w:t>
      </w:r>
      <w:r w:rsidR="00913B44">
        <w:rPr>
          <w:rFonts w:cstheme="minorHAnsi"/>
        </w:rPr>
        <w:t xml:space="preserve"> the</w:t>
      </w:r>
      <w:r>
        <w:rPr>
          <w:rFonts w:cstheme="minorHAnsi"/>
        </w:rPr>
        <w:t xml:space="preserve"> cost of preservation, which is primarily the change in market value from an alternative use. </w:t>
      </w:r>
      <w:hyperlink r:id="rId71" w:history="1">
        <w:r w:rsidRPr="0046570C">
          <w:rPr>
            <w:rStyle w:val="Hyperlink"/>
            <w:rFonts w:cstheme="minorHAnsi"/>
          </w:rPr>
          <w:t>Tulip (202</w:t>
        </w:r>
        <w:r>
          <w:rPr>
            <w:rStyle w:val="Hyperlink"/>
            <w:rFonts w:cstheme="minorHAnsi"/>
          </w:rPr>
          <w:t>6</w:t>
        </w:r>
        <w:r w:rsidRPr="0046570C">
          <w:rPr>
            <w:rStyle w:val="Hyperlink"/>
            <w:rFonts w:cstheme="minorHAnsi"/>
          </w:rPr>
          <w:t>)</w:t>
        </w:r>
      </w:hyperlink>
      <w:r>
        <w:rPr>
          <w:rFonts w:cstheme="minorHAnsi"/>
        </w:rPr>
        <w:t xml:space="preserve"> argues that the costs of preserving items of local significance often exceed the benefits by large margins. </w:t>
      </w:r>
    </w:p>
    <w:p w14:paraId="0476AB5F" w14:textId="4FA5398A" w:rsidR="00A80159" w:rsidRDefault="00A80159" w:rsidP="00A80159">
      <w:pPr>
        <w:rPr>
          <w:rFonts w:cstheme="minorHAnsi"/>
        </w:rPr>
      </w:pPr>
      <w:r>
        <w:rPr>
          <w:rFonts w:cstheme="minorHAnsi"/>
        </w:rPr>
        <w:t xml:space="preserve">As noted </w:t>
      </w:r>
      <w:r w:rsidR="00890F4E">
        <w:rPr>
          <w:rFonts w:cstheme="minorHAnsi"/>
        </w:rPr>
        <w:t>in Section 4.1</w:t>
      </w:r>
      <w:r>
        <w:rPr>
          <w:rFonts w:cstheme="minorHAnsi"/>
        </w:rPr>
        <w:t>, the most important supply restrictions are those limiting housing density. Substantial research exists on the benefits of these regulations.</w:t>
      </w:r>
      <w:r w:rsidR="00606F2B">
        <w:rPr>
          <w:rFonts w:cstheme="minorHAnsi"/>
        </w:rPr>
        <w:t xml:space="preserve"> </w:t>
      </w:r>
      <w:r w:rsidRPr="001B565E">
        <w:rPr>
          <w:rFonts w:cstheme="minorHAnsi"/>
        </w:rPr>
        <w:t xml:space="preserve">The </w:t>
      </w:r>
      <w:hyperlink r:id="rId72" w:history="1">
        <w:r w:rsidRPr="001B565E">
          <w:rPr>
            <w:rStyle w:val="Hyperlink"/>
            <w:rFonts w:cstheme="minorHAnsi"/>
          </w:rPr>
          <w:t>Queensland Productivity Commission</w:t>
        </w:r>
      </w:hyperlink>
      <w:r w:rsidRPr="001B565E">
        <w:rPr>
          <w:rFonts w:cstheme="minorHAnsi"/>
        </w:rPr>
        <w:t xml:space="preserve"> (2025, Appendix D)</w:t>
      </w:r>
      <w:r>
        <w:rPr>
          <w:rFonts w:cstheme="minorHAnsi"/>
        </w:rPr>
        <w:t xml:space="preserve"> provides </w:t>
      </w:r>
      <w:r w:rsidR="00364052">
        <w:rPr>
          <w:rFonts w:cstheme="minorHAnsi"/>
        </w:rPr>
        <w:t xml:space="preserve">simple </w:t>
      </w:r>
      <w:r>
        <w:rPr>
          <w:rFonts w:cstheme="minorHAnsi"/>
        </w:rPr>
        <w:t xml:space="preserve">estimates, building </w:t>
      </w:r>
      <w:r w:rsidRPr="001B565E">
        <w:rPr>
          <w:rFonts w:cstheme="minorHAnsi"/>
        </w:rPr>
        <w:t xml:space="preserve">on earlier </w:t>
      </w:r>
      <w:r>
        <w:rPr>
          <w:rFonts w:cstheme="minorHAnsi"/>
        </w:rPr>
        <w:t>Australian studies.</w:t>
      </w:r>
      <w:r w:rsidR="00606F2B">
        <w:rPr>
          <w:rFonts w:cstheme="minorHAnsi"/>
        </w:rPr>
        <w:t xml:space="preserve"> </w:t>
      </w:r>
      <w:r>
        <w:rPr>
          <w:rFonts w:cstheme="minorHAnsi"/>
        </w:rPr>
        <w:t xml:space="preserve">However, this issue is at the heart of housing policy debates and </w:t>
      </w:r>
      <w:r w:rsidR="00D90DD0">
        <w:rPr>
          <w:rFonts w:cstheme="minorHAnsi"/>
        </w:rPr>
        <w:t>is</w:t>
      </w:r>
      <w:r>
        <w:rPr>
          <w:rFonts w:cstheme="minorHAnsi"/>
        </w:rPr>
        <w:t xml:space="preserve"> misunderstood </w:t>
      </w:r>
      <w:r w:rsidR="00A6298B">
        <w:rPr>
          <w:rFonts w:cstheme="minorHAnsi"/>
        </w:rPr>
        <w:t>by policy advisers</w:t>
      </w:r>
      <w:r>
        <w:rPr>
          <w:rFonts w:cstheme="minorHAnsi"/>
        </w:rPr>
        <w:t>, so worth a further discussion.</w:t>
      </w:r>
    </w:p>
    <w:p w14:paraId="57991DD2" w14:textId="77777777" w:rsidR="00A80159" w:rsidRPr="00216489" w:rsidRDefault="00A80159" w:rsidP="00A80159">
      <w:pPr>
        <w:rPr>
          <w:rFonts w:cstheme="minorHAnsi"/>
        </w:rPr>
      </w:pPr>
      <w:r>
        <w:rPr>
          <w:rFonts w:cstheme="minorHAnsi"/>
        </w:rPr>
        <w:t>The strongest</w:t>
      </w:r>
      <w:r w:rsidRPr="00216489">
        <w:rPr>
          <w:rFonts w:cstheme="minorHAnsi"/>
        </w:rPr>
        <w:t xml:space="preserve"> argument in support of planning restrictions (e.g. Stokes, </w:t>
      </w:r>
      <w:hyperlink r:id="rId73" w:anchor="/docid/HANSARD-1323879322-112142" w:history="1">
        <w:r w:rsidRPr="00892A91">
          <w:rPr>
            <w:rStyle w:val="Hyperlink"/>
            <w:rFonts w:cstheme="minorHAnsi"/>
          </w:rPr>
          <w:t>2020</w:t>
        </w:r>
      </w:hyperlink>
      <w:r>
        <w:t xml:space="preserve">; Spiller, </w:t>
      </w:r>
      <w:hyperlink r:id="rId74" w:history="1">
        <w:r w:rsidRPr="00574FE3">
          <w:rPr>
            <w:rStyle w:val="Hyperlink"/>
          </w:rPr>
          <w:t>2024</w:t>
        </w:r>
      </w:hyperlink>
      <w:r w:rsidRPr="00216489">
        <w:rPr>
          <w:rFonts w:cstheme="minorHAnsi"/>
        </w:rPr>
        <w:t xml:space="preserve">) is that, while they make housing expensive, this is worthwhile </w:t>
      </w:r>
      <w:r>
        <w:rPr>
          <w:rFonts w:cstheme="minorHAnsi"/>
        </w:rPr>
        <w:t>if</w:t>
      </w:r>
      <w:r w:rsidRPr="00216489">
        <w:rPr>
          <w:rFonts w:cstheme="minorHAnsi"/>
        </w:rPr>
        <w:t xml:space="preserve"> they improve neighbourhood amenity. </w:t>
      </w:r>
      <w:r w:rsidRPr="00216489">
        <w:rPr>
          <w:rFonts w:cstheme="minorHAnsi"/>
        </w:rPr>
        <w:lastRenderedPageBreak/>
        <w:t xml:space="preserve">Nearby residents often object to new apartment buildings on the grounds that they are ugly, they bring traffic and crowds, they </w:t>
      </w:r>
      <w:r>
        <w:rPr>
          <w:rFonts w:cstheme="minorHAnsi"/>
        </w:rPr>
        <w:t>cast shadows</w:t>
      </w:r>
      <w:r w:rsidRPr="00216489">
        <w:rPr>
          <w:rFonts w:cstheme="minorHAnsi"/>
        </w:rPr>
        <w:t xml:space="preserve"> and so on.</w:t>
      </w:r>
    </w:p>
    <w:p w14:paraId="2819F7FA" w14:textId="54D5AAF2" w:rsidR="00A80159" w:rsidRPr="00216489" w:rsidRDefault="00A80159" w:rsidP="00A80159">
      <w:pPr>
        <w:rPr>
          <w:rFonts w:cstheme="minorHAnsi"/>
        </w:rPr>
      </w:pPr>
      <w:r w:rsidRPr="00216489">
        <w:rPr>
          <w:rFonts w:cstheme="minorHAnsi"/>
        </w:rPr>
        <w:t>These arguments are legitimate and the residents are entitled to their preferences. However, their</w:t>
      </w:r>
      <w:r>
        <w:rPr>
          <w:rFonts w:cstheme="minorHAnsi"/>
        </w:rPr>
        <w:t>s</w:t>
      </w:r>
      <w:r w:rsidRPr="00216489">
        <w:rPr>
          <w:rFonts w:cstheme="minorHAnsi"/>
        </w:rPr>
        <w:t xml:space="preserve"> are not the only views to be </w:t>
      </w:r>
      <w:proofErr w:type="gramStart"/>
      <w:r w:rsidRPr="00216489">
        <w:rPr>
          <w:rFonts w:cstheme="minorHAnsi"/>
        </w:rPr>
        <w:t>taken into account</w:t>
      </w:r>
      <w:proofErr w:type="gramEnd"/>
      <w:r w:rsidRPr="00216489">
        <w:rPr>
          <w:rFonts w:cstheme="minorHAnsi"/>
        </w:rPr>
        <w:t xml:space="preserve">. </w:t>
      </w:r>
      <w:r w:rsidR="00C830CE">
        <w:rPr>
          <w:rFonts w:cstheme="minorHAnsi"/>
        </w:rPr>
        <w:t>Central governments should</w:t>
      </w:r>
      <w:r w:rsidRPr="00216489">
        <w:rPr>
          <w:rFonts w:cstheme="minorHAnsi"/>
        </w:rPr>
        <w:t xml:space="preserve"> also weigh the preferences of those who like high-density living. Many potential residents like proximity to shops, transport and entertainment. These </w:t>
      </w:r>
      <w:r>
        <w:rPr>
          <w:rFonts w:cstheme="minorHAnsi"/>
        </w:rPr>
        <w:t>potential</w:t>
      </w:r>
      <w:r w:rsidRPr="00216489">
        <w:rPr>
          <w:rFonts w:cstheme="minorHAnsi"/>
        </w:rPr>
        <w:t xml:space="preserve"> residents are mobile and do not have a stake in any </w:t>
      </w:r>
      <w:proofErr w:type="gramStart"/>
      <w:r w:rsidRPr="00216489">
        <w:rPr>
          <w:rFonts w:cstheme="minorHAnsi"/>
        </w:rPr>
        <w:t>particular construction</w:t>
      </w:r>
      <w:proofErr w:type="gramEnd"/>
      <w:r w:rsidRPr="00216489">
        <w:rPr>
          <w:rFonts w:cstheme="minorHAnsi"/>
        </w:rPr>
        <w:t xml:space="preserve"> project.</w:t>
      </w:r>
      <w:r>
        <w:rPr>
          <w:rFonts w:cstheme="minorHAnsi"/>
        </w:rPr>
        <w:t xml:space="preserve"> </w:t>
      </w:r>
      <w:r w:rsidRPr="00216489">
        <w:rPr>
          <w:rFonts w:cstheme="minorHAnsi"/>
        </w:rPr>
        <w:t>Indeed, they typically cannot be identified beforehand.</w:t>
      </w:r>
      <w:r>
        <w:rPr>
          <w:rFonts w:cstheme="minorHAnsi"/>
        </w:rPr>
        <w:t xml:space="preserve"> </w:t>
      </w:r>
      <w:r w:rsidRPr="00216489">
        <w:rPr>
          <w:rFonts w:cstheme="minorHAnsi"/>
        </w:rPr>
        <w:t>Accordingly, their views are under-represented in public discussion</w:t>
      </w:r>
      <w:r>
        <w:rPr>
          <w:rFonts w:cstheme="minorHAnsi"/>
        </w:rPr>
        <w:t xml:space="preserve">. Local governments represent the aggrieved neighbours, not the outsiders who would benefit from more </w:t>
      </w:r>
      <w:r w:rsidR="00757C42">
        <w:rPr>
          <w:rFonts w:cstheme="minorHAnsi"/>
        </w:rPr>
        <w:t>density</w:t>
      </w:r>
      <w:r w:rsidRPr="00216489">
        <w:rPr>
          <w:rFonts w:cstheme="minorHAnsi"/>
        </w:rPr>
        <w:t>.</w:t>
      </w:r>
    </w:p>
    <w:p w14:paraId="074B00E0" w14:textId="47B45196" w:rsidR="00A80159" w:rsidRPr="00216489" w:rsidRDefault="00A80159" w:rsidP="00A80159">
      <w:pPr>
        <w:rPr>
          <w:rFonts w:cstheme="minorHAnsi"/>
        </w:rPr>
      </w:pPr>
      <w:r w:rsidRPr="00216489">
        <w:rPr>
          <w:rFonts w:cstheme="minorHAnsi"/>
        </w:rPr>
        <w:t>We can weigh these conflicting preferences by looking at nearby house prices</w:t>
      </w:r>
      <w:r w:rsidR="00281873">
        <w:rPr>
          <w:rFonts w:cstheme="minorHAnsi"/>
        </w:rPr>
        <w:t>, which reflect willingness to pay to live nearby</w:t>
      </w:r>
      <w:r w:rsidRPr="00216489">
        <w:rPr>
          <w:rFonts w:cstheme="minorHAnsi"/>
        </w:rPr>
        <w:t>. If apartment towers did harm neighbourhood amenity, as the opponents of density argue, then</w:t>
      </w:r>
      <w:r w:rsidR="00281873">
        <w:rPr>
          <w:rFonts w:cstheme="minorHAnsi"/>
        </w:rPr>
        <w:t xml:space="preserve"> local</w:t>
      </w:r>
      <w:r w:rsidR="0068460A">
        <w:rPr>
          <w:rFonts w:cstheme="minorHAnsi"/>
        </w:rPr>
        <w:t xml:space="preserve"> </w:t>
      </w:r>
      <w:r w:rsidRPr="00216489">
        <w:rPr>
          <w:rFonts w:cstheme="minorHAnsi"/>
        </w:rPr>
        <w:t>house prices should fall.</w:t>
      </w:r>
      <w:r>
        <w:rPr>
          <w:rFonts w:cstheme="minorHAnsi"/>
        </w:rPr>
        <w:t xml:space="preserve"> </w:t>
      </w:r>
    </w:p>
    <w:p w14:paraId="636D36B0" w14:textId="34A497FF" w:rsidR="00A80159" w:rsidRPr="00216489" w:rsidRDefault="00A80159" w:rsidP="00A80159">
      <w:pPr>
        <w:rPr>
          <w:rFonts w:cstheme="minorHAnsi"/>
        </w:rPr>
      </w:pPr>
      <w:r w:rsidRPr="00216489">
        <w:rPr>
          <w:rFonts w:cstheme="minorHAnsi"/>
        </w:rPr>
        <w:t>Tulip and Lanigan (</w:t>
      </w:r>
      <w:hyperlink r:id="rId75" w:history="1">
        <w:r w:rsidRPr="000C1882">
          <w:rPr>
            <w:rStyle w:val="Hyperlink"/>
            <w:rFonts w:cstheme="minorHAnsi"/>
          </w:rPr>
          <w:t>2021</w:t>
        </w:r>
      </w:hyperlink>
      <w:r w:rsidRPr="00216489">
        <w:rPr>
          <w:rFonts w:cstheme="minorHAnsi"/>
        </w:rPr>
        <w:t xml:space="preserve">) find that this does not happen. They look at five prominent examples of high-density construction in Sydney: Chatswood, Forest Lodge, Green Square, Liverpool and Turrella and three in Melbourne: Box Hill, South Yarra and Footscray. They find that nearby </w:t>
      </w:r>
      <w:r w:rsidR="003141EE">
        <w:rPr>
          <w:rFonts w:cstheme="minorHAnsi"/>
        </w:rPr>
        <w:t xml:space="preserve">detached </w:t>
      </w:r>
      <w:r w:rsidRPr="00216489">
        <w:rPr>
          <w:rFonts w:cstheme="minorHAnsi"/>
        </w:rPr>
        <w:t xml:space="preserve">house prices are essentially unaffected by new development. </w:t>
      </w:r>
      <w:r>
        <w:rPr>
          <w:rFonts w:cstheme="minorHAnsi"/>
        </w:rPr>
        <w:t>(Looking at house prices helps avoid compositional and substitution effects.)</w:t>
      </w:r>
      <w:r w:rsidR="00606F2B">
        <w:rPr>
          <w:rFonts w:cstheme="minorHAnsi"/>
        </w:rPr>
        <w:t xml:space="preserve"> </w:t>
      </w:r>
      <w:r w:rsidRPr="00216489">
        <w:rPr>
          <w:rFonts w:cstheme="minorHAnsi"/>
        </w:rPr>
        <w:t xml:space="preserve">It seems that for every recalcitrant neighbour </w:t>
      </w:r>
      <w:r>
        <w:rPr>
          <w:rFonts w:cstheme="minorHAnsi"/>
        </w:rPr>
        <w:t>who</w:t>
      </w:r>
      <w:r w:rsidRPr="00216489">
        <w:rPr>
          <w:rFonts w:cstheme="minorHAnsi"/>
        </w:rPr>
        <w:t xml:space="preserve"> dislikes the new apartments, there are other home buyers who want a walkable, lively community. </w:t>
      </w:r>
    </w:p>
    <w:p w14:paraId="6FD7E94F" w14:textId="77777777" w:rsidR="00A80159" w:rsidRDefault="00A80159" w:rsidP="00A80159">
      <w:pPr>
        <w:rPr>
          <w:rFonts w:cstheme="minorHAnsi"/>
        </w:rPr>
      </w:pPr>
      <w:r w:rsidRPr="00216489">
        <w:rPr>
          <w:rFonts w:cstheme="minorHAnsi"/>
        </w:rPr>
        <w:t xml:space="preserve">There is a large international literature on broader effects of urban density. </w:t>
      </w:r>
      <w:proofErr w:type="spellStart"/>
      <w:r w:rsidRPr="00216489">
        <w:rPr>
          <w:rFonts w:cstheme="minorHAnsi"/>
        </w:rPr>
        <w:t>Ahlfeldt</w:t>
      </w:r>
      <w:proofErr w:type="spellEnd"/>
      <w:r w:rsidRPr="00216489">
        <w:rPr>
          <w:rFonts w:cstheme="minorHAnsi"/>
        </w:rPr>
        <w:t xml:space="preserve"> and </w:t>
      </w:r>
      <w:proofErr w:type="spellStart"/>
      <w:r w:rsidRPr="00216489">
        <w:rPr>
          <w:rFonts w:cstheme="minorHAnsi"/>
        </w:rPr>
        <w:t>Pietrostefani</w:t>
      </w:r>
      <w:proofErr w:type="spellEnd"/>
      <w:r w:rsidRPr="00216489">
        <w:rPr>
          <w:rFonts w:cstheme="minorHAnsi"/>
        </w:rPr>
        <w:t xml:space="preserve"> (</w:t>
      </w:r>
      <w:hyperlink r:id="rId76" w:history="1">
        <w:r w:rsidRPr="00730260">
          <w:rPr>
            <w:rStyle w:val="Hyperlink"/>
            <w:rFonts w:cstheme="minorHAnsi"/>
          </w:rPr>
          <w:t>2019</w:t>
        </w:r>
      </w:hyperlink>
      <w:r w:rsidRPr="00216489">
        <w:rPr>
          <w:rFonts w:cstheme="minorHAnsi"/>
        </w:rPr>
        <w:t xml:space="preserve">) </w:t>
      </w:r>
      <w:r>
        <w:rPr>
          <w:rFonts w:cstheme="minorHAnsi"/>
        </w:rPr>
        <w:t>standardise and quantify</w:t>
      </w:r>
      <w:r w:rsidRPr="00216489">
        <w:rPr>
          <w:rFonts w:cstheme="minorHAnsi"/>
        </w:rPr>
        <w:t xml:space="preserve"> this </w:t>
      </w:r>
      <w:r>
        <w:rPr>
          <w:rFonts w:cstheme="minorHAnsi"/>
        </w:rPr>
        <w:t>research</w:t>
      </w:r>
      <w:r w:rsidRPr="00216489">
        <w:rPr>
          <w:rFonts w:cstheme="minorHAnsi"/>
        </w:rPr>
        <w:t xml:space="preserve"> and conclude that, on balance, the external benefits of urban density are positive. Productivity spillovers, more patent applications, less energy use and other benefits of density are found to more than offset traffic congestion, shadows, noise and other costs. Glaeser, </w:t>
      </w:r>
      <w:proofErr w:type="spellStart"/>
      <w:r w:rsidRPr="00216489">
        <w:rPr>
          <w:rFonts w:cstheme="minorHAnsi"/>
        </w:rPr>
        <w:t>Gyourko</w:t>
      </w:r>
      <w:proofErr w:type="spellEnd"/>
      <w:r w:rsidRPr="00216489">
        <w:rPr>
          <w:rFonts w:cstheme="minorHAnsi"/>
        </w:rPr>
        <w:t xml:space="preserve"> and Saks (</w:t>
      </w:r>
      <w:hyperlink r:id="rId77" w:history="1">
        <w:r w:rsidRPr="00E90B5E">
          <w:rPr>
            <w:rStyle w:val="Hyperlink"/>
            <w:rFonts w:cstheme="minorHAnsi"/>
          </w:rPr>
          <w:t>2005</w:t>
        </w:r>
      </w:hyperlink>
      <w:r w:rsidRPr="00216489">
        <w:rPr>
          <w:rFonts w:cstheme="minorHAnsi"/>
        </w:rPr>
        <w:t>) specifically examine height restrictions and estimate their external costs to be small.</w:t>
      </w:r>
    </w:p>
    <w:p w14:paraId="491E60B4" w14:textId="395B0574" w:rsidR="00A80159" w:rsidRPr="00216489" w:rsidRDefault="00A80159" w:rsidP="00A80159">
      <w:pPr>
        <w:rPr>
          <w:rFonts w:cstheme="minorHAnsi"/>
        </w:rPr>
      </w:pPr>
      <w:r>
        <w:rPr>
          <w:rFonts w:cstheme="minorHAnsi"/>
        </w:rPr>
        <w:t>Technical research is not needed to make this point. Most of us choose to live in cities</w:t>
      </w:r>
      <w:r w:rsidR="001E55B0">
        <w:rPr>
          <w:rFonts w:cstheme="minorHAnsi"/>
        </w:rPr>
        <w:t xml:space="preserve"> —</w:t>
      </w:r>
      <w:r>
        <w:rPr>
          <w:rFonts w:cstheme="minorHAnsi"/>
        </w:rPr>
        <w:t xml:space="preserve"> </w:t>
      </w:r>
      <w:r w:rsidR="001E55B0">
        <w:rPr>
          <w:rFonts w:cstheme="minorHAnsi"/>
        </w:rPr>
        <w:t>b</w:t>
      </w:r>
      <w:r>
        <w:rPr>
          <w:rFonts w:cstheme="minorHAnsi"/>
        </w:rPr>
        <w:t>ecause proximity to other people generates jobs, high wages, entertainment options and other social and cultural opportunities.</w:t>
      </w:r>
      <w:r w:rsidR="00606F2B">
        <w:rPr>
          <w:rFonts w:cstheme="minorHAnsi"/>
        </w:rPr>
        <w:t xml:space="preserve"> </w:t>
      </w:r>
      <w:r>
        <w:rPr>
          <w:rFonts w:cstheme="minorHAnsi"/>
        </w:rPr>
        <w:t xml:space="preserve">We willingly pay high costs for housing because these positive externalities from density are large. </w:t>
      </w:r>
    </w:p>
    <w:p w14:paraId="2D70AD89" w14:textId="006B184C" w:rsidR="00A80159" w:rsidRDefault="00A80159" w:rsidP="00A80159">
      <w:pPr>
        <w:rPr>
          <w:rFonts w:cstheme="minorHAnsi"/>
        </w:rPr>
      </w:pPr>
      <w:r>
        <w:rPr>
          <w:rFonts w:cstheme="minorHAnsi"/>
        </w:rPr>
        <w:t xml:space="preserve">A large positive externality not covered by these comparisons is that </w:t>
      </w:r>
      <w:r w:rsidRPr="00216489">
        <w:rPr>
          <w:rFonts w:cstheme="minorHAnsi"/>
        </w:rPr>
        <w:t>urban density promotes productivity and technological progress</w:t>
      </w:r>
      <w:r>
        <w:rPr>
          <w:rFonts w:cstheme="minorHAnsi"/>
        </w:rPr>
        <w:t>, an issue of special concern to the Productivity Commission</w:t>
      </w:r>
      <w:r w:rsidR="001A1321">
        <w:rPr>
          <w:rFonts w:cstheme="minorHAnsi"/>
        </w:rPr>
        <w:t>.</w:t>
      </w:r>
    </w:p>
    <w:p w14:paraId="56BE39EF" w14:textId="77777777" w:rsidR="00A80159" w:rsidRPr="00062196" w:rsidRDefault="00A80159" w:rsidP="00A80159">
      <w:pPr>
        <w:rPr>
          <w:rFonts w:cstheme="minorHAnsi"/>
        </w:rPr>
      </w:pPr>
      <w:r w:rsidRPr="00062196">
        <w:rPr>
          <w:rFonts w:cstheme="minorHAnsi"/>
        </w:rPr>
        <w:t xml:space="preserve">Large dense cities increase interactions, specialisation, thick labour markets, spillovers, copying, competition and incentives for experimentation. These externalities boost the level and growth of productivity. </w:t>
      </w:r>
    </w:p>
    <w:p w14:paraId="5AC16582" w14:textId="77777777" w:rsidR="00A80159" w:rsidRPr="00062196" w:rsidRDefault="00A80159" w:rsidP="00A80159">
      <w:pPr>
        <w:keepNext/>
        <w:rPr>
          <w:rFonts w:cstheme="minorHAnsi"/>
        </w:rPr>
      </w:pPr>
      <w:r w:rsidRPr="00062196">
        <w:rPr>
          <w:rFonts w:cstheme="minorHAnsi"/>
        </w:rPr>
        <w:t>Glaeser and Maré (</w:t>
      </w:r>
      <w:hyperlink r:id="rId78" w:history="1">
        <w:r w:rsidRPr="00062196">
          <w:rPr>
            <w:rStyle w:val="Hyperlink"/>
            <w:rFonts w:cstheme="minorHAnsi"/>
          </w:rPr>
          <w:t>2001</w:t>
        </w:r>
      </w:hyperlink>
      <w:r w:rsidRPr="00062196">
        <w:rPr>
          <w:rFonts w:cstheme="minorHAnsi"/>
        </w:rPr>
        <w:t>) write:</w:t>
      </w:r>
    </w:p>
    <w:p w14:paraId="48600458" w14:textId="208CCFDF" w:rsidR="00A80159" w:rsidRPr="00062196" w:rsidRDefault="00A80159" w:rsidP="00A80159">
      <w:pPr>
        <w:ind w:left="720"/>
        <w:rPr>
          <w:rFonts w:cstheme="minorHAnsi"/>
        </w:rPr>
      </w:pPr>
      <w:r w:rsidRPr="00062196">
        <w:rPr>
          <w:rFonts w:cstheme="minorHAnsi"/>
        </w:rPr>
        <w:t>Workers in cities earn 33% more than their non</w:t>
      </w:r>
      <w:r w:rsidR="00A33A31">
        <w:rPr>
          <w:rFonts w:cstheme="minorHAnsi"/>
        </w:rPr>
        <w:t>-</w:t>
      </w:r>
      <w:r w:rsidRPr="00062196">
        <w:rPr>
          <w:rFonts w:cstheme="minorHAnsi"/>
        </w:rPr>
        <w:t>urban counterparts. A large amount of evidence suggests that this premium is not just the result of higher ability workers living in cities, which means that cities make workers more productive. Evidence on migrants and the cross effect between urban status and experience implies that a significant fraction of the urban wage premium accrues to workers over time and stays with them when they leave cities. Therefore, a portion of the urban wage premium is a wage growth, not a wage level, effect. This evidence suggests that cities speed the accumulation of human capital.</w:t>
      </w:r>
    </w:p>
    <w:p w14:paraId="26936ED3" w14:textId="325A3985" w:rsidR="00A80159" w:rsidRPr="00062196" w:rsidRDefault="00A80159" w:rsidP="00A80159">
      <w:pPr>
        <w:rPr>
          <w:rFonts w:cstheme="minorHAnsi"/>
        </w:rPr>
      </w:pPr>
      <w:r w:rsidRPr="00062196">
        <w:rPr>
          <w:rFonts w:cstheme="minorHAnsi"/>
        </w:rPr>
        <w:lastRenderedPageBreak/>
        <w:t>De la Roca and Puga (</w:t>
      </w:r>
      <w:hyperlink r:id="rId79" w:history="1">
        <w:r w:rsidRPr="00062196">
          <w:rPr>
            <w:rStyle w:val="Hyperlink"/>
            <w:rFonts w:cstheme="minorHAnsi"/>
          </w:rPr>
          <w:t>2012</w:t>
        </w:r>
      </w:hyperlink>
      <w:r w:rsidRPr="00062196">
        <w:rPr>
          <w:rFonts w:cstheme="minorHAnsi"/>
        </w:rPr>
        <w:t>) examine why this premium exists</w:t>
      </w:r>
      <w:r w:rsidR="00A33A31">
        <w:rPr>
          <w:rFonts w:cstheme="minorHAnsi"/>
        </w:rPr>
        <w:t>,</w:t>
      </w:r>
      <w:r w:rsidRPr="00062196">
        <w:rPr>
          <w:rFonts w:cstheme="minorHAnsi"/>
        </w:rPr>
        <w:t xml:space="preserve"> using rich longitudinal data for Spain. They find one</w:t>
      </w:r>
      <w:r w:rsidR="00EF361B">
        <w:rPr>
          <w:rFonts w:cstheme="minorHAnsi"/>
        </w:rPr>
        <w:t xml:space="preserve"> </w:t>
      </w:r>
      <w:r w:rsidRPr="00062196">
        <w:rPr>
          <w:rFonts w:cstheme="minorHAnsi"/>
        </w:rPr>
        <w:t>half of the urban wage premiums is received upon arriving in a city, while the other half accumulates with the dynamic benefits from learning. Other prominent studies with similar results include Baum-Snow and Pavan (</w:t>
      </w:r>
      <w:hyperlink r:id="rId80" w:history="1">
        <w:r w:rsidRPr="00062196">
          <w:rPr>
            <w:rStyle w:val="Hyperlink"/>
            <w:rFonts w:cstheme="minorHAnsi"/>
          </w:rPr>
          <w:t>2013</w:t>
        </w:r>
      </w:hyperlink>
      <w:r w:rsidRPr="00062196">
        <w:rPr>
          <w:rFonts w:cstheme="minorHAnsi"/>
        </w:rPr>
        <w:t>) and Wang (</w:t>
      </w:r>
      <w:hyperlink r:id="rId81" w:history="1">
        <w:r w:rsidRPr="00062196">
          <w:rPr>
            <w:rStyle w:val="Hyperlink"/>
            <w:rFonts w:cstheme="minorHAnsi"/>
          </w:rPr>
          <w:t>2016</w:t>
        </w:r>
      </w:hyperlink>
      <w:r w:rsidRPr="00062196">
        <w:rPr>
          <w:rFonts w:cstheme="minorHAnsi"/>
        </w:rPr>
        <w:t>). Wage premiums are found to increase with urban density.</w:t>
      </w:r>
    </w:p>
    <w:p w14:paraId="010F59BE" w14:textId="0949F6D5" w:rsidR="00A80159" w:rsidRPr="00062196" w:rsidRDefault="00A80159" w:rsidP="00A80159">
      <w:pPr>
        <w:rPr>
          <w:rFonts w:cstheme="minorHAnsi"/>
        </w:rPr>
      </w:pPr>
      <w:r w:rsidRPr="00062196">
        <w:rPr>
          <w:rFonts w:cstheme="minorHAnsi"/>
        </w:rPr>
        <w:t>Large dense cities also boost patenting. Carlino and Kerr (</w:t>
      </w:r>
      <w:hyperlink r:id="rId82" w:history="1">
        <w:r w:rsidRPr="00062196">
          <w:rPr>
            <w:rStyle w:val="Hyperlink"/>
            <w:rFonts w:cstheme="minorHAnsi"/>
          </w:rPr>
          <w:t>2014</w:t>
        </w:r>
      </w:hyperlink>
      <w:r w:rsidRPr="00062196">
        <w:rPr>
          <w:rFonts w:cstheme="minorHAnsi"/>
        </w:rPr>
        <w:t>, p10) note that, during the 1990s, 92</w:t>
      </w:r>
      <w:r w:rsidR="004E09E1">
        <w:rPr>
          <w:rFonts w:cstheme="minorHAnsi"/>
        </w:rPr>
        <w:t>%</w:t>
      </w:r>
      <w:r w:rsidR="00571580">
        <w:rPr>
          <w:rFonts w:cstheme="minorHAnsi"/>
        </w:rPr>
        <w:t xml:space="preserve"> </w:t>
      </w:r>
      <w:r w:rsidRPr="00062196">
        <w:rPr>
          <w:rFonts w:cstheme="minorHAnsi"/>
        </w:rPr>
        <w:t>of U.S. patents were granted to residents of metropolitan areas, though these areas only contained three-quarters of the U.S. population. Carlino, Chatterjee and Hunt (2007) find that the rate of patenting per capita is about 20</w:t>
      </w:r>
      <w:r w:rsidR="00F031DA">
        <w:rPr>
          <w:rFonts w:cstheme="minorHAnsi"/>
        </w:rPr>
        <w:t>%</w:t>
      </w:r>
      <w:r w:rsidRPr="00062196">
        <w:rPr>
          <w:rFonts w:cstheme="minorHAnsi"/>
        </w:rPr>
        <w:t xml:space="preserve"> higher in a metropolitan area with twice the employment density (jobs per square mile) of another metro area.</w:t>
      </w:r>
    </w:p>
    <w:p w14:paraId="44F26D45" w14:textId="5C6BC76A" w:rsidR="00A80159" w:rsidRPr="00062196" w:rsidRDefault="00A80159" w:rsidP="00A80159">
      <w:pPr>
        <w:rPr>
          <w:rFonts w:cstheme="minorHAnsi"/>
        </w:rPr>
      </w:pPr>
      <w:r w:rsidRPr="00062196">
        <w:rPr>
          <w:rFonts w:cstheme="minorHAnsi"/>
        </w:rPr>
        <w:t>For surveys</w:t>
      </w:r>
      <w:r w:rsidR="00541E90" w:rsidRPr="00541E90">
        <w:rPr>
          <w:rFonts w:cstheme="minorHAnsi"/>
        </w:rPr>
        <w:t xml:space="preserve"> </w:t>
      </w:r>
      <w:r w:rsidR="00541E90" w:rsidRPr="00062196">
        <w:rPr>
          <w:rFonts w:cstheme="minorHAnsi"/>
        </w:rPr>
        <w:t xml:space="preserve">on these </w:t>
      </w:r>
      <w:r w:rsidR="006B095E">
        <w:rPr>
          <w:rFonts w:cstheme="minorHAnsi"/>
        </w:rPr>
        <w:t>issues</w:t>
      </w:r>
      <w:r w:rsidRPr="00062196">
        <w:rPr>
          <w:rFonts w:cstheme="minorHAnsi"/>
        </w:rPr>
        <w:t>, see Glaeser (</w:t>
      </w:r>
      <w:hyperlink r:id="rId83" w:history="1">
        <w:r w:rsidRPr="00062196">
          <w:rPr>
            <w:rStyle w:val="Hyperlink"/>
            <w:rFonts w:cstheme="minorHAnsi"/>
          </w:rPr>
          <w:t>2012</w:t>
        </w:r>
      </w:hyperlink>
      <w:r w:rsidRPr="00062196">
        <w:rPr>
          <w:rFonts w:cstheme="minorHAnsi"/>
        </w:rPr>
        <w:t>), Carlino and Kerr (</w:t>
      </w:r>
      <w:hyperlink r:id="rId84" w:history="1">
        <w:r w:rsidRPr="00062196">
          <w:rPr>
            <w:rStyle w:val="Hyperlink"/>
            <w:rFonts w:cstheme="minorHAnsi"/>
          </w:rPr>
          <w:t>2014</w:t>
        </w:r>
      </w:hyperlink>
      <w:r w:rsidRPr="00062196">
        <w:rPr>
          <w:rFonts w:cstheme="minorHAnsi"/>
        </w:rPr>
        <w:t xml:space="preserve">), Combes and </w:t>
      </w:r>
      <w:proofErr w:type="spellStart"/>
      <w:r w:rsidRPr="00062196">
        <w:rPr>
          <w:rFonts w:cstheme="minorHAnsi"/>
        </w:rPr>
        <w:t>Gobillon</w:t>
      </w:r>
      <w:proofErr w:type="spellEnd"/>
      <w:r w:rsidRPr="00062196">
        <w:rPr>
          <w:rFonts w:cstheme="minorHAnsi"/>
        </w:rPr>
        <w:t xml:space="preserve"> (</w:t>
      </w:r>
      <w:hyperlink r:id="rId85" w:history="1">
        <w:r w:rsidRPr="00062196">
          <w:rPr>
            <w:rStyle w:val="Hyperlink"/>
            <w:rFonts w:cstheme="minorHAnsi"/>
          </w:rPr>
          <w:t>2014</w:t>
        </w:r>
      </w:hyperlink>
      <w:r w:rsidRPr="00062196">
        <w:rPr>
          <w:rFonts w:cstheme="minorHAnsi"/>
        </w:rPr>
        <w:t xml:space="preserve">) and </w:t>
      </w:r>
      <w:proofErr w:type="spellStart"/>
      <w:r w:rsidRPr="00062196">
        <w:rPr>
          <w:rFonts w:cstheme="minorHAnsi"/>
        </w:rPr>
        <w:t>Ahlfeldt</w:t>
      </w:r>
      <w:proofErr w:type="spellEnd"/>
      <w:r w:rsidRPr="00062196">
        <w:rPr>
          <w:rFonts w:cstheme="minorHAnsi"/>
        </w:rPr>
        <w:t xml:space="preserve"> and </w:t>
      </w:r>
      <w:proofErr w:type="spellStart"/>
      <w:r w:rsidRPr="00062196">
        <w:rPr>
          <w:rFonts w:cstheme="minorHAnsi"/>
          <w:lang w:val="en-GB"/>
        </w:rPr>
        <w:t>Pietrostefani</w:t>
      </w:r>
      <w:proofErr w:type="spellEnd"/>
      <w:r w:rsidRPr="00062196">
        <w:rPr>
          <w:rFonts w:cstheme="minorHAnsi"/>
          <w:lang w:val="en-GB"/>
        </w:rPr>
        <w:t xml:space="preserve"> </w:t>
      </w:r>
      <w:r w:rsidRPr="00062196">
        <w:rPr>
          <w:rFonts w:cstheme="minorHAnsi"/>
        </w:rPr>
        <w:t>(</w:t>
      </w:r>
      <w:hyperlink r:id="rId86" w:history="1">
        <w:r w:rsidRPr="00062196">
          <w:rPr>
            <w:rStyle w:val="Hyperlink"/>
            <w:rFonts w:cstheme="minorHAnsi"/>
          </w:rPr>
          <w:t>2019</w:t>
        </w:r>
      </w:hyperlink>
      <w:r w:rsidRPr="00062196">
        <w:rPr>
          <w:rFonts w:cstheme="minorHAnsi"/>
        </w:rPr>
        <w:t>). Glaeser</w:t>
      </w:r>
      <w:r>
        <w:rPr>
          <w:rFonts w:cstheme="minorHAnsi"/>
        </w:rPr>
        <w:t xml:space="preserve"> says</w:t>
      </w:r>
      <w:r w:rsidRPr="00062196">
        <w:rPr>
          <w:rFonts w:cstheme="minorHAnsi"/>
        </w:rPr>
        <w:t xml:space="preserve"> the key lesson is that ‘Ideas spread more easily in denser </w:t>
      </w:r>
      <w:proofErr w:type="gramStart"/>
      <w:r w:rsidRPr="00062196">
        <w:rPr>
          <w:rFonts w:cstheme="minorHAnsi"/>
        </w:rPr>
        <w:t>places’</w:t>
      </w:r>
      <w:proofErr w:type="gramEnd"/>
      <w:r w:rsidRPr="00062196">
        <w:rPr>
          <w:rFonts w:cstheme="minorHAnsi"/>
        </w:rPr>
        <w:t>.</w:t>
      </w:r>
    </w:p>
    <w:p w14:paraId="2356C018" w14:textId="77777777" w:rsidR="00A80159" w:rsidRPr="00062196" w:rsidRDefault="00A80159" w:rsidP="00A80159">
      <w:pPr>
        <w:rPr>
          <w:rFonts w:cstheme="minorHAnsi"/>
          <w:b/>
          <w:bCs/>
        </w:rPr>
      </w:pPr>
      <w:r w:rsidRPr="00062196">
        <w:rPr>
          <w:rFonts w:cstheme="minorHAnsi"/>
        </w:rPr>
        <w:t>To be precise, most of this literature focusses on the density of workers rather than the density of housing. However, the two typically go together. Moreover, many policies (for example, building height limits) affect both in similar ways.</w:t>
      </w:r>
    </w:p>
    <w:p w14:paraId="5214175C" w14:textId="77777777" w:rsidR="00A80159" w:rsidRDefault="00A80159" w:rsidP="00E55C1D">
      <w:pPr>
        <w:keepNext/>
        <w:rPr>
          <w:rFonts w:cstheme="minorHAnsi"/>
        </w:rPr>
      </w:pPr>
      <w:r>
        <w:rPr>
          <w:rFonts w:cstheme="minorHAnsi"/>
        </w:rPr>
        <w:t>The NHSAC has claimed that zoning restrictions are justified by negative externalities:</w:t>
      </w:r>
    </w:p>
    <w:p w14:paraId="67D0F890" w14:textId="585EF268" w:rsidR="00A80159" w:rsidRDefault="00A80159" w:rsidP="00A80159">
      <w:pPr>
        <w:ind w:left="720"/>
        <w:rPr>
          <w:rFonts w:cstheme="minorHAnsi"/>
        </w:rPr>
      </w:pPr>
      <w:r w:rsidRPr="007C5BFB">
        <w:rPr>
          <w:rFonts w:cstheme="minorHAnsi"/>
        </w:rPr>
        <w:t>At least part of this regulatory cost is inescapable: rationing of development rights gives rise to a premium that is necessary to mitigate the negative impacts of urbanisation.</w:t>
      </w:r>
      <w:r w:rsidR="0018341D">
        <w:rPr>
          <w:rFonts w:cstheme="minorHAnsi"/>
        </w:rPr>
        <w:br/>
      </w:r>
      <w:r w:rsidR="0094303A">
        <w:rPr>
          <w:rFonts w:cstheme="minorHAnsi"/>
        </w:rPr>
        <w:t>—</w:t>
      </w:r>
      <w:r w:rsidR="0094303A" w:rsidDel="0094303A">
        <w:rPr>
          <w:rFonts w:cstheme="minorHAnsi"/>
        </w:rPr>
        <w:t xml:space="preserve"> </w:t>
      </w:r>
      <w:r>
        <w:rPr>
          <w:rFonts w:cstheme="minorHAnsi"/>
        </w:rPr>
        <w:t xml:space="preserve"> </w:t>
      </w:r>
      <w:hyperlink r:id="rId87" w:history="1">
        <w:r w:rsidRPr="0085707B">
          <w:rPr>
            <w:rStyle w:val="Hyperlink"/>
            <w:rFonts w:cstheme="minorHAnsi"/>
          </w:rPr>
          <w:t>State of the Housing System</w:t>
        </w:r>
      </w:hyperlink>
      <w:r>
        <w:rPr>
          <w:rFonts w:cstheme="minorHAnsi"/>
        </w:rPr>
        <w:t>, 2024, p34</w:t>
      </w:r>
    </w:p>
    <w:p w14:paraId="56DCABD7" w14:textId="77777777" w:rsidR="00A80159" w:rsidRDefault="00A80159" w:rsidP="00A80159">
      <w:pPr>
        <w:rPr>
          <w:rFonts w:cstheme="minorHAnsi"/>
        </w:rPr>
      </w:pPr>
      <w:r>
        <w:rPr>
          <w:rFonts w:cstheme="minorHAnsi"/>
        </w:rPr>
        <w:t>In fact, the evidence is the exact opposite. The net externalities of urban density are positive, not negative. Instead of restricting density, we should be encouraging it.</w:t>
      </w:r>
    </w:p>
    <w:p w14:paraId="7C33FA9A" w14:textId="7FFDC655" w:rsidR="00A80159" w:rsidRDefault="00A80159" w:rsidP="00715C6F">
      <w:pPr>
        <w:rPr>
          <w:rFonts w:cstheme="minorHAnsi"/>
        </w:rPr>
      </w:pPr>
      <w:r>
        <w:rPr>
          <w:rFonts w:cstheme="minorHAnsi"/>
        </w:rPr>
        <w:t>Many negative externalities</w:t>
      </w:r>
      <w:r w:rsidR="006343FE">
        <w:rPr>
          <w:rFonts w:cstheme="minorHAnsi"/>
        </w:rPr>
        <w:t xml:space="preserve"> —</w:t>
      </w:r>
      <w:r>
        <w:rPr>
          <w:rFonts w:cstheme="minorHAnsi"/>
        </w:rPr>
        <w:t xml:space="preserve"> such as aesthetics, parking, shadows, congestion, or noise</w:t>
      </w:r>
      <w:r w:rsidR="006343FE">
        <w:rPr>
          <w:rFonts w:cstheme="minorHAnsi"/>
        </w:rPr>
        <w:t xml:space="preserve"> —</w:t>
      </w:r>
      <w:r>
        <w:rPr>
          <w:rFonts w:cstheme="minorHAnsi"/>
        </w:rPr>
        <w:t xml:space="preserve"> are highly localised. However, positive externalities</w:t>
      </w:r>
      <w:r w:rsidR="006343FE">
        <w:rPr>
          <w:rFonts w:cstheme="minorHAnsi"/>
        </w:rPr>
        <w:t xml:space="preserve"> —</w:t>
      </w:r>
      <w:r>
        <w:rPr>
          <w:rFonts w:cstheme="minorHAnsi"/>
        </w:rPr>
        <w:t xml:space="preserve"> such as on productivity, technological progress and housing affordability</w:t>
      </w:r>
      <w:r w:rsidR="006343FE">
        <w:rPr>
          <w:rFonts w:cstheme="minorHAnsi"/>
        </w:rPr>
        <w:t xml:space="preserve"> — </w:t>
      </w:r>
      <w:r>
        <w:rPr>
          <w:rFonts w:cstheme="minorHAnsi"/>
        </w:rPr>
        <w:t>are disbursed.</w:t>
      </w:r>
      <w:r w:rsidR="00606F2B">
        <w:rPr>
          <w:rFonts w:cstheme="minorHAnsi"/>
        </w:rPr>
        <w:t xml:space="preserve"> </w:t>
      </w:r>
      <w:r>
        <w:rPr>
          <w:rFonts w:cstheme="minorHAnsi"/>
        </w:rPr>
        <w:t>Similarly, quantity restrictions create local monopoly power at the expense of outside consumers.</w:t>
      </w:r>
      <w:r w:rsidR="00606F2B">
        <w:rPr>
          <w:rFonts w:cstheme="minorHAnsi"/>
        </w:rPr>
        <w:t xml:space="preserve"> </w:t>
      </w:r>
      <w:r w:rsidRPr="00365A51">
        <w:rPr>
          <w:rFonts w:cstheme="minorHAnsi"/>
        </w:rPr>
        <w:t xml:space="preserve">Many opponents of housing </w:t>
      </w:r>
      <w:r>
        <w:rPr>
          <w:rFonts w:cstheme="minorHAnsi"/>
        </w:rPr>
        <w:t xml:space="preserve">developments </w:t>
      </w:r>
      <w:r w:rsidRPr="00365A51">
        <w:rPr>
          <w:rFonts w:cstheme="minorHAnsi"/>
        </w:rPr>
        <w:t xml:space="preserve">want the benefits of living and working in a big city without the local </w:t>
      </w:r>
      <w:r>
        <w:rPr>
          <w:rFonts w:cstheme="minorHAnsi"/>
        </w:rPr>
        <w:t>side-effects</w:t>
      </w:r>
      <w:r w:rsidRPr="00365A51">
        <w:rPr>
          <w:rFonts w:cstheme="minorHAnsi"/>
        </w:rPr>
        <w:t>. “I support housing, but not here”.</w:t>
      </w:r>
      <w:r w:rsidR="00606F2B">
        <w:rPr>
          <w:rFonts w:cstheme="minorHAnsi"/>
        </w:rPr>
        <w:t xml:space="preserve"> </w:t>
      </w:r>
      <w:r w:rsidRPr="00365A51">
        <w:rPr>
          <w:rFonts w:cstheme="minorHAnsi"/>
        </w:rPr>
        <w:t>When local governments are given the power to enact this approach, nothing gets built.</w:t>
      </w:r>
      <w:r w:rsidRPr="00BA180F">
        <w:rPr>
          <w:rFonts w:cstheme="minorHAnsi"/>
        </w:rPr>
        <w:t xml:space="preserve"> </w:t>
      </w:r>
      <w:r>
        <w:rPr>
          <w:rFonts w:cstheme="minorHAnsi"/>
        </w:rPr>
        <w:t>Accordingly, central governments should over-ride local restrictions.</w:t>
      </w:r>
    </w:p>
    <w:sectPr w:rsidR="00A80159" w:rsidSect="00C9273A">
      <w:footerReference w:type="default" r:id="rId8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B7F4" w14:textId="77777777" w:rsidR="00C35546" w:rsidRDefault="00C35546" w:rsidP="00177FAE">
      <w:pPr>
        <w:spacing w:after="0" w:line="240" w:lineRule="auto"/>
      </w:pPr>
      <w:r>
        <w:separator/>
      </w:r>
    </w:p>
  </w:endnote>
  <w:endnote w:type="continuationSeparator" w:id="0">
    <w:p w14:paraId="782AC756" w14:textId="77777777" w:rsidR="00C35546" w:rsidRDefault="00C35546" w:rsidP="0017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280">
    <w:altName w:val="Times New Roman"/>
    <w:charset w:val="00"/>
    <w:family w:val="auto"/>
    <w:pitch w:val="variable"/>
  </w:font>
  <w:font w:name="Calibri-Bold">
    <w:altName w:val="Times New Roman"/>
    <w:charset w:val="00"/>
    <w:family w:val="swiss"/>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14372"/>
      <w:docPartObj>
        <w:docPartGallery w:val="Page Numbers (Bottom of Page)"/>
        <w:docPartUnique/>
      </w:docPartObj>
    </w:sdtPr>
    <w:sdtEndPr>
      <w:rPr>
        <w:noProof/>
      </w:rPr>
    </w:sdtEndPr>
    <w:sdtContent>
      <w:p w14:paraId="3DF32CE9" w14:textId="12F25B9A" w:rsidR="00C634DB" w:rsidRDefault="00C634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BAE84" w14:textId="77777777" w:rsidR="00C634DB" w:rsidRDefault="00C63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4F52" w14:textId="77777777" w:rsidR="00C35546" w:rsidRDefault="00C35546" w:rsidP="00177FAE">
      <w:pPr>
        <w:spacing w:after="0" w:line="240" w:lineRule="auto"/>
      </w:pPr>
      <w:r>
        <w:separator/>
      </w:r>
    </w:p>
  </w:footnote>
  <w:footnote w:type="continuationSeparator" w:id="0">
    <w:p w14:paraId="63438286" w14:textId="77777777" w:rsidR="00C35546" w:rsidRDefault="00C35546" w:rsidP="00177FAE">
      <w:pPr>
        <w:spacing w:after="0" w:line="240" w:lineRule="auto"/>
      </w:pPr>
      <w:r>
        <w:continuationSeparator/>
      </w:r>
    </w:p>
  </w:footnote>
  <w:footnote w:id="1">
    <w:p w14:paraId="0EC55B16" w14:textId="7C4C1994" w:rsidR="00320E51" w:rsidRPr="00320E51" w:rsidRDefault="00320E51">
      <w:pPr>
        <w:pStyle w:val="FootnoteText"/>
        <w:rPr>
          <w:lang w:val="en-US"/>
        </w:rPr>
      </w:pPr>
      <w:r>
        <w:rPr>
          <w:rStyle w:val="FootnoteReference"/>
        </w:rPr>
        <w:footnoteRef/>
      </w:r>
      <w:r>
        <w:t xml:space="preserve"> </w:t>
      </w:r>
      <w:r w:rsidRPr="00320E51">
        <w:rPr>
          <w:lang w:val="en-US"/>
        </w:rPr>
        <w:t xml:space="preserve"> </w:t>
      </w:r>
      <w:r w:rsidR="006B7072">
        <w:rPr>
          <w:lang w:val="en-US"/>
        </w:rPr>
        <w:t xml:space="preserve">65,000 homes is about </w:t>
      </w:r>
      <w:r w:rsidR="000F3DED">
        <w:rPr>
          <w:lang w:val="en-US"/>
        </w:rPr>
        <w:t>0.5% of the national housing stock. A</w:t>
      </w:r>
      <w:r w:rsidRPr="00320E51">
        <w:rPr>
          <w:lang w:val="en-US"/>
        </w:rPr>
        <w:t xml:space="preserve"> 1% increase in the housing stock </w:t>
      </w:r>
      <w:r w:rsidR="000F3DED">
        <w:rPr>
          <w:lang w:val="en-US"/>
        </w:rPr>
        <w:t xml:space="preserve">is estimated to </w:t>
      </w:r>
      <w:r w:rsidRPr="00320E51">
        <w:rPr>
          <w:lang w:val="en-US"/>
        </w:rPr>
        <w:t>lower rents by 2.5%</w:t>
      </w:r>
      <w:r w:rsidR="000F3DED">
        <w:rPr>
          <w:lang w:val="en-US"/>
        </w:rPr>
        <w:t xml:space="preserve">. </w:t>
      </w:r>
      <w:r w:rsidR="004B3D41">
        <w:rPr>
          <w:lang w:val="en-US"/>
        </w:rPr>
        <w:t>Average rent is about $30,000 a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CE8"/>
    <w:multiLevelType w:val="hybridMultilevel"/>
    <w:tmpl w:val="2768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B2A02"/>
    <w:multiLevelType w:val="hybridMultilevel"/>
    <w:tmpl w:val="A198D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A75AC"/>
    <w:multiLevelType w:val="hybridMultilevel"/>
    <w:tmpl w:val="AB52D5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D23D2C"/>
    <w:multiLevelType w:val="multilevel"/>
    <w:tmpl w:val="CA4C7CF2"/>
    <w:lvl w:ilvl="0">
      <w:start w:val="1"/>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23702FD6"/>
    <w:multiLevelType w:val="hybridMultilevel"/>
    <w:tmpl w:val="2F928136"/>
    <w:lvl w:ilvl="0" w:tplc="BB54297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0023E0"/>
    <w:multiLevelType w:val="hybridMultilevel"/>
    <w:tmpl w:val="F440FC8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8B4D79"/>
    <w:multiLevelType w:val="hybridMultilevel"/>
    <w:tmpl w:val="559840E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0C0612"/>
    <w:multiLevelType w:val="hybridMultilevel"/>
    <w:tmpl w:val="69AA338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C451D5"/>
    <w:multiLevelType w:val="multilevel"/>
    <w:tmpl w:val="CF800B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696471A"/>
    <w:multiLevelType w:val="multilevel"/>
    <w:tmpl w:val="8C261B6E"/>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BBA08AE"/>
    <w:multiLevelType w:val="multilevel"/>
    <w:tmpl w:val="98F6B0E8"/>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DB4E07"/>
    <w:multiLevelType w:val="hybridMultilevel"/>
    <w:tmpl w:val="49A49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F041D"/>
    <w:multiLevelType w:val="hybridMultilevel"/>
    <w:tmpl w:val="293C431E"/>
    <w:lvl w:ilvl="0" w:tplc="E5A6C8B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9A5D90"/>
    <w:multiLevelType w:val="hybridMultilevel"/>
    <w:tmpl w:val="390AB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0F6DC5"/>
    <w:multiLevelType w:val="hybridMultilevel"/>
    <w:tmpl w:val="8A1000D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A914A1"/>
    <w:multiLevelType w:val="hybridMultilevel"/>
    <w:tmpl w:val="57D4BE14"/>
    <w:lvl w:ilvl="0" w:tplc="7B748674">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21837C8"/>
    <w:multiLevelType w:val="hybridMultilevel"/>
    <w:tmpl w:val="A7DC1538"/>
    <w:lvl w:ilvl="0" w:tplc="7D76978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474740"/>
    <w:multiLevelType w:val="hybridMultilevel"/>
    <w:tmpl w:val="DB74AF04"/>
    <w:lvl w:ilvl="0" w:tplc="967A4DE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C94F05"/>
    <w:multiLevelType w:val="multilevel"/>
    <w:tmpl w:val="EFE23C3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5CFD1DBE"/>
    <w:multiLevelType w:val="hybridMultilevel"/>
    <w:tmpl w:val="30C6A7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AB163E"/>
    <w:multiLevelType w:val="hybridMultilevel"/>
    <w:tmpl w:val="C23C0FB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2E1830"/>
    <w:multiLevelType w:val="multilevel"/>
    <w:tmpl w:val="2814028A"/>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B271CE"/>
    <w:multiLevelType w:val="hybridMultilevel"/>
    <w:tmpl w:val="7BD0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5926C3"/>
    <w:multiLevelType w:val="multilevel"/>
    <w:tmpl w:val="85628E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B301B3"/>
    <w:multiLevelType w:val="hybridMultilevel"/>
    <w:tmpl w:val="BB8C5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9427367">
    <w:abstractNumId w:val="12"/>
  </w:num>
  <w:num w:numId="2" w16cid:durableId="1290012289">
    <w:abstractNumId w:val="4"/>
  </w:num>
  <w:num w:numId="3" w16cid:durableId="1493720370">
    <w:abstractNumId w:val="9"/>
  </w:num>
  <w:num w:numId="4" w16cid:durableId="1559167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611211">
    <w:abstractNumId w:val="15"/>
  </w:num>
  <w:num w:numId="6" w16cid:durableId="53286764">
    <w:abstractNumId w:val="3"/>
  </w:num>
  <w:num w:numId="7" w16cid:durableId="1141650445">
    <w:abstractNumId w:val="2"/>
  </w:num>
  <w:num w:numId="8" w16cid:durableId="1024138319">
    <w:abstractNumId w:val="23"/>
  </w:num>
  <w:num w:numId="9" w16cid:durableId="215430279">
    <w:abstractNumId w:val="19"/>
  </w:num>
  <w:num w:numId="10" w16cid:durableId="1120222885">
    <w:abstractNumId w:val="0"/>
  </w:num>
  <w:num w:numId="11" w16cid:durableId="1610089972">
    <w:abstractNumId w:val="1"/>
  </w:num>
  <w:num w:numId="12" w16cid:durableId="168181475">
    <w:abstractNumId w:val="11"/>
  </w:num>
  <w:num w:numId="13" w16cid:durableId="1235554087">
    <w:abstractNumId w:val="24"/>
  </w:num>
  <w:num w:numId="14" w16cid:durableId="1209295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4216578">
    <w:abstractNumId w:val="20"/>
  </w:num>
  <w:num w:numId="16" w16cid:durableId="106505505">
    <w:abstractNumId w:val="6"/>
  </w:num>
  <w:num w:numId="17" w16cid:durableId="701513984">
    <w:abstractNumId w:val="22"/>
  </w:num>
  <w:num w:numId="18" w16cid:durableId="1974098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796413">
    <w:abstractNumId w:val="5"/>
  </w:num>
  <w:num w:numId="20" w16cid:durableId="1461921258">
    <w:abstractNumId w:val="17"/>
  </w:num>
  <w:num w:numId="21" w16cid:durableId="160052775">
    <w:abstractNumId w:val="21"/>
  </w:num>
  <w:num w:numId="22" w16cid:durableId="1149594324">
    <w:abstractNumId w:val="16"/>
  </w:num>
  <w:num w:numId="23" w16cid:durableId="440222035">
    <w:abstractNumId w:val="10"/>
  </w:num>
  <w:num w:numId="24" w16cid:durableId="741097741">
    <w:abstractNumId w:val="10"/>
    <w:lvlOverride w:ilvl="0">
      <w:lvl w:ilvl="0">
        <w:start w:val="1"/>
        <w:numFmt w:val="upperRoman"/>
        <w:lvlText w:val="%1."/>
        <w:lvlJc w:val="right"/>
        <w:pPr>
          <w:tabs>
            <w:tab w:val="num" w:pos="720"/>
          </w:tabs>
          <w:ind w:left="720" w:hanging="720"/>
        </w:pPr>
        <w:rPr>
          <w:rFonts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708384223">
    <w:abstractNumId w:val="10"/>
    <w:lvlOverride w:ilvl="0">
      <w:lvl w:ilvl="0">
        <w:start w:val="1"/>
        <w:numFmt w:val="upperRoman"/>
        <w:lvlText w:val="%1.a"/>
        <w:lvlJc w:val="right"/>
        <w:pPr>
          <w:tabs>
            <w:tab w:val="num" w:pos="720"/>
          </w:tabs>
          <w:ind w:left="720" w:hanging="720"/>
        </w:pPr>
        <w:rPr>
          <w:rFonts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1182745768">
    <w:abstractNumId w:val="8"/>
  </w:num>
  <w:num w:numId="27" w16cid:durableId="1911112256">
    <w:abstractNumId w:val="18"/>
  </w:num>
  <w:num w:numId="28" w16cid:durableId="237833637">
    <w:abstractNumId w:val="18"/>
  </w:num>
  <w:num w:numId="29" w16cid:durableId="1178420059">
    <w:abstractNumId w:val="13"/>
  </w:num>
  <w:num w:numId="30" w16cid:durableId="2143424650">
    <w:abstractNumId w:val="7"/>
  </w:num>
  <w:num w:numId="31" w16cid:durableId="1528249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1A"/>
    <w:rsid w:val="00000650"/>
    <w:rsid w:val="00000AA9"/>
    <w:rsid w:val="0000171A"/>
    <w:rsid w:val="00001A31"/>
    <w:rsid w:val="00003D33"/>
    <w:rsid w:val="00003F97"/>
    <w:rsid w:val="0000498A"/>
    <w:rsid w:val="00006D9D"/>
    <w:rsid w:val="00010613"/>
    <w:rsid w:val="00012E6F"/>
    <w:rsid w:val="0001495A"/>
    <w:rsid w:val="00016570"/>
    <w:rsid w:val="00016965"/>
    <w:rsid w:val="00016C9F"/>
    <w:rsid w:val="00017E68"/>
    <w:rsid w:val="00021329"/>
    <w:rsid w:val="00022C86"/>
    <w:rsid w:val="000254DC"/>
    <w:rsid w:val="00026226"/>
    <w:rsid w:val="000263FB"/>
    <w:rsid w:val="00026C80"/>
    <w:rsid w:val="00031E35"/>
    <w:rsid w:val="000324F8"/>
    <w:rsid w:val="00032660"/>
    <w:rsid w:val="00032852"/>
    <w:rsid w:val="00032A74"/>
    <w:rsid w:val="00035782"/>
    <w:rsid w:val="00035A7B"/>
    <w:rsid w:val="00037439"/>
    <w:rsid w:val="00041522"/>
    <w:rsid w:val="00042DD1"/>
    <w:rsid w:val="00044F51"/>
    <w:rsid w:val="00045242"/>
    <w:rsid w:val="00045A02"/>
    <w:rsid w:val="00045BE3"/>
    <w:rsid w:val="00045C7C"/>
    <w:rsid w:val="00046014"/>
    <w:rsid w:val="00046A80"/>
    <w:rsid w:val="00050599"/>
    <w:rsid w:val="00050608"/>
    <w:rsid w:val="00050BF1"/>
    <w:rsid w:val="00051B57"/>
    <w:rsid w:val="00052203"/>
    <w:rsid w:val="00052B4F"/>
    <w:rsid w:val="00053949"/>
    <w:rsid w:val="0005394A"/>
    <w:rsid w:val="00053BD3"/>
    <w:rsid w:val="00053E8E"/>
    <w:rsid w:val="000558E0"/>
    <w:rsid w:val="00056F55"/>
    <w:rsid w:val="00057118"/>
    <w:rsid w:val="000577A4"/>
    <w:rsid w:val="00061801"/>
    <w:rsid w:val="00062196"/>
    <w:rsid w:val="00062491"/>
    <w:rsid w:val="000636B5"/>
    <w:rsid w:val="00063B29"/>
    <w:rsid w:val="00063FA7"/>
    <w:rsid w:val="00064F2F"/>
    <w:rsid w:val="0006616C"/>
    <w:rsid w:val="0007099A"/>
    <w:rsid w:val="00071F7C"/>
    <w:rsid w:val="00071FEB"/>
    <w:rsid w:val="00072626"/>
    <w:rsid w:val="0007346B"/>
    <w:rsid w:val="000736D6"/>
    <w:rsid w:val="000749F8"/>
    <w:rsid w:val="00074EB7"/>
    <w:rsid w:val="0007629D"/>
    <w:rsid w:val="0007648F"/>
    <w:rsid w:val="00076BEF"/>
    <w:rsid w:val="00077339"/>
    <w:rsid w:val="00080A0A"/>
    <w:rsid w:val="0008114C"/>
    <w:rsid w:val="00083B90"/>
    <w:rsid w:val="00083F4C"/>
    <w:rsid w:val="00084525"/>
    <w:rsid w:val="000850BE"/>
    <w:rsid w:val="00085BFA"/>
    <w:rsid w:val="00085D73"/>
    <w:rsid w:val="0008772D"/>
    <w:rsid w:val="00087742"/>
    <w:rsid w:val="00090791"/>
    <w:rsid w:val="00090AB3"/>
    <w:rsid w:val="00090AF9"/>
    <w:rsid w:val="00091D62"/>
    <w:rsid w:val="0009284F"/>
    <w:rsid w:val="00092C0E"/>
    <w:rsid w:val="00093CBF"/>
    <w:rsid w:val="0009548E"/>
    <w:rsid w:val="00095FD4"/>
    <w:rsid w:val="00096A2D"/>
    <w:rsid w:val="00097650"/>
    <w:rsid w:val="000A05A7"/>
    <w:rsid w:val="000A0AFD"/>
    <w:rsid w:val="000A0D2C"/>
    <w:rsid w:val="000A276F"/>
    <w:rsid w:val="000A3367"/>
    <w:rsid w:val="000A495E"/>
    <w:rsid w:val="000A66BE"/>
    <w:rsid w:val="000A6735"/>
    <w:rsid w:val="000A6DE3"/>
    <w:rsid w:val="000A7BD1"/>
    <w:rsid w:val="000B0870"/>
    <w:rsid w:val="000B0959"/>
    <w:rsid w:val="000B225F"/>
    <w:rsid w:val="000B2937"/>
    <w:rsid w:val="000B2BA4"/>
    <w:rsid w:val="000B32D4"/>
    <w:rsid w:val="000B49BF"/>
    <w:rsid w:val="000C0EB1"/>
    <w:rsid w:val="000C1882"/>
    <w:rsid w:val="000C19B5"/>
    <w:rsid w:val="000C19D9"/>
    <w:rsid w:val="000C3C2F"/>
    <w:rsid w:val="000C4A76"/>
    <w:rsid w:val="000D194F"/>
    <w:rsid w:val="000D251D"/>
    <w:rsid w:val="000D2BBA"/>
    <w:rsid w:val="000D2BD0"/>
    <w:rsid w:val="000D341A"/>
    <w:rsid w:val="000D3A02"/>
    <w:rsid w:val="000D522A"/>
    <w:rsid w:val="000D62A7"/>
    <w:rsid w:val="000D6423"/>
    <w:rsid w:val="000D7D1D"/>
    <w:rsid w:val="000E029B"/>
    <w:rsid w:val="000E10EF"/>
    <w:rsid w:val="000E2045"/>
    <w:rsid w:val="000E2626"/>
    <w:rsid w:val="000E27DA"/>
    <w:rsid w:val="000E36FC"/>
    <w:rsid w:val="000E3AE5"/>
    <w:rsid w:val="000E65EE"/>
    <w:rsid w:val="000E6686"/>
    <w:rsid w:val="000E6BAD"/>
    <w:rsid w:val="000E6E0F"/>
    <w:rsid w:val="000E7F0A"/>
    <w:rsid w:val="000F1ACD"/>
    <w:rsid w:val="000F1EE2"/>
    <w:rsid w:val="000F3DED"/>
    <w:rsid w:val="000F427B"/>
    <w:rsid w:val="000F5902"/>
    <w:rsid w:val="000F5DC5"/>
    <w:rsid w:val="000F6007"/>
    <w:rsid w:val="000F7D58"/>
    <w:rsid w:val="001001FB"/>
    <w:rsid w:val="00100C02"/>
    <w:rsid w:val="001016E3"/>
    <w:rsid w:val="00101A2B"/>
    <w:rsid w:val="0010331E"/>
    <w:rsid w:val="00103B30"/>
    <w:rsid w:val="00107210"/>
    <w:rsid w:val="00110133"/>
    <w:rsid w:val="00110CE1"/>
    <w:rsid w:val="00111084"/>
    <w:rsid w:val="00111B3F"/>
    <w:rsid w:val="00111E42"/>
    <w:rsid w:val="00111F30"/>
    <w:rsid w:val="0011243F"/>
    <w:rsid w:val="00112D26"/>
    <w:rsid w:val="00112FC8"/>
    <w:rsid w:val="001137B1"/>
    <w:rsid w:val="00113AC6"/>
    <w:rsid w:val="00115769"/>
    <w:rsid w:val="00115BC7"/>
    <w:rsid w:val="00116110"/>
    <w:rsid w:val="001161C0"/>
    <w:rsid w:val="00120A39"/>
    <w:rsid w:val="00121631"/>
    <w:rsid w:val="00122830"/>
    <w:rsid w:val="00122909"/>
    <w:rsid w:val="00122E77"/>
    <w:rsid w:val="00123658"/>
    <w:rsid w:val="001236BD"/>
    <w:rsid w:val="001240A7"/>
    <w:rsid w:val="00125E8A"/>
    <w:rsid w:val="001264F8"/>
    <w:rsid w:val="00126708"/>
    <w:rsid w:val="00126BC2"/>
    <w:rsid w:val="00130774"/>
    <w:rsid w:val="00130A60"/>
    <w:rsid w:val="00130DF7"/>
    <w:rsid w:val="001310F6"/>
    <w:rsid w:val="0013128A"/>
    <w:rsid w:val="00131BF2"/>
    <w:rsid w:val="00131CC6"/>
    <w:rsid w:val="0013326C"/>
    <w:rsid w:val="001334DB"/>
    <w:rsid w:val="00134F33"/>
    <w:rsid w:val="00135257"/>
    <w:rsid w:val="00135286"/>
    <w:rsid w:val="00135CDD"/>
    <w:rsid w:val="00136F2E"/>
    <w:rsid w:val="00141563"/>
    <w:rsid w:val="00142455"/>
    <w:rsid w:val="001437D3"/>
    <w:rsid w:val="00145311"/>
    <w:rsid w:val="0014624D"/>
    <w:rsid w:val="001472EB"/>
    <w:rsid w:val="0014732A"/>
    <w:rsid w:val="00147CFB"/>
    <w:rsid w:val="00150FE9"/>
    <w:rsid w:val="001519BA"/>
    <w:rsid w:val="00151D8D"/>
    <w:rsid w:val="0015317A"/>
    <w:rsid w:val="00153A94"/>
    <w:rsid w:val="00153AAA"/>
    <w:rsid w:val="00154F68"/>
    <w:rsid w:val="001567C5"/>
    <w:rsid w:val="001567D1"/>
    <w:rsid w:val="00157A19"/>
    <w:rsid w:val="00160E4C"/>
    <w:rsid w:val="0016221C"/>
    <w:rsid w:val="0016225B"/>
    <w:rsid w:val="00162C70"/>
    <w:rsid w:val="0016335E"/>
    <w:rsid w:val="001648A5"/>
    <w:rsid w:val="00164D3E"/>
    <w:rsid w:val="00165E4F"/>
    <w:rsid w:val="00165E7D"/>
    <w:rsid w:val="001664A0"/>
    <w:rsid w:val="001664B1"/>
    <w:rsid w:val="00166E0D"/>
    <w:rsid w:val="001701DE"/>
    <w:rsid w:val="00170A05"/>
    <w:rsid w:val="00171E40"/>
    <w:rsid w:val="00172820"/>
    <w:rsid w:val="0017352C"/>
    <w:rsid w:val="00175778"/>
    <w:rsid w:val="00175788"/>
    <w:rsid w:val="00175D67"/>
    <w:rsid w:val="00176460"/>
    <w:rsid w:val="00177C6D"/>
    <w:rsid w:val="00177FAE"/>
    <w:rsid w:val="001822A3"/>
    <w:rsid w:val="00182306"/>
    <w:rsid w:val="0018341D"/>
    <w:rsid w:val="001838A2"/>
    <w:rsid w:val="00186FB3"/>
    <w:rsid w:val="00187329"/>
    <w:rsid w:val="001873AD"/>
    <w:rsid w:val="00187953"/>
    <w:rsid w:val="00191FCF"/>
    <w:rsid w:val="00192717"/>
    <w:rsid w:val="00193460"/>
    <w:rsid w:val="001949BB"/>
    <w:rsid w:val="00195724"/>
    <w:rsid w:val="0019604F"/>
    <w:rsid w:val="001A10D5"/>
    <w:rsid w:val="001A1321"/>
    <w:rsid w:val="001A1BDA"/>
    <w:rsid w:val="001A2DC7"/>
    <w:rsid w:val="001A378E"/>
    <w:rsid w:val="001A3B73"/>
    <w:rsid w:val="001A3D9E"/>
    <w:rsid w:val="001A4012"/>
    <w:rsid w:val="001A437F"/>
    <w:rsid w:val="001A4A98"/>
    <w:rsid w:val="001A5C04"/>
    <w:rsid w:val="001A6FEE"/>
    <w:rsid w:val="001A723F"/>
    <w:rsid w:val="001B0CD8"/>
    <w:rsid w:val="001B1F53"/>
    <w:rsid w:val="001B20A7"/>
    <w:rsid w:val="001B28AC"/>
    <w:rsid w:val="001B2B13"/>
    <w:rsid w:val="001B2C1E"/>
    <w:rsid w:val="001B30AC"/>
    <w:rsid w:val="001B327A"/>
    <w:rsid w:val="001B47F0"/>
    <w:rsid w:val="001B565E"/>
    <w:rsid w:val="001B5C4A"/>
    <w:rsid w:val="001B6594"/>
    <w:rsid w:val="001B705D"/>
    <w:rsid w:val="001B7293"/>
    <w:rsid w:val="001C0C6F"/>
    <w:rsid w:val="001C3041"/>
    <w:rsid w:val="001C3CC2"/>
    <w:rsid w:val="001C6DE3"/>
    <w:rsid w:val="001C7505"/>
    <w:rsid w:val="001C7C0F"/>
    <w:rsid w:val="001D1925"/>
    <w:rsid w:val="001D2551"/>
    <w:rsid w:val="001D3F65"/>
    <w:rsid w:val="001D5074"/>
    <w:rsid w:val="001D6A8F"/>
    <w:rsid w:val="001D6AF2"/>
    <w:rsid w:val="001D79F1"/>
    <w:rsid w:val="001D7FBE"/>
    <w:rsid w:val="001E1CE4"/>
    <w:rsid w:val="001E31D9"/>
    <w:rsid w:val="001E42BA"/>
    <w:rsid w:val="001E4C02"/>
    <w:rsid w:val="001E52B0"/>
    <w:rsid w:val="001E55B0"/>
    <w:rsid w:val="001E5896"/>
    <w:rsid w:val="001E5F1A"/>
    <w:rsid w:val="001E7670"/>
    <w:rsid w:val="001E7811"/>
    <w:rsid w:val="001E7A63"/>
    <w:rsid w:val="001F0241"/>
    <w:rsid w:val="001F1270"/>
    <w:rsid w:val="001F1990"/>
    <w:rsid w:val="001F3016"/>
    <w:rsid w:val="001F56C1"/>
    <w:rsid w:val="001F5FD5"/>
    <w:rsid w:val="00200F76"/>
    <w:rsid w:val="0020188F"/>
    <w:rsid w:val="002018B0"/>
    <w:rsid w:val="0020211C"/>
    <w:rsid w:val="0020258C"/>
    <w:rsid w:val="00202672"/>
    <w:rsid w:val="00204A9A"/>
    <w:rsid w:val="00205C1E"/>
    <w:rsid w:val="00205D1E"/>
    <w:rsid w:val="00206A85"/>
    <w:rsid w:val="002103E8"/>
    <w:rsid w:val="00210532"/>
    <w:rsid w:val="00210EDE"/>
    <w:rsid w:val="002120F4"/>
    <w:rsid w:val="002134E2"/>
    <w:rsid w:val="00214891"/>
    <w:rsid w:val="00215385"/>
    <w:rsid w:val="0021605E"/>
    <w:rsid w:val="00216489"/>
    <w:rsid w:val="00217732"/>
    <w:rsid w:val="00220F24"/>
    <w:rsid w:val="0022166A"/>
    <w:rsid w:val="00221F5C"/>
    <w:rsid w:val="00222920"/>
    <w:rsid w:val="00223030"/>
    <w:rsid w:val="002255C7"/>
    <w:rsid w:val="002268DC"/>
    <w:rsid w:val="00227D5C"/>
    <w:rsid w:val="002322A9"/>
    <w:rsid w:val="00232B42"/>
    <w:rsid w:val="002355C5"/>
    <w:rsid w:val="002372D8"/>
    <w:rsid w:val="00237E40"/>
    <w:rsid w:val="00240399"/>
    <w:rsid w:val="002427B3"/>
    <w:rsid w:val="002428EB"/>
    <w:rsid w:val="002442EA"/>
    <w:rsid w:val="00244B1E"/>
    <w:rsid w:val="002459A4"/>
    <w:rsid w:val="00247DD0"/>
    <w:rsid w:val="002506C0"/>
    <w:rsid w:val="00250F16"/>
    <w:rsid w:val="0025168C"/>
    <w:rsid w:val="00251CD0"/>
    <w:rsid w:val="002545EE"/>
    <w:rsid w:val="002551CA"/>
    <w:rsid w:val="002555D6"/>
    <w:rsid w:val="0025762F"/>
    <w:rsid w:val="00257858"/>
    <w:rsid w:val="00257DD5"/>
    <w:rsid w:val="00261108"/>
    <w:rsid w:val="0026246F"/>
    <w:rsid w:val="0026289E"/>
    <w:rsid w:val="00262F9B"/>
    <w:rsid w:val="00265226"/>
    <w:rsid w:val="002653AC"/>
    <w:rsid w:val="00267BA6"/>
    <w:rsid w:val="002700CD"/>
    <w:rsid w:val="002712D7"/>
    <w:rsid w:val="002714B6"/>
    <w:rsid w:val="00272CAA"/>
    <w:rsid w:val="002734FE"/>
    <w:rsid w:val="0027463B"/>
    <w:rsid w:val="00274CDA"/>
    <w:rsid w:val="002750F4"/>
    <w:rsid w:val="0027590D"/>
    <w:rsid w:val="00276A58"/>
    <w:rsid w:val="00276B6F"/>
    <w:rsid w:val="002774E0"/>
    <w:rsid w:val="00277F30"/>
    <w:rsid w:val="00281873"/>
    <w:rsid w:val="00282442"/>
    <w:rsid w:val="0028267A"/>
    <w:rsid w:val="00282ED4"/>
    <w:rsid w:val="002837E5"/>
    <w:rsid w:val="0028386A"/>
    <w:rsid w:val="00283CA2"/>
    <w:rsid w:val="00285A77"/>
    <w:rsid w:val="00285DD9"/>
    <w:rsid w:val="00286293"/>
    <w:rsid w:val="00287037"/>
    <w:rsid w:val="002901DA"/>
    <w:rsid w:val="00290AB0"/>
    <w:rsid w:val="00290EA3"/>
    <w:rsid w:val="002939EB"/>
    <w:rsid w:val="0029466B"/>
    <w:rsid w:val="0029500C"/>
    <w:rsid w:val="00297C57"/>
    <w:rsid w:val="002A0562"/>
    <w:rsid w:val="002A0E43"/>
    <w:rsid w:val="002A3B75"/>
    <w:rsid w:val="002A4FA7"/>
    <w:rsid w:val="002A5EAE"/>
    <w:rsid w:val="002A7156"/>
    <w:rsid w:val="002A7271"/>
    <w:rsid w:val="002B0838"/>
    <w:rsid w:val="002B2BB5"/>
    <w:rsid w:val="002B2F5D"/>
    <w:rsid w:val="002B3D3A"/>
    <w:rsid w:val="002B45C4"/>
    <w:rsid w:val="002B58D2"/>
    <w:rsid w:val="002B65A7"/>
    <w:rsid w:val="002B7A1A"/>
    <w:rsid w:val="002C0D7F"/>
    <w:rsid w:val="002C19EE"/>
    <w:rsid w:val="002C3899"/>
    <w:rsid w:val="002C4CF7"/>
    <w:rsid w:val="002C4F3F"/>
    <w:rsid w:val="002C782E"/>
    <w:rsid w:val="002C7931"/>
    <w:rsid w:val="002D066C"/>
    <w:rsid w:val="002D2D3A"/>
    <w:rsid w:val="002D31C6"/>
    <w:rsid w:val="002D3C87"/>
    <w:rsid w:val="002D411C"/>
    <w:rsid w:val="002D44E0"/>
    <w:rsid w:val="002D4E3D"/>
    <w:rsid w:val="002D5377"/>
    <w:rsid w:val="002E02E5"/>
    <w:rsid w:val="002E0969"/>
    <w:rsid w:val="002E322F"/>
    <w:rsid w:val="002E40E7"/>
    <w:rsid w:val="002E4247"/>
    <w:rsid w:val="002E5A4C"/>
    <w:rsid w:val="002E68CF"/>
    <w:rsid w:val="002E714B"/>
    <w:rsid w:val="002E740B"/>
    <w:rsid w:val="002E7DF6"/>
    <w:rsid w:val="002F175E"/>
    <w:rsid w:val="002F41FA"/>
    <w:rsid w:val="002F4788"/>
    <w:rsid w:val="0030022E"/>
    <w:rsid w:val="00300585"/>
    <w:rsid w:val="003008A3"/>
    <w:rsid w:val="00302876"/>
    <w:rsid w:val="003032B3"/>
    <w:rsid w:val="00306238"/>
    <w:rsid w:val="003066C9"/>
    <w:rsid w:val="00306CC0"/>
    <w:rsid w:val="0030736F"/>
    <w:rsid w:val="0031168D"/>
    <w:rsid w:val="00311AC9"/>
    <w:rsid w:val="003141EE"/>
    <w:rsid w:val="003179D4"/>
    <w:rsid w:val="003201D0"/>
    <w:rsid w:val="00320E51"/>
    <w:rsid w:val="003217B5"/>
    <w:rsid w:val="00321BC9"/>
    <w:rsid w:val="00322984"/>
    <w:rsid w:val="0032451D"/>
    <w:rsid w:val="00324A1C"/>
    <w:rsid w:val="00325A0A"/>
    <w:rsid w:val="00326F1E"/>
    <w:rsid w:val="00330692"/>
    <w:rsid w:val="00330E9E"/>
    <w:rsid w:val="00331E08"/>
    <w:rsid w:val="00333C4F"/>
    <w:rsid w:val="00334097"/>
    <w:rsid w:val="00334C62"/>
    <w:rsid w:val="0033516B"/>
    <w:rsid w:val="00335E8D"/>
    <w:rsid w:val="003361FF"/>
    <w:rsid w:val="0033644E"/>
    <w:rsid w:val="00336A6F"/>
    <w:rsid w:val="00336B49"/>
    <w:rsid w:val="00337F1B"/>
    <w:rsid w:val="00340294"/>
    <w:rsid w:val="003407BF"/>
    <w:rsid w:val="0034130F"/>
    <w:rsid w:val="00341562"/>
    <w:rsid w:val="00341CF8"/>
    <w:rsid w:val="00341ECB"/>
    <w:rsid w:val="00343F94"/>
    <w:rsid w:val="00344785"/>
    <w:rsid w:val="003474AA"/>
    <w:rsid w:val="00347990"/>
    <w:rsid w:val="00347A5C"/>
    <w:rsid w:val="00347D75"/>
    <w:rsid w:val="00350471"/>
    <w:rsid w:val="003508C1"/>
    <w:rsid w:val="003509C3"/>
    <w:rsid w:val="00351E1A"/>
    <w:rsid w:val="00354DE0"/>
    <w:rsid w:val="00355217"/>
    <w:rsid w:val="00355647"/>
    <w:rsid w:val="00355821"/>
    <w:rsid w:val="0035733C"/>
    <w:rsid w:val="003611FC"/>
    <w:rsid w:val="00362606"/>
    <w:rsid w:val="00363111"/>
    <w:rsid w:val="003639D3"/>
    <w:rsid w:val="00364052"/>
    <w:rsid w:val="00364707"/>
    <w:rsid w:val="0036568D"/>
    <w:rsid w:val="00365A51"/>
    <w:rsid w:val="00365A6D"/>
    <w:rsid w:val="0037182C"/>
    <w:rsid w:val="00372EAF"/>
    <w:rsid w:val="00373DB5"/>
    <w:rsid w:val="003744DD"/>
    <w:rsid w:val="003746EF"/>
    <w:rsid w:val="00375602"/>
    <w:rsid w:val="00375C60"/>
    <w:rsid w:val="0037630B"/>
    <w:rsid w:val="00376A61"/>
    <w:rsid w:val="00376B39"/>
    <w:rsid w:val="00381F22"/>
    <w:rsid w:val="00383150"/>
    <w:rsid w:val="00384CF3"/>
    <w:rsid w:val="00386D9F"/>
    <w:rsid w:val="00386E69"/>
    <w:rsid w:val="00387F76"/>
    <w:rsid w:val="0039009F"/>
    <w:rsid w:val="00390192"/>
    <w:rsid w:val="003908C4"/>
    <w:rsid w:val="003910A6"/>
    <w:rsid w:val="0039168D"/>
    <w:rsid w:val="0039284E"/>
    <w:rsid w:val="00392A6A"/>
    <w:rsid w:val="00392FE4"/>
    <w:rsid w:val="0039412F"/>
    <w:rsid w:val="0039468D"/>
    <w:rsid w:val="00395E5B"/>
    <w:rsid w:val="0039621D"/>
    <w:rsid w:val="00396A65"/>
    <w:rsid w:val="003975A0"/>
    <w:rsid w:val="00397918"/>
    <w:rsid w:val="003A2596"/>
    <w:rsid w:val="003A2B81"/>
    <w:rsid w:val="003A6730"/>
    <w:rsid w:val="003A68FC"/>
    <w:rsid w:val="003A6D02"/>
    <w:rsid w:val="003A6E80"/>
    <w:rsid w:val="003A7E20"/>
    <w:rsid w:val="003B1F64"/>
    <w:rsid w:val="003B24E9"/>
    <w:rsid w:val="003B2C0E"/>
    <w:rsid w:val="003B3B50"/>
    <w:rsid w:val="003B4DA9"/>
    <w:rsid w:val="003B53E4"/>
    <w:rsid w:val="003B5E91"/>
    <w:rsid w:val="003B7C73"/>
    <w:rsid w:val="003C00E3"/>
    <w:rsid w:val="003C1DB5"/>
    <w:rsid w:val="003C1FE7"/>
    <w:rsid w:val="003C2294"/>
    <w:rsid w:val="003C25E8"/>
    <w:rsid w:val="003C2CEB"/>
    <w:rsid w:val="003C2ED9"/>
    <w:rsid w:val="003C3578"/>
    <w:rsid w:val="003C50D4"/>
    <w:rsid w:val="003C53FD"/>
    <w:rsid w:val="003C5519"/>
    <w:rsid w:val="003C5798"/>
    <w:rsid w:val="003C5A31"/>
    <w:rsid w:val="003D0042"/>
    <w:rsid w:val="003D02BC"/>
    <w:rsid w:val="003D0B46"/>
    <w:rsid w:val="003D0D52"/>
    <w:rsid w:val="003D2713"/>
    <w:rsid w:val="003D32A5"/>
    <w:rsid w:val="003D40CB"/>
    <w:rsid w:val="003D4648"/>
    <w:rsid w:val="003D4DBA"/>
    <w:rsid w:val="003D6F45"/>
    <w:rsid w:val="003D780D"/>
    <w:rsid w:val="003E06E1"/>
    <w:rsid w:val="003E1A8F"/>
    <w:rsid w:val="003E2B71"/>
    <w:rsid w:val="003E4503"/>
    <w:rsid w:val="003E58BE"/>
    <w:rsid w:val="003E670A"/>
    <w:rsid w:val="003E6A92"/>
    <w:rsid w:val="003E736F"/>
    <w:rsid w:val="003E7924"/>
    <w:rsid w:val="003F0064"/>
    <w:rsid w:val="003F5977"/>
    <w:rsid w:val="003F6447"/>
    <w:rsid w:val="003F762A"/>
    <w:rsid w:val="003F78EA"/>
    <w:rsid w:val="00401C55"/>
    <w:rsid w:val="0040558E"/>
    <w:rsid w:val="00405625"/>
    <w:rsid w:val="00406148"/>
    <w:rsid w:val="00410584"/>
    <w:rsid w:val="00411574"/>
    <w:rsid w:val="004142FE"/>
    <w:rsid w:val="004146DC"/>
    <w:rsid w:val="00414A62"/>
    <w:rsid w:val="00417999"/>
    <w:rsid w:val="00420CE4"/>
    <w:rsid w:val="0042120C"/>
    <w:rsid w:val="004212F5"/>
    <w:rsid w:val="0042156C"/>
    <w:rsid w:val="00421713"/>
    <w:rsid w:val="00421D88"/>
    <w:rsid w:val="00421F27"/>
    <w:rsid w:val="004224EE"/>
    <w:rsid w:val="00422B09"/>
    <w:rsid w:val="00424250"/>
    <w:rsid w:val="004249DA"/>
    <w:rsid w:val="00425C95"/>
    <w:rsid w:val="0042664D"/>
    <w:rsid w:val="00427B45"/>
    <w:rsid w:val="00430506"/>
    <w:rsid w:val="00431752"/>
    <w:rsid w:val="00431C5F"/>
    <w:rsid w:val="004327E8"/>
    <w:rsid w:val="00433837"/>
    <w:rsid w:val="00434447"/>
    <w:rsid w:val="004346C3"/>
    <w:rsid w:val="004355F0"/>
    <w:rsid w:val="00435983"/>
    <w:rsid w:val="004359EE"/>
    <w:rsid w:val="004402E9"/>
    <w:rsid w:val="00441CF0"/>
    <w:rsid w:val="00441ED6"/>
    <w:rsid w:val="00442147"/>
    <w:rsid w:val="0044275C"/>
    <w:rsid w:val="00442E44"/>
    <w:rsid w:val="004435F1"/>
    <w:rsid w:val="0044374F"/>
    <w:rsid w:val="00444EB2"/>
    <w:rsid w:val="00445490"/>
    <w:rsid w:val="00450069"/>
    <w:rsid w:val="0045012B"/>
    <w:rsid w:val="00450A8A"/>
    <w:rsid w:val="004517ED"/>
    <w:rsid w:val="00451C7A"/>
    <w:rsid w:val="00452AC2"/>
    <w:rsid w:val="00452BFE"/>
    <w:rsid w:val="00452E32"/>
    <w:rsid w:val="00454143"/>
    <w:rsid w:val="00455561"/>
    <w:rsid w:val="004565CE"/>
    <w:rsid w:val="004565ED"/>
    <w:rsid w:val="00456F23"/>
    <w:rsid w:val="00457146"/>
    <w:rsid w:val="00457D80"/>
    <w:rsid w:val="0046021A"/>
    <w:rsid w:val="00460367"/>
    <w:rsid w:val="00460468"/>
    <w:rsid w:val="00462AB7"/>
    <w:rsid w:val="00463AA2"/>
    <w:rsid w:val="00464023"/>
    <w:rsid w:val="00464041"/>
    <w:rsid w:val="00464D9F"/>
    <w:rsid w:val="0046570C"/>
    <w:rsid w:val="00465DD5"/>
    <w:rsid w:val="0046709E"/>
    <w:rsid w:val="00471580"/>
    <w:rsid w:val="00471FD6"/>
    <w:rsid w:val="0047223C"/>
    <w:rsid w:val="00473532"/>
    <w:rsid w:val="004750E8"/>
    <w:rsid w:val="004753BA"/>
    <w:rsid w:val="004755A1"/>
    <w:rsid w:val="00475D73"/>
    <w:rsid w:val="0047651E"/>
    <w:rsid w:val="0047700D"/>
    <w:rsid w:val="00483CDC"/>
    <w:rsid w:val="00483D96"/>
    <w:rsid w:val="00484A6A"/>
    <w:rsid w:val="0048540E"/>
    <w:rsid w:val="00487A76"/>
    <w:rsid w:val="004901A5"/>
    <w:rsid w:val="004902CF"/>
    <w:rsid w:val="0049088E"/>
    <w:rsid w:val="004937A5"/>
    <w:rsid w:val="004941D5"/>
    <w:rsid w:val="0049590F"/>
    <w:rsid w:val="00495A83"/>
    <w:rsid w:val="004962DC"/>
    <w:rsid w:val="004977CA"/>
    <w:rsid w:val="0049798A"/>
    <w:rsid w:val="004A0819"/>
    <w:rsid w:val="004A2068"/>
    <w:rsid w:val="004A2281"/>
    <w:rsid w:val="004A33A2"/>
    <w:rsid w:val="004A370A"/>
    <w:rsid w:val="004A3B04"/>
    <w:rsid w:val="004A3C10"/>
    <w:rsid w:val="004A4017"/>
    <w:rsid w:val="004B00ED"/>
    <w:rsid w:val="004B2020"/>
    <w:rsid w:val="004B3D41"/>
    <w:rsid w:val="004B4215"/>
    <w:rsid w:val="004B511D"/>
    <w:rsid w:val="004B57B4"/>
    <w:rsid w:val="004B6055"/>
    <w:rsid w:val="004B79BF"/>
    <w:rsid w:val="004C047F"/>
    <w:rsid w:val="004C07D1"/>
    <w:rsid w:val="004C081E"/>
    <w:rsid w:val="004C1678"/>
    <w:rsid w:val="004C1C33"/>
    <w:rsid w:val="004C1E0D"/>
    <w:rsid w:val="004C2427"/>
    <w:rsid w:val="004C3656"/>
    <w:rsid w:val="004C3702"/>
    <w:rsid w:val="004C4357"/>
    <w:rsid w:val="004C461C"/>
    <w:rsid w:val="004C4FC4"/>
    <w:rsid w:val="004C5859"/>
    <w:rsid w:val="004C6E13"/>
    <w:rsid w:val="004D08E3"/>
    <w:rsid w:val="004D2154"/>
    <w:rsid w:val="004D28FD"/>
    <w:rsid w:val="004D3023"/>
    <w:rsid w:val="004D5895"/>
    <w:rsid w:val="004D6396"/>
    <w:rsid w:val="004E02FB"/>
    <w:rsid w:val="004E09E1"/>
    <w:rsid w:val="004E1127"/>
    <w:rsid w:val="004E2CE1"/>
    <w:rsid w:val="004E4FD9"/>
    <w:rsid w:val="004E57B2"/>
    <w:rsid w:val="004E5828"/>
    <w:rsid w:val="004F0467"/>
    <w:rsid w:val="004F15EC"/>
    <w:rsid w:val="004F1BA2"/>
    <w:rsid w:val="004F2870"/>
    <w:rsid w:val="004F504E"/>
    <w:rsid w:val="004F5EE0"/>
    <w:rsid w:val="004F605F"/>
    <w:rsid w:val="004F7029"/>
    <w:rsid w:val="004F771B"/>
    <w:rsid w:val="005001E3"/>
    <w:rsid w:val="00500F6E"/>
    <w:rsid w:val="005018CC"/>
    <w:rsid w:val="00501BA5"/>
    <w:rsid w:val="00501CAD"/>
    <w:rsid w:val="00503CA2"/>
    <w:rsid w:val="00504159"/>
    <w:rsid w:val="00505B31"/>
    <w:rsid w:val="00506782"/>
    <w:rsid w:val="005106D0"/>
    <w:rsid w:val="00510FAC"/>
    <w:rsid w:val="0051284D"/>
    <w:rsid w:val="00513DDE"/>
    <w:rsid w:val="00514100"/>
    <w:rsid w:val="0051470F"/>
    <w:rsid w:val="005153EA"/>
    <w:rsid w:val="0051702A"/>
    <w:rsid w:val="005172D7"/>
    <w:rsid w:val="00517775"/>
    <w:rsid w:val="0052096E"/>
    <w:rsid w:val="00520CE8"/>
    <w:rsid w:val="005223EE"/>
    <w:rsid w:val="00522C13"/>
    <w:rsid w:val="005230B1"/>
    <w:rsid w:val="00523CD2"/>
    <w:rsid w:val="00524AD0"/>
    <w:rsid w:val="00524B74"/>
    <w:rsid w:val="00525796"/>
    <w:rsid w:val="00526657"/>
    <w:rsid w:val="00527529"/>
    <w:rsid w:val="00527AFB"/>
    <w:rsid w:val="00527D3C"/>
    <w:rsid w:val="005305FE"/>
    <w:rsid w:val="00530F39"/>
    <w:rsid w:val="005322F3"/>
    <w:rsid w:val="00532A24"/>
    <w:rsid w:val="0053510F"/>
    <w:rsid w:val="00535522"/>
    <w:rsid w:val="00535D88"/>
    <w:rsid w:val="00537980"/>
    <w:rsid w:val="00540E76"/>
    <w:rsid w:val="00541DF9"/>
    <w:rsid w:val="00541E90"/>
    <w:rsid w:val="00542CFD"/>
    <w:rsid w:val="005433D3"/>
    <w:rsid w:val="0054396E"/>
    <w:rsid w:val="005442E4"/>
    <w:rsid w:val="00544B08"/>
    <w:rsid w:val="00545077"/>
    <w:rsid w:val="00554EB2"/>
    <w:rsid w:val="005569CF"/>
    <w:rsid w:val="0055788E"/>
    <w:rsid w:val="00562266"/>
    <w:rsid w:val="005626B1"/>
    <w:rsid w:val="00562B95"/>
    <w:rsid w:val="00563021"/>
    <w:rsid w:val="00563CB4"/>
    <w:rsid w:val="00564E34"/>
    <w:rsid w:val="0056519B"/>
    <w:rsid w:val="005654E8"/>
    <w:rsid w:val="00565D56"/>
    <w:rsid w:val="00567983"/>
    <w:rsid w:val="005708C3"/>
    <w:rsid w:val="00571223"/>
    <w:rsid w:val="00571580"/>
    <w:rsid w:val="0057304E"/>
    <w:rsid w:val="0057331B"/>
    <w:rsid w:val="00573550"/>
    <w:rsid w:val="00574FE3"/>
    <w:rsid w:val="0057504F"/>
    <w:rsid w:val="005760D0"/>
    <w:rsid w:val="00576D36"/>
    <w:rsid w:val="00577214"/>
    <w:rsid w:val="00577951"/>
    <w:rsid w:val="00580B71"/>
    <w:rsid w:val="00581C5B"/>
    <w:rsid w:val="0058200A"/>
    <w:rsid w:val="00582371"/>
    <w:rsid w:val="00582806"/>
    <w:rsid w:val="00582DAA"/>
    <w:rsid w:val="00583095"/>
    <w:rsid w:val="00583ADF"/>
    <w:rsid w:val="0058529F"/>
    <w:rsid w:val="00585413"/>
    <w:rsid w:val="005854DB"/>
    <w:rsid w:val="00585555"/>
    <w:rsid w:val="005856BB"/>
    <w:rsid w:val="00585758"/>
    <w:rsid w:val="00585F67"/>
    <w:rsid w:val="005862EC"/>
    <w:rsid w:val="005863F3"/>
    <w:rsid w:val="00587725"/>
    <w:rsid w:val="00587F5D"/>
    <w:rsid w:val="005905D7"/>
    <w:rsid w:val="00590726"/>
    <w:rsid w:val="00590E14"/>
    <w:rsid w:val="005929A5"/>
    <w:rsid w:val="005930EC"/>
    <w:rsid w:val="00593733"/>
    <w:rsid w:val="00595208"/>
    <w:rsid w:val="00596876"/>
    <w:rsid w:val="00596890"/>
    <w:rsid w:val="00597409"/>
    <w:rsid w:val="005A2A83"/>
    <w:rsid w:val="005A31F6"/>
    <w:rsid w:val="005A3CF7"/>
    <w:rsid w:val="005A3E3B"/>
    <w:rsid w:val="005A45BC"/>
    <w:rsid w:val="005A482B"/>
    <w:rsid w:val="005A5635"/>
    <w:rsid w:val="005A5969"/>
    <w:rsid w:val="005A6054"/>
    <w:rsid w:val="005A6DB3"/>
    <w:rsid w:val="005A713E"/>
    <w:rsid w:val="005A7896"/>
    <w:rsid w:val="005A7D67"/>
    <w:rsid w:val="005B015E"/>
    <w:rsid w:val="005B0BC5"/>
    <w:rsid w:val="005B20C7"/>
    <w:rsid w:val="005B228D"/>
    <w:rsid w:val="005B2487"/>
    <w:rsid w:val="005B2A3B"/>
    <w:rsid w:val="005B3C58"/>
    <w:rsid w:val="005B4CAC"/>
    <w:rsid w:val="005B5FA5"/>
    <w:rsid w:val="005B6943"/>
    <w:rsid w:val="005C0B6E"/>
    <w:rsid w:val="005C166B"/>
    <w:rsid w:val="005C375F"/>
    <w:rsid w:val="005C4097"/>
    <w:rsid w:val="005C413B"/>
    <w:rsid w:val="005C4986"/>
    <w:rsid w:val="005C5B77"/>
    <w:rsid w:val="005C66F0"/>
    <w:rsid w:val="005C7540"/>
    <w:rsid w:val="005C78BE"/>
    <w:rsid w:val="005C79D7"/>
    <w:rsid w:val="005D034F"/>
    <w:rsid w:val="005D2FD2"/>
    <w:rsid w:val="005D3C0E"/>
    <w:rsid w:val="005D3D6A"/>
    <w:rsid w:val="005D44C2"/>
    <w:rsid w:val="005D4BAD"/>
    <w:rsid w:val="005D5E94"/>
    <w:rsid w:val="005E0A0C"/>
    <w:rsid w:val="005E1857"/>
    <w:rsid w:val="005E1AB4"/>
    <w:rsid w:val="005E33E1"/>
    <w:rsid w:val="005E349B"/>
    <w:rsid w:val="005E3CC9"/>
    <w:rsid w:val="005E3F18"/>
    <w:rsid w:val="005E49B0"/>
    <w:rsid w:val="005E551F"/>
    <w:rsid w:val="005E71C3"/>
    <w:rsid w:val="005E798F"/>
    <w:rsid w:val="005E79D5"/>
    <w:rsid w:val="005F0619"/>
    <w:rsid w:val="005F0B69"/>
    <w:rsid w:val="005F124A"/>
    <w:rsid w:val="005F1C5E"/>
    <w:rsid w:val="005F22CC"/>
    <w:rsid w:val="005F2ED0"/>
    <w:rsid w:val="005F472E"/>
    <w:rsid w:val="005F489A"/>
    <w:rsid w:val="005F5869"/>
    <w:rsid w:val="005F65F5"/>
    <w:rsid w:val="005F6BEC"/>
    <w:rsid w:val="00600C72"/>
    <w:rsid w:val="00601812"/>
    <w:rsid w:val="00602214"/>
    <w:rsid w:val="006022BB"/>
    <w:rsid w:val="006043C6"/>
    <w:rsid w:val="0060469A"/>
    <w:rsid w:val="00604A77"/>
    <w:rsid w:val="006058E1"/>
    <w:rsid w:val="006062F7"/>
    <w:rsid w:val="0060658C"/>
    <w:rsid w:val="00606F2B"/>
    <w:rsid w:val="006070BD"/>
    <w:rsid w:val="0061048A"/>
    <w:rsid w:val="0061146D"/>
    <w:rsid w:val="00611C9F"/>
    <w:rsid w:val="00613C89"/>
    <w:rsid w:val="006146EC"/>
    <w:rsid w:val="00614FE5"/>
    <w:rsid w:val="00615B84"/>
    <w:rsid w:val="00615E0F"/>
    <w:rsid w:val="00615F99"/>
    <w:rsid w:val="00616C58"/>
    <w:rsid w:val="006205A3"/>
    <w:rsid w:val="00623C57"/>
    <w:rsid w:val="006240C2"/>
    <w:rsid w:val="006244E8"/>
    <w:rsid w:val="00624E67"/>
    <w:rsid w:val="00626470"/>
    <w:rsid w:val="00626E1F"/>
    <w:rsid w:val="006270CC"/>
    <w:rsid w:val="0063044D"/>
    <w:rsid w:val="0063192B"/>
    <w:rsid w:val="006321F9"/>
    <w:rsid w:val="006343FE"/>
    <w:rsid w:val="006344E7"/>
    <w:rsid w:val="00635843"/>
    <w:rsid w:val="0063597B"/>
    <w:rsid w:val="00635C34"/>
    <w:rsid w:val="0063685A"/>
    <w:rsid w:val="00640443"/>
    <w:rsid w:val="006407BA"/>
    <w:rsid w:val="00640A5D"/>
    <w:rsid w:val="00641930"/>
    <w:rsid w:val="00641B5E"/>
    <w:rsid w:val="00642089"/>
    <w:rsid w:val="00642CFF"/>
    <w:rsid w:val="00642D7B"/>
    <w:rsid w:val="00643CF1"/>
    <w:rsid w:val="00646A54"/>
    <w:rsid w:val="006474CD"/>
    <w:rsid w:val="00651FC1"/>
    <w:rsid w:val="00652DBC"/>
    <w:rsid w:val="00653E22"/>
    <w:rsid w:val="00654909"/>
    <w:rsid w:val="00654E6A"/>
    <w:rsid w:val="0065541B"/>
    <w:rsid w:val="006561EE"/>
    <w:rsid w:val="00656AC1"/>
    <w:rsid w:val="00656E01"/>
    <w:rsid w:val="00660AAF"/>
    <w:rsid w:val="006626AB"/>
    <w:rsid w:val="00663806"/>
    <w:rsid w:val="0066465F"/>
    <w:rsid w:val="006652C8"/>
    <w:rsid w:val="00665658"/>
    <w:rsid w:val="00667998"/>
    <w:rsid w:val="00670284"/>
    <w:rsid w:val="006702C8"/>
    <w:rsid w:val="00670E5D"/>
    <w:rsid w:val="006722AA"/>
    <w:rsid w:val="00672AE3"/>
    <w:rsid w:val="00674263"/>
    <w:rsid w:val="0067655B"/>
    <w:rsid w:val="00677A3F"/>
    <w:rsid w:val="00677DE4"/>
    <w:rsid w:val="00680876"/>
    <w:rsid w:val="00681682"/>
    <w:rsid w:val="00682618"/>
    <w:rsid w:val="0068460A"/>
    <w:rsid w:val="00685270"/>
    <w:rsid w:val="00685E94"/>
    <w:rsid w:val="006864CD"/>
    <w:rsid w:val="00686985"/>
    <w:rsid w:val="00687489"/>
    <w:rsid w:val="00687A75"/>
    <w:rsid w:val="00687FE4"/>
    <w:rsid w:val="006905D3"/>
    <w:rsid w:val="0069144C"/>
    <w:rsid w:val="00691572"/>
    <w:rsid w:val="006938D2"/>
    <w:rsid w:val="00694CAD"/>
    <w:rsid w:val="00694FA5"/>
    <w:rsid w:val="00696313"/>
    <w:rsid w:val="00697E86"/>
    <w:rsid w:val="006A01E2"/>
    <w:rsid w:val="006A082C"/>
    <w:rsid w:val="006A0ECE"/>
    <w:rsid w:val="006A1947"/>
    <w:rsid w:val="006A6B2E"/>
    <w:rsid w:val="006A7648"/>
    <w:rsid w:val="006B095E"/>
    <w:rsid w:val="006B0D1B"/>
    <w:rsid w:val="006B1327"/>
    <w:rsid w:val="006B28AF"/>
    <w:rsid w:val="006B54F0"/>
    <w:rsid w:val="006B616C"/>
    <w:rsid w:val="006B62E9"/>
    <w:rsid w:val="006B645A"/>
    <w:rsid w:val="006B6EB8"/>
    <w:rsid w:val="006B7072"/>
    <w:rsid w:val="006B7D2C"/>
    <w:rsid w:val="006B7E97"/>
    <w:rsid w:val="006C0B09"/>
    <w:rsid w:val="006C0BF3"/>
    <w:rsid w:val="006C1197"/>
    <w:rsid w:val="006C1BB8"/>
    <w:rsid w:val="006C1CAD"/>
    <w:rsid w:val="006C1EF8"/>
    <w:rsid w:val="006C307A"/>
    <w:rsid w:val="006C32F4"/>
    <w:rsid w:val="006C42BC"/>
    <w:rsid w:val="006C644A"/>
    <w:rsid w:val="006C6587"/>
    <w:rsid w:val="006D0C32"/>
    <w:rsid w:val="006D265F"/>
    <w:rsid w:val="006D2797"/>
    <w:rsid w:val="006D2B2B"/>
    <w:rsid w:val="006D2B4B"/>
    <w:rsid w:val="006D380C"/>
    <w:rsid w:val="006D3EB5"/>
    <w:rsid w:val="006D3FE1"/>
    <w:rsid w:val="006D6193"/>
    <w:rsid w:val="006D62BF"/>
    <w:rsid w:val="006E00BC"/>
    <w:rsid w:val="006E00F3"/>
    <w:rsid w:val="006E03C3"/>
    <w:rsid w:val="006E180D"/>
    <w:rsid w:val="006E3829"/>
    <w:rsid w:val="006E3B3E"/>
    <w:rsid w:val="006E48D0"/>
    <w:rsid w:val="006E4EB5"/>
    <w:rsid w:val="006E5680"/>
    <w:rsid w:val="006E57F3"/>
    <w:rsid w:val="006E5B9E"/>
    <w:rsid w:val="006E6D2A"/>
    <w:rsid w:val="006E7175"/>
    <w:rsid w:val="006E73C2"/>
    <w:rsid w:val="006F3271"/>
    <w:rsid w:val="006F3677"/>
    <w:rsid w:val="006F3D3A"/>
    <w:rsid w:val="006F5295"/>
    <w:rsid w:val="006F568F"/>
    <w:rsid w:val="006F57D1"/>
    <w:rsid w:val="006F6713"/>
    <w:rsid w:val="00700120"/>
    <w:rsid w:val="00700590"/>
    <w:rsid w:val="00700B40"/>
    <w:rsid w:val="00700F36"/>
    <w:rsid w:val="00701652"/>
    <w:rsid w:val="0070379B"/>
    <w:rsid w:val="00704A32"/>
    <w:rsid w:val="00705132"/>
    <w:rsid w:val="00707ED2"/>
    <w:rsid w:val="00710862"/>
    <w:rsid w:val="00710D94"/>
    <w:rsid w:val="00711157"/>
    <w:rsid w:val="0071344D"/>
    <w:rsid w:val="00713920"/>
    <w:rsid w:val="00714BFE"/>
    <w:rsid w:val="00714C8B"/>
    <w:rsid w:val="00714CE6"/>
    <w:rsid w:val="00715C6F"/>
    <w:rsid w:val="00716CBF"/>
    <w:rsid w:val="00716DE4"/>
    <w:rsid w:val="00720772"/>
    <w:rsid w:val="007209BD"/>
    <w:rsid w:val="00720DF4"/>
    <w:rsid w:val="00722A39"/>
    <w:rsid w:val="007252E5"/>
    <w:rsid w:val="007259F1"/>
    <w:rsid w:val="00725A64"/>
    <w:rsid w:val="007262EB"/>
    <w:rsid w:val="00726947"/>
    <w:rsid w:val="00727682"/>
    <w:rsid w:val="00730260"/>
    <w:rsid w:val="00730B37"/>
    <w:rsid w:val="0073100E"/>
    <w:rsid w:val="0073310B"/>
    <w:rsid w:val="007334B0"/>
    <w:rsid w:val="007336EC"/>
    <w:rsid w:val="007340FF"/>
    <w:rsid w:val="007343A2"/>
    <w:rsid w:val="00735A28"/>
    <w:rsid w:val="00736711"/>
    <w:rsid w:val="0074025F"/>
    <w:rsid w:val="007405C0"/>
    <w:rsid w:val="00740EF2"/>
    <w:rsid w:val="00743716"/>
    <w:rsid w:val="00743794"/>
    <w:rsid w:val="0074431F"/>
    <w:rsid w:val="00745B24"/>
    <w:rsid w:val="007464AF"/>
    <w:rsid w:val="0074766F"/>
    <w:rsid w:val="00747876"/>
    <w:rsid w:val="00750E58"/>
    <w:rsid w:val="007517D5"/>
    <w:rsid w:val="00752934"/>
    <w:rsid w:val="00753BF3"/>
    <w:rsid w:val="007543B7"/>
    <w:rsid w:val="00754E2B"/>
    <w:rsid w:val="00755F53"/>
    <w:rsid w:val="007563F4"/>
    <w:rsid w:val="00756E41"/>
    <w:rsid w:val="00757C42"/>
    <w:rsid w:val="00760CEA"/>
    <w:rsid w:val="007622F8"/>
    <w:rsid w:val="00762DEC"/>
    <w:rsid w:val="00763AA2"/>
    <w:rsid w:val="00764C91"/>
    <w:rsid w:val="0076697C"/>
    <w:rsid w:val="00766E5A"/>
    <w:rsid w:val="0077028D"/>
    <w:rsid w:val="00770E40"/>
    <w:rsid w:val="00771246"/>
    <w:rsid w:val="00771380"/>
    <w:rsid w:val="00772596"/>
    <w:rsid w:val="007749E6"/>
    <w:rsid w:val="007751A5"/>
    <w:rsid w:val="00775B6E"/>
    <w:rsid w:val="007767A2"/>
    <w:rsid w:val="007772A7"/>
    <w:rsid w:val="00780785"/>
    <w:rsid w:val="00782CCE"/>
    <w:rsid w:val="0078326C"/>
    <w:rsid w:val="00785E17"/>
    <w:rsid w:val="00786CB8"/>
    <w:rsid w:val="0078728F"/>
    <w:rsid w:val="0079001C"/>
    <w:rsid w:val="007904D7"/>
    <w:rsid w:val="007930E3"/>
    <w:rsid w:val="0079320C"/>
    <w:rsid w:val="00794B45"/>
    <w:rsid w:val="007956BD"/>
    <w:rsid w:val="00795FDA"/>
    <w:rsid w:val="0079647A"/>
    <w:rsid w:val="00796E0E"/>
    <w:rsid w:val="007975F4"/>
    <w:rsid w:val="007A19AB"/>
    <w:rsid w:val="007A2009"/>
    <w:rsid w:val="007A310B"/>
    <w:rsid w:val="007A34D0"/>
    <w:rsid w:val="007A3A3A"/>
    <w:rsid w:val="007A5A06"/>
    <w:rsid w:val="007A6390"/>
    <w:rsid w:val="007A7611"/>
    <w:rsid w:val="007B0F05"/>
    <w:rsid w:val="007B1A8C"/>
    <w:rsid w:val="007B26B4"/>
    <w:rsid w:val="007B27A8"/>
    <w:rsid w:val="007B5A3D"/>
    <w:rsid w:val="007B6D7F"/>
    <w:rsid w:val="007B6E4C"/>
    <w:rsid w:val="007B7A3E"/>
    <w:rsid w:val="007B7BBA"/>
    <w:rsid w:val="007C305D"/>
    <w:rsid w:val="007C39F9"/>
    <w:rsid w:val="007C4150"/>
    <w:rsid w:val="007C529C"/>
    <w:rsid w:val="007C5601"/>
    <w:rsid w:val="007C5BFB"/>
    <w:rsid w:val="007C5E60"/>
    <w:rsid w:val="007C669A"/>
    <w:rsid w:val="007C768D"/>
    <w:rsid w:val="007D178B"/>
    <w:rsid w:val="007D22DE"/>
    <w:rsid w:val="007D24F1"/>
    <w:rsid w:val="007D2613"/>
    <w:rsid w:val="007D3804"/>
    <w:rsid w:val="007D5220"/>
    <w:rsid w:val="007D5715"/>
    <w:rsid w:val="007D643F"/>
    <w:rsid w:val="007D7AE5"/>
    <w:rsid w:val="007D7D74"/>
    <w:rsid w:val="007E0349"/>
    <w:rsid w:val="007E0A8F"/>
    <w:rsid w:val="007E14AA"/>
    <w:rsid w:val="007E1A5A"/>
    <w:rsid w:val="007E21A2"/>
    <w:rsid w:val="007E38A5"/>
    <w:rsid w:val="007E3E1C"/>
    <w:rsid w:val="007E451B"/>
    <w:rsid w:val="007E5508"/>
    <w:rsid w:val="007E6A26"/>
    <w:rsid w:val="007E7339"/>
    <w:rsid w:val="007F028D"/>
    <w:rsid w:val="007F0B45"/>
    <w:rsid w:val="007F289C"/>
    <w:rsid w:val="007F4B0D"/>
    <w:rsid w:val="007F75EA"/>
    <w:rsid w:val="00800398"/>
    <w:rsid w:val="00801834"/>
    <w:rsid w:val="00801A92"/>
    <w:rsid w:val="0080262F"/>
    <w:rsid w:val="00802668"/>
    <w:rsid w:val="0080272C"/>
    <w:rsid w:val="0080331E"/>
    <w:rsid w:val="008035D8"/>
    <w:rsid w:val="00806769"/>
    <w:rsid w:val="00806D28"/>
    <w:rsid w:val="00810050"/>
    <w:rsid w:val="00810177"/>
    <w:rsid w:val="00810C80"/>
    <w:rsid w:val="00810F37"/>
    <w:rsid w:val="00810F91"/>
    <w:rsid w:val="008112C7"/>
    <w:rsid w:val="008118CD"/>
    <w:rsid w:val="0081237A"/>
    <w:rsid w:val="00812870"/>
    <w:rsid w:val="008168E3"/>
    <w:rsid w:val="008168EF"/>
    <w:rsid w:val="00817110"/>
    <w:rsid w:val="008171CC"/>
    <w:rsid w:val="00817F24"/>
    <w:rsid w:val="00820A98"/>
    <w:rsid w:val="00821068"/>
    <w:rsid w:val="008214E6"/>
    <w:rsid w:val="00821B59"/>
    <w:rsid w:val="00821EE0"/>
    <w:rsid w:val="008224D2"/>
    <w:rsid w:val="00822979"/>
    <w:rsid w:val="00823465"/>
    <w:rsid w:val="00823490"/>
    <w:rsid w:val="008237CE"/>
    <w:rsid w:val="008249E7"/>
    <w:rsid w:val="00830D0B"/>
    <w:rsid w:val="00831D94"/>
    <w:rsid w:val="00831F90"/>
    <w:rsid w:val="008321C9"/>
    <w:rsid w:val="008328B2"/>
    <w:rsid w:val="00833B7C"/>
    <w:rsid w:val="0083607E"/>
    <w:rsid w:val="00837D9F"/>
    <w:rsid w:val="008403B0"/>
    <w:rsid w:val="00841594"/>
    <w:rsid w:val="0084185F"/>
    <w:rsid w:val="00842CEC"/>
    <w:rsid w:val="00843777"/>
    <w:rsid w:val="0084409D"/>
    <w:rsid w:val="00846C65"/>
    <w:rsid w:val="00846F52"/>
    <w:rsid w:val="00847D94"/>
    <w:rsid w:val="0085027D"/>
    <w:rsid w:val="0085088C"/>
    <w:rsid w:val="0085372F"/>
    <w:rsid w:val="00854880"/>
    <w:rsid w:val="008553B8"/>
    <w:rsid w:val="008557E5"/>
    <w:rsid w:val="00855D4B"/>
    <w:rsid w:val="00856911"/>
    <w:rsid w:val="0085707B"/>
    <w:rsid w:val="008571A8"/>
    <w:rsid w:val="0085798D"/>
    <w:rsid w:val="00860207"/>
    <w:rsid w:val="008631F9"/>
    <w:rsid w:val="008654EC"/>
    <w:rsid w:val="00865DF0"/>
    <w:rsid w:val="008662B7"/>
    <w:rsid w:val="008705EB"/>
    <w:rsid w:val="00870AA6"/>
    <w:rsid w:val="00871132"/>
    <w:rsid w:val="0087205C"/>
    <w:rsid w:val="00872651"/>
    <w:rsid w:val="00872FEF"/>
    <w:rsid w:val="00874495"/>
    <w:rsid w:val="00874FDB"/>
    <w:rsid w:val="008762AE"/>
    <w:rsid w:val="00876781"/>
    <w:rsid w:val="008774F8"/>
    <w:rsid w:val="00880438"/>
    <w:rsid w:val="008809CE"/>
    <w:rsid w:val="0088641C"/>
    <w:rsid w:val="00887019"/>
    <w:rsid w:val="00887A6E"/>
    <w:rsid w:val="008902D4"/>
    <w:rsid w:val="00890429"/>
    <w:rsid w:val="00890606"/>
    <w:rsid w:val="00890F4E"/>
    <w:rsid w:val="00892A91"/>
    <w:rsid w:val="00892CD9"/>
    <w:rsid w:val="008952C0"/>
    <w:rsid w:val="00897A87"/>
    <w:rsid w:val="00897DD3"/>
    <w:rsid w:val="008A1299"/>
    <w:rsid w:val="008A2AF9"/>
    <w:rsid w:val="008A4B86"/>
    <w:rsid w:val="008A52FD"/>
    <w:rsid w:val="008A58F1"/>
    <w:rsid w:val="008A5AA2"/>
    <w:rsid w:val="008A5B2B"/>
    <w:rsid w:val="008A6A1A"/>
    <w:rsid w:val="008A6B76"/>
    <w:rsid w:val="008B1060"/>
    <w:rsid w:val="008B11D2"/>
    <w:rsid w:val="008B2A52"/>
    <w:rsid w:val="008B2BDA"/>
    <w:rsid w:val="008B339D"/>
    <w:rsid w:val="008B4AAC"/>
    <w:rsid w:val="008B5CD5"/>
    <w:rsid w:val="008C10C9"/>
    <w:rsid w:val="008C1191"/>
    <w:rsid w:val="008C17FD"/>
    <w:rsid w:val="008C1CEE"/>
    <w:rsid w:val="008C3DFB"/>
    <w:rsid w:val="008C3E18"/>
    <w:rsid w:val="008C4710"/>
    <w:rsid w:val="008D0869"/>
    <w:rsid w:val="008D0BA2"/>
    <w:rsid w:val="008D1939"/>
    <w:rsid w:val="008D1BD7"/>
    <w:rsid w:val="008D1D78"/>
    <w:rsid w:val="008D271D"/>
    <w:rsid w:val="008D2908"/>
    <w:rsid w:val="008D2C37"/>
    <w:rsid w:val="008D34BC"/>
    <w:rsid w:val="008D3B42"/>
    <w:rsid w:val="008D5303"/>
    <w:rsid w:val="008D58D4"/>
    <w:rsid w:val="008D5983"/>
    <w:rsid w:val="008D6C3F"/>
    <w:rsid w:val="008E00B8"/>
    <w:rsid w:val="008E076F"/>
    <w:rsid w:val="008E111D"/>
    <w:rsid w:val="008E21B2"/>
    <w:rsid w:val="008E2219"/>
    <w:rsid w:val="008E2385"/>
    <w:rsid w:val="008E34F0"/>
    <w:rsid w:val="008E359D"/>
    <w:rsid w:val="008E5073"/>
    <w:rsid w:val="008E7342"/>
    <w:rsid w:val="008E7D83"/>
    <w:rsid w:val="008E7F6D"/>
    <w:rsid w:val="008F0DDE"/>
    <w:rsid w:val="008F0E88"/>
    <w:rsid w:val="008F1042"/>
    <w:rsid w:val="008F1B5F"/>
    <w:rsid w:val="008F1BAA"/>
    <w:rsid w:val="008F2A72"/>
    <w:rsid w:val="008F3D13"/>
    <w:rsid w:val="008F44CD"/>
    <w:rsid w:val="008F5059"/>
    <w:rsid w:val="008F555D"/>
    <w:rsid w:val="008F6C2E"/>
    <w:rsid w:val="008F7C7C"/>
    <w:rsid w:val="00900611"/>
    <w:rsid w:val="0090087E"/>
    <w:rsid w:val="00900F70"/>
    <w:rsid w:val="00901050"/>
    <w:rsid w:val="00902070"/>
    <w:rsid w:val="00902C00"/>
    <w:rsid w:val="00906A9D"/>
    <w:rsid w:val="00910905"/>
    <w:rsid w:val="00911489"/>
    <w:rsid w:val="00912912"/>
    <w:rsid w:val="00912B48"/>
    <w:rsid w:val="00913418"/>
    <w:rsid w:val="00913B44"/>
    <w:rsid w:val="009146D3"/>
    <w:rsid w:val="0091633D"/>
    <w:rsid w:val="009201F4"/>
    <w:rsid w:val="009207F2"/>
    <w:rsid w:val="00922612"/>
    <w:rsid w:val="00922616"/>
    <w:rsid w:val="00923509"/>
    <w:rsid w:val="00923BBB"/>
    <w:rsid w:val="0092419E"/>
    <w:rsid w:val="00924CA6"/>
    <w:rsid w:val="00926D0A"/>
    <w:rsid w:val="0092747C"/>
    <w:rsid w:val="00927DE7"/>
    <w:rsid w:val="00931532"/>
    <w:rsid w:val="009325A2"/>
    <w:rsid w:val="009329DD"/>
    <w:rsid w:val="009331E4"/>
    <w:rsid w:val="0093368F"/>
    <w:rsid w:val="0093450D"/>
    <w:rsid w:val="00934934"/>
    <w:rsid w:val="00934DED"/>
    <w:rsid w:val="0093594C"/>
    <w:rsid w:val="009364C1"/>
    <w:rsid w:val="009377E6"/>
    <w:rsid w:val="00941396"/>
    <w:rsid w:val="00942C41"/>
    <w:rsid w:val="0094303A"/>
    <w:rsid w:val="0094418B"/>
    <w:rsid w:val="0094441A"/>
    <w:rsid w:val="00944F9B"/>
    <w:rsid w:val="00946AD1"/>
    <w:rsid w:val="00950FC3"/>
    <w:rsid w:val="00951512"/>
    <w:rsid w:val="00953076"/>
    <w:rsid w:val="009545DF"/>
    <w:rsid w:val="00955094"/>
    <w:rsid w:val="0095643B"/>
    <w:rsid w:val="00956C62"/>
    <w:rsid w:val="009570B9"/>
    <w:rsid w:val="00960833"/>
    <w:rsid w:val="0096195E"/>
    <w:rsid w:val="00962D19"/>
    <w:rsid w:val="009632E5"/>
    <w:rsid w:val="009636D2"/>
    <w:rsid w:val="00963D7F"/>
    <w:rsid w:val="0096548E"/>
    <w:rsid w:val="009673A9"/>
    <w:rsid w:val="0096798C"/>
    <w:rsid w:val="0097099F"/>
    <w:rsid w:val="009710C2"/>
    <w:rsid w:val="009717BB"/>
    <w:rsid w:val="00971834"/>
    <w:rsid w:val="009720B8"/>
    <w:rsid w:val="00974507"/>
    <w:rsid w:val="00975706"/>
    <w:rsid w:val="009759FD"/>
    <w:rsid w:val="00977569"/>
    <w:rsid w:val="00977CB3"/>
    <w:rsid w:val="00977CF0"/>
    <w:rsid w:val="00982F98"/>
    <w:rsid w:val="00983D72"/>
    <w:rsid w:val="00985E4C"/>
    <w:rsid w:val="00985F87"/>
    <w:rsid w:val="00987E67"/>
    <w:rsid w:val="00990AD4"/>
    <w:rsid w:val="00991535"/>
    <w:rsid w:val="009916CA"/>
    <w:rsid w:val="00992160"/>
    <w:rsid w:val="0099242B"/>
    <w:rsid w:val="00993A18"/>
    <w:rsid w:val="00994171"/>
    <w:rsid w:val="00994902"/>
    <w:rsid w:val="00994E21"/>
    <w:rsid w:val="009975FF"/>
    <w:rsid w:val="00997662"/>
    <w:rsid w:val="0099772E"/>
    <w:rsid w:val="00997D1A"/>
    <w:rsid w:val="009A1049"/>
    <w:rsid w:val="009A3532"/>
    <w:rsid w:val="009A4E59"/>
    <w:rsid w:val="009A5582"/>
    <w:rsid w:val="009A7038"/>
    <w:rsid w:val="009A72A4"/>
    <w:rsid w:val="009B11B2"/>
    <w:rsid w:val="009B2068"/>
    <w:rsid w:val="009B20ED"/>
    <w:rsid w:val="009B25DE"/>
    <w:rsid w:val="009B2BAB"/>
    <w:rsid w:val="009B4AD9"/>
    <w:rsid w:val="009B6492"/>
    <w:rsid w:val="009B708E"/>
    <w:rsid w:val="009B751B"/>
    <w:rsid w:val="009C5029"/>
    <w:rsid w:val="009C5CD3"/>
    <w:rsid w:val="009C6444"/>
    <w:rsid w:val="009C6DF3"/>
    <w:rsid w:val="009D076F"/>
    <w:rsid w:val="009D081A"/>
    <w:rsid w:val="009D1D01"/>
    <w:rsid w:val="009D375B"/>
    <w:rsid w:val="009D3CD4"/>
    <w:rsid w:val="009D5036"/>
    <w:rsid w:val="009D599B"/>
    <w:rsid w:val="009D73DE"/>
    <w:rsid w:val="009D7E11"/>
    <w:rsid w:val="009E0AE2"/>
    <w:rsid w:val="009E133D"/>
    <w:rsid w:val="009E1955"/>
    <w:rsid w:val="009E3B40"/>
    <w:rsid w:val="009E4454"/>
    <w:rsid w:val="009E5EDA"/>
    <w:rsid w:val="009E634C"/>
    <w:rsid w:val="009E6ABD"/>
    <w:rsid w:val="009E7A86"/>
    <w:rsid w:val="009F1305"/>
    <w:rsid w:val="009F16BF"/>
    <w:rsid w:val="009F2563"/>
    <w:rsid w:val="009F4E38"/>
    <w:rsid w:val="009F6710"/>
    <w:rsid w:val="009F7943"/>
    <w:rsid w:val="00A025C8"/>
    <w:rsid w:val="00A02D66"/>
    <w:rsid w:val="00A03E3A"/>
    <w:rsid w:val="00A04598"/>
    <w:rsid w:val="00A055CA"/>
    <w:rsid w:val="00A06972"/>
    <w:rsid w:val="00A069BE"/>
    <w:rsid w:val="00A1161F"/>
    <w:rsid w:val="00A1278E"/>
    <w:rsid w:val="00A13C7C"/>
    <w:rsid w:val="00A14C26"/>
    <w:rsid w:val="00A14DB3"/>
    <w:rsid w:val="00A15E1A"/>
    <w:rsid w:val="00A1700F"/>
    <w:rsid w:val="00A17C6E"/>
    <w:rsid w:val="00A20B8A"/>
    <w:rsid w:val="00A228F1"/>
    <w:rsid w:val="00A22DAD"/>
    <w:rsid w:val="00A231F6"/>
    <w:rsid w:val="00A241F6"/>
    <w:rsid w:val="00A2741C"/>
    <w:rsid w:val="00A31F19"/>
    <w:rsid w:val="00A33A31"/>
    <w:rsid w:val="00A3560B"/>
    <w:rsid w:val="00A35B2D"/>
    <w:rsid w:val="00A407EC"/>
    <w:rsid w:val="00A42C19"/>
    <w:rsid w:val="00A432A7"/>
    <w:rsid w:val="00A441DC"/>
    <w:rsid w:val="00A44346"/>
    <w:rsid w:val="00A44CFA"/>
    <w:rsid w:val="00A4515F"/>
    <w:rsid w:val="00A460F2"/>
    <w:rsid w:val="00A47E33"/>
    <w:rsid w:val="00A50F46"/>
    <w:rsid w:val="00A53A06"/>
    <w:rsid w:val="00A53E95"/>
    <w:rsid w:val="00A549EA"/>
    <w:rsid w:val="00A567B3"/>
    <w:rsid w:val="00A56EC6"/>
    <w:rsid w:val="00A57032"/>
    <w:rsid w:val="00A60CA7"/>
    <w:rsid w:val="00A60E52"/>
    <w:rsid w:val="00A622F7"/>
    <w:rsid w:val="00A6235E"/>
    <w:rsid w:val="00A6298B"/>
    <w:rsid w:val="00A62A1E"/>
    <w:rsid w:val="00A64D3D"/>
    <w:rsid w:val="00A65A53"/>
    <w:rsid w:val="00A65C02"/>
    <w:rsid w:val="00A67AEE"/>
    <w:rsid w:val="00A7142F"/>
    <w:rsid w:val="00A717C2"/>
    <w:rsid w:val="00A73309"/>
    <w:rsid w:val="00A73E1B"/>
    <w:rsid w:val="00A74B4A"/>
    <w:rsid w:val="00A751CB"/>
    <w:rsid w:val="00A7583C"/>
    <w:rsid w:val="00A76858"/>
    <w:rsid w:val="00A80159"/>
    <w:rsid w:val="00A81B61"/>
    <w:rsid w:val="00A84B84"/>
    <w:rsid w:val="00A85418"/>
    <w:rsid w:val="00A87AB6"/>
    <w:rsid w:val="00A9018B"/>
    <w:rsid w:val="00A914E4"/>
    <w:rsid w:val="00A91E8D"/>
    <w:rsid w:val="00A942FE"/>
    <w:rsid w:val="00A94544"/>
    <w:rsid w:val="00A96D23"/>
    <w:rsid w:val="00A96D4E"/>
    <w:rsid w:val="00A97C50"/>
    <w:rsid w:val="00AA0B3C"/>
    <w:rsid w:val="00AA5755"/>
    <w:rsid w:val="00AA77BC"/>
    <w:rsid w:val="00AA7DD0"/>
    <w:rsid w:val="00AB067C"/>
    <w:rsid w:val="00AB0F7C"/>
    <w:rsid w:val="00AB1BF8"/>
    <w:rsid w:val="00AB6804"/>
    <w:rsid w:val="00AB6FE9"/>
    <w:rsid w:val="00AC04A4"/>
    <w:rsid w:val="00AC1E85"/>
    <w:rsid w:val="00AC200D"/>
    <w:rsid w:val="00AC21D4"/>
    <w:rsid w:val="00AC2E02"/>
    <w:rsid w:val="00AC32C7"/>
    <w:rsid w:val="00AC5142"/>
    <w:rsid w:val="00AC6BE6"/>
    <w:rsid w:val="00AC7070"/>
    <w:rsid w:val="00AC784C"/>
    <w:rsid w:val="00AC78B1"/>
    <w:rsid w:val="00AD5A5D"/>
    <w:rsid w:val="00AD61FD"/>
    <w:rsid w:val="00AD7B07"/>
    <w:rsid w:val="00AE0092"/>
    <w:rsid w:val="00AE0844"/>
    <w:rsid w:val="00AE1752"/>
    <w:rsid w:val="00AE19D5"/>
    <w:rsid w:val="00AE2620"/>
    <w:rsid w:val="00AE2B6A"/>
    <w:rsid w:val="00AE45E3"/>
    <w:rsid w:val="00AE4F04"/>
    <w:rsid w:val="00AE589C"/>
    <w:rsid w:val="00AE5B0A"/>
    <w:rsid w:val="00AE5B34"/>
    <w:rsid w:val="00AE69E7"/>
    <w:rsid w:val="00AE789C"/>
    <w:rsid w:val="00AE7EFB"/>
    <w:rsid w:val="00AF06B2"/>
    <w:rsid w:val="00AF1E8A"/>
    <w:rsid w:val="00AF21E5"/>
    <w:rsid w:val="00AF30EF"/>
    <w:rsid w:val="00AF31FC"/>
    <w:rsid w:val="00AF3858"/>
    <w:rsid w:val="00AF5F67"/>
    <w:rsid w:val="00AF7211"/>
    <w:rsid w:val="00B00209"/>
    <w:rsid w:val="00B0053E"/>
    <w:rsid w:val="00B0092A"/>
    <w:rsid w:val="00B014C3"/>
    <w:rsid w:val="00B02E66"/>
    <w:rsid w:val="00B03254"/>
    <w:rsid w:val="00B055A3"/>
    <w:rsid w:val="00B05CD0"/>
    <w:rsid w:val="00B05E74"/>
    <w:rsid w:val="00B06331"/>
    <w:rsid w:val="00B11415"/>
    <w:rsid w:val="00B11D62"/>
    <w:rsid w:val="00B13327"/>
    <w:rsid w:val="00B13F58"/>
    <w:rsid w:val="00B14D2A"/>
    <w:rsid w:val="00B15684"/>
    <w:rsid w:val="00B15B23"/>
    <w:rsid w:val="00B16093"/>
    <w:rsid w:val="00B1622A"/>
    <w:rsid w:val="00B167B0"/>
    <w:rsid w:val="00B16C30"/>
    <w:rsid w:val="00B2111E"/>
    <w:rsid w:val="00B2212D"/>
    <w:rsid w:val="00B239CA"/>
    <w:rsid w:val="00B24EA8"/>
    <w:rsid w:val="00B25801"/>
    <w:rsid w:val="00B25E8C"/>
    <w:rsid w:val="00B261CE"/>
    <w:rsid w:val="00B2653B"/>
    <w:rsid w:val="00B30828"/>
    <w:rsid w:val="00B3091D"/>
    <w:rsid w:val="00B32ECE"/>
    <w:rsid w:val="00B338F7"/>
    <w:rsid w:val="00B34A9D"/>
    <w:rsid w:val="00B35660"/>
    <w:rsid w:val="00B3603A"/>
    <w:rsid w:val="00B37118"/>
    <w:rsid w:val="00B37829"/>
    <w:rsid w:val="00B40BC3"/>
    <w:rsid w:val="00B40BED"/>
    <w:rsid w:val="00B40D29"/>
    <w:rsid w:val="00B40FFA"/>
    <w:rsid w:val="00B41267"/>
    <w:rsid w:val="00B4201A"/>
    <w:rsid w:val="00B42201"/>
    <w:rsid w:val="00B422F1"/>
    <w:rsid w:val="00B4348F"/>
    <w:rsid w:val="00B43922"/>
    <w:rsid w:val="00B43F9B"/>
    <w:rsid w:val="00B4410C"/>
    <w:rsid w:val="00B45390"/>
    <w:rsid w:val="00B505CF"/>
    <w:rsid w:val="00B50DA5"/>
    <w:rsid w:val="00B52199"/>
    <w:rsid w:val="00B532AF"/>
    <w:rsid w:val="00B57738"/>
    <w:rsid w:val="00B57A8E"/>
    <w:rsid w:val="00B57D88"/>
    <w:rsid w:val="00B6027E"/>
    <w:rsid w:val="00B60530"/>
    <w:rsid w:val="00B60725"/>
    <w:rsid w:val="00B60BD0"/>
    <w:rsid w:val="00B61CCD"/>
    <w:rsid w:val="00B62D33"/>
    <w:rsid w:val="00B633F7"/>
    <w:rsid w:val="00B64053"/>
    <w:rsid w:val="00B64698"/>
    <w:rsid w:val="00B64C7D"/>
    <w:rsid w:val="00B64F33"/>
    <w:rsid w:val="00B70009"/>
    <w:rsid w:val="00B707AA"/>
    <w:rsid w:val="00B70AAE"/>
    <w:rsid w:val="00B70D85"/>
    <w:rsid w:val="00B72046"/>
    <w:rsid w:val="00B729EE"/>
    <w:rsid w:val="00B72E7E"/>
    <w:rsid w:val="00B731D2"/>
    <w:rsid w:val="00B76A7D"/>
    <w:rsid w:val="00B76BA9"/>
    <w:rsid w:val="00B837A2"/>
    <w:rsid w:val="00B8385E"/>
    <w:rsid w:val="00B862F8"/>
    <w:rsid w:val="00B86CCA"/>
    <w:rsid w:val="00B90B2E"/>
    <w:rsid w:val="00B90BEA"/>
    <w:rsid w:val="00B918B6"/>
    <w:rsid w:val="00B9259D"/>
    <w:rsid w:val="00B9430A"/>
    <w:rsid w:val="00B95250"/>
    <w:rsid w:val="00B9649A"/>
    <w:rsid w:val="00B96759"/>
    <w:rsid w:val="00B96D13"/>
    <w:rsid w:val="00B976F9"/>
    <w:rsid w:val="00B97C6A"/>
    <w:rsid w:val="00B97CD2"/>
    <w:rsid w:val="00BA0B16"/>
    <w:rsid w:val="00BA180F"/>
    <w:rsid w:val="00BA2EC2"/>
    <w:rsid w:val="00BA2F84"/>
    <w:rsid w:val="00BA319F"/>
    <w:rsid w:val="00BA380A"/>
    <w:rsid w:val="00BA3AC6"/>
    <w:rsid w:val="00BA4A44"/>
    <w:rsid w:val="00BA4FB2"/>
    <w:rsid w:val="00BA6DC4"/>
    <w:rsid w:val="00BA7272"/>
    <w:rsid w:val="00BB35A1"/>
    <w:rsid w:val="00BB50CF"/>
    <w:rsid w:val="00BB6FAD"/>
    <w:rsid w:val="00BC0079"/>
    <w:rsid w:val="00BC14D1"/>
    <w:rsid w:val="00BC2834"/>
    <w:rsid w:val="00BC3D92"/>
    <w:rsid w:val="00BC46E2"/>
    <w:rsid w:val="00BC4FD6"/>
    <w:rsid w:val="00BC5F77"/>
    <w:rsid w:val="00BC6794"/>
    <w:rsid w:val="00BD0DF0"/>
    <w:rsid w:val="00BD2DDB"/>
    <w:rsid w:val="00BD3A35"/>
    <w:rsid w:val="00BD3E4E"/>
    <w:rsid w:val="00BD4211"/>
    <w:rsid w:val="00BD43E1"/>
    <w:rsid w:val="00BD483A"/>
    <w:rsid w:val="00BD5785"/>
    <w:rsid w:val="00BD6741"/>
    <w:rsid w:val="00BE0C52"/>
    <w:rsid w:val="00BE0FB5"/>
    <w:rsid w:val="00BE4065"/>
    <w:rsid w:val="00BE614D"/>
    <w:rsid w:val="00BE64F4"/>
    <w:rsid w:val="00BE7415"/>
    <w:rsid w:val="00BF05CC"/>
    <w:rsid w:val="00BF08A8"/>
    <w:rsid w:val="00BF20D2"/>
    <w:rsid w:val="00BF21A4"/>
    <w:rsid w:val="00BF2B93"/>
    <w:rsid w:val="00BF37A2"/>
    <w:rsid w:val="00BF398A"/>
    <w:rsid w:val="00BF4E93"/>
    <w:rsid w:val="00BF63E8"/>
    <w:rsid w:val="00BF784A"/>
    <w:rsid w:val="00BF7BF8"/>
    <w:rsid w:val="00C0028D"/>
    <w:rsid w:val="00C00C0A"/>
    <w:rsid w:val="00C00EDC"/>
    <w:rsid w:val="00C05127"/>
    <w:rsid w:val="00C056E9"/>
    <w:rsid w:val="00C05F81"/>
    <w:rsid w:val="00C06C77"/>
    <w:rsid w:val="00C07E4A"/>
    <w:rsid w:val="00C115D4"/>
    <w:rsid w:val="00C13CE2"/>
    <w:rsid w:val="00C14AB0"/>
    <w:rsid w:val="00C14EAE"/>
    <w:rsid w:val="00C15D9B"/>
    <w:rsid w:val="00C172B0"/>
    <w:rsid w:val="00C17372"/>
    <w:rsid w:val="00C17FB6"/>
    <w:rsid w:val="00C21937"/>
    <w:rsid w:val="00C2367E"/>
    <w:rsid w:val="00C237A6"/>
    <w:rsid w:val="00C23E99"/>
    <w:rsid w:val="00C24B78"/>
    <w:rsid w:val="00C255A3"/>
    <w:rsid w:val="00C30523"/>
    <w:rsid w:val="00C33D32"/>
    <w:rsid w:val="00C34349"/>
    <w:rsid w:val="00C35546"/>
    <w:rsid w:val="00C35C6C"/>
    <w:rsid w:val="00C36609"/>
    <w:rsid w:val="00C37F5B"/>
    <w:rsid w:val="00C40BBB"/>
    <w:rsid w:val="00C41014"/>
    <w:rsid w:val="00C4137F"/>
    <w:rsid w:val="00C41C14"/>
    <w:rsid w:val="00C4222F"/>
    <w:rsid w:val="00C44FC2"/>
    <w:rsid w:val="00C45383"/>
    <w:rsid w:val="00C46ED5"/>
    <w:rsid w:val="00C46F18"/>
    <w:rsid w:val="00C47C05"/>
    <w:rsid w:val="00C47D70"/>
    <w:rsid w:val="00C50178"/>
    <w:rsid w:val="00C5369A"/>
    <w:rsid w:val="00C562A9"/>
    <w:rsid w:val="00C567AF"/>
    <w:rsid w:val="00C56EC0"/>
    <w:rsid w:val="00C57D0F"/>
    <w:rsid w:val="00C6080C"/>
    <w:rsid w:val="00C608BB"/>
    <w:rsid w:val="00C62D9F"/>
    <w:rsid w:val="00C634DB"/>
    <w:rsid w:val="00C63E70"/>
    <w:rsid w:val="00C646B8"/>
    <w:rsid w:val="00C6537A"/>
    <w:rsid w:val="00C65492"/>
    <w:rsid w:val="00C65E07"/>
    <w:rsid w:val="00C67967"/>
    <w:rsid w:val="00C708F4"/>
    <w:rsid w:val="00C7270A"/>
    <w:rsid w:val="00C73694"/>
    <w:rsid w:val="00C74159"/>
    <w:rsid w:val="00C746EE"/>
    <w:rsid w:val="00C7497C"/>
    <w:rsid w:val="00C76727"/>
    <w:rsid w:val="00C779D3"/>
    <w:rsid w:val="00C8115E"/>
    <w:rsid w:val="00C82832"/>
    <w:rsid w:val="00C830CE"/>
    <w:rsid w:val="00C84151"/>
    <w:rsid w:val="00C84FD3"/>
    <w:rsid w:val="00C8580C"/>
    <w:rsid w:val="00C85E49"/>
    <w:rsid w:val="00C909EE"/>
    <w:rsid w:val="00C91B59"/>
    <w:rsid w:val="00C9273A"/>
    <w:rsid w:val="00C93104"/>
    <w:rsid w:val="00C93DC0"/>
    <w:rsid w:val="00C940BA"/>
    <w:rsid w:val="00C96137"/>
    <w:rsid w:val="00CA05DB"/>
    <w:rsid w:val="00CA2A40"/>
    <w:rsid w:val="00CA48BB"/>
    <w:rsid w:val="00CA52E2"/>
    <w:rsid w:val="00CA5D93"/>
    <w:rsid w:val="00CA6184"/>
    <w:rsid w:val="00CA77BB"/>
    <w:rsid w:val="00CB03E4"/>
    <w:rsid w:val="00CB0531"/>
    <w:rsid w:val="00CB0B5D"/>
    <w:rsid w:val="00CB4104"/>
    <w:rsid w:val="00CB6715"/>
    <w:rsid w:val="00CB6741"/>
    <w:rsid w:val="00CB6A8F"/>
    <w:rsid w:val="00CB6ABC"/>
    <w:rsid w:val="00CC1C49"/>
    <w:rsid w:val="00CC2D29"/>
    <w:rsid w:val="00CC2FB3"/>
    <w:rsid w:val="00CC3F30"/>
    <w:rsid w:val="00CC4289"/>
    <w:rsid w:val="00CC4AAF"/>
    <w:rsid w:val="00CC5A39"/>
    <w:rsid w:val="00CC67FD"/>
    <w:rsid w:val="00CC7A8B"/>
    <w:rsid w:val="00CC7F9F"/>
    <w:rsid w:val="00CD15CE"/>
    <w:rsid w:val="00CD2D39"/>
    <w:rsid w:val="00CD458B"/>
    <w:rsid w:val="00CD4634"/>
    <w:rsid w:val="00CD4EE8"/>
    <w:rsid w:val="00CD4F6F"/>
    <w:rsid w:val="00CD569D"/>
    <w:rsid w:val="00CD5BC2"/>
    <w:rsid w:val="00CD63E2"/>
    <w:rsid w:val="00CD7495"/>
    <w:rsid w:val="00CD79CF"/>
    <w:rsid w:val="00CD7D07"/>
    <w:rsid w:val="00CE08B5"/>
    <w:rsid w:val="00CE0D24"/>
    <w:rsid w:val="00CE1359"/>
    <w:rsid w:val="00CE2B49"/>
    <w:rsid w:val="00CE2BB5"/>
    <w:rsid w:val="00CE372F"/>
    <w:rsid w:val="00CE38C1"/>
    <w:rsid w:val="00CE4B3F"/>
    <w:rsid w:val="00CE6AA5"/>
    <w:rsid w:val="00CF0327"/>
    <w:rsid w:val="00CF0D2F"/>
    <w:rsid w:val="00CF22A4"/>
    <w:rsid w:val="00CF25A4"/>
    <w:rsid w:val="00CF2FCC"/>
    <w:rsid w:val="00CF32B1"/>
    <w:rsid w:val="00CF3F97"/>
    <w:rsid w:val="00CF6545"/>
    <w:rsid w:val="00CF7ACD"/>
    <w:rsid w:val="00D01C9E"/>
    <w:rsid w:val="00D023A6"/>
    <w:rsid w:val="00D035A4"/>
    <w:rsid w:val="00D03D58"/>
    <w:rsid w:val="00D07170"/>
    <w:rsid w:val="00D071A6"/>
    <w:rsid w:val="00D07720"/>
    <w:rsid w:val="00D07E58"/>
    <w:rsid w:val="00D11611"/>
    <w:rsid w:val="00D11AD4"/>
    <w:rsid w:val="00D126DD"/>
    <w:rsid w:val="00D13DA9"/>
    <w:rsid w:val="00D16461"/>
    <w:rsid w:val="00D166D0"/>
    <w:rsid w:val="00D166FA"/>
    <w:rsid w:val="00D17A0C"/>
    <w:rsid w:val="00D17BB7"/>
    <w:rsid w:val="00D20D25"/>
    <w:rsid w:val="00D210FC"/>
    <w:rsid w:val="00D237F6"/>
    <w:rsid w:val="00D2460C"/>
    <w:rsid w:val="00D25753"/>
    <w:rsid w:val="00D27879"/>
    <w:rsid w:val="00D307B1"/>
    <w:rsid w:val="00D30952"/>
    <w:rsid w:val="00D30EEF"/>
    <w:rsid w:val="00D321F3"/>
    <w:rsid w:val="00D32823"/>
    <w:rsid w:val="00D32927"/>
    <w:rsid w:val="00D32C05"/>
    <w:rsid w:val="00D32D3A"/>
    <w:rsid w:val="00D3422C"/>
    <w:rsid w:val="00D348ED"/>
    <w:rsid w:val="00D357CC"/>
    <w:rsid w:val="00D368DD"/>
    <w:rsid w:val="00D40503"/>
    <w:rsid w:val="00D41A03"/>
    <w:rsid w:val="00D41DBF"/>
    <w:rsid w:val="00D42874"/>
    <w:rsid w:val="00D43072"/>
    <w:rsid w:val="00D43CCB"/>
    <w:rsid w:val="00D451E6"/>
    <w:rsid w:val="00D45989"/>
    <w:rsid w:val="00D46589"/>
    <w:rsid w:val="00D473C9"/>
    <w:rsid w:val="00D5085E"/>
    <w:rsid w:val="00D50960"/>
    <w:rsid w:val="00D50BB6"/>
    <w:rsid w:val="00D51367"/>
    <w:rsid w:val="00D559EB"/>
    <w:rsid w:val="00D56D81"/>
    <w:rsid w:val="00D56DA0"/>
    <w:rsid w:val="00D57E22"/>
    <w:rsid w:val="00D6024B"/>
    <w:rsid w:val="00D60C96"/>
    <w:rsid w:val="00D60D2B"/>
    <w:rsid w:val="00D61035"/>
    <w:rsid w:val="00D61244"/>
    <w:rsid w:val="00D6158C"/>
    <w:rsid w:val="00D61D57"/>
    <w:rsid w:val="00D62B3F"/>
    <w:rsid w:val="00D6307E"/>
    <w:rsid w:val="00D63525"/>
    <w:rsid w:val="00D65122"/>
    <w:rsid w:val="00D666A5"/>
    <w:rsid w:val="00D6734E"/>
    <w:rsid w:val="00D67867"/>
    <w:rsid w:val="00D717FA"/>
    <w:rsid w:val="00D71C8E"/>
    <w:rsid w:val="00D73B5C"/>
    <w:rsid w:val="00D7604F"/>
    <w:rsid w:val="00D766AA"/>
    <w:rsid w:val="00D779A7"/>
    <w:rsid w:val="00D77B0E"/>
    <w:rsid w:val="00D77E13"/>
    <w:rsid w:val="00D8015C"/>
    <w:rsid w:val="00D80D77"/>
    <w:rsid w:val="00D8276D"/>
    <w:rsid w:val="00D835FF"/>
    <w:rsid w:val="00D84656"/>
    <w:rsid w:val="00D84F4F"/>
    <w:rsid w:val="00D86C6B"/>
    <w:rsid w:val="00D90DD0"/>
    <w:rsid w:val="00D90E52"/>
    <w:rsid w:val="00D90FED"/>
    <w:rsid w:val="00D9267D"/>
    <w:rsid w:val="00D92EB7"/>
    <w:rsid w:val="00D93353"/>
    <w:rsid w:val="00D934B5"/>
    <w:rsid w:val="00D96C51"/>
    <w:rsid w:val="00D978EB"/>
    <w:rsid w:val="00DA05F8"/>
    <w:rsid w:val="00DA116C"/>
    <w:rsid w:val="00DA2CBE"/>
    <w:rsid w:val="00DA3C8A"/>
    <w:rsid w:val="00DA47E8"/>
    <w:rsid w:val="00DA4A5D"/>
    <w:rsid w:val="00DA6DA4"/>
    <w:rsid w:val="00DA7A63"/>
    <w:rsid w:val="00DA7C99"/>
    <w:rsid w:val="00DA7F62"/>
    <w:rsid w:val="00DB1C44"/>
    <w:rsid w:val="00DB1D83"/>
    <w:rsid w:val="00DB2DFE"/>
    <w:rsid w:val="00DB33E5"/>
    <w:rsid w:val="00DB3632"/>
    <w:rsid w:val="00DB4399"/>
    <w:rsid w:val="00DB5D39"/>
    <w:rsid w:val="00DB63EC"/>
    <w:rsid w:val="00DB7092"/>
    <w:rsid w:val="00DB72EA"/>
    <w:rsid w:val="00DC167B"/>
    <w:rsid w:val="00DC260D"/>
    <w:rsid w:val="00DC2A57"/>
    <w:rsid w:val="00DC3422"/>
    <w:rsid w:val="00DC3927"/>
    <w:rsid w:val="00DC5366"/>
    <w:rsid w:val="00DC6C1E"/>
    <w:rsid w:val="00DC7D55"/>
    <w:rsid w:val="00DD0385"/>
    <w:rsid w:val="00DD03AC"/>
    <w:rsid w:val="00DD0CC7"/>
    <w:rsid w:val="00DD201F"/>
    <w:rsid w:val="00DD34E7"/>
    <w:rsid w:val="00DD3B25"/>
    <w:rsid w:val="00DD6436"/>
    <w:rsid w:val="00DD7304"/>
    <w:rsid w:val="00DD79CF"/>
    <w:rsid w:val="00DE158B"/>
    <w:rsid w:val="00DE1F45"/>
    <w:rsid w:val="00DE288D"/>
    <w:rsid w:val="00DE2CCF"/>
    <w:rsid w:val="00DE3624"/>
    <w:rsid w:val="00DE4F7C"/>
    <w:rsid w:val="00DE583C"/>
    <w:rsid w:val="00DE5D7B"/>
    <w:rsid w:val="00DE6551"/>
    <w:rsid w:val="00DE6817"/>
    <w:rsid w:val="00DE6DDB"/>
    <w:rsid w:val="00DE7384"/>
    <w:rsid w:val="00DE77CF"/>
    <w:rsid w:val="00DF0EA5"/>
    <w:rsid w:val="00DF178F"/>
    <w:rsid w:val="00DF3A6A"/>
    <w:rsid w:val="00DF3E44"/>
    <w:rsid w:val="00DF46CB"/>
    <w:rsid w:val="00DF50B3"/>
    <w:rsid w:val="00DF54C2"/>
    <w:rsid w:val="00DF5E58"/>
    <w:rsid w:val="00E02BFE"/>
    <w:rsid w:val="00E033EC"/>
    <w:rsid w:val="00E03FD9"/>
    <w:rsid w:val="00E0436E"/>
    <w:rsid w:val="00E06134"/>
    <w:rsid w:val="00E066CB"/>
    <w:rsid w:val="00E06754"/>
    <w:rsid w:val="00E0694B"/>
    <w:rsid w:val="00E06B4A"/>
    <w:rsid w:val="00E10B89"/>
    <w:rsid w:val="00E1109A"/>
    <w:rsid w:val="00E12127"/>
    <w:rsid w:val="00E12609"/>
    <w:rsid w:val="00E12FDC"/>
    <w:rsid w:val="00E13149"/>
    <w:rsid w:val="00E131EB"/>
    <w:rsid w:val="00E13484"/>
    <w:rsid w:val="00E13C83"/>
    <w:rsid w:val="00E1437E"/>
    <w:rsid w:val="00E14880"/>
    <w:rsid w:val="00E14A7B"/>
    <w:rsid w:val="00E1787B"/>
    <w:rsid w:val="00E21711"/>
    <w:rsid w:val="00E23780"/>
    <w:rsid w:val="00E24328"/>
    <w:rsid w:val="00E24BBB"/>
    <w:rsid w:val="00E2548D"/>
    <w:rsid w:val="00E25D9A"/>
    <w:rsid w:val="00E25EE0"/>
    <w:rsid w:val="00E2634B"/>
    <w:rsid w:val="00E27B1A"/>
    <w:rsid w:val="00E33233"/>
    <w:rsid w:val="00E33944"/>
    <w:rsid w:val="00E34973"/>
    <w:rsid w:val="00E34C13"/>
    <w:rsid w:val="00E364CD"/>
    <w:rsid w:val="00E36AD9"/>
    <w:rsid w:val="00E403FF"/>
    <w:rsid w:val="00E42044"/>
    <w:rsid w:val="00E42F46"/>
    <w:rsid w:val="00E45030"/>
    <w:rsid w:val="00E4526D"/>
    <w:rsid w:val="00E45AAD"/>
    <w:rsid w:val="00E46C05"/>
    <w:rsid w:val="00E47154"/>
    <w:rsid w:val="00E50F5E"/>
    <w:rsid w:val="00E51D7A"/>
    <w:rsid w:val="00E52A92"/>
    <w:rsid w:val="00E52CFB"/>
    <w:rsid w:val="00E53BD6"/>
    <w:rsid w:val="00E54A54"/>
    <w:rsid w:val="00E54C3E"/>
    <w:rsid w:val="00E557DC"/>
    <w:rsid w:val="00E55C1D"/>
    <w:rsid w:val="00E5647E"/>
    <w:rsid w:val="00E56813"/>
    <w:rsid w:val="00E56F24"/>
    <w:rsid w:val="00E605E3"/>
    <w:rsid w:val="00E616C6"/>
    <w:rsid w:val="00E61FD4"/>
    <w:rsid w:val="00E622DA"/>
    <w:rsid w:val="00E62585"/>
    <w:rsid w:val="00E62602"/>
    <w:rsid w:val="00E6341B"/>
    <w:rsid w:val="00E662C0"/>
    <w:rsid w:val="00E70214"/>
    <w:rsid w:val="00E70811"/>
    <w:rsid w:val="00E71D7B"/>
    <w:rsid w:val="00E71E7F"/>
    <w:rsid w:val="00E7313E"/>
    <w:rsid w:val="00E73982"/>
    <w:rsid w:val="00E74B50"/>
    <w:rsid w:val="00E755BD"/>
    <w:rsid w:val="00E761BB"/>
    <w:rsid w:val="00E77826"/>
    <w:rsid w:val="00E77846"/>
    <w:rsid w:val="00E81274"/>
    <w:rsid w:val="00E834CB"/>
    <w:rsid w:val="00E849C8"/>
    <w:rsid w:val="00E86278"/>
    <w:rsid w:val="00E87254"/>
    <w:rsid w:val="00E8734C"/>
    <w:rsid w:val="00E8787D"/>
    <w:rsid w:val="00E87B7D"/>
    <w:rsid w:val="00E87F86"/>
    <w:rsid w:val="00E90B5E"/>
    <w:rsid w:val="00E90C9C"/>
    <w:rsid w:val="00E90F5A"/>
    <w:rsid w:val="00E91D49"/>
    <w:rsid w:val="00E93347"/>
    <w:rsid w:val="00E93D07"/>
    <w:rsid w:val="00E94161"/>
    <w:rsid w:val="00E941D6"/>
    <w:rsid w:val="00E94C56"/>
    <w:rsid w:val="00E95E91"/>
    <w:rsid w:val="00E97032"/>
    <w:rsid w:val="00E9708B"/>
    <w:rsid w:val="00EA0B8F"/>
    <w:rsid w:val="00EA32B8"/>
    <w:rsid w:val="00EA497E"/>
    <w:rsid w:val="00EA49AF"/>
    <w:rsid w:val="00EA4FF1"/>
    <w:rsid w:val="00EA57A6"/>
    <w:rsid w:val="00EA6B22"/>
    <w:rsid w:val="00EB1881"/>
    <w:rsid w:val="00EB5E01"/>
    <w:rsid w:val="00EB70FF"/>
    <w:rsid w:val="00EB7293"/>
    <w:rsid w:val="00EB7575"/>
    <w:rsid w:val="00EC0DCC"/>
    <w:rsid w:val="00EC35F4"/>
    <w:rsid w:val="00EC3A85"/>
    <w:rsid w:val="00EC3B47"/>
    <w:rsid w:val="00EC3C98"/>
    <w:rsid w:val="00EC408D"/>
    <w:rsid w:val="00EC5A97"/>
    <w:rsid w:val="00EC7C93"/>
    <w:rsid w:val="00ED0417"/>
    <w:rsid w:val="00ED1CBE"/>
    <w:rsid w:val="00ED2B30"/>
    <w:rsid w:val="00ED64E4"/>
    <w:rsid w:val="00ED6577"/>
    <w:rsid w:val="00ED6669"/>
    <w:rsid w:val="00ED7935"/>
    <w:rsid w:val="00ED7DA3"/>
    <w:rsid w:val="00ED7ED1"/>
    <w:rsid w:val="00EE27CE"/>
    <w:rsid w:val="00EE2E85"/>
    <w:rsid w:val="00EE3C1B"/>
    <w:rsid w:val="00EE3E51"/>
    <w:rsid w:val="00EE3EFF"/>
    <w:rsid w:val="00EE51F4"/>
    <w:rsid w:val="00EE608F"/>
    <w:rsid w:val="00EE6BA0"/>
    <w:rsid w:val="00EE7773"/>
    <w:rsid w:val="00EF01DE"/>
    <w:rsid w:val="00EF0C41"/>
    <w:rsid w:val="00EF11F1"/>
    <w:rsid w:val="00EF1857"/>
    <w:rsid w:val="00EF192E"/>
    <w:rsid w:val="00EF361B"/>
    <w:rsid w:val="00EF4EF2"/>
    <w:rsid w:val="00EF763A"/>
    <w:rsid w:val="00F002CB"/>
    <w:rsid w:val="00F00CAD"/>
    <w:rsid w:val="00F01431"/>
    <w:rsid w:val="00F01BD8"/>
    <w:rsid w:val="00F02123"/>
    <w:rsid w:val="00F0290B"/>
    <w:rsid w:val="00F02B0F"/>
    <w:rsid w:val="00F031DA"/>
    <w:rsid w:val="00F0385A"/>
    <w:rsid w:val="00F04625"/>
    <w:rsid w:val="00F05445"/>
    <w:rsid w:val="00F058AF"/>
    <w:rsid w:val="00F05BB7"/>
    <w:rsid w:val="00F12780"/>
    <w:rsid w:val="00F1288C"/>
    <w:rsid w:val="00F12B2D"/>
    <w:rsid w:val="00F1391F"/>
    <w:rsid w:val="00F147B4"/>
    <w:rsid w:val="00F15101"/>
    <w:rsid w:val="00F15FC0"/>
    <w:rsid w:val="00F165AF"/>
    <w:rsid w:val="00F16B70"/>
    <w:rsid w:val="00F1763A"/>
    <w:rsid w:val="00F20E89"/>
    <w:rsid w:val="00F2111E"/>
    <w:rsid w:val="00F23C2F"/>
    <w:rsid w:val="00F242C6"/>
    <w:rsid w:val="00F25355"/>
    <w:rsid w:val="00F30F53"/>
    <w:rsid w:val="00F3110E"/>
    <w:rsid w:val="00F316EC"/>
    <w:rsid w:val="00F3323C"/>
    <w:rsid w:val="00F33708"/>
    <w:rsid w:val="00F350B7"/>
    <w:rsid w:val="00F35C86"/>
    <w:rsid w:val="00F366EA"/>
    <w:rsid w:val="00F36F90"/>
    <w:rsid w:val="00F40C41"/>
    <w:rsid w:val="00F40E5B"/>
    <w:rsid w:val="00F40F0E"/>
    <w:rsid w:val="00F416B5"/>
    <w:rsid w:val="00F42BB9"/>
    <w:rsid w:val="00F44260"/>
    <w:rsid w:val="00F45216"/>
    <w:rsid w:val="00F460CE"/>
    <w:rsid w:val="00F47625"/>
    <w:rsid w:val="00F50719"/>
    <w:rsid w:val="00F512C7"/>
    <w:rsid w:val="00F549FB"/>
    <w:rsid w:val="00F54A87"/>
    <w:rsid w:val="00F55698"/>
    <w:rsid w:val="00F6188B"/>
    <w:rsid w:val="00F61E22"/>
    <w:rsid w:val="00F61E72"/>
    <w:rsid w:val="00F6321A"/>
    <w:rsid w:val="00F64120"/>
    <w:rsid w:val="00F64F54"/>
    <w:rsid w:val="00F6516D"/>
    <w:rsid w:val="00F656E9"/>
    <w:rsid w:val="00F65ECB"/>
    <w:rsid w:val="00F67672"/>
    <w:rsid w:val="00F72E88"/>
    <w:rsid w:val="00F7354E"/>
    <w:rsid w:val="00F73E63"/>
    <w:rsid w:val="00F743A0"/>
    <w:rsid w:val="00F75077"/>
    <w:rsid w:val="00F76161"/>
    <w:rsid w:val="00F76431"/>
    <w:rsid w:val="00F76712"/>
    <w:rsid w:val="00F7743E"/>
    <w:rsid w:val="00F80797"/>
    <w:rsid w:val="00F80F6B"/>
    <w:rsid w:val="00F814E3"/>
    <w:rsid w:val="00F8163E"/>
    <w:rsid w:val="00F821CC"/>
    <w:rsid w:val="00F8281E"/>
    <w:rsid w:val="00F837CA"/>
    <w:rsid w:val="00F847CB"/>
    <w:rsid w:val="00F85990"/>
    <w:rsid w:val="00F86CCD"/>
    <w:rsid w:val="00F905E4"/>
    <w:rsid w:val="00F9086F"/>
    <w:rsid w:val="00F9145C"/>
    <w:rsid w:val="00F91506"/>
    <w:rsid w:val="00F93886"/>
    <w:rsid w:val="00F93A26"/>
    <w:rsid w:val="00F93CC3"/>
    <w:rsid w:val="00F94D40"/>
    <w:rsid w:val="00F9602D"/>
    <w:rsid w:val="00F96C0C"/>
    <w:rsid w:val="00FA0606"/>
    <w:rsid w:val="00FA07DB"/>
    <w:rsid w:val="00FA1F83"/>
    <w:rsid w:val="00FA21AD"/>
    <w:rsid w:val="00FA390F"/>
    <w:rsid w:val="00FA399E"/>
    <w:rsid w:val="00FA438D"/>
    <w:rsid w:val="00FA476B"/>
    <w:rsid w:val="00FA5350"/>
    <w:rsid w:val="00FA6649"/>
    <w:rsid w:val="00FA67B5"/>
    <w:rsid w:val="00FA68F2"/>
    <w:rsid w:val="00FB03CC"/>
    <w:rsid w:val="00FB0728"/>
    <w:rsid w:val="00FB1D6C"/>
    <w:rsid w:val="00FB2EE7"/>
    <w:rsid w:val="00FB32A8"/>
    <w:rsid w:val="00FB3529"/>
    <w:rsid w:val="00FB45B2"/>
    <w:rsid w:val="00FB54DA"/>
    <w:rsid w:val="00FB64B8"/>
    <w:rsid w:val="00FB6BBC"/>
    <w:rsid w:val="00FB7387"/>
    <w:rsid w:val="00FB79FE"/>
    <w:rsid w:val="00FC01EA"/>
    <w:rsid w:val="00FC1558"/>
    <w:rsid w:val="00FC1A4F"/>
    <w:rsid w:val="00FC1C23"/>
    <w:rsid w:val="00FC1FAC"/>
    <w:rsid w:val="00FC2240"/>
    <w:rsid w:val="00FC2887"/>
    <w:rsid w:val="00FC3492"/>
    <w:rsid w:val="00FC4205"/>
    <w:rsid w:val="00FC4849"/>
    <w:rsid w:val="00FC51D3"/>
    <w:rsid w:val="00FC60A4"/>
    <w:rsid w:val="00FC71DE"/>
    <w:rsid w:val="00FC7C87"/>
    <w:rsid w:val="00FD074E"/>
    <w:rsid w:val="00FD2CCE"/>
    <w:rsid w:val="00FD3254"/>
    <w:rsid w:val="00FD386B"/>
    <w:rsid w:val="00FD39A2"/>
    <w:rsid w:val="00FD4141"/>
    <w:rsid w:val="00FD43EE"/>
    <w:rsid w:val="00FD4FBF"/>
    <w:rsid w:val="00FD5C51"/>
    <w:rsid w:val="00FD64FB"/>
    <w:rsid w:val="00FD76E3"/>
    <w:rsid w:val="00FE1CC7"/>
    <w:rsid w:val="00FE221B"/>
    <w:rsid w:val="00FE35E3"/>
    <w:rsid w:val="00FE4504"/>
    <w:rsid w:val="00FE50AB"/>
    <w:rsid w:val="00FE55F0"/>
    <w:rsid w:val="00FE5FE8"/>
    <w:rsid w:val="00FE6349"/>
    <w:rsid w:val="00FE64CA"/>
    <w:rsid w:val="00FE6CD3"/>
    <w:rsid w:val="00FE72B4"/>
    <w:rsid w:val="00FE7E1B"/>
    <w:rsid w:val="00FF04B0"/>
    <w:rsid w:val="00FF27FC"/>
    <w:rsid w:val="00FF2A2B"/>
    <w:rsid w:val="00FF38C2"/>
    <w:rsid w:val="00FF5EC4"/>
    <w:rsid w:val="00FF61DB"/>
    <w:rsid w:val="00FF732E"/>
    <w:rsid w:val="00FF7A34"/>
    <w:rsid w:val="00FF7F03"/>
    <w:rsid w:val="0E2C1FFF"/>
    <w:rsid w:val="1A503AC1"/>
    <w:rsid w:val="322BAE44"/>
    <w:rsid w:val="49157221"/>
    <w:rsid w:val="6FF2E0D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DFE5A"/>
  <w15:chartTrackingRefBased/>
  <w15:docId w15:val="{067BB4C5-CBC4-4129-A8FD-23A48470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0211C"/>
    <w:pPr>
      <w:keepNext/>
      <w:keepLines/>
      <w:numPr>
        <w:numId w:val="27"/>
      </w:numPr>
      <w:spacing w:before="240" w:after="120"/>
      <w:outlineLvl w:val="0"/>
    </w:pPr>
    <w:rPr>
      <w:rFonts w:eastAsiaTheme="majorEastAsia" w:cstheme="minorHAnsi"/>
      <w:color w:val="2E74B5" w:themeColor="accent1" w:themeShade="BF"/>
      <w:sz w:val="32"/>
      <w:szCs w:val="32"/>
    </w:rPr>
  </w:style>
  <w:style w:type="paragraph" w:styleId="Heading2">
    <w:name w:val="heading 2"/>
    <w:basedOn w:val="Normal"/>
    <w:next w:val="Normal"/>
    <w:link w:val="Heading2Char"/>
    <w:autoRedefine/>
    <w:uiPriority w:val="9"/>
    <w:unhideWhenUsed/>
    <w:qFormat/>
    <w:rsid w:val="00CC4AAF"/>
    <w:pPr>
      <w:keepNext/>
      <w:keepLines/>
      <w:numPr>
        <w:ilvl w:val="1"/>
        <w:numId w:val="2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650"/>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650"/>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0650"/>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0650"/>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00650"/>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0650"/>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0650"/>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11C"/>
    <w:rPr>
      <w:rFonts w:eastAsiaTheme="majorEastAsia" w:cstheme="minorHAnsi"/>
      <w:color w:val="2E74B5" w:themeColor="accent1" w:themeShade="BF"/>
      <w:sz w:val="32"/>
      <w:szCs w:val="32"/>
    </w:rPr>
  </w:style>
  <w:style w:type="character" w:customStyle="1" w:styleId="Heading2Char">
    <w:name w:val="Heading 2 Char"/>
    <w:basedOn w:val="DefaultParagraphFont"/>
    <w:link w:val="Heading2"/>
    <w:uiPriority w:val="9"/>
    <w:rsid w:val="00CC4A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E7670"/>
    <w:pPr>
      <w:ind w:left="720"/>
      <w:contextualSpacing/>
    </w:pPr>
  </w:style>
  <w:style w:type="character" w:styleId="Hyperlink">
    <w:name w:val="Hyperlink"/>
    <w:basedOn w:val="DefaultParagraphFont"/>
    <w:uiPriority w:val="99"/>
    <w:unhideWhenUsed/>
    <w:rsid w:val="007209BD"/>
    <w:rPr>
      <w:color w:val="0563C1" w:themeColor="hyperlink"/>
      <w:u w:val="single"/>
    </w:rPr>
  </w:style>
  <w:style w:type="character" w:customStyle="1" w:styleId="UnresolvedMention1">
    <w:name w:val="Unresolved Mention1"/>
    <w:basedOn w:val="DefaultParagraphFont"/>
    <w:uiPriority w:val="99"/>
    <w:semiHidden/>
    <w:unhideWhenUsed/>
    <w:rsid w:val="007209BD"/>
    <w:rPr>
      <w:color w:val="605E5C"/>
      <w:shd w:val="clear" w:color="auto" w:fill="E1DFDD"/>
    </w:rPr>
  </w:style>
  <w:style w:type="paragraph" w:customStyle="1" w:styleId="RDPText">
    <w:name w:val="RDP Text"/>
    <w:link w:val="RDPTextChar"/>
    <w:qFormat/>
    <w:rsid w:val="00C6537A"/>
    <w:pPr>
      <w:spacing w:after="300" w:line="300" w:lineRule="exact"/>
      <w:jc w:val="both"/>
    </w:pPr>
    <w:rPr>
      <w:rFonts w:ascii="Tahoma" w:eastAsia="Times New Roman" w:hAnsi="Tahoma" w:cs="Times New Roman"/>
      <w:szCs w:val="24"/>
    </w:rPr>
  </w:style>
  <w:style w:type="paragraph" w:customStyle="1" w:styleId="RDPFigureHead">
    <w:name w:val="RDP Figure Head"/>
    <w:basedOn w:val="RDPText"/>
    <w:next w:val="Normal"/>
    <w:uiPriority w:val="57"/>
    <w:qFormat/>
    <w:rsid w:val="00C6537A"/>
    <w:pPr>
      <w:keepNext/>
      <w:keepLines/>
      <w:spacing w:after="0" w:line="240" w:lineRule="auto"/>
      <w:jc w:val="center"/>
    </w:pPr>
    <w:rPr>
      <w:b/>
    </w:rPr>
  </w:style>
  <w:style w:type="character" w:customStyle="1" w:styleId="RDPTextChar">
    <w:name w:val="RDP Text Char"/>
    <w:basedOn w:val="DefaultParagraphFont"/>
    <w:link w:val="RDPText"/>
    <w:rsid w:val="00C6537A"/>
    <w:rPr>
      <w:rFonts w:ascii="Tahoma" w:eastAsia="Times New Roman" w:hAnsi="Tahoma" w:cs="Times New Roman"/>
      <w:szCs w:val="24"/>
    </w:rPr>
  </w:style>
  <w:style w:type="paragraph" w:customStyle="1" w:styleId="RDPFigure">
    <w:name w:val="RDP Figure"/>
    <w:basedOn w:val="RDPText"/>
    <w:next w:val="Normal"/>
    <w:uiPriority w:val="60"/>
    <w:rsid w:val="00C6537A"/>
    <w:pPr>
      <w:keepNext/>
      <w:keepLines/>
      <w:spacing w:after="0" w:line="300" w:lineRule="atLeast"/>
      <w:jc w:val="center"/>
    </w:pPr>
  </w:style>
  <w:style w:type="table" w:styleId="TableGrid">
    <w:name w:val="Table Grid"/>
    <w:basedOn w:val="TableNormal"/>
    <w:uiPriority w:val="39"/>
    <w:rsid w:val="00177FAE"/>
    <w:pPr>
      <w:spacing w:after="0" w:line="240" w:lineRule="auto"/>
    </w:pPr>
    <w:tblPr/>
  </w:style>
  <w:style w:type="character" w:styleId="FootnoteReference">
    <w:name w:val="footnote reference"/>
    <w:basedOn w:val="DefaultParagraphFont"/>
    <w:uiPriority w:val="99"/>
    <w:rsid w:val="00177FAE"/>
    <w:rPr>
      <w:vertAlign w:val="superscript"/>
    </w:rPr>
  </w:style>
  <w:style w:type="paragraph" w:styleId="FootnoteText">
    <w:name w:val="footnote text"/>
    <w:basedOn w:val="Normal"/>
    <w:link w:val="FootnoteTextChar"/>
    <w:uiPriority w:val="99"/>
    <w:semiHidden/>
    <w:unhideWhenUsed/>
    <w:rsid w:val="00177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FAE"/>
    <w:rPr>
      <w:sz w:val="20"/>
      <w:szCs w:val="20"/>
    </w:rPr>
  </w:style>
  <w:style w:type="paragraph" w:customStyle="1" w:styleId="Footnote">
    <w:name w:val="Footnote"/>
    <w:qFormat/>
    <w:rsid w:val="009C6444"/>
    <w:pPr>
      <w:suppressAutoHyphens/>
      <w:spacing w:after="113" w:line="240" w:lineRule="auto"/>
      <w:ind w:left="397" w:hanging="397"/>
    </w:pPr>
    <w:rPr>
      <w:rFonts w:ascii="Palatino Linotype" w:eastAsia="Palatino Linotype" w:hAnsi="Palatino Linotype" w:cs="Palatino Linotype"/>
      <w:sz w:val="18"/>
    </w:rPr>
  </w:style>
  <w:style w:type="character" w:styleId="FollowedHyperlink">
    <w:name w:val="FollowedHyperlink"/>
    <w:basedOn w:val="DefaultParagraphFont"/>
    <w:uiPriority w:val="99"/>
    <w:semiHidden/>
    <w:unhideWhenUsed/>
    <w:rsid w:val="005305FE"/>
    <w:rPr>
      <w:color w:val="954F72" w:themeColor="followedHyperlink"/>
      <w:u w:val="single"/>
    </w:rPr>
  </w:style>
  <w:style w:type="character" w:customStyle="1" w:styleId="UnresolvedMention2">
    <w:name w:val="Unresolved Mention2"/>
    <w:basedOn w:val="DefaultParagraphFont"/>
    <w:uiPriority w:val="99"/>
    <w:semiHidden/>
    <w:unhideWhenUsed/>
    <w:rsid w:val="004359EE"/>
    <w:rPr>
      <w:color w:val="605E5C"/>
      <w:shd w:val="clear" w:color="auto" w:fill="E1DFDD"/>
    </w:rPr>
  </w:style>
  <w:style w:type="paragraph" w:styleId="TOC1">
    <w:name w:val="toc 1"/>
    <w:basedOn w:val="Normal"/>
    <w:next w:val="Normal"/>
    <w:autoRedefine/>
    <w:uiPriority w:val="39"/>
    <w:unhideWhenUsed/>
    <w:rsid w:val="00046014"/>
    <w:pPr>
      <w:tabs>
        <w:tab w:val="left" w:pos="440"/>
        <w:tab w:val="right" w:leader="dot" w:pos="9016"/>
      </w:tabs>
      <w:spacing w:after="100"/>
    </w:pPr>
  </w:style>
  <w:style w:type="paragraph" w:styleId="TOC2">
    <w:name w:val="toc 2"/>
    <w:basedOn w:val="Normal"/>
    <w:next w:val="Normal"/>
    <w:autoRedefine/>
    <w:uiPriority w:val="39"/>
    <w:unhideWhenUsed/>
    <w:rsid w:val="00216489"/>
    <w:pPr>
      <w:spacing w:after="100"/>
      <w:ind w:left="220"/>
    </w:pPr>
  </w:style>
  <w:style w:type="character" w:customStyle="1" w:styleId="UnresolvedMention3">
    <w:name w:val="Unresolved Mention3"/>
    <w:basedOn w:val="DefaultParagraphFont"/>
    <w:uiPriority w:val="99"/>
    <w:semiHidden/>
    <w:unhideWhenUsed/>
    <w:rsid w:val="00BB35A1"/>
    <w:rPr>
      <w:color w:val="605E5C"/>
      <w:shd w:val="clear" w:color="auto" w:fill="E1DFDD"/>
    </w:rPr>
  </w:style>
  <w:style w:type="paragraph" w:styleId="BalloonText">
    <w:name w:val="Balloon Text"/>
    <w:basedOn w:val="Normal"/>
    <w:link w:val="BalloonTextChar"/>
    <w:uiPriority w:val="99"/>
    <w:semiHidden/>
    <w:unhideWhenUsed/>
    <w:rsid w:val="00615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E0F"/>
    <w:rPr>
      <w:rFonts w:ascii="Segoe UI" w:hAnsi="Segoe UI" w:cs="Segoe UI"/>
      <w:sz w:val="18"/>
      <w:szCs w:val="18"/>
    </w:rPr>
  </w:style>
  <w:style w:type="character" w:styleId="CommentReference">
    <w:name w:val="annotation reference"/>
    <w:basedOn w:val="DefaultParagraphFont"/>
    <w:uiPriority w:val="99"/>
    <w:semiHidden/>
    <w:unhideWhenUsed/>
    <w:rsid w:val="007F028D"/>
    <w:rPr>
      <w:sz w:val="16"/>
      <w:szCs w:val="16"/>
    </w:rPr>
  </w:style>
  <w:style w:type="paragraph" w:styleId="CommentText">
    <w:name w:val="annotation text"/>
    <w:basedOn w:val="Normal"/>
    <w:link w:val="CommentTextChar"/>
    <w:uiPriority w:val="99"/>
    <w:semiHidden/>
    <w:unhideWhenUsed/>
    <w:rsid w:val="007F028D"/>
    <w:pPr>
      <w:spacing w:line="240" w:lineRule="auto"/>
    </w:pPr>
    <w:rPr>
      <w:sz w:val="20"/>
      <w:szCs w:val="20"/>
    </w:rPr>
  </w:style>
  <w:style w:type="character" w:customStyle="1" w:styleId="CommentTextChar">
    <w:name w:val="Comment Text Char"/>
    <w:basedOn w:val="DefaultParagraphFont"/>
    <w:link w:val="CommentText"/>
    <w:uiPriority w:val="99"/>
    <w:semiHidden/>
    <w:rsid w:val="007F028D"/>
    <w:rPr>
      <w:sz w:val="20"/>
      <w:szCs w:val="20"/>
    </w:rPr>
  </w:style>
  <w:style w:type="paragraph" w:styleId="CommentSubject">
    <w:name w:val="annotation subject"/>
    <w:basedOn w:val="CommentText"/>
    <w:next w:val="CommentText"/>
    <w:link w:val="CommentSubjectChar"/>
    <w:uiPriority w:val="99"/>
    <w:semiHidden/>
    <w:unhideWhenUsed/>
    <w:rsid w:val="007F028D"/>
    <w:rPr>
      <w:b/>
      <w:bCs/>
    </w:rPr>
  </w:style>
  <w:style w:type="character" w:customStyle="1" w:styleId="CommentSubjectChar">
    <w:name w:val="Comment Subject Char"/>
    <w:basedOn w:val="CommentTextChar"/>
    <w:link w:val="CommentSubject"/>
    <w:uiPriority w:val="99"/>
    <w:semiHidden/>
    <w:rsid w:val="007F028D"/>
    <w:rPr>
      <w:b/>
      <w:bCs/>
      <w:sz w:val="20"/>
      <w:szCs w:val="20"/>
    </w:rPr>
  </w:style>
  <w:style w:type="paragraph" w:styleId="Revision">
    <w:name w:val="Revision"/>
    <w:hidden/>
    <w:uiPriority w:val="99"/>
    <w:semiHidden/>
    <w:rsid w:val="00890429"/>
    <w:pPr>
      <w:spacing w:after="0" w:line="240" w:lineRule="auto"/>
    </w:pPr>
  </w:style>
  <w:style w:type="character" w:styleId="UnresolvedMention">
    <w:name w:val="Unresolved Mention"/>
    <w:basedOn w:val="DefaultParagraphFont"/>
    <w:uiPriority w:val="99"/>
    <w:semiHidden/>
    <w:unhideWhenUsed/>
    <w:rsid w:val="00890429"/>
    <w:rPr>
      <w:color w:val="605E5C"/>
      <w:shd w:val="clear" w:color="auto" w:fill="E1DFDD"/>
    </w:rPr>
  </w:style>
  <w:style w:type="paragraph" w:styleId="Header">
    <w:name w:val="header"/>
    <w:basedOn w:val="Normal"/>
    <w:link w:val="HeaderChar"/>
    <w:uiPriority w:val="99"/>
    <w:unhideWhenUsed/>
    <w:rsid w:val="00C63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4DB"/>
  </w:style>
  <w:style w:type="paragraph" w:styleId="Footer">
    <w:name w:val="footer"/>
    <w:basedOn w:val="Normal"/>
    <w:link w:val="FooterChar"/>
    <w:uiPriority w:val="99"/>
    <w:unhideWhenUsed/>
    <w:rsid w:val="00C63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4DB"/>
  </w:style>
  <w:style w:type="paragraph" w:styleId="Closing">
    <w:name w:val="Closing"/>
    <w:basedOn w:val="Normal"/>
    <w:link w:val="ClosingChar"/>
    <w:uiPriority w:val="99"/>
    <w:rsid w:val="009E0AE2"/>
    <w:pPr>
      <w:spacing w:before="360" w:after="0"/>
    </w:pPr>
    <w:rPr>
      <w:color w:val="000000" w:themeColor="text1"/>
    </w:rPr>
  </w:style>
  <w:style w:type="character" w:customStyle="1" w:styleId="ClosingChar">
    <w:name w:val="Closing Char"/>
    <w:basedOn w:val="DefaultParagraphFont"/>
    <w:link w:val="Closing"/>
    <w:uiPriority w:val="99"/>
    <w:rsid w:val="009E0AE2"/>
    <w:rPr>
      <w:color w:val="000000" w:themeColor="text1"/>
    </w:rPr>
  </w:style>
  <w:style w:type="character" w:customStyle="1" w:styleId="Heading3Char">
    <w:name w:val="Heading 3 Char"/>
    <w:basedOn w:val="DefaultParagraphFont"/>
    <w:link w:val="Heading3"/>
    <w:uiPriority w:val="9"/>
    <w:semiHidden/>
    <w:rsid w:val="000006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006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065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0065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0065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006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65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ttan.edu.au/report/more-homes-better-cities/" TargetMode="External"/><Relationship Id="rId21" Type="http://schemas.openxmlformats.org/officeDocument/2006/relationships/hyperlink" Target="https://www.qpc.qld.gov.au/content/inquiries/construction-productivity.html" TargetMode="External"/><Relationship Id="rId42" Type="http://schemas.openxmlformats.org/officeDocument/2006/relationships/hyperlink" Target="https://www.unsw.edu.au/content/dam/pdfs/ada/city-futures/CHIA_phase_2_report_1.4.pdf" TargetMode="External"/><Relationship Id="rId47" Type="http://schemas.openxmlformats.org/officeDocument/2006/relationships/hyperlink" Target="https://inflectionpoints.work/articles/the-red-tape-impulse" TargetMode="External"/><Relationship Id="rId63" Type="http://schemas.openxmlformats.org/officeDocument/2006/relationships/hyperlink" Target="https://www.cis.org.au/wp-content/uploads/2022/04/CIS-Submission-on-Housing-to-PC-Productivity-Inquiry.pdf" TargetMode="External"/><Relationship Id="rId68" Type="http://schemas.openxmlformats.org/officeDocument/2006/relationships/hyperlink" Target="https://www.pc.gov.au/inquiries-and-research/resilient-economy/report/" TargetMode="External"/><Relationship Id="rId84" Type="http://schemas.openxmlformats.org/officeDocument/2006/relationships/hyperlink" Target="https://www.nber.org/system/files/working_papers/w20367/w20367.pdf" TargetMode="External"/><Relationship Id="rId89" Type="http://schemas.openxmlformats.org/officeDocument/2006/relationships/fontTable" Target="fontTable.xml"/><Relationship Id="rId16" Type="http://schemas.openxmlformats.org/officeDocument/2006/relationships/hyperlink" Target="https://archive.budget.gov.au/2024-25/bp1/download/bp1_bs-4.pdf" TargetMode="External"/><Relationship Id="rId11" Type="http://schemas.openxmlformats.org/officeDocument/2006/relationships/image" Target="media/image1.png"/><Relationship Id="rId32" Type="http://schemas.openxmlformats.org/officeDocument/2006/relationships/hyperlink" Target="https://theconversation.com/is-regulation-really-to-blame-for-the-housing-affordability-crisis-258077" TargetMode="External"/><Relationship Id="rId37" Type="http://schemas.openxmlformats.org/officeDocument/2006/relationships/hyperlink" Target="https://ministers.treasury.gov.au/ministers/clare-oneil-2025/media-releases/first-deal-struck-deliver-100000-new-homes-first-home" TargetMode="External"/><Relationship Id="rId53" Type="http://schemas.openxmlformats.org/officeDocument/2006/relationships/image" Target="media/image2.png"/><Relationship Id="rId58" Type="http://schemas.openxmlformats.org/officeDocument/2006/relationships/hyperlink" Target="https://betterblocksnj.org/2026/03/03/does-unfunded-inclusionary-zoning-produce-affordable-housing-at-scale-part-iv-in-our-housing-policy-series/" TargetMode="External"/><Relationship Id="rId74" Type="http://schemas.openxmlformats.org/officeDocument/2006/relationships/hyperlink" Target="https://sourceable.net/what-has-the-price-of-fish-got-to-do-with-planning-and-housing/" TargetMode="External"/><Relationship Id="rId79" Type="http://schemas.openxmlformats.org/officeDocument/2006/relationships/hyperlink" Target="https://diegopuga.org/papers/DeLaRoca_Puga_REStud_2017.pdf"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productivity.nsw.gov.au/sites/default/files/2023-12/202305_02-building-more-homes-where-people-want-to-live.pdf" TargetMode="External"/><Relationship Id="rId22" Type="http://schemas.openxmlformats.org/officeDocument/2006/relationships/hyperlink" Target="https://grattan.edu.au/wp-content/uploads/2025/03/Orange_Book_2025.pdf" TargetMode="External"/><Relationship Id="rId27" Type="http://schemas.openxmlformats.org/officeDocument/2006/relationships/hyperlink" Target="https://www.thecie.com.au/publications-archive/cost-and-feasibility-estimates-for-supplying-new-residential-dwellings-in-nsw" TargetMode="External"/><Relationship Id="rId30" Type="http://schemas.openxmlformats.org/officeDocument/2006/relationships/hyperlink" Target="https://www.ahuri.edu.au/sites/default/files/documents/2024-09/AHURI%202023-2024%20Annual%20Financial%20Report.pdf" TargetMode="External"/><Relationship Id="rId35" Type="http://schemas.openxmlformats.org/officeDocument/2006/relationships/hyperlink" Target="https://ministers.treasury.gov.au/ministers/clare-oneil-2025/media-releases/thousands-new-homes-queenslanders" TargetMode="External"/><Relationship Id="rId43" Type="http://schemas.openxmlformats.org/officeDocument/2006/relationships/hyperlink" Target="https://vrollet.github.io/files/city_structure.pdf" TargetMode="External"/><Relationship Id="rId48" Type="http://schemas.openxmlformats.org/officeDocument/2006/relationships/hyperlink" Target="https://ministers.treasury.gov.au/ministers/jim-chalmers-2022/media-releases/treasurers-agree-reforms-increase-competition-and-boost" TargetMode="External"/><Relationship Id="rId56" Type="http://schemas.openxmlformats.org/officeDocument/2006/relationships/hyperlink" Target="https://sightline.org/2024/04/18/seattle-deserves-a-better-comp-plan/" TargetMode="External"/><Relationship Id="rId64" Type="http://schemas.openxmlformats.org/officeDocument/2006/relationships/hyperlink" Target="https://inflectionpoints.work/articles/best-practice-for-supply-side-reform" TargetMode="External"/><Relationship Id="rId69" Type="http://schemas.openxmlformats.org/officeDocument/2006/relationships/hyperlink" Target="https://assets.heritagecouncil.vic.gov.au/assets/Valuing_Victorias_Heritage_Summary_Report-compressed.pdf" TargetMode="External"/><Relationship Id="rId77" Type="http://schemas.openxmlformats.org/officeDocument/2006/relationships/hyperlink" Target="https://repository.upenn.edu/cgi/viewcontent.cgi?article=1007&amp;context=penniur_papers" TargetMode="External"/><Relationship Id="rId8" Type="http://schemas.openxmlformats.org/officeDocument/2006/relationships/webSettings" Target="webSettings.xml"/><Relationship Id="rId51" Type="http://schemas.openxmlformats.org/officeDocument/2006/relationships/hyperlink" Target="https://www.mercatus.org/students/research/public-interest-comments/conditioning-hud-grants-housing-market-outcomes-furthers" TargetMode="External"/><Relationship Id="rId72" Type="http://schemas.openxmlformats.org/officeDocument/2006/relationships/hyperlink" Target="https://qpc.qld.gov.au/docs/construction-productivity/QPC_Final%20Report_24%20Oct%202025.pdf" TargetMode="External"/><Relationship Id="rId80" Type="http://schemas.openxmlformats.org/officeDocument/2006/relationships/hyperlink" Target="https://direct.mit.edu/rest/article-abstract/95/5/1535/58138/Inequality-and-City-Size?redirectedFrom=fulltext" TargetMode="External"/><Relationship Id="rId85" Type="http://schemas.openxmlformats.org/officeDocument/2006/relationships/hyperlink" Target="https://www.iza.org/publications/dp/8508/the-empirics-of-agglomeration-economies" TargetMode="External"/><Relationship Id="rId3" Type="http://schemas.openxmlformats.org/officeDocument/2006/relationships/customXml" Target="../customXml/item3.xml"/><Relationship Id="rId12" Type="http://schemas.openxmlformats.org/officeDocument/2006/relationships/hyperlink" Target="https://www.cis.org.au/wp-content/uploads/2024/02/PP55-TULIP-rental-housing_Web.pdf" TargetMode="External"/><Relationship Id="rId17" Type="http://schemas.openxmlformats.org/officeDocument/2006/relationships/hyperlink" Target="https://grattan.edu.au/wp-content/uploads/2025/11/More-homes-better-cities-Grattan-2025-report.pdf" TargetMode="External"/><Relationship Id="rId25" Type="http://schemas.openxmlformats.org/officeDocument/2006/relationships/hyperlink" Target="https://mckinnon.co/democracy/insights/mckinnon-poll-understanding-attitudes-towards-housing-in-australia-2023" TargetMode="External"/><Relationship Id="rId33" Type="http://schemas.openxmlformats.org/officeDocument/2006/relationships/hyperlink" Target="https://theconversation.com/the-government-wants-more-of-us-living-in-high-rises-heres-why-australians-dont-want-to-265577" TargetMode="External"/><Relationship Id="rId38" Type="http://schemas.openxmlformats.org/officeDocument/2006/relationships/hyperlink" Target="https://ministers.treasury.gov.au/ministers/clare-oneil-2025/media-releases/new-homes-act-first-home-buyers" TargetMode="External"/><Relationship Id="rId46" Type="http://schemas.openxmlformats.org/officeDocument/2006/relationships/hyperlink" Target="https://grattan.edu.au/report/more-homes-better-cities/" TargetMode="External"/><Relationship Id="rId59" Type="http://schemas.openxmlformats.org/officeDocument/2006/relationships/hyperlink" Target="https://ternercenter.berkeley.edu/wp-content/uploads/2024/04/Inclusionary-Zoning-Paper-April-2024-Final.pdf" TargetMode="External"/><Relationship Id="rId67" Type="http://schemas.openxmlformats.org/officeDocument/2006/relationships/hyperlink" Target="https://www.planning.nsw.gov.au/policy-and-legislation/housing/faster-assessments-program/council-league-table" TargetMode="External"/><Relationship Id="rId20" Type="http://schemas.openxmlformats.org/officeDocument/2006/relationships/hyperlink" Target="https://www.cis.org.au/wp-content/uploads/2024/02/PP55-TULIP-rental-housing_Web.pdf" TargetMode="External"/><Relationship Id="rId41" Type="http://schemas.openxmlformats.org/officeDocument/2006/relationships/hyperlink" Target="https://ministers.pmc.gov.au/mccarthy/2025/social-housing-builds-surging-ahead" TargetMode="External"/><Relationship Id="rId54" Type="http://schemas.openxmlformats.org/officeDocument/2006/relationships/hyperlink" Target="https://content.civicplus.com/api/assets/1cd4dcf5-63b2-45c6-8c08-08920f1cc444" TargetMode="External"/><Relationship Id="rId62" Type="http://schemas.openxmlformats.org/officeDocument/2006/relationships/hyperlink" Target="https://www.pc.gov.au/inquiries/completed/regulation-benchmarking-planning/report" TargetMode="External"/><Relationship Id="rId70" Type="http://schemas.openxmlformats.org/officeDocument/2006/relationships/hyperlink" Target="https://esansw.org.au/407/images/C1._Valuing_Cultural_Heritage_-_Simon_Fifer.pdf" TargetMode="External"/><Relationship Id="rId75" Type="http://schemas.openxmlformats.org/officeDocument/2006/relationships/hyperlink" Target="https://www.cis.org.au/publications/policy-papers/does-high-rise-development-damage-neighbourhood-character/" TargetMode="External"/><Relationship Id="rId83" Type="http://schemas.openxmlformats.org/officeDocument/2006/relationships/hyperlink" Target="https://www.amazon.com/Triumph-City-Greatest-Invention-Healthier/dp/0143120549"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qpc.qld.gov.au/content/inquiries/construction-productivity.html" TargetMode="External"/><Relationship Id="rId23" Type="http://schemas.openxmlformats.org/officeDocument/2006/relationships/hyperlink" Target="https://www.cgc.gov.au/sites/default/files/2021-11/r2020_report_-_volume_2_-_part_b_ch19-33.pdf" TargetMode="External"/><Relationship Id="rId28" Type="http://schemas.openxmlformats.org/officeDocument/2006/relationships/hyperlink" Target="https://www.nsw.gov.au/ministerial-releases/housing-delivery-authority-sets-new-60-day-clock-on-eois" TargetMode="External"/><Relationship Id="rId36" Type="http://schemas.openxmlformats.org/officeDocument/2006/relationships/hyperlink" Target="https://www.wa.gov.au/government/media-statements/Cook%20Labor%20Government/Joint-media-statement---Landmark-%242-billion-joint-investment-to-deliver-thousands-of-homes-for-first-home-buyers--20260503" TargetMode="External"/><Relationship Id="rId49" Type="http://schemas.openxmlformats.org/officeDocument/2006/relationships/hyperlink" Target="https://treasury.gov.au/review/competition-review-2023/ncp" TargetMode="External"/><Relationship Id="rId57" Type="http://schemas.openxmlformats.org/officeDocument/2006/relationships/hyperlink" Target="https://static1.squarespace.com/static/650f13d9346acc5fd50cea6c/t/679784e30f280254e88f8479/1737983204111/The_Effects_of_Inclusionary_Zoning_on_New_20__Unit_Housing_Projects_in_Pittsburgh+-+01272025.pdf" TargetMode="External"/><Relationship Id="rId10" Type="http://schemas.openxmlformats.org/officeDocument/2006/relationships/endnotes" Target="endnotes.xml"/><Relationship Id="rId31" Type="http://schemas.openxmlformats.org/officeDocument/2006/relationships/hyperlink" Target="https://budget.gov.au/content/bp2/download/bp2_02_receipt_payment.pdf" TargetMode="External"/><Relationship Id="rId44" Type="http://schemas.openxmlformats.org/officeDocument/2006/relationships/hyperlink" Target="Homelessness%20Is%20A%20Housing%20Problem%20by%20Colburn%20and%20Aldern,%202022." TargetMode="External"/><Relationship Id="rId52" Type="http://schemas.openxmlformats.org/officeDocument/2006/relationships/hyperlink" Target="https://www.cis.org.au/wp-content/uploads/2023/03/AP45-council-housing-targets.pdf" TargetMode="External"/><Relationship Id="rId60" Type="http://schemas.openxmlformats.org/officeDocument/2006/relationships/hyperlink" Target="https://www.mercatus.org/system/files/hamilton_-_policy_brief_-_inclusionary_zoning_hurts_more_than_it_helps_-_v2.pdf" TargetMode="External"/><Relationship Id="rId65" Type="http://schemas.openxmlformats.org/officeDocument/2006/relationships/hyperlink" Target="https://www.pc.gov.au/inquiries-and-research/resilient-economy/report/" TargetMode="External"/><Relationship Id="rId73" Type="http://schemas.openxmlformats.org/officeDocument/2006/relationships/hyperlink" Target="https://www.parliament.nsw.gov.au/Hansard/Pages/HansardResult.aspx" TargetMode="External"/><Relationship Id="rId78" Type="http://schemas.openxmlformats.org/officeDocument/2006/relationships/hyperlink" Target="https://www.journals.uchicago.edu/doi/abs/10.1086/319563" TargetMode="External"/><Relationship Id="rId81" Type="http://schemas.openxmlformats.org/officeDocument/2006/relationships/hyperlink" Target="https://zhiwang2013brownecon.weebly.com/uploads/4/2/1/9/42190763/wage_growth_jue_2016.pdf" TargetMode="External"/><Relationship Id="rId86" Type="http://schemas.openxmlformats.org/officeDocument/2006/relationships/hyperlink" Target="https://voxeu.org/article/economic-effects-density-synthesi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c.gov.au/inquiries-and-research/housing-homelessness/report/" TargetMode="External"/><Relationship Id="rId18" Type="http://schemas.openxmlformats.org/officeDocument/2006/relationships/hyperlink" Target="https://cedakenticomedia.blob.core.windows.net/cedamediatest/kentico/media/research-team/reports/ceda_a-middle-path_final_1.pdf" TargetMode="External"/><Relationship Id="rId39" Type="http://schemas.openxmlformats.org/officeDocument/2006/relationships/hyperlink" Target="https://ministers.treasury.gov.au/ministers/clare-oneil-2025/media-releases/new-homes-act-first-home-buyers" TargetMode="External"/><Relationship Id="rId34" Type="http://schemas.openxmlformats.org/officeDocument/2006/relationships/hyperlink" Target="https://theconversation.com/the-market-has-failed-to-give-australians-affordable-housing-so-dont-expect-it-to-solve-the-crisis-192177" TargetMode="External"/><Relationship Id="rId50" Type="http://schemas.openxmlformats.org/officeDocument/2006/relationships/hyperlink" Target="https://www.ocregister.com/2022/05/08/southern-california-housing-plans-contain-fake-sites-lack-analysis-critics-say/" TargetMode="External"/><Relationship Id="rId55" Type="http://schemas.openxmlformats.org/officeDocument/2006/relationships/image" Target="media/image3.png"/><Relationship Id="rId76" Type="http://schemas.openxmlformats.org/officeDocument/2006/relationships/hyperlink" Target="https://voxeu.org/article/economic-effects-density-synthesis" TargetMode="External"/><Relationship Id="rId7" Type="http://schemas.openxmlformats.org/officeDocument/2006/relationships/settings" Target="settings.xml"/><Relationship Id="rId71" Type="http://schemas.openxmlformats.org/officeDocument/2006/relationships/hyperlink" Target="https://www.cis.org.au/wp-content/uploads/2026/02/PP62-Heritage-Paper.pdf" TargetMode="External"/><Relationship Id="rId2" Type="http://schemas.openxmlformats.org/officeDocument/2006/relationships/customXml" Target="../customXml/item2.xml"/><Relationship Id="rId29" Type="http://schemas.openxmlformats.org/officeDocument/2006/relationships/hyperlink" Target="https://parlinfo.aph.gov.au/parlInfo/search/display/display.w3p;query=Id%3A%22legislation%2Fems%2Fr6971_ems_65319d44-1295-43e7-8718-251583e588fd%22" TargetMode="External"/><Relationship Id="rId24" Type="http://schemas.openxmlformats.org/officeDocument/2006/relationships/hyperlink" Target="https://treasury.gov.au/sites/default/files/2026-05/hsp-local-infra-fund-fact-sheet.pdf" TargetMode="External"/><Relationship Id="rId40" Type="http://schemas.openxmlformats.org/officeDocument/2006/relationships/hyperlink" Target="https://treasury.gov.au/sites/default/files/2026-06/p2026-773858.pdf" TargetMode="External"/><Relationship Id="rId45" Type="http://schemas.openxmlformats.org/officeDocument/2006/relationships/hyperlink" Target="https://projecteuclid.org/journalArticle/Download?urlId=10.1214%2F20-AOAS1414" TargetMode="External"/><Relationship Id="rId66" Type="http://schemas.openxmlformats.org/officeDocument/2006/relationships/hyperlink" Target="https://www.qpc.qld.gov.au/docs/construction-productivity/CIE%20Report%20-%20Costs%20of%20Housing%20Regulation%20in%20Queensland.pdf" TargetMode="External"/><Relationship Id="rId87" Type="http://schemas.openxmlformats.org/officeDocument/2006/relationships/hyperlink" Target="https://nhsac.gov.au/reports-and-submissions/state-housing-system-2024" TargetMode="External"/><Relationship Id="rId61" Type="http://schemas.openxmlformats.org/officeDocument/2006/relationships/hyperlink" Target="https://www.pc.gov.au/inquiries/completed/productivity-review/report" TargetMode="External"/><Relationship Id="rId82" Type="http://schemas.openxmlformats.org/officeDocument/2006/relationships/hyperlink" Target="https://www.nber.org/system/files/working_papers/w20367/w20367.pdf" TargetMode="External"/><Relationship Id="rId19" Type="http://schemas.openxmlformats.org/officeDocument/2006/relationships/hyperlink" Target="http://petertulip.com/misunderstand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1e86cb9788e02d249ab669ae8f8b8831">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f750831bcff558d895fb6303882b88cf"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Additionalinformation xmlns="7b599973-69e8-4ad2-959d-f8c2140b2ffc" xsi:nil="true"/>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38</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60FC-688E-4AAF-A116-4B218841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A8CBA-9CDC-4460-8172-F0BC46CD09BB}">
  <ds:schemaRefs>
    <ds:schemaRef ds:uri="http://schemas.microsoft.com/sharepoint/v3/contenttype/forms"/>
  </ds:schemaRefs>
</ds:datastoreItem>
</file>

<file path=customXml/itemProps3.xml><?xml version="1.0" encoding="utf-8"?>
<ds:datastoreItem xmlns:ds="http://schemas.openxmlformats.org/officeDocument/2006/customXml" ds:itemID="{F70EB4E9-FA48-4883-A7AE-2BDB5233A4BA}">
  <ds:schemaRefs>
    <ds:schemaRef ds:uri="http://schemas.microsoft.com/office/2006/metadata/properties"/>
    <ds:schemaRef ds:uri="http://schemas.microsoft.com/office/infopath/2007/PartnerControls"/>
    <ds:schemaRef ds:uri="525413a7-c6dd-413c-8747-dd3127a98452"/>
    <ds:schemaRef ds:uri="7b599973-69e8-4ad2-959d-f8c2140b2ffc"/>
  </ds:schemaRefs>
</ds:datastoreItem>
</file>

<file path=customXml/itemProps4.xml><?xml version="1.0" encoding="utf-8"?>
<ds:datastoreItem xmlns:ds="http://schemas.openxmlformats.org/officeDocument/2006/customXml" ds:itemID="{E11AF737-50FE-415F-860D-B6076D52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7309</Words>
  <Characters>41155</Characters>
  <Application>Microsoft Office Word</Application>
  <DocSecurity>0</DocSecurity>
  <Lines>839</Lines>
  <Paragraphs>436</Paragraphs>
  <ScaleCrop>false</ScaleCrop>
  <HeadingPairs>
    <vt:vector size="2" baseType="variant">
      <vt:variant>
        <vt:lpstr>Title</vt:lpstr>
      </vt:variant>
      <vt:variant>
        <vt:i4>1</vt:i4>
      </vt:variant>
    </vt:vector>
  </HeadingPairs>
  <TitlesOfParts>
    <vt:vector size="1" baseType="lpstr">
      <vt:lpstr>Submission 18 - Centre for Independent Studies (CIS) - Housing supply regulation - Public inquiry</vt:lpstr>
    </vt:vector>
  </TitlesOfParts>
  <Company>Centre for Independent Studies (CIS) </Company>
  <LinksUpToDate>false</LinksUpToDate>
  <CharactersWithSpaces>48028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Centre for Independent Studies (CIS) - Housing supply regulation - Public inquiry</dc:title>
  <dc:subject/>
  <dc:creator>Centre for Independent Studies (CIS) </dc:creator>
  <cp:keywords/>
  <dc:description/>
  <cp:lastModifiedBy>Chris Alston</cp:lastModifiedBy>
  <cp:revision>3</cp:revision>
  <cp:lastPrinted>2022-03-23T00:10:00Z</cp:lastPrinted>
  <dcterms:created xsi:type="dcterms:W3CDTF">2026-06-26T02:25:00Z</dcterms:created>
  <dcterms:modified xsi:type="dcterms:W3CDTF">2026-06-26T02:26:00Z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Order">
    <vt:r8>2415100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RevIMBCS">
    <vt:lpwstr>1;#Unclassified|3955eeb1-2d18-4582-aeb2-00144ec3aaf5</vt:lpwstr>
  </property>
  <property fmtid="{D5CDD505-2E9C-101B-9397-08002B2CF9AE}" pid="9" name="MSIP_Label_c1f2b1ce-4212-46db-a901-dd8453f57141_Enabled">
    <vt:lpwstr>true</vt:lpwstr>
  </property>
  <property fmtid="{D5CDD505-2E9C-101B-9397-08002B2CF9AE}" pid="10" name="MSIP_Label_c1f2b1ce-4212-46db-a901-dd8453f57141_SetDate">
    <vt:lpwstr>2026-06-26T02:24:55Z</vt:lpwstr>
  </property>
  <property fmtid="{D5CDD505-2E9C-101B-9397-08002B2CF9AE}" pid="11" name="MSIP_Label_c1f2b1ce-4212-46db-a901-dd8453f57141_Method">
    <vt:lpwstr>Privileged</vt:lpwstr>
  </property>
  <property fmtid="{D5CDD505-2E9C-101B-9397-08002B2CF9AE}" pid="12" name="MSIP_Label_c1f2b1ce-4212-46db-a901-dd8453f57141_Name">
    <vt:lpwstr>Publish</vt:lpwstr>
  </property>
  <property fmtid="{D5CDD505-2E9C-101B-9397-08002B2CF9AE}" pid="13" name="MSIP_Label_c1f2b1ce-4212-46db-a901-dd8453f57141_SiteId">
    <vt:lpwstr>29f9330b-c0fe-4244-830e-ba9f275d6c34</vt:lpwstr>
  </property>
  <property fmtid="{D5CDD505-2E9C-101B-9397-08002B2CF9AE}" pid="14" name="MSIP_Label_c1f2b1ce-4212-46db-a901-dd8453f57141_ActionId">
    <vt:lpwstr>23cc6510-b147-4838-9378-765674911c2b</vt:lpwstr>
  </property>
  <property fmtid="{D5CDD505-2E9C-101B-9397-08002B2CF9AE}" pid="15" name="MSIP_Label_c1f2b1ce-4212-46db-a901-dd8453f57141_ContentBits">
    <vt:lpwstr>0</vt:lpwstr>
  </property>
  <property fmtid="{D5CDD505-2E9C-101B-9397-08002B2CF9AE}" pid="16" name="MSIP_Label_c1f2b1ce-4212-46db-a901-dd8453f57141_Tag">
    <vt:lpwstr>10, 0, 1, 1</vt:lpwstr>
  </property>
</Properties>
</file>