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27652" w14:textId="77777777" w:rsidR="000432BA" w:rsidRDefault="000432BA" w:rsidP="000432BA">
      <w:pPr>
        <w:pStyle w:val="Heading1"/>
        <w:rPr>
          <w:lang w:val="en-GB"/>
        </w:rPr>
      </w:pPr>
      <w:r>
        <w:rPr>
          <w:noProof/>
          <w:lang w:val="en-GB"/>
        </w:rPr>
        <w:drawing>
          <wp:inline distT="0" distB="0" distL="0" distR="0" wp14:anchorId="21D3CEB8" wp14:editId="55AE1CC5">
            <wp:extent cx="2577398" cy="405114"/>
            <wp:effectExtent l="0" t="0" r="1270" b="1905"/>
            <wp:docPr id="1768964222" name="Picture 4" descr="A purpl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27497" name="Picture 4" descr="A purple background with white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4220" cy="407758"/>
                    </a:xfrm>
                    <a:prstGeom prst="rect">
                      <a:avLst/>
                    </a:prstGeom>
                  </pic:spPr>
                </pic:pic>
              </a:graphicData>
            </a:graphic>
          </wp:inline>
        </w:drawing>
      </w:r>
    </w:p>
    <w:p w14:paraId="46A2084C" w14:textId="77777777" w:rsidR="000432BA" w:rsidRDefault="000432BA" w:rsidP="000432BA">
      <w:pPr>
        <w:pStyle w:val="Heading1"/>
        <w:rPr>
          <w:lang w:val="en-GB"/>
        </w:rPr>
      </w:pPr>
    </w:p>
    <w:p w14:paraId="512523A6" w14:textId="77777777" w:rsidR="000432BA" w:rsidRDefault="000432BA" w:rsidP="000432BA">
      <w:pPr>
        <w:pStyle w:val="Title"/>
        <w:rPr>
          <w:lang w:val="en-GB"/>
        </w:rPr>
      </w:pPr>
    </w:p>
    <w:p w14:paraId="18D5818E" w14:textId="77777777" w:rsidR="000432BA" w:rsidRDefault="000432BA" w:rsidP="000432BA">
      <w:pPr>
        <w:pStyle w:val="Title"/>
        <w:rPr>
          <w:i/>
          <w:iCs/>
          <w:lang w:val="en-GB"/>
        </w:rPr>
      </w:pPr>
      <w:r>
        <w:rPr>
          <w:i/>
          <w:iCs/>
          <w:lang w:val="en-GB"/>
        </w:rPr>
        <w:t>Submission to the Productivity Commission inquiry into housing supply regulation</w:t>
      </w:r>
    </w:p>
    <w:p w14:paraId="51D7EDCA" w14:textId="77777777" w:rsidR="000432BA" w:rsidRDefault="000432BA" w:rsidP="000432BA">
      <w:pPr>
        <w:rPr>
          <w:lang w:val="en-GB"/>
        </w:rPr>
      </w:pPr>
    </w:p>
    <w:p w14:paraId="63CA49FA" w14:textId="77777777" w:rsidR="000432BA" w:rsidRDefault="000432BA" w:rsidP="000432BA">
      <w:pPr>
        <w:rPr>
          <w:rFonts w:ascii="Open Sans" w:eastAsia="Times New Roman" w:hAnsi="Open Sans" w:cs="Times New Roman"/>
          <w:color w:val="0E010C"/>
          <w:sz w:val="18"/>
        </w:rPr>
      </w:pPr>
      <w:r>
        <w:rPr>
          <w:rFonts w:ascii="Open Sans" w:eastAsia="Times New Roman" w:hAnsi="Open Sans" w:cs="Times New Roman"/>
          <w:noProof/>
          <w:color w:val="0E010C"/>
          <w:sz w:val="18"/>
        </w:rPr>
        <w:drawing>
          <wp:inline distT="0" distB="0" distL="0" distR="0" wp14:anchorId="139286B0" wp14:editId="7745CE99">
            <wp:extent cx="6000750" cy="3409950"/>
            <wp:effectExtent l="0" t="0" r="0" b="0"/>
            <wp:docPr id="516974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1345" cy="3410288"/>
                    </a:xfrm>
                    <a:prstGeom prst="rect">
                      <a:avLst/>
                    </a:prstGeom>
                    <a:noFill/>
                  </pic:spPr>
                </pic:pic>
              </a:graphicData>
            </a:graphic>
          </wp:inline>
        </w:drawing>
      </w:r>
    </w:p>
    <w:p w14:paraId="6284F5BA" w14:textId="77777777" w:rsidR="000432BA" w:rsidRDefault="000432BA" w:rsidP="000432BA">
      <w:pPr>
        <w:rPr>
          <w:rFonts w:ascii="Open Sans" w:eastAsia="Times New Roman" w:hAnsi="Open Sans" w:cs="Times New Roman"/>
          <w:color w:val="0E010C"/>
          <w:sz w:val="18"/>
        </w:rPr>
      </w:pPr>
      <w:r>
        <w:rPr>
          <w:rFonts w:ascii="Open Sans" w:eastAsia="Times New Roman" w:hAnsi="Open Sans" w:cs="Times New Roman"/>
          <w:color w:val="0E010C"/>
          <w:sz w:val="18"/>
        </w:rPr>
        <w:t>City of Sydney Lord Mayor Clover Moore AO at the opening of the Haymarket Foundation’s Bridge Housing project in Sydney, 3 May 2026. Image courtesy Lord Mayor Clover Moore Facebook.</w:t>
      </w:r>
    </w:p>
    <w:p w14:paraId="3A621524" w14:textId="56F41B44" w:rsidR="000432BA" w:rsidRPr="00F64CD4" w:rsidRDefault="000432BA" w:rsidP="00F64CD4">
      <w:pPr>
        <w:pStyle w:val="Title"/>
        <w:rPr>
          <w:i/>
          <w:lang w:val="en-GB"/>
        </w:rPr>
      </w:pPr>
    </w:p>
    <w:p w14:paraId="17FF98A1" w14:textId="77777777" w:rsidR="00DB5904" w:rsidRDefault="00DB5904" w:rsidP="00AD147B">
      <w:pPr>
        <w:keepNext/>
        <w:keepLines/>
        <w:spacing w:before="360" w:after="360" w:line="240" w:lineRule="auto"/>
        <w:outlineLvl w:val="0"/>
        <w:rPr>
          <w:rFonts w:ascii="Playfair Display Black" w:eastAsia="Times New Roman" w:hAnsi="Playfair Display Black" w:cs="Times New Roman (Headings CS)"/>
          <w:b/>
          <w:color w:val="450538"/>
          <w:sz w:val="44"/>
          <w:szCs w:val="40"/>
        </w:rPr>
      </w:pPr>
    </w:p>
    <w:p w14:paraId="664B808A" w14:textId="77777777" w:rsidR="00DB5904" w:rsidRDefault="00DB5904" w:rsidP="00AD147B">
      <w:pPr>
        <w:keepNext/>
        <w:keepLines/>
        <w:spacing w:before="360" w:after="360" w:line="240" w:lineRule="auto"/>
        <w:outlineLvl w:val="0"/>
        <w:rPr>
          <w:rFonts w:ascii="Playfair Display Black" w:eastAsia="Times New Roman" w:hAnsi="Playfair Display Black" w:cs="Times New Roman (Headings CS)"/>
          <w:b/>
          <w:color w:val="450538"/>
          <w:sz w:val="44"/>
          <w:szCs w:val="40"/>
        </w:rPr>
      </w:pPr>
    </w:p>
    <w:p w14:paraId="4D83ECF3" w14:textId="16F1802D" w:rsidR="00AD147B" w:rsidRPr="009E0D80" w:rsidRDefault="00AD147B" w:rsidP="00AD147B">
      <w:pPr>
        <w:keepNext/>
        <w:keepLines/>
        <w:spacing w:before="360" w:after="360" w:line="240" w:lineRule="auto"/>
        <w:outlineLvl w:val="0"/>
        <w:rPr>
          <w:rFonts w:ascii="Playfair Display Black" w:eastAsia="Times New Roman" w:hAnsi="Playfair Display Black" w:cs="Times New Roman (Headings CS)"/>
          <w:b/>
          <w:color w:val="450538"/>
          <w:sz w:val="44"/>
          <w:szCs w:val="40"/>
        </w:rPr>
      </w:pPr>
      <w:r>
        <w:rPr>
          <w:rFonts w:ascii="Playfair Display Black" w:eastAsia="Times New Roman" w:hAnsi="Playfair Display Black" w:cs="Times New Roman (Headings CS)"/>
          <w:b/>
          <w:color w:val="450538"/>
          <w:sz w:val="44"/>
          <w:szCs w:val="40"/>
        </w:rPr>
        <w:t>Background</w:t>
      </w:r>
    </w:p>
    <w:p w14:paraId="5925F912" w14:textId="77777777" w:rsidR="0057769B" w:rsidRPr="0069209A" w:rsidRDefault="0057769B" w:rsidP="0057769B">
      <w:r w:rsidRPr="0069209A">
        <w:t>The Council of Capital City Lord Mayors (CCCLM) is a peak body that advocates for the interests of Australia’s capital cities. Providing national leadership and a strong voice to advance the needs of our capital cities are key priorities for the CCCLM.</w:t>
      </w:r>
    </w:p>
    <w:p w14:paraId="20D11CBB" w14:textId="77777777" w:rsidR="0057769B" w:rsidRPr="0069209A" w:rsidRDefault="0057769B" w:rsidP="0057769B">
      <w:r w:rsidRPr="0069209A">
        <w:t xml:space="preserve">The CCCLM comprises the Lord Mayors of Adelaide, Brisbane, Darwin, Hobart, Melbourne, Perth, Sydney and the </w:t>
      </w:r>
      <w:proofErr w:type="gramStart"/>
      <w:r w:rsidRPr="0069209A">
        <w:t>ACT Chief Minister</w:t>
      </w:r>
      <w:proofErr w:type="gramEnd"/>
      <w:r w:rsidRPr="0069209A">
        <w:t>.</w:t>
      </w:r>
    </w:p>
    <w:p w14:paraId="1147E8B6" w14:textId="77777777" w:rsidR="0057769B" w:rsidRDefault="0057769B" w:rsidP="0057769B">
      <w:r w:rsidRPr="0069209A">
        <w:t>The CCCLM operates on a consensus basis and focuses on areas of shared interest across Australia’s capitals</w:t>
      </w:r>
      <w:r>
        <w:t>, including:</w:t>
      </w:r>
    </w:p>
    <w:p w14:paraId="0EB73921" w14:textId="77777777" w:rsidR="0057769B" w:rsidRDefault="0057769B" w:rsidP="0057769B">
      <w:pPr>
        <w:pStyle w:val="ListParagraph"/>
        <w:numPr>
          <w:ilvl w:val="0"/>
          <w:numId w:val="8"/>
        </w:numPr>
      </w:pPr>
      <w:r>
        <w:t>economic drivers and infrastructure investment</w:t>
      </w:r>
    </w:p>
    <w:p w14:paraId="26176482" w14:textId="77777777" w:rsidR="0057769B" w:rsidRDefault="0057769B" w:rsidP="0057769B">
      <w:pPr>
        <w:pStyle w:val="ListParagraph"/>
        <w:numPr>
          <w:ilvl w:val="0"/>
          <w:numId w:val="8"/>
        </w:numPr>
      </w:pPr>
      <w:r>
        <w:t>housing and homelessness</w:t>
      </w:r>
    </w:p>
    <w:p w14:paraId="6A778792" w14:textId="77777777" w:rsidR="0057769B" w:rsidRDefault="0057769B" w:rsidP="0057769B">
      <w:pPr>
        <w:pStyle w:val="ListParagraph"/>
        <w:numPr>
          <w:ilvl w:val="0"/>
          <w:numId w:val="8"/>
        </w:numPr>
      </w:pPr>
      <w:r>
        <w:t>climate and sustainability; and</w:t>
      </w:r>
    </w:p>
    <w:p w14:paraId="0698DCA9" w14:textId="77777777" w:rsidR="0057769B" w:rsidRDefault="0057769B" w:rsidP="0057769B">
      <w:pPr>
        <w:pStyle w:val="ListParagraph"/>
        <w:numPr>
          <w:ilvl w:val="0"/>
          <w:numId w:val="8"/>
        </w:numPr>
      </w:pPr>
      <w:r>
        <w:t>city safety and community cohesion.</w:t>
      </w:r>
    </w:p>
    <w:p w14:paraId="3155F319" w14:textId="77777777" w:rsidR="00522E5E" w:rsidRDefault="00522E5E" w:rsidP="00522E5E">
      <w:r>
        <w:t xml:space="preserve">Enquiries to: </w:t>
      </w:r>
      <w:hyperlink r:id="rId13" w:history="1">
        <w:r w:rsidRPr="0058688E">
          <w:rPr>
            <w:rStyle w:val="Hyperlink"/>
          </w:rPr>
          <w:t>eo@lordmayors.org</w:t>
        </w:r>
      </w:hyperlink>
      <w:r>
        <w:t xml:space="preserve"> </w:t>
      </w:r>
    </w:p>
    <w:p w14:paraId="495BC64C" w14:textId="77777777" w:rsidR="00AF6990" w:rsidRDefault="00AF6990">
      <w:pPr>
        <w:rPr>
          <w:rFonts w:ascii="Playfair Display Black" w:eastAsia="Times New Roman" w:hAnsi="Playfair Display Black" w:cs="Times New Roman (Headings CS)"/>
          <w:b/>
          <w:color w:val="450538"/>
          <w:sz w:val="44"/>
          <w:szCs w:val="40"/>
        </w:rPr>
      </w:pPr>
      <w:r>
        <w:rPr>
          <w:rFonts w:ascii="Playfair Display Black" w:eastAsia="Times New Roman" w:hAnsi="Playfair Display Black" w:cs="Times New Roman (Headings CS)"/>
          <w:b/>
          <w:color w:val="450538"/>
          <w:sz w:val="44"/>
          <w:szCs w:val="40"/>
        </w:rPr>
        <w:br w:type="page"/>
      </w:r>
    </w:p>
    <w:p w14:paraId="60D31EA2" w14:textId="77777777" w:rsidR="009E0D80" w:rsidRPr="009E0D80" w:rsidRDefault="00BE42E4" w:rsidP="009E0D80">
      <w:pPr>
        <w:keepNext/>
        <w:keepLines/>
        <w:spacing w:before="360" w:after="360" w:line="240" w:lineRule="auto"/>
        <w:outlineLvl w:val="0"/>
        <w:rPr>
          <w:rFonts w:ascii="Playfair Display Black" w:eastAsia="Times New Roman" w:hAnsi="Playfair Display Black" w:cs="Times New Roman (Headings CS)"/>
          <w:b/>
          <w:color w:val="450538"/>
          <w:sz w:val="44"/>
          <w:szCs w:val="40"/>
        </w:rPr>
      </w:pPr>
      <w:r>
        <w:rPr>
          <w:rFonts w:ascii="Playfair Display Black" w:eastAsia="Times New Roman" w:hAnsi="Playfair Display Black" w:cs="Times New Roman (Headings CS)"/>
          <w:b/>
          <w:color w:val="450538"/>
          <w:sz w:val="44"/>
          <w:szCs w:val="40"/>
        </w:rPr>
        <w:lastRenderedPageBreak/>
        <w:t>Introduction</w:t>
      </w:r>
    </w:p>
    <w:p w14:paraId="1E4B2291" w14:textId="77777777" w:rsidR="00D53FEE" w:rsidRDefault="00C916EF" w:rsidP="00BE42E4">
      <w:pPr>
        <w:rPr>
          <w:rFonts w:ascii="Open Sans" w:eastAsia="Times New Roman" w:hAnsi="Open Sans" w:cs="Times New Roman"/>
          <w:color w:val="0E010C"/>
          <w:sz w:val="22"/>
          <w:szCs w:val="32"/>
        </w:rPr>
      </w:pPr>
      <w:r>
        <w:rPr>
          <w:rFonts w:ascii="Open Sans" w:eastAsia="Times New Roman" w:hAnsi="Open Sans" w:cs="Times New Roman"/>
          <w:color w:val="0E010C"/>
          <w:sz w:val="22"/>
          <w:szCs w:val="32"/>
        </w:rPr>
        <w:t>Demand for housing, affordability pressures and p</w:t>
      </w:r>
      <w:r w:rsidR="00D91E3E">
        <w:rPr>
          <w:rFonts w:ascii="Open Sans" w:eastAsia="Times New Roman" w:hAnsi="Open Sans" w:cs="Times New Roman"/>
          <w:color w:val="0E010C"/>
          <w:sz w:val="22"/>
          <w:szCs w:val="32"/>
        </w:rPr>
        <w:t xml:space="preserve">opulation growth in our cities </w:t>
      </w:r>
      <w:r>
        <w:rPr>
          <w:rFonts w:ascii="Open Sans" w:eastAsia="Times New Roman" w:hAnsi="Open Sans" w:cs="Times New Roman"/>
          <w:color w:val="0E010C"/>
          <w:sz w:val="22"/>
          <w:szCs w:val="32"/>
        </w:rPr>
        <w:t>continue to amplify</w:t>
      </w:r>
      <w:r w:rsidR="00D53FEE">
        <w:rPr>
          <w:rFonts w:ascii="Open Sans" w:eastAsia="Times New Roman" w:hAnsi="Open Sans" w:cs="Times New Roman"/>
          <w:color w:val="0E010C"/>
          <w:sz w:val="22"/>
          <w:szCs w:val="32"/>
        </w:rPr>
        <w:t xml:space="preserve"> already-existing</w:t>
      </w:r>
      <w:r w:rsidR="00350A2A">
        <w:rPr>
          <w:rFonts w:ascii="Open Sans" w:eastAsia="Times New Roman" w:hAnsi="Open Sans" w:cs="Times New Roman"/>
          <w:color w:val="0E010C"/>
          <w:sz w:val="22"/>
          <w:szCs w:val="32"/>
        </w:rPr>
        <w:t xml:space="preserve"> </w:t>
      </w:r>
      <w:r w:rsidR="00AC3DFE">
        <w:rPr>
          <w:rFonts w:ascii="Open Sans" w:eastAsia="Times New Roman" w:hAnsi="Open Sans" w:cs="Times New Roman"/>
          <w:color w:val="0E010C"/>
          <w:sz w:val="22"/>
          <w:szCs w:val="32"/>
        </w:rPr>
        <w:t>housing challenges</w:t>
      </w:r>
      <w:r w:rsidR="00D53FEE">
        <w:rPr>
          <w:rFonts w:ascii="Open Sans" w:eastAsia="Times New Roman" w:hAnsi="Open Sans" w:cs="Times New Roman"/>
          <w:color w:val="0E010C"/>
          <w:sz w:val="22"/>
          <w:szCs w:val="32"/>
        </w:rPr>
        <w:t xml:space="preserve">. </w:t>
      </w:r>
    </w:p>
    <w:p w14:paraId="4379D5DD" w14:textId="6DC6D857" w:rsidR="00D53FEE" w:rsidRDefault="00470315" w:rsidP="00BE42E4">
      <w:pPr>
        <w:rPr>
          <w:rFonts w:ascii="Open Sans" w:eastAsia="Times New Roman" w:hAnsi="Open Sans" w:cs="Times New Roman"/>
          <w:color w:val="0E010C"/>
          <w:sz w:val="22"/>
          <w:szCs w:val="32"/>
        </w:rPr>
      </w:pPr>
      <w:r>
        <w:rPr>
          <w:rFonts w:ascii="Open Sans" w:eastAsia="Times New Roman" w:hAnsi="Open Sans" w:cs="Times New Roman"/>
          <w:color w:val="0E010C"/>
          <w:sz w:val="22"/>
          <w:szCs w:val="32"/>
        </w:rPr>
        <w:t>While our Council of Capital City Lord Mayors (CCCLM) group represents the interests of the</w:t>
      </w:r>
      <w:r w:rsidR="007D3E69">
        <w:rPr>
          <w:rFonts w:ascii="Open Sans" w:eastAsia="Times New Roman" w:hAnsi="Open Sans" w:cs="Times New Roman"/>
          <w:color w:val="0E010C"/>
          <w:sz w:val="22"/>
          <w:szCs w:val="32"/>
        </w:rPr>
        <w:t xml:space="preserve"> seven</w:t>
      </w:r>
      <w:r>
        <w:rPr>
          <w:rFonts w:ascii="Open Sans" w:eastAsia="Times New Roman" w:hAnsi="Open Sans" w:cs="Times New Roman"/>
          <w:color w:val="0E010C"/>
          <w:sz w:val="22"/>
          <w:szCs w:val="32"/>
        </w:rPr>
        <w:t xml:space="preserve"> capital city local government areas (LGAs) and the ACT Government, for Canberra, the </w:t>
      </w:r>
      <w:r w:rsidR="00023C0E">
        <w:rPr>
          <w:rFonts w:ascii="Open Sans" w:eastAsia="Times New Roman" w:hAnsi="Open Sans" w:cs="Times New Roman"/>
          <w:color w:val="0E010C"/>
          <w:sz w:val="22"/>
          <w:szCs w:val="32"/>
        </w:rPr>
        <w:t>housing</w:t>
      </w:r>
      <w:r>
        <w:rPr>
          <w:rFonts w:ascii="Open Sans" w:eastAsia="Times New Roman" w:hAnsi="Open Sans" w:cs="Times New Roman"/>
          <w:color w:val="0E010C"/>
          <w:sz w:val="22"/>
          <w:szCs w:val="32"/>
        </w:rPr>
        <w:t xml:space="preserve"> challenges in our cities spread across metropolitan footprints.</w:t>
      </w:r>
    </w:p>
    <w:p w14:paraId="340E5A2D" w14:textId="77777777" w:rsidR="00482FB6" w:rsidRDefault="00350A2A" w:rsidP="00BE42E4">
      <w:pPr>
        <w:rPr>
          <w:rFonts w:ascii="Open Sans" w:eastAsia="Times New Roman" w:hAnsi="Open Sans" w:cs="Times New Roman"/>
          <w:color w:val="0E010C"/>
          <w:sz w:val="22"/>
          <w:szCs w:val="32"/>
        </w:rPr>
      </w:pPr>
      <w:r>
        <w:rPr>
          <w:rFonts w:ascii="Open Sans" w:eastAsia="Times New Roman" w:hAnsi="Open Sans" w:cs="Times New Roman"/>
          <w:color w:val="0E010C"/>
          <w:sz w:val="22"/>
          <w:szCs w:val="32"/>
        </w:rPr>
        <w:t xml:space="preserve">Our submission focuses </w:t>
      </w:r>
      <w:r w:rsidR="00134E42">
        <w:rPr>
          <w:rFonts w:ascii="Open Sans" w:eastAsia="Times New Roman" w:hAnsi="Open Sans" w:cs="Times New Roman"/>
          <w:color w:val="0E010C"/>
          <w:sz w:val="22"/>
          <w:szCs w:val="32"/>
        </w:rPr>
        <w:t>on points</w:t>
      </w:r>
      <w:r w:rsidR="00555ECF">
        <w:rPr>
          <w:rFonts w:ascii="Open Sans" w:eastAsia="Times New Roman" w:hAnsi="Open Sans" w:cs="Times New Roman"/>
          <w:color w:val="0E010C"/>
          <w:sz w:val="22"/>
          <w:szCs w:val="32"/>
        </w:rPr>
        <w:t xml:space="preserve"> two and three of your </w:t>
      </w:r>
      <w:r w:rsidR="00272BC9">
        <w:rPr>
          <w:rFonts w:ascii="Open Sans" w:eastAsia="Times New Roman" w:hAnsi="Open Sans" w:cs="Times New Roman"/>
          <w:color w:val="0E010C"/>
          <w:sz w:val="22"/>
          <w:szCs w:val="32"/>
        </w:rPr>
        <w:t>inquiry scope</w:t>
      </w:r>
      <w:r w:rsidR="00FF1E73">
        <w:rPr>
          <w:rFonts w:ascii="Open Sans" w:eastAsia="Times New Roman" w:hAnsi="Open Sans" w:cs="Times New Roman"/>
          <w:color w:val="0E010C"/>
          <w:sz w:val="22"/>
          <w:szCs w:val="32"/>
        </w:rPr>
        <w:t xml:space="preserve"> around</w:t>
      </w:r>
      <w:r w:rsidR="00A94995">
        <w:rPr>
          <w:rFonts w:ascii="Open Sans" w:eastAsia="Times New Roman" w:hAnsi="Open Sans" w:cs="Times New Roman"/>
          <w:color w:val="0E010C"/>
          <w:sz w:val="22"/>
          <w:szCs w:val="32"/>
        </w:rPr>
        <w:t xml:space="preserve"> land availability and</w:t>
      </w:r>
      <w:r w:rsidR="00FF1E73">
        <w:rPr>
          <w:rFonts w:ascii="Open Sans" w:eastAsia="Times New Roman" w:hAnsi="Open Sans" w:cs="Times New Roman"/>
          <w:color w:val="0E010C"/>
          <w:sz w:val="22"/>
          <w:szCs w:val="32"/>
        </w:rPr>
        <w:t xml:space="preserve"> policy measures</w:t>
      </w:r>
      <w:r w:rsidR="00A94995">
        <w:rPr>
          <w:rFonts w:ascii="Open Sans" w:eastAsia="Times New Roman" w:hAnsi="Open Sans" w:cs="Times New Roman"/>
          <w:color w:val="0E010C"/>
          <w:sz w:val="22"/>
          <w:szCs w:val="32"/>
        </w:rPr>
        <w:t>.</w:t>
      </w:r>
    </w:p>
    <w:p w14:paraId="25A6307D" w14:textId="77777777" w:rsidR="00044C9F" w:rsidRDefault="00272BC9" w:rsidP="00BE42E4">
      <w:pPr>
        <w:rPr>
          <w:rFonts w:ascii="Open Sans" w:eastAsia="Times New Roman" w:hAnsi="Open Sans" w:cs="Times New Roman"/>
          <w:color w:val="0E010C"/>
          <w:sz w:val="22"/>
          <w:szCs w:val="32"/>
        </w:rPr>
      </w:pPr>
      <w:r>
        <w:rPr>
          <w:rFonts w:ascii="Open Sans" w:eastAsia="Times New Roman" w:hAnsi="Open Sans" w:cs="Times New Roman"/>
          <w:color w:val="0E010C"/>
          <w:sz w:val="22"/>
          <w:szCs w:val="32"/>
        </w:rPr>
        <w:t>With reference to point one</w:t>
      </w:r>
      <w:r w:rsidR="00FF1E73">
        <w:rPr>
          <w:rFonts w:ascii="Open Sans" w:eastAsia="Times New Roman" w:hAnsi="Open Sans" w:cs="Times New Roman"/>
          <w:color w:val="0E010C"/>
          <w:sz w:val="22"/>
          <w:szCs w:val="32"/>
        </w:rPr>
        <w:t>, approvals</w:t>
      </w:r>
      <w:r>
        <w:rPr>
          <w:rFonts w:ascii="Open Sans" w:eastAsia="Times New Roman" w:hAnsi="Open Sans" w:cs="Times New Roman"/>
          <w:color w:val="0E010C"/>
          <w:sz w:val="22"/>
          <w:szCs w:val="32"/>
        </w:rPr>
        <w:t xml:space="preserve">, </w:t>
      </w:r>
      <w:r w:rsidR="00044C9F">
        <w:rPr>
          <w:rFonts w:ascii="Open Sans" w:eastAsia="Times New Roman" w:hAnsi="Open Sans" w:cs="Times New Roman"/>
          <w:color w:val="0E010C"/>
          <w:sz w:val="22"/>
          <w:szCs w:val="32"/>
        </w:rPr>
        <w:t xml:space="preserve">we note most </w:t>
      </w:r>
      <w:r w:rsidR="00AA4309">
        <w:rPr>
          <w:rFonts w:ascii="Open Sans" w:eastAsia="Times New Roman" w:hAnsi="Open Sans" w:cs="Times New Roman"/>
          <w:color w:val="0E010C"/>
          <w:sz w:val="22"/>
          <w:szCs w:val="32"/>
        </w:rPr>
        <w:t>of our member</w:t>
      </w:r>
      <w:r w:rsidR="00044C9F">
        <w:rPr>
          <w:rFonts w:ascii="Open Sans" w:eastAsia="Times New Roman" w:hAnsi="Open Sans" w:cs="Times New Roman"/>
          <w:color w:val="0E010C"/>
          <w:sz w:val="22"/>
          <w:szCs w:val="32"/>
        </w:rPr>
        <w:t xml:space="preserve">s are subject to rigorous performance requirements </w:t>
      </w:r>
      <w:r w:rsidR="00134E42">
        <w:rPr>
          <w:rFonts w:ascii="Open Sans" w:eastAsia="Times New Roman" w:hAnsi="Open Sans" w:cs="Times New Roman"/>
          <w:color w:val="0E010C"/>
          <w:sz w:val="22"/>
          <w:szCs w:val="32"/>
        </w:rPr>
        <w:t>through relevant</w:t>
      </w:r>
      <w:r w:rsidR="00044C9F">
        <w:rPr>
          <w:rFonts w:ascii="Open Sans" w:eastAsia="Times New Roman" w:hAnsi="Open Sans" w:cs="Times New Roman"/>
          <w:color w:val="0E010C"/>
          <w:sz w:val="22"/>
          <w:szCs w:val="32"/>
        </w:rPr>
        <w:t xml:space="preserve"> state </w:t>
      </w:r>
      <w:r w:rsidR="00AA4309">
        <w:rPr>
          <w:rFonts w:ascii="Open Sans" w:eastAsia="Times New Roman" w:hAnsi="Open Sans" w:cs="Times New Roman"/>
          <w:color w:val="0E010C"/>
          <w:sz w:val="22"/>
          <w:szCs w:val="32"/>
        </w:rPr>
        <w:t>planning legislation.</w:t>
      </w:r>
    </w:p>
    <w:p w14:paraId="739EF177" w14:textId="77777777" w:rsidR="007D3E69" w:rsidRPr="007D3E69" w:rsidRDefault="007D3E69" w:rsidP="007D3E69">
      <w:pPr>
        <w:rPr>
          <w:rFonts w:ascii="Open Sans" w:eastAsia="Times New Roman" w:hAnsi="Open Sans" w:cs="Times New Roman"/>
          <w:b/>
          <w:bCs/>
          <w:color w:val="0E010C"/>
          <w:sz w:val="22"/>
          <w:szCs w:val="32"/>
        </w:rPr>
      </w:pPr>
      <w:r w:rsidRPr="007D3E69">
        <w:rPr>
          <w:rFonts w:ascii="Open Sans" w:eastAsia="Times New Roman" w:hAnsi="Open Sans" w:cs="Times New Roman"/>
          <w:b/>
          <w:bCs/>
          <w:color w:val="0E010C"/>
          <w:sz w:val="22"/>
          <w:szCs w:val="32"/>
        </w:rPr>
        <w:t>Key points</w:t>
      </w:r>
    </w:p>
    <w:p w14:paraId="33A25C11" w14:textId="77777777" w:rsidR="007D3E69" w:rsidRPr="007D3E69" w:rsidRDefault="007D3E69" w:rsidP="007D3E69">
      <w:pPr>
        <w:numPr>
          <w:ilvl w:val="0"/>
          <w:numId w:val="10"/>
        </w:numPr>
        <w:rPr>
          <w:rFonts w:ascii="Open Sans" w:eastAsia="Times New Roman" w:hAnsi="Open Sans" w:cs="Times New Roman"/>
          <w:color w:val="0E010C"/>
          <w:sz w:val="22"/>
          <w:szCs w:val="32"/>
        </w:rPr>
      </w:pPr>
      <w:r w:rsidRPr="00597807">
        <w:rPr>
          <w:rFonts w:ascii="Open Sans" w:eastAsia="Times New Roman" w:hAnsi="Open Sans" w:cs="Times New Roman"/>
          <w:b/>
          <w:bCs/>
          <w:color w:val="0E010C"/>
          <w:sz w:val="22"/>
          <w:szCs w:val="32"/>
        </w:rPr>
        <w:t>Councils</w:t>
      </w:r>
      <w:r w:rsidR="00FD431F">
        <w:rPr>
          <w:rFonts w:ascii="Open Sans" w:eastAsia="Times New Roman" w:hAnsi="Open Sans" w:cs="Times New Roman"/>
          <w:b/>
          <w:bCs/>
          <w:color w:val="0E010C"/>
          <w:sz w:val="22"/>
          <w:szCs w:val="32"/>
        </w:rPr>
        <w:t xml:space="preserve"> have an important role in tackling the housing crisis </w:t>
      </w:r>
      <w:r w:rsidR="00597807">
        <w:rPr>
          <w:rFonts w:ascii="Open Sans" w:eastAsia="Times New Roman" w:hAnsi="Open Sans" w:cs="Times New Roman"/>
          <w:color w:val="0E010C"/>
          <w:sz w:val="22"/>
          <w:szCs w:val="32"/>
        </w:rPr>
        <w:t xml:space="preserve">– we need </w:t>
      </w:r>
      <w:r w:rsidR="0083594C">
        <w:rPr>
          <w:rFonts w:ascii="Open Sans" w:eastAsia="Times New Roman" w:hAnsi="Open Sans" w:cs="Times New Roman"/>
          <w:color w:val="0E010C"/>
          <w:sz w:val="22"/>
          <w:szCs w:val="32"/>
        </w:rPr>
        <w:t xml:space="preserve">more </w:t>
      </w:r>
      <w:r w:rsidR="00597807">
        <w:rPr>
          <w:rFonts w:ascii="Open Sans" w:eastAsia="Times New Roman" w:hAnsi="Open Sans" w:cs="Times New Roman"/>
          <w:color w:val="0E010C"/>
          <w:sz w:val="22"/>
          <w:szCs w:val="32"/>
        </w:rPr>
        <w:t>cross-jurisdictional cooperation to tackle the housing crisis</w:t>
      </w:r>
      <w:r w:rsidR="00D7253A">
        <w:rPr>
          <w:rFonts w:ascii="Open Sans" w:eastAsia="Times New Roman" w:hAnsi="Open Sans" w:cs="Times New Roman"/>
          <w:color w:val="0E010C"/>
          <w:sz w:val="22"/>
          <w:szCs w:val="32"/>
        </w:rPr>
        <w:t xml:space="preserve">, </w:t>
      </w:r>
      <w:r w:rsidR="00CE2E0A">
        <w:rPr>
          <w:rFonts w:ascii="Open Sans" w:eastAsia="Times New Roman" w:hAnsi="Open Sans" w:cs="Times New Roman"/>
          <w:color w:val="0E010C"/>
          <w:sz w:val="22"/>
          <w:szCs w:val="32"/>
        </w:rPr>
        <w:t xml:space="preserve">including </w:t>
      </w:r>
      <w:r w:rsidR="005C083B">
        <w:rPr>
          <w:rFonts w:ascii="Open Sans" w:eastAsia="Times New Roman" w:hAnsi="Open Sans" w:cs="Times New Roman"/>
          <w:color w:val="0E010C"/>
          <w:sz w:val="22"/>
          <w:szCs w:val="32"/>
        </w:rPr>
        <w:t xml:space="preserve">more </w:t>
      </w:r>
      <w:r w:rsidR="00CE2E0A">
        <w:rPr>
          <w:rFonts w:ascii="Open Sans" w:eastAsia="Times New Roman" w:hAnsi="Open Sans" w:cs="Times New Roman"/>
          <w:color w:val="0E010C"/>
          <w:sz w:val="22"/>
          <w:szCs w:val="32"/>
        </w:rPr>
        <w:t xml:space="preserve">funding </w:t>
      </w:r>
      <w:r w:rsidR="005C083B">
        <w:rPr>
          <w:rFonts w:ascii="Open Sans" w:eastAsia="Times New Roman" w:hAnsi="Open Sans" w:cs="Times New Roman"/>
          <w:color w:val="0E010C"/>
          <w:sz w:val="22"/>
          <w:szCs w:val="32"/>
        </w:rPr>
        <w:t>for</w:t>
      </w:r>
      <w:r w:rsidR="00A16768">
        <w:rPr>
          <w:rFonts w:ascii="Open Sans" w:eastAsia="Times New Roman" w:hAnsi="Open Sans" w:cs="Times New Roman"/>
          <w:color w:val="0E010C"/>
          <w:sz w:val="22"/>
          <w:szCs w:val="32"/>
        </w:rPr>
        <w:t xml:space="preserve"> enabling infrastructure</w:t>
      </w:r>
      <w:r w:rsidR="00BE7712">
        <w:rPr>
          <w:rFonts w:ascii="Open Sans" w:eastAsia="Times New Roman" w:hAnsi="Open Sans" w:cs="Times New Roman"/>
          <w:color w:val="0E010C"/>
          <w:sz w:val="22"/>
          <w:szCs w:val="32"/>
        </w:rPr>
        <w:t xml:space="preserve">, </w:t>
      </w:r>
      <w:r w:rsidR="005C083B">
        <w:rPr>
          <w:rFonts w:ascii="Open Sans" w:eastAsia="Times New Roman" w:hAnsi="Open Sans" w:cs="Times New Roman"/>
          <w:color w:val="0E010C"/>
          <w:sz w:val="22"/>
          <w:szCs w:val="32"/>
        </w:rPr>
        <w:t xml:space="preserve">as well as a focus on supporting </w:t>
      </w:r>
      <w:r w:rsidR="00BE7712">
        <w:rPr>
          <w:rFonts w:ascii="Open Sans" w:eastAsia="Times New Roman" w:hAnsi="Open Sans" w:cs="Times New Roman"/>
          <w:color w:val="0E010C"/>
          <w:sz w:val="22"/>
          <w:szCs w:val="32"/>
        </w:rPr>
        <w:t>coordinated planning and transit-oriented</w:t>
      </w:r>
      <w:r w:rsidR="005C083B">
        <w:rPr>
          <w:rFonts w:ascii="Open Sans" w:eastAsia="Times New Roman" w:hAnsi="Open Sans" w:cs="Times New Roman"/>
          <w:color w:val="0E010C"/>
          <w:sz w:val="22"/>
          <w:szCs w:val="32"/>
        </w:rPr>
        <w:t xml:space="preserve"> </w:t>
      </w:r>
      <w:r w:rsidR="00BE7712">
        <w:rPr>
          <w:rFonts w:ascii="Open Sans" w:eastAsia="Times New Roman" w:hAnsi="Open Sans" w:cs="Times New Roman"/>
          <w:color w:val="0E010C"/>
          <w:sz w:val="22"/>
          <w:szCs w:val="32"/>
        </w:rPr>
        <w:t>development</w:t>
      </w:r>
      <w:r w:rsidR="00597807">
        <w:rPr>
          <w:rFonts w:ascii="Open Sans" w:eastAsia="Times New Roman" w:hAnsi="Open Sans" w:cs="Times New Roman"/>
          <w:color w:val="0E010C"/>
          <w:sz w:val="22"/>
          <w:szCs w:val="32"/>
        </w:rPr>
        <w:t>.</w:t>
      </w:r>
    </w:p>
    <w:p w14:paraId="76B2B923" w14:textId="77777777" w:rsidR="007D3E69" w:rsidRPr="007D3E69" w:rsidRDefault="00D7253A" w:rsidP="007D3E69">
      <w:pPr>
        <w:numPr>
          <w:ilvl w:val="0"/>
          <w:numId w:val="10"/>
        </w:numPr>
        <w:rPr>
          <w:rFonts w:ascii="Open Sans" w:eastAsia="Times New Roman" w:hAnsi="Open Sans" w:cs="Times New Roman"/>
          <w:color w:val="0E010C"/>
          <w:sz w:val="22"/>
          <w:szCs w:val="32"/>
        </w:rPr>
      </w:pPr>
      <w:r w:rsidRPr="00D7253A">
        <w:rPr>
          <w:rFonts w:ascii="Open Sans" w:eastAsia="Times New Roman" w:hAnsi="Open Sans" w:cs="Times New Roman"/>
          <w:b/>
          <w:bCs/>
          <w:color w:val="0E010C"/>
          <w:sz w:val="22"/>
          <w:szCs w:val="32"/>
        </w:rPr>
        <w:t>More focus on</w:t>
      </w:r>
      <w:r w:rsidR="001A180C">
        <w:rPr>
          <w:rFonts w:ascii="Open Sans" w:eastAsia="Times New Roman" w:hAnsi="Open Sans" w:cs="Times New Roman"/>
          <w:b/>
          <w:bCs/>
          <w:color w:val="0E010C"/>
          <w:sz w:val="22"/>
          <w:szCs w:val="32"/>
        </w:rPr>
        <w:t xml:space="preserve"> policy measures to support </w:t>
      </w:r>
      <w:r w:rsidR="00590329">
        <w:rPr>
          <w:rFonts w:ascii="Open Sans" w:eastAsia="Times New Roman" w:hAnsi="Open Sans" w:cs="Times New Roman"/>
          <w:b/>
          <w:bCs/>
          <w:color w:val="0E010C"/>
          <w:sz w:val="22"/>
          <w:szCs w:val="32"/>
        </w:rPr>
        <w:t xml:space="preserve">the </w:t>
      </w:r>
      <w:r w:rsidR="00590329" w:rsidRPr="00D7253A">
        <w:rPr>
          <w:rFonts w:ascii="Open Sans" w:eastAsia="Times New Roman" w:hAnsi="Open Sans" w:cs="Times New Roman"/>
          <w:b/>
          <w:bCs/>
          <w:color w:val="0E010C"/>
          <w:sz w:val="22"/>
          <w:szCs w:val="32"/>
        </w:rPr>
        <w:t>economic</w:t>
      </w:r>
      <w:r w:rsidRPr="00D7253A">
        <w:rPr>
          <w:rFonts w:ascii="Open Sans" w:eastAsia="Times New Roman" w:hAnsi="Open Sans" w:cs="Times New Roman"/>
          <w:b/>
          <w:bCs/>
          <w:color w:val="0E010C"/>
          <w:sz w:val="22"/>
          <w:szCs w:val="32"/>
        </w:rPr>
        <w:t xml:space="preserve"> viability </w:t>
      </w:r>
      <w:r w:rsidR="009D6944">
        <w:rPr>
          <w:rFonts w:ascii="Open Sans" w:eastAsia="Times New Roman" w:hAnsi="Open Sans" w:cs="Times New Roman"/>
          <w:b/>
          <w:bCs/>
          <w:color w:val="0E010C"/>
          <w:sz w:val="22"/>
          <w:szCs w:val="32"/>
        </w:rPr>
        <w:t>of</w:t>
      </w:r>
      <w:r w:rsidRPr="00D7253A">
        <w:rPr>
          <w:rFonts w:ascii="Open Sans" w:eastAsia="Times New Roman" w:hAnsi="Open Sans" w:cs="Times New Roman"/>
          <w:b/>
          <w:bCs/>
          <w:color w:val="0E010C"/>
          <w:sz w:val="22"/>
          <w:szCs w:val="32"/>
        </w:rPr>
        <w:t xml:space="preserve"> high and medium-density </w:t>
      </w:r>
      <w:r w:rsidR="00A4021B">
        <w:rPr>
          <w:rFonts w:ascii="Open Sans" w:eastAsia="Times New Roman" w:hAnsi="Open Sans" w:cs="Times New Roman"/>
          <w:b/>
          <w:bCs/>
          <w:color w:val="0E010C"/>
          <w:sz w:val="22"/>
          <w:szCs w:val="32"/>
        </w:rPr>
        <w:t>development is needed –</w:t>
      </w:r>
      <w:r w:rsidR="00A4021B" w:rsidRPr="00A4021B">
        <w:rPr>
          <w:rFonts w:ascii="Open Sans" w:eastAsia="Times New Roman" w:hAnsi="Open Sans" w:cs="Times New Roman"/>
          <w:color w:val="0E010C"/>
          <w:sz w:val="22"/>
          <w:szCs w:val="32"/>
        </w:rPr>
        <w:t xml:space="preserve"> </w:t>
      </w:r>
      <w:r w:rsidR="00A16768" w:rsidRPr="00A4021B">
        <w:rPr>
          <w:rFonts w:ascii="Open Sans" w:eastAsia="Times New Roman" w:hAnsi="Open Sans" w:cs="Times New Roman"/>
          <w:color w:val="0E010C"/>
          <w:sz w:val="22"/>
          <w:szCs w:val="32"/>
        </w:rPr>
        <w:t xml:space="preserve">particularly for ‘difficult’ sites </w:t>
      </w:r>
      <w:r w:rsidR="00EF1094">
        <w:rPr>
          <w:rFonts w:ascii="Open Sans" w:eastAsia="Times New Roman" w:hAnsi="Open Sans" w:cs="Times New Roman"/>
          <w:color w:val="0E010C"/>
          <w:sz w:val="22"/>
          <w:szCs w:val="32"/>
        </w:rPr>
        <w:t>and social and affordable housing in</w:t>
      </w:r>
      <w:r w:rsidR="00A16768" w:rsidRPr="00A4021B">
        <w:rPr>
          <w:rFonts w:ascii="Open Sans" w:eastAsia="Times New Roman" w:hAnsi="Open Sans" w:cs="Times New Roman"/>
          <w:color w:val="0E010C"/>
          <w:sz w:val="22"/>
          <w:szCs w:val="32"/>
        </w:rPr>
        <w:t xml:space="preserve"> our urban cores</w:t>
      </w:r>
      <w:r w:rsidR="009D6944" w:rsidRPr="00A4021B">
        <w:rPr>
          <w:rFonts w:ascii="Open Sans" w:eastAsia="Times New Roman" w:hAnsi="Open Sans" w:cs="Times New Roman"/>
          <w:color w:val="0E010C"/>
          <w:sz w:val="22"/>
          <w:szCs w:val="32"/>
        </w:rPr>
        <w:t>.</w:t>
      </w:r>
      <w:r w:rsidR="009D6944">
        <w:rPr>
          <w:rFonts w:ascii="Open Sans" w:eastAsia="Times New Roman" w:hAnsi="Open Sans" w:cs="Times New Roman"/>
          <w:color w:val="0E010C"/>
          <w:sz w:val="22"/>
          <w:szCs w:val="32"/>
        </w:rPr>
        <w:t xml:space="preserve"> </w:t>
      </w:r>
    </w:p>
    <w:p w14:paraId="41756010" w14:textId="77777777" w:rsidR="009A0F77" w:rsidRDefault="009A0F77" w:rsidP="007D3E69">
      <w:pPr>
        <w:numPr>
          <w:ilvl w:val="0"/>
          <w:numId w:val="10"/>
        </w:numPr>
        <w:rPr>
          <w:rFonts w:ascii="Open Sans" w:eastAsia="Times New Roman" w:hAnsi="Open Sans" w:cs="Times New Roman"/>
          <w:color w:val="0E010C"/>
          <w:sz w:val="22"/>
          <w:szCs w:val="32"/>
        </w:rPr>
      </w:pPr>
      <w:r w:rsidRPr="00617CFD">
        <w:rPr>
          <w:rFonts w:ascii="Open Sans" w:eastAsia="Times New Roman" w:hAnsi="Open Sans" w:cs="Times New Roman"/>
          <w:b/>
          <w:bCs/>
          <w:color w:val="0E010C"/>
          <w:sz w:val="22"/>
          <w:szCs w:val="32"/>
        </w:rPr>
        <w:t>Skills, capacity and investment</w:t>
      </w:r>
      <w:r>
        <w:rPr>
          <w:rFonts w:ascii="Open Sans" w:eastAsia="Times New Roman" w:hAnsi="Open Sans" w:cs="Times New Roman"/>
          <w:color w:val="0E010C"/>
          <w:sz w:val="22"/>
          <w:szCs w:val="32"/>
        </w:rPr>
        <w:t xml:space="preserve"> </w:t>
      </w:r>
      <w:r w:rsidR="00617CFD">
        <w:rPr>
          <w:rFonts w:ascii="Open Sans" w:eastAsia="Times New Roman" w:hAnsi="Open Sans" w:cs="Times New Roman"/>
          <w:color w:val="0E010C"/>
          <w:sz w:val="22"/>
          <w:szCs w:val="32"/>
        </w:rPr>
        <w:t>– skills shortages and other capacity constraints in the construction sector have been well-documented. We need more</w:t>
      </w:r>
      <w:r w:rsidR="0072448C">
        <w:rPr>
          <w:rFonts w:ascii="Open Sans" w:eastAsia="Times New Roman" w:hAnsi="Open Sans" w:cs="Times New Roman"/>
          <w:color w:val="0E010C"/>
          <w:sz w:val="22"/>
          <w:szCs w:val="32"/>
        </w:rPr>
        <w:t xml:space="preserve"> targeted and well-funded</w:t>
      </w:r>
      <w:r w:rsidR="00617CFD">
        <w:rPr>
          <w:rFonts w:ascii="Open Sans" w:eastAsia="Times New Roman" w:hAnsi="Open Sans" w:cs="Times New Roman"/>
          <w:color w:val="0E010C"/>
          <w:sz w:val="22"/>
          <w:szCs w:val="32"/>
        </w:rPr>
        <w:t xml:space="preserve"> programs from the </w:t>
      </w:r>
      <w:r w:rsidR="00342C77">
        <w:rPr>
          <w:rFonts w:ascii="Open Sans" w:eastAsia="Times New Roman" w:hAnsi="Open Sans" w:cs="Times New Roman"/>
          <w:color w:val="0E010C"/>
          <w:sz w:val="22"/>
          <w:szCs w:val="32"/>
        </w:rPr>
        <w:t>Australian G</w:t>
      </w:r>
      <w:r w:rsidR="00617CFD">
        <w:rPr>
          <w:rFonts w:ascii="Open Sans" w:eastAsia="Times New Roman" w:hAnsi="Open Sans" w:cs="Times New Roman"/>
          <w:color w:val="0E010C"/>
          <w:sz w:val="22"/>
          <w:szCs w:val="32"/>
        </w:rPr>
        <w:t>overnment to address these challenges</w:t>
      </w:r>
      <w:r w:rsidR="0072448C">
        <w:rPr>
          <w:rFonts w:ascii="Open Sans" w:eastAsia="Times New Roman" w:hAnsi="Open Sans" w:cs="Times New Roman"/>
          <w:color w:val="0E010C"/>
          <w:sz w:val="22"/>
          <w:szCs w:val="32"/>
        </w:rPr>
        <w:t>, including supporting the pipeline of apprentices.</w:t>
      </w:r>
    </w:p>
    <w:p w14:paraId="4EF31277" w14:textId="77777777" w:rsidR="00C122C2" w:rsidRPr="00C122C2" w:rsidRDefault="00C122C2" w:rsidP="001D459D">
      <w:pPr>
        <w:keepNext/>
        <w:keepLines/>
        <w:spacing w:before="360" w:after="360" w:line="240" w:lineRule="auto"/>
        <w:outlineLvl w:val="0"/>
        <w:rPr>
          <w:rFonts w:ascii="Playfair Display Black" w:eastAsia="Times New Roman" w:hAnsi="Playfair Display Black" w:cs="Times New Roman (Headings CS)"/>
          <w:b/>
          <w:color w:val="450538"/>
          <w:sz w:val="44"/>
          <w:szCs w:val="40"/>
        </w:rPr>
      </w:pPr>
      <w:r w:rsidRPr="00C122C2">
        <w:rPr>
          <w:rFonts w:ascii="Playfair Display Black" w:eastAsia="Times New Roman" w:hAnsi="Playfair Display Black" w:cs="Times New Roman (Headings CS)"/>
          <w:b/>
          <w:color w:val="450538"/>
          <w:sz w:val="44"/>
          <w:szCs w:val="40"/>
        </w:rPr>
        <w:t>Every level of government has a role in tackling the housing crisis</w:t>
      </w:r>
    </w:p>
    <w:p w14:paraId="4CDA26B2" w14:textId="7AA9AE8A" w:rsidR="009D0C45" w:rsidRPr="009D0C45" w:rsidRDefault="0078502A" w:rsidP="009D0C45">
      <w:pPr>
        <w:rPr>
          <w:b/>
          <w:bCs/>
        </w:rPr>
      </w:pPr>
      <w:r>
        <w:rPr>
          <w:b/>
          <w:bCs/>
        </w:rPr>
        <w:t xml:space="preserve">Capital </w:t>
      </w:r>
      <w:r w:rsidRPr="00F64CD4">
        <w:rPr>
          <w:b/>
        </w:rPr>
        <w:t xml:space="preserve">City </w:t>
      </w:r>
      <w:r>
        <w:rPr>
          <w:b/>
          <w:bCs/>
        </w:rPr>
        <w:t>Councils</w:t>
      </w:r>
      <w:r w:rsidR="009D0C45" w:rsidRPr="009D0C45">
        <w:rPr>
          <w:b/>
          <w:bCs/>
        </w:rPr>
        <w:t xml:space="preserve"> and </w:t>
      </w:r>
      <w:r w:rsidR="003203BA">
        <w:rPr>
          <w:b/>
          <w:bCs/>
        </w:rPr>
        <w:t>h</w:t>
      </w:r>
      <w:r w:rsidR="009D0C45" w:rsidRPr="009D0C45">
        <w:rPr>
          <w:b/>
          <w:bCs/>
        </w:rPr>
        <w:t xml:space="preserve">ousing </w:t>
      </w:r>
      <w:r w:rsidR="003203BA">
        <w:rPr>
          <w:b/>
          <w:bCs/>
        </w:rPr>
        <w:t>s</w:t>
      </w:r>
      <w:r w:rsidR="009D0C45" w:rsidRPr="009D0C45">
        <w:rPr>
          <w:b/>
          <w:bCs/>
        </w:rPr>
        <w:t>upply</w:t>
      </w:r>
    </w:p>
    <w:p w14:paraId="680B47C3" w14:textId="2EC3D191" w:rsidR="009D0C45" w:rsidRPr="00D11B9A" w:rsidRDefault="009D0C45" w:rsidP="00F64CD4">
      <w:pPr>
        <w:rPr>
          <w:rFonts w:ascii="Open Sans" w:eastAsia="Times New Roman" w:hAnsi="Open Sans" w:cs="Times New Roman"/>
          <w:color w:val="0E010C"/>
          <w:sz w:val="22"/>
          <w:szCs w:val="32"/>
        </w:rPr>
      </w:pPr>
      <w:r w:rsidRPr="00D11B9A">
        <w:rPr>
          <w:rFonts w:ascii="Open Sans" w:eastAsia="Times New Roman" w:hAnsi="Open Sans" w:cs="Times New Roman"/>
          <w:color w:val="0E010C"/>
          <w:sz w:val="22"/>
          <w:szCs w:val="32"/>
        </w:rPr>
        <w:t xml:space="preserve">Capital city </w:t>
      </w:r>
      <w:r w:rsidRPr="00F64CD4">
        <w:rPr>
          <w:rFonts w:ascii="Open Sans" w:hAnsi="Open Sans"/>
          <w:color w:val="0E010C"/>
          <w:sz w:val="22"/>
        </w:rPr>
        <w:t xml:space="preserve">councils </w:t>
      </w:r>
      <w:r w:rsidRPr="00D11B9A">
        <w:rPr>
          <w:rFonts w:ascii="Open Sans" w:eastAsia="Times New Roman" w:hAnsi="Open Sans" w:cs="Times New Roman"/>
          <w:color w:val="0E010C"/>
          <w:sz w:val="22"/>
          <w:szCs w:val="32"/>
        </w:rPr>
        <w:t xml:space="preserve">continue to play an active and constructive role in supporting housing supply. Across our member local government areas (LGAs), more than 16,000 dwellings were approved in 2024–25, including approximately 3,900 </w:t>
      </w:r>
      <w:r w:rsidR="00423B2B" w:rsidRPr="00423B2B">
        <w:rPr>
          <w:rFonts w:ascii="Open Sans" w:eastAsia="Times New Roman" w:hAnsi="Open Sans" w:cs="Times New Roman"/>
          <w:color w:val="0E010C"/>
          <w:sz w:val="22"/>
          <w:szCs w:val="32"/>
        </w:rPr>
        <w:t>new</w:t>
      </w:r>
      <w:r w:rsidRPr="00D11B9A">
        <w:rPr>
          <w:rFonts w:ascii="Open Sans" w:eastAsia="Times New Roman" w:hAnsi="Open Sans" w:cs="Times New Roman"/>
          <w:color w:val="0E010C"/>
          <w:sz w:val="22"/>
          <w:szCs w:val="32"/>
        </w:rPr>
        <w:t xml:space="preserve"> houses and </w:t>
      </w:r>
      <w:r w:rsidRPr="00D11B9A">
        <w:rPr>
          <w:rFonts w:ascii="Open Sans" w:eastAsia="Times New Roman" w:hAnsi="Open Sans" w:cs="Times New Roman"/>
          <w:color w:val="0E010C"/>
          <w:sz w:val="22"/>
          <w:szCs w:val="32"/>
        </w:rPr>
        <w:lastRenderedPageBreak/>
        <w:t>over 12,300 apartments and other dwelling types</w:t>
      </w:r>
      <w:r w:rsidR="00B45B76">
        <w:rPr>
          <w:rStyle w:val="FootnoteReference"/>
          <w:rFonts w:ascii="Open Sans" w:eastAsia="Times New Roman" w:hAnsi="Open Sans" w:cs="Times New Roman"/>
          <w:color w:val="0E010C"/>
          <w:sz w:val="22"/>
          <w:szCs w:val="32"/>
        </w:rPr>
        <w:footnoteReference w:id="1"/>
      </w:r>
      <w:r w:rsidRPr="00D11B9A">
        <w:rPr>
          <w:rFonts w:ascii="Open Sans" w:eastAsia="Times New Roman" w:hAnsi="Open Sans" w:cs="Times New Roman"/>
          <w:color w:val="0E010C"/>
          <w:sz w:val="22"/>
          <w:szCs w:val="32"/>
        </w:rPr>
        <w:t xml:space="preserve">. This demonstrates the central role cities perform in accommodating population growth and increasing housing supply. </w:t>
      </w:r>
      <w:proofErr w:type="gramStart"/>
      <w:r w:rsidRPr="00D11B9A">
        <w:rPr>
          <w:rFonts w:ascii="Open Sans" w:eastAsia="Times New Roman" w:hAnsi="Open Sans" w:cs="Times New Roman"/>
          <w:color w:val="0E010C"/>
          <w:sz w:val="22"/>
          <w:szCs w:val="32"/>
        </w:rPr>
        <w:t>The majority of</w:t>
      </w:r>
      <w:proofErr w:type="gramEnd"/>
      <w:r w:rsidRPr="00D11B9A">
        <w:rPr>
          <w:rFonts w:ascii="Open Sans" w:eastAsia="Times New Roman" w:hAnsi="Open Sans" w:cs="Times New Roman"/>
          <w:color w:val="0E010C"/>
          <w:sz w:val="22"/>
          <w:szCs w:val="32"/>
        </w:rPr>
        <w:t xml:space="preserve"> population growth will continue to occur in urban Australia.</w:t>
      </w:r>
    </w:p>
    <w:p w14:paraId="13CD0086" w14:textId="7C2549D3" w:rsidR="009D0C45" w:rsidRPr="00D11B9A" w:rsidRDefault="009D0C45" w:rsidP="00F64CD4">
      <w:pPr>
        <w:rPr>
          <w:rFonts w:ascii="Open Sans" w:eastAsia="Times New Roman" w:hAnsi="Open Sans" w:cs="Times New Roman"/>
          <w:color w:val="0E010C"/>
          <w:sz w:val="22"/>
          <w:szCs w:val="32"/>
        </w:rPr>
      </w:pPr>
      <w:r w:rsidRPr="00D11B9A">
        <w:rPr>
          <w:rFonts w:ascii="Open Sans" w:eastAsia="Times New Roman" w:hAnsi="Open Sans" w:cs="Times New Roman"/>
          <w:color w:val="0E010C"/>
          <w:sz w:val="22"/>
          <w:szCs w:val="32"/>
        </w:rPr>
        <w:t>City LGAs, like all councils, operate within statutory approval timeframes established under state planning legislation. The Planning Institute of Australia has highlighted the distinction between approvals and construction commencements:</w:t>
      </w:r>
    </w:p>
    <w:p w14:paraId="10C037BC" w14:textId="6F196FD6" w:rsidR="00740ECB" w:rsidRPr="00F64CD4" w:rsidRDefault="009D0C45" w:rsidP="00F64CD4">
      <w:pPr>
        <w:ind w:left="720"/>
        <w:rPr>
          <w:rFonts w:ascii="Open Sans" w:hAnsi="Open Sans"/>
          <w:i/>
          <w:color w:val="0E010C"/>
          <w:sz w:val="22"/>
        </w:rPr>
      </w:pPr>
      <w:r w:rsidRPr="00F64CD4">
        <w:rPr>
          <w:rFonts w:ascii="Open Sans" w:hAnsi="Open Sans"/>
          <w:i/>
          <w:color w:val="0E010C"/>
          <w:sz w:val="22"/>
        </w:rPr>
        <w:t>“Tens of thousands of homes across the country already have planning approval but have not progressed to construction. This is not a short-term anomaly. It reflects sustained pressure in later stages of the housing production process.</w:t>
      </w:r>
      <w:r w:rsidRPr="00D11B9A">
        <w:rPr>
          <w:rFonts w:ascii="Open Sans" w:eastAsia="Times New Roman" w:hAnsi="Open Sans" w:cs="Times New Roman"/>
          <w:i/>
          <w:iCs/>
          <w:color w:val="0E010C"/>
          <w:sz w:val="22"/>
          <w:szCs w:val="32"/>
        </w:rPr>
        <w:t xml:space="preserve"> </w:t>
      </w:r>
    </w:p>
    <w:p w14:paraId="3A99D1BF" w14:textId="784FD736" w:rsidR="009D0C45" w:rsidRPr="00F64CD4" w:rsidRDefault="009D0C45" w:rsidP="00F64CD4">
      <w:pPr>
        <w:ind w:left="720"/>
        <w:rPr>
          <w:rFonts w:ascii="Open Sans" w:hAnsi="Open Sans"/>
          <w:color w:val="0E010C"/>
          <w:sz w:val="22"/>
        </w:rPr>
      </w:pPr>
      <w:r w:rsidRPr="00F64CD4">
        <w:rPr>
          <w:rFonts w:ascii="Open Sans" w:hAnsi="Open Sans"/>
          <w:i/>
          <w:color w:val="0E010C"/>
          <w:sz w:val="22"/>
        </w:rPr>
        <w:t>High construction costs, labour shortages, infrastructure servicing delays, financing constraints and broader market risk all weigh heavily on whether approved projects proceed. Even developments that are fully approved and technically compliant can stall if the economics no longer stack up or key inputs are unavailable.”</w:t>
      </w:r>
      <w:r w:rsidRPr="00D11B9A">
        <w:rPr>
          <w:rFonts w:ascii="Open Sans" w:eastAsia="Times New Roman" w:hAnsi="Open Sans" w:cs="Times New Roman"/>
          <w:color w:val="0E010C"/>
          <w:sz w:val="22"/>
          <w:szCs w:val="32"/>
        </w:rPr>
        <w:br/>
        <w:t>(Planning Institute of Australia, 2026)</w:t>
      </w:r>
      <w:r w:rsidR="00B45B76">
        <w:rPr>
          <w:rFonts w:ascii="Open Sans" w:eastAsia="Times New Roman" w:hAnsi="Open Sans" w:cs="Times New Roman"/>
          <w:color w:val="0E010C"/>
          <w:sz w:val="22"/>
          <w:szCs w:val="32"/>
        </w:rPr>
        <w:t>.</w:t>
      </w:r>
      <w:r w:rsidR="00B45B76">
        <w:rPr>
          <w:rStyle w:val="FootnoteReference"/>
          <w:rFonts w:ascii="Open Sans" w:eastAsia="Times New Roman" w:hAnsi="Open Sans" w:cs="Times New Roman"/>
          <w:color w:val="0E010C"/>
          <w:sz w:val="22"/>
          <w:szCs w:val="32"/>
        </w:rPr>
        <w:footnoteReference w:id="2"/>
      </w:r>
    </w:p>
    <w:p w14:paraId="3A1067A6" w14:textId="6B3F468B" w:rsidR="009D0C45" w:rsidRPr="00F64CD4" w:rsidRDefault="009D0C45" w:rsidP="00F64CD4">
      <w:r w:rsidRPr="009D0C45">
        <w:t xml:space="preserve">Notwithstanding these constraints, </w:t>
      </w:r>
      <w:r w:rsidRPr="00F64CD4">
        <w:t xml:space="preserve">capital cities continue to approve </w:t>
      </w:r>
      <w:r w:rsidRPr="009D0C45">
        <w:t>significant</w:t>
      </w:r>
      <w:r w:rsidRPr="00F64CD4">
        <w:t xml:space="preserve"> volumes of housing. Brisbane recorded the highest number of dwelling approvals </w:t>
      </w:r>
      <w:r w:rsidRPr="009D0C45">
        <w:t>in</w:t>
      </w:r>
      <w:r w:rsidRPr="00F64CD4">
        <w:t xml:space="preserve"> 2024</w:t>
      </w:r>
      <w:r w:rsidRPr="009D0C45">
        <w:t>–</w:t>
      </w:r>
      <w:r w:rsidRPr="00F64CD4">
        <w:t>25</w:t>
      </w:r>
      <w:r w:rsidRPr="009D0C45">
        <w:t xml:space="preserve"> (over</w:t>
      </w:r>
      <w:r w:rsidRPr="00F64CD4">
        <w:t xml:space="preserve"> 7,200 dwellings</w:t>
      </w:r>
      <w:r w:rsidRPr="009D0C45">
        <w:t>),</w:t>
      </w:r>
      <w:r w:rsidRPr="00F64CD4">
        <w:t xml:space="preserve"> followed by Melbourne (3,903) and Sydney (1,751). The</w:t>
      </w:r>
      <w:r w:rsidRPr="009D0C45">
        <w:t xml:space="preserve"> total</w:t>
      </w:r>
      <w:r w:rsidRPr="00F64CD4">
        <w:t xml:space="preserve"> value of approved residential building across capital city LGAs exceeded $11.3</w:t>
      </w:r>
      <w:r w:rsidRPr="009D0C45">
        <w:t xml:space="preserve"> </w:t>
      </w:r>
      <w:r w:rsidRPr="00F64CD4">
        <w:t>billion</w:t>
      </w:r>
      <w:r w:rsidRPr="009D0C45">
        <w:t xml:space="preserve">, underscoring a </w:t>
      </w:r>
      <w:r w:rsidRPr="00F64CD4">
        <w:t>substantial pipeline of development</w:t>
      </w:r>
      <w:r w:rsidRPr="00D11B9A">
        <w:t>.</w:t>
      </w:r>
      <w:r w:rsidR="00B45B76">
        <w:rPr>
          <w:rStyle w:val="FootnoteReference"/>
        </w:rPr>
        <w:footnoteReference w:id="3"/>
      </w:r>
    </w:p>
    <w:p w14:paraId="22652E49" w14:textId="5956DB16" w:rsidR="009D0C45" w:rsidRPr="00F64CD4" w:rsidRDefault="009D0C45" w:rsidP="009D0C45">
      <w:r w:rsidRPr="009D0C45">
        <w:t>Precincts such as</w:t>
      </w:r>
      <w:r w:rsidRPr="00F64CD4">
        <w:t xml:space="preserve"> Newstead</w:t>
      </w:r>
      <w:r w:rsidRPr="009D0C45">
        <w:t xml:space="preserve"> in Brisbane,</w:t>
      </w:r>
      <w:r w:rsidRPr="00F64CD4">
        <w:t xml:space="preserve"> Green Square </w:t>
      </w:r>
      <w:r w:rsidRPr="009D0C45">
        <w:t xml:space="preserve">in Sydney, </w:t>
      </w:r>
      <w:r w:rsidRPr="00F64CD4">
        <w:t xml:space="preserve">and Docklands </w:t>
      </w:r>
      <w:r w:rsidRPr="009D0C45">
        <w:t>in Melbourne demonstrate</w:t>
      </w:r>
      <w:r w:rsidRPr="00F64CD4">
        <w:t xml:space="preserve"> that high-density housing </w:t>
      </w:r>
      <w:r w:rsidRPr="009D0C45">
        <w:t xml:space="preserve">can coexist with </w:t>
      </w:r>
      <w:r w:rsidRPr="00F64CD4">
        <w:t>liveable</w:t>
      </w:r>
      <w:r w:rsidRPr="009D0C45">
        <w:t xml:space="preserve"> and</w:t>
      </w:r>
      <w:r w:rsidRPr="00F64CD4">
        <w:t xml:space="preserve"> sustainable communities</w:t>
      </w:r>
      <w:r w:rsidRPr="009D0C45">
        <w:t>. These examples reflect</w:t>
      </w:r>
      <w:r w:rsidRPr="00F64CD4">
        <w:t xml:space="preserve"> the benefits of long-term planning, cross-jurisdictional cooperation</w:t>
      </w:r>
      <w:r w:rsidRPr="009D0C45">
        <w:t>,</w:t>
      </w:r>
      <w:r w:rsidRPr="00F64CD4">
        <w:t xml:space="preserve"> and </w:t>
      </w:r>
      <w:r w:rsidRPr="009D0C45">
        <w:t>strong partnerships</w:t>
      </w:r>
      <w:r w:rsidRPr="00F64CD4">
        <w:t xml:space="preserve"> with the </w:t>
      </w:r>
      <w:r w:rsidRPr="009D0C45">
        <w:t>development</w:t>
      </w:r>
      <w:r w:rsidRPr="00F64CD4">
        <w:t xml:space="preserve"> sector.</w:t>
      </w:r>
    </w:p>
    <w:p w14:paraId="1EAD7E56" w14:textId="2555B783" w:rsidR="009D0C45" w:rsidRPr="009D0C45" w:rsidRDefault="009D0C45" w:rsidP="009D0C45">
      <w:pPr>
        <w:rPr>
          <w:b/>
          <w:bCs/>
        </w:rPr>
      </w:pPr>
      <w:r w:rsidRPr="00F64CD4">
        <w:rPr>
          <w:b/>
        </w:rPr>
        <w:t xml:space="preserve">Housing </w:t>
      </w:r>
      <w:r w:rsidR="003203BA">
        <w:rPr>
          <w:b/>
          <w:bCs/>
        </w:rPr>
        <w:t>s</w:t>
      </w:r>
      <w:r w:rsidRPr="009D0C45">
        <w:rPr>
          <w:b/>
          <w:bCs/>
        </w:rPr>
        <w:t>upply as</w:t>
      </w:r>
      <w:r w:rsidRPr="00F64CD4">
        <w:rPr>
          <w:b/>
        </w:rPr>
        <w:t xml:space="preserve"> a </w:t>
      </w:r>
      <w:r w:rsidR="003203BA">
        <w:rPr>
          <w:b/>
          <w:bCs/>
        </w:rPr>
        <w:t>s</w:t>
      </w:r>
      <w:r w:rsidRPr="009D0C45">
        <w:rPr>
          <w:b/>
          <w:bCs/>
        </w:rPr>
        <w:t xml:space="preserve">hared </w:t>
      </w:r>
      <w:r w:rsidR="003203BA">
        <w:rPr>
          <w:b/>
        </w:rPr>
        <w:t>r</w:t>
      </w:r>
      <w:r w:rsidRPr="00F64CD4">
        <w:rPr>
          <w:b/>
        </w:rPr>
        <w:t>esponsibility</w:t>
      </w:r>
    </w:p>
    <w:p w14:paraId="00D47E97" w14:textId="4F889CF8" w:rsidR="009D0C45" w:rsidRPr="00F64CD4" w:rsidRDefault="009D0C45" w:rsidP="00F64CD4">
      <w:r w:rsidRPr="009D0C45">
        <w:t xml:space="preserve">Housing policy spans all </w:t>
      </w:r>
      <w:r w:rsidRPr="00F64CD4">
        <w:t xml:space="preserve">three levels of government, as </w:t>
      </w:r>
      <w:r w:rsidRPr="009D0C45">
        <w:t>illustrated by</w:t>
      </w:r>
      <w:r w:rsidRPr="00F64CD4">
        <w:t xml:space="preserve"> the Australian Housing and Urban Research </w:t>
      </w:r>
      <w:r w:rsidRPr="009D0C45">
        <w:t>Institute (see</w:t>
      </w:r>
      <w:r w:rsidRPr="00F64CD4">
        <w:t xml:space="preserve"> Appendix A</w:t>
      </w:r>
      <w:r w:rsidRPr="009D0C45">
        <w:t>). While</w:t>
      </w:r>
      <w:r w:rsidRPr="00D11B9A">
        <w:t xml:space="preserve"> </w:t>
      </w:r>
      <w:r w:rsidRPr="00F64CD4">
        <w:t xml:space="preserve">some LGAs </w:t>
      </w:r>
      <w:r w:rsidRPr="009D0C45">
        <w:t xml:space="preserve">have </w:t>
      </w:r>
      <w:r w:rsidRPr="00F64CD4">
        <w:t xml:space="preserve">been </w:t>
      </w:r>
      <w:r w:rsidRPr="009D0C45">
        <w:t>criticised for constraining development, our members strongly support increased housing supply.</w:t>
      </w:r>
    </w:p>
    <w:p w14:paraId="7309160F" w14:textId="46FAC271" w:rsidR="009D0C45" w:rsidRDefault="009D0C45" w:rsidP="009D0C45">
      <w:r w:rsidRPr="009D0C45">
        <w:lastRenderedPageBreak/>
        <w:t>In land-constrained, inner-city areas, much of the required densification has already occurred, with limited greenfield land remaining. This is particularly evident in established areas of Australia’s largest cities, though it is acknowledged that this is not universally the case across all “inner ring” suburbs.</w:t>
      </w:r>
    </w:p>
    <w:p w14:paraId="657F0568" w14:textId="77777777" w:rsidR="00F64CD4" w:rsidRPr="004E699A" w:rsidRDefault="00F64CD4" w:rsidP="00F64CD4">
      <w:pPr>
        <w:rPr>
          <w:rFonts w:ascii="Open Sans" w:eastAsia="Times New Roman" w:hAnsi="Open Sans" w:cs="Times New Roman"/>
          <w:color w:val="0E010C"/>
          <w:sz w:val="22"/>
          <w:szCs w:val="32"/>
        </w:rPr>
      </w:pPr>
      <w:r w:rsidRPr="004E699A">
        <w:rPr>
          <w:rFonts w:ascii="Open Sans" w:eastAsia="Times New Roman" w:hAnsi="Open Sans" w:cs="Times New Roman"/>
          <w:color w:val="0E010C"/>
          <w:sz w:val="22"/>
          <w:szCs w:val="32"/>
        </w:rPr>
        <w:t>Local government is well positioned to plan for and support the growth of local communities; however, the sector operates within constrained resources. By comparison, state governments possess broader legislative authority and greater financial capacity to address housing challenges, as illustrated in Appendix A.</w:t>
      </w:r>
    </w:p>
    <w:p w14:paraId="54FF63B0" w14:textId="3060B7E6" w:rsidR="00F64CD4" w:rsidRDefault="00F64CD4" w:rsidP="00F64CD4">
      <w:pPr>
        <w:rPr>
          <w:rFonts w:ascii="Open Sans" w:eastAsia="Times New Roman" w:hAnsi="Open Sans" w:cs="Times New Roman"/>
          <w:color w:val="0E010C"/>
          <w:sz w:val="22"/>
          <w:szCs w:val="32"/>
        </w:rPr>
      </w:pPr>
      <w:r w:rsidRPr="004E699A">
        <w:rPr>
          <w:rFonts w:ascii="Open Sans" w:eastAsia="Times New Roman" w:hAnsi="Open Sans" w:cs="Times New Roman"/>
          <w:color w:val="0E010C"/>
          <w:sz w:val="22"/>
          <w:szCs w:val="32"/>
        </w:rPr>
        <w:t>State governments play a key role in establishing strategic direction for housing, informed by infrastructure plan</w:t>
      </w:r>
      <w:r>
        <w:rPr>
          <w:rFonts w:ascii="Open Sans" w:eastAsia="Times New Roman" w:hAnsi="Open Sans" w:cs="Times New Roman"/>
          <w:color w:val="0E010C"/>
          <w:sz w:val="22"/>
          <w:szCs w:val="32"/>
        </w:rPr>
        <w:t>ning</w:t>
      </w:r>
      <w:r w:rsidRPr="004E699A">
        <w:rPr>
          <w:rFonts w:ascii="Open Sans" w:eastAsia="Times New Roman" w:hAnsi="Open Sans" w:cs="Times New Roman"/>
          <w:color w:val="0E010C"/>
          <w:sz w:val="22"/>
          <w:szCs w:val="32"/>
        </w:rPr>
        <w:t xml:space="preserve"> and</w:t>
      </w:r>
      <w:r w:rsidR="006F21FF">
        <w:rPr>
          <w:rFonts w:ascii="Open Sans" w:eastAsia="Times New Roman" w:hAnsi="Open Sans" w:cs="Times New Roman"/>
          <w:color w:val="0E010C"/>
          <w:sz w:val="22"/>
          <w:szCs w:val="32"/>
        </w:rPr>
        <w:t xml:space="preserve"> the</w:t>
      </w:r>
      <w:r w:rsidRPr="004E699A">
        <w:rPr>
          <w:rFonts w:ascii="Open Sans" w:eastAsia="Times New Roman" w:hAnsi="Open Sans" w:cs="Times New Roman"/>
          <w:color w:val="0E010C"/>
          <w:sz w:val="22"/>
          <w:szCs w:val="32"/>
        </w:rPr>
        <w:t xml:space="preserve"> deliver</w:t>
      </w:r>
      <w:r>
        <w:rPr>
          <w:rFonts w:ascii="Open Sans" w:eastAsia="Times New Roman" w:hAnsi="Open Sans" w:cs="Times New Roman"/>
          <w:color w:val="0E010C"/>
          <w:sz w:val="22"/>
          <w:szCs w:val="32"/>
        </w:rPr>
        <w:t xml:space="preserve">y </w:t>
      </w:r>
      <w:r w:rsidR="006F21FF">
        <w:rPr>
          <w:rFonts w:ascii="Open Sans" w:eastAsia="Times New Roman" w:hAnsi="Open Sans" w:cs="Times New Roman"/>
          <w:color w:val="0E010C"/>
          <w:sz w:val="22"/>
          <w:szCs w:val="32"/>
        </w:rPr>
        <w:t>of</w:t>
      </w:r>
      <w:r>
        <w:rPr>
          <w:rFonts w:ascii="Open Sans" w:eastAsia="Times New Roman" w:hAnsi="Open Sans" w:cs="Times New Roman"/>
          <w:color w:val="0E010C"/>
          <w:sz w:val="22"/>
          <w:szCs w:val="32"/>
        </w:rPr>
        <w:t xml:space="preserve"> services such as</w:t>
      </w:r>
      <w:r w:rsidRPr="004E699A">
        <w:rPr>
          <w:rFonts w:ascii="Open Sans" w:eastAsia="Times New Roman" w:hAnsi="Open Sans" w:cs="Times New Roman"/>
          <w:color w:val="0E010C"/>
          <w:sz w:val="22"/>
          <w:szCs w:val="32"/>
        </w:rPr>
        <w:t xml:space="preserve"> transport and utilities. Incorporating local government decision-making into this process supports more effective outcomes, as it enables strong infrastructure coordination, meaningful community engagement, and high-quality design that contributes to liveable places.</w:t>
      </w:r>
    </w:p>
    <w:p w14:paraId="64A028E8" w14:textId="77777777" w:rsidR="00F64CD4" w:rsidRPr="004E699A" w:rsidRDefault="00F64CD4" w:rsidP="00F64CD4">
      <w:pPr>
        <w:rPr>
          <w:rFonts w:ascii="Open Sans" w:eastAsia="Times New Roman" w:hAnsi="Open Sans" w:cs="Times New Roman"/>
          <w:color w:val="0E010C"/>
          <w:sz w:val="22"/>
          <w:szCs w:val="32"/>
        </w:rPr>
      </w:pPr>
      <w:r>
        <w:rPr>
          <w:rFonts w:ascii="Open Sans" w:eastAsia="Times New Roman" w:hAnsi="Open Sans" w:cs="Times New Roman"/>
          <w:color w:val="0E010C"/>
          <w:sz w:val="22"/>
          <w:szCs w:val="32"/>
        </w:rPr>
        <w:t>L</w:t>
      </w:r>
      <w:r w:rsidRPr="004E699A">
        <w:rPr>
          <w:rFonts w:ascii="Open Sans" w:eastAsia="Times New Roman" w:hAnsi="Open Sans" w:cs="Times New Roman"/>
          <w:color w:val="0E010C"/>
          <w:sz w:val="22"/>
          <w:szCs w:val="32"/>
        </w:rPr>
        <w:t>arge-scale residential developments, such as Sydney’s Green Square, demonstrate the value of leadership by local government in partnership with state agencies. This project underscores the importance of long-term strategic planning, cross-jurisdictional collaboration, and comprehensive community consultation. Developments of this scale typically extend beyond the timeframe of initiatives such as the National Housing Accord and require sustained planning horizons.</w:t>
      </w:r>
    </w:p>
    <w:p w14:paraId="53DB36A2" w14:textId="560C0E88" w:rsidR="00F64CD4" w:rsidRPr="00F64CD4" w:rsidRDefault="00F64CD4" w:rsidP="009D0C45">
      <w:pPr>
        <w:rPr>
          <w:rFonts w:ascii="Open Sans" w:eastAsia="Times New Roman" w:hAnsi="Open Sans" w:cs="Times New Roman"/>
          <w:color w:val="0E010C"/>
          <w:sz w:val="22"/>
          <w:szCs w:val="32"/>
        </w:rPr>
      </w:pPr>
      <w:r w:rsidRPr="00185E9F">
        <w:rPr>
          <w:rFonts w:ascii="Open Sans" w:eastAsia="Times New Roman" w:hAnsi="Open Sans" w:cs="Times New Roman"/>
          <w:color w:val="0E010C"/>
          <w:sz w:val="22"/>
          <w:szCs w:val="32"/>
        </w:rPr>
        <w:t>A range of state government initiatives aimed at supporting increased housing supply are already in place. Programs such as the Queensland Government’s Scheme Supply Fund and the New South Wales Government’s Faster Assessments Incentive Program are practical, readily implementable measures that recognise the important role local governments play in advancing housing outcomes.</w:t>
      </w:r>
    </w:p>
    <w:p w14:paraId="3EA027ED" w14:textId="697CACAA" w:rsidR="009D0C45" w:rsidRPr="00F64CD4" w:rsidRDefault="009D0C45" w:rsidP="009D0C45">
      <w:pPr>
        <w:rPr>
          <w:b/>
        </w:rPr>
      </w:pPr>
      <w:r w:rsidRPr="009D0C45">
        <w:rPr>
          <w:b/>
          <w:bCs/>
        </w:rPr>
        <w:t xml:space="preserve">Enabling </w:t>
      </w:r>
      <w:r w:rsidR="003203BA">
        <w:rPr>
          <w:b/>
          <w:bCs/>
        </w:rPr>
        <w:t>i</w:t>
      </w:r>
      <w:r w:rsidRPr="009D0C45">
        <w:rPr>
          <w:b/>
          <w:bCs/>
        </w:rPr>
        <w:t>nfrastructure</w:t>
      </w:r>
      <w:r w:rsidR="00740ECB" w:rsidRPr="00F64CD4">
        <w:rPr>
          <w:b/>
        </w:rPr>
        <w:t xml:space="preserve"> to unlock housing supply</w:t>
      </w:r>
    </w:p>
    <w:p w14:paraId="21287276" w14:textId="78CD4D84" w:rsidR="009D0C45" w:rsidRPr="00D11B9A" w:rsidRDefault="009D0C45" w:rsidP="009D0C45">
      <w:r w:rsidRPr="009D0C45">
        <w:t>Targeted</w:t>
      </w:r>
      <w:r w:rsidRPr="00D11B9A">
        <w:t xml:space="preserve"> infrastructure </w:t>
      </w:r>
      <w:r w:rsidRPr="009D0C45">
        <w:t>investment by</w:t>
      </w:r>
      <w:r w:rsidRPr="00D11B9A">
        <w:t xml:space="preserve"> the</w:t>
      </w:r>
      <w:r w:rsidR="00DD0775">
        <w:t xml:space="preserve"> Federal and State Governments </w:t>
      </w:r>
      <w:r w:rsidRPr="009D0C45">
        <w:t xml:space="preserve">is essential </w:t>
      </w:r>
      <w:r w:rsidRPr="00D11B9A">
        <w:t xml:space="preserve">to </w:t>
      </w:r>
      <w:r w:rsidRPr="009D0C45">
        <w:t>unlocking</w:t>
      </w:r>
      <w:r w:rsidRPr="00D11B9A">
        <w:t xml:space="preserve"> housing supply</w:t>
      </w:r>
      <w:r w:rsidRPr="009D0C45">
        <w:t>.</w:t>
      </w:r>
    </w:p>
    <w:p w14:paraId="27BBD7A9" w14:textId="557FD28C" w:rsidR="009D0C45" w:rsidRPr="00F64CD4" w:rsidRDefault="009D0C45" w:rsidP="009D0C45">
      <w:r w:rsidRPr="009D0C45">
        <w:t>Members</w:t>
      </w:r>
      <w:r w:rsidRPr="00F64CD4">
        <w:t xml:space="preserve"> report </w:t>
      </w:r>
      <w:r w:rsidRPr="009D0C45">
        <w:t>substantial</w:t>
      </w:r>
      <w:r w:rsidRPr="00F64CD4">
        <w:t xml:space="preserve"> costs associated with </w:t>
      </w:r>
      <w:r w:rsidRPr="009D0C45">
        <w:t xml:space="preserve">developing </w:t>
      </w:r>
      <w:r w:rsidRPr="00F64CD4">
        <w:t xml:space="preserve">brownfield sites in </w:t>
      </w:r>
      <w:r w:rsidRPr="009D0C45">
        <w:t>capital</w:t>
      </w:r>
      <w:r w:rsidRPr="00F64CD4">
        <w:t xml:space="preserve"> cities.</w:t>
      </w:r>
      <w:r w:rsidRPr="009D0C45">
        <w:t xml:space="preserve"> For example,</w:t>
      </w:r>
      <w:r w:rsidRPr="00F64CD4">
        <w:t xml:space="preserve"> remediating former industrial </w:t>
      </w:r>
      <w:r w:rsidRPr="009D0C45">
        <w:t xml:space="preserve">land or </w:t>
      </w:r>
      <w:r w:rsidRPr="00F64CD4">
        <w:t xml:space="preserve">converting </w:t>
      </w:r>
      <w:r w:rsidRPr="009D0C45">
        <w:t>ageing</w:t>
      </w:r>
      <w:r w:rsidRPr="00F64CD4">
        <w:t xml:space="preserve"> commercial </w:t>
      </w:r>
      <w:r w:rsidRPr="009D0C45">
        <w:t>buildings—such as 1970s-era structures—into</w:t>
      </w:r>
      <w:r w:rsidRPr="00F64CD4">
        <w:t xml:space="preserve"> residential </w:t>
      </w:r>
      <w:r w:rsidRPr="009D0C45">
        <w:t>uses can be prohibitively expensive,</w:t>
      </w:r>
      <w:r w:rsidRPr="00F64CD4">
        <w:t xml:space="preserve"> despite </w:t>
      </w:r>
      <w:r w:rsidRPr="009D0C45">
        <w:t>their</w:t>
      </w:r>
      <w:r w:rsidRPr="00F64CD4">
        <w:t xml:space="preserve"> strategic locations</w:t>
      </w:r>
      <w:r w:rsidRPr="009D0C45">
        <w:t>.</w:t>
      </w:r>
    </w:p>
    <w:p w14:paraId="6C4D2A1C" w14:textId="20E74BC1" w:rsidR="009D0C45" w:rsidRPr="00F64CD4" w:rsidRDefault="009D0C45" w:rsidP="009D0C45">
      <w:r w:rsidRPr="00F64CD4">
        <w:t xml:space="preserve">In </w:t>
      </w:r>
      <w:r w:rsidRPr="009D0C45">
        <w:t>one instance</w:t>
      </w:r>
      <w:r w:rsidRPr="00F64CD4">
        <w:t xml:space="preserve">, a member </w:t>
      </w:r>
      <w:r w:rsidR="008D2D01">
        <w:t xml:space="preserve">of CCCLM </w:t>
      </w:r>
      <w:r w:rsidRPr="00F64CD4">
        <w:t xml:space="preserve">sought </w:t>
      </w:r>
      <w:r w:rsidRPr="009D0C45">
        <w:t xml:space="preserve">funding through the Australian Government’s </w:t>
      </w:r>
      <w:r w:rsidRPr="00F64CD4">
        <w:t xml:space="preserve">Housing Support Program </w:t>
      </w:r>
      <w:r w:rsidRPr="009D0C45">
        <w:t xml:space="preserve">to </w:t>
      </w:r>
      <w:r w:rsidRPr="00F64CD4">
        <w:t xml:space="preserve">deliver flood mitigation </w:t>
      </w:r>
      <w:r w:rsidRPr="009D0C45">
        <w:t xml:space="preserve">infrastructure that would have enabled up to </w:t>
      </w:r>
      <w:r w:rsidRPr="00F64CD4">
        <w:t xml:space="preserve">3,700 additional dwellings in a </w:t>
      </w:r>
      <w:r w:rsidRPr="009D0C45">
        <w:t>central business district. The application was unsuccessful</w:t>
      </w:r>
      <w:r w:rsidRPr="00F64CD4">
        <w:t>.</w:t>
      </w:r>
    </w:p>
    <w:p w14:paraId="67556B75" w14:textId="6335657E" w:rsidR="009D0C45" w:rsidRDefault="009D0C45" w:rsidP="009D0C45">
      <w:r w:rsidRPr="00F64CD4">
        <w:lastRenderedPageBreak/>
        <w:t xml:space="preserve">It is </w:t>
      </w:r>
      <w:r w:rsidRPr="009D0C45">
        <w:t xml:space="preserve">widely </w:t>
      </w:r>
      <w:r w:rsidRPr="00F64CD4">
        <w:t>accepted that enabling infrastructure</w:t>
      </w:r>
      <w:r w:rsidRPr="009D0C45">
        <w:t>—</w:t>
      </w:r>
      <w:r w:rsidRPr="00F64CD4">
        <w:t xml:space="preserve">whether </w:t>
      </w:r>
      <w:r w:rsidRPr="009D0C45">
        <w:t>funded by</w:t>
      </w:r>
      <w:r w:rsidRPr="00F64CD4">
        <w:t xml:space="preserve"> the </w:t>
      </w:r>
      <w:r w:rsidRPr="009D0C45">
        <w:t>Commonwealth</w:t>
      </w:r>
      <w:r w:rsidRPr="00F64CD4">
        <w:t xml:space="preserve"> or the states</w:t>
      </w:r>
      <w:r w:rsidRPr="009D0C45">
        <w:t>—</w:t>
      </w:r>
      <w:r w:rsidRPr="00F64CD4">
        <w:t xml:space="preserve">is </w:t>
      </w:r>
      <w:r w:rsidRPr="009D0C45">
        <w:t>critical</w:t>
      </w:r>
      <w:r w:rsidRPr="00F64CD4">
        <w:t xml:space="preserve"> to </w:t>
      </w:r>
      <w:r w:rsidRPr="009D0C45">
        <w:t>advancing</w:t>
      </w:r>
      <w:r w:rsidRPr="00F64CD4">
        <w:t xml:space="preserve"> housing projects</w:t>
      </w:r>
      <w:r w:rsidRPr="009D0C45">
        <w:t>. Such</w:t>
      </w:r>
      <w:r w:rsidRPr="00F64CD4">
        <w:t xml:space="preserve"> funding </w:t>
      </w:r>
      <w:r w:rsidRPr="009D0C45">
        <w:t>should</w:t>
      </w:r>
      <w:r w:rsidRPr="00F64CD4">
        <w:t xml:space="preserve"> be </w:t>
      </w:r>
      <w:r w:rsidRPr="009D0C45">
        <w:t>prioritised in</w:t>
      </w:r>
      <w:r w:rsidRPr="00F64CD4">
        <w:t xml:space="preserve"> metropolitan </w:t>
      </w:r>
      <w:r w:rsidRPr="009D0C45">
        <w:t>areas,</w:t>
      </w:r>
      <w:r w:rsidRPr="00F64CD4">
        <w:t xml:space="preserve"> where the </w:t>
      </w:r>
      <w:r w:rsidRPr="009D0C45">
        <w:t>bulk</w:t>
      </w:r>
      <w:r w:rsidRPr="00F64CD4">
        <w:t xml:space="preserve"> of population growth </w:t>
      </w:r>
      <w:r w:rsidRPr="009D0C45">
        <w:t>and housing demand is concentrated</w:t>
      </w:r>
      <w:r w:rsidRPr="00D11B9A">
        <w:t>.</w:t>
      </w:r>
      <w:r w:rsidR="00B45B76">
        <w:rPr>
          <w:rStyle w:val="FootnoteReference"/>
        </w:rPr>
        <w:footnoteReference w:id="4"/>
      </w:r>
    </w:p>
    <w:p w14:paraId="66203FD5" w14:textId="77777777" w:rsidR="009D0C45" w:rsidRPr="00F64CD4" w:rsidRDefault="009D0C45" w:rsidP="00D11B9A">
      <w:pPr>
        <w:rPr>
          <w:b/>
        </w:rPr>
      </w:pPr>
      <w:r w:rsidRPr="00F64CD4">
        <w:rPr>
          <w:b/>
        </w:rPr>
        <w:t>Recommendations</w:t>
      </w:r>
    </w:p>
    <w:p w14:paraId="7E3DCE94" w14:textId="16ACFB5A" w:rsidR="009D0C45" w:rsidRPr="00F64CD4" w:rsidRDefault="009D0C45" w:rsidP="00F64CD4">
      <w:pPr>
        <w:numPr>
          <w:ilvl w:val="0"/>
          <w:numId w:val="1"/>
        </w:numPr>
      </w:pPr>
      <w:r w:rsidRPr="009D0C45">
        <w:t>Increased</w:t>
      </w:r>
      <w:r w:rsidRPr="00F64CD4">
        <w:t xml:space="preserve"> enabling infrastructure funding from the Australian Government is </w:t>
      </w:r>
      <w:r w:rsidRPr="009D0C45">
        <w:t>required</w:t>
      </w:r>
      <w:r w:rsidRPr="00F64CD4">
        <w:t xml:space="preserve"> to </w:t>
      </w:r>
      <w:r w:rsidRPr="009D0C45">
        <w:t>unlock</w:t>
      </w:r>
      <w:r w:rsidRPr="00F64CD4">
        <w:t xml:space="preserve"> housing projects</w:t>
      </w:r>
      <w:r w:rsidRPr="009D0C45">
        <w:t>. While</w:t>
      </w:r>
      <w:r w:rsidRPr="00F64CD4">
        <w:t xml:space="preserve"> the $2 billion announced in the May </w:t>
      </w:r>
      <w:r w:rsidRPr="009D0C45">
        <w:t>Budget</w:t>
      </w:r>
      <w:r w:rsidRPr="00F64CD4">
        <w:t xml:space="preserve"> is welcome, </w:t>
      </w:r>
      <w:r w:rsidRPr="009D0C45">
        <w:t>it is insufficient to meet national demand</w:t>
      </w:r>
      <w:r w:rsidR="000432BA" w:rsidRPr="00F64CD4">
        <w:t xml:space="preserve"> across eight major cities and 51 regional cities.</w:t>
      </w:r>
    </w:p>
    <w:p w14:paraId="200AC104" w14:textId="4AE06AE0" w:rsidR="009D0C45" w:rsidRPr="00F64CD4" w:rsidRDefault="009D0C45" w:rsidP="00F64CD4">
      <w:pPr>
        <w:numPr>
          <w:ilvl w:val="0"/>
          <w:numId w:val="1"/>
        </w:numPr>
      </w:pPr>
      <w:r w:rsidRPr="009D0C45">
        <w:t>Improved</w:t>
      </w:r>
      <w:r w:rsidRPr="00F64CD4">
        <w:t xml:space="preserve"> data sharing and </w:t>
      </w:r>
      <w:r w:rsidRPr="009D0C45">
        <w:t>analysis</w:t>
      </w:r>
      <w:r w:rsidRPr="00F64CD4">
        <w:t xml:space="preserve"> of developable land </w:t>
      </w:r>
      <w:r w:rsidRPr="009D0C45">
        <w:t xml:space="preserve">should be prioritised, with progress on commitments made at the </w:t>
      </w:r>
      <w:r w:rsidRPr="00F64CD4">
        <w:t>November 2025 Treasurers’ meeting</w:t>
      </w:r>
      <w:r w:rsidRPr="009D0C45">
        <w:t>.</w:t>
      </w:r>
    </w:p>
    <w:p w14:paraId="7465D8AA" w14:textId="49EEC648" w:rsidR="000432BA" w:rsidRPr="00D11B9A" w:rsidRDefault="009D0C45" w:rsidP="00D11B9A">
      <w:pPr>
        <w:keepNext/>
        <w:keepLines/>
        <w:spacing w:before="360" w:after="360" w:line="240" w:lineRule="auto"/>
        <w:outlineLvl w:val="0"/>
        <w:rPr>
          <w:rFonts w:ascii="Playfair Display Black" w:eastAsia="Times New Roman" w:hAnsi="Playfair Display Black" w:cs="Times New Roman (Headings CS)"/>
          <w:b/>
          <w:color w:val="450538"/>
          <w:sz w:val="44"/>
          <w:szCs w:val="40"/>
        </w:rPr>
      </w:pPr>
      <w:r w:rsidRPr="00D11B9A">
        <w:rPr>
          <w:rFonts w:ascii="Playfair Display Black" w:eastAsia="Times New Roman" w:hAnsi="Playfair Display Black" w:cs="Times New Roman (Headings CS)"/>
          <w:b/>
          <w:color w:val="450538"/>
          <w:sz w:val="44"/>
          <w:szCs w:val="40"/>
        </w:rPr>
        <w:t>Supporting Medium- and High-Density Housing</w:t>
      </w:r>
      <w:r w:rsidR="00B45B76">
        <w:rPr>
          <w:rFonts w:ascii="Playfair Display Black" w:eastAsia="Times New Roman" w:hAnsi="Playfair Display Black" w:cs="Times New Roman (Headings CS)"/>
          <w:b/>
          <w:color w:val="450538"/>
          <w:sz w:val="44"/>
          <w:szCs w:val="40"/>
        </w:rPr>
        <w:t xml:space="preserve"> in our cities</w:t>
      </w:r>
    </w:p>
    <w:p w14:paraId="0094BD21" w14:textId="4C0CE4C7" w:rsidR="009D0C45" w:rsidRPr="009D0C45" w:rsidRDefault="009D0C45" w:rsidP="009D0C45">
      <w:r w:rsidRPr="00F64CD4">
        <w:t xml:space="preserve">Most capital cities have </w:t>
      </w:r>
      <w:r w:rsidRPr="009D0C45">
        <w:t xml:space="preserve">established </w:t>
      </w:r>
      <w:r w:rsidRPr="00F64CD4">
        <w:t>strategies to facilitate medium</w:t>
      </w:r>
      <w:r w:rsidRPr="009D0C45">
        <w:t>-</w:t>
      </w:r>
      <w:r w:rsidRPr="00F64CD4">
        <w:t xml:space="preserve"> and high-density housing in </w:t>
      </w:r>
      <w:r w:rsidRPr="009D0C45">
        <w:t>appropriate</w:t>
      </w:r>
      <w:r w:rsidRPr="00F64CD4">
        <w:t xml:space="preserve"> locations</w:t>
      </w:r>
      <w:r w:rsidRPr="009D0C45">
        <w:t>, including:</w:t>
      </w:r>
    </w:p>
    <w:p w14:paraId="6528415A" w14:textId="25B178DE" w:rsidR="009D0C45" w:rsidRPr="009D0C45" w:rsidRDefault="009D0C45" w:rsidP="009D0C45">
      <w:pPr>
        <w:numPr>
          <w:ilvl w:val="0"/>
          <w:numId w:val="2"/>
        </w:numPr>
      </w:pPr>
      <w:r w:rsidRPr="00F64CD4">
        <w:t>Brisbane’s Housing Supply Action Plan</w:t>
      </w:r>
    </w:p>
    <w:p w14:paraId="545FF389" w14:textId="2476A209" w:rsidR="009D0C45" w:rsidRPr="009D0C45" w:rsidRDefault="009D0C45" w:rsidP="009D0C45">
      <w:pPr>
        <w:numPr>
          <w:ilvl w:val="0"/>
          <w:numId w:val="2"/>
        </w:numPr>
      </w:pPr>
      <w:r w:rsidRPr="00F64CD4">
        <w:t>City of Adelaide’s Housing Strategy</w:t>
      </w:r>
    </w:p>
    <w:p w14:paraId="000EABE9" w14:textId="1AF031DF" w:rsidR="009D0C45" w:rsidRDefault="009D0C45" w:rsidP="009D0C45">
      <w:pPr>
        <w:numPr>
          <w:ilvl w:val="0"/>
          <w:numId w:val="2"/>
        </w:numPr>
      </w:pPr>
      <w:r w:rsidRPr="00F64CD4">
        <w:t xml:space="preserve">City of Hobart’s </w:t>
      </w:r>
      <w:r w:rsidRPr="009D0C45">
        <w:t xml:space="preserve">proposed </w:t>
      </w:r>
      <w:r w:rsidRPr="00F64CD4">
        <w:t>Housing Action Plan</w:t>
      </w:r>
    </w:p>
    <w:p w14:paraId="4DE5B4A7" w14:textId="452999ED" w:rsidR="009D0C45" w:rsidRPr="00F64CD4" w:rsidRDefault="009D0C45" w:rsidP="009D0C45">
      <w:r w:rsidRPr="00F64CD4">
        <w:t xml:space="preserve">These strategies work in </w:t>
      </w:r>
      <w:r w:rsidRPr="009D0C45">
        <w:t>tandem</w:t>
      </w:r>
      <w:r w:rsidRPr="00F64CD4">
        <w:t xml:space="preserve"> with state </w:t>
      </w:r>
      <w:r w:rsidRPr="009D0C45">
        <w:t>frameworks</w:t>
      </w:r>
      <w:r w:rsidRPr="00F64CD4">
        <w:t xml:space="preserve"> to </w:t>
      </w:r>
      <w:r w:rsidRPr="009D0C45">
        <w:t>promote</w:t>
      </w:r>
      <w:r w:rsidRPr="00F64CD4">
        <w:t xml:space="preserve"> housing supply.</w:t>
      </w:r>
    </w:p>
    <w:p w14:paraId="00504E8E" w14:textId="1CD484E9" w:rsidR="009D0C45" w:rsidRPr="00F64CD4" w:rsidRDefault="009D0C45" w:rsidP="009D0C45">
      <w:r w:rsidRPr="009D0C45">
        <w:t>However</w:t>
      </w:r>
      <w:r w:rsidRPr="00F64CD4">
        <w:t xml:space="preserve">, despite a </w:t>
      </w:r>
      <w:r w:rsidRPr="009D0C45">
        <w:t>substantial</w:t>
      </w:r>
      <w:r w:rsidRPr="00F64CD4">
        <w:t xml:space="preserve"> pipeline of approved projects</w:t>
      </w:r>
      <w:r w:rsidRPr="009D0C45">
        <w:t xml:space="preserve">, many developments </w:t>
      </w:r>
      <w:r w:rsidRPr="00F64CD4">
        <w:t>are not proceeding to construction</w:t>
      </w:r>
      <w:r w:rsidRPr="009D0C45">
        <w:t>. Industry stakeholders consistently</w:t>
      </w:r>
      <w:r w:rsidRPr="00F64CD4">
        <w:t xml:space="preserve"> cite post-</w:t>
      </w:r>
      <w:r w:rsidRPr="009D0C45">
        <w:t>pandemic</w:t>
      </w:r>
      <w:r w:rsidRPr="00F64CD4">
        <w:t xml:space="preserve"> construction cost </w:t>
      </w:r>
      <w:r w:rsidRPr="009D0C45">
        <w:t>increases, labour</w:t>
      </w:r>
      <w:r w:rsidRPr="00F64CD4">
        <w:t xml:space="preserve"> shortages</w:t>
      </w:r>
      <w:r w:rsidRPr="009D0C45">
        <w:t>,</w:t>
      </w:r>
      <w:r w:rsidRPr="00F64CD4">
        <w:t xml:space="preserve"> and challenging </w:t>
      </w:r>
      <w:r w:rsidRPr="009D0C45">
        <w:t xml:space="preserve">project </w:t>
      </w:r>
      <w:r w:rsidRPr="00F64CD4">
        <w:t xml:space="preserve">economics as </w:t>
      </w:r>
      <w:r w:rsidRPr="009D0C45">
        <w:t>key barriers</w:t>
      </w:r>
      <w:r w:rsidRPr="00F64CD4">
        <w:t>.</w:t>
      </w:r>
    </w:p>
    <w:p w14:paraId="3952E6C2" w14:textId="0289AECA" w:rsidR="009D0C45" w:rsidRPr="009D0C45" w:rsidRDefault="009D0C45" w:rsidP="009D0C45">
      <w:pPr>
        <w:rPr>
          <w:b/>
          <w:bCs/>
        </w:rPr>
      </w:pPr>
      <w:r w:rsidRPr="009D0C45">
        <w:rPr>
          <w:b/>
          <w:bCs/>
        </w:rPr>
        <w:t xml:space="preserve">Developer </w:t>
      </w:r>
      <w:r w:rsidR="003203BA">
        <w:rPr>
          <w:b/>
          <w:bCs/>
        </w:rPr>
        <w:t>f</w:t>
      </w:r>
      <w:r w:rsidRPr="009D0C45">
        <w:rPr>
          <w:b/>
          <w:bCs/>
        </w:rPr>
        <w:t xml:space="preserve">inance and </w:t>
      </w:r>
      <w:r w:rsidR="003203BA">
        <w:rPr>
          <w:b/>
          <w:bCs/>
        </w:rPr>
        <w:t>p</w:t>
      </w:r>
      <w:r w:rsidRPr="009D0C45">
        <w:rPr>
          <w:b/>
          <w:bCs/>
        </w:rPr>
        <w:t xml:space="preserve">roject </w:t>
      </w:r>
      <w:r w:rsidR="003203BA">
        <w:rPr>
          <w:b/>
          <w:bCs/>
        </w:rPr>
        <w:t>v</w:t>
      </w:r>
      <w:r w:rsidRPr="009D0C45">
        <w:rPr>
          <w:b/>
          <w:bCs/>
        </w:rPr>
        <w:t>iability</w:t>
      </w:r>
    </w:p>
    <w:p w14:paraId="3C6B73CC" w14:textId="067E8CB2" w:rsidR="009D0C45" w:rsidRPr="009D0C45" w:rsidRDefault="009D0C45" w:rsidP="009D0C45">
      <w:r w:rsidRPr="009D0C45">
        <w:t xml:space="preserve">Further examination of development </w:t>
      </w:r>
      <w:r w:rsidRPr="00F64CD4">
        <w:t>finance</w:t>
      </w:r>
      <w:r w:rsidRPr="009D0C45">
        <w:t xml:space="preserve"> mechanisms is warranted, particularly the New South Wales</w:t>
      </w:r>
      <w:r w:rsidRPr="00D11B9A">
        <w:t xml:space="preserve"> </w:t>
      </w:r>
      <w:r w:rsidRPr="00F64CD4">
        <w:t>Pre-Sale Finance Guarantee initiative</w:t>
      </w:r>
      <w:r w:rsidRPr="009D0C45">
        <w:t xml:space="preserve">. Early indications suggest </w:t>
      </w:r>
      <w:r w:rsidR="00DD0775">
        <w:t>this program</w:t>
      </w:r>
      <w:r w:rsidRPr="009D0C45">
        <w:t xml:space="preserve"> is assisting</w:t>
      </w:r>
      <w:r w:rsidRPr="00F64CD4">
        <w:t xml:space="preserve"> projects to</w:t>
      </w:r>
      <w:r w:rsidRPr="009D0C45">
        <w:t xml:space="preserve"> reach</w:t>
      </w:r>
      <w:r w:rsidRPr="00F64CD4">
        <w:t xml:space="preserve"> construction</w:t>
      </w:r>
      <w:r w:rsidR="00B45B76" w:rsidRPr="00F64CD4">
        <w:t>.</w:t>
      </w:r>
    </w:p>
    <w:p w14:paraId="0146325A" w14:textId="4F107631" w:rsidR="009D0C45" w:rsidRPr="00F64CD4" w:rsidRDefault="009D0C45" w:rsidP="009D0C45">
      <w:r w:rsidRPr="009D0C45">
        <w:lastRenderedPageBreak/>
        <w:t>Given</w:t>
      </w:r>
      <w:r w:rsidRPr="00F64CD4">
        <w:t xml:space="preserve"> the capital-intensive and long-term nature of high-density </w:t>
      </w:r>
      <w:r w:rsidRPr="009D0C45">
        <w:t>developments</w:t>
      </w:r>
      <w:r w:rsidRPr="00F64CD4">
        <w:t xml:space="preserve">, compared to greenfield </w:t>
      </w:r>
      <w:r w:rsidRPr="009D0C45">
        <w:t>housing, targeted interventions may be required to bridge viability gaps</w:t>
      </w:r>
      <w:r w:rsidRPr="00F64CD4">
        <w:t>.</w:t>
      </w:r>
    </w:p>
    <w:p w14:paraId="7D0666FB" w14:textId="57EEECBB" w:rsidR="009D0C45" w:rsidRPr="00F64CD4" w:rsidRDefault="009D0C45" w:rsidP="009D0C45">
      <w:r w:rsidRPr="009D0C45">
        <w:t xml:space="preserve">The Commission should </w:t>
      </w:r>
      <w:r w:rsidRPr="00F64CD4">
        <w:t xml:space="preserve">consider </w:t>
      </w:r>
      <w:r w:rsidRPr="009D0C45">
        <w:t>“</w:t>
      </w:r>
      <w:r w:rsidRPr="00D11B9A">
        <w:t xml:space="preserve">tipping </w:t>
      </w:r>
      <w:r w:rsidRPr="009D0C45">
        <w:t>point”</w:t>
      </w:r>
      <w:r w:rsidRPr="00D11B9A">
        <w:t xml:space="preserve"> mechanisms </w:t>
      </w:r>
      <w:r w:rsidRPr="009D0C45">
        <w:t>that</w:t>
      </w:r>
      <w:r w:rsidRPr="00D11B9A">
        <w:t xml:space="preserve"> could </w:t>
      </w:r>
      <w:r w:rsidRPr="009D0C45">
        <w:t xml:space="preserve">support </w:t>
      </w:r>
      <w:r w:rsidRPr="00D11B9A">
        <w:t xml:space="preserve">approved projects </w:t>
      </w:r>
      <w:r w:rsidRPr="009D0C45">
        <w:t>progressing</w:t>
      </w:r>
      <w:r w:rsidRPr="00D11B9A">
        <w:t xml:space="preserve"> to completion. Federal intervention </w:t>
      </w:r>
      <w:r w:rsidRPr="009D0C45">
        <w:t>in financing markets</w:t>
      </w:r>
      <w:r w:rsidRPr="00D11B9A">
        <w:t xml:space="preserve"> is not </w:t>
      </w:r>
      <w:r w:rsidRPr="009D0C45">
        <w:t>without precedent, as demonstrated by institutions such as</w:t>
      </w:r>
      <w:r w:rsidRPr="00F64CD4">
        <w:t xml:space="preserve"> the Regional Investment Corporation, Export Finance Australia</w:t>
      </w:r>
      <w:r w:rsidRPr="009D0C45">
        <w:t>,</w:t>
      </w:r>
      <w:r w:rsidRPr="00F64CD4">
        <w:t xml:space="preserve"> and the Northern Australia Infrastructure Facility.</w:t>
      </w:r>
    </w:p>
    <w:p w14:paraId="79A9A58A" w14:textId="34549307" w:rsidR="009D0C45" w:rsidRPr="00F64CD4" w:rsidRDefault="009D0C45" w:rsidP="009D0C45">
      <w:r w:rsidRPr="009D0C45">
        <w:t xml:space="preserve">Recent </w:t>
      </w:r>
      <w:r w:rsidRPr="00F64CD4">
        <w:t xml:space="preserve">changes to tax settings </w:t>
      </w:r>
      <w:r w:rsidRPr="009D0C45">
        <w:t>may also affect</w:t>
      </w:r>
      <w:r w:rsidRPr="00F64CD4">
        <w:t xml:space="preserve"> investor sentiment</w:t>
      </w:r>
      <w:r w:rsidRPr="009D0C45">
        <w:t xml:space="preserve">, even where incentives such as negative gearing for </w:t>
      </w:r>
      <w:r w:rsidRPr="00D11B9A">
        <w:t>new properties</w:t>
      </w:r>
      <w:r w:rsidRPr="009D0C45">
        <w:t xml:space="preserve"> remain</w:t>
      </w:r>
      <w:r w:rsidRPr="00F64CD4">
        <w:t>.</w:t>
      </w:r>
    </w:p>
    <w:p w14:paraId="7C409C56" w14:textId="27140EB1" w:rsidR="009D0C45" w:rsidRPr="00F64CD4" w:rsidRDefault="009D0C45" w:rsidP="009D0C45">
      <w:pPr>
        <w:rPr>
          <w:b/>
        </w:rPr>
      </w:pPr>
      <w:r w:rsidRPr="00F64CD4">
        <w:rPr>
          <w:b/>
        </w:rPr>
        <w:t xml:space="preserve">Social and </w:t>
      </w:r>
      <w:r w:rsidR="003203BA">
        <w:rPr>
          <w:b/>
          <w:bCs/>
        </w:rPr>
        <w:t>a</w:t>
      </w:r>
      <w:r w:rsidRPr="009D0C45">
        <w:rPr>
          <w:b/>
          <w:bCs/>
        </w:rPr>
        <w:t xml:space="preserve">ffordable </w:t>
      </w:r>
      <w:r w:rsidR="003203BA">
        <w:rPr>
          <w:b/>
          <w:bCs/>
        </w:rPr>
        <w:t>h</w:t>
      </w:r>
      <w:r w:rsidRPr="009D0C45">
        <w:rPr>
          <w:b/>
          <w:bCs/>
        </w:rPr>
        <w:t>ousing</w:t>
      </w:r>
    </w:p>
    <w:p w14:paraId="55BA7D29" w14:textId="1DF65A2A" w:rsidR="009D0C45" w:rsidRPr="009D0C45" w:rsidRDefault="009D0C45" w:rsidP="009D0C45">
      <w:r w:rsidRPr="00F64CD4">
        <w:t xml:space="preserve">There is </w:t>
      </w:r>
      <w:r w:rsidRPr="009D0C45">
        <w:t>growing</w:t>
      </w:r>
      <w:r w:rsidRPr="00F64CD4">
        <w:t xml:space="preserve"> community acceptance that social and affordable housing </w:t>
      </w:r>
      <w:r w:rsidRPr="009D0C45">
        <w:t xml:space="preserve">is a necessary component of urban development. LGAs are increasingly expected to </w:t>
      </w:r>
      <w:r w:rsidRPr="00F64CD4">
        <w:t xml:space="preserve">proactively </w:t>
      </w:r>
      <w:r w:rsidRPr="009D0C45">
        <w:t xml:space="preserve">partner </w:t>
      </w:r>
      <w:r w:rsidRPr="00F64CD4">
        <w:t xml:space="preserve">with social housing providers (SHPs) to </w:t>
      </w:r>
      <w:r w:rsidR="00AB6A60">
        <w:t>facilitate</w:t>
      </w:r>
      <w:r w:rsidRPr="00F64CD4">
        <w:t xml:space="preserve"> </w:t>
      </w:r>
      <w:r w:rsidRPr="009D0C45">
        <w:t>such outcomes.</w:t>
      </w:r>
    </w:p>
    <w:p w14:paraId="6E6079B7" w14:textId="77777777" w:rsidR="009D0C45" w:rsidRPr="009D0C45" w:rsidRDefault="009D0C45" w:rsidP="009D0C45">
      <w:r w:rsidRPr="009D0C45">
        <w:t>Local governments have contributed through mechanisms including:</w:t>
      </w:r>
    </w:p>
    <w:p w14:paraId="062A49EF" w14:textId="790A9203" w:rsidR="009D0C45" w:rsidRPr="009D0C45" w:rsidRDefault="009D0C45" w:rsidP="009D0C45">
      <w:pPr>
        <w:numPr>
          <w:ilvl w:val="0"/>
          <w:numId w:val="3"/>
        </w:numPr>
      </w:pPr>
      <w:r w:rsidRPr="009D0C45">
        <w:t>Provision of council-owned</w:t>
      </w:r>
      <w:r w:rsidRPr="00D11B9A">
        <w:t xml:space="preserve"> land</w:t>
      </w:r>
    </w:p>
    <w:p w14:paraId="1F631165" w14:textId="74DC6347" w:rsidR="009D0C45" w:rsidRPr="00F64CD4" w:rsidRDefault="009D0C45" w:rsidP="00F64CD4">
      <w:pPr>
        <w:numPr>
          <w:ilvl w:val="0"/>
          <w:numId w:val="3"/>
        </w:numPr>
      </w:pPr>
      <w:r w:rsidRPr="009D0C45">
        <w:t>Special</w:t>
      </w:r>
      <w:r w:rsidRPr="00F64CD4">
        <w:t xml:space="preserve"> rating arrangements</w:t>
      </w:r>
    </w:p>
    <w:p w14:paraId="369F12AE" w14:textId="4918EF01" w:rsidR="009D0C45" w:rsidRPr="009D0C45" w:rsidRDefault="009D0C45" w:rsidP="009D0C45">
      <w:pPr>
        <w:numPr>
          <w:ilvl w:val="0"/>
          <w:numId w:val="3"/>
        </w:numPr>
      </w:pPr>
      <w:r w:rsidRPr="009D0C45">
        <w:t>Planning incentives</w:t>
      </w:r>
    </w:p>
    <w:p w14:paraId="0F9C5F87" w14:textId="5C95C856" w:rsidR="009D0C45" w:rsidRPr="009D0C45" w:rsidRDefault="009D0C45" w:rsidP="009D0C45">
      <w:r w:rsidRPr="009D0C45">
        <w:t xml:space="preserve">Recent projects </w:t>
      </w:r>
      <w:r w:rsidRPr="00F64CD4">
        <w:t>include</w:t>
      </w:r>
      <w:r w:rsidRPr="009D0C45">
        <w:t>:</w:t>
      </w:r>
    </w:p>
    <w:p w14:paraId="7D096800" w14:textId="57BD8E37" w:rsidR="009D0C45" w:rsidRPr="009D0C45" w:rsidRDefault="009D0C45" w:rsidP="009D0C45">
      <w:pPr>
        <w:numPr>
          <w:ilvl w:val="0"/>
          <w:numId w:val="4"/>
        </w:numPr>
      </w:pPr>
      <w:r w:rsidRPr="009D0C45">
        <w:t>The</w:t>
      </w:r>
      <w:r w:rsidRPr="00F64CD4">
        <w:t xml:space="preserve"> Common Ground facility in Perth</w:t>
      </w:r>
      <w:r w:rsidRPr="009D0C45">
        <w:t xml:space="preserve"> (supported by</w:t>
      </w:r>
      <w:r w:rsidRPr="00F64CD4">
        <w:t xml:space="preserve"> City Deals </w:t>
      </w:r>
      <w:r w:rsidRPr="009D0C45">
        <w:t>funding)</w:t>
      </w:r>
    </w:p>
    <w:p w14:paraId="6CE7BD69" w14:textId="1E05ABA6" w:rsidR="009D0C45" w:rsidRPr="00F64CD4" w:rsidRDefault="009D0C45" w:rsidP="00F64CD4">
      <w:pPr>
        <w:numPr>
          <w:ilvl w:val="0"/>
          <w:numId w:val="4"/>
        </w:numPr>
      </w:pPr>
      <w:r w:rsidRPr="00F64CD4">
        <w:t xml:space="preserve">Melbourne’s </w:t>
      </w:r>
      <w:r w:rsidRPr="009D0C45">
        <w:t>“</w:t>
      </w:r>
      <w:r w:rsidRPr="00F64CD4">
        <w:t>Make Room</w:t>
      </w:r>
      <w:r w:rsidRPr="009D0C45">
        <w:t>”</w:t>
      </w:r>
      <w:r w:rsidRPr="00F64CD4">
        <w:t xml:space="preserve"> supported housing</w:t>
      </w:r>
      <w:r w:rsidRPr="009D0C45">
        <w:t xml:space="preserve"> </w:t>
      </w:r>
      <w:r w:rsidRPr="00D11B9A">
        <w:t>initiative</w:t>
      </w:r>
    </w:p>
    <w:p w14:paraId="441AB4A7" w14:textId="77777777" w:rsidR="004E6D6B" w:rsidRDefault="004E6D6B" w:rsidP="00BE42E4">
      <w:pPr>
        <w:rPr>
          <w:rFonts w:ascii="Open Sans" w:eastAsia="Times New Roman" w:hAnsi="Open Sans" w:cs="Times New Roman"/>
          <w:color w:val="0E010C"/>
          <w:sz w:val="22"/>
          <w:szCs w:val="32"/>
        </w:rPr>
      </w:pPr>
      <w:r>
        <w:rPr>
          <w:rFonts w:ascii="Open Sans" w:eastAsia="Times New Roman" w:hAnsi="Open Sans" w:cs="Times New Roman"/>
          <w:noProof/>
          <w:color w:val="0E010C"/>
          <w:sz w:val="22"/>
          <w:szCs w:val="32"/>
        </w:rPr>
        <w:drawing>
          <wp:inline distT="0" distB="0" distL="0" distR="0" wp14:anchorId="13235F38" wp14:editId="4F08B186">
            <wp:extent cx="5732784" cy="2209800"/>
            <wp:effectExtent l="0" t="0" r="1270" b="0"/>
            <wp:docPr id="700617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2176" cy="2224984"/>
                    </a:xfrm>
                    <a:prstGeom prst="rect">
                      <a:avLst/>
                    </a:prstGeom>
                    <a:noFill/>
                  </pic:spPr>
                </pic:pic>
              </a:graphicData>
            </a:graphic>
          </wp:inline>
        </w:drawing>
      </w:r>
    </w:p>
    <w:p w14:paraId="115A5743" w14:textId="3624A3A5" w:rsidR="009D0C45" w:rsidRPr="00F64CD4" w:rsidRDefault="004E6D6B" w:rsidP="00F64CD4">
      <w:pPr>
        <w:numPr>
          <w:ilvl w:val="0"/>
          <w:numId w:val="4"/>
        </w:numPr>
      </w:pPr>
      <w:r>
        <w:rPr>
          <w:rFonts w:ascii="Open Sans" w:eastAsia="Times New Roman" w:hAnsi="Open Sans" w:cs="Times New Roman"/>
          <w:color w:val="0E010C"/>
          <w:sz w:val="18"/>
        </w:rPr>
        <w:t>R</w:t>
      </w:r>
      <w:r w:rsidR="00493D39">
        <w:rPr>
          <w:rFonts w:ascii="Open Sans" w:eastAsia="Times New Roman" w:hAnsi="Open Sans" w:cs="Times New Roman"/>
          <w:color w:val="0E010C"/>
          <w:sz w:val="18"/>
        </w:rPr>
        <w:t>t</w:t>
      </w:r>
      <w:r>
        <w:rPr>
          <w:rFonts w:ascii="Open Sans" w:eastAsia="Times New Roman" w:hAnsi="Open Sans" w:cs="Times New Roman"/>
          <w:color w:val="0E010C"/>
          <w:sz w:val="18"/>
        </w:rPr>
        <w:t xml:space="preserve"> Hon Jane Lomax-Smith A</w:t>
      </w:r>
      <w:r w:rsidR="00A46798">
        <w:rPr>
          <w:rFonts w:ascii="Open Sans" w:eastAsia="Times New Roman" w:hAnsi="Open Sans" w:cs="Times New Roman"/>
          <w:color w:val="0E010C"/>
          <w:sz w:val="18"/>
        </w:rPr>
        <w:t>M</w:t>
      </w:r>
      <w:r>
        <w:rPr>
          <w:rFonts w:ascii="Open Sans" w:eastAsia="Times New Roman" w:hAnsi="Open Sans" w:cs="Times New Roman"/>
          <w:color w:val="0E010C"/>
          <w:sz w:val="18"/>
        </w:rPr>
        <w:t>, Lord Mayor City of Adelai</w:t>
      </w:r>
      <w:r w:rsidR="00A46798">
        <w:rPr>
          <w:rFonts w:ascii="Open Sans" w:eastAsia="Times New Roman" w:hAnsi="Open Sans" w:cs="Times New Roman"/>
          <w:color w:val="0E010C"/>
          <w:sz w:val="18"/>
        </w:rPr>
        <w:t xml:space="preserve">de, at </w:t>
      </w:r>
      <w:r w:rsidR="009D0C45" w:rsidRPr="00E31B4B">
        <w:rPr>
          <w:rFonts w:ascii="Open Sans" w:eastAsia="Times New Roman" w:hAnsi="Open Sans" w:cs="Times New Roman"/>
          <w:color w:val="0E010C"/>
          <w:sz w:val="18"/>
        </w:rPr>
        <w:t>Common Ground Adelaide</w:t>
      </w:r>
      <w:r w:rsidR="00A46798">
        <w:rPr>
          <w:rFonts w:ascii="Open Sans" w:eastAsia="Times New Roman" w:hAnsi="Open Sans" w:cs="Times New Roman"/>
          <w:color w:val="0E010C"/>
          <w:sz w:val="18"/>
        </w:rPr>
        <w:t>, March 2026. Image courtesy Housing Choices South Australia Facebook.</w:t>
      </w:r>
    </w:p>
    <w:p w14:paraId="51D27164" w14:textId="74243B33" w:rsidR="009D0C45" w:rsidRPr="00F64CD4" w:rsidRDefault="009D0C45" w:rsidP="009D0C45">
      <w:r w:rsidRPr="00F64CD4">
        <w:lastRenderedPageBreak/>
        <w:t xml:space="preserve">Planning </w:t>
      </w:r>
      <w:r w:rsidRPr="009D0C45">
        <w:t>reforms</w:t>
      </w:r>
      <w:r w:rsidRPr="00F64CD4">
        <w:t xml:space="preserve"> have also </w:t>
      </w:r>
      <w:r w:rsidRPr="009D0C45">
        <w:t>reduced barriers.</w:t>
      </w:r>
      <w:r w:rsidRPr="00F64CD4">
        <w:t xml:space="preserve"> For example, the </w:t>
      </w:r>
      <w:r w:rsidRPr="009D0C45">
        <w:t>Australian Capital Territory</w:t>
      </w:r>
      <w:r w:rsidRPr="00F64CD4">
        <w:t xml:space="preserve"> announced in December 2025 that third-party </w:t>
      </w:r>
      <w:r w:rsidRPr="009D0C45">
        <w:t xml:space="preserve">appeal rights would not apply to </w:t>
      </w:r>
      <w:r w:rsidRPr="00F64CD4">
        <w:t xml:space="preserve">public and </w:t>
      </w:r>
      <w:r w:rsidR="00E01934">
        <w:t>social</w:t>
      </w:r>
      <w:r w:rsidRPr="00F64CD4">
        <w:t xml:space="preserve"> housing </w:t>
      </w:r>
      <w:r w:rsidRPr="009D0C45">
        <w:t>developments,</w:t>
      </w:r>
      <w:r w:rsidRPr="00F64CD4">
        <w:t xml:space="preserve"> aligning with </w:t>
      </w:r>
      <w:r w:rsidRPr="009D0C45">
        <w:t>other jurisdictions.</w:t>
      </w:r>
    </w:p>
    <w:p w14:paraId="1154F12F" w14:textId="068BEB3F" w:rsidR="009D0C45" w:rsidRPr="00F64CD4" w:rsidRDefault="009D0C45" w:rsidP="009D0C45">
      <w:r w:rsidRPr="00F64CD4">
        <w:t xml:space="preserve">While </w:t>
      </w:r>
      <w:r w:rsidRPr="009D0C45">
        <w:t xml:space="preserve">the </w:t>
      </w:r>
      <w:r w:rsidRPr="00F64CD4">
        <w:t xml:space="preserve">Housing Australia Future Fund </w:t>
      </w:r>
      <w:r w:rsidRPr="009D0C45">
        <w:t xml:space="preserve">(HAFF) </w:t>
      </w:r>
      <w:r w:rsidRPr="00F64CD4">
        <w:t xml:space="preserve">is a </w:t>
      </w:r>
      <w:r w:rsidRPr="009D0C45">
        <w:t>positive initiative</w:t>
      </w:r>
      <w:r w:rsidR="0099520E">
        <w:t>,</w:t>
      </w:r>
      <w:r w:rsidR="00DD0775">
        <w:t xml:space="preserve"> </w:t>
      </w:r>
      <w:r w:rsidRPr="009D0C45">
        <w:t>current funding structures</w:t>
      </w:r>
      <w:r w:rsidRPr="00F64CD4">
        <w:t xml:space="preserve"> may </w:t>
      </w:r>
      <w:r w:rsidRPr="009D0C45">
        <w:t>incentivise providers to prioritise less</w:t>
      </w:r>
      <w:r w:rsidR="00DD0775">
        <w:t>-</w:t>
      </w:r>
      <w:r w:rsidRPr="009D0C45">
        <w:t>complex developments. Members</w:t>
      </w:r>
      <w:r w:rsidRPr="00F64CD4">
        <w:t xml:space="preserve"> report </w:t>
      </w:r>
      <w:r w:rsidRPr="009D0C45">
        <w:t>that</w:t>
      </w:r>
      <w:r w:rsidRPr="00F64CD4">
        <w:t xml:space="preserve"> well-located sites </w:t>
      </w:r>
      <w:r w:rsidRPr="009D0C45">
        <w:t>are sometimes overlooked due to challenges</w:t>
      </w:r>
      <w:r w:rsidRPr="00F64CD4">
        <w:t xml:space="preserve"> such as </w:t>
      </w:r>
      <w:r w:rsidRPr="009D0C45">
        <w:t xml:space="preserve">site </w:t>
      </w:r>
      <w:r w:rsidRPr="00F64CD4">
        <w:t xml:space="preserve">remediation, </w:t>
      </w:r>
      <w:r w:rsidRPr="009D0C45">
        <w:t>limited</w:t>
      </w:r>
      <w:r w:rsidRPr="00F64CD4">
        <w:t xml:space="preserve"> footprint</w:t>
      </w:r>
      <w:r w:rsidRPr="009D0C45">
        <w:t>,</w:t>
      </w:r>
      <w:r w:rsidRPr="00F64CD4">
        <w:t xml:space="preserve"> or access </w:t>
      </w:r>
      <w:r w:rsidRPr="00D11B9A">
        <w:t>constraints</w:t>
      </w:r>
      <w:r w:rsidRPr="009D0C45">
        <w:t>, despite their strong strategic value</w:t>
      </w:r>
      <w:r w:rsidRPr="00D11B9A">
        <w:t>.</w:t>
      </w:r>
      <w:r w:rsidR="008D2D01">
        <w:t xml:space="preserve"> T</w:t>
      </w:r>
      <w:r w:rsidR="008D2D01" w:rsidRPr="008D2D01">
        <w:t xml:space="preserve">he tight and rigid timeframe criteria associated with </w:t>
      </w:r>
      <w:proofErr w:type="gramStart"/>
      <w:r w:rsidR="008D2D01" w:rsidRPr="008D2D01">
        <w:t>HAFF</w:t>
      </w:r>
      <w:proofErr w:type="gramEnd"/>
      <w:r w:rsidR="008D2D01" w:rsidRPr="008D2D01">
        <w:t xml:space="preserve"> and other Commonwealth programs do not support </w:t>
      </w:r>
      <w:r w:rsidR="008D2D01" w:rsidRPr="00F64CD4">
        <w:t xml:space="preserve">more difficult </w:t>
      </w:r>
      <w:r w:rsidR="008D2D01" w:rsidRPr="008D2D01">
        <w:t>project</w:t>
      </w:r>
      <w:r w:rsidR="008D2D01">
        <w:t>s</w:t>
      </w:r>
      <w:r w:rsidR="008D2D01" w:rsidRPr="008D2D01">
        <w:t xml:space="preserve"> being supported through these processes</w:t>
      </w:r>
      <w:r w:rsidR="008D2D01" w:rsidRPr="00F64CD4">
        <w:t>.</w:t>
      </w:r>
    </w:p>
    <w:p w14:paraId="02B5421D" w14:textId="77777777" w:rsidR="009D0C45" w:rsidRPr="00F64CD4" w:rsidRDefault="009D0C45" w:rsidP="009D0C45">
      <w:pPr>
        <w:rPr>
          <w:b/>
        </w:rPr>
      </w:pPr>
      <w:r w:rsidRPr="00F64CD4">
        <w:rPr>
          <w:b/>
        </w:rPr>
        <w:t>Recommendations</w:t>
      </w:r>
    </w:p>
    <w:p w14:paraId="7EB60230" w14:textId="5D0A3629" w:rsidR="009D0C45" w:rsidRPr="00F64CD4" w:rsidRDefault="009D0C45" w:rsidP="00F64CD4">
      <w:pPr>
        <w:numPr>
          <w:ilvl w:val="0"/>
          <w:numId w:val="5"/>
        </w:numPr>
      </w:pPr>
      <w:r w:rsidRPr="00F64CD4">
        <w:t xml:space="preserve">Policies </w:t>
      </w:r>
      <w:r w:rsidRPr="009D0C45">
        <w:t xml:space="preserve">that support the progression of </w:t>
      </w:r>
      <w:r w:rsidRPr="00F64CD4">
        <w:t xml:space="preserve">approved projects to construction should be </w:t>
      </w:r>
      <w:r w:rsidRPr="009D0C45">
        <w:t>a priority, including broader adoption of</w:t>
      </w:r>
      <w:r w:rsidRPr="00F64CD4">
        <w:t xml:space="preserve"> pre-sale finance mechanisms.</w:t>
      </w:r>
    </w:p>
    <w:p w14:paraId="277ED95D" w14:textId="7DF245C6" w:rsidR="009D0C45" w:rsidRPr="009D0C45" w:rsidRDefault="009D0C45" w:rsidP="009D0C45">
      <w:pPr>
        <w:numPr>
          <w:ilvl w:val="0"/>
          <w:numId w:val="5"/>
        </w:numPr>
      </w:pPr>
      <w:r w:rsidRPr="00F64CD4">
        <w:t xml:space="preserve">Social and affordable </w:t>
      </w:r>
      <w:proofErr w:type="gramStart"/>
      <w:r w:rsidRPr="00F64CD4">
        <w:t xml:space="preserve">housing </w:t>
      </w:r>
      <w:r w:rsidR="00166136" w:rsidRPr="00166136">
        <w:t xml:space="preserve"> program</w:t>
      </w:r>
      <w:proofErr w:type="gramEnd"/>
      <w:r w:rsidR="00166136" w:rsidRPr="00166136">
        <w:t xml:space="preserve"> design</w:t>
      </w:r>
      <w:r w:rsidR="00166136" w:rsidRPr="00F64CD4">
        <w:t xml:space="preserve"> can sometimes </w:t>
      </w:r>
      <w:r w:rsidR="00166136" w:rsidRPr="00166136">
        <w:t>limit options to support</w:t>
      </w:r>
      <w:r w:rsidR="00166136" w:rsidRPr="00F64CD4">
        <w:t xml:space="preserve"> ‘more complex’ projects</w:t>
      </w:r>
      <w:r w:rsidR="00166136">
        <w:t>. P</w:t>
      </w:r>
      <w:r w:rsidRPr="009D0C45">
        <w:t>rograms should ensure that funding structures do not discourage complex</w:t>
      </w:r>
      <w:r w:rsidRPr="00D11B9A">
        <w:t xml:space="preserve"> but </w:t>
      </w:r>
      <w:r w:rsidRPr="009D0C45">
        <w:t>high-value urban</w:t>
      </w:r>
      <w:r w:rsidRPr="00D11B9A">
        <w:t xml:space="preserve"> projects</w:t>
      </w:r>
      <w:r w:rsidR="008D2D01">
        <w:t>.</w:t>
      </w:r>
      <w:r w:rsidR="00166136">
        <w:t xml:space="preserve"> </w:t>
      </w:r>
    </w:p>
    <w:p w14:paraId="25824833" w14:textId="1F2BE263" w:rsidR="007D6748" w:rsidRPr="009C5AC9" w:rsidRDefault="009D0C45" w:rsidP="00F64CD4">
      <w:pPr>
        <w:numPr>
          <w:ilvl w:val="0"/>
          <w:numId w:val="5"/>
        </w:numPr>
        <w:rPr>
          <w:rFonts w:ascii="Open Sans" w:eastAsia="Times New Roman" w:hAnsi="Open Sans" w:cs="Times New Roman"/>
          <w:color w:val="0E010C"/>
          <w:sz w:val="22"/>
          <w:szCs w:val="32"/>
        </w:rPr>
      </w:pPr>
      <w:r w:rsidRPr="009D0C45">
        <w:t>The Productivity Commission should</w:t>
      </w:r>
      <w:r w:rsidRPr="00F64CD4">
        <w:t xml:space="preserve"> provide </w:t>
      </w:r>
      <w:r w:rsidRPr="009D0C45">
        <w:t>updated advice on policy responses to construction sector challenges, including input costs, workforce shortages, and industry capacity constraints</w:t>
      </w:r>
      <w:r w:rsidRPr="00D11B9A">
        <w:t>.</w:t>
      </w:r>
      <w:r w:rsidR="007D6748" w:rsidRPr="009C5AC9">
        <w:rPr>
          <w:b/>
          <w:bCs/>
        </w:rPr>
        <w:br w:type="page"/>
      </w:r>
    </w:p>
    <w:p w14:paraId="12189A4E" w14:textId="77777777" w:rsidR="00F76941" w:rsidRDefault="00F76941" w:rsidP="008D2F90">
      <w:pPr>
        <w:keepNext/>
        <w:keepLines/>
        <w:spacing w:before="360" w:after="360" w:line="240" w:lineRule="auto"/>
        <w:outlineLvl w:val="0"/>
        <w:rPr>
          <w:rFonts w:ascii="Playfair Display Black" w:eastAsia="Times New Roman" w:hAnsi="Playfair Display Black" w:cs="Times New Roman (Headings CS)"/>
          <w:b/>
          <w:color w:val="450538"/>
          <w:sz w:val="44"/>
          <w:szCs w:val="40"/>
        </w:rPr>
      </w:pPr>
      <w:r>
        <w:rPr>
          <w:rFonts w:ascii="Playfair Display Black" w:eastAsia="Times New Roman" w:hAnsi="Playfair Display Black" w:cs="Times New Roman (Headings CS)"/>
          <w:b/>
          <w:color w:val="450538"/>
          <w:sz w:val="44"/>
          <w:szCs w:val="40"/>
        </w:rPr>
        <w:lastRenderedPageBreak/>
        <w:t>Appendix A</w:t>
      </w:r>
    </w:p>
    <w:p w14:paraId="54E46AA4" w14:textId="77777777" w:rsidR="00317D85" w:rsidRPr="00317D85" w:rsidRDefault="00317D85" w:rsidP="00317D85">
      <w:pPr>
        <w:rPr>
          <w:rFonts w:ascii="Open Sans" w:eastAsia="Times New Roman" w:hAnsi="Open Sans" w:cs="Times New Roman"/>
          <w:b/>
          <w:bCs/>
          <w:color w:val="0E010C"/>
          <w:sz w:val="22"/>
          <w:szCs w:val="32"/>
        </w:rPr>
      </w:pPr>
      <w:r w:rsidRPr="00317D85">
        <w:rPr>
          <w:rFonts w:ascii="Open Sans" w:eastAsia="Times New Roman" w:hAnsi="Open Sans" w:cs="Times New Roman"/>
          <w:b/>
          <w:bCs/>
          <w:color w:val="0E010C"/>
          <w:sz w:val="22"/>
          <w:szCs w:val="32"/>
        </w:rPr>
        <w:t>Housing policy responsibilities by level of government</w:t>
      </w:r>
    </w:p>
    <w:p w14:paraId="59DBFA48" w14:textId="77777777" w:rsidR="00F76941" w:rsidRDefault="00F76941" w:rsidP="008D2F90">
      <w:pPr>
        <w:keepNext/>
        <w:keepLines/>
        <w:spacing w:before="360" w:after="360" w:line="240" w:lineRule="auto"/>
        <w:outlineLvl w:val="0"/>
        <w:rPr>
          <w:rFonts w:ascii="Playfair Display Black" w:eastAsia="Times New Roman" w:hAnsi="Playfair Display Black" w:cs="Times New Roman (Headings CS)"/>
          <w:b/>
          <w:color w:val="450538"/>
          <w:sz w:val="44"/>
          <w:szCs w:val="40"/>
        </w:rPr>
      </w:pPr>
      <w:r w:rsidRPr="00F76941">
        <w:rPr>
          <w:rFonts w:ascii="Playfair Display Black" w:eastAsia="Times New Roman" w:hAnsi="Playfair Display Black" w:cs="Times New Roman (Headings CS)"/>
          <w:b/>
          <w:noProof/>
          <w:color w:val="450538"/>
          <w:sz w:val="44"/>
          <w:szCs w:val="40"/>
        </w:rPr>
        <w:drawing>
          <wp:inline distT="0" distB="0" distL="0" distR="0" wp14:anchorId="21EEEE18" wp14:editId="6630CEA1">
            <wp:extent cx="5731510" cy="3636010"/>
            <wp:effectExtent l="0" t="0" r="2540" b="2540"/>
            <wp:docPr id="232353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53571" name=""/>
                    <pic:cNvPicPr/>
                  </pic:nvPicPr>
                  <pic:blipFill>
                    <a:blip r:embed="rId15"/>
                    <a:stretch>
                      <a:fillRect/>
                    </a:stretch>
                  </pic:blipFill>
                  <pic:spPr>
                    <a:xfrm>
                      <a:off x="0" y="0"/>
                      <a:ext cx="5731510" cy="3636010"/>
                    </a:xfrm>
                    <a:prstGeom prst="rect">
                      <a:avLst/>
                    </a:prstGeom>
                  </pic:spPr>
                </pic:pic>
              </a:graphicData>
            </a:graphic>
          </wp:inline>
        </w:drawing>
      </w:r>
    </w:p>
    <w:p w14:paraId="671D7ACA" w14:textId="77777777" w:rsidR="00F76941" w:rsidRDefault="00F76941" w:rsidP="008D2F90">
      <w:pPr>
        <w:keepNext/>
        <w:keepLines/>
        <w:spacing w:before="360" w:after="360" w:line="240" w:lineRule="auto"/>
        <w:outlineLvl w:val="0"/>
        <w:rPr>
          <w:rFonts w:ascii="Playfair Display Black" w:eastAsia="Times New Roman" w:hAnsi="Playfair Display Black" w:cs="Times New Roman (Headings CS)"/>
          <w:b/>
          <w:color w:val="450538"/>
          <w:sz w:val="44"/>
          <w:szCs w:val="40"/>
        </w:rPr>
      </w:pPr>
    </w:p>
    <w:p w14:paraId="67AC49F0" w14:textId="70FC8107" w:rsidR="0027170F" w:rsidRPr="00F64CD4" w:rsidRDefault="00317D85">
      <w:r w:rsidRPr="00F64CD4">
        <w:t>Source: AHURI Australian Housing and Urban Research Institute, Submission to the Senate Standing Committee Inquiry into the worsening rental crisis in Australia,</w:t>
      </w:r>
      <w:r w:rsidRPr="00317D85">
        <w:rPr>
          <w:rFonts w:ascii="Open Sans" w:eastAsia="Times New Roman" w:hAnsi="Open Sans" w:cs="Times New Roman"/>
          <w:color w:val="0E010C"/>
          <w:sz w:val="22"/>
          <w:szCs w:val="32"/>
        </w:rPr>
        <w:t xml:space="preserve"> </w:t>
      </w:r>
      <w:hyperlink r:id="rId16" w:history="1">
        <w:r w:rsidRPr="0058688E">
          <w:rPr>
            <w:rStyle w:val="Hyperlink"/>
            <w:rFonts w:ascii="Open Sans" w:eastAsia="Times New Roman" w:hAnsi="Open Sans" w:cs="Times New Roman"/>
            <w:sz w:val="22"/>
            <w:szCs w:val="32"/>
          </w:rPr>
          <w:t>https://www.ahuri.edu.au/analysis/brief/understanding-housing-policy-levers-commonwealth-state-and-territory-and-local-government</w:t>
        </w:r>
      </w:hyperlink>
      <w:r>
        <w:rPr>
          <w:rFonts w:ascii="Open Sans" w:eastAsia="Times New Roman" w:hAnsi="Open Sans" w:cs="Times New Roman"/>
          <w:color w:val="0E010C"/>
          <w:sz w:val="22"/>
          <w:szCs w:val="32"/>
        </w:rPr>
        <w:t xml:space="preserve">. </w:t>
      </w:r>
    </w:p>
    <w:sectPr w:rsidR="0027170F" w:rsidRPr="00F64CD4">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6E929" w14:textId="77777777" w:rsidR="00E24535" w:rsidRDefault="00E24535">
      <w:pPr>
        <w:spacing w:after="0" w:line="240" w:lineRule="auto"/>
      </w:pPr>
      <w:r>
        <w:separator/>
      </w:r>
    </w:p>
  </w:endnote>
  <w:endnote w:type="continuationSeparator" w:id="0">
    <w:p w14:paraId="389DE12F" w14:textId="77777777" w:rsidR="00E24535" w:rsidRDefault="00E24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Open Sans">
    <w:panose1 w:val="020B0606030504020204"/>
    <w:charset w:val="00"/>
    <w:family w:val="swiss"/>
    <w:pitch w:val="variable"/>
    <w:sig w:usb0="E00002EF" w:usb1="4000205B" w:usb2="00000028" w:usb3="00000000" w:csb0="0000019F" w:csb1="00000000"/>
  </w:font>
  <w:font w:name="Playfair Display Black">
    <w:charset w:val="00"/>
    <w:family w:val="auto"/>
    <w:pitch w:val="variable"/>
    <w:sig w:usb0="20000207" w:usb1="00000000" w:usb2="00000000" w:usb3="00000000" w:csb0="00000197" w:csb1="00000000"/>
  </w:font>
  <w:font w:name="Times New Roman (Headings CS)">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589732"/>
      <w:docPartObj>
        <w:docPartGallery w:val="Page Numbers (Bottom of Page)"/>
        <w:docPartUnique/>
      </w:docPartObj>
    </w:sdtPr>
    <w:sdtEndPr>
      <w:rPr>
        <w:noProof/>
      </w:rPr>
    </w:sdtEndPr>
    <w:sdtContent>
      <w:p w14:paraId="3DE661B4" w14:textId="496FD4DE" w:rsidR="00D11B9A" w:rsidRDefault="00D11B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2C5BF4" w14:textId="77777777" w:rsidR="006308CD" w:rsidRDefault="00630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B896B" w14:textId="77777777" w:rsidR="00E24535" w:rsidRDefault="00E24535">
      <w:pPr>
        <w:spacing w:after="0" w:line="240" w:lineRule="auto"/>
      </w:pPr>
      <w:r>
        <w:separator/>
      </w:r>
    </w:p>
  </w:footnote>
  <w:footnote w:type="continuationSeparator" w:id="0">
    <w:p w14:paraId="1F0AF159" w14:textId="77777777" w:rsidR="00E24535" w:rsidRDefault="00E24535">
      <w:pPr>
        <w:spacing w:after="0" w:line="240" w:lineRule="auto"/>
      </w:pPr>
      <w:r>
        <w:continuationSeparator/>
      </w:r>
    </w:p>
  </w:footnote>
  <w:footnote w:id="1">
    <w:p w14:paraId="1488C64A" w14:textId="512D2E2F" w:rsidR="00B45B76" w:rsidRDefault="00B45B76">
      <w:pPr>
        <w:pStyle w:val="FootnoteText"/>
      </w:pPr>
      <w:r>
        <w:rPr>
          <w:rStyle w:val="FootnoteReference"/>
        </w:rPr>
        <w:footnoteRef/>
      </w:r>
      <w:r>
        <w:t xml:space="preserve"> Australian Bureau of Statistics (2026), </w:t>
      </w:r>
      <w:r w:rsidRPr="001C61AB">
        <w:rPr>
          <w:i/>
          <w:iCs/>
        </w:rPr>
        <w:t>Building Approvals Data</w:t>
      </w:r>
      <w:r>
        <w:t xml:space="preserve">. </w:t>
      </w:r>
      <w:hyperlink r:id="rId1" w:anchor="key-statistics" w:history="1">
        <w:r w:rsidRPr="0058688E">
          <w:rPr>
            <w:rStyle w:val="Hyperlink"/>
          </w:rPr>
          <w:t>https://www.abs.gov.au/statistics/industry/building-and-construction/building-approvals-australia/jan-2026#key-statistics</w:t>
        </w:r>
      </w:hyperlink>
    </w:p>
  </w:footnote>
  <w:footnote w:id="2">
    <w:p w14:paraId="2A002602" w14:textId="5B930027" w:rsidR="00B45B76" w:rsidRDefault="00B45B76">
      <w:pPr>
        <w:pStyle w:val="FootnoteText"/>
      </w:pPr>
      <w:r>
        <w:rPr>
          <w:rStyle w:val="FootnoteReference"/>
        </w:rPr>
        <w:footnoteRef/>
      </w:r>
      <w:r>
        <w:t xml:space="preserve"> Planning Institute of Australia (2026), </w:t>
      </w:r>
      <w:r w:rsidRPr="00D22285">
        <w:rPr>
          <w:i/>
          <w:iCs/>
        </w:rPr>
        <w:t>Building approvals don’t tell the complete housing story</w:t>
      </w:r>
      <w:r>
        <w:t xml:space="preserve">. </w:t>
      </w:r>
      <w:hyperlink r:id="rId2" w:history="1">
        <w:r w:rsidRPr="0058688E">
          <w:rPr>
            <w:rStyle w:val="Hyperlink"/>
          </w:rPr>
          <w:t>https://www.planning.org.au/pia/news-resources/articles/latest-updates/national/building_approvals_housing_story.aspx</w:t>
        </w:r>
      </w:hyperlink>
      <w:r>
        <w:t>.</w:t>
      </w:r>
    </w:p>
  </w:footnote>
  <w:footnote w:id="3">
    <w:p w14:paraId="0A927A4F" w14:textId="36C6E48C" w:rsidR="00B45B76" w:rsidRDefault="00B45B76">
      <w:pPr>
        <w:pStyle w:val="FootnoteText"/>
      </w:pPr>
      <w:r>
        <w:rPr>
          <w:rStyle w:val="FootnoteReference"/>
        </w:rPr>
        <w:footnoteRef/>
      </w:r>
      <w:r>
        <w:t xml:space="preserve"> Australian Bureau of Statistics (2026), </w:t>
      </w:r>
      <w:r w:rsidRPr="00006E45">
        <w:rPr>
          <w:i/>
          <w:iCs/>
        </w:rPr>
        <w:t>Building Approvals Data.</w:t>
      </w:r>
      <w:r>
        <w:t xml:space="preserve"> </w:t>
      </w:r>
      <w:hyperlink r:id="rId3" w:history="1">
        <w:r w:rsidRPr="0058688E">
          <w:rPr>
            <w:rStyle w:val="Hyperlink"/>
          </w:rPr>
          <w:t>https://www.abs.gov.au/statistics/industry/building-and-construction/building-approvals-australia/latest-release</w:t>
        </w:r>
      </w:hyperlink>
      <w:r>
        <w:t>.</w:t>
      </w:r>
    </w:p>
  </w:footnote>
  <w:footnote w:id="4">
    <w:p w14:paraId="2DE49ED7" w14:textId="2ADED475" w:rsidR="00B45B76" w:rsidRDefault="00B45B76">
      <w:pPr>
        <w:pStyle w:val="FootnoteText"/>
      </w:pPr>
      <w:r>
        <w:rPr>
          <w:rStyle w:val="FootnoteReference"/>
        </w:rPr>
        <w:footnoteRef/>
      </w:r>
      <w:r>
        <w:t xml:space="preserve"> Australian Institute of Health and Welfare (2025), Profile of Australia’s population. </w:t>
      </w:r>
      <w:hyperlink r:id="rId4" w:history="1">
        <w:r w:rsidRPr="0058688E">
          <w:rPr>
            <w:rStyle w:val="Hyperlink"/>
          </w:rPr>
          <w:t>https://www.aihw.gov.au/reports/australias-welfare/profile-of-australias-population</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B3FBD" w14:textId="77777777" w:rsidR="00DB5904" w:rsidRDefault="00DB59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F2E48"/>
    <w:multiLevelType w:val="hybridMultilevel"/>
    <w:tmpl w:val="32D2F886"/>
    <w:lvl w:ilvl="0" w:tplc="FF34102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360E0F"/>
    <w:multiLevelType w:val="multilevel"/>
    <w:tmpl w:val="355C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D0408A"/>
    <w:multiLevelType w:val="hybridMultilevel"/>
    <w:tmpl w:val="89783D1C"/>
    <w:lvl w:ilvl="0" w:tplc="EA2C464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E8774D"/>
    <w:multiLevelType w:val="multilevel"/>
    <w:tmpl w:val="12C0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C74EE1"/>
    <w:multiLevelType w:val="multilevel"/>
    <w:tmpl w:val="9C58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015F5B"/>
    <w:multiLevelType w:val="multilevel"/>
    <w:tmpl w:val="E89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561DB9"/>
    <w:multiLevelType w:val="multilevel"/>
    <w:tmpl w:val="0838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781759"/>
    <w:multiLevelType w:val="multilevel"/>
    <w:tmpl w:val="CE589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946887"/>
    <w:multiLevelType w:val="multilevel"/>
    <w:tmpl w:val="8590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B40D7B"/>
    <w:multiLevelType w:val="multilevel"/>
    <w:tmpl w:val="BD90E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1939192">
    <w:abstractNumId w:val="1"/>
  </w:num>
  <w:num w:numId="2" w16cid:durableId="846408571">
    <w:abstractNumId w:val="4"/>
  </w:num>
  <w:num w:numId="3" w16cid:durableId="1706759436">
    <w:abstractNumId w:val="5"/>
  </w:num>
  <w:num w:numId="4" w16cid:durableId="597181829">
    <w:abstractNumId w:val="3"/>
  </w:num>
  <w:num w:numId="5" w16cid:durableId="1252161618">
    <w:abstractNumId w:val="6"/>
  </w:num>
  <w:num w:numId="6" w16cid:durableId="80567151">
    <w:abstractNumId w:val="0"/>
  </w:num>
  <w:num w:numId="7" w16cid:durableId="1130897568">
    <w:abstractNumId w:val="9"/>
  </w:num>
  <w:num w:numId="8" w16cid:durableId="392777312">
    <w:abstractNumId w:val="2"/>
  </w:num>
  <w:num w:numId="9" w16cid:durableId="1509828324">
    <w:abstractNumId w:val="8"/>
  </w:num>
  <w:num w:numId="10" w16cid:durableId="21127751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C45"/>
    <w:rsid w:val="00004FB0"/>
    <w:rsid w:val="00006E45"/>
    <w:rsid w:val="00007331"/>
    <w:rsid w:val="00011E94"/>
    <w:rsid w:val="000229E2"/>
    <w:rsid w:val="00023C0E"/>
    <w:rsid w:val="000304CE"/>
    <w:rsid w:val="000304EC"/>
    <w:rsid w:val="00037B3E"/>
    <w:rsid w:val="000432BA"/>
    <w:rsid w:val="00044C9F"/>
    <w:rsid w:val="00046E09"/>
    <w:rsid w:val="00053F71"/>
    <w:rsid w:val="00057093"/>
    <w:rsid w:val="000626D1"/>
    <w:rsid w:val="00062F66"/>
    <w:rsid w:val="0007108B"/>
    <w:rsid w:val="00072C48"/>
    <w:rsid w:val="000745C8"/>
    <w:rsid w:val="00077486"/>
    <w:rsid w:val="00084501"/>
    <w:rsid w:val="00085FA9"/>
    <w:rsid w:val="0009038A"/>
    <w:rsid w:val="00094A2A"/>
    <w:rsid w:val="000967A2"/>
    <w:rsid w:val="000A536B"/>
    <w:rsid w:val="000A5AB3"/>
    <w:rsid w:val="000A7241"/>
    <w:rsid w:val="000C0CC2"/>
    <w:rsid w:val="000C1464"/>
    <w:rsid w:val="000C61A4"/>
    <w:rsid w:val="000D1B4C"/>
    <w:rsid w:val="000E1EE6"/>
    <w:rsid w:val="000F2EFC"/>
    <w:rsid w:val="000F3716"/>
    <w:rsid w:val="000F3A46"/>
    <w:rsid w:val="000F58D5"/>
    <w:rsid w:val="000F7580"/>
    <w:rsid w:val="000F7A35"/>
    <w:rsid w:val="001009A9"/>
    <w:rsid w:val="001035E7"/>
    <w:rsid w:val="001045AA"/>
    <w:rsid w:val="00113897"/>
    <w:rsid w:val="00114CAA"/>
    <w:rsid w:val="00114DC2"/>
    <w:rsid w:val="00121D06"/>
    <w:rsid w:val="001230B1"/>
    <w:rsid w:val="00134E42"/>
    <w:rsid w:val="0013686B"/>
    <w:rsid w:val="0014249C"/>
    <w:rsid w:val="001426A3"/>
    <w:rsid w:val="001533B8"/>
    <w:rsid w:val="00155322"/>
    <w:rsid w:val="00155489"/>
    <w:rsid w:val="001566D4"/>
    <w:rsid w:val="0015787E"/>
    <w:rsid w:val="00163274"/>
    <w:rsid w:val="00166136"/>
    <w:rsid w:val="001720BC"/>
    <w:rsid w:val="001818C4"/>
    <w:rsid w:val="00185E9F"/>
    <w:rsid w:val="00186118"/>
    <w:rsid w:val="001927FE"/>
    <w:rsid w:val="001948E9"/>
    <w:rsid w:val="001A180C"/>
    <w:rsid w:val="001A45E0"/>
    <w:rsid w:val="001A5560"/>
    <w:rsid w:val="001A6514"/>
    <w:rsid w:val="001B5582"/>
    <w:rsid w:val="001C0964"/>
    <w:rsid w:val="001C1FB0"/>
    <w:rsid w:val="001C3BA5"/>
    <w:rsid w:val="001C61AB"/>
    <w:rsid w:val="001C78FC"/>
    <w:rsid w:val="001D459D"/>
    <w:rsid w:val="001E3547"/>
    <w:rsid w:val="001E4E68"/>
    <w:rsid w:val="001E7638"/>
    <w:rsid w:val="001F35A1"/>
    <w:rsid w:val="001F6999"/>
    <w:rsid w:val="001F6B61"/>
    <w:rsid w:val="001F713C"/>
    <w:rsid w:val="00201A9A"/>
    <w:rsid w:val="002075BD"/>
    <w:rsid w:val="00217C92"/>
    <w:rsid w:val="00220BA0"/>
    <w:rsid w:val="00232C2F"/>
    <w:rsid w:val="002351BE"/>
    <w:rsid w:val="0023574A"/>
    <w:rsid w:val="00244A58"/>
    <w:rsid w:val="00245796"/>
    <w:rsid w:val="002459B4"/>
    <w:rsid w:val="00246294"/>
    <w:rsid w:val="002473F3"/>
    <w:rsid w:val="002515BE"/>
    <w:rsid w:val="00256006"/>
    <w:rsid w:val="00260488"/>
    <w:rsid w:val="002605E2"/>
    <w:rsid w:val="002608AF"/>
    <w:rsid w:val="0026496C"/>
    <w:rsid w:val="0027170F"/>
    <w:rsid w:val="00272BC9"/>
    <w:rsid w:val="0027361B"/>
    <w:rsid w:val="002760B2"/>
    <w:rsid w:val="00283E8D"/>
    <w:rsid w:val="0028570D"/>
    <w:rsid w:val="00286C81"/>
    <w:rsid w:val="00295BEC"/>
    <w:rsid w:val="002A2505"/>
    <w:rsid w:val="002A25F2"/>
    <w:rsid w:val="002A26CE"/>
    <w:rsid w:val="002A63A9"/>
    <w:rsid w:val="002A6BCC"/>
    <w:rsid w:val="002A6FC8"/>
    <w:rsid w:val="002B0C12"/>
    <w:rsid w:val="002B4578"/>
    <w:rsid w:val="002B473D"/>
    <w:rsid w:val="002B5190"/>
    <w:rsid w:val="002D3BA5"/>
    <w:rsid w:val="002D4AFC"/>
    <w:rsid w:val="002E1084"/>
    <w:rsid w:val="002E508F"/>
    <w:rsid w:val="002E6387"/>
    <w:rsid w:val="002E6468"/>
    <w:rsid w:val="002E6591"/>
    <w:rsid w:val="002E7D11"/>
    <w:rsid w:val="00300FD8"/>
    <w:rsid w:val="003030DB"/>
    <w:rsid w:val="003046E8"/>
    <w:rsid w:val="003120D6"/>
    <w:rsid w:val="003127B7"/>
    <w:rsid w:val="003174BA"/>
    <w:rsid w:val="00317D85"/>
    <w:rsid w:val="003203BA"/>
    <w:rsid w:val="0032185A"/>
    <w:rsid w:val="00322A01"/>
    <w:rsid w:val="00322B5D"/>
    <w:rsid w:val="00323F4D"/>
    <w:rsid w:val="00333A49"/>
    <w:rsid w:val="00335F41"/>
    <w:rsid w:val="00340969"/>
    <w:rsid w:val="00342C77"/>
    <w:rsid w:val="00350A2A"/>
    <w:rsid w:val="0035369C"/>
    <w:rsid w:val="00355B99"/>
    <w:rsid w:val="003644B1"/>
    <w:rsid w:val="003678AC"/>
    <w:rsid w:val="003706EC"/>
    <w:rsid w:val="00381BDB"/>
    <w:rsid w:val="00385515"/>
    <w:rsid w:val="00391BCF"/>
    <w:rsid w:val="003A1334"/>
    <w:rsid w:val="003A5BAE"/>
    <w:rsid w:val="003A704E"/>
    <w:rsid w:val="003B40DC"/>
    <w:rsid w:val="003B5FC8"/>
    <w:rsid w:val="003C19BB"/>
    <w:rsid w:val="003C5FCD"/>
    <w:rsid w:val="003C6AA9"/>
    <w:rsid w:val="003D365D"/>
    <w:rsid w:val="003D4122"/>
    <w:rsid w:val="003D4143"/>
    <w:rsid w:val="003D5E0F"/>
    <w:rsid w:val="003E0BA2"/>
    <w:rsid w:val="003E30C3"/>
    <w:rsid w:val="003F17AA"/>
    <w:rsid w:val="003F3F7D"/>
    <w:rsid w:val="00402116"/>
    <w:rsid w:val="00403BBF"/>
    <w:rsid w:val="00406768"/>
    <w:rsid w:val="004078CA"/>
    <w:rsid w:val="0041278D"/>
    <w:rsid w:val="00414F09"/>
    <w:rsid w:val="004171E0"/>
    <w:rsid w:val="0041720D"/>
    <w:rsid w:val="004178D9"/>
    <w:rsid w:val="00417D69"/>
    <w:rsid w:val="00421B05"/>
    <w:rsid w:val="00423B2B"/>
    <w:rsid w:val="0042739B"/>
    <w:rsid w:val="00430413"/>
    <w:rsid w:val="00435A3C"/>
    <w:rsid w:val="00436006"/>
    <w:rsid w:val="0043738A"/>
    <w:rsid w:val="00437FD1"/>
    <w:rsid w:val="00441007"/>
    <w:rsid w:val="004466D8"/>
    <w:rsid w:val="004470C9"/>
    <w:rsid w:val="00452F06"/>
    <w:rsid w:val="00456DC8"/>
    <w:rsid w:val="004602A6"/>
    <w:rsid w:val="00461093"/>
    <w:rsid w:val="00462927"/>
    <w:rsid w:val="00470315"/>
    <w:rsid w:val="004767C7"/>
    <w:rsid w:val="004771D7"/>
    <w:rsid w:val="00481FC2"/>
    <w:rsid w:val="004822F0"/>
    <w:rsid w:val="00482BFC"/>
    <w:rsid w:val="00482FB6"/>
    <w:rsid w:val="004844C8"/>
    <w:rsid w:val="004857F8"/>
    <w:rsid w:val="00486965"/>
    <w:rsid w:val="00493D39"/>
    <w:rsid w:val="00495F15"/>
    <w:rsid w:val="00496B72"/>
    <w:rsid w:val="004A0F4F"/>
    <w:rsid w:val="004A2DB8"/>
    <w:rsid w:val="004A348F"/>
    <w:rsid w:val="004A3B99"/>
    <w:rsid w:val="004A5432"/>
    <w:rsid w:val="004B3FA9"/>
    <w:rsid w:val="004C3829"/>
    <w:rsid w:val="004D0AE3"/>
    <w:rsid w:val="004D4777"/>
    <w:rsid w:val="004D5197"/>
    <w:rsid w:val="004E0947"/>
    <w:rsid w:val="004E0F14"/>
    <w:rsid w:val="004E18E3"/>
    <w:rsid w:val="004E54AE"/>
    <w:rsid w:val="004E5D49"/>
    <w:rsid w:val="004E699A"/>
    <w:rsid w:val="004E6D6B"/>
    <w:rsid w:val="004F0C19"/>
    <w:rsid w:val="00507671"/>
    <w:rsid w:val="00512F72"/>
    <w:rsid w:val="00513393"/>
    <w:rsid w:val="005141A6"/>
    <w:rsid w:val="005154F6"/>
    <w:rsid w:val="00515745"/>
    <w:rsid w:val="00522E5E"/>
    <w:rsid w:val="005246E2"/>
    <w:rsid w:val="00531FF2"/>
    <w:rsid w:val="005321AB"/>
    <w:rsid w:val="00540F86"/>
    <w:rsid w:val="00541BBB"/>
    <w:rsid w:val="0054471A"/>
    <w:rsid w:val="00545ABC"/>
    <w:rsid w:val="00547BA9"/>
    <w:rsid w:val="00555ECF"/>
    <w:rsid w:val="00555F71"/>
    <w:rsid w:val="00561ED3"/>
    <w:rsid w:val="0056619E"/>
    <w:rsid w:val="00566F3F"/>
    <w:rsid w:val="00567DAC"/>
    <w:rsid w:val="00573F76"/>
    <w:rsid w:val="00574409"/>
    <w:rsid w:val="00576D03"/>
    <w:rsid w:val="0057769B"/>
    <w:rsid w:val="005810A7"/>
    <w:rsid w:val="00590329"/>
    <w:rsid w:val="00597807"/>
    <w:rsid w:val="005A61FD"/>
    <w:rsid w:val="005B0032"/>
    <w:rsid w:val="005B783B"/>
    <w:rsid w:val="005C083B"/>
    <w:rsid w:val="005D329C"/>
    <w:rsid w:val="005D43C2"/>
    <w:rsid w:val="005E788A"/>
    <w:rsid w:val="005F5028"/>
    <w:rsid w:val="005F7668"/>
    <w:rsid w:val="005F7B76"/>
    <w:rsid w:val="005F7E18"/>
    <w:rsid w:val="00605017"/>
    <w:rsid w:val="00605B2E"/>
    <w:rsid w:val="00605EAB"/>
    <w:rsid w:val="00605F87"/>
    <w:rsid w:val="0060795C"/>
    <w:rsid w:val="00610854"/>
    <w:rsid w:val="00614BD8"/>
    <w:rsid w:val="00617CFD"/>
    <w:rsid w:val="006222F7"/>
    <w:rsid w:val="00627D45"/>
    <w:rsid w:val="0063028B"/>
    <w:rsid w:val="006308CD"/>
    <w:rsid w:val="00630F74"/>
    <w:rsid w:val="00635DC0"/>
    <w:rsid w:val="00636BA5"/>
    <w:rsid w:val="00644006"/>
    <w:rsid w:val="00652173"/>
    <w:rsid w:val="006523AA"/>
    <w:rsid w:val="0065508E"/>
    <w:rsid w:val="00657B5A"/>
    <w:rsid w:val="00661B25"/>
    <w:rsid w:val="00670545"/>
    <w:rsid w:val="00675F1C"/>
    <w:rsid w:val="00676032"/>
    <w:rsid w:val="00682E13"/>
    <w:rsid w:val="00686105"/>
    <w:rsid w:val="00686425"/>
    <w:rsid w:val="0069209A"/>
    <w:rsid w:val="00696199"/>
    <w:rsid w:val="006A1425"/>
    <w:rsid w:val="006B19B5"/>
    <w:rsid w:val="006B41B9"/>
    <w:rsid w:val="006B7166"/>
    <w:rsid w:val="006C10B9"/>
    <w:rsid w:val="006C1C5B"/>
    <w:rsid w:val="006C7A2D"/>
    <w:rsid w:val="006D047E"/>
    <w:rsid w:val="006D103D"/>
    <w:rsid w:val="006D30D9"/>
    <w:rsid w:val="006D422C"/>
    <w:rsid w:val="006D4C6A"/>
    <w:rsid w:val="006D4F75"/>
    <w:rsid w:val="006E726B"/>
    <w:rsid w:val="006F21FF"/>
    <w:rsid w:val="006F58A7"/>
    <w:rsid w:val="0070405F"/>
    <w:rsid w:val="00713A6A"/>
    <w:rsid w:val="00721E73"/>
    <w:rsid w:val="0072448C"/>
    <w:rsid w:val="007268A8"/>
    <w:rsid w:val="00730D05"/>
    <w:rsid w:val="007357C6"/>
    <w:rsid w:val="00735BC6"/>
    <w:rsid w:val="00740ECB"/>
    <w:rsid w:val="0074136C"/>
    <w:rsid w:val="007426EE"/>
    <w:rsid w:val="00745301"/>
    <w:rsid w:val="00752B27"/>
    <w:rsid w:val="00753E4B"/>
    <w:rsid w:val="00756ACA"/>
    <w:rsid w:val="00760D42"/>
    <w:rsid w:val="007677AE"/>
    <w:rsid w:val="00767A51"/>
    <w:rsid w:val="007724CE"/>
    <w:rsid w:val="007737A3"/>
    <w:rsid w:val="0077653B"/>
    <w:rsid w:val="007805A5"/>
    <w:rsid w:val="0078502A"/>
    <w:rsid w:val="00787A09"/>
    <w:rsid w:val="00787E60"/>
    <w:rsid w:val="00791097"/>
    <w:rsid w:val="00791589"/>
    <w:rsid w:val="007933B9"/>
    <w:rsid w:val="0079510C"/>
    <w:rsid w:val="007A39D9"/>
    <w:rsid w:val="007A515B"/>
    <w:rsid w:val="007B0528"/>
    <w:rsid w:val="007B1B2C"/>
    <w:rsid w:val="007B20EE"/>
    <w:rsid w:val="007B547E"/>
    <w:rsid w:val="007B6D83"/>
    <w:rsid w:val="007B7F59"/>
    <w:rsid w:val="007C3676"/>
    <w:rsid w:val="007C755B"/>
    <w:rsid w:val="007D3E69"/>
    <w:rsid w:val="007D6748"/>
    <w:rsid w:val="007D6FF9"/>
    <w:rsid w:val="007E32AD"/>
    <w:rsid w:val="007E52F0"/>
    <w:rsid w:val="007E78E4"/>
    <w:rsid w:val="007F783B"/>
    <w:rsid w:val="00800DA4"/>
    <w:rsid w:val="008076F2"/>
    <w:rsid w:val="00812566"/>
    <w:rsid w:val="00812C86"/>
    <w:rsid w:val="00813C50"/>
    <w:rsid w:val="008143B8"/>
    <w:rsid w:val="008161B0"/>
    <w:rsid w:val="00820611"/>
    <w:rsid w:val="00823C7E"/>
    <w:rsid w:val="00826A82"/>
    <w:rsid w:val="00827CCC"/>
    <w:rsid w:val="008313A2"/>
    <w:rsid w:val="008354A0"/>
    <w:rsid w:val="0083594C"/>
    <w:rsid w:val="008360B2"/>
    <w:rsid w:val="00837B8E"/>
    <w:rsid w:val="00837E2F"/>
    <w:rsid w:val="00840A84"/>
    <w:rsid w:val="00843288"/>
    <w:rsid w:val="00853AFC"/>
    <w:rsid w:val="0085414A"/>
    <w:rsid w:val="008567B6"/>
    <w:rsid w:val="00861C99"/>
    <w:rsid w:val="008627AE"/>
    <w:rsid w:val="00867A2C"/>
    <w:rsid w:val="0087029A"/>
    <w:rsid w:val="00873750"/>
    <w:rsid w:val="00886EA0"/>
    <w:rsid w:val="00893427"/>
    <w:rsid w:val="008948CB"/>
    <w:rsid w:val="00895FA6"/>
    <w:rsid w:val="008A1471"/>
    <w:rsid w:val="008A1A34"/>
    <w:rsid w:val="008A63A1"/>
    <w:rsid w:val="008A6E3B"/>
    <w:rsid w:val="008B2FBA"/>
    <w:rsid w:val="008C29FA"/>
    <w:rsid w:val="008C686B"/>
    <w:rsid w:val="008D2D01"/>
    <w:rsid w:val="008D2F90"/>
    <w:rsid w:val="008D3911"/>
    <w:rsid w:val="008D4CF0"/>
    <w:rsid w:val="008D6C5A"/>
    <w:rsid w:val="008E1248"/>
    <w:rsid w:val="008E1E5C"/>
    <w:rsid w:val="008E2F5A"/>
    <w:rsid w:val="008F0105"/>
    <w:rsid w:val="00904FF1"/>
    <w:rsid w:val="0090782E"/>
    <w:rsid w:val="009213E9"/>
    <w:rsid w:val="00932DE9"/>
    <w:rsid w:val="0093596F"/>
    <w:rsid w:val="00945645"/>
    <w:rsid w:val="00945F0E"/>
    <w:rsid w:val="009511FE"/>
    <w:rsid w:val="00965B53"/>
    <w:rsid w:val="00974562"/>
    <w:rsid w:val="00975A11"/>
    <w:rsid w:val="009817CC"/>
    <w:rsid w:val="0098235F"/>
    <w:rsid w:val="009824F5"/>
    <w:rsid w:val="009859AC"/>
    <w:rsid w:val="0099520E"/>
    <w:rsid w:val="00997170"/>
    <w:rsid w:val="009A0F77"/>
    <w:rsid w:val="009A4992"/>
    <w:rsid w:val="009A6FAC"/>
    <w:rsid w:val="009B0271"/>
    <w:rsid w:val="009B1228"/>
    <w:rsid w:val="009B3880"/>
    <w:rsid w:val="009B3E8D"/>
    <w:rsid w:val="009B3EAB"/>
    <w:rsid w:val="009C32C0"/>
    <w:rsid w:val="009C5AC9"/>
    <w:rsid w:val="009C719C"/>
    <w:rsid w:val="009D0C45"/>
    <w:rsid w:val="009D1AEB"/>
    <w:rsid w:val="009D5CCC"/>
    <w:rsid w:val="009D6944"/>
    <w:rsid w:val="009D6DC1"/>
    <w:rsid w:val="009E0D80"/>
    <w:rsid w:val="009F3630"/>
    <w:rsid w:val="009F6E68"/>
    <w:rsid w:val="009F6EBE"/>
    <w:rsid w:val="009F7341"/>
    <w:rsid w:val="00A036A1"/>
    <w:rsid w:val="00A0692B"/>
    <w:rsid w:val="00A130DA"/>
    <w:rsid w:val="00A14916"/>
    <w:rsid w:val="00A14D1D"/>
    <w:rsid w:val="00A16768"/>
    <w:rsid w:val="00A17C05"/>
    <w:rsid w:val="00A17F04"/>
    <w:rsid w:val="00A214E5"/>
    <w:rsid w:val="00A26A08"/>
    <w:rsid w:val="00A34063"/>
    <w:rsid w:val="00A36916"/>
    <w:rsid w:val="00A4021B"/>
    <w:rsid w:val="00A42F84"/>
    <w:rsid w:val="00A43170"/>
    <w:rsid w:val="00A45D65"/>
    <w:rsid w:val="00A46112"/>
    <w:rsid w:val="00A46798"/>
    <w:rsid w:val="00A46807"/>
    <w:rsid w:val="00A65C39"/>
    <w:rsid w:val="00A71759"/>
    <w:rsid w:val="00A7277D"/>
    <w:rsid w:val="00A76EDA"/>
    <w:rsid w:val="00A94995"/>
    <w:rsid w:val="00A97BE0"/>
    <w:rsid w:val="00AA2EAE"/>
    <w:rsid w:val="00AA351B"/>
    <w:rsid w:val="00AA35F1"/>
    <w:rsid w:val="00AA4309"/>
    <w:rsid w:val="00AA45AD"/>
    <w:rsid w:val="00AB215F"/>
    <w:rsid w:val="00AB38FD"/>
    <w:rsid w:val="00AB5528"/>
    <w:rsid w:val="00AB5DD7"/>
    <w:rsid w:val="00AB6A60"/>
    <w:rsid w:val="00AC05D9"/>
    <w:rsid w:val="00AC161D"/>
    <w:rsid w:val="00AC3DFE"/>
    <w:rsid w:val="00AD147B"/>
    <w:rsid w:val="00AD169E"/>
    <w:rsid w:val="00AD6C25"/>
    <w:rsid w:val="00AE1389"/>
    <w:rsid w:val="00AE5D87"/>
    <w:rsid w:val="00AF68FF"/>
    <w:rsid w:val="00AF6990"/>
    <w:rsid w:val="00B0333B"/>
    <w:rsid w:val="00B063ED"/>
    <w:rsid w:val="00B065CA"/>
    <w:rsid w:val="00B16C19"/>
    <w:rsid w:val="00B33A4E"/>
    <w:rsid w:val="00B351FE"/>
    <w:rsid w:val="00B37408"/>
    <w:rsid w:val="00B37710"/>
    <w:rsid w:val="00B45B76"/>
    <w:rsid w:val="00B47FEB"/>
    <w:rsid w:val="00B5271C"/>
    <w:rsid w:val="00B53226"/>
    <w:rsid w:val="00B61217"/>
    <w:rsid w:val="00B7355E"/>
    <w:rsid w:val="00B74CBD"/>
    <w:rsid w:val="00B7705E"/>
    <w:rsid w:val="00B77133"/>
    <w:rsid w:val="00B77AC5"/>
    <w:rsid w:val="00B828D0"/>
    <w:rsid w:val="00B84E87"/>
    <w:rsid w:val="00B85240"/>
    <w:rsid w:val="00B878EB"/>
    <w:rsid w:val="00B87AF7"/>
    <w:rsid w:val="00B90BED"/>
    <w:rsid w:val="00B91931"/>
    <w:rsid w:val="00B924CA"/>
    <w:rsid w:val="00B926C1"/>
    <w:rsid w:val="00B96D0E"/>
    <w:rsid w:val="00B976D8"/>
    <w:rsid w:val="00BA2C29"/>
    <w:rsid w:val="00BB23C0"/>
    <w:rsid w:val="00BB2BD2"/>
    <w:rsid w:val="00BB6F1D"/>
    <w:rsid w:val="00BD1A51"/>
    <w:rsid w:val="00BD1DB7"/>
    <w:rsid w:val="00BD2C05"/>
    <w:rsid w:val="00BD7E4F"/>
    <w:rsid w:val="00BE0480"/>
    <w:rsid w:val="00BE04AA"/>
    <w:rsid w:val="00BE4152"/>
    <w:rsid w:val="00BE42E4"/>
    <w:rsid w:val="00BE4953"/>
    <w:rsid w:val="00BE7712"/>
    <w:rsid w:val="00BF0ED4"/>
    <w:rsid w:val="00BF142F"/>
    <w:rsid w:val="00BF2B1A"/>
    <w:rsid w:val="00BF3D80"/>
    <w:rsid w:val="00BF7DF5"/>
    <w:rsid w:val="00C00A37"/>
    <w:rsid w:val="00C064B8"/>
    <w:rsid w:val="00C07F07"/>
    <w:rsid w:val="00C10D39"/>
    <w:rsid w:val="00C121C7"/>
    <w:rsid w:val="00C122C2"/>
    <w:rsid w:val="00C13EE1"/>
    <w:rsid w:val="00C1706E"/>
    <w:rsid w:val="00C272D1"/>
    <w:rsid w:val="00C35162"/>
    <w:rsid w:val="00C516C0"/>
    <w:rsid w:val="00C5189A"/>
    <w:rsid w:val="00C5249E"/>
    <w:rsid w:val="00C6425C"/>
    <w:rsid w:val="00C653D6"/>
    <w:rsid w:val="00C654C7"/>
    <w:rsid w:val="00C66DB6"/>
    <w:rsid w:val="00C725BA"/>
    <w:rsid w:val="00C822F2"/>
    <w:rsid w:val="00C85054"/>
    <w:rsid w:val="00C916EF"/>
    <w:rsid w:val="00CA28AF"/>
    <w:rsid w:val="00CA4831"/>
    <w:rsid w:val="00CB0081"/>
    <w:rsid w:val="00CB0496"/>
    <w:rsid w:val="00CB062C"/>
    <w:rsid w:val="00CB165B"/>
    <w:rsid w:val="00CB2806"/>
    <w:rsid w:val="00CC0B66"/>
    <w:rsid w:val="00CC5155"/>
    <w:rsid w:val="00CC5E31"/>
    <w:rsid w:val="00CD528E"/>
    <w:rsid w:val="00CD7361"/>
    <w:rsid w:val="00CE2C48"/>
    <w:rsid w:val="00CE2E0A"/>
    <w:rsid w:val="00CF0AA7"/>
    <w:rsid w:val="00D00BC5"/>
    <w:rsid w:val="00D0699C"/>
    <w:rsid w:val="00D07786"/>
    <w:rsid w:val="00D07E5F"/>
    <w:rsid w:val="00D11B67"/>
    <w:rsid w:val="00D11B9A"/>
    <w:rsid w:val="00D209D7"/>
    <w:rsid w:val="00D2120D"/>
    <w:rsid w:val="00D22285"/>
    <w:rsid w:val="00D236BA"/>
    <w:rsid w:val="00D44168"/>
    <w:rsid w:val="00D44661"/>
    <w:rsid w:val="00D461D9"/>
    <w:rsid w:val="00D471AE"/>
    <w:rsid w:val="00D53FEE"/>
    <w:rsid w:val="00D5656A"/>
    <w:rsid w:val="00D6268E"/>
    <w:rsid w:val="00D64D2A"/>
    <w:rsid w:val="00D7169A"/>
    <w:rsid w:val="00D7253A"/>
    <w:rsid w:val="00D84166"/>
    <w:rsid w:val="00D85B01"/>
    <w:rsid w:val="00D87195"/>
    <w:rsid w:val="00D91E3E"/>
    <w:rsid w:val="00D91FAC"/>
    <w:rsid w:val="00D93B01"/>
    <w:rsid w:val="00D97A09"/>
    <w:rsid w:val="00DA11C2"/>
    <w:rsid w:val="00DB1EF4"/>
    <w:rsid w:val="00DB5904"/>
    <w:rsid w:val="00DB65F8"/>
    <w:rsid w:val="00DB67EB"/>
    <w:rsid w:val="00DB6F1A"/>
    <w:rsid w:val="00DC22A5"/>
    <w:rsid w:val="00DC4448"/>
    <w:rsid w:val="00DC531A"/>
    <w:rsid w:val="00DC64E5"/>
    <w:rsid w:val="00DC694A"/>
    <w:rsid w:val="00DD0775"/>
    <w:rsid w:val="00DD69D7"/>
    <w:rsid w:val="00DE6AB7"/>
    <w:rsid w:val="00DE6B9E"/>
    <w:rsid w:val="00DE737A"/>
    <w:rsid w:val="00DF1B0E"/>
    <w:rsid w:val="00DF5364"/>
    <w:rsid w:val="00E01934"/>
    <w:rsid w:val="00E03482"/>
    <w:rsid w:val="00E07918"/>
    <w:rsid w:val="00E12E93"/>
    <w:rsid w:val="00E13AB4"/>
    <w:rsid w:val="00E201A0"/>
    <w:rsid w:val="00E24535"/>
    <w:rsid w:val="00E24B6E"/>
    <w:rsid w:val="00E2523C"/>
    <w:rsid w:val="00E264DD"/>
    <w:rsid w:val="00E274E7"/>
    <w:rsid w:val="00E31B4B"/>
    <w:rsid w:val="00E32CC7"/>
    <w:rsid w:val="00E44462"/>
    <w:rsid w:val="00E4694A"/>
    <w:rsid w:val="00E46C67"/>
    <w:rsid w:val="00E473F4"/>
    <w:rsid w:val="00E52A6D"/>
    <w:rsid w:val="00E53739"/>
    <w:rsid w:val="00E62CA1"/>
    <w:rsid w:val="00E71376"/>
    <w:rsid w:val="00E85078"/>
    <w:rsid w:val="00E87591"/>
    <w:rsid w:val="00E93AAD"/>
    <w:rsid w:val="00E95221"/>
    <w:rsid w:val="00EA254B"/>
    <w:rsid w:val="00EA5A5F"/>
    <w:rsid w:val="00EC11EB"/>
    <w:rsid w:val="00EC3138"/>
    <w:rsid w:val="00EC5C3F"/>
    <w:rsid w:val="00EC7F40"/>
    <w:rsid w:val="00ED1A11"/>
    <w:rsid w:val="00ED3A8B"/>
    <w:rsid w:val="00ED7076"/>
    <w:rsid w:val="00EE67A9"/>
    <w:rsid w:val="00EF07B7"/>
    <w:rsid w:val="00EF1094"/>
    <w:rsid w:val="00EF2E9E"/>
    <w:rsid w:val="00EF7CAD"/>
    <w:rsid w:val="00EF7E3F"/>
    <w:rsid w:val="00F06197"/>
    <w:rsid w:val="00F06ED6"/>
    <w:rsid w:val="00F11FBF"/>
    <w:rsid w:val="00F141E7"/>
    <w:rsid w:val="00F15971"/>
    <w:rsid w:val="00F17ABB"/>
    <w:rsid w:val="00F17F23"/>
    <w:rsid w:val="00F246B2"/>
    <w:rsid w:val="00F311FF"/>
    <w:rsid w:val="00F3621E"/>
    <w:rsid w:val="00F3626F"/>
    <w:rsid w:val="00F364D2"/>
    <w:rsid w:val="00F5424E"/>
    <w:rsid w:val="00F547BF"/>
    <w:rsid w:val="00F55031"/>
    <w:rsid w:val="00F64CD4"/>
    <w:rsid w:val="00F76941"/>
    <w:rsid w:val="00F81C66"/>
    <w:rsid w:val="00F83218"/>
    <w:rsid w:val="00F83E31"/>
    <w:rsid w:val="00F90BED"/>
    <w:rsid w:val="00F923DA"/>
    <w:rsid w:val="00F94D36"/>
    <w:rsid w:val="00F95B51"/>
    <w:rsid w:val="00FA0009"/>
    <w:rsid w:val="00FA1A0C"/>
    <w:rsid w:val="00FA2642"/>
    <w:rsid w:val="00FB194D"/>
    <w:rsid w:val="00FB2DAB"/>
    <w:rsid w:val="00FB398A"/>
    <w:rsid w:val="00FB3C42"/>
    <w:rsid w:val="00FB5629"/>
    <w:rsid w:val="00FC03C4"/>
    <w:rsid w:val="00FC52D1"/>
    <w:rsid w:val="00FD431F"/>
    <w:rsid w:val="00FD5299"/>
    <w:rsid w:val="00FE21F9"/>
    <w:rsid w:val="00FE47DC"/>
    <w:rsid w:val="00FE585E"/>
    <w:rsid w:val="00FE61EC"/>
    <w:rsid w:val="00FF0115"/>
    <w:rsid w:val="00FF1E73"/>
    <w:rsid w:val="00FF2E64"/>
    <w:rsid w:val="00FF439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AF2D3"/>
  <w15:chartTrackingRefBased/>
  <w15:docId w15:val="{80B39260-DFE3-43DE-92BC-D2BA30055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0C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0C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0C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0C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0C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0C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0C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0C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C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0C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0C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0C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0C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0C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0C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0C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0C45"/>
    <w:rPr>
      <w:rFonts w:eastAsiaTheme="majorEastAsia" w:cstheme="majorBidi"/>
      <w:color w:val="272727" w:themeColor="text1" w:themeTint="D8"/>
    </w:rPr>
  </w:style>
  <w:style w:type="paragraph" w:styleId="Title">
    <w:name w:val="Title"/>
    <w:basedOn w:val="Normal"/>
    <w:next w:val="Normal"/>
    <w:link w:val="TitleChar"/>
    <w:uiPriority w:val="10"/>
    <w:qFormat/>
    <w:rsid w:val="009D0C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0C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0C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0C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0C45"/>
    <w:pPr>
      <w:spacing w:before="160"/>
      <w:jc w:val="center"/>
    </w:pPr>
    <w:rPr>
      <w:i/>
      <w:iCs/>
      <w:color w:val="404040" w:themeColor="text1" w:themeTint="BF"/>
    </w:rPr>
  </w:style>
  <w:style w:type="character" w:customStyle="1" w:styleId="QuoteChar">
    <w:name w:val="Quote Char"/>
    <w:basedOn w:val="DefaultParagraphFont"/>
    <w:link w:val="Quote"/>
    <w:uiPriority w:val="29"/>
    <w:rsid w:val="009D0C45"/>
    <w:rPr>
      <w:i/>
      <w:iCs/>
      <w:color w:val="404040" w:themeColor="text1" w:themeTint="BF"/>
    </w:rPr>
  </w:style>
  <w:style w:type="paragraph" w:styleId="ListParagraph">
    <w:name w:val="List Paragraph"/>
    <w:basedOn w:val="Normal"/>
    <w:uiPriority w:val="34"/>
    <w:qFormat/>
    <w:rsid w:val="009D0C45"/>
    <w:pPr>
      <w:ind w:left="720"/>
      <w:contextualSpacing/>
    </w:pPr>
  </w:style>
  <w:style w:type="character" w:styleId="IntenseEmphasis">
    <w:name w:val="Intense Emphasis"/>
    <w:basedOn w:val="DefaultParagraphFont"/>
    <w:uiPriority w:val="21"/>
    <w:qFormat/>
    <w:rsid w:val="009D0C45"/>
    <w:rPr>
      <w:i/>
      <w:iCs/>
      <w:color w:val="0F4761" w:themeColor="accent1" w:themeShade="BF"/>
    </w:rPr>
  </w:style>
  <w:style w:type="paragraph" w:styleId="IntenseQuote">
    <w:name w:val="Intense Quote"/>
    <w:basedOn w:val="Normal"/>
    <w:next w:val="Normal"/>
    <w:link w:val="IntenseQuoteChar"/>
    <w:uiPriority w:val="30"/>
    <w:qFormat/>
    <w:rsid w:val="009D0C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0C45"/>
    <w:rPr>
      <w:i/>
      <w:iCs/>
      <w:color w:val="0F4761" w:themeColor="accent1" w:themeShade="BF"/>
    </w:rPr>
  </w:style>
  <w:style w:type="character" w:styleId="IntenseReference">
    <w:name w:val="Intense Reference"/>
    <w:basedOn w:val="DefaultParagraphFont"/>
    <w:uiPriority w:val="32"/>
    <w:qFormat/>
    <w:rsid w:val="009D0C45"/>
    <w:rPr>
      <w:b/>
      <w:bCs/>
      <w:smallCaps/>
      <w:color w:val="0F4761" w:themeColor="accent1" w:themeShade="BF"/>
      <w:spacing w:val="5"/>
    </w:rPr>
  </w:style>
  <w:style w:type="paragraph" w:styleId="FootnoteText">
    <w:name w:val="footnote text"/>
    <w:basedOn w:val="Normal"/>
    <w:link w:val="FootnoteTextChar"/>
    <w:uiPriority w:val="99"/>
    <w:semiHidden/>
    <w:unhideWhenUsed/>
    <w:rsid w:val="006308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08CD"/>
    <w:rPr>
      <w:sz w:val="20"/>
      <w:szCs w:val="20"/>
    </w:rPr>
  </w:style>
  <w:style w:type="character" w:styleId="FootnoteReference">
    <w:name w:val="footnote reference"/>
    <w:basedOn w:val="DefaultParagraphFont"/>
    <w:uiPriority w:val="99"/>
    <w:semiHidden/>
    <w:unhideWhenUsed/>
    <w:rsid w:val="006308CD"/>
    <w:rPr>
      <w:vertAlign w:val="superscript"/>
    </w:rPr>
  </w:style>
  <w:style w:type="character" w:styleId="Hyperlink">
    <w:name w:val="Hyperlink"/>
    <w:basedOn w:val="DefaultParagraphFont"/>
    <w:uiPriority w:val="99"/>
    <w:unhideWhenUsed/>
    <w:rsid w:val="006308CD"/>
    <w:rPr>
      <w:color w:val="467886" w:themeColor="hyperlink"/>
      <w:u w:val="single"/>
    </w:rPr>
  </w:style>
  <w:style w:type="character" w:styleId="UnresolvedMention">
    <w:name w:val="Unresolved Mention"/>
    <w:basedOn w:val="DefaultParagraphFont"/>
    <w:uiPriority w:val="99"/>
    <w:semiHidden/>
    <w:unhideWhenUsed/>
    <w:rsid w:val="006308CD"/>
    <w:rPr>
      <w:color w:val="605E5C"/>
      <w:shd w:val="clear" w:color="auto" w:fill="E1DFDD"/>
    </w:rPr>
  </w:style>
  <w:style w:type="paragraph" w:styleId="Header">
    <w:name w:val="header"/>
    <w:basedOn w:val="Normal"/>
    <w:link w:val="HeaderChar"/>
    <w:uiPriority w:val="99"/>
    <w:unhideWhenUsed/>
    <w:rsid w:val="006308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8CD"/>
  </w:style>
  <w:style w:type="paragraph" w:styleId="Footer">
    <w:name w:val="footer"/>
    <w:basedOn w:val="Normal"/>
    <w:link w:val="FooterChar"/>
    <w:uiPriority w:val="99"/>
    <w:unhideWhenUsed/>
    <w:rsid w:val="006308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8CD"/>
  </w:style>
  <w:style w:type="table" w:styleId="TableGrid">
    <w:name w:val="Table Grid"/>
    <w:basedOn w:val="TableNormal"/>
    <w:uiPriority w:val="39"/>
    <w:rsid w:val="00630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08CD"/>
    <w:pPr>
      <w:spacing w:after="0" w:line="240" w:lineRule="auto"/>
    </w:pPr>
  </w:style>
  <w:style w:type="character" w:styleId="CommentReference">
    <w:name w:val="annotation reference"/>
    <w:basedOn w:val="DefaultParagraphFont"/>
    <w:uiPriority w:val="99"/>
    <w:semiHidden/>
    <w:unhideWhenUsed/>
    <w:rsid w:val="0085414A"/>
    <w:rPr>
      <w:sz w:val="16"/>
      <w:szCs w:val="16"/>
    </w:rPr>
  </w:style>
  <w:style w:type="paragraph" w:styleId="CommentText">
    <w:name w:val="annotation text"/>
    <w:basedOn w:val="Normal"/>
    <w:link w:val="CommentTextChar"/>
    <w:uiPriority w:val="99"/>
    <w:unhideWhenUsed/>
    <w:rsid w:val="0085414A"/>
    <w:pPr>
      <w:spacing w:line="240" w:lineRule="auto"/>
    </w:pPr>
    <w:rPr>
      <w:sz w:val="20"/>
      <w:szCs w:val="20"/>
    </w:rPr>
  </w:style>
  <w:style w:type="character" w:customStyle="1" w:styleId="CommentTextChar">
    <w:name w:val="Comment Text Char"/>
    <w:basedOn w:val="DefaultParagraphFont"/>
    <w:link w:val="CommentText"/>
    <w:uiPriority w:val="99"/>
    <w:rsid w:val="0085414A"/>
    <w:rPr>
      <w:sz w:val="20"/>
      <w:szCs w:val="20"/>
    </w:rPr>
  </w:style>
  <w:style w:type="paragraph" w:styleId="CommentSubject">
    <w:name w:val="annotation subject"/>
    <w:basedOn w:val="CommentText"/>
    <w:next w:val="CommentText"/>
    <w:link w:val="CommentSubjectChar"/>
    <w:uiPriority w:val="99"/>
    <w:semiHidden/>
    <w:unhideWhenUsed/>
    <w:rsid w:val="0085414A"/>
    <w:rPr>
      <w:b/>
      <w:bCs/>
    </w:rPr>
  </w:style>
  <w:style w:type="character" w:customStyle="1" w:styleId="CommentSubjectChar">
    <w:name w:val="Comment Subject Char"/>
    <w:basedOn w:val="CommentTextChar"/>
    <w:link w:val="CommentSubject"/>
    <w:uiPriority w:val="99"/>
    <w:semiHidden/>
    <w:rsid w:val="008541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o@lordmayors.org"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huri.edu.au/analysis/brief/understanding-housing-policy-levers-commonwealth-state-and-territory-and-local-governmen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statistics/industry/building-and-construction/building-approvals-australia/latest-release" TargetMode="External"/><Relationship Id="rId2" Type="http://schemas.openxmlformats.org/officeDocument/2006/relationships/hyperlink" Target="https://www.planning.org.au/pia/news-resources/articles/latest-updates/national/building_approvals_housing_story.aspx" TargetMode="External"/><Relationship Id="rId1" Type="http://schemas.openxmlformats.org/officeDocument/2006/relationships/hyperlink" Target="https://www.abs.gov.au/statistics/industry/building-and-construction/building-approvals-australia/jan-2026" TargetMode="External"/><Relationship Id="rId4" Type="http://schemas.openxmlformats.org/officeDocument/2006/relationships/hyperlink" Target="https://www.aihw.gov.au/reports/australias-welfare/profile-of-australias-popu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BFA252848DF74891DCCA3FEC5FB110" ma:contentTypeVersion="13" ma:contentTypeDescription="Create a new document." ma:contentTypeScope="" ma:versionID="65e9cb7127028146b22316eeeafa73cb">
  <xsd:schema xmlns:xsd="http://www.w3.org/2001/XMLSchema" xmlns:xs="http://www.w3.org/2001/XMLSchema" xmlns:p="http://schemas.microsoft.com/office/2006/metadata/properties" xmlns:ns2="7b599973-69e8-4ad2-959d-f8c2140b2ffc" xmlns:ns3="525413a7-c6dd-413c-8747-dd3127a98452" targetNamespace="http://schemas.microsoft.com/office/2006/metadata/properties" ma:root="true" ma:fieldsID="fa2ad3018365745daf3e1b2ea25201e0" ns2:_="" ns3:_="">
    <xsd:import namespace="7b599973-69e8-4ad2-959d-f8c2140b2ffc"/>
    <xsd:import namespace="525413a7-c6dd-413c-8747-dd3127a98452"/>
    <xsd:element name="properties">
      <xsd:complexType>
        <xsd:sequence>
          <xsd:element name="documentManagement">
            <xsd:complexType>
              <xsd:all>
                <xsd:element ref="ns2:SubmissionsSharePointListIdentifier" minOccurs="0"/>
                <xsd:element ref="ns2:ParticipantsRequestedConfidentiality"/>
                <xsd:element ref="ns2:ClearanceOutcome" minOccurs="0"/>
                <xsd:element ref="ns2:Redactions" minOccurs="0"/>
                <xsd:element ref="ns2:FileType" minOccurs="0"/>
                <xsd:element ref="ns3:i0f84bba906045b4af568ee102a52dcb" minOccurs="0"/>
                <xsd:element ref="ns3:TaxCatchAll" minOccurs="0"/>
                <xsd:element ref="ns2:Additionalinformation"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99973-69e8-4ad2-959d-f8c2140b2ffc" elementFormDefault="qualified">
    <xsd:import namespace="http://schemas.microsoft.com/office/2006/documentManagement/types"/>
    <xsd:import namespace="http://schemas.microsoft.com/office/infopath/2007/PartnerControls"/>
    <xsd:element name="SubmissionsSharePointListIdentifier" ma:index="8" nillable="true" ma:displayName="SharePoint List Identifier" ma:decimals="0" ma:format="Dropdown" ma:internalName="SubmissionsSharePointListIdentifier" ma:percentage="FALSE">
      <xsd:simpleType>
        <xsd:restriction base="dms:Number">
          <xsd:minInclusive value="1"/>
        </xsd:restriction>
      </xsd:simpleType>
    </xsd:element>
    <xsd:element name="ParticipantsRequestedConfidentiality" ma:index="9" ma:displayName="Participant's Requested Confidentiality" ma:format="Dropdown" ma:internalName="ParticipantsRequestedConfidentiality">
      <xsd:simpleType>
        <xsd:restriction base="dms:Choice">
          <xsd:enumeration value="Public with attribution"/>
          <xsd:enumeration value="Public without attribution (anonymous)"/>
          <xsd:enumeration value="Confidential"/>
        </xsd:restriction>
      </xsd:simpleType>
    </xsd:element>
    <xsd:element name="ClearanceOutcome" ma:index="10" nillable="true" ma:displayName="Clearance Outcome (subject to any redactions)" ma:format="Dropdown" ma:internalName="ClearanceOutcome">
      <xsd:simpleType>
        <xsd:restriction base="dms:Choice">
          <xsd:enumeration value="Publish with attribution"/>
          <xsd:enumeration value="Publish without attribution"/>
          <xsd:enumeration value="Confidential"/>
          <xsd:enumeration value="Do not publish"/>
          <xsd:enumeration value="Withdrawn"/>
        </xsd:restriction>
      </xsd:simpleType>
    </xsd:element>
    <xsd:element name="Redactions" ma:index="11" nillable="true" ma:displayName="Redactions" ma:format="Dropdown" ma:internalName="Redactions">
      <xsd:simpleType>
        <xsd:restriction base="dms:Text">
          <xsd:maxLength value="255"/>
        </xsd:restriction>
      </xsd:simpleType>
    </xsd:element>
    <xsd:element name="FileType" ma:index="12" nillable="true" ma:displayName="File Type" ma:format="Dropdown" ma:internalName="FileType">
      <xsd:simpleType>
        <xsd:restriction base="dms:Choice">
          <xsd:enumeration value="Submission"/>
          <xsd:enumeration value="Attachment"/>
        </xsd:restriction>
      </xsd:simpleType>
    </xsd:element>
    <xsd:element name="Additionalinformation" ma:index="16" nillable="true" ma:displayName="Additional information" ma:format="Dropdown" ma:internalName="Additionalinformation">
      <xsd:simpleType>
        <xsd:restriction base="dms:Note">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5413a7-c6dd-413c-8747-dd3127a98452" elementFormDefault="qualified">
    <xsd:import namespace="http://schemas.microsoft.com/office/2006/documentManagement/types"/>
    <xsd:import namespace="http://schemas.microsoft.com/office/infopath/2007/PartnerControls"/>
    <xsd:element name="i0f84bba906045b4af568ee102a52dcb" ma:index="14"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6c222014-4dd5-4a70-8282-0fadd7f31196}" ma:internalName="TaxCatchAll" ma:showField="CatchAllData" ma:web="525413a7-c6dd-413c-8747-dd3127a984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dditionalinformation xmlns="7b599973-69e8-4ad2-959d-f8c2140b2ffc" xsi:nil="true"/>
    <TaxCatchAll xmlns="525413a7-c6dd-413c-8747-dd3127a98452">
      <Value>1</Value>
    </TaxCatchAll>
    <ParticipantsRequestedConfidentiality xmlns="7b599973-69e8-4ad2-959d-f8c2140b2ffc">Public with attribution</ParticipantsRequestedConfidentiality>
    <i0f84bba906045b4af568ee102a52dcb xmlns="525413a7-c6dd-413c-8747-dd3127a9845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SubmissionsSharePointListIdentifier xmlns="7b599973-69e8-4ad2-959d-f8c2140b2ffc">55</SubmissionsSharePointListIdentifier>
    <Redactions xmlns="7b599973-69e8-4ad2-959d-f8c2140b2ffc" xsi:nil="true"/>
    <ClearanceOutcome xmlns="7b599973-69e8-4ad2-959d-f8c2140b2ffc" xsi:nil="true"/>
    <FileType xmlns="7b599973-69e8-4ad2-959d-f8c2140b2ffc">Submission</FileTyp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411ED5-E161-4EBF-9856-AB1D7907A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99973-69e8-4ad2-959d-f8c2140b2ffc"/>
    <ds:schemaRef ds:uri="525413a7-c6dd-413c-8747-dd3127a98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FE8C4D-E668-421B-A094-38D25357B54B}">
  <ds:schemaRefs>
    <ds:schemaRef ds:uri="http://schemas.microsoft.com/office/2006/metadata/properties"/>
    <ds:schemaRef ds:uri="http://schemas.microsoft.com/office/infopath/2007/PartnerControls"/>
    <ds:schemaRef ds:uri="7b599973-69e8-4ad2-959d-f8c2140b2ffc"/>
    <ds:schemaRef ds:uri="525413a7-c6dd-413c-8747-dd3127a98452"/>
  </ds:schemaRefs>
</ds:datastoreItem>
</file>

<file path=customXml/itemProps3.xml><?xml version="1.0" encoding="utf-8"?>
<ds:datastoreItem xmlns:ds="http://schemas.openxmlformats.org/officeDocument/2006/customXml" ds:itemID="{1F0ED41C-0E12-4E60-B428-70FE020FC1E5}">
  <ds:schemaRefs>
    <ds:schemaRef ds:uri="http://schemas.openxmlformats.org/officeDocument/2006/bibliography"/>
  </ds:schemaRefs>
</ds:datastoreItem>
</file>

<file path=customXml/itemProps4.xml><?xml version="1.0" encoding="utf-8"?>
<ds:datastoreItem xmlns:ds="http://schemas.openxmlformats.org/officeDocument/2006/customXml" ds:itemID="{3AE28DAC-0543-4C1F-A7DE-17EE22D546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1675</Words>
  <Characters>10787</Characters>
  <Application>Microsoft Office Word</Application>
  <DocSecurity>0</DocSecurity>
  <Lines>203</Lines>
  <Paragraphs>86</Paragraphs>
  <ScaleCrop>false</ScaleCrop>
  <HeadingPairs>
    <vt:vector size="2" baseType="variant">
      <vt:variant>
        <vt:lpstr>Title</vt:lpstr>
      </vt:variant>
      <vt:variant>
        <vt:i4>1</vt:i4>
      </vt:variant>
    </vt:vector>
  </HeadingPairs>
  <TitlesOfParts>
    <vt:vector size="1" baseType="lpstr">
      <vt:lpstr>Submission 20 - Council of Capital City Lord Mayors (CCCLM) - Husing supply regulation - Public inquiry</vt:lpstr>
    </vt:vector>
  </TitlesOfParts>
  <Company>Council of Capital City Lord Mayors (CCCLM) </Company>
  <LinksUpToDate>false</LinksUpToDate>
  <CharactersWithSpaces>12376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20 - Council of Capital City Lord Mayors (CCCLM) - Husing supply regulation - Public inquiry</dc:title>
  <dc:subject/>
  <dc:creator>Council of Capital City Lord Mayors (CCCLM) </dc:creator>
  <cp:keywords/>
  <dc:description/>
  <cp:lastModifiedBy>Chris Alston</cp:lastModifiedBy>
  <cp:revision>3</cp:revision>
  <dcterms:created xsi:type="dcterms:W3CDTF">2026-06-18T01:47:00Z</dcterms:created>
  <dcterms:modified xsi:type="dcterms:W3CDTF">2026-06-18T01:50:00Z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2026-06-09T05:53:29Z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8275daeb-ee23-46e4-a2fb-4224e66948f5</vt:lpwstr>
  </property>
  <property fmtid="{D5CDD505-2E9C-101B-9397-08002B2CF9AE}" pid="8" name="MSIP_Label_69af8531-eb46-4968-8cb3-105d2f5ea87e_ContentBits">
    <vt:lpwstr>0</vt:lpwstr>
  </property>
  <property fmtid="{D5CDD505-2E9C-101B-9397-08002B2CF9AE}" pid="9" name="MSIP_Label_69af8531-eb46-4968-8cb3-105d2f5ea87e_Tag">
    <vt:lpwstr>10, 3, 0, 1</vt:lpwstr>
  </property>
  <property fmtid="{D5CDD505-2E9C-101B-9397-08002B2CF9AE}" pid="10" name="ContentTypeId">
    <vt:lpwstr>0x010100ABBFA252848DF74891DCCA3FEC5FB110</vt:lpwstr>
  </property>
  <property fmtid="{D5CDD505-2E9C-101B-9397-08002B2CF9AE}" pid="11" name="RevIMBCS">
    <vt:lpwstr>1;#Unclassified|3955eeb1-2d18-4582-aeb2-00144ec3aaf5</vt:lpwstr>
  </property>
  <property fmtid="{D5CDD505-2E9C-101B-9397-08002B2CF9AE}" pid="12" name="MSIP_Label_c1f2b1ce-4212-46db-a901-dd8453f57141_Enabled">
    <vt:lpwstr>true</vt:lpwstr>
  </property>
  <property fmtid="{D5CDD505-2E9C-101B-9397-08002B2CF9AE}" pid="13" name="MSIP_Label_c1f2b1ce-4212-46db-a901-dd8453f57141_SetDate">
    <vt:lpwstr>2026-06-18T01:44:53Z</vt:lpwstr>
  </property>
  <property fmtid="{D5CDD505-2E9C-101B-9397-08002B2CF9AE}" pid="14" name="MSIP_Label_c1f2b1ce-4212-46db-a901-dd8453f57141_Method">
    <vt:lpwstr>Privileged</vt:lpwstr>
  </property>
  <property fmtid="{D5CDD505-2E9C-101B-9397-08002B2CF9AE}" pid="15" name="MSIP_Label_c1f2b1ce-4212-46db-a901-dd8453f57141_Name">
    <vt:lpwstr>Publish</vt:lpwstr>
  </property>
  <property fmtid="{D5CDD505-2E9C-101B-9397-08002B2CF9AE}" pid="16" name="MSIP_Label_c1f2b1ce-4212-46db-a901-dd8453f57141_SiteId">
    <vt:lpwstr>29f9330b-c0fe-4244-830e-ba9f275d6c34</vt:lpwstr>
  </property>
  <property fmtid="{D5CDD505-2E9C-101B-9397-08002B2CF9AE}" pid="17" name="MSIP_Label_c1f2b1ce-4212-46db-a901-dd8453f57141_ActionId">
    <vt:lpwstr>fa91d740-60d4-416c-9fe7-7ff9d7226870</vt:lpwstr>
  </property>
  <property fmtid="{D5CDD505-2E9C-101B-9397-08002B2CF9AE}" pid="18" name="MSIP_Label_c1f2b1ce-4212-46db-a901-dd8453f57141_ContentBits">
    <vt:lpwstr>0</vt:lpwstr>
  </property>
  <property fmtid="{D5CDD505-2E9C-101B-9397-08002B2CF9AE}" pid="19" name="MSIP_Label_c1f2b1ce-4212-46db-a901-dd8453f57141_Tag">
    <vt:lpwstr>10, 0, 1, 1</vt:lpwstr>
  </property>
</Properties>
</file>