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8EAC" w14:textId="77777777" w:rsidR="00560879" w:rsidRDefault="00560879" w:rsidP="00EC4947">
      <w:pPr>
        <w:rPr>
          <w:rFonts w:ascii="Westpac Bold" w:hAnsi="Westpac Bold"/>
          <w:color w:val="EE0000"/>
        </w:rPr>
      </w:pPr>
    </w:p>
    <w:p w14:paraId="2F697123" w14:textId="7EB60A04" w:rsidR="00560879" w:rsidRDefault="002130E1" w:rsidP="00EC4947">
      <w:pPr>
        <w:rPr>
          <w:rFonts w:ascii="Westpac Bold" w:hAnsi="Westpac Bold"/>
          <w:color w:val="EE0000"/>
          <w:sz w:val="96"/>
          <w:szCs w:val="96"/>
        </w:rPr>
      </w:pPr>
      <w:r w:rsidRPr="00560879">
        <w:rPr>
          <w:rFonts w:ascii="Westpac Bold" w:hAnsi="Westpac Bold"/>
          <w:color w:val="EE0000"/>
          <w:sz w:val="96"/>
          <w:szCs w:val="96"/>
        </w:rPr>
        <w:t xml:space="preserve">Westpac submission to the </w:t>
      </w:r>
      <w:r>
        <w:rPr>
          <w:rFonts w:ascii="Westpac Bold" w:hAnsi="Westpac Bold"/>
          <w:color w:val="EE0000"/>
          <w:sz w:val="96"/>
          <w:szCs w:val="96"/>
        </w:rPr>
        <w:t>P</w:t>
      </w:r>
      <w:r w:rsidRPr="00560879">
        <w:rPr>
          <w:rFonts w:ascii="Westpac Bold" w:hAnsi="Westpac Bold"/>
          <w:color w:val="EE0000"/>
          <w:sz w:val="96"/>
          <w:szCs w:val="96"/>
        </w:rPr>
        <w:t xml:space="preserve">roductivity </w:t>
      </w:r>
      <w:r>
        <w:rPr>
          <w:rFonts w:ascii="Westpac Bold" w:hAnsi="Westpac Bold"/>
          <w:color w:val="EE0000"/>
          <w:sz w:val="96"/>
          <w:szCs w:val="96"/>
        </w:rPr>
        <w:t>C</w:t>
      </w:r>
      <w:r w:rsidRPr="00560879">
        <w:rPr>
          <w:rFonts w:ascii="Westpac Bold" w:hAnsi="Westpac Bold"/>
          <w:color w:val="EE0000"/>
          <w:sz w:val="96"/>
          <w:szCs w:val="96"/>
        </w:rPr>
        <w:t>ommission</w:t>
      </w:r>
      <w:r w:rsidR="00560879" w:rsidRPr="00560879">
        <w:rPr>
          <w:rFonts w:ascii="Westpac Bold" w:hAnsi="Westpac Bold"/>
          <w:color w:val="EE0000"/>
          <w:sz w:val="96"/>
          <w:szCs w:val="96"/>
        </w:rPr>
        <w:t>’</w:t>
      </w:r>
      <w:r w:rsidRPr="00560879">
        <w:rPr>
          <w:rFonts w:ascii="Westpac Bold" w:hAnsi="Westpac Bold"/>
          <w:color w:val="EE0000"/>
          <w:sz w:val="96"/>
          <w:szCs w:val="96"/>
        </w:rPr>
        <w:t xml:space="preserve">s </w:t>
      </w:r>
      <w:r>
        <w:rPr>
          <w:rFonts w:ascii="Westpac Bold" w:hAnsi="Westpac Bold"/>
          <w:color w:val="EE0000"/>
          <w:sz w:val="96"/>
          <w:szCs w:val="96"/>
        </w:rPr>
        <w:t>I</w:t>
      </w:r>
      <w:r w:rsidRPr="00560879">
        <w:rPr>
          <w:rFonts w:ascii="Westpac Bold" w:hAnsi="Westpac Bold"/>
          <w:color w:val="EE0000"/>
          <w:sz w:val="96"/>
          <w:szCs w:val="96"/>
        </w:rPr>
        <w:t xml:space="preserve">nquiry into </w:t>
      </w:r>
      <w:r>
        <w:rPr>
          <w:rFonts w:ascii="Westpac Bold" w:hAnsi="Westpac Bold"/>
          <w:color w:val="EE0000"/>
          <w:sz w:val="96"/>
          <w:szCs w:val="96"/>
        </w:rPr>
        <w:t>H</w:t>
      </w:r>
      <w:r w:rsidRPr="00560879">
        <w:rPr>
          <w:rFonts w:ascii="Westpac Bold" w:hAnsi="Westpac Bold"/>
          <w:color w:val="EE0000"/>
          <w:sz w:val="96"/>
          <w:szCs w:val="96"/>
        </w:rPr>
        <w:t xml:space="preserve">ousing </w:t>
      </w:r>
      <w:r>
        <w:rPr>
          <w:rFonts w:ascii="Westpac Bold" w:hAnsi="Westpac Bold"/>
          <w:color w:val="EE0000"/>
          <w:sz w:val="96"/>
          <w:szCs w:val="96"/>
        </w:rPr>
        <w:t>S</w:t>
      </w:r>
      <w:r w:rsidRPr="00560879">
        <w:rPr>
          <w:rFonts w:ascii="Westpac Bold" w:hAnsi="Westpac Bold"/>
          <w:color w:val="EE0000"/>
          <w:sz w:val="96"/>
          <w:szCs w:val="96"/>
        </w:rPr>
        <w:t xml:space="preserve">upply </w:t>
      </w:r>
      <w:r>
        <w:rPr>
          <w:rFonts w:ascii="Westpac Bold" w:hAnsi="Westpac Bold"/>
          <w:color w:val="EE0000"/>
          <w:sz w:val="96"/>
          <w:szCs w:val="96"/>
        </w:rPr>
        <w:t>R</w:t>
      </w:r>
      <w:r w:rsidRPr="00560879">
        <w:rPr>
          <w:rFonts w:ascii="Westpac Bold" w:hAnsi="Westpac Bold"/>
          <w:color w:val="EE0000"/>
          <w:sz w:val="96"/>
          <w:szCs w:val="96"/>
        </w:rPr>
        <w:t>egulation</w:t>
      </w:r>
    </w:p>
    <w:p w14:paraId="014A774B" w14:textId="77777777" w:rsidR="002130E1" w:rsidRDefault="002130E1" w:rsidP="00EC4947">
      <w:pPr>
        <w:rPr>
          <w:rFonts w:ascii="Westpac Bold" w:hAnsi="Westpac Bold"/>
          <w:color w:val="EE0000"/>
          <w:sz w:val="96"/>
          <w:szCs w:val="96"/>
        </w:rPr>
      </w:pPr>
    </w:p>
    <w:p w14:paraId="46ECC875" w14:textId="4A97631C" w:rsidR="002130E1" w:rsidRPr="002130E1" w:rsidRDefault="002130E1" w:rsidP="00EC4947">
      <w:pPr>
        <w:rPr>
          <w:rFonts w:ascii="Westpac Bold" w:hAnsi="Westpac Bold"/>
          <w:color w:val="EE0000"/>
          <w:sz w:val="36"/>
          <w:szCs w:val="36"/>
        </w:rPr>
      </w:pPr>
      <w:r w:rsidRPr="002130E1">
        <w:rPr>
          <w:rFonts w:ascii="Westpac Bold" w:hAnsi="Westpac Bold"/>
          <w:color w:val="EE0000"/>
          <w:sz w:val="36"/>
          <w:szCs w:val="36"/>
        </w:rPr>
        <w:t>June 2026</w:t>
      </w:r>
    </w:p>
    <w:p w14:paraId="01A0E895" w14:textId="77777777" w:rsidR="00560879" w:rsidRDefault="00560879" w:rsidP="00EC4947">
      <w:pPr>
        <w:rPr>
          <w:rFonts w:ascii="Westpac Bold" w:hAnsi="Westpac Bold"/>
          <w:color w:val="EE0000"/>
        </w:rPr>
      </w:pPr>
    </w:p>
    <w:p w14:paraId="522FD9E1" w14:textId="77777777" w:rsidR="00560879" w:rsidRDefault="00560879" w:rsidP="00EC4947">
      <w:pPr>
        <w:rPr>
          <w:rFonts w:ascii="Westpac Bold" w:hAnsi="Westpac Bold"/>
          <w:color w:val="EE0000"/>
        </w:rPr>
      </w:pPr>
    </w:p>
    <w:p w14:paraId="29FBF3A4" w14:textId="77777777" w:rsidR="00560879" w:rsidRDefault="00560879" w:rsidP="00EC4947">
      <w:pPr>
        <w:rPr>
          <w:rFonts w:ascii="Westpac Bold" w:hAnsi="Westpac Bold"/>
          <w:color w:val="EE0000"/>
        </w:rPr>
      </w:pPr>
    </w:p>
    <w:p w14:paraId="483F6B08" w14:textId="77777777" w:rsidR="00560879" w:rsidRDefault="00560879" w:rsidP="00EC4947">
      <w:pPr>
        <w:rPr>
          <w:rFonts w:ascii="Westpac Bold" w:hAnsi="Westpac Bold"/>
          <w:color w:val="EE0000"/>
        </w:rPr>
      </w:pPr>
    </w:p>
    <w:p w14:paraId="657F93F0" w14:textId="77777777" w:rsidR="00560879" w:rsidRDefault="00560879" w:rsidP="00EC4947">
      <w:pPr>
        <w:rPr>
          <w:rFonts w:ascii="Westpac Bold" w:hAnsi="Westpac Bold"/>
          <w:color w:val="EE0000"/>
        </w:rPr>
      </w:pPr>
    </w:p>
    <w:p w14:paraId="49B7A83F" w14:textId="77777777" w:rsidR="00560879" w:rsidRDefault="00560879" w:rsidP="00EC4947">
      <w:pPr>
        <w:rPr>
          <w:rFonts w:ascii="Westpac Bold" w:hAnsi="Westpac Bold"/>
          <w:color w:val="EE0000"/>
        </w:rPr>
      </w:pPr>
    </w:p>
    <w:p w14:paraId="13B1A1A3" w14:textId="77777777" w:rsidR="00560879" w:rsidRDefault="00560879" w:rsidP="00EC4947">
      <w:pPr>
        <w:rPr>
          <w:rFonts w:ascii="Westpac Bold" w:hAnsi="Westpac Bold"/>
          <w:color w:val="EE0000"/>
        </w:rPr>
      </w:pPr>
    </w:p>
    <w:p w14:paraId="37DA3162" w14:textId="77777777" w:rsidR="00560879" w:rsidRDefault="00560879" w:rsidP="00EC4947">
      <w:pPr>
        <w:rPr>
          <w:rFonts w:ascii="Westpac Bold" w:hAnsi="Westpac Bold"/>
          <w:color w:val="EE0000"/>
        </w:rPr>
      </w:pPr>
    </w:p>
    <w:p w14:paraId="06D2E2AE" w14:textId="77777777" w:rsidR="00560879" w:rsidRDefault="00560879" w:rsidP="00EC4947">
      <w:pPr>
        <w:rPr>
          <w:rFonts w:ascii="Westpac Bold" w:hAnsi="Westpac Bold"/>
          <w:color w:val="EE0000"/>
        </w:rPr>
      </w:pPr>
    </w:p>
    <w:p w14:paraId="63341B70" w14:textId="77777777" w:rsidR="00560879" w:rsidRDefault="00560879" w:rsidP="00EC4947">
      <w:pPr>
        <w:rPr>
          <w:rFonts w:ascii="Westpac Bold" w:hAnsi="Westpac Bold"/>
          <w:color w:val="EE0000"/>
        </w:rPr>
      </w:pPr>
    </w:p>
    <w:p w14:paraId="5CA94FA0" w14:textId="77777777" w:rsidR="00560879" w:rsidRDefault="00560879" w:rsidP="00EC4947">
      <w:pPr>
        <w:rPr>
          <w:rFonts w:ascii="Westpac Bold" w:hAnsi="Westpac Bold"/>
          <w:color w:val="EE0000"/>
        </w:rPr>
      </w:pPr>
    </w:p>
    <w:p w14:paraId="23A75B0E" w14:textId="77777777" w:rsidR="00560879" w:rsidRDefault="00560879" w:rsidP="00EC4947">
      <w:pPr>
        <w:rPr>
          <w:rFonts w:ascii="Westpac Bold" w:hAnsi="Westpac Bold"/>
          <w:color w:val="EE0000"/>
        </w:rPr>
      </w:pPr>
    </w:p>
    <w:p w14:paraId="161795B1" w14:textId="77777777" w:rsidR="00560879" w:rsidRDefault="00560879" w:rsidP="00EC4947">
      <w:pPr>
        <w:rPr>
          <w:rFonts w:ascii="Westpac Bold" w:hAnsi="Westpac Bold"/>
          <w:color w:val="EE0000"/>
        </w:rPr>
      </w:pPr>
    </w:p>
    <w:p w14:paraId="0445DA48" w14:textId="77777777" w:rsidR="002130E1" w:rsidRDefault="002130E1" w:rsidP="00EC4947">
      <w:pPr>
        <w:rPr>
          <w:rFonts w:ascii="Westpac Bold" w:hAnsi="Westpac Bold"/>
          <w:color w:val="EE0000"/>
        </w:rPr>
      </w:pPr>
    </w:p>
    <w:p w14:paraId="5A673369" w14:textId="09210164" w:rsidR="00EC4947" w:rsidRPr="00560879" w:rsidRDefault="00EC4947" w:rsidP="00EC4947">
      <w:pPr>
        <w:rPr>
          <w:rFonts w:ascii="Westpac Bold" w:hAnsi="Westpac Bold"/>
          <w:color w:val="EE0000"/>
          <w:sz w:val="26"/>
          <w:szCs w:val="26"/>
        </w:rPr>
      </w:pPr>
      <w:r w:rsidRPr="00560879">
        <w:rPr>
          <w:rFonts w:ascii="Westpac Bold" w:hAnsi="Westpac Bold"/>
          <w:color w:val="EE0000"/>
          <w:sz w:val="26"/>
          <w:szCs w:val="26"/>
        </w:rPr>
        <w:t>Introduction</w:t>
      </w:r>
    </w:p>
    <w:p w14:paraId="2CF81FCD" w14:textId="03273BC5" w:rsidR="00731BA2" w:rsidRDefault="00EC4947" w:rsidP="00EC4947">
      <w:pPr>
        <w:rPr>
          <w:rFonts w:ascii="Nunito Sans" w:hAnsi="Nunito Sans"/>
          <w:sz w:val="20"/>
          <w:szCs w:val="20"/>
        </w:rPr>
      </w:pPr>
      <w:r w:rsidRPr="00560879">
        <w:rPr>
          <w:rFonts w:ascii="Nunito Sans" w:hAnsi="Nunito Sans"/>
          <w:sz w:val="20"/>
          <w:szCs w:val="20"/>
        </w:rPr>
        <w:t xml:space="preserve">Australia’s housing challenge is, at its core, a </w:t>
      </w:r>
      <w:r w:rsidR="00731BA2">
        <w:rPr>
          <w:rFonts w:ascii="Nunito Sans" w:hAnsi="Nunito Sans"/>
          <w:sz w:val="20"/>
          <w:szCs w:val="20"/>
        </w:rPr>
        <w:t xml:space="preserve">cost challenge. We simply cannot build enough houses at </w:t>
      </w:r>
      <w:r w:rsidR="0036365E">
        <w:rPr>
          <w:rFonts w:ascii="Nunito Sans" w:hAnsi="Nunito Sans"/>
          <w:sz w:val="20"/>
          <w:szCs w:val="20"/>
        </w:rPr>
        <w:t xml:space="preserve">an appropriate </w:t>
      </w:r>
      <w:r w:rsidR="00731BA2">
        <w:rPr>
          <w:rFonts w:ascii="Nunito Sans" w:hAnsi="Nunito Sans"/>
          <w:sz w:val="20"/>
          <w:szCs w:val="20"/>
        </w:rPr>
        <w:t>price point</w:t>
      </w:r>
      <w:r w:rsidR="0036365E">
        <w:rPr>
          <w:rFonts w:ascii="Nunito Sans" w:hAnsi="Nunito Sans"/>
          <w:sz w:val="20"/>
          <w:szCs w:val="20"/>
        </w:rPr>
        <w:t xml:space="preserve">, </w:t>
      </w:r>
      <w:r w:rsidR="008E69B6">
        <w:rPr>
          <w:rFonts w:ascii="Nunito Sans" w:hAnsi="Nunito Sans"/>
          <w:sz w:val="20"/>
          <w:szCs w:val="20"/>
        </w:rPr>
        <w:t xml:space="preserve">while also </w:t>
      </w:r>
      <w:r w:rsidR="0097266E">
        <w:rPr>
          <w:rFonts w:ascii="Nunito Sans" w:hAnsi="Nunito Sans"/>
          <w:sz w:val="20"/>
          <w:szCs w:val="20"/>
        </w:rPr>
        <w:t>deliver</w:t>
      </w:r>
      <w:r w:rsidR="008E69B6">
        <w:rPr>
          <w:rFonts w:ascii="Nunito Sans" w:hAnsi="Nunito Sans"/>
          <w:sz w:val="20"/>
          <w:szCs w:val="20"/>
        </w:rPr>
        <w:t>ing</w:t>
      </w:r>
      <w:r w:rsidR="0097266E">
        <w:rPr>
          <w:rFonts w:ascii="Nunito Sans" w:hAnsi="Nunito Sans"/>
          <w:sz w:val="20"/>
          <w:szCs w:val="20"/>
        </w:rPr>
        <w:t xml:space="preserve"> a </w:t>
      </w:r>
      <w:r w:rsidR="0036365E">
        <w:rPr>
          <w:rFonts w:ascii="Nunito Sans" w:hAnsi="Nunito Sans"/>
          <w:sz w:val="20"/>
          <w:szCs w:val="20"/>
        </w:rPr>
        <w:t xml:space="preserve">fair return </w:t>
      </w:r>
      <w:r w:rsidR="00137BDD">
        <w:rPr>
          <w:rFonts w:ascii="Nunito Sans" w:hAnsi="Nunito Sans"/>
          <w:sz w:val="20"/>
          <w:szCs w:val="20"/>
        </w:rPr>
        <w:t xml:space="preserve">for </w:t>
      </w:r>
      <w:r w:rsidR="008E69B6">
        <w:rPr>
          <w:rFonts w:ascii="Nunito Sans" w:hAnsi="Nunito Sans"/>
          <w:sz w:val="20"/>
          <w:szCs w:val="20"/>
        </w:rPr>
        <w:t>developers</w:t>
      </w:r>
      <w:r w:rsidR="00137BDD">
        <w:rPr>
          <w:rFonts w:ascii="Nunito Sans" w:hAnsi="Nunito Sans"/>
          <w:sz w:val="20"/>
          <w:szCs w:val="20"/>
        </w:rPr>
        <w:t xml:space="preserve"> </w:t>
      </w:r>
      <w:r w:rsidR="0097266E">
        <w:rPr>
          <w:rFonts w:ascii="Nunito Sans" w:hAnsi="Nunito Sans"/>
          <w:sz w:val="20"/>
          <w:szCs w:val="20"/>
        </w:rPr>
        <w:t>and buil</w:t>
      </w:r>
      <w:r w:rsidR="008E69B6">
        <w:rPr>
          <w:rFonts w:ascii="Nunito Sans" w:hAnsi="Nunito Sans"/>
          <w:sz w:val="20"/>
          <w:szCs w:val="20"/>
        </w:rPr>
        <w:t>ders</w:t>
      </w:r>
      <w:r w:rsidR="003C5E63">
        <w:rPr>
          <w:rFonts w:ascii="Nunito Sans" w:hAnsi="Nunito Sans"/>
          <w:sz w:val="20"/>
          <w:szCs w:val="20"/>
        </w:rPr>
        <w:t xml:space="preserve"> that incentivises them to keep building</w:t>
      </w:r>
      <w:r w:rsidR="008E69B6">
        <w:rPr>
          <w:rFonts w:ascii="Nunito Sans" w:hAnsi="Nunito Sans"/>
          <w:sz w:val="20"/>
          <w:szCs w:val="20"/>
        </w:rPr>
        <w:t>.</w:t>
      </w:r>
      <w:r w:rsidR="00306F4F">
        <w:rPr>
          <w:rFonts w:ascii="Nunito Sans" w:hAnsi="Nunito Sans"/>
          <w:sz w:val="20"/>
          <w:szCs w:val="20"/>
        </w:rPr>
        <w:t xml:space="preserve"> </w:t>
      </w:r>
      <w:r w:rsidR="00E129C3">
        <w:rPr>
          <w:rFonts w:ascii="Nunito Sans" w:hAnsi="Nunito Sans"/>
          <w:sz w:val="20"/>
          <w:szCs w:val="20"/>
        </w:rPr>
        <w:t>M</w:t>
      </w:r>
      <w:r w:rsidR="00A76DF0">
        <w:rPr>
          <w:rFonts w:ascii="Nunito Sans" w:hAnsi="Nunito Sans"/>
          <w:sz w:val="20"/>
          <w:szCs w:val="20"/>
        </w:rPr>
        <w:t>aterials and labo</w:t>
      </w:r>
      <w:r w:rsidR="00360ECD">
        <w:rPr>
          <w:rFonts w:ascii="Nunito Sans" w:hAnsi="Nunito Sans"/>
          <w:sz w:val="20"/>
          <w:szCs w:val="20"/>
        </w:rPr>
        <w:t>u</w:t>
      </w:r>
      <w:r w:rsidR="00A76DF0">
        <w:rPr>
          <w:rFonts w:ascii="Nunito Sans" w:hAnsi="Nunito Sans"/>
          <w:sz w:val="20"/>
          <w:szCs w:val="20"/>
        </w:rPr>
        <w:t>r costs a</w:t>
      </w:r>
      <w:r w:rsidR="006E3565">
        <w:rPr>
          <w:rFonts w:ascii="Nunito Sans" w:hAnsi="Nunito Sans"/>
          <w:sz w:val="20"/>
          <w:szCs w:val="20"/>
        </w:rPr>
        <w:t xml:space="preserve">re </w:t>
      </w:r>
      <w:r w:rsidR="00E129C3">
        <w:rPr>
          <w:rFonts w:ascii="Nunito Sans" w:hAnsi="Nunito Sans"/>
          <w:sz w:val="20"/>
          <w:szCs w:val="20"/>
        </w:rPr>
        <w:t>two of the pillars in a trifecta of challenge</w:t>
      </w:r>
      <w:r w:rsidR="002D5C0B">
        <w:rPr>
          <w:rFonts w:ascii="Nunito Sans" w:hAnsi="Nunito Sans"/>
          <w:sz w:val="20"/>
          <w:szCs w:val="20"/>
        </w:rPr>
        <w:t>s. P</w:t>
      </w:r>
      <w:r w:rsidR="00E129C3">
        <w:rPr>
          <w:rFonts w:ascii="Nunito Sans" w:hAnsi="Nunito Sans"/>
          <w:sz w:val="20"/>
          <w:szCs w:val="20"/>
        </w:rPr>
        <w:t xml:space="preserve">roductivity is the third </w:t>
      </w:r>
      <w:r w:rsidR="003B37E9">
        <w:rPr>
          <w:rFonts w:ascii="Nunito Sans" w:hAnsi="Nunito Sans"/>
          <w:sz w:val="20"/>
          <w:szCs w:val="20"/>
        </w:rPr>
        <w:t xml:space="preserve">pillar. </w:t>
      </w:r>
    </w:p>
    <w:p w14:paraId="0FBB1306" w14:textId="132C9A2F" w:rsidR="00EC4947" w:rsidRPr="00560879" w:rsidRDefault="00EC4947" w:rsidP="00EC4947">
      <w:pPr>
        <w:rPr>
          <w:rFonts w:ascii="Nunito Sans" w:hAnsi="Nunito Sans"/>
          <w:sz w:val="20"/>
          <w:szCs w:val="20"/>
        </w:rPr>
      </w:pPr>
      <w:r w:rsidRPr="00560879">
        <w:rPr>
          <w:rFonts w:ascii="Nunito Sans" w:hAnsi="Nunito Sans"/>
          <w:sz w:val="20"/>
          <w:szCs w:val="20"/>
        </w:rPr>
        <w:t xml:space="preserve">Increasing </w:t>
      </w:r>
      <w:r w:rsidR="00764120">
        <w:rPr>
          <w:rFonts w:ascii="Nunito Sans" w:hAnsi="Nunito Sans"/>
          <w:sz w:val="20"/>
          <w:szCs w:val="20"/>
        </w:rPr>
        <w:t xml:space="preserve">housing </w:t>
      </w:r>
      <w:r w:rsidRPr="00560879">
        <w:rPr>
          <w:rFonts w:ascii="Nunito Sans" w:hAnsi="Nunito Sans"/>
          <w:sz w:val="20"/>
          <w:szCs w:val="20"/>
        </w:rPr>
        <w:t xml:space="preserve">supply requires a </w:t>
      </w:r>
      <w:r w:rsidR="00764120">
        <w:rPr>
          <w:rFonts w:ascii="Nunito Sans" w:hAnsi="Nunito Sans"/>
          <w:sz w:val="20"/>
          <w:szCs w:val="20"/>
        </w:rPr>
        <w:t>focus on all three areas</w:t>
      </w:r>
      <w:r w:rsidR="00CF0D87">
        <w:rPr>
          <w:rFonts w:ascii="Nunito Sans" w:hAnsi="Nunito Sans"/>
          <w:sz w:val="20"/>
          <w:szCs w:val="20"/>
        </w:rPr>
        <w:t xml:space="preserve">, but in responses to this paper Westpac will focus its </w:t>
      </w:r>
      <w:r w:rsidR="004E4DA2">
        <w:rPr>
          <w:rFonts w:ascii="Nunito Sans" w:hAnsi="Nunito Sans"/>
          <w:sz w:val="20"/>
          <w:szCs w:val="20"/>
        </w:rPr>
        <w:t xml:space="preserve">recommendations on productivity-enabling ideas. </w:t>
      </w:r>
      <w:r w:rsidR="00B8052F">
        <w:rPr>
          <w:rFonts w:ascii="Nunito Sans" w:hAnsi="Nunito Sans"/>
          <w:sz w:val="20"/>
          <w:szCs w:val="20"/>
        </w:rPr>
        <w:t>Increasing</w:t>
      </w:r>
      <w:r w:rsidRPr="00560879">
        <w:rPr>
          <w:rFonts w:ascii="Nunito Sans" w:hAnsi="Nunito Sans"/>
          <w:sz w:val="20"/>
          <w:szCs w:val="20"/>
        </w:rPr>
        <w:t xml:space="preserve"> the speed and efficiency </w:t>
      </w:r>
      <w:r w:rsidR="00990E34">
        <w:rPr>
          <w:rFonts w:ascii="Nunito Sans" w:hAnsi="Nunito Sans"/>
          <w:sz w:val="20"/>
          <w:szCs w:val="20"/>
        </w:rPr>
        <w:t>of how</w:t>
      </w:r>
      <w:r w:rsidRPr="00560879">
        <w:rPr>
          <w:rFonts w:ascii="Nunito Sans" w:hAnsi="Nunito Sans"/>
          <w:sz w:val="20"/>
          <w:szCs w:val="20"/>
        </w:rPr>
        <w:t xml:space="preserve"> homes </w:t>
      </w:r>
      <w:r w:rsidR="00990E34">
        <w:rPr>
          <w:rFonts w:ascii="Nunito Sans" w:hAnsi="Nunito Sans"/>
          <w:sz w:val="20"/>
          <w:szCs w:val="20"/>
        </w:rPr>
        <w:t>are</w:t>
      </w:r>
      <w:r w:rsidRPr="00560879">
        <w:rPr>
          <w:rFonts w:ascii="Nunito Sans" w:hAnsi="Nunito Sans"/>
          <w:sz w:val="20"/>
          <w:szCs w:val="20"/>
        </w:rPr>
        <w:t xml:space="preserve"> planned, approved and built</w:t>
      </w:r>
      <w:r w:rsidR="008B0C56">
        <w:rPr>
          <w:rFonts w:ascii="Nunito Sans" w:hAnsi="Nunito Sans"/>
          <w:sz w:val="20"/>
          <w:szCs w:val="20"/>
        </w:rPr>
        <w:t xml:space="preserve"> will deliver more homes for Australians</w:t>
      </w:r>
      <w:r w:rsidRPr="00560879">
        <w:rPr>
          <w:rFonts w:ascii="Nunito Sans" w:hAnsi="Nunito Sans"/>
          <w:sz w:val="20"/>
          <w:szCs w:val="20"/>
        </w:rPr>
        <w:t>.</w:t>
      </w:r>
    </w:p>
    <w:p w14:paraId="48781FD7" w14:textId="39D3B2D0" w:rsidR="006E0420" w:rsidRPr="00560879" w:rsidRDefault="00EC4947" w:rsidP="00EC4947">
      <w:pPr>
        <w:rPr>
          <w:rFonts w:ascii="Nunito Sans" w:hAnsi="Nunito Sans"/>
          <w:sz w:val="20"/>
          <w:szCs w:val="20"/>
        </w:rPr>
      </w:pPr>
      <w:r w:rsidRPr="00560879">
        <w:rPr>
          <w:rFonts w:ascii="Nunito Sans" w:hAnsi="Nunito Sans"/>
          <w:sz w:val="20"/>
          <w:szCs w:val="20"/>
        </w:rPr>
        <w:t>Across the sector, from large developers to family</w:t>
      </w:r>
      <w:r w:rsidRPr="00560879">
        <w:rPr>
          <w:rFonts w:ascii="Nunito Sans" w:hAnsi="Nunito Sans"/>
          <w:sz w:val="20"/>
          <w:szCs w:val="20"/>
        </w:rPr>
        <w:noBreakHyphen/>
        <w:t xml:space="preserve">owned building companies, there is a significant and growing compliance burden that must be navigated before </w:t>
      </w:r>
      <w:r w:rsidR="0030232D">
        <w:rPr>
          <w:rFonts w:ascii="Nunito Sans" w:hAnsi="Nunito Sans"/>
          <w:sz w:val="20"/>
          <w:szCs w:val="20"/>
        </w:rPr>
        <w:t xml:space="preserve">a nail is hammered or a sod is turned. </w:t>
      </w:r>
      <w:r w:rsidRPr="00560879">
        <w:rPr>
          <w:rFonts w:ascii="Nunito Sans" w:hAnsi="Nunito Sans"/>
          <w:sz w:val="20"/>
          <w:szCs w:val="20"/>
        </w:rPr>
        <w:t xml:space="preserve"> While individual regulatory requirements are typically well</w:t>
      </w:r>
      <w:r w:rsidRPr="00560879">
        <w:rPr>
          <w:rFonts w:ascii="Nunito Sans" w:hAnsi="Nunito Sans"/>
          <w:sz w:val="20"/>
          <w:szCs w:val="20"/>
        </w:rPr>
        <w:noBreakHyphen/>
        <w:t>intentioned, addressing objectives such as safety, environmental protection and community amenity, the cumulative impact has become material</w:t>
      </w:r>
      <w:r w:rsidR="007E5051">
        <w:rPr>
          <w:rFonts w:ascii="Nunito Sans" w:hAnsi="Nunito Sans"/>
          <w:sz w:val="20"/>
          <w:szCs w:val="20"/>
        </w:rPr>
        <w:t xml:space="preserve"> and over-burdensome.</w:t>
      </w:r>
      <w:r w:rsidRPr="00560879">
        <w:rPr>
          <w:rFonts w:ascii="Nunito Sans" w:hAnsi="Nunito Sans"/>
          <w:sz w:val="20"/>
          <w:szCs w:val="20"/>
        </w:rPr>
        <w:t xml:space="preserve"> </w:t>
      </w:r>
      <w:r w:rsidR="00F41781">
        <w:rPr>
          <w:rFonts w:ascii="Nunito Sans" w:hAnsi="Nunito Sans"/>
          <w:sz w:val="20"/>
          <w:szCs w:val="20"/>
        </w:rPr>
        <w:t>The</w:t>
      </w:r>
      <w:r w:rsidRPr="00560879">
        <w:rPr>
          <w:rFonts w:ascii="Nunito Sans" w:hAnsi="Nunito Sans"/>
          <w:sz w:val="20"/>
          <w:szCs w:val="20"/>
        </w:rPr>
        <w:t xml:space="preserve"> </w:t>
      </w:r>
      <w:r w:rsidR="007E5051">
        <w:rPr>
          <w:rFonts w:ascii="Nunito Sans" w:hAnsi="Nunito Sans"/>
          <w:sz w:val="20"/>
          <w:szCs w:val="20"/>
        </w:rPr>
        <w:t>result of this compliance layer</w:t>
      </w:r>
      <w:r w:rsidRPr="00560879">
        <w:rPr>
          <w:rFonts w:ascii="Nunito Sans" w:hAnsi="Nunito Sans"/>
          <w:sz w:val="20"/>
          <w:szCs w:val="20"/>
        </w:rPr>
        <w:t xml:space="preserve"> is contributing to smaller builders exiting the industry and larger developers reprioritising towards other forms of construction.</w:t>
      </w:r>
    </w:p>
    <w:p w14:paraId="092534B1" w14:textId="77777777" w:rsidR="00EC4947" w:rsidRPr="00560879" w:rsidRDefault="00EC4947" w:rsidP="00EC4947">
      <w:pPr>
        <w:rPr>
          <w:rFonts w:ascii="Nunito Sans" w:hAnsi="Nunito Sans"/>
          <w:sz w:val="20"/>
          <w:szCs w:val="20"/>
        </w:rPr>
      </w:pPr>
      <w:r w:rsidRPr="00560879">
        <w:rPr>
          <w:rFonts w:ascii="Nunito Sans" w:hAnsi="Nunito Sans"/>
          <w:sz w:val="20"/>
          <w:szCs w:val="20"/>
        </w:rPr>
        <w:t>This creates a fundamental policy challenge: how to reduce or streamline compliance requirements without undermining the legitimate objectives those regulations were designed to achieve. Addressing this will require targeted reform, a willingness to reassess existing settings, and close coordination across all levels of government, particularly state and local jurisdictions where many of these requirements originate.</w:t>
      </w:r>
    </w:p>
    <w:p w14:paraId="73632DE2" w14:textId="29E77FC9" w:rsidR="00EC4947" w:rsidRPr="00560879" w:rsidRDefault="00EC4947" w:rsidP="00EC4947">
      <w:pPr>
        <w:rPr>
          <w:rFonts w:ascii="Nunito Sans" w:hAnsi="Nunito Sans"/>
          <w:b/>
          <w:bCs/>
          <w:sz w:val="20"/>
          <w:szCs w:val="20"/>
        </w:rPr>
      </w:pPr>
      <w:r w:rsidRPr="00560879">
        <w:rPr>
          <w:rFonts w:ascii="Nunito Sans" w:hAnsi="Nunito Sans"/>
          <w:b/>
          <w:bCs/>
          <w:sz w:val="20"/>
          <w:szCs w:val="20"/>
        </w:rPr>
        <w:t xml:space="preserve">Westpac is contributing </w:t>
      </w:r>
      <w:r w:rsidR="00DF7C7D">
        <w:rPr>
          <w:rFonts w:ascii="Nunito Sans" w:hAnsi="Nunito Sans"/>
          <w:b/>
          <w:bCs/>
          <w:sz w:val="20"/>
          <w:szCs w:val="20"/>
        </w:rPr>
        <w:t>eight</w:t>
      </w:r>
      <w:r w:rsidRPr="00560879">
        <w:rPr>
          <w:rFonts w:ascii="Nunito Sans" w:hAnsi="Nunito Sans"/>
          <w:b/>
          <w:bCs/>
          <w:sz w:val="20"/>
          <w:szCs w:val="20"/>
        </w:rPr>
        <w:t xml:space="preserve"> targeted recommendations to the Productivity Commission’s review. While we do not suggest these recommendations are exhaustive, they are intended to provide practical, actionable options to improve system efficiency.</w:t>
      </w:r>
    </w:p>
    <w:p w14:paraId="3EE43129" w14:textId="3316D831" w:rsidR="00EC4947" w:rsidRDefault="00EC4947" w:rsidP="00EC4947">
      <w:pPr>
        <w:rPr>
          <w:rFonts w:ascii="Nunito Sans" w:hAnsi="Nunito Sans"/>
          <w:sz w:val="20"/>
          <w:szCs w:val="20"/>
        </w:rPr>
      </w:pPr>
      <w:r w:rsidRPr="00560879">
        <w:rPr>
          <w:rFonts w:ascii="Nunito Sans" w:hAnsi="Nunito Sans"/>
          <w:sz w:val="20"/>
          <w:szCs w:val="20"/>
        </w:rPr>
        <w:t>As a major financier of residential construction in Australia, Westpac is committed to supporting governments in testing and implementing reforms, including through pilot programs that trial more streamlined and efficient compliance approaches.</w:t>
      </w:r>
    </w:p>
    <w:p w14:paraId="073277D8" w14:textId="274BDD42" w:rsidR="00032EE1" w:rsidRPr="00560879" w:rsidRDefault="00032EE1" w:rsidP="00EC4947">
      <w:pPr>
        <w:rPr>
          <w:rFonts w:ascii="Nunito Sans" w:hAnsi="Nunito Sans"/>
          <w:sz w:val="20"/>
          <w:szCs w:val="20"/>
        </w:rPr>
      </w:pPr>
      <w:r>
        <w:rPr>
          <w:rFonts w:ascii="Nunito Sans" w:hAnsi="Nunito Sans"/>
          <w:sz w:val="20"/>
          <w:szCs w:val="20"/>
        </w:rPr>
        <w:t xml:space="preserve">We would be pleased to assist </w:t>
      </w:r>
      <w:r w:rsidR="00124DD1">
        <w:rPr>
          <w:rFonts w:ascii="Nunito Sans" w:hAnsi="Nunito Sans"/>
          <w:sz w:val="20"/>
          <w:szCs w:val="20"/>
        </w:rPr>
        <w:t xml:space="preserve">the Productivity Commission’s process going forward and provide any further detail on </w:t>
      </w:r>
      <w:r>
        <w:rPr>
          <w:rFonts w:ascii="Nunito Sans" w:hAnsi="Nunito Sans"/>
          <w:sz w:val="20"/>
          <w:szCs w:val="20"/>
        </w:rPr>
        <w:t>our proposals set out below.</w:t>
      </w:r>
    </w:p>
    <w:p w14:paraId="38A4934A" w14:textId="77777777" w:rsidR="00C83E53" w:rsidRPr="00560879" w:rsidRDefault="00C83E53" w:rsidP="00EC4947">
      <w:pPr>
        <w:rPr>
          <w:rFonts w:ascii="Nunito Sans" w:hAnsi="Nunito Sans"/>
          <w:sz w:val="20"/>
          <w:szCs w:val="20"/>
        </w:rPr>
      </w:pPr>
    </w:p>
    <w:p w14:paraId="24030ADE" w14:textId="77777777" w:rsidR="00C83E53" w:rsidRDefault="00C83E53" w:rsidP="00EC4947">
      <w:pPr>
        <w:rPr>
          <w:rFonts w:ascii="Nunito Sans" w:hAnsi="Nunito Sans"/>
          <w:sz w:val="20"/>
          <w:szCs w:val="20"/>
        </w:rPr>
      </w:pPr>
    </w:p>
    <w:p w14:paraId="4C6FE039" w14:textId="77777777" w:rsidR="00C83E53" w:rsidRDefault="00C83E53" w:rsidP="00EC4947">
      <w:pPr>
        <w:rPr>
          <w:rFonts w:ascii="Nunito Sans" w:hAnsi="Nunito Sans"/>
          <w:sz w:val="20"/>
          <w:szCs w:val="20"/>
        </w:rPr>
      </w:pPr>
    </w:p>
    <w:p w14:paraId="5A4F4808" w14:textId="77777777" w:rsidR="00C83E53" w:rsidRDefault="00C83E53" w:rsidP="00EC4947">
      <w:pPr>
        <w:rPr>
          <w:rFonts w:ascii="Nunito Sans" w:hAnsi="Nunito Sans"/>
          <w:sz w:val="20"/>
          <w:szCs w:val="20"/>
        </w:rPr>
      </w:pPr>
    </w:p>
    <w:p w14:paraId="59774F55" w14:textId="77777777" w:rsidR="00C83E53" w:rsidRDefault="00C83E53" w:rsidP="00EC4947">
      <w:pPr>
        <w:rPr>
          <w:rFonts w:ascii="Nunito Sans" w:hAnsi="Nunito Sans"/>
          <w:sz w:val="20"/>
          <w:szCs w:val="20"/>
        </w:rPr>
        <w:sectPr w:rsidR="00C83E53" w:rsidSect="002130E1">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p w14:paraId="3D1C9861" w14:textId="5788387C" w:rsidR="00EC4947" w:rsidRPr="00560879" w:rsidRDefault="00EC4947" w:rsidP="00EC4947">
      <w:pPr>
        <w:rPr>
          <w:rFonts w:ascii="Westpac Bold" w:hAnsi="Westpac Bold"/>
          <w:color w:val="EE0000"/>
          <w:sz w:val="26"/>
          <w:szCs w:val="26"/>
        </w:rPr>
      </w:pPr>
      <w:r w:rsidRPr="00560879">
        <w:rPr>
          <w:rFonts w:ascii="Westpac Bold" w:hAnsi="Westpac Bold"/>
          <w:color w:val="EE0000"/>
          <w:sz w:val="26"/>
          <w:szCs w:val="26"/>
        </w:rPr>
        <w:lastRenderedPageBreak/>
        <w:t>Lay of the land</w:t>
      </w:r>
    </w:p>
    <w:p w14:paraId="1D5B1E34" w14:textId="0FCC4D68" w:rsidR="006E0420" w:rsidRPr="00FD1109" w:rsidRDefault="006E0420" w:rsidP="000A14FD">
      <w:pPr>
        <w:spacing w:after="40"/>
        <w:rPr>
          <w:rFonts w:ascii="Nunito Sans" w:hAnsi="Nunito Sans"/>
          <w:sz w:val="20"/>
          <w:szCs w:val="20"/>
        </w:rPr>
      </w:pPr>
      <w:r w:rsidRPr="00FD1109">
        <w:rPr>
          <w:rFonts w:ascii="Nunito Sans" w:hAnsi="Nunito Sans"/>
          <w:sz w:val="20"/>
          <w:szCs w:val="20"/>
        </w:rPr>
        <w:t xml:space="preserve">To assist with considering the landscape, Westpac has done a </w:t>
      </w:r>
      <w:r w:rsidR="00CB7017">
        <w:rPr>
          <w:rFonts w:ascii="Nunito Sans" w:hAnsi="Nunito Sans"/>
          <w:sz w:val="20"/>
          <w:szCs w:val="20"/>
        </w:rPr>
        <w:t>review of how four state</w:t>
      </w:r>
      <w:r w:rsidRPr="00FD1109">
        <w:rPr>
          <w:rFonts w:ascii="Nunito Sans" w:hAnsi="Nunito Sans"/>
          <w:sz w:val="20"/>
          <w:szCs w:val="20"/>
        </w:rPr>
        <w:t xml:space="preserve"> </w:t>
      </w:r>
      <w:r w:rsidR="00FD1109" w:rsidRPr="00FD1109">
        <w:rPr>
          <w:rFonts w:ascii="Nunito Sans" w:hAnsi="Nunito Sans"/>
          <w:sz w:val="20"/>
          <w:szCs w:val="20"/>
        </w:rPr>
        <w:t>jurisdictions</w:t>
      </w:r>
      <w:r w:rsidRPr="00FD1109">
        <w:rPr>
          <w:rFonts w:ascii="Nunito Sans" w:hAnsi="Nunito Sans"/>
          <w:sz w:val="20"/>
          <w:szCs w:val="20"/>
        </w:rPr>
        <w:t xml:space="preserve"> compare in best practice. </w:t>
      </w:r>
      <w:r w:rsidR="00FD1109" w:rsidRPr="00FD1109">
        <w:rPr>
          <w:rFonts w:ascii="Nunito Sans" w:hAnsi="Nunito Sans"/>
          <w:sz w:val="20"/>
          <w:szCs w:val="20"/>
        </w:rPr>
        <w:t>While not exhaustive, the themes prioritise two outcomes: speed and certainty in approvals, to help build more homes for Australians.</w:t>
      </w:r>
    </w:p>
    <w:tbl>
      <w:tblPr>
        <w:tblStyle w:val="TableGrid"/>
        <w:tblW w:w="14737" w:type="dxa"/>
        <w:tblInd w:w="0" w:type="dxa"/>
        <w:tblLook w:val="04A0" w:firstRow="1" w:lastRow="0" w:firstColumn="1" w:lastColumn="0" w:noHBand="0" w:noVBand="1"/>
      </w:tblPr>
      <w:tblGrid>
        <w:gridCol w:w="7650"/>
        <w:gridCol w:w="1843"/>
        <w:gridCol w:w="1701"/>
        <w:gridCol w:w="1701"/>
        <w:gridCol w:w="1842"/>
      </w:tblGrid>
      <w:tr w:rsidR="00EC4947" w:rsidRPr="005A49CE" w14:paraId="7B8F3924" w14:textId="77777777" w:rsidTr="000A14FD">
        <w:trPr>
          <w:tblHeader/>
        </w:trPr>
        <w:tc>
          <w:tcPr>
            <w:tcW w:w="76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B4CB9EB" w14:textId="7374A2D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Best practice theme</w:t>
            </w:r>
          </w:p>
        </w:tc>
        <w:tc>
          <w:tcPr>
            <w:tcW w:w="184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985308F" w14:textId="77777777" w:rsidR="00EC4947" w:rsidRPr="005A49CE" w:rsidRDefault="00EC4947" w:rsidP="00EC4947">
            <w:pPr>
              <w:spacing w:before="120" w:after="120"/>
              <w:jc w:val="center"/>
              <w:rPr>
                <w:rFonts w:ascii="Nunito Sans" w:hAnsi="Nunito Sans" w:cs="Arial"/>
                <w:b/>
                <w:bCs/>
                <w:sz w:val="18"/>
                <w:szCs w:val="18"/>
              </w:rPr>
            </w:pPr>
            <w:r w:rsidRPr="005A49CE">
              <w:rPr>
                <w:rFonts w:ascii="Nunito Sans" w:hAnsi="Nunito Sans" w:cs="Arial"/>
                <w:b/>
                <w:bCs/>
                <w:sz w:val="18"/>
                <w:szCs w:val="18"/>
              </w:rPr>
              <w:t>NSW</w:t>
            </w:r>
          </w:p>
        </w:tc>
        <w:tc>
          <w:tcPr>
            <w:tcW w:w="170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5A49CAA" w14:textId="77777777" w:rsidR="00EC4947" w:rsidRPr="005A49CE" w:rsidRDefault="00EC4947" w:rsidP="00EC4947">
            <w:pPr>
              <w:spacing w:before="120" w:after="120"/>
              <w:jc w:val="center"/>
              <w:rPr>
                <w:rFonts w:ascii="Nunito Sans" w:hAnsi="Nunito Sans" w:cs="Arial"/>
                <w:b/>
                <w:bCs/>
                <w:sz w:val="18"/>
                <w:szCs w:val="18"/>
              </w:rPr>
            </w:pPr>
            <w:r w:rsidRPr="005A49CE">
              <w:rPr>
                <w:rFonts w:ascii="Nunito Sans" w:hAnsi="Nunito Sans" w:cs="Arial"/>
                <w:b/>
                <w:bCs/>
                <w:sz w:val="18"/>
                <w:szCs w:val="18"/>
              </w:rPr>
              <w:t>VIC</w:t>
            </w:r>
          </w:p>
        </w:tc>
        <w:tc>
          <w:tcPr>
            <w:tcW w:w="170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1B00DF" w14:textId="77777777" w:rsidR="00EC4947" w:rsidRPr="005A49CE" w:rsidRDefault="00EC4947" w:rsidP="00EC4947">
            <w:pPr>
              <w:spacing w:before="120" w:after="120"/>
              <w:jc w:val="center"/>
              <w:rPr>
                <w:rFonts w:ascii="Nunito Sans" w:hAnsi="Nunito Sans" w:cs="Arial"/>
                <w:b/>
                <w:bCs/>
                <w:sz w:val="18"/>
                <w:szCs w:val="18"/>
              </w:rPr>
            </w:pPr>
            <w:r w:rsidRPr="005A49CE">
              <w:rPr>
                <w:rFonts w:ascii="Nunito Sans" w:hAnsi="Nunito Sans" w:cs="Arial"/>
                <w:b/>
                <w:bCs/>
                <w:sz w:val="18"/>
                <w:szCs w:val="18"/>
              </w:rPr>
              <w:t>QLD</w:t>
            </w:r>
          </w:p>
        </w:tc>
        <w:tc>
          <w:tcPr>
            <w:tcW w:w="184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FD400E" w14:textId="77777777" w:rsidR="00EC4947" w:rsidRPr="005A49CE" w:rsidRDefault="00EC4947" w:rsidP="00EC4947">
            <w:pPr>
              <w:spacing w:before="120" w:after="120"/>
              <w:jc w:val="center"/>
              <w:rPr>
                <w:rFonts w:ascii="Nunito Sans" w:hAnsi="Nunito Sans" w:cs="Arial"/>
                <w:b/>
                <w:bCs/>
                <w:sz w:val="18"/>
                <w:szCs w:val="18"/>
              </w:rPr>
            </w:pPr>
            <w:r w:rsidRPr="005A49CE">
              <w:rPr>
                <w:rFonts w:ascii="Nunito Sans" w:hAnsi="Nunito Sans" w:cs="Arial"/>
                <w:b/>
                <w:bCs/>
                <w:sz w:val="18"/>
                <w:szCs w:val="18"/>
              </w:rPr>
              <w:t>SA</w:t>
            </w:r>
          </w:p>
        </w:tc>
      </w:tr>
      <w:tr w:rsidR="00EC4947" w:rsidRPr="005A49CE" w14:paraId="3EAA04DA" w14:textId="77777777" w:rsidTr="000A14FD">
        <w:tc>
          <w:tcPr>
            <w:tcW w:w="7650" w:type="dxa"/>
            <w:tcBorders>
              <w:top w:val="single" w:sz="4" w:space="0" w:color="auto"/>
              <w:left w:val="single" w:sz="4" w:space="0" w:color="auto"/>
              <w:bottom w:val="single" w:sz="4" w:space="0" w:color="auto"/>
              <w:right w:val="single" w:sz="4" w:space="0" w:color="auto"/>
            </w:tcBorders>
            <w:hideMark/>
          </w:tcPr>
          <w:p w14:paraId="40901509" w14:textId="7777777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Long term strategic planning framework</w:t>
            </w:r>
          </w:p>
          <w:p w14:paraId="46DA42EE" w14:textId="04790BFB" w:rsidR="00EC4947" w:rsidRPr="005A49CE" w:rsidRDefault="00EC4947" w:rsidP="00EC4947">
            <w:pPr>
              <w:spacing w:before="120" w:after="120"/>
              <w:rPr>
                <w:rFonts w:ascii="Nunito Sans" w:hAnsi="Nunito Sans" w:cs="Arial"/>
                <w:sz w:val="18"/>
                <w:szCs w:val="18"/>
              </w:rPr>
            </w:pPr>
            <w:r w:rsidRPr="005A49CE">
              <w:rPr>
                <w:rFonts w:ascii="Nunito Sans" w:hAnsi="Nunito Sans" w:cs="Arial"/>
                <w:sz w:val="18"/>
                <w:szCs w:val="18"/>
              </w:rPr>
              <w:t xml:space="preserve">Strategic planning framework used to guide the development of new communities and release/zoning of new land, particularly in growth areas. Offers more predictable release of land on the fringes, helping promote greenfield development and certainty in forward looking investment. </w:t>
            </w:r>
          </w:p>
        </w:tc>
        <w:tc>
          <w:tcPr>
            <w:tcW w:w="1843" w:type="dxa"/>
            <w:tcBorders>
              <w:top w:val="single" w:sz="4" w:space="0" w:color="auto"/>
              <w:left w:val="single" w:sz="4" w:space="0" w:color="auto"/>
              <w:bottom w:val="single" w:sz="4" w:space="0" w:color="auto"/>
              <w:right w:val="single" w:sz="4" w:space="0" w:color="auto"/>
            </w:tcBorders>
            <w:shd w:val="clear" w:color="auto" w:fill="FEEBC4"/>
            <w:hideMark/>
          </w:tcPr>
          <w:p w14:paraId="3E467AB4" w14:textId="7F778BBE" w:rsidR="00EC4947" w:rsidRPr="005A49CE" w:rsidRDefault="00EC4947" w:rsidP="00EC4947">
            <w:pPr>
              <w:spacing w:before="120" w:after="120"/>
              <w:jc w:val="center"/>
              <w:rPr>
                <w:rFonts w:ascii="Nunito Sans" w:hAnsi="Nunito Sans" w:cs="Arial"/>
                <w:b/>
                <w:bCs/>
                <w:sz w:val="18"/>
                <w:szCs w:val="18"/>
              </w:rPr>
            </w:pPr>
            <w:r w:rsidRPr="005A49CE">
              <w:rPr>
                <w:rFonts w:ascii="Nunito Sans" w:hAnsi="Nunito Sans" w:cs="Arial"/>
                <w:sz w:val="18"/>
                <w:szCs w:val="18"/>
              </w:rPr>
              <w:t>Partial – many plans, varied processes, hard to attain single-view</w:t>
            </w:r>
          </w:p>
        </w:tc>
        <w:tc>
          <w:tcPr>
            <w:tcW w:w="1701" w:type="dxa"/>
            <w:tcBorders>
              <w:top w:val="single" w:sz="4" w:space="0" w:color="auto"/>
              <w:left w:val="single" w:sz="4" w:space="0" w:color="auto"/>
              <w:bottom w:val="single" w:sz="4" w:space="0" w:color="auto"/>
              <w:right w:val="single" w:sz="4" w:space="0" w:color="auto"/>
            </w:tcBorders>
            <w:shd w:val="clear" w:color="auto" w:fill="E0FAD6"/>
            <w:hideMark/>
          </w:tcPr>
          <w:p w14:paraId="30DE27DA" w14:textId="77777777"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Precinct Structure Plan (PSP) process</w:t>
            </w:r>
          </w:p>
        </w:tc>
        <w:tc>
          <w:tcPr>
            <w:tcW w:w="1701" w:type="dxa"/>
            <w:tcBorders>
              <w:top w:val="single" w:sz="4" w:space="0" w:color="auto"/>
              <w:left w:val="single" w:sz="4" w:space="0" w:color="auto"/>
              <w:bottom w:val="single" w:sz="4" w:space="0" w:color="auto"/>
              <w:right w:val="single" w:sz="4" w:space="0" w:color="auto"/>
            </w:tcBorders>
            <w:shd w:val="clear" w:color="auto" w:fill="FEEBC4"/>
            <w:hideMark/>
          </w:tcPr>
          <w:p w14:paraId="55ABB594" w14:textId="2838F1EF"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Partial – strategic planning is led by Regional Plans</w:t>
            </w:r>
          </w:p>
        </w:tc>
        <w:tc>
          <w:tcPr>
            <w:tcW w:w="1842" w:type="dxa"/>
            <w:tcBorders>
              <w:top w:val="single" w:sz="4" w:space="0" w:color="auto"/>
              <w:left w:val="single" w:sz="4" w:space="0" w:color="auto"/>
              <w:bottom w:val="single" w:sz="4" w:space="0" w:color="auto"/>
              <w:right w:val="single" w:sz="4" w:space="0" w:color="auto"/>
            </w:tcBorders>
            <w:shd w:val="clear" w:color="auto" w:fill="FEEBC4"/>
            <w:hideMark/>
          </w:tcPr>
          <w:p w14:paraId="3761D15F" w14:textId="2BA625AF"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Partial – strategic planning is guided by the Planning and Design Code and Regional Plan</w:t>
            </w:r>
          </w:p>
        </w:tc>
      </w:tr>
      <w:tr w:rsidR="00EC4947" w:rsidRPr="005A49CE" w14:paraId="6924BC40" w14:textId="77777777" w:rsidTr="000A14FD">
        <w:tc>
          <w:tcPr>
            <w:tcW w:w="7650" w:type="dxa"/>
            <w:tcBorders>
              <w:top w:val="single" w:sz="4" w:space="0" w:color="auto"/>
              <w:left w:val="single" w:sz="4" w:space="0" w:color="auto"/>
              <w:bottom w:val="single" w:sz="4" w:space="0" w:color="auto"/>
              <w:right w:val="single" w:sz="4" w:space="0" w:color="auto"/>
            </w:tcBorders>
            <w:hideMark/>
          </w:tcPr>
          <w:p w14:paraId="1B88E2C8" w14:textId="7777777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Inter-agency coordination body</w:t>
            </w:r>
          </w:p>
          <w:p w14:paraId="6D70E659" w14:textId="77777777" w:rsidR="00EC4947" w:rsidRPr="005A49CE" w:rsidRDefault="00EC4947" w:rsidP="00EC4947">
            <w:pPr>
              <w:spacing w:before="120" w:after="120"/>
              <w:rPr>
                <w:rFonts w:ascii="Nunito Sans" w:hAnsi="Nunito Sans" w:cs="Arial"/>
                <w:sz w:val="18"/>
                <w:szCs w:val="18"/>
              </w:rPr>
            </w:pPr>
            <w:r w:rsidRPr="005A49CE">
              <w:rPr>
                <w:rFonts w:ascii="Nunito Sans" w:hAnsi="Nunito Sans" w:cs="Arial"/>
                <w:sz w:val="18"/>
                <w:szCs w:val="18"/>
              </w:rPr>
              <w:t>Single coordination body or role that coordinates and conducts inter-agency engagement with technical agencies (e.g. Transport, Water, Heritage, Energy) to ensure proposals align with state policies and requirements and infrastructure needs.</w:t>
            </w:r>
          </w:p>
        </w:tc>
        <w:tc>
          <w:tcPr>
            <w:tcW w:w="1843" w:type="dxa"/>
            <w:tcBorders>
              <w:top w:val="single" w:sz="4" w:space="0" w:color="auto"/>
              <w:left w:val="single" w:sz="4" w:space="0" w:color="auto"/>
              <w:bottom w:val="single" w:sz="4" w:space="0" w:color="auto"/>
              <w:right w:val="single" w:sz="4" w:space="0" w:color="auto"/>
            </w:tcBorders>
            <w:shd w:val="clear" w:color="auto" w:fill="E0FAD6"/>
            <w:hideMark/>
          </w:tcPr>
          <w:p w14:paraId="1F41E06A" w14:textId="78C68899" w:rsidR="00EC4947" w:rsidRPr="005A49CE" w:rsidRDefault="005A49CE" w:rsidP="00EC4947">
            <w:pPr>
              <w:spacing w:before="120" w:after="120"/>
              <w:jc w:val="center"/>
              <w:rPr>
                <w:rFonts w:ascii="Nunito Sans" w:hAnsi="Nunito Sans" w:cs="Arial"/>
                <w:b/>
                <w:bCs/>
                <w:sz w:val="18"/>
                <w:szCs w:val="18"/>
              </w:rPr>
            </w:pPr>
            <w:r w:rsidRPr="005A49CE">
              <w:rPr>
                <w:rFonts w:ascii="Nunito Sans" w:hAnsi="Nunito Sans" w:cs="Arial"/>
                <w:sz w:val="18"/>
                <w:szCs w:val="18"/>
              </w:rPr>
              <w:t>Newly</w:t>
            </w:r>
            <w:r>
              <w:rPr>
                <w:rFonts w:ascii="Nunito Sans" w:hAnsi="Nunito Sans" w:cs="Arial"/>
                <w:b/>
                <w:bCs/>
                <w:sz w:val="18"/>
                <w:szCs w:val="18"/>
              </w:rPr>
              <w:t xml:space="preserve"> </w:t>
            </w:r>
            <w:r>
              <w:rPr>
                <w:rFonts w:ascii="Nunito Sans" w:hAnsi="Nunito Sans" w:cs="Arial"/>
                <w:sz w:val="18"/>
                <w:szCs w:val="18"/>
              </w:rPr>
              <w:t>announced</w:t>
            </w:r>
          </w:p>
        </w:tc>
        <w:tc>
          <w:tcPr>
            <w:tcW w:w="1701" w:type="dxa"/>
            <w:tcBorders>
              <w:top w:val="single" w:sz="4" w:space="0" w:color="auto"/>
              <w:left w:val="single" w:sz="4" w:space="0" w:color="auto"/>
              <w:bottom w:val="single" w:sz="4" w:space="0" w:color="auto"/>
              <w:right w:val="single" w:sz="4" w:space="0" w:color="auto"/>
            </w:tcBorders>
            <w:shd w:val="clear" w:color="auto" w:fill="FF9F9F"/>
            <w:hideMark/>
          </w:tcPr>
          <w:p w14:paraId="3D4B148E" w14:textId="2AD2C37A" w:rsidR="00EC4947" w:rsidRPr="00560879" w:rsidRDefault="00560879" w:rsidP="00EC4947">
            <w:pPr>
              <w:spacing w:before="120" w:after="120"/>
              <w:jc w:val="center"/>
              <w:rPr>
                <w:rFonts w:ascii="Nunito Sans" w:hAnsi="Nunito Sans" w:cs="Arial"/>
                <w:sz w:val="18"/>
                <w:szCs w:val="18"/>
              </w:rPr>
            </w:pPr>
            <w:r>
              <w:rPr>
                <w:rFonts w:ascii="Nunito Sans" w:hAnsi="Nunito Sans" w:cs="Arial"/>
                <w:sz w:val="18"/>
                <w:szCs w:val="18"/>
              </w:rPr>
              <w:t>N/A</w:t>
            </w:r>
          </w:p>
        </w:tc>
        <w:tc>
          <w:tcPr>
            <w:tcW w:w="1701" w:type="dxa"/>
            <w:tcBorders>
              <w:top w:val="single" w:sz="4" w:space="0" w:color="auto"/>
              <w:left w:val="single" w:sz="4" w:space="0" w:color="auto"/>
              <w:bottom w:val="single" w:sz="4" w:space="0" w:color="auto"/>
              <w:right w:val="single" w:sz="4" w:space="0" w:color="auto"/>
            </w:tcBorders>
            <w:shd w:val="clear" w:color="auto" w:fill="E0FAD6"/>
            <w:hideMark/>
          </w:tcPr>
          <w:p w14:paraId="04606175" w14:textId="77777777"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State Assessment Referral Agency (SARA)</w:t>
            </w:r>
          </w:p>
        </w:tc>
        <w:tc>
          <w:tcPr>
            <w:tcW w:w="1842" w:type="dxa"/>
            <w:tcBorders>
              <w:top w:val="single" w:sz="4" w:space="0" w:color="auto"/>
              <w:left w:val="single" w:sz="4" w:space="0" w:color="auto"/>
              <w:bottom w:val="single" w:sz="4" w:space="0" w:color="auto"/>
              <w:right w:val="single" w:sz="4" w:space="0" w:color="auto"/>
            </w:tcBorders>
            <w:shd w:val="clear" w:color="auto" w:fill="E0FAD6"/>
            <w:hideMark/>
          </w:tcPr>
          <w:p w14:paraId="00877F21" w14:textId="77777777"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Coordinator General</w:t>
            </w:r>
          </w:p>
        </w:tc>
      </w:tr>
      <w:tr w:rsidR="00EC4947" w:rsidRPr="005A49CE" w14:paraId="18743A64" w14:textId="77777777" w:rsidTr="000A14FD">
        <w:tc>
          <w:tcPr>
            <w:tcW w:w="7650" w:type="dxa"/>
            <w:tcBorders>
              <w:top w:val="single" w:sz="4" w:space="0" w:color="auto"/>
              <w:left w:val="single" w:sz="4" w:space="0" w:color="auto"/>
              <w:bottom w:val="single" w:sz="4" w:space="0" w:color="auto"/>
              <w:right w:val="single" w:sz="4" w:space="0" w:color="auto"/>
            </w:tcBorders>
            <w:hideMark/>
          </w:tcPr>
          <w:p w14:paraId="4156C3FC" w14:textId="7777777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Deemed approvals</w:t>
            </w:r>
          </w:p>
          <w:p w14:paraId="38A96C98" w14:textId="7777777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sz w:val="18"/>
                <w:szCs w:val="18"/>
              </w:rPr>
              <w:t>Allows certain DAs to be automatically approved if the assessment manager fails to decide within the statutory timeframe (rather than automatically rejected).</w:t>
            </w:r>
          </w:p>
        </w:tc>
        <w:tc>
          <w:tcPr>
            <w:tcW w:w="1843" w:type="dxa"/>
            <w:tcBorders>
              <w:top w:val="single" w:sz="4" w:space="0" w:color="auto"/>
              <w:left w:val="single" w:sz="4" w:space="0" w:color="auto"/>
              <w:bottom w:val="single" w:sz="4" w:space="0" w:color="auto"/>
              <w:right w:val="single" w:sz="4" w:space="0" w:color="auto"/>
            </w:tcBorders>
            <w:shd w:val="clear" w:color="auto" w:fill="E0FAD6"/>
            <w:hideMark/>
          </w:tcPr>
          <w:p w14:paraId="56B7D916" w14:textId="0D9E1AC1" w:rsidR="00EC4947" w:rsidRPr="005A49CE" w:rsidRDefault="005A49CE" w:rsidP="00EC4947">
            <w:pPr>
              <w:spacing w:before="120" w:after="120"/>
              <w:jc w:val="center"/>
              <w:rPr>
                <w:rFonts w:ascii="Nunito Sans" w:hAnsi="Nunito Sans" w:cs="Arial"/>
                <w:sz w:val="18"/>
                <w:szCs w:val="18"/>
              </w:rPr>
            </w:pPr>
            <w:r w:rsidRPr="005A49CE">
              <w:rPr>
                <w:rFonts w:ascii="Nunito Sans" w:hAnsi="Nunito Sans" w:cs="Arial"/>
                <w:sz w:val="18"/>
                <w:szCs w:val="18"/>
              </w:rPr>
              <w:t>Newly announced</w:t>
            </w:r>
          </w:p>
        </w:tc>
        <w:tc>
          <w:tcPr>
            <w:tcW w:w="1701" w:type="dxa"/>
            <w:tcBorders>
              <w:top w:val="single" w:sz="4" w:space="0" w:color="auto"/>
              <w:left w:val="single" w:sz="4" w:space="0" w:color="auto"/>
              <w:bottom w:val="single" w:sz="4" w:space="0" w:color="auto"/>
              <w:right w:val="single" w:sz="4" w:space="0" w:color="auto"/>
            </w:tcBorders>
            <w:shd w:val="clear" w:color="auto" w:fill="FF9F9F"/>
            <w:hideMark/>
          </w:tcPr>
          <w:p w14:paraId="661000F9" w14:textId="38F42FE4" w:rsidR="00EC4947" w:rsidRPr="005A49CE" w:rsidRDefault="00560879" w:rsidP="00EC4947">
            <w:pPr>
              <w:spacing w:before="120" w:after="120"/>
              <w:jc w:val="center"/>
              <w:rPr>
                <w:rFonts w:ascii="Nunito Sans" w:hAnsi="Nunito Sans" w:cs="Arial"/>
                <w:b/>
                <w:bCs/>
                <w:sz w:val="18"/>
                <w:szCs w:val="18"/>
              </w:rPr>
            </w:pPr>
            <w:r>
              <w:rPr>
                <w:rFonts w:ascii="Nunito Sans" w:hAnsi="Nunito Sans" w:cs="Arial"/>
                <w:sz w:val="18"/>
                <w:szCs w:val="18"/>
              </w:rPr>
              <w:t>N/A</w:t>
            </w:r>
          </w:p>
        </w:tc>
        <w:tc>
          <w:tcPr>
            <w:tcW w:w="1701" w:type="dxa"/>
            <w:tcBorders>
              <w:top w:val="single" w:sz="4" w:space="0" w:color="auto"/>
              <w:left w:val="single" w:sz="4" w:space="0" w:color="auto"/>
              <w:bottom w:val="single" w:sz="4" w:space="0" w:color="auto"/>
              <w:right w:val="single" w:sz="4" w:space="0" w:color="auto"/>
            </w:tcBorders>
            <w:shd w:val="clear" w:color="auto" w:fill="E0FAD6"/>
          </w:tcPr>
          <w:p w14:paraId="0F024473" w14:textId="23AD6659" w:rsidR="00EC4947" w:rsidRPr="000023CE" w:rsidRDefault="000023CE" w:rsidP="00EC4947">
            <w:pPr>
              <w:spacing w:before="120" w:after="120"/>
              <w:jc w:val="center"/>
              <w:rPr>
                <w:rFonts w:ascii="Nunito Sans" w:hAnsi="Nunito Sans" w:cs="Arial"/>
                <w:sz w:val="18"/>
                <w:szCs w:val="18"/>
              </w:rPr>
            </w:pPr>
            <w:r w:rsidRPr="000023CE">
              <w:rPr>
                <w:rFonts w:ascii="Nunito Sans" w:hAnsi="Nunito Sans" w:cs="Arial"/>
                <w:sz w:val="18"/>
                <w:szCs w:val="18"/>
              </w:rPr>
              <w:t xml:space="preserve">Existing </w:t>
            </w:r>
          </w:p>
        </w:tc>
        <w:tc>
          <w:tcPr>
            <w:tcW w:w="1842" w:type="dxa"/>
            <w:tcBorders>
              <w:top w:val="single" w:sz="4" w:space="0" w:color="auto"/>
              <w:left w:val="single" w:sz="4" w:space="0" w:color="auto"/>
              <w:bottom w:val="single" w:sz="4" w:space="0" w:color="auto"/>
              <w:right w:val="single" w:sz="4" w:space="0" w:color="auto"/>
            </w:tcBorders>
            <w:shd w:val="clear" w:color="auto" w:fill="FF9F9F"/>
            <w:hideMark/>
          </w:tcPr>
          <w:p w14:paraId="6508AA25" w14:textId="0A985A18" w:rsidR="00EC4947" w:rsidRPr="005A49CE" w:rsidRDefault="00560879" w:rsidP="00EC4947">
            <w:pPr>
              <w:spacing w:before="120" w:after="120"/>
              <w:jc w:val="center"/>
              <w:rPr>
                <w:rFonts w:ascii="Nunito Sans" w:hAnsi="Nunito Sans" w:cs="Arial"/>
                <w:b/>
                <w:bCs/>
                <w:sz w:val="18"/>
                <w:szCs w:val="18"/>
              </w:rPr>
            </w:pPr>
            <w:r>
              <w:rPr>
                <w:rFonts w:ascii="Nunito Sans" w:hAnsi="Nunito Sans" w:cs="Arial"/>
                <w:sz w:val="18"/>
                <w:szCs w:val="18"/>
              </w:rPr>
              <w:t>N/A</w:t>
            </w:r>
          </w:p>
        </w:tc>
      </w:tr>
      <w:tr w:rsidR="00EC4947" w:rsidRPr="005A49CE" w14:paraId="2433DDB5" w14:textId="77777777" w:rsidTr="000A14FD">
        <w:tc>
          <w:tcPr>
            <w:tcW w:w="7650" w:type="dxa"/>
            <w:tcBorders>
              <w:top w:val="single" w:sz="4" w:space="0" w:color="auto"/>
              <w:left w:val="single" w:sz="4" w:space="0" w:color="auto"/>
              <w:bottom w:val="single" w:sz="4" w:space="0" w:color="auto"/>
              <w:right w:val="single" w:sz="4" w:space="0" w:color="auto"/>
            </w:tcBorders>
            <w:hideMark/>
          </w:tcPr>
          <w:p w14:paraId="3DF0C5DA" w14:textId="388F8B1F"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Flexible apartment design guidelines</w:t>
            </w:r>
          </w:p>
          <w:p w14:paraId="58E30686" w14:textId="69DB581A" w:rsidR="00EC4947" w:rsidRPr="005A49CE" w:rsidRDefault="008D0083" w:rsidP="00EC4947">
            <w:pPr>
              <w:spacing w:before="120" w:after="120"/>
              <w:rPr>
                <w:rFonts w:ascii="Nunito Sans" w:hAnsi="Nunito Sans" w:cs="Arial"/>
                <w:b/>
                <w:sz w:val="18"/>
                <w:szCs w:val="18"/>
              </w:rPr>
            </w:pPr>
            <w:r>
              <w:rPr>
                <w:rFonts w:ascii="Nunito Sans" w:hAnsi="Nunito Sans" w:cs="Arial"/>
                <w:sz w:val="18"/>
                <w:szCs w:val="18"/>
              </w:rPr>
              <w:t>G</w:t>
            </w:r>
            <w:r w:rsidR="00337F86" w:rsidRPr="00337F86">
              <w:rPr>
                <w:rFonts w:ascii="Nunito Sans" w:hAnsi="Nunito Sans" w:cs="Arial"/>
                <w:sz w:val="18"/>
                <w:szCs w:val="18"/>
              </w:rPr>
              <w:t xml:space="preserve">uidelines were first developed as true “guides” to help developers navigate the complexity of the NCC, but over time they have become </w:t>
            </w:r>
            <w:r w:rsidR="00D8380E">
              <w:rPr>
                <w:rFonts w:ascii="Nunito Sans" w:hAnsi="Nunito Sans" w:cs="Arial"/>
                <w:sz w:val="18"/>
                <w:szCs w:val="18"/>
              </w:rPr>
              <w:t>quasi-</w:t>
            </w:r>
            <w:r w:rsidR="00337F86" w:rsidRPr="00337F86">
              <w:rPr>
                <w:rFonts w:ascii="Nunito Sans" w:hAnsi="Nunito Sans" w:cs="Arial"/>
                <w:sz w:val="18"/>
                <w:szCs w:val="18"/>
              </w:rPr>
              <w:t xml:space="preserve">compliance </w:t>
            </w:r>
            <w:r w:rsidR="00D8380E">
              <w:rPr>
                <w:rFonts w:ascii="Nunito Sans" w:hAnsi="Nunito Sans" w:cs="Arial"/>
                <w:sz w:val="18"/>
                <w:szCs w:val="18"/>
              </w:rPr>
              <w:t>rules</w:t>
            </w:r>
            <w:r w:rsidR="00337F86" w:rsidRPr="00337F86">
              <w:rPr>
                <w:rFonts w:ascii="Nunito Sans" w:hAnsi="Nunito Sans" w:cs="Arial"/>
                <w:sz w:val="18"/>
                <w:szCs w:val="18"/>
              </w:rPr>
              <w:t>. </w:t>
            </w:r>
            <w:r>
              <w:rPr>
                <w:rFonts w:ascii="Nunito Sans" w:hAnsi="Nunito Sans" w:cs="Arial"/>
                <w:sz w:val="18"/>
                <w:szCs w:val="18"/>
              </w:rPr>
              <w:t>G</w:t>
            </w:r>
            <w:r w:rsidR="00EC4947" w:rsidRPr="005A49CE">
              <w:rPr>
                <w:rFonts w:ascii="Nunito Sans" w:hAnsi="Nunito Sans" w:cs="Arial"/>
                <w:sz w:val="18"/>
                <w:szCs w:val="18"/>
              </w:rPr>
              <w:t>uidelines that offer guidance but permit treatment of developments on a bespoke basis, away from a rigid or compliance-centric approach to design</w:t>
            </w:r>
            <w:r w:rsidR="00D8380E">
              <w:rPr>
                <w:rFonts w:ascii="Nunito Sans" w:hAnsi="Nunito Sans" w:cs="Arial"/>
                <w:sz w:val="18"/>
                <w:szCs w:val="18"/>
              </w:rPr>
              <w:t>, is the preferable outcome.</w:t>
            </w:r>
          </w:p>
        </w:tc>
        <w:tc>
          <w:tcPr>
            <w:tcW w:w="1843" w:type="dxa"/>
            <w:tcBorders>
              <w:top w:val="single" w:sz="4" w:space="0" w:color="auto"/>
              <w:left w:val="single" w:sz="4" w:space="0" w:color="auto"/>
              <w:bottom w:val="single" w:sz="4" w:space="0" w:color="auto"/>
              <w:right w:val="single" w:sz="4" w:space="0" w:color="auto"/>
            </w:tcBorders>
            <w:shd w:val="clear" w:color="auto" w:fill="FEEBC4"/>
            <w:hideMark/>
          </w:tcPr>
          <w:p w14:paraId="187E23B7" w14:textId="20006578" w:rsidR="00EC4947" w:rsidRPr="005A49CE" w:rsidRDefault="00DF66C7" w:rsidP="00EC4947">
            <w:pPr>
              <w:spacing w:before="120" w:after="120"/>
              <w:jc w:val="center"/>
              <w:rPr>
                <w:rFonts w:ascii="Nunito Sans" w:hAnsi="Nunito Sans" w:cs="Arial"/>
                <w:sz w:val="18"/>
                <w:szCs w:val="18"/>
              </w:rPr>
            </w:pPr>
            <w:r w:rsidRPr="005A49CE">
              <w:rPr>
                <w:rFonts w:ascii="Nunito Sans" w:hAnsi="Nunito Sans" w:cs="Arial"/>
                <w:sz w:val="18"/>
                <w:szCs w:val="18"/>
              </w:rPr>
              <w:t xml:space="preserve">Partial </w:t>
            </w:r>
            <w:r>
              <w:rPr>
                <w:rFonts w:ascii="Nunito Sans" w:hAnsi="Nunito Sans" w:cs="Arial"/>
                <w:sz w:val="18"/>
                <w:szCs w:val="18"/>
              </w:rPr>
              <w:t>–</w:t>
            </w:r>
            <w:r w:rsidRPr="005A49CE">
              <w:rPr>
                <w:rFonts w:ascii="Nunito Sans" w:hAnsi="Nunito Sans" w:cs="Arial"/>
                <w:sz w:val="18"/>
                <w:szCs w:val="18"/>
              </w:rPr>
              <w:t xml:space="preserve"> applied</w:t>
            </w:r>
            <w:r w:rsidR="00EC4947" w:rsidRPr="005A49CE">
              <w:rPr>
                <w:rFonts w:ascii="Nunito Sans" w:hAnsi="Nunito Sans" w:cs="Arial"/>
                <w:sz w:val="18"/>
                <w:szCs w:val="18"/>
              </w:rPr>
              <w:t xml:space="preserve"> </w:t>
            </w:r>
            <w:r w:rsidR="00172546">
              <w:rPr>
                <w:rFonts w:ascii="Nunito Sans" w:hAnsi="Nunito Sans" w:cs="Arial"/>
                <w:sz w:val="18"/>
                <w:szCs w:val="18"/>
              </w:rPr>
              <w:t>as a compliance overlay</w:t>
            </w:r>
          </w:p>
        </w:tc>
        <w:tc>
          <w:tcPr>
            <w:tcW w:w="1701" w:type="dxa"/>
            <w:tcBorders>
              <w:top w:val="single" w:sz="4" w:space="0" w:color="auto"/>
              <w:left w:val="single" w:sz="4" w:space="0" w:color="auto"/>
              <w:bottom w:val="single" w:sz="4" w:space="0" w:color="auto"/>
              <w:right w:val="single" w:sz="4" w:space="0" w:color="auto"/>
            </w:tcBorders>
            <w:shd w:val="clear" w:color="auto" w:fill="E0FAD6"/>
          </w:tcPr>
          <w:p w14:paraId="3A2CDF93" w14:textId="124F6663" w:rsidR="00EC4947" w:rsidRPr="00BD4652" w:rsidRDefault="00361CE2" w:rsidP="00EC4947">
            <w:pPr>
              <w:spacing w:before="120" w:after="120"/>
              <w:jc w:val="center"/>
              <w:rPr>
                <w:rFonts w:ascii="Nunito Sans" w:hAnsi="Nunito Sans" w:cs="Arial"/>
                <w:sz w:val="18"/>
                <w:szCs w:val="18"/>
              </w:rPr>
            </w:pPr>
            <w:r>
              <w:rPr>
                <w:rFonts w:ascii="Nunito Sans" w:hAnsi="Nunito Sans" w:cs="Arial"/>
                <w:sz w:val="18"/>
                <w:szCs w:val="18"/>
              </w:rPr>
              <w:t>Applied as</w:t>
            </w:r>
            <w:r w:rsidR="00F36461">
              <w:rPr>
                <w:rFonts w:ascii="Nunito Sans" w:hAnsi="Nunito Sans" w:cs="Arial"/>
                <w:sz w:val="18"/>
                <w:szCs w:val="18"/>
              </w:rPr>
              <w:t xml:space="preserve"> “guidelines only”</w:t>
            </w:r>
          </w:p>
        </w:tc>
        <w:tc>
          <w:tcPr>
            <w:tcW w:w="1701" w:type="dxa"/>
            <w:tcBorders>
              <w:top w:val="single" w:sz="4" w:space="0" w:color="auto"/>
              <w:left w:val="single" w:sz="4" w:space="0" w:color="auto"/>
              <w:bottom w:val="single" w:sz="4" w:space="0" w:color="auto"/>
              <w:right w:val="single" w:sz="4" w:space="0" w:color="auto"/>
            </w:tcBorders>
            <w:shd w:val="clear" w:color="auto" w:fill="E0FAD6"/>
            <w:hideMark/>
          </w:tcPr>
          <w:p w14:paraId="6689D7CD" w14:textId="5B985762" w:rsidR="00EC4947" w:rsidRPr="005A49CE" w:rsidRDefault="00C32B8A" w:rsidP="00EC4947">
            <w:pPr>
              <w:spacing w:before="120" w:after="120"/>
              <w:jc w:val="center"/>
              <w:rPr>
                <w:rFonts w:ascii="Nunito Sans" w:hAnsi="Nunito Sans" w:cs="Arial"/>
                <w:b/>
                <w:bCs/>
                <w:sz w:val="18"/>
                <w:szCs w:val="18"/>
              </w:rPr>
            </w:pPr>
            <w:r>
              <w:rPr>
                <w:rFonts w:ascii="Nunito Sans" w:hAnsi="Nunito Sans" w:cs="Arial"/>
                <w:sz w:val="18"/>
                <w:szCs w:val="18"/>
              </w:rPr>
              <w:t>No additional guidelines. Rely on NCC</w:t>
            </w:r>
          </w:p>
        </w:tc>
        <w:tc>
          <w:tcPr>
            <w:tcW w:w="1842" w:type="dxa"/>
            <w:tcBorders>
              <w:top w:val="single" w:sz="4" w:space="0" w:color="auto"/>
              <w:left w:val="single" w:sz="4" w:space="0" w:color="auto"/>
              <w:bottom w:val="single" w:sz="4" w:space="0" w:color="auto"/>
              <w:right w:val="single" w:sz="4" w:space="0" w:color="auto"/>
            </w:tcBorders>
            <w:shd w:val="clear" w:color="auto" w:fill="FEEBC4"/>
            <w:hideMark/>
          </w:tcPr>
          <w:p w14:paraId="5128C5AA" w14:textId="4A417D97"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Partial – applies mainly to affordable housing</w:t>
            </w:r>
          </w:p>
        </w:tc>
      </w:tr>
      <w:tr w:rsidR="00EC4947" w:rsidRPr="005A49CE" w14:paraId="21CE917F" w14:textId="77777777" w:rsidTr="000A14FD">
        <w:tc>
          <w:tcPr>
            <w:tcW w:w="7650" w:type="dxa"/>
            <w:tcBorders>
              <w:top w:val="single" w:sz="4" w:space="0" w:color="auto"/>
              <w:left w:val="single" w:sz="4" w:space="0" w:color="auto"/>
              <w:bottom w:val="single" w:sz="4" w:space="0" w:color="auto"/>
              <w:right w:val="single" w:sz="4" w:space="0" w:color="auto"/>
            </w:tcBorders>
            <w:hideMark/>
          </w:tcPr>
          <w:p w14:paraId="74CD1F26" w14:textId="5F157869"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Simpler regulatory approach to planning</w:t>
            </w:r>
            <w:r w:rsidR="005E3517">
              <w:rPr>
                <w:rFonts w:ascii="Nunito Sans" w:hAnsi="Nunito Sans" w:cs="Arial"/>
                <w:b/>
                <w:bCs/>
                <w:sz w:val="18"/>
                <w:szCs w:val="18"/>
              </w:rPr>
              <w:t xml:space="preserve"> and development Codes</w:t>
            </w:r>
          </w:p>
          <w:p w14:paraId="7C30F00F" w14:textId="08ACA11F" w:rsidR="00EC4947" w:rsidRPr="005A49CE" w:rsidRDefault="00EC4947" w:rsidP="00EC4947">
            <w:pPr>
              <w:spacing w:before="120" w:after="120"/>
              <w:rPr>
                <w:rFonts w:ascii="Nunito Sans" w:hAnsi="Nunito Sans" w:cs="Arial"/>
                <w:sz w:val="18"/>
                <w:szCs w:val="18"/>
              </w:rPr>
            </w:pPr>
            <w:r w:rsidRPr="005A49CE">
              <w:rPr>
                <w:rFonts w:ascii="Nunito Sans" w:hAnsi="Nunito Sans" w:cs="Arial"/>
                <w:sz w:val="18"/>
                <w:szCs w:val="18"/>
              </w:rPr>
              <w:t>A consolidated planning approach/documents creates an environment of speed, certainty and consistency in outcome, which is essential for business investment.</w:t>
            </w:r>
            <w:r w:rsidR="00435787">
              <w:rPr>
                <w:rFonts w:ascii="Nunito Sans" w:hAnsi="Nunito Sans" w:cs="Arial"/>
                <w:sz w:val="18"/>
                <w:szCs w:val="18"/>
              </w:rPr>
              <w:t xml:space="preserve"> Most state</w:t>
            </w:r>
            <w:r w:rsidR="008D0083">
              <w:rPr>
                <w:rFonts w:ascii="Nunito Sans" w:hAnsi="Nunito Sans" w:cs="Arial"/>
                <w:sz w:val="18"/>
                <w:szCs w:val="18"/>
              </w:rPr>
              <w:t>-</w:t>
            </w:r>
            <w:r w:rsidR="00435787">
              <w:rPr>
                <w:rFonts w:ascii="Nunito Sans" w:hAnsi="Nunito Sans" w:cs="Arial"/>
                <w:sz w:val="18"/>
                <w:szCs w:val="18"/>
              </w:rPr>
              <w:t xml:space="preserve">based development Codes have, over time, become cumbersome </w:t>
            </w:r>
            <w:r w:rsidR="008D0083">
              <w:rPr>
                <w:rFonts w:ascii="Nunito Sans" w:hAnsi="Nunito Sans" w:cs="Arial"/>
                <w:sz w:val="18"/>
                <w:szCs w:val="18"/>
              </w:rPr>
              <w:t>frameworks to navigate.</w:t>
            </w:r>
          </w:p>
        </w:tc>
        <w:tc>
          <w:tcPr>
            <w:tcW w:w="1843" w:type="dxa"/>
            <w:tcBorders>
              <w:top w:val="single" w:sz="4" w:space="0" w:color="auto"/>
              <w:left w:val="single" w:sz="4" w:space="0" w:color="auto"/>
              <w:bottom w:val="single" w:sz="4" w:space="0" w:color="auto"/>
              <w:right w:val="single" w:sz="4" w:space="0" w:color="auto"/>
            </w:tcBorders>
            <w:shd w:val="clear" w:color="auto" w:fill="FF9F9F"/>
            <w:hideMark/>
          </w:tcPr>
          <w:p w14:paraId="7C766801" w14:textId="158F099E" w:rsidR="00EC4947" w:rsidRPr="005A49CE" w:rsidRDefault="00230280" w:rsidP="00EC4947">
            <w:pPr>
              <w:spacing w:before="120" w:after="120"/>
              <w:jc w:val="center"/>
              <w:rPr>
                <w:rFonts w:ascii="Nunito Sans" w:hAnsi="Nunito Sans" w:cs="Arial"/>
                <w:b/>
                <w:bCs/>
                <w:sz w:val="18"/>
                <w:szCs w:val="18"/>
              </w:rPr>
            </w:pPr>
            <w:r>
              <w:rPr>
                <w:rFonts w:ascii="Nunito Sans" w:hAnsi="Nunito Sans" w:cs="Arial"/>
                <w:sz w:val="18"/>
                <w:szCs w:val="18"/>
              </w:rPr>
              <w:t>Multiple Codes/ frameworks</w:t>
            </w:r>
          </w:p>
        </w:tc>
        <w:tc>
          <w:tcPr>
            <w:tcW w:w="1701" w:type="dxa"/>
            <w:tcBorders>
              <w:top w:val="single" w:sz="4" w:space="0" w:color="auto"/>
              <w:left w:val="single" w:sz="4" w:space="0" w:color="auto"/>
              <w:bottom w:val="single" w:sz="4" w:space="0" w:color="auto"/>
              <w:right w:val="single" w:sz="4" w:space="0" w:color="auto"/>
            </w:tcBorders>
            <w:shd w:val="clear" w:color="auto" w:fill="FF9F9F"/>
            <w:hideMark/>
          </w:tcPr>
          <w:p w14:paraId="6580F89B" w14:textId="2B70B0BE" w:rsidR="00EC4947" w:rsidRPr="005A49CE" w:rsidRDefault="00230280" w:rsidP="00EC4947">
            <w:pPr>
              <w:spacing w:before="120" w:after="120"/>
              <w:jc w:val="center"/>
              <w:rPr>
                <w:rFonts w:ascii="Nunito Sans" w:hAnsi="Nunito Sans" w:cs="Arial"/>
                <w:b/>
                <w:bCs/>
                <w:sz w:val="18"/>
                <w:szCs w:val="18"/>
              </w:rPr>
            </w:pPr>
            <w:r>
              <w:rPr>
                <w:rFonts w:ascii="Nunito Sans" w:hAnsi="Nunito Sans" w:cs="Arial"/>
                <w:sz w:val="18"/>
                <w:szCs w:val="18"/>
              </w:rPr>
              <w:t>Multiple Codes/ frameworks</w:t>
            </w:r>
          </w:p>
        </w:tc>
        <w:tc>
          <w:tcPr>
            <w:tcW w:w="1701" w:type="dxa"/>
            <w:tcBorders>
              <w:top w:val="single" w:sz="4" w:space="0" w:color="auto"/>
              <w:left w:val="single" w:sz="4" w:space="0" w:color="auto"/>
              <w:bottom w:val="single" w:sz="4" w:space="0" w:color="auto"/>
              <w:right w:val="single" w:sz="4" w:space="0" w:color="auto"/>
            </w:tcBorders>
            <w:shd w:val="clear" w:color="auto" w:fill="FF9F9F"/>
            <w:hideMark/>
          </w:tcPr>
          <w:p w14:paraId="1FCE3118" w14:textId="1D39214C" w:rsidR="00EC4947" w:rsidRPr="005A49CE" w:rsidRDefault="00230280" w:rsidP="00EC4947">
            <w:pPr>
              <w:spacing w:before="120" w:after="120"/>
              <w:jc w:val="center"/>
              <w:rPr>
                <w:rFonts w:ascii="Nunito Sans" w:hAnsi="Nunito Sans" w:cs="Arial"/>
                <w:b/>
                <w:bCs/>
                <w:sz w:val="18"/>
                <w:szCs w:val="18"/>
              </w:rPr>
            </w:pPr>
            <w:r>
              <w:rPr>
                <w:rFonts w:ascii="Nunito Sans" w:hAnsi="Nunito Sans" w:cs="Arial"/>
                <w:sz w:val="18"/>
                <w:szCs w:val="18"/>
              </w:rPr>
              <w:t>Multiple Codes/ frameworks</w:t>
            </w:r>
          </w:p>
        </w:tc>
        <w:tc>
          <w:tcPr>
            <w:tcW w:w="1842" w:type="dxa"/>
            <w:tcBorders>
              <w:top w:val="single" w:sz="4" w:space="0" w:color="auto"/>
              <w:left w:val="single" w:sz="4" w:space="0" w:color="auto"/>
              <w:bottom w:val="single" w:sz="4" w:space="0" w:color="auto"/>
              <w:right w:val="single" w:sz="4" w:space="0" w:color="auto"/>
            </w:tcBorders>
            <w:shd w:val="clear" w:color="auto" w:fill="E0FAD6"/>
          </w:tcPr>
          <w:p w14:paraId="443E36F1" w14:textId="6877DDD5" w:rsidR="00EC4947" w:rsidRPr="00230280" w:rsidRDefault="00230280" w:rsidP="00EC4947">
            <w:pPr>
              <w:spacing w:before="120" w:after="120"/>
              <w:jc w:val="center"/>
              <w:rPr>
                <w:rFonts w:ascii="Nunito Sans" w:hAnsi="Nunito Sans" w:cs="Arial"/>
                <w:sz w:val="18"/>
                <w:szCs w:val="18"/>
              </w:rPr>
            </w:pPr>
            <w:r w:rsidRPr="00230280">
              <w:rPr>
                <w:rFonts w:ascii="Nunito Sans" w:hAnsi="Nunito Sans" w:cs="Arial"/>
                <w:sz w:val="18"/>
                <w:szCs w:val="18"/>
              </w:rPr>
              <w:t xml:space="preserve">SA </w:t>
            </w:r>
            <w:r w:rsidR="00A329CC">
              <w:rPr>
                <w:rFonts w:ascii="Nunito Sans" w:hAnsi="Nunito Sans" w:cs="Arial"/>
                <w:sz w:val="18"/>
                <w:szCs w:val="18"/>
              </w:rPr>
              <w:t>Planning and Design</w:t>
            </w:r>
            <w:r w:rsidRPr="00230280">
              <w:rPr>
                <w:rFonts w:ascii="Nunito Sans" w:hAnsi="Nunito Sans" w:cs="Arial"/>
                <w:sz w:val="18"/>
                <w:szCs w:val="18"/>
              </w:rPr>
              <w:t xml:space="preserve"> Code is national best practice</w:t>
            </w:r>
          </w:p>
        </w:tc>
      </w:tr>
      <w:tr w:rsidR="00EC4947" w:rsidRPr="005A49CE" w14:paraId="56CD2A9B" w14:textId="77777777" w:rsidTr="001E6DDB">
        <w:tc>
          <w:tcPr>
            <w:tcW w:w="7650" w:type="dxa"/>
            <w:tcBorders>
              <w:top w:val="single" w:sz="4" w:space="0" w:color="auto"/>
              <w:left w:val="single" w:sz="4" w:space="0" w:color="auto"/>
              <w:bottom w:val="single" w:sz="4" w:space="0" w:color="auto"/>
              <w:right w:val="single" w:sz="4" w:space="0" w:color="auto"/>
            </w:tcBorders>
            <w:hideMark/>
          </w:tcPr>
          <w:p w14:paraId="0CB075BA" w14:textId="77777777" w:rsidR="00EC4947" w:rsidRPr="005A49CE" w:rsidRDefault="00EC4947" w:rsidP="00EC4947">
            <w:pPr>
              <w:spacing w:before="120" w:after="120"/>
              <w:rPr>
                <w:rFonts w:ascii="Nunito Sans" w:hAnsi="Nunito Sans" w:cs="Arial"/>
                <w:b/>
                <w:bCs/>
                <w:sz w:val="18"/>
                <w:szCs w:val="18"/>
              </w:rPr>
            </w:pPr>
            <w:r w:rsidRPr="005A49CE">
              <w:rPr>
                <w:rFonts w:ascii="Nunito Sans" w:hAnsi="Nunito Sans" w:cs="Arial"/>
                <w:b/>
                <w:bCs/>
                <w:sz w:val="18"/>
                <w:szCs w:val="18"/>
              </w:rPr>
              <w:t>Expedited approvals program or pathway for priority projects</w:t>
            </w:r>
          </w:p>
          <w:p w14:paraId="68A12A13" w14:textId="5B5715FE" w:rsidR="00EC4947" w:rsidRPr="005A49CE" w:rsidRDefault="00EC4947" w:rsidP="00EC4947">
            <w:pPr>
              <w:spacing w:before="120" w:after="120"/>
              <w:rPr>
                <w:rFonts w:ascii="Nunito Sans" w:hAnsi="Nunito Sans" w:cs="Arial"/>
                <w:sz w:val="18"/>
                <w:szCs w:val="18"/>
              </w:rPr>
            </w:pPr>
            <w:r w:rsidRPr="005A49CE">
              <w:rPr>
                <w:rFonts w:ascii="Nunito Sans" w:hAnsi="Nunito Sans" w:cs="Arial"/>
                <w:sz w:val="18"/>
                <w:szCs w:val="18"/>
              </w:rPr>
              <w:t>Dedicated programs to expedite approvals for houses and/or multi-storey blocks</w:t>
            </w:r>
            <w:r w:rsidR="00124DD1">
              <w:rPr>
                <w:rFonts w:ascii="Nunito Sans" w:hAnsi="Nunito Sans" w:cs="Arial"/>
                <w:sz w:val="18"/>
                <w:szCs w:val="18"/>
              </w:rPr>
              <w:t xml:space="preserve">, </w:t>
            </w:r>
            <w:r w:rsidR="00077F3E">
              <w:rPr>
                <w:rFonts w:ascii="Nunito Sans" w:hAnsi="Nunito Sans" w:cs="Arial"/>
                <w:sz w:val="18"/>
                <w:szCs w:val="18"/>
              </w:rPr>
              <w:t>complemented by ‘call in’ powers.</w:t>
            </w:r>
            <w:r w:rsidRPr="005A49CE">
              <w:rPr>
                <w:rFonts w:ascii="Nunito Sans" w:hAnsi="Nunito Sans" w:cs="Arial"/>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auto" w:fill="FCEED4"/>
            <w:hideMark/>
          </w:tcPr>
          <w:p w14:paraId="09D7FC03" w14:textId="36F38F9C"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TOD, HDA</w:t>
            </w:r>
          </w:p>
        </w:tc>
        <w:tc>
          <w:tcPr>
            <w:tcW w:w="1701" w:type="dxa"/>
            <w:tcBorders>
              <w:top w:val="single" w:sz="4" w:space="0" w:color="auto"/>
              <w:left w:val="single" w:sz="4" w:space="0" w:color="auto"/>
              <w:bottom w:val="single" w:sz="4" w:space="0" w:color="auto"/>
              <w:right w:val="single" w:sz="4" w:space="0" w:color="auto"/>
            </w:tcBorders>
            <w:shd w:val="clear" w:color="auto" w:fill="E0FAD6"/>
            <w:hideMark/>
          </w:tcPr>
          <w:p w14:paraId="3DEBC227" w14:textId="17E8EF20"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Developer Facilitation Program</w:t>
            </w:r>
            <w:r w:rsidR="001E6DDB">
              <w:rPr>
                <w:rFonts w:ascii="Nunito Sans" w:hAnsi="Nunito Sans" w:cs="Arial"/>
                <w:sz w:val="18"/>
                <w:szCs w:val="18"/>
              </w:rPr>
              <w:t>, Minister</w:t>
            </w:r>
            <w:r w:rsidR="009C5867">
              <w:rPr>
                <w:rFonts w:ascii="Nunito Sans" w:hAnsi="Nunito Sans" w:cs="Arial"/>
                <w:sz w:val="18"/>
                <w:szCs w:val="18"/>
              </w:rPr>
              <w:t xml:space="preserve"> ‘call in’ powers</w:t>
            </w:r>
          </w:p>
        </w:tc>
        <w:tc>
          <w:tcPr>
            <w:tcW w:w="1701" w:type="dxa"/>
            <w:tcBorders>
              <w:top w:val="single" w:sz="4" w:space="0" w:color="auto"/>
              <w:left w:val="single" w:sz="4" w:space="0" w:color="auto"/>
              <w:bottom w:val="single" w:sz="4" w:space="0" w:color="auto"/>
              <w:right w:val="single" w:sz="4" w:space="0" w:color="auto"/>
            </w:tcBorders>
            <w:shd w:val="clear" w:color="auto" w:fill="E0FAD6"/>
            <w:hideMark/>
          </w:tcPr>
          <w:p w14:paraId="18841B73" w14:textId="5E4670B9"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State Facilitated Development</w:t>
            </w:r>
            <w:r w:rsidR="001E6DDB">
              <w:rPr>
                <w:rFonts w:ascii="Nunito Sans" w:hAnsi="Nunito Sans" w:cs="Arial"/>
                <w:sz w:val="18"/>
                <w:szCs w:val="18"/>
              </w:rPr>
              <w:t xml:space="preserve">, </w:t>
            </w:r>
            <w:r w:rsidR="006D6E84">
              <w:rPr>
                <w:rFonts w:ascii="Nunito Sans" w:hAnsi="Nunito Sans" w:cs="Arial"/>
                <w:sz w:val="18"/>
                <w:szCs w:val="18"/>
              </w:rPr>
              <w:t xml:space="preserve">alignment with </w:t>
            </w:r>
            <w:r w:rsidR="00CE20B1">
              <w:rPr>
                <w:rFonts w:ascii="Nunito Sans" w:hAnsi="Nunito Sans" w:cs="Arial"/>
                <w:sz w:val="18"/>
                <w:szCs w:val="18"/>
              </w:rPr>
              <w:t xml:space="preserve">large </w:t>
            </w:r>
            <w:r w:rsidR="006D6E84">
              <w:rPr>
                <w:rFonts w:ascii="Nunito Sans" w:hAnsi="Nunito Sans" w:cs="Arial"/>
                <w:sz w:val="18"/>
                <w:szCs w:val="18"/>
              </w:rPr>
              <w:t xml:space="preserve">local </w:t>
            </w:r>
            <w:r w:rsidR="001E6DDB">
              <w:rPr>
                <w:rFonts w:ascii="Nunito Sans" w:hAnsi="Nunito Sans" w:cs="Arial"/>
                <w:sz w:val="18"/>
                <w:szCs w:val="18"/>
              </w:rPr>
              <w:t>govts</w:t>
            </w:r>
            <w:r w:rsidR="006D6E84">
              <w:rPr>
                <w:rFonts w:ascii="Nunito Sans" w:hAnsi="Nunito Sans" w:cs="Arial"/>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CEED4"/>
            <w:hideMark/>
          </w:tcPr>
          <w:p w14:paraId="1F1DD6FB" w14:textId="79AAB94F" w:rsidR="00EC4947" w:rsidRPr="005A49CE" w:rsidRDefault="00EC4947" w:rsidP="00EC4947">
            <w:pPr>
              <w:spacing w:before="120" w:after="120"/>
              <w:jc w:val="center"/>
              <w:rPr>
                <w:rFonts w:ascii="Nunito Sans" w:hAnsi="Nunito Sans" w:cs="Arial"/>
                <w:sz w:val="18"/>
                <w:szCs w:val="18"/>
              </w:rPr>
            </w:pPr>
            <w:r w:rsidRPr="005A49CE">
              <w:rPr>
                <w:rFonts w:ascii="Nunito Sans" w:hAnsi="Nunito Sans" w:cs="Arial"/>
                <w:sz w:val="18"/>
                <w:szCs w:val="18"/>
              </w:rPr>
              <w:t>Better Housing Future initiative</w:t>
            </w:r>
          </w:p>
        </w:tc>
      </w:tr>
    </w:tbl>
    <w:p w14:paraId="2B478530" w14:textId="7DDEB577" w:rsidR="00FD1109" w:rsidRPr="00560879" w:rsidRDefault="00716DC6" w:rsidP="00EC4947">
      <w:pPr>
        <w:rPr>
          <w:rFonts w:ascii="Westpac Bold" w:hAnsi="Westpac Bold"/>
          <w:color w:val="EE0000"/>
          <w:sz w:val="26"/>
          <w:szCs w:val="26"/>
        </w:rPr>
      </w:pPr>
      <w:r>
        <w:rPr>
          <w:rFonts w:ascii="Westpac Bold" w:hAnsi="Westpac Bold"/>
          <w:color w:val="EE0000"/>
          <w:sz w:val="26"/>
          <w:szCs w:val="26"/>
        </w:rPr>
        <w:lastRenderedPageBreak/>
        <w:t>Westpac recommendations</w:t>
      </w:r>
    </w:p>
    <w:tbl>
      <w:tblPr>
        <w:tblStyle w:val="TableGrid1"/>
        <w:tblW w:w="14737" w:type="dxa"/>
        <w:tblLook w:val="04A0" w:firstRow="1" w:lastRow="0" w:firstColumn="1" w:lastColumn="0" w:noHBand="0" w:noVBand="1"/>
      </w:tblPr>
      <w:tblGrid>
        <w:gridCol w:w="1554"/>
        <w:gridCol w:w="4100"/>
        <w:gridCol w:w="6653"/>
        <w:gridCol w:w="1265"/>
        <w:gridCol w:w="1165"/>
      </w:tblGrid>
      <w:tr w:rsidR="007D750D" w14:paraId="70625C0C" w14:textId="52D5C679" w:rsidTr="00B01D4D">
        <w:trPr>
          <w:tblHeader/>
        </w:trPr>
        <w:tc>
          <w:tcPr>
            <w:tcW w:w="1554" w:type="dxa"/>
            <w:shd w:val="clear" w:color="auto" w:fill="E8E8E8" w:themeFill="background2"/>
            <w:vAlign w:val="center"/>
          </w:tcPr>
          <w:p w14:paraId="62C07567" w14:textId="13F31ADA" w:rsidR="007D750D" w:rsidRPr="000E07C2" w:rsidRDefault="007D750D" w:rsidP="00401A0F">
            <w:pPr>
              <w:spacing w:before="120" w:after="120"/>
              <w:rPr>
                <w:rFonts w:ascii="Nunito Sans" w:hAnsi="Nunito Sans"/>
                <w:b/>
                <w:bCs/>
                <w:sz w:val="18"/>
                <w:szCs w:val="18"/>
              </w:rPr>
            </w:pPr>
            <w:r w:rsidRPr="000E07C2">
              <w:rPr>
                <w:rFonts w:ascii="Nunito Sans" w:hAnsi="Nunito Sans"/>
                <w:b/>
                <w:bCs/>
                <w:sz w:val="18"/>
                <w:szCs w:val="18"/>
              </w:rPr>
              <w:t>Issue to solve</w:t>
            </w:r>
          </w:p>
        </w:tc>
        <w:tc>
          <w:tcPr>
            <w:tcW w:w="4100" w:type="dxa"/>
            <w:shd w:val="clear" w:color="auto" w:fill="E8E8E8" w:themeFill="background2"/>
            <w:vAlign w:val="center"/>
          </w:tcPr>
          <w:p w14:paraId="672162DA" w14:textId="66B5D0D3" w:rsidR="007D750D" w:rsidRPr="000E07C2" w:rsidRDefault="007D750D" w:rsidP="00401A0F">
            <w:pPr>
              <w:spacing w:before="120" w:after="120"/>
              <w:rPr>
                <w:rFonts w:ascii="Nunito Sans" w:hAnsi="Nunito Sans"/>
                <w:b/>
                <w:bCs/>
                <w:sz w:val="18"/>
                <w:szCs w:val="18"/>
              </w:rPr>
            </w:pPr>
            <w:r>
              <w:rPr>
                <w:rFonts w:ascii="Nunito Sans" w:hAnsi="Nunito Sans"/>
                <w:b/>
                <w:bCs/>
                <w:sz w:val="18"/>
                <w:szCs w:val="18"/>
              </w:rPr>
              <w:t>Overview</w:t>
            </w:r>
          </w:p>
        </w:tc>
        <w:tc>
          <w:tcPr>
            <w:tcW w:w="6653" w:type="dxa"/>
            <w:shd w:val="clear" w:color="auto" w:fill="E8E8E8" w:themeFill="background2"/>
            <w:vAlign w:val="center"/>
          </w:tcPr>
          <w:p w14:paraId="0C64C936" w14:textId="3348F516" w:rsidR="007D750D" w:rsidRPr="000E07C2" w:rsidRDefault="007D750D" w:rsidP="00401A0F">
            <w:pPr>
              <w:spacing w:before="120" w:after="120"/>
              <w:rPr>
                <w:rFonts w:ascii="Nunito Sans" w:hAnsi="Nunito Sans"/>
                <w:b/>
                <w:bCs/>
                <w:sz w:val="18"/>
                <w:szCs w:val="18"/>
              </w:rPr>
            </w:pPr>
            <w:r>
              <w:rPr>
                <w:rFonts w:ascii="Nunito Sans" w:hAnsi="Nunito Sans"/>
                <w:b/>
                <w:bCs/>
                <w:sz w:val="18"/>
                <w:szCs w:val="18"/>
              </w:rPr>
              <w:t>Proposal</w:t>
            </w:r>
          </w:p>
        </w:tc>
        <w:tc>
          <w:tcPr>
            <w:tcW w:w="1265" w:type="dxa"/>
            <w:tcBorders>
              <w:bottom w:val="single" w:sz="4" w:space="0" w:color="000000" w:themeColor="text1"/>
            </w:tcBorders>
            <w:shd w:val="clear" w:color="auto" w:fill="E8E8E8" w:themeFill="background2"/>
            <w:vAlign w:val="center"/>
          </w:tcPr>
          <w:p w14:paraId="05FC1034" w14:textId="56C1AD66" w:rsidR="007D750D" w:rsidRPr="000E07C2" w:rsidRDefault="00A02AA2" w:rsidP="00401A0F">
            <w:pPr>
              <w:spacing w:before="120" w:after="120"/>
              <w:rPr>
                <w:rFonts w:ascii="Nunito Sans" w:hAnsi="Nunito Sans"/>
                <w:b/>
                <w:bCs/>
                <w:sz w:val="18"/>
                <w:szCs w:val="18"/>
              </w:rPr>
            </w:pPr>
            <w:r>
              <w:rPr>
                <w:rFonts w:ascii="Nunito Sans" w:hAnsi="Nunito Sans"/>
                <w:b/>
                <w:bCs/>
                <w:sz w:val="18"/>
                <w:szCs w:val="18"/>
              </w:rPr>
              <w:t xml:space="preserve">Contribution </w:t>
            </w:r>
            <w:r w:rsidR="007D750D">
              <w:rPr>
                <w:rFonts w:ascii="Nunito Sans" w:hAnsi="Nunito Sans"/>
                <w:b/>
                <w:bCs/>
                <w:sz w:val="18"/>
                <w:szCs w:val="18"/>
              </w:rPr>
              <w:t>to supply</w:t>
            </w:r>
          </w:p>
        </w:tc>
        <w:tc>
          <w:tcPr>
            <w:tcW w:w="1165" w:type="dxa"/>
            <w:tcBorders>
              <w:bottom w:val="single" w:sz="4" w:space="0" w:color="000000" w:themeColor="text1"/>
            </w:tcBorders>
            <w:shd w:val="clear" w:color="auto" w:fill="E8E8E8" w:themeFill="background2"/>
            <w:vAlign w:val="center"/>
          </w:tcPr>
          <w:p w14:paraId="6E2BE1C7" w14:textId="0211AFA0" w:rsidR="007D750D" w:rsidRPr="000E07C2" w:rsidRDefault="00560879" w:rsidP="00401A0F">
            <w:pPr>
              <w:spacing w:before="120" w:after="120"/>
              <w:rPr>
                <w:rFonts w:ascii="Nunito Sans" w:hAnsi="Nunito Sans"/>
                <w:b/>
                <w:bCs/>
                <w:sz w:val="18"/>
                <w:szCs w:val="18"/>
              </w:rPr>
            </w:pPr>
            <w:r>
              <w:rPr>
                <w:rFonts w:ascii="Nunito Sans" w:hAnsi="Nunito Sans"/>
                <w:b/>
                <w:bCs/>
                <w:sz w:val="18"/>
                <w:szCs w:val="18"/>
              </w:rPr>
              <w:t>Complexity</w:t>
            </w:r>
            <w:r w:rsidR="007D750D">
              <w:rPr>
                <w:rFonts w:ascii="Nunito Sans" w:hAnsi="Nunito Sans"/>
                <w:b/>
                <w:bCs/>
                <w:sz w:val="18"/>
                <w:szCs w:val="18"/>
              </w:rPr>
              <w:t xml:space="preserve"> to execute</w:t>
            </w:r>
          </w:p>
        </w:tc>
      </w:tr>
      <w:tr w:rsidR="007D750D" w14:paraId="7535475F" w14:textId="2481769F" w:rsidTr="00B01D4D">
        <w:tc>
          <w:tcPr>
            <w:tcW w:w="1554" w:type="dxa"/>
            <w:hideMark/>
          </w:tcPr>
          <w:p w14:paraId="3186AC12" w14:textId="06D07AC8" w:rsidR="007D750D" w:rsidRPr="007D750D" w:rsidRDefault="6F634D40" w:rsidP="00560879">
            <w:pPr>
              <w:spacing w:before="60" w:after="60"/>
              <w:rPr>
                <w:rFonts w:ascii="Nunito Sans" w:hAnsi="Nunito Sans"/>
                <w:b/>
                <w:bCs/>
                <w:sz w:val="18"/>
                <w:szCs w:val="18"/>
              </w:rPr>
            </w:pPr>
            <w:r w:rsidRPr="378934B3">
              <w:rPr>
                <w:rFonts w:ascii="Nunito Sans" w:hAnsi="Nunito Sans"/>
                <w:b/>
                <w:bCs/>
                <w:sz w:val="18"/>
                <w:szCs w:val="18"/>
              </w:rPr>
              <w:t>F</w:t>
            </w:r>
            <w:r w:rsidR="007D750D" w:rsidRPr="378934B3">
              <w:rPr>
                <w:rFonts w:ascii="Nunito Sans" w:hAnsi="Nunito Sans"/>
                <w:b/>
                <w:bCs/>
                <w:sz w:val="18"/>
                <w:szCs w:val="18"/>
              </w:rPr>
              <w:t>ragmented</w:t>
            </w:r>
            <w:r w:rsidR="007D750D" w:rsidRPr="000E07C2">
              <w:rPr>
                <w:rFonts w:ascii="Nunito Sans" w:hAnsi="Nunito Sans"/>
                <w:b/>
                <w:bCs/>
                <w:sz w:val="18"/>
                <w:szCs w:val="18"/>
              </w:rPr>
              <w:t xml:space="preserve"> planning system</w:t>
            </w:r>
            <w:r w:rsidR="007D750D">
              <w:rPr>
                <w:rFonts w:ascii="Nunito Sans" w:hAnsi="Nunito Sans"/>
                <w:b/>
                <w:bCs/>
                <w:sz w:val="18"/>
                <w:szCs w:val="18"/>
              </w:rPr>
              <w:t>s</w:t>
            </w:r>
            <w:r w:rsidR="007D750D" w:rsidRPr="000E07C2">
              <w:rPr>
                <w:rFonts w:ascii="Nunito Sans" w:hAnsi="Nunito Sans"/>
                <w:b/>
                <w:bCs/>
                <w:sz w:val="18"/>
                <w:szCs w:val="18"/>
              </w:rPr>
              <w:t xml:space="preserve"> delay projects and undermin</w:t>
            </w:r>
            <w:r w:rsidR="007D750D">
              <w:rPr>
                <w:rFonts w:ascii="Nunito Sans" w:hAnsi="Nunito Sans"/>
                <w:b/>
                <w:bCs/>
                <w:sz w:val="18"/>
                <w:szCs w:val="18"/>
              </w:rPr>
              <w:t xml:space="preserve">e </w:t>
            </w:r>
            <w:r w:rsidR="007D750D" w:rsidRPr="000E07C2">
              <w:rPr>
                <w:rFonts w:ascii="Nunito Sans" w:hAnsi="Nunito Sans"/>
                <w:b/>
                <w:bCs/>
                <w:sz w:val="18"/>
                <w:szCs w:val="18"/>
              </w:rPr>
              <w:t>delivery</w:t>
            </w:r>
          </w:p>
        </w:tc>
        <w:tc>
          <w:tcPr>
            <w:tcW w:w="4100" w:type="dxa"/>
          </w:tcPr>
          <w:p w14:paraId="077FA18A" w14:textId="77777777" w:rsid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B006DE">
              <w:rPr>
                <w:rFonts w:ascii="Nunito Sans" w:hAnsi="Nunito Sans"/>
                <w:sz w:val="18"/>
                <w:szCs w:val="18"/>
              </w:rPr>
              <w:t xml:space="preserve">Planning approvals are slow, fragmented and unpredictable. </w:t>
            </w:r>
          </w:p>
          <w:p w14:paraId="61EA4DA6" w14:textId="77777777" w:rsid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7D750D">
              <w:rPr>
                <w:rFonts w:ascii="Nunito Sans" w:hAnsi="Nunito Sans"/>
                <w:sz w:val="18"/>
                <w:szCs w:val="18"/>
              </w:rPr>
              <w:t>Delays and cost escalation can force projects to shrink or stop altogether.</w:t>
            </w:r>
          </w:p>
          <w:p w14:paraId="7A04E101" w14:textId="1DA1D092" w:rsidR="002028C4" w:rsidRPr="007D750D" w:rsidRDefault="002028C4" w:rsidP="0092794E">
            <w:pPr>
              <w:pStyle w:val="ListParagraph"/>
              <w:spacing w:before="60" w:after="60"/>
              <w:ind w:left="315"/>
              <w:contextualSpacing w:val="0"/>
              <w:rPr>
                <w:rFonts w:ascii="Nunito Sans" w:hAnsi="Nunito Sans"/>
                <w:sz w:val="18"/>
                <w:szCs w:val="18"/>
              </w:rPr>
            </w:pPr>
          </w:p>
        </w:tc>
        <w:tc>
          <w:tcPr>
            <w:tcW w:w="6653" w:type="dxa"/>
            <w:hideMark/>
          </w:tcPr>
          <w:p w14:paraId="6F4851D2" w14:textId="08576CB7" w:rsidR="007D750D" w:rsidRPr="008B7C3A" w:rsidRDefault="007D750D" w:rsidP="00560879">
            <w:pPr>
              <w:spacing w:before="60" w:after="60"/>
              <w:rPr>
                <w:rFonts w:ascii="Nunito Sans" w:hAnsi="Nunito Sans"/>
                <w:sz w:val="18"/>
                <w:szCs w:val="18"/>
              </w:rPr>
            </w:pPr>
            <w:r>
              <w:rPr>
                <w:rFonts w:ascii="Nunito Sans" w:hAnsi="Nunito Sans" w:cs="Times New Roman"/>
                <w:b/>
                <w:bCs/>
                <w:sz w:val="18"/>
                <w:szCs w:val="18"/>
              </w:rPr>
              <w:t>1</w:t>
            </w:r>
            <w:r w:rsidR="00C13337">
              <w:rPr>
                <w:rFonts w:ascii="Nunito Sans" w:hAnsi="Nunito Sans" w:cs="Times New Roman"/>
                <w:b/>
                <w:bCs/>
                <w:sz w:val="18"/>
                <w:szCs w:val="18"/>
              </w:rPr>
              <w:t>a</w:t>
            </w:r>
            <w:r>
              <w:rPr>
                <w:rFonts w:ascii="Nunito Sans" w:hAnsi="Nunito Sans" w:cs="Times New Roman"/>
                <w:b/>
                <w:bCs/>
                <w:sz w:val="18"/>
                <w:szCs w:val="18"/>
              </w:rPr>
              <w:t xml:space="preserve">. </w:t>
            </w:r>
            <w:r w:rsidRPr="008B7C3A">
              <w:rPr>
                <w:rFonts w:ascii="Nunito Sans" w:hAnsi="Nunito Sans" w:cs="Times New Roman"/>
                <w:b/>
                <w:bCs/>
                <w:sz w:val="18"/>
                <w:szCs w:val="18"/>
              </w:rPr>
              <w:t>Create a State-led fast-track approval pathway for high-rise housing.</w:t>
            </w:r>
            <w:r w:rsidRPr="008B7C3A">
              <w:rPr>
                <w:rFonts w:ascii="Nunito Sans" w:hAnsi="Nunito Sans"/>
                <w:sz w:val="18"/>
                <w:szCs w:val="18"/>
              </w:rPr>
              <w:t xml:space="preserve"> </w:t>
            </w:r>
          </w:p>
          <w:p w14:paraId="37332BBE" w14:textId="1ADEB159" w:rsidR="007D750D" w:rsidRDefault="007D750D" w:rsidP="00560879">
            <w:pPr>
              <w:spacing w:before="60" w:after="60"/>
              <w:rPr>
                <w:rFonts w:ascii="Nunito Sans" w:hAnsi="Nunito Sans"/>
                <w:sz w:val="18"/>
                <w:szCs w:val="18"/>
              </w:rPr>
            </w:pPr>
            <w:r w:rsidRPr="008B7C3A">
              <w:rPr>
                <w:rFonts w:ascii="Nunito Sans" w:hAnsi="Nunito Sans"/>
                <w:sz w:val="18"/>
                <w:szCs w:val="18"/>
              </w:rPr>
              <w:t>Use proven models</w:t>
            </w:r>
            <w:r w:rsidR="005E417F">
              <w:rPr>
                <w:rFonts w:ascii="Nunito Sans" w:hAnsi="Nunito Sans"/>
                <w:sz w:val="18"/>
                <w:szCs w:val="18"/>
              </w:rPr>
              <w:t>,</w:t>
            </w:r>
            <w:r w:rsidRPr="008B7C3A">
              <w:rPr>
                <w:rFonts w:ascii="Nunito Sans" w:hAnsi="Nunito Sans"/>
                <w:sz w:val="18"/>
                <w:szCs w:val="18"/>
              </w:rPr>
              <w:t xml:space="preserve"> such as NSW’s H</w:t>
            </w:r>
            <w:r>
              <w:rPr>
                <w:rFonts w:ascii="Nunito Sans" w:hAnsi="Nunito Sans"/>
                <w:sz w:val="18"/>
                <w:szCs w:val="18"/>
              </w:rPr>
              <w:t>ousing Delivery Authority</w:t>
            </w:r>
            <w:r w:rsidR="005E417F">
              <w:rPr>
                <w:rFonts w:ascii="Nunito Sans" w:hAnsi="Nunito Sans"/>
                <w:sz w:val="18"/>
                <w:szCs w:val="18"/>
              </w:rPr>
              <w:t xml:space="preserve"> (HDA),</w:t>
            </w:r>
            <w:r w:rsidRPr="008B7C3A">
              <w:rPr>
                <w:rFonts w:ascii="Nunito Sans" w:hAnsi="Nunito Sans"/>
                <w:sz w:val="18"/>
                <w:szCs w:val="18"/>
              </w:rPr>
              <w:t xml:space="preserve"> as models to achieve unlocks. </w:t>
            </w:r>
          </w:p>
          <w:p w14:paraId="3E73A52D" w14:textId="77777777" w:rsidR="00B01D4D" w:rsidRDefault="005E417F" w:rsidP="00560879">
            <w:pPr>
              <w:spacing w:before="60" w:after="60"/>
              <w:rPr>
                <w:rFonts w:ascii="Nunito Sans" w:hAnsi="Nunito Sans"/>
                <w:sz w:val="18"/>
                <w:szCs w:val="18"/>
              </w:rPr>
            </w:pPr>
            <w:r>
              <w:rPr>
                <w:rFonts w:ascii="Nunito Sans" w:hAnsi="Nunito Sans"/>
                <w:sz w:val="18"/>
                <w:szCs w:val="18"/>
              </w:rPr>
              <w:t>For example, t</w:t>
            </w:r>
            <w:r w:rsidRPr="005E417F">
              <w:rPr>
                <w:rFonts w:ascii="Nunito Sans" w:hAnsi="Nunito Sans"/>
                <w:sz w:val="18"/>
                <w:szCs w:val="18"/>
              </w:rPr>
              <w:t xml:space="preserve">he </w:t>
            </w:r>
            <w:r>
              <w:rPr>
                <w:rFonts w:ascii="Nunito Sans" w:hAnsi="Nunito Sans"/>
                <w:sz w:val="18"/>
                <w:szCs w:val="18"/>
              </w:rPr>
              <w:t>HDA’s</w:t>
            </w:r>
            <w:r w:rsidRPr="005E417F">
              <w:rPr>
                <w:rFonts w:ascii="Nunito Sans" w:hAnsi="Nunito Sans"/>
                <w:sz w:val="18"/>
                <w:szCs w:val="18"/>
              </w:rPr>
              <w:t xml:space="preserve"> “commitment to commence” test is designed to prioritise developers with genuine capacity to deliver housing, rather than those seeking to uplift land value. This is a good test and helps with ensuring streamlined planning approvals are given to those developers who have intent and capacity to deliver more housing supply. </w:t>
            </w:r>
          </w:p>
          <w:p w14:paraId="6E71AABD" w14:textId="5BD611BF" w:rsidR="005E417F" w:rsidRDefault="005E417F" w:rsidP="00560879">
            <w:pPr>
              <w:spacing w:before="60" w:after="60"/>
              <w:rPr>
                <w:rFonts w:ascii="Nunito Sans" w:hAnsi="Nunito Sans"/>
                <w:sz w:val="18"/>
                <w:szCs w:val="18"/>
              </w:rPr>
            </w:pPr>
            <w:r w:rsidRPr="005E417F">
              <w:rPr>
                <w:rFonts w:ascii="Nunito Sans" w:hAnsi="Nunito Sans"/>
                <w:sz w:val="18"/>
                <w:szCs w:val="18"/>
              </w:rPr>
              <w:t>This kind of model should be adopted across all states, with an opportunity to strengthen this approach by linking commencement to the issuance of a Construction Certificate, ensuring projects are genuinely ready to proceed to construction rather than relying on minimal or early-stage activity.</w:t>
            </w:r>
          </w:p>
          <w:p w14:paraId="58BEBBB3" w14:textId="77777777" w:rsidR="00D71E9E" w:rsidRDefault="00D71E9E" w:rsidP="00560879">
            <w:pPr>
              <w:spacing w:before="60" w:after="60"/>
              <w:rPr>
                <w:rFonts w:ascii="Nunito Sans" w:hAnsi="Nunito Sans"/>
                <w:b/>
                <w:bCs/>
                <w:sz w:val="18"/>
                <w:szCs w:val="18"/>
              </w:rPr>
            </w:pPr>
          </w:p>
          <w:p w14:paraId="487B8742" w14:textId="1DC5039A" w:rsidR="00A02AA2" w:rsidRPr="00A02AA2" w:rsidRDefault="00A02AA2" w:rsidP="00560879">
            <w:pPr>
              <w:spacing w:before="60" w:after="60"/>
              <w:rPr>
                <w:rFonts w:ascii="Nunito Sans" w:hAnsi="Nunito Sans"/>
                <w:b/>
                <w:bCs/>
                <w:sz w:val="18"/>
                <w:szCs w:val="18"/>
              </w:rPr>
            </w:pPr>
            <w:r w:rsidRPr="00A02AA2">
              <w:rPr>
                <w:rFonts w:ascii="Nunito Sans" w:hAnsi="Nunito Sans"/>
                <w:b/>
                <w:bCs/>
                <w:sz w:val="18"/>
                <w:szCs w:val="18"/>
              </w:rPr>
              <w:t>1</w:t>
            </w:r>
            <w:r w:rsidR="00C13337">
              <w:rPr>
                <w:rFonts w:ascii="Nunito Sans" w:hAnsi="Nunito Sans"/>
                <w:b/>
                <w:bCs/>
                <w:sz w:val="18"/>
                <w:szCs w:val="18"/>
              </w:rPr>
              <w:t>b</w:t>
            </w:r>
            <w:r w:rsidRPr="00A02AA2">
              <w:rPr>
                <w:rFonts w:ascii="Nunito Sans" w:hAnsi="Nunito Sans"/>
                <w:b/>
                <w:bCs/>
                <w:sz w:val="18"/>
                <w:szCs w:val="18"/>
              </w:rPr>
              <w:t>. Stronger use of state-based “</w:t>
            </w:r>
            <w:r w:rsidR="00C13337">
              <w:rPr>
                <w:rFonts w:ascii="Nunito Sans" w:hAnsi="Nunito Sans"/>
                <w:b/>
                <w:bCs/>
                <w:sz w:val="18"/>
                <w:szCs w:val="18"/>
              </w:rPr>
              <w:t>c</w:t>
            </w:r>
            <w:r w:rsidRPr="00A02AA2">
              <w:rPr>
                <w:rFonts w:ascii="Nunito Sans" w:hAnsi="Nunito Sans"/>
                <w:b/>
                <w:bCs/>
                <w:sz w:val="18"/>
                <w:szCs w:val="18"/>
              </w:rPr>
              <w:t>all-</w:t>
            </w:r>
            <w:r w:rsidR="00C13337">
              <w:rPr>
                <w:rFonts w:ascii="Nunito Sans" w:hAnsi="Nunito Sans"/>
                <w:b/>
                <w:bCs/>
                <w:sz w:val="18"/>
                <w:szCs w:val="18"/>
              </w:rPr>
              <w:t>i</w:t>
            </w:r>
            <w:r w:rsidRPr="00A02AA2">
              <w:rPr>
                <w:rFonts w:ascii="Nunito Sans" w:hAnsi="Nunito Sans"/>
                <w:b/>
                <w:bCs/>
                <w:sz w:val="18"/>
                <w:szCs w:val="18"/>
              </w:rPr>
              <w:t>n” powers</w:t>
            </w:r>
            <w:r w:rsidR="00BC4F9A">
              <w:rPr>
                <w:rFonts w:ascii="Nunito Sans" w:hAnsi="Nunito Sans"/>
                <w:b/>
                <w:bCs/>
                <w:sz w:val="18"/>
                <w:szCs w:val="18"/>
              </w:rPr>
              <w:t>.</w:t>
            </w:r>
          </w:p>
          <w:p w14:paraId="3A3CB6E2" w14:textId="0B6B0E06" w:rsidR="00064CFE" w:rsidRDefault="00A02AA2" w:rsidP="00336473">
            <w:pPr>
              <w:spacing w:before="60" w:after="60"/>
              <w:rPr>
                <w:rFonts w:ascii="Nunito Sans" w:hAnsi="Nunito Sans"/>
                <w:sz w:val="18"/>
                <w:szCs w:val="18"/>
              </w:rPr>
            </w:pPr>
            <w:r>
              <w:rPr>
                <w:rFonts w:ascii="Nunito Sans" w:hAnsi="Nunito Sans"/>
                <w:sz w:val="18"/>
                <w:szCs w:val="18"/>
              </w:rPr>
              <w:t>Federal and state governments should algin to support much greater use of state “</w:t>
            </w:r>
            <w:r w:rsidR="00C13337">
              <w:rPr>
                <w:rFonts w:ascii="Nunito Sans" w:hAnsi="Nunito Sans"/>
                <w:sz w:val="18"/>
                <w:szCs w:val="18"/>
              </w:rPr>
              <w:t>c</w:t>
            </w:r>
            <w:r>
              <w:rPr>
                <w:rFonts w:ascii="Nunito Sans" w:hAnsi="Nunito Sans"/>
                <w:sz w:val="18"/>
                <w:szCs w:val="18"/>
              </w:rPr>
              <w:t>all-</w:t>
            </w:r>
            <w:r w:rsidR="00C13337">
              <w:rPr>
                <w:rFonts w:ascii="Nunito Sans" w:hAnsi="Nunito Sans"/>
                <w:sz w:val="18"/>
                <w:szCs w:val="18"/>
              </w:rPr>
              <w:t>i</w:t>
            </w:r>
            <w:r>
              <w:rPr>
                <w:rFonts w:ascii="Nunito Sans" w:hAnsi="Nunito Sans"/>
                <w:sz w:val="18"/>
                <w:szCs w:val="18"/>
              </w:rPr>
              <w:t>n” powers</w:t>
            </w:r>
            <w:r w:rsidR="71774054" w:rsidRPr="378934B3">
              <w:rPr>
                <w:rFonts w:ascii="Nunito Sans" w:hAnsi="Nunito Sans"/>
                <w:sz w:val="18"/>
                <w:szCs w:val="18"/>
              </w:rPr>
              <w:t>, to reduce instances</w:t>
            </w:r>
            <w:r>
              <w:rPr>
                <w:rFonts w:ascii="Nunito Sans" w:hAnsi="Nunito Sans"/>
                <w:sz w:val="18"/>
                <w:szCs w:val="18"/>
              </w:rPr>
              <w:t xml:space="preserve"> where local government </w:t>
            </w:r>
            <w:r w:rsidR="7E8E547A" w:rsidRPr="378934B3">
              <w:rPr>
                <w:rFonts w:ascii="Nunito Sans" w:hAnsi="Nunito Sans"/>
                <w:sz w:val="18"/>
                <w:szCs w:val="18"/>
              </w:rPr>
              <w:t xml:space="preserve">decisions </w:t>
            </w:r>
            <w:proofErr w:type="gramStart"/>
            <w:r w:rsidR="7E8E547A" w:rsidRPr="378934B3">
              <w:rPr>
                <w:rFonts w:ascii="Nunito Sans" w:hAnsi="Nunito Sans"/>
                <w:sz w:val="18"/>
                <w:szCs w:val="18"/>
              </w:rPr>
              <w:t>are in conflict with</w:t>
            </w:r>
            <w:proofErr w:type="gramEnd"/>
            <w:r w:rsidR="7E8E547A" w:rsidRPr="378934B3">
              <w:rPr>
                <w:rFonts w:ascii="Nunito Sans" w:hAnsi="Nunito Sans"/>
                <w:sz w:val="18"/>
                <w:szCs w:val="18"/>
              </w:rPr>
              <w:t xml:space="preserve"> </w:t>
            </w:r>
            <w:r w:rsidR="462B4AB2" w:rsidRPr="378934B3">
              <w:rPr>
                <w:rFonts w:ascii="Nunito Sans" w:hAnsi="Nunito Sans"/>
                <w:sz w:val="18"/>
                <w:szCs w:val="18"/>
              </w:rPr>
              <w:t>appropriate planning and development outcomes.</w:t>
            </w:r>
            <w:r>
              <w:rPr>
                <w:rFonts w:ascii="Nunito Sans" w:hAnsi="Nunito Sans"/>
                <w:sz w:val="18"/>
                <w:szCs w:val="18"/>
              </w:rPr>
              <w:t xml:space="preserve"> </w:t>
            </w:r>
          </w:p>
          <w:p w14:paraId="47FA70A2" w14:textId="2505B3DA" w:rsidR="00A02AA2" w:rsidRDefault="00A02AA2" w:rsidP="00336473">
            <w:pPr>
              <w:spacing w:before="60" w:after="60"/>
              <w:rPr>
                <w:rFonts w:ascii="Nunito Sans" w:hAnsi="Nunito Sans"/>
                <w:sz w:val="18"/>
                <w:szCs w:val="18"/>
              </w:rPr>
            </w:pPr>
            <w:r>
              <w:rPr>
                <w:rFonts w:ascii="Nunito Sans" w:hAnsi="Nunito Sans"/>
                <w:sz w:val="18"/>
                <w:szCs w:val="18"/>
              </w:rPr>
              <w:t xml:space="preserve">The </w:t>
            </w:r>
            <w:r w:rsidR="25F8349F" w:rsidRPr="378934B3">
              <w:rPr>
                <w:rFonts w:ascii="Nunito Sans" w:hAnsi="Nunito Sans"/>
                <w:sz w:val="18"/>
                <w:szCs w:val="18"/>
              </w:rPr>
              <w:t>Victorian</w:t>
            </w:r>
            <w:r>
              <w:rPr>
                <w:rFonts w:ascii="Nunito Sans" w:hAnsi="Nunito Sans"/>
                <w:sz w:val="18"/>
                <w:szCs w:val="18"/>
              </w:rPr>
              <w:t xml:space="preserve"> Government provides a good practice example of this approach.</w:t>
            </w:r>
          </w:p>
          <w:p w14:paraId="1683FA4B" w14:textId="38A0FAAB" w:rsidR="00FA72DD" w:rsidRPr="00FA72DD" w:rsidRDefault="00FA72DD" w:rsidP="00560879">
            <w:pPr>
              <w:spacing w:before="60" w:after="60"/>
              <w:rPr>
                <w:rFonts w:ascii="Nunito Sans" w:hAnsi="Nunito Sans"/>
                <w:sz w:val="18"/>
                <w:szCs w:val="18"/>
              </w:rPr>
            </w:pPr>
          </w:p>
        </w:tc>
        <w:tc>
          <w:tcPr>
            <w:tcW w:w="1265" w:type="dxa"/>
            <w:tcBorders>
              <w:bottom w:val="single" w:sz="4" w:space="0" w:color="auto"/>
            </w:tcBorders>
            <w:shd w:val="clear" w:color="auto" w:fill="E0FAD6"/>
            <w:vAlign w:val="center"/>
          </w:tcPr>
          <w:p w14:paraId="342D7E06" w14:textId="2DDB5C0A" w:rsidR="007D750D" w:rsidRDefault="007D750D" w:rsidP="00560879">
            <w:pPr>
              <w:spacing w:before="60" w:after="60"/>
              <w:rPr>
                <w:rFonts w:ascii="Nunito Sans" w:hAnsi="Nunito Sans" w:cs="Times New Roman"/>
                <w:b/>
                <w:bCs/>
                <w:sz w:val="18"/>
                <w:szCs w:val="18"/>
              </w:rPr>
            </w:pPr>
            <w:r>
              <w:rPr>
                <w:rFonts w:ascii="Nunito Sans" w:hAnsi="Nunito Sans" w:cs="Times New Roman"/>
                <w:b/>
                <w:bCs/>
                <w:sz w:val="18"/>
                <w:szCs w:val="18"/>
              </w:rPr>
              <w:t>High</w:t>
            </w:r>
          </w:p>
        </w:tc>
        <w:tc>
          <w:tcPr>
            <w:tcW w:w="1165" w:type="dxa"/>
            <w:tcBorders>
              <w:bottom w:val="single" w:sz="4" w:space="0" w:color="auto"/>
            </w:tcBorders>
            <w:shd w:val="clear" w:color="auto" w:fill="FEEBC4"/>
            <w:vAlign w:val="center"/>
          </w:tcPr>
          <w:p w14:paraId="15B077D3" w14:textId="568D3CC0" w:rsidR="007D750D" w:rsidRDefault="00942621" w:rsidP="00560879">
            <w:pPr>
              <w:spacing w:before="60" w:after="60"/>
              <w:rPr>
                <w:rFonts w:ascii="Nunito Sans" w:hAnsi="Nunito Sans" w:cs="Times New Roman"/>
                <w:b/>
                <w:bCs/>
                <w:sz w:val="18"/>
                <w:szCs w:val="18"/>
              </w:rPr>
            </w:pPr>
            <w:r>
              <w:rPr>
                <w:rFonts w:ascii="Nunito Sans" w:hAnsi="Nunito Sans" w:cs="Times New Roman"/>
                <w:b/>
                <w:bCs/>
                <w:sz w:val="18"/>
                <w:szCs w:val="18"/>
              </w:rPr>
              <w:t>Medium</w:t>
            </w:r>
          </w:p>
        </w:tc>
      </w:tr>
      <w:tr w:rsidR="00EC2D5A" w14:paraId="5B006AF1" w14:textId="77777777" w:rsidTr="00B01D4D">
        <w:tc>
          <w:tcPr>
            <w:tcW w:w="1554" w:type="dxa"/>
          </w:tcPr>
          <w:p w14:paraId="27DB5A16" w14:textId="4F69B98E" w:rsidR="00EC2D5A" w:rsidRDefault="00EC2D5A" w:rsidP="00560879">
            <w:pPr>
              <w:spacing w:before="60" w:after="60"/>
              <w:rPr>
                <w:rFonts w:ascii="Nunito Sans" w:hAnsi="Nunito Sans"/>
                <w:b/>
                <w:bCs/>
                <w:sz w:val="18"/>
                <w:szCs w:val="18"/>
              </w:rPr>
            </w:pPr>
            <w:r>
              <w:rPr>
                <w:rFonts w:ascii="Nunito Sans" w:hAnsi="Nunito Sans"/>
                <w:b/>
                <w:bCs/>
                <w:sz w:val="18"/>
                <w:szCs w:val="18"/>
              </w:rPr>
              <w:t xml:space="preserve">Introduce </w:t>
            </w:r>
            <w:r w:rsidR="00B942BC">
              <w:rPr>
                <w:rFonts w:ascii="Nunito Sans" w:hAnsi="Nunito Sans"/>
                <w:b/>
                <w:bCs/>
                <w:sz w:val="18"/>
                <w:szCs w:val="18"/>
              </w:rPr>
              <w:t>dwelling targets for all metropolitan LGAs</w:t>
            </w:r>
          </w:p>
        </w:tc>
        <w:tc>
          <w:tcPr>
            <w:tcW w:w="4100" w:type="dxa"/>
          </w:tcPr>
          <w:p w14:paraId="6CA431CA" w14:textId="56C4B65E" w:rsidR="00EC2D5A" w:rsidRDefault="00B942BC" w:rsidP="00D71E9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 xml:space="preserve">NSW and Victoria have set dwelling targets for </w:t>
            </w:r>
            <w:r w:rsidR="00D85AAC">
              <w:rPr>
                <w:rFonts w:ascii="Nunito Sans" w:hAnsi="Nunito Sans"/>
                <w:sz w:val="18"/>
                <w:szCs w:val="18"/>
              </w:rPr>
              <w:t xml:space="preserve">selected </w:t>
            </w:r>
            <w:r>
              <w:rPr>
                <w:rFonts w:ascii="Nunito Sans" w:hAnsi="Nunito Sans"/>
                <w:sz w:val="18"/>
                <w:szCs w:val="18"/>
              </w:rPr>
              <w:t>local government areas. This gives the community and policy makers a transparent view of which councils</w:t>
            </w:r>
            <w:r w:rsidR="00E91B97">
              <w:rPr>
                <w:rFonts w:ascii="Nunito Sans" w:hAnsi="Nunito Sans"/>
                <w:sz w:val="18"/>
                <w:szCs w:val="18"/>
              </w:rPr>
              <w:t xml:space="preserve"> are supporting the national housing challenge.</w:t>
            </w:r>
          </w:p>
          <w:p w14:paraId="251BCEC4" w14:textId="29D7A58E" w:rsidR="00AF5500" w:rsidRPr="00B006DE" w:rsidRDefault="00AF5500" w:rsidP="00D71E9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What is measured</w:t>
            </w:r>
            <w:r w:rsidR="000D5D91">
              <w:rPr>
                <w:rFonts w:ascii="Nunito Sans" w:hAnsi="Nunito Sans"/>
                <w:sz w:val="18"/>
                <w:szCs w:val="18"/>
              </w:rPr>
              <w:t>,</w:t>
            </w:r>
            <w:r>
              <w:rPr>
                <w:rFonts w:ascii="Nunito Sans" w:hAnsi="Nunito Sans"/>
                <w:sz w:val="18"/>
                <w:szCs w:val="18"/>
              </w:rPr>
              <w:t xml:space="preserve"> can be then be managed</w:t>
            </w:r>
            <w:r w:rsidR="000D5D91">
              <w:rPr>
                <w:rFonts w:ascii="Nunito Sans" w:hAnsi="Nunito Sans"/>
                <w:sz w:val="18"/>
                <w:szCs w:val="18"/>
              </w:rPr>
              <w:t>,</w:t>
            </w:r>
            <w:r w:rsidR="00DA29A2">
              <w:rPr>
                <w:rFonts w:ascii="Nunito Sans" w:hAnsi="Nunito Sans"/>
                <w:sz w:val="18"/>
                <w:szCs w:val="18"/>
              </w:rPr>
              <w:t xml:space="preserve"> and the Federal Government could link funding to </w:t>
            </w:r>
            <w:r w:rsidR="002471A8">
              <w:rPr>
                <w:rFonts w:ascii="Nunito Sans" w:hAnsi="Nunito Sans"/>
                <w:sz w:val="18"/>
                <w:szCs w:val="18"/>
              </w:rPr>
              <w:t xml:space="preserve">performance against </w:t>
            </w:r>
            <w:r w:rsidR="002D7E14">
              <w:rPr>
                <w:rFonts w:ascii="Nunito Sans" w:hAnsi="Nunito Sans"/>
                <w:sz w:val="18"/>
                <w:szCs w:val="18"/>
              </w:rPr>
              <w:t>targets</w:t>
            </w:r>
            <w:r w:rsidR="002471A8">
              <w:rPr>
                <w:rFonts w:ascii="Nunito Sans" w:hAnsi="Nunito Sans"/>
                <w:sz w:val="18"/>
                <w:szCs w:val="18"/>
              </w:rPr>
              <w:t>.</w:t>
            </w:r>
            <w:r w:rsidR="002D7E14">
              <w:rPr>
                <w:rFonts w:ascii="Nunito Sans" w:hAnsi="Nunito Sans"/>
                <w:sz w:val="18"/>
                <w:szCs w:val="18"/>
              </w:rPr>
              <w:t xml:space="preserve"> </w:t>
            </w:r>
          </w:p>
        </w:tc>
        <w:tc>
          <w:tcPr>
            <w:tcW w:w="6653" w:type="dxa"/>
          </w:tcPr>
          <w:p w14:paraId="71130258" w14:textId="77777777" w:rsidR="002471A8" w:rsidRDefault="002471A8" w:rsidP="00B942BC">
            <w:pPr>
              <w:spacing w:before="60" w:after="60"/>
              <w:rPr>
                <w:rFonts w:ascii="Nunito Sans" w:hAnsi="Nunito Sans"/>
                <w:b/>
                <w:bCs/>
                <w:sz w:val="18"/>
                <w:szCs w:val="18"/>
              </w:rPr>
            </w:pPr>
            <w:r>
              <w:rPr>
                <w:rFonts w:ascii="Nunito Sans" w:hAnsi="Nunito Sans"/>
                <w:b/>
                <w:bCs/>
                <w:sz w:val="18"/>
                <w:szCs w:val="18"/>
              </w:rPr>
              <w:t>2a</w:t>
            </w:r>
            <w:r w:rsidR="00B942BC" w:rsidRPr="00172E18">
              <w:rPr>
                <w:rFonts w:ascii="Nunito Sans" w:hAnsi="Nunito Sans"/>
                <w:b/>
                <w:bCs/>
                <w:sz w:val="18"/>
                <w:szCs w:val="18"/>
              </w:rPr>
              <w:t xml:space="preserve">. </w:t>
            </w:r>
            <w:r w:rsidR="00B942BC" w:rsidRPr="378934B3">
              <w:rPr>
                <w:rFonts w:ascii="Nunito Sans" w:hAnsi="Nunito Sans"/>
                <w:b/>
                <w:bCs/>
                <w:sz w:val="18"/>
                <w:szCs w:val="18"/>
              </w:rPr>
              <w:t>All states should apply new housing or dwelling targets to local government areas</w:t>
            </w:r>
            <w:r>
              <w:rPr>
                <w:rFonts w:ascii="Nunito Sans" w:hAnsi="Nunito Sans"/>
                <w:b/>
                <w:bCs/>
                <w:sz w:val="18"/>
                <w:szCs w:val="18"/>
              </w:rPr>
              <w:t xml:space="preserve"> (</w:t>
            </w:r>
            <w:r w:rsidR="00B942BC" w:rsidRPr="378934B3">
              <w:rPr>
                <w:rFonts w:ascii="Nunito Sans" w:hAnsi="Nunito Sans"/>
                <w:b/>
                <w:bCs/>
                <w:sz w:val="18"/>
                <w:szCs w:val="18"/>
              </w:rPr>
              <w:t>at a minimum in metropolitan LGAs</w:t>
            </w:r>
            <w:r>
              <w:rPr>
                <w:rFonts w:ascii="Nunito Sans" w:hAnsi="Nunito Sans"/>
                <w:b/>
                <w:bCs/>
                <w:sz w:val="18"/>
                <w:szCs w:val="18"/>
              </w:rPr>
              <w:t>)</w:t>
            </w:r>
            <w:r w:rsidR="00B942BC" w:rsidRPr="378934B3">
              <w:rPr>
                <w:rFonts w:ascii="Nunito Sans" w:hAnsi="Nunito Sans"/>
                <w:b/>
                <w:bCs/>
                <w:sz w:val="18"/>
                <w:szCs w:val="18"/>
              </w:rPr>
              <w:t xml:space="preserve">. </w:t>
            </w:r>
          </w:p>
          <w:p w14:paraId="0D5BA6A4" w14:textId="60AE753C" w:rsidR="00A129F2" w:rsidRPr="0092794E" w:rsidRDefault="00A129F2" w:rsidP="00B942BC">
            <w:pPr>
              <w:spacing w:before="60" w:after="60"/>
              <w:rPr>
                <w:rFonts w:ascii="Nunito Sans" w:hAnsi="Nunito Sans"/>
                <w:sz w:val="18"/>
                <w:szCs w:val="18"/>
              </w:rPr>
            </w:pPr>
            <w:r>
              <w:rPr>
                <w:rFonts w:ascii="Nunito Sans" w:hAnsi="Nunito Sans"/>
                <w:sz w:val="18"/>
                <w:szCs w:val="18"/>
              </w:rPr>
              <w:t>Australia needs a united approach to our housing challenge, and all councils</w:t>
            </w:r>
            <w:r w:rsidR="00887B29">
              <w:rPr>
                <w:rFonts w:ascii="Nunito Sans" w:hAnsi="Nunito Sans"/>
                <w:sz w:val="18"/>
                <w:szCs w:val="18"/>
              </w:rPr>
              <w:t xml:space="preserve">, particular in higher density metropolitan areas, </w:t>
            </w:r>
            <w:r>
              <w:rPr>
                <w:rFonts w:ascii="Nunito Sans" w:hAnsi="Nunito Sans"/>
                <w:sz w:val="18"/>
                <w:szCs w:val="18"/>
              </w:rPr>
              <w:t xml:space="preserve">need to </w:t>
            </w:r>
            <w:r w:rsidR="00F74BB4">
              <w:rPr>
                <w:rFonts w:ascii="Nunito Sans" w:hAnsi="Nunito Sans"/>
                <w:sz w:val="18"/>
                <w:szCs w:val="18"/>
              </w:rPr>
              <w:t>do their bit to</w:t>
            </w:r>
            <w:r w:rsidR="00C21D99">
              <w:rPr>
                <w:rFonts w:ascii="Nunito Sans" w:hAnsi="Nunito Sans"/>
                <w:sz w:val="18"/>
                <w:szCs w:val="18"/>
              </w:rPr>
              <w:t xml:space="preserve"> lean in</w:t>
            </w:r>
            <w:r>
              <w:rPr>
                <w:rFonts w:ascii="Nunito Sans" w:hAnsi="Nunito Sans"/>
                <w:sz w:val="18"/>
                <w:szCs w:val="18"/>
              </w:rPr>
              <w:t>. At present</w:t>
            </w:r>
            <w:r w:rsidR="001C62E4">
              <w:rPr>
                <w:rFonts w:ascii="Nunito Sans" w:hAnsi="Nunito Sans"/>
                <w:sz w:val="18"/>
                <w:szCs w:val="18"/>
              </w:rPr>
              <w:t xml:space="preserve">, we have a </w:t>
            </w:r>
            <w:r w:rsidR="00553BCC">
              <w:rPr>
                <w:rFonts w:ascii="Nunito Sans" w:hAnsi="Nunito Sans"/>
                <w:sz w:val="18"/>
                <w:szCs w:val="18"/>
              </w:rPr>
              <w:t xml:space="preserve">fragmented </w:t>
            </w:r>
            <w:r w:rsidR="001C62E4">
              <w:rPr>
                <w:rFonts w:ascii="Nunito Sans" w:hAnsi="Nunito Sans"/>
                <w:sz w:val="18"/>
                <w:szCs w:val="18"/>
              </w:rPr>
              <w:t xml:space="preserve">system </w:t>
            </w:r>
            <w:r w:rsidR="00C21D99">
              <w:rPr>
                <w:rFonts w:ascii="Nunito Sans" w:hAnsi="Nunito Sans"/>
                <w:sz w:val="18"/>
                <w:szCs w:val="18"/>
              </w:rPr>
              <w:t xml:space="preserve">where some councils are </w:t>
            </w:r>
            <w:r w:rsidR="00887B29">
              <w:rPr>
                <w:rFonts w:ascii="Nunito Sans" w:hAnsi="Nunito Sans"/>
                <w:sz w:val="18"/>
                <w:szCs w:val="18"/>
              </w:rPr>
              <w:t xml:space="preserve">actively </w:t>
            </w:r>
            <w:r w:rsidR="00DE4C9B">
              <w:rPr>
                <w:rFonts w:ascii="Nunito Sans" w:hAnsi="Nunito Sans"/>
                <w:sz w:val="18"/>
                <w:szCs w:val="18"/>
              </w:rPr>
              <w:t xml:space="preserve">supporting new supply </w:t>
            </w:r>
            <w:r w:rsidR="00285F6B">
              <w:rPr>
                <w:rFonts w:ascii="Nunito Sans" w:hAnsi="Nunito Sans"/>
                <w:sz w:val="18"/>
                <w:szCs w:val="18"/>
              </w:rPr>
              <w:t xml:space="preserve">and others </w:t>
            </w:r>
            <w:r w:rsidR="00FB6D5F">
              <w:rPr>
                <w:rFonts w:ascii="Nunito Sans" w:hAnsi="Nunito Sans"/>
                <w:sz w:val="18"/>
                <w:szCs w:val="18"/>
              </w:rPr>
              <w:t xml:space="preserve">are </w:t>
            </w:r>
            <w:r w:rsidR="00F1344B">
              <w:rPr>
                <w:rFonts w:ascii="Nunito Sans" w:hAnsi="Nunito Sans"/>
                <w:sz w:val="18"/>
                <w:szCs w:val="18"/>
              </w:rPr>
              <w:t>less supportive of housing growth.</w:t>
            </w:r>
          </w:p>
          <w:p w14:paraId="05B9E2A7" w14:textId="77777777" w:rsidR="00A129F2" w:rsidRDefault="00A129F2" w:rsidP="00B942BC">
            <w:pPr>
              <w:spacing w:before="60" w:after="60"/>
              <w:rPr>
                <w:rFonts w:ascii="Nunito Sans" w:hAnsi="Nunito Sans"/>
                <w:b/>
                <w:bCs/>
                <w:sz w:val="18"/>
                <w:szCs w:val="18"/>
              </w:rPr>
            </w:pPr>
          </w:p>
          <w:p w14:paraId="29180E8B" w14:textId="3CDED2F5" w:rsidR="00B942BC" w:rsidRPr="00172E18" w:rsidRDefault="00F1344B" w:rsidP="00B942BC">
            <w:pPr>
              <w:spacing w:before="60" w:after="60"/>
              <w:rPr>
                <w:rFonts w:ascii="Nunito Sans" w:hAnsi="Nunito Sans"/>
                <w:b/>
                <w:bCs/>
                <w:sz w:val="18"/>
                <w:szCs w:val="18"/>
              </w:rPr>
            </w:pPr>
            <w:r>
              <w:rPr>
                <w:rFonts w:ascii="Nunito Sans" w:hAnsi="Nunito Sans"/>
                <w:b/>
                <w:bCs/>
                <w:sz w:val="18"/>
                <w:szCs w:val="18"/>
              </w:rPr>
              <w:t xml:space="preserve">2b. </w:t>
            </w:r>
            <w:r w:rsidR="00B942BC" w:rsidRPr="378934B3">
              <w:rPr>
                <w:rFonts w:ascii="Nunito Sans" w:hAnsi="Nunito Sans"/>
                <w:b/>
                <w:bCs/>
                <w:sz w:val="18"/>
                <w:szCs w:val="18"/>
              </w:rPr>
              <w:t xml:space="preserve">The Federal Government should </w:t>
            </w:r>
            <w:r w:rsidR="008828D8">
              <w:rPr>
                <w:rFonts w:ascii="Nunito Sans" w:hAnsi="Nunito Sans"/>
                <w:b/>
                <w:bCs/>
                <w:sz w:val="18"/>
                <w:szCs w:val="18"/>
              </w:rPr>
              <w:t xml:space="preserve">introduce a housing target </w:t>
            </w:r>
            <w:r w:rsidR="001A34F6">
              <w:rPr>
                <w:rFonts w:ascii="Nunito Sans" w:hAnsi="Nunito Sans"/>
                <w:b/>
                <w:bCs/>
                <w:sz w:val="18"/>
                <w:szCs w:val="18"/>
              </w:rPr>
              <w:t xml:space="preserve">component to the criteria for </w:t>
            </w:r>
            <w:r w:rsidR="00B942BC" w:rsidRPr="00172E18">
              <w:rPr>
                <w:rFonts w:ascii="Nunito Sans" w:hAnsi="Nunito Sans"/>
                <w:b/>
                <w:bCs/>
                <w:sz w:val="18"/>
                <w:szCs w:val="18"/>
              </w:rPr>
              <w:t xml:space="preserve">Local Government </w:t>
            </w:r>
            <w:r w:rsidR="004A6FEC">
              <w:rPr>
                <w:rFonts w:ascii="Nunito Sans" w:hAnsi="Nunito Sans"/>
                <w:b/>
                <w:bCs/>
                <w:sz w:val="18"/>
                <w:szCs w:val="18"/>
              </w:rPr>
              <w:t xml:space="preserve">Financial Assistance </w:t>
            </w:r>
            <w:r w:rsidR="00B942BC" w:rsidRPr="00172E18">
              <w:rPr>
                <w:rFonts w:ascii="Nunito Sans" w:hAnsi="Nunito Sans"/>
                <w:b/>
                <w:bCs/>
                <w:sz w:val="18"/>
                <w:szCs w:val="18"/>
              </w:rPr>
              <w:t>Grant funding.</w:t>
            </w:r>
          </w:p>
          <w:p w14:paraId="36D807B3" w14:textId="415A53A5" w:rsidR="00EC2D5A" w:rsidRDefault="00B942BC" w:rsidP="00AC0559">
            <w:pPr>
              <w:spacing w:before="60" w:after="60"/>
              <w:rPr>
                <w:rFonts w:ascii="Nunito Sans" w:hAnsi="Nunito Sans"/>
                <w:b/>
                <w:bCs/>
                <w:sz w:val="18"/>
                <w:szCs w:val="18"/>
              </w:rPr>
            </w:pPr>
            <w:r>
              <w:rPr>
                <w:rFonts w:ascii="Nunito Sans" w:hAnsi="Nunito Sans"/>
                <w:sz w:val="18"/>
                <w:szCs w:val="18"/>
              </w:rPr>
              <w:t>To incentivise more supply, c</w:t>
            </w:r>
            <w:r w:rsidRPr="00110C8F">
              <w:rPr>
                <w:rFonts w:ascii="Nunito Sans" w:hAnsi="Nunito Sans"/>
                <w:sz w:val="18"/>
                <w:szCs w:val="18"/>
              </w:rPr>
              <w:t xml:space="preserve">ouncils that materially underperform </w:t>
            </w:r>
            <w:r w:rsidR="00721C45">
              <w:rPr>
                <w:rFonts w:ascii="Nunito Sans" w:hAnsi="Nunito Sans"/>
                <w:sz w:val="18"/>
                <w:szCs w:val="18"/>
              </w:rPr>
              <w:t>against housing targets c</w:t>
            </w:r>
            <w:r w:rsidRPr="00110C8F">
              <w:rPr>
                <w:rFonts w:ascii="Nunito Sans" w:hAnsi="Nunito Sans"/>
                <w:sz w:val="18"/>
                <w:szCs w:val="18"/>
              </w:rPr>
              <w:t xml:space="preserve">ould face a proportional reduction in </w:t>
            </w:r>
            <w:r w:rsidR="00721C45">
              <w:rPr>
                <w:rFonts w:ascii="Nunito Sans" w:hAnsi="Nunito Sans"/>
                <w:sz w:val="18"/>
                <w:szCs w:val="18"/>
              </w:rPr>
              <w:t xml:space="preserve">Financial Assistance Grant </w:t>
            </w:r>
            <w:r w:rsidRPr="00110C8F">
              <w:rPr>
                <w:rFonts w:ascii="Nunito Sans" w:hAnsi="Nunito Sans"/>
                <w:sz w:val="18"/>
                <w:szCs w:val="18"/>
              </w:rPr>
              <w:t xml:space="preserve">funding, with </w:t>
            </w:r>
            <w:r>
              <w:rPr>
                <w:rFonts w:ascii="Nunito Sans" w:hAnsi="Nunito Sans"/>
                <w:sz w:val="18"/>
                <w:szCs w:val="18"/>
              </w:rPr>
              <w:t>this funding</w:t>
            </w:r>
            <w:r w:rsidRPr="00110C8F">
              <w:rPr>
                <w:rFonts w:ascii="Nunito Sans" w:hAnsi="Nunito Sans"/>
                <w:sz w:val="18"/>
                <w:szCs w:val="18"/>
              </w:rPr>
              <w:t xml:space="preserve"> reallocated to higher</w:t>
            </w:r>
            <w:r w:rsidRPr="00110C8F">
              <w:rPr>
                <w:rFonts w:ascii="Nunito Sans" w:hAnsi="Nunito Sans"/>
                <w:sz w:val="18"/>
                <w:szCs w:val="18"/>
              </w:rPr>
              <w:noBreakHyphen/>
              <w:t xml:space="preserve">performing </w:t>
            </w:r>
            <w:r>
              <w:rPr>
                <w:rFonts w:ascii="Nunito Sans" w:hAnsi="Nunito Sans"/>
                <w:sz w:val="18"/>
                <w:szCs w:val="18"/>
              </w:rPr>
              <w:t>councils. The proposal</w:t>
            </w:r>
            <w:r w:rsidRPr="00110C8F">
              <w:rPr>
                <w:rFonts w:ascii="Nunito Sans" w:hAnsi="Nunito Sans"/>
                <w:sz w:val="18"/>
                <w:szCs w:val="18"/>
              </w:rPr>
              <w:t xml:space="preserve"> could be initially targeted at metropolitan LGAs</w:t>
            </w:r>
            <w:r w:rsidR="00AC0559">
              <w:rPr>
                <w:rFonts w:ascii="Nunito Sans" w:hAnsi="Nunito Sans"/>
                <w:sz w:val="18"/>
                <w:szCs w:val="18"/>
              </w:rPr>
              <w:t xml:space="preserve">. </w:t>
            </w:r>
            <w:r w:rsidRPr="00110C8F">
              <w:rPr>
                <w:rFonts w:ascii="Nunito Sans" w:hAnsi="Nunito Sans"/>
                <w:sz w:val="18"/>
                <w:szCs w:val="18"/>
              </w:rPr>
              <w:t xml:space="preserve">This is one of the few </w:t>
            </w:r>
            <w:r w:rsidRPr="00110C8F">
              <w:rPr>
                <w:rFonts w:ascii="Nunito Sans" w:hAnsi="Nunito Sans"/>
                <w:sz w:val="18"/>
                <w:szCs w:val="18"/>
              </w:rPr>
              <w:lastRenderedPageBreak/>
              <w:t xml:space="preserve">direct levers available to the Commonwealth to influence local government </w:t>
            </w:r>
            <w:r w:rsidR="00D85AAC">
              <w:rPr>
                <w:rFonts w:ascii="Nunito Sans" w:hAnsi="Nunito Sans"/>
                <w:sz w:val="18"/>
                <w:szCs w:val="18"/>
              </w:rPr>
              <w:t>decisioning</w:t>
            </w:r>
            <w:r w:rsidRPr="00110C8F">
              <w:rPr>
                <w:rFonts w:ascii="Nunito Sans" w:hAnsi="Nunito Sans"/>
                <w:sz w:val="18"/>
                <w:szCs w:val="18"/>
              </w:rPr>
              <w:t>.</w:t>
            </w:r>
          </w:p>
        </w:tc>
        <w:tc>
          <w:tcPr>
            <w:tcW w:w="1265" w:type="dxa"/>
            <w:tcBorders>
              <w:top w:val="single" w:sz="4" w:space="0" w:color="auto"/>
            </w:tcBorders>
            <w:shd w:val="clear" w:color="auto" w:fill="E0FAD6"/>
            <w:vAlign w:val="center"/>
          </w:tcPr>
          <w:p w14:paraId="18AC3758" w14:textId="41ABAE0D" w:rsidR="00EC2D5A" w:rsidRPr="00C13337" w:rsidRDefault="00D85AAC" w:rsidP="00560879">
            <w:pPr>
              <w:spacing w:before="60" w:after="60"/>
              <w:rPr>
                <w:rFonts w:ascii="Nunito Sans" w:hAnsi="Nunito Sans" w:cs="Times New Roman"/>
                <w:b/>
                <w:bCs/>
                <w:sz w:val="18"/>
                <w:szCs w:val="18"/>
              </w:rPr>
            </w:pPr>
            <w:r>
              <w:rPr>
                <w:rFonts w:ascii="Nunito Sans" w:hAnsi="Nunito Sans" w:cs="Times New Roman"/>
                <w:b/>
                <w:bCs/>
                <w:sz w:val="18"/>
                <w:szCs w:val="18"/>
              </w:rPr>
              <w:lastRenderedPageBreak/>
              <w:t>High</w:t>
            </w:r>
          </w:p>
        </w:tc>
        <w:tc>
          <w:tcPr>
            <w:tcW w:w="1165" w:type="dxa"/>
            <w:tcBorders>
              <w:top w:val="single" w:sz="4" w:space="0" w:color="auto"/>
            </w:tcBorders>
            <w:shd w:val="clear" w:color="auto" w:fill="E0FAD6"/>
            <w:vAlign w:val="center"/>
          </w:tcPr>
          <w:p w14:paraId="21D3F23A" w14:textId="09A06FEB" w:rsidR="00EC2D5A" w:rsidRPr="00C13337" w:rsidRDefault="00D85AAC" w:rsidP="00560879">
            <w:pPr>
              <w:spacing w:before="60" w:after="60"/>
              <w:rPr>
                <w:rFonts w:ascii="Nunito Sans" w:hAnsi="Nunito Sans" w:cs="Times New Roman"/>
                <w:b/>
                <w:bCs/>
                <w:sz w:val="18"/>
                <w:szCs w:val="18"/>
              </w:rPr>
            </w:pPr>
            <w:r>
              <w:rPr>
                <w:rFonts w:ascii="Nunito Sans" w:hAnsi="Nunito Sans" w:cs="Times New Roman"/>
                <w:b/>
                <w:bCs/>
                <w:sz w:val="18"/>
                <w:szCs w:val="18"/>
              </w:rPr>
              <w:t>Low</w:t>
            </w:r>
          </w:p>
        </w:tc>
      </w:tr>
      <w:tr w:rsidR="00A02AA2" w14:paraId="386E2B8C" w14:textId="77777777" w:rsidTr="00B01D4D">
        <w:tc>
          <w:tcPr>
            <w:tcW w:w="1554" w:type="dxa"/>
          </w:tcPr>
          <w:p w14:paraId="6BE965B7" w14:textId="4433805E" w:rsidR="00A02AA2" w:rsidRPr="000E07C2" w:rsidRDefault="00A02AA2" w:rsidP="00560879">
            <w:pPr>
              <w:spacing w:before="60" w:after="60"/>
              <w:rPr>
                <w:rFonts w:ascii="Nunito Sans" w:hAnsi="Nunito Sans"/>
                <w:b/>
                <w:bCs/>
                <w:sz w:val="18"/>
                <w:szCs w:val="18"/>
              </w:rPr>
            </w:pPr>
            <w:r>
              <w:rPr>
                <w:rFonts w:ascii="Nunito Sans" w:hAnsi="Nunito Sans"/>
                <w:b/>
                <w:bCs/>
                <w:sz w:val="18"/>
                <w:szCs w:val="18"/>
              </w:rPr>
              <w:t>Reduce the overlap, duplication and</w:t>
            </w:r>
            <w:r w:rsidR="00252C4D">
              <w:rPr>
                <w:rFonts w:ascii="Nunito Sans" w:hAnsi="Nunito Sans"/>
                <w:b/>
                <w:bCs/>
                <w:sz w:val="18"/>
                <w:szCs w:val="18"/>
              </w:rPr>
              <w:t xml:space="preserve"> </w:t>
            </w:r>
            <w:r w:rsidR="0007729A">
              <w:rPr>
                <w:rFonts w:ascii="Nunito Sans" w:hAnsi="Nunito Sans"/>
                <w:b/>
                <w:bCs/>
                <w:sz w:val="18"/>
                <w:szCs w:val="18"/>
              </w:rPr>
              <w:t>inconsistency between</w:t>
            </w:r>
            <w:r>
              <w:rPr>
                <w:rFonts w:ascii="Nunito Sans" w:hAnsi="Nunito Sans"/>
                <w:b/>
                <w:bCs/>
                <w:sz w:val="18"/>
                <w:szCs w:val="18"/>
              </w:rPr>
              <w:t xml:space="preserve"> the NCC and state-based </w:t>
            </w:r>
            <w:r w:rsidR="00252C4D">
              <w:rPr>
                <w:rFonts w:ascii="Nunito Sans" w:hAnsi="Nunito Sans"/>
                <w:b/>
                <w:bCs/>
                <w:sz w:val="18"/>
                <w:szCs w:val="18"/>
              </w:rPr>
              <w:t>c</w:t>
            </w:r>
            <w:r>
              <w:rPr>
                <w:rFonts w:ascii="Nunito Sans" w:hAnsi="Nunito Sans"/>
                <w:b/>
                <w:bCs/>
                <w:sz w:val="18"/>
                <w:szCs w:val="18"/>
              </w:rPr>
              <w:t xml:space="preserve">onstruction </w:t>
            </w:r>
            <w:r w:rsidR="00252C4D">
              <w:rPr>
                <w:rFonts w:ascii="Nunito Sans" w:hAnsi="Nunito Sans"/>
                <w:b/>
                <w:bCs/>
                <w:sz w:val="18"/>
                <w:szCs w:val="18"/>
              </w:rPr>
              <w:t>requirements</w:t>
            </w:r>
          </w:p>
        </w:tc>
        <w:tc>
          <w:tcPr>
            <w:tcW w:w="4100" w:type="dxa"/>
          </w:tcPr>
          <w:p w14:paraId="617E34E4" w14:textId="239D3414" w:rsidR="00A02AA2" w:rsidRDefault="00A02AA2" w:rsidP="00D71E9E">
            <w:pPr>
              <w:pStyle w:val="ListParagraph"/>
              <w:numPr>
                <w:ilvl w:val="0"/>
                <w:numId w:val="5"/>
              </w:numPr>
              <w:spacing w:before="60" w:after="60" w:line="278" w:lineRule="auto"/>
              <w:ind w:left="315" w:hanging="284"/>
              <w:contextualSpacing w:val="0"/>
              <w:rPr>
                <w:rFonts w:ascii="Nunito Sans" w:hAnsi="Nunito Sans"/>
                <w:sz w:val="18"/>
                <w:szCs w:val="18"/>
              </w:rPr>
            </w:pPr>
            <w:r w:rsidRPr="00B006DE">
              <w:rPr>
                <w:rFonts w:ascii="Nunito Sans" w:hAnsi="Nunito Sans"/>
                <w:sz w:val="18"/>
                <w:szCs w:val="18"/>
              </w:rPr>
              <w:t xml:space="preserve">Developers deal with multiple agencies </w:t>
            </w:r>
            <w:r w:rsidR="00D71E9E">
              <w:rPr>
                <w:rFonts w:ascii="Nunito Sans" w:hAnsi="Nunito Sans"/>
                <w:sz w:val="18"/>
                <w:szCs w:val="18"/>
              </w:rPr>
              <w:t xml:space="preserve">and multiple Development Codes </w:t>
            </w:r>
            <w:r w:rsidRPr="00B006DE">
              <w:rPr>
                <w:rFonts w:ascii="Nunito Sans" w:hAnsi="Nunito Sans"/>
                <w:sz w:val="18"/>
                <w:szCs w:val="18"/>
              </w:rPr>
              <w:t xml:space="preserve">across three levels of government, often </w:t>
            </w:r>
            <w:r w:rsidR="00D71E9E">
              <w:rPr>
                <w:rFonts w:ascii="Nunito Sans" w:hAnsi="Nunito Sans"/>
                <w:sz w:val="18"/>
                <w:szCs w:val="18"/>
              </w:rPr>
              <w:t xml:space="preserve">working through </w:t>
            </w:r>
            <w:r w:rsidRPr="00B006DE">
              <w:rPr>
                <w:rFonts w:ascii="Nunito Sans" w:hAnsi="Nunito Sans"/>
                <w:sz w:val="18"/>
                <w:szCs w:val="18"/>
              </w:rPr>
              <w:t>inconsistent advice</w:t>
            </w:r>
            <w:r w:rsidR="00D71E9E">
              <w:rPr>
                <w:rFonts w:ascii="Nunito Sans" w:hAnsi="Nunito Sans"/>
                <w:sz w:val="18"/>
                <w:szCs w:val="18"/>
              </w:rPr>
              <w:t xml:space="preserve"> and frameworks</w:t>
            </w:r>
            <w:r w:rsidRPr="00B006DE">
              <w:rPr>
                <w:rFonts w:ascii="Nunito Sans" w:hAnsi="Nunito Sans"/>
                <w:sz w:val="18"/>
                <w:szCs w:val="18"/>
              </w:rPr>
              <w:t xml:space="preserve">. </w:t>
            </w:r>
          </w:p>
          <w:p w14:paraId="73F01C08" w14:textId="1BB2B580" w:rsidR="00A02AA2" w:rsidRPr="002275BD" w:rsidRDefault="002275BD" w:rsidP="002275BD">
            <w:pPr>
              <w:pStyle w:val="ListParagraph"/>
              <w:numPr>
                <w:ilvl w:val="0"/>
                <w:numId w:val="5"/>
              </w:numPr>
              <w:spacing w:before="60" w:after="60" w:line="278" w:lineRule="auto"/>
              <w:ind w:left="315" w:hanging="284"/>
              <w:contextualSpacing w:val="0"/>
              <w:rPr>
                <w:rFonts w:ascii="Nunito Sans" w:hAnsi="Nunito Sans"/>
                <w:sz w:val="18"/>
                <w:szCs w:val="18"/>
              </w:rPr>
            </w:pPr>
            <w:r>
              <w:rPr>
                <w:rFonts w:ascii="Nunito Sans" w:hAnsi="Nunito Sans"/>
                <w:sz w:val="18"/>
                <w:szCs w:val="18"/>
              </w:rPr>
              <w:t>When NCC changes are made,</w:t>
            </w:r>
            <w:r w:rsidRPr="002275BD">
              <w:rPr>
                <w:rFonts w:ascii="Nunito Sans" w:hAnsi="Nunito Sans"/>
                <w:sz w:val="18"/>
                <w:szCs w:val="18"/>
              </w:rPr>
              <w:t xml:space="preserve"> each state applies different approaches</w:t>
            </w:r>
            <w:r>
              <w:rPr>
                <w:rFonts w:ascii="Nunito Sans" w:hAnsi="Nunito Sans"/>
                <w:sz w:val="18"/>
                <w:szCs w:val="18"/>
              </w:rPr>
              <w:t xml:space="preserve"> to “in flight” projects</w:t>
            </w:r>
            <w:r w:rsidRPr="002275BD">
              <w:rPr>
                <w:rFonts w:ascii="Nunito Sans" w:hAnsi="Nunito Sans"/>
                <w:sz w:val="18"/>
                <w:szCs w:val="18"/>
              </w:rPr>
              <w:t xml:space="preserve">, with </w:t>
            </w:r>
            <w:r w:rsidR="00CF1217">
              <w:rPr>
                <w:rFonts w:ascii="Nunito Sans" w:hAnsi="Nunito Sans"/>
                <w:sz w:val="18"/>
                <w:szCs w:val="18"/>
              </w:rPr>
              <w:t>some</w:t>
            </w:r>
            <w:r w:rsidRPr="002275BD">
              <w:rPr>
                <w:rFonts w:ascii="Nunito Sans" w:hAnsi="Nunito Sans"/>
                <w:sz w:val="18"/>
                <w:szCs w:val="18"/>
              </w:rPr>
              <w:t xml:space="preserve"> requiring compliance with the NCC in force at the time of development approval (DA)</w:t>
            </w:r>
            <w:r w:rsidR="00CF1217">
              <w:rPr>
                <w:rFonts w:ascii="Nunito Sans" w:hAnsi="Nunito Sans"/>
                <w:sz w:val="18"/>
                <w:szCs w:val="18"/>
              </w:rPr>
              <w:t>, while others taking a different approach</w:t>
            </w:r>
            <w:r w:rsidRPr="002275BD">
              <w:rPr>
                <w:rFonts w:ascii="Nunito Sans" w:hAnsi="Nunito Sans"/>
                <w:sz w:val="18"/>
                <w:szCs w:val="18"/>
              </w:rPr>
              <w:t>. Where a new version of the NCC is introduced between DA approval and the construction certificate (CC), projects face redesign costs, delays and mid</w:t>
            </w:r>
            <w:r w:rsidRPr="002275BD">
              <w:rPr>
                <w:rFonts w:ascii="Nunito Sans" w:hAnsi="Nunito Sans"/>
                <w:sz w:val="18"/>
                <w:szCs w:val="18"/>
              </w:rPr>
              <w:noBreakHyphen/>
              <w:t xml:space="preserve">project financing risk. This undermines feasibility certainty at the DA stage. </w:t>
            </w:r>
          </w:p>
        </w:tc>
        <w:tc>
          <w:tcPr>
            <w:tcW w:w="6653" w:type="dxa"/>
          </w:tcPr>
          <w:p w14:paraId="5BC1760B" w14:textId="1FD46B85" w:rsidR="00A02AA2" w:rsidRPr="00BB4AF2" w:rsidRDefault="5DC1F158" w:rsidP="00A02AA2">
            <w:pPr>
              <w:spacing w:before="60" w:after="60"/>
              <w:rPr>
                <w:rFonts w:ascii="Nunito Sans" w:hAnsi="Nunito Sans"/>
                <w:sz w:val="18"/>
                <w:szCs w:val="18"/>
              </w:rPr>
            </w:pPr>
            <w:r w:rsidRPr="2082D04A">
              <w:rPr>
                <w:rFonts w:ascii="Nunito Sans" w:hAnsi="Nunito Sans"/>
                <w:b/>
                <w:bCs/>
                <w:sz w:val="18"/>
                <w:szCs w:val="18"/>
              </w:rPr>
              <w:t>3</w:t>
            </w:r>
            <w:r w:rsidR="7E11CC0B" w:rsidRPr="2082D04A">
              <w:rPr>
                <w:rFonts w:ascii="Nunito Sans" w:hAnsi="Nunito Sans"/>
                <w:b/>
                <w:bCs/>
                <w:sz w:val="18"/>
                <w:szCs w:val="18"/>
              </w:rPr>
              <w:t>a</w:t>
            </w:r>
            <w:r w:rsidR="00A02AA2">
              <w:rPr>
                <w:rFonts w:ascii="Nunito Sans" w:hAnsi="Nunito Sans"/>
                <w:b/>
                <w:bCs/>
                <w:sz w:val="18"/>
                <w:szCs w:val="18"/>
              </w:rPr>
              <w:t xml:space="preserve">. </w:t>
            </w:r>
            <w:r w:rsidR="00A02AA2" w:rsidRPr="00BB4AF2">
              <w:rPr>
                <w:rFonts w:ascii="Nunito Sans" w:hAnsi="Nunito Sans"/>
                <w:b/>
                <w:bCs/>
                <w:sz w:val="18"/>
                <w:szCs w:val="18"/>
              </w:rPr>
              <w:t xml:space="preserve">Use AI to streamline and consolidate complex state-based planning </w:t>
            </w:r>
            <w:r w:rsidR="00D71E9E">
              <w:rPr>
                <w:rFonts w:ascii="Nunito Sans" w:hAnsi="Nunito Sans"/>
                <w:b/>
                <w:bCs/>
                <w:sz w:val="18"/>
                <w:szCs w:val="18"/>
              </w:rPr>
              <w:t>C</w:t>
            </w:r>
            <w:r w:rsidR="00A02AA2" w:rsidRPr="00BB4AF2">
              <w:rPr>
                <w:rFonts w:ascii="Nunito Sans" w:hAnsi="Nunito Sans"/>
                <w:b/>
                <w:bCs/>
                <w:sz w:val="18"/>
                <w:szCs w:val="18"/>
              </w:rPr>
              <w:t>odes into</w:t>
            </w:r>
            <w:r w:rsidR="00D71E9E">
              <w:rPr>
                <w:rFonts w:ascii="Nunito Sans" w:hAnsi="Nunito Sans"/>
                <w:b/>
                <w:bCs/>
                <w:sz w:val="18"/>
                <w:szCs w:val="18"/>
              </w:rPr>
              <w:t xml:space="preserve"> a consistent “best in class” </w:t>
            </w:r>
            <w:r w:rsidR="00A02AA2" w:rsidRPr="00BB4AF2">
              <w:rPr>
                <w:rFonts w:ascii="Nunito Sans" w:hAnsi="Nunito Sans"/>
                <w:b/>
                <w:bCs/>
                <w:sz w:val="18"/>
                <w:szCs w:val="18"/>
              </w:rPr>
              <w:t xml:space="preserve">framework, </w:t>
            </w:r>
            <w:r w:rsidR="00D71E9E" w:rsidRPr="00C13337">
              <w:rPr>
                <w:rFonts w:ascii="Nunito Sans" w:hAnsi="Nunito Sans"/>
                <w:sz w:val="18"/>
                <w:szCs w:val="18"/>
              </w:rPr>
              <w:t>using</w:t>
            </w:r>
            <w:r w:rsidR="00D71E9E">
              <w:rPr>
                <w:rFonts w:ascii="Nunito Sans" w:hAnsi="Nunito Sans"/>
                <w:b/>
                <w:bCs/>
                <w:sz w:val="18"/>
                <w:szCs w:val="18"/>
              </w:rPr>
              <w:t xml:space="preserve"> </w:t>
            </w:r>
            <w:r w:rsidR="00A02AA2">
              <w:rPr>
                <w:rFonts w:ascii="Nunito Sans" w:hAnsi="Nunito Sans"/>
                <w:sz w:val="18"/>
                <w:szCs w:val="18"/>
              </w:rPr>
              <w:t>SA’s</w:t>
            </w:r>
            <w:r w:rsidR="00A02AA2" w:rsidRPr="00BB4AF2">
              <w:rPr>
                <w:rFonts w:ascii="Nunito Sans" w:hAnsi="Nunito Sans"/>
                <w:sz w:val="18"/>
                <w:szCs w:val="18"/>
              </w:rPr>
              <w:t xml:space="preserve"> modern, simplified approach</w:t>
            </w:r>
            <w:r w:rsidR="00D71E9E">
              <w:rPr>
                <w:rFonts w:ascii="Nunito Sans" w:hAnsi="Nunito Sans"/>
                <w:sz w:val="18"/>
                <w:szCs w:val="18"/>
              </w:rPr>
              <w:t xml:space="preserve"> as the high bar.</w:t>
            </w:r>
          </w:p>
          <w:p w14:paraId="4A11BFFD" w14:textId="77777777" w:rsidR="00D71E9E" w:rsidRDefault="00A02AA2" w:rsidP="00A02AA2">
            <w:pPr>
              <w:spacing w:before="60" w:after="60"/>
              <w:rPr>
                <w:rFonts w:ascii="Nunito Sans" w:hAnsi="Nunito Sans"/>
                <w:sz w:val="18"/>
                <w:szCs w:val="18"/>
              </w:rPr>
            </w:pPr>
            <w:r>
              <w:rPr>
                <w:rFonts w:ascii="Nunito Sans" w:hAnsi="Nunito Sans"/>
                <w:sz w:val="18"/>
                <w:szCs w:val="18"/>
              </w:rPr>
              <w:t>SA</w:t>
            </w:r>
            <w:r w:rsidRPr="00336473">
              <w:rPr>
                <w:rFonts w:ascii="Nunito Sans" w:hAnsi="Nunito Sans"/>
                <w:sz w:val="18"/>
                <w:szCs w:val="18"/>
              </w:rPr>
              <w:t xml:space="preserve"> has implemented a single, consolidated planning system through its Planning and Design Code, which replaces multiple local planning schemes </w:t>
            </w:r>
            <w:r w:rsidR="00D71E9E">
              <w:rPr>
                <w:rFonts w:ascii="Nunito Sans" w:hAnsi="Nunito Sans"/>
                <w:sz w:val="18"/>
                <w:szCs w:val="18"/>
              </w:rPr>
              <w:t>and building Codes w</w:t>
            </w:r>
            <w:r w:rsidRPr="00336473">
              <w:rPr>
                <w:rFonts w:ascii="Nunito Sans" w:hAnsi="Nunito Sans"/>
                <w:sz w:val="18"/>
                <w:szCs w:val="18"/>
              </w:rPr>
              <w:t>ith one unified set of rules. This creates greater consistency, faster approvals and clearer pathways for development by removing duplication and reducing variation across councils.</w:t>
            </w:r>
          </w:p>
          <w:p w14:paraId="27DA7271" w14:textId="6C3BD8A5" w:rsidR="00A02AA2" w:rsidRDefault="00D71E9E" w:rsidP="00A02AA2">
            <w:pPr>
              <w:spacing w:before="60" w:after="60"/>
              <w:rPr>
                <w:rFonts w:ascii="Nunito Sans" w:hAnsi="Nunito Sans"/>
                <w:sz w:val="18"/>
                <w:szCs w:val="18"/>
              </w:rPr>
            </w:pPr>
            <w:r>
              <w:rPr>
                <w:rFonts w:ascii="Nunito Sans" w:hAnsi="Nunito Sans"/>
                <w:sz w:val="18"/>
                <w:szCs w:val="18"/>
              </w:rPr>
              <w:t xml:space="preserve">Using the SA </w:t>
            </w:r>
            <w:r w:rsidR="00C13337">
              <w:rPr>
                <w:rFonts w:ascii="Nunito Sans" w:hAnsi="Nunito Sans"/>
                <w:sz w:val="18"/>
                <w:szCs w:val="18"/>
              </w:rPr>
              <w:t>Planning and Design</w:t>
            </w:r>
            <w:r>
              <w:rPr>
                <w:rFonts w:ascii="Nunito Sans" w:hAnsi="Nunito Sans"/>
                <w:sz w:val="18"/>
                <w:szCs w:val="18"/>
              </w:rPr>
              <w:t xml:space="preserve"> Code as a target state guide for all </w:t>
            </w:r>
            <w:r w:rsidR="00C13337">
              <w:rPr>
                <w:rFonts w:ascii="Nunito Sans" w:hAnsi="Nunito Sans"/>
                <w:sz w:val="18"/>
                <w:szCs w:val="18"/>
              </w:rPr>
              <w:t>s</w:t>
            </w:r>
            <w:r>
              <w:rPr>
                <w:rFonts w:ascii="Nunito Sans" w:hAnsi="Nunito Sans"/>
                <w:sz w:val="18"/>
                <w:szCs w:val="18"/>
              </w:rPr>
              <w:t xml:space="preserve">tates, Agentic AI could be used to redesign and simplify other </w:t>
            </w:r>
            <w:r w:rsidR="00C13337">
              <w:rPr>
                <w:rFonts w:ascii="Nunito Sans" w:hAnsi="Nunito Sans"/>
                <w:sz w:val="18"/>
                <w:szCs w:val="18"/>
              </w:rPr>
              <w:t>s</w:t>
            </w:r>
            <w:r>
              <w:rPr>
                <w:rFonts w:ascii="Nunito Sans" w:hAnsi="Nunito Sans"/>
                <w:sz w:val="18"/>
                <w:szCs w:val="18"/>
              </w:rPr>
              <w:t>tate frameworks into the SA model.</w:t>
            </w:r>
          </w:p>
          <w:p w14:paraId="3C4FC83C" w14:textId="77777777" w:rsidR="00A02AA2" w:rsidRDefault="00A02AA2" w:rsidP="00A02AA2">
            <w:pPr>
              <w:spacing w:before="60" w:after="60"/>
              <w:rPr>
                <w:rFonts w:ascii="Nunito Sans" w:hAnsi="Nunito Sans"/>
                <w:b/>
                <w:bCs/>
                <w:sz w:val="18"/>
                <w:szCs w:val="18"/>
              </w:rPr>
            </w:pPr>
          </w:p>
          <w:p w14:paraId="78856364" w14:textId="332D964C" w:rsidR="00A02AA2" w:rsidRPr="008B7C3A" w:rsidRDefault="69D61C16" w:rsidP="00A02AA2">
            <w:pPr>
              <w:spacing w:before="60" w:after="60"/>
              <w:rPr>
                <w:rFonts w:ascii="Nunito Sans" w:hAnsi="Nunito Sans"/>
                <w:sz w:val="18"/>
                <w:szCs w:val="18"/>
              </w:rPr>
            </w:pPr>
            <w:r w:rsidRPr="2082D04A">
              <w:rPr>
                <w:rFonts w:ascii="Nunito Sans" w:hAnsi="Nunito Sans"/>
                <w:b/>
                <w:bCs/>
                <w:sz w:val="18"/>
                <w:szCs w:val="18"/>
              </w:rPr>
              <w:t>3</w:t>
            </w:r>
            <w:r w:rsidR="00C13337">
              <w:rPr>
                <w:rFonts w:ascii="Nunito Sans" w:hAnsi="Nunito Sans"/>
                <w:b/>
                <w:bCs/>
                <w:sz w:val="18"/>
                <w:szCs w:val="18"/>
              </w:rPr>
              <w:t>b</w:t>
            </w:r>
            <w:r w:rsidR="00A02AA2">
              <w:rPr>
                <w:rFonts w:ascii="Nunito Sans" w:hAnsi="Nunito Sans"/>
                <w:b/>
                <w:bCs/>
                <w:sz w:val="18"/>
                <w:szCs w:val="18"/>
              </w:rPr>
              <w:t xml:space="preserve">. </w:t>
            </w:r>
            <w:r w:rsidR="00A02AA2" w:rsidRPr="008B7C3A">
              <w:rPr>
                <w:rFonts w:ascii="Nunito Sans" w:hAnsi="Nunito Sans"/>
                <w:b/>
                <w:bCs/>
                <w:sz w:val="18"/>
                <w:szCs w:val="18"/>
              </w:rPr>
              <w:t xml:space="preserve">Adopt an AI triage tool to pre-assess applications against rules. </w:t>
            </w:r>
          </w:p>
          <w:p w14:paraId="3042F674" w14:textId="2BBC560D" w:rsidR="00A02AA2" w:rsidRDefault="00D71E9E" w:rsidP="00A02AA2">
            <w:pPr>
              <w:spacing w:before="60" w:after="60"/>
              <w:rPr>
                <w:rFonts w:ascii="Nunito Sans" w:hAnsi="Nunito Sans"/>
                <w:sz w:val="18"/>
                <w:szCs w:val="18"/>
              </w:rPr>
            </w:pPr>
            <w:r>
              <w:rPr>
                <w:rFonts w:ascii="Nunito Sans" w:hAnsi="Nunito Sans"/>
                <w:sz w:val="18"/>
                <w:szCs w:val="18"/>
              </w:rPr>
              <w:t>With simplified State Codes in place, u</w:t>
            </w:r>
            <w:r w:rsidR="00A02AA2">
              <w:rPr>
                <w:rFonts w:ascii="Nunito Sans" w:hAnsi="Nunito Sans"/>
                <w:sz w:val="18"/>
                <w:szCs w:val="18"/>
              </w:rPr>
              <w:t xml:space="preserve">se AI to </w:t>
            </w:r>
            <w:r w:rsidR="00A02AA2" w:rsidRPr="008B7C3A">
              <w:rPr>
                <w:rFonts w:ascii="Nunito Sans" w:hAnsi="Nunito Sans"/>
                <w:sz w:val="18"/>
                <w:szCs w:val="18"/>
              </w:rPr>
              <w:t>fast-track compliant projects</w:t>
            </w:r>
            <w:r w:rsidR="00A02AA2">
              <w:rPr>
                <w:rFonts w:ascii="Nunito Sans" w:hAnsi="Nunito Sans"/>
                <w:sz w:val="18"/>
                <w:szCs w:val="18"/>
              </w:rPr>
              <w:t xml:space="preserve"> against codified planning rules</w:t>
            </w:r>
            <w:r w:rsidR="00A02AA2" w:rsidRPr="008B7C3A">
              <w:rPr>
                <w:rFonts w:ascii="Nunito Sans" w:hAnsi="Nunito Sans"/>
                <w:sz w:val="18"/>
                <w:szCs w:val="18"/>
              </w:rPr>
              <w:t xml:space="preserve"> and direct complex projects to the standard process</w:t>
            </w:r>
            <w:r w:rsidR="00A02AA2">
              <w:rPr>
                <w:rFonts w:ascii="Nunito Sans" w:hAnsi="Nunito Sans"/>
                <w:sz w:val="18"/>
                <w:szCs w:val="18"/>
              </w:rPr>
              <w:t xml:space="preserve">es where further due diligence is required. </w:t>
            </w:r>
          </w:p>
          <w:p w14:paraId="55D2EE91" w14:textId="77777777" w:rsidR="00A02AA2" w:rsidRDefault="00A02AA2" w:rsidP="00A02AA2">
            <w:pPr>
              <w:spacing w:before="60" w:after="60"/>
              <w:rPr>
                <w:rFonts w:ascii="Nunito Sans" w:hAnsi="Nunito Sans"/>
                <w:sz w:val="18"/>
                <w:szCs w:val="18"/>
              </w:rPr>
            </w:pPr>
            <w:r>
              <w:rPr>
                <w:rFonts w:ascii="Nunito Sans" w:hAnsi="Nunito Sans"/>
                <w:sz w:val="18"/>
                <w:szCs w:val="18"/>
              </w:rPr>
              <w:t xml:space="preserve">The Commonwealth and NSW </w:t>
            </w:r>
            <w:r w:rsidR="00D71E9E">
              <w:rPr>
                <w:rFonts w:ascii="Nunito Sans" w:hAnsi="Nunito Sans"/>
                <w:sz w:val="18"/>
                <w:szCs w:val="18"/>
              </w:rPr>
              <w:t xml:space="preserve">Government </w:t>
            </w:r>
            <w:r>
              <w:rPr>
                <w:rFonts w:ascii="Nunito Sans" w:hAnsi="Nunito Sans"/>
                <w:sz w:val="18"/>
                <w:szCs w:val="18"/>
              </w:rPr>
              <w:t>ar</w:t>
            </w:r>
            <w:r w:rsidR="00D71E9E">
              <w:rPr>
                <w:rFonts w:ascii="Nunito Sans" w:hAnsi="Nunito Sans"/>
                <w:sz w:val="18"/>
                <w:szCs w:val="18"/>
              </w:rPr>
              <w:t>e</w:t>
            </w:r>
            <w:r>
              <w:rPr>
                <w:rFonts w:ascii="Nunito Sans" w:hAnsi="Nunito Sans"/>
                <w:sz w:val="18"/>
                <w:szCs w:val="18"/>
              </w:rPr>
              <w:t xml:space="preserve"> exploring pilots.</w:t>
            </w:r>
          </w:p>
          <w:p w14:paraId="4A3156A3" w14:textId="77777777" w:rsidR="00612AC8" w:rsidRDefault="00612AC8" w:rsidP="00A02AA2">
            <w:pPr>
              <w:spacing w:before="60" w:after="60"/>
              <w:rPr>
                <w:rFonts w:ascii="Nunito Sans" w:hAnsi="Nunito Sans" w:cs="Times New Roman"/>
                <w:b/>
                <w:bCs/>
                <w:sz w:val="18"/>
                <w:szCs w:val="18"/>
              </w:rPr>
            </w:pPr>
          </w:p>
          <w:p w14:paraId="3195F63E" w14:textId="4B438688" w:rsidR="00612AC8" w:rsidRDefault="00612AC8" w:rsidP="00A02AA2">
            <w:pPr>
              <w:spacing w:before="60" w:after="60"/>
              <w:rPr>
                <w:rFonts w:ascii="Nunito Sans" w:hAnsi="Nunito Sans" w:cs="Times New Roman"/>
                <w:b/>
                <w:bCs/>
                <w:sz w:val="18"/>
                <w:szCs w:val="18"/>
              </w:rPr>
            </w:pPr>
            <w:r>
              <w:rPr>
                <w:rFonts w:ascii="Nunito Sans" w:hAnsi="Nunito Sans" w:cs="Times New Roman"/>
                <w:b/>
                <w:bCs/>
                <w:sz w:val="18"/>
                <w:szCs w:val="18"/>
              </w:rPr>
              <w:t>3</w:t>
            </w:r>
            <w:r w:rsidR="00A82054">
              <w:rPr>
                <w:rFonts w:ascii="Nunito Sans" w:hAnsi="Nunito Sans" w:cs="Times New Roman"/>
                <w:b/>
                <w:bCs/>
                <w:sz w:val="18"/>
                <w:szCs w:val="18"/>
              </w:rPr>
              <w:t>c</w:t>
            </w:r>
            <w:r>
              <w:rPr>
                <w:rFonts w:ascii="Nunito Sans" w:hAnsi="Nunito Sans" w:cs="Times New Roman"/>
                <w:b/>
                <w:bCs/>
                <w:sz w:val="18"/>
                <w:szCs w:val="18"/>
              </w:rPr>
              <w:t xml:space="preserve">. </w:t>
            </w:r>
            <w:r w:rsidR="002275BD">
              <w:rPr>
                <w:rFonts w:ascii="Nunito Sans" w:hAnsi="Nunito Sans" w:cs="Times New Roman"/>
                <w:b/>
                <w:bCs/>
                <w:sz w:val="18"/>
                <w:szCs w:val="18"/>
              </w:rPr>
              <w:t xml:space="preserve">Grandfather </w:t>
            </w:r>
            <w:r w:rsidR="003242FD">
              <w:rPr>
                <w:rFonts w:ascii="Nunito Sans" w:hAnsi="Nunito Sans" w:cs="Times New Roman"/>
                <w:b/>
                <w:bCs/>
                <w:sz w:val="18"/>
                <w:szCs w:val="18"/>
              </w:rPr>
              <w:t>the NCC approach at the DA stage for developers to provide greater certainty</w:t>
            </w:r>
            <w:r w:rsidR="005078A9">
              <w:rPr>
                <w:rFonts w:ascii="Nunito Sans" w:hAnsi="Nunito Sans" w:cs="Times New Roman"/>
                <w:b/>
                <w:bCs/>
                <w:sz w:val="18"/>
                <w:szCs w:val="18"/>
              </w:rPr>
              <w:t>.</w:t>
            </w:r>
          </w:p>
          <w:p w14:paraId="5D70572A" w14:textId="61CD8607" w:rsidR="00612AC8" w:rsidRPr="00B10824" w:rsidRDefault="002275BD" w:rsidP="00A02AA2">
            <w:pPr>
              <w:spacing w:before="60" w:after="60"/>
              <w:rPr>
                <w:rFonts w:ascii="Nunito Sans" w:hAnsi="Nunito Sans"/>
                <w:sz w:val="18"/>
                <w:szCs w:val="18"/>
              </w:rPr>
            </w:pPr>
            <w:r>
              <w:rPr>
                <w:rFonts w:ascii="Nunito Sans" w:hAnsi="Nunito Sans"/>
                <w:sz w:val="18"/>
                <w:szCs w:val="18"/>
              </w:rPr>
              <w:t>Adopt a straightforward and</w:t>
            </w:r>
            <w:r w:rsidR="00612AC8" w:rsidRPr="002275BD">
              <w:rPr>
                <w:rFonts w:ascii="Nunito Sans" w:hAnsi="Nunito Sans"/>
                <w:sz w:val="18"/>
                <w:szCs w:val="18"/>
              </w:rPr>
              <w:t xml:space="preserve"> high</w:t>
            </w:r>
            <w:r w:rsidR="00612AC8" w:rsidRPr="002275BD">
              <w:rPr>
                <w:rFonts w:ascii="Nunito Sans" w:hAnsi="Nunito Sans"/>
                <w:sz w:val="18"/>
                <w:szCs w:val="18"/>
              </w:rPr>
              <w:noBreakHyphen/>
              <w:t xml:space="preserve">impact </w:t>
            </w:r>
            <w:r>
              <w:rPr>
                <w:rFonts w:ascii="Nunito Sans" w:hAnsi="Nunito Sans"/>
                <w:sz w:val="18"/>
                <w:szCs w:val="18"/>
              </w:rPr>
              <w:t>reform</w:t>
            </w:r>
            <w:r w:rsidR="00612AC8" w:rsidRPr="002275BD">
              <w:rPr>
                <w:rFonts w:ascii="Nunito Sans" w:hAnsi="Nunito Sans"/>
                <w:sz w:val="18"/>
                <w:szCs w:val="18"/>
              </w:rPr>
              <w:t xml:space="preserve"> to “grandfather” the applicable NCC version at the point of DA submission. This would provide greater certainty, avoid unnecessary redesign and contingency costs, and support more efficient project delivery without increasing regulatory burden.</w:t>
            </w:r>
          </w:p>
        </w:tc>
        <w:tc>
          <w:tcPr>
            <w:tcW w:w="1265" w:type="dxa"/>
            <w:shd w:val="clear" w:color="auto" w:fill="FEEBC4"/>
            <w:vAlign w:val="center"/>
          </w:tcPr>
          <w:p w14:paraId="39CCD4A1" w14:textId="0E957A55" w:rsidR="00A02AA2" w:rsidRPr="00D71E9E" w:rsidRDefault="00A02AA2" w:rsidP="00560879">
            <w:pPr>
              <w:spacing w:before="60" w:after="60"/>
              <w:rPr>
                <w:rFonts w:ascii="Nunito Sans" w:hAnsi="Nunito Sans" w:cs="Times New Roman"/>
                <w:b/>
                <w:bCs/>
                <w:sz w:val="18"/>
                <w:szCs w:val="18"/>
                <w:highlight w:val="yellow"/>
              </w:rPr>
            </w:pPr>
            <w:r w:rsidRPr="00C13337">
              <w:rPr>
                <w:rFonts w:ascii="Nunito Sans" w:hAnsi="Nunito Sans" w:cs="Times New Roman"/>
                <w:b/>
                <w:bCs/>
                <w:sz w:val="18"/>
                <w:szCs w:val="18"/>
              </w:rPr>
              <w:t xml:space="preserve">Medium </w:t>
            </w:r>
          </w:p>
        </w:tc>
        <w:tc>
          <w:tcPr>
            <w:tcW w:w="1165" w:type="dxa"/>
            <w:shd w:val="clear" w:color="auto" w:fill="FEEBC4"/>
            <w:vAlign w:val="center"/>
          </w:tcPr>
          <w:p w14:paraId="0205ED53" w14:textId="24DAB3C6" w:rsidR="00A02AA2" w:rsidRPr="00D71E9E" w:rsidRDefault="00A02AA2" w:rsidP="00560879">
            <w:pPr>
              <w:spacing w:before="60" w:after="60"/>
              <w:rPr>
                <w:rFonts w:ascii="Nunito Sans" w:hAnsi="Nunito Sans" w:cs="Times New Roman"/>
                <w:b/>
                <w:bCs/>
                <w:sz w:val="18"/>
                <w:szCs w:val="18"/>
                <w:highlight w:val="yellow"/>
              </w:rPr>
            </w:pPr>
            <w:r w:rsidRPr="00C13337">
              <w:rPr>
                <w:rFonts w:ascii="Nunito Sans" w:hAnsi="Nunito Sans" w:cs="Times New Roman"/>
                <w:b/>
                <w:bCs/>
                <w:sz w:val="18"/>
                <w:szCs w:val="18"/>
              </w:rPr>
              <w:t>Medium</w:t>
            </w:r>
          </w:p>
        </w:tc>
      </w:tr>
      <w:tr w:rsidR="00560879" w14:paraId="1CD2559D" w14:textId="2DF186C3" w:rsidTr="00B01D4D">
        <w:tc>
          <w:tcPr>
            <w:tcW w:w="1554" w:type="dxa"/>
            <w:hideMark/>
          </w:tcPr>
          <w:p w14:paraId="71CA7744" w14:textId="54E430E7" w:rsidR="00560879" w:rsidRPr="007D750D" w:rsidRDefault="00560879" w:rsidP="00560879">
            <w:pPr>
              <w:spacing w:before="60" w:after="60"/>
              <w:rPr>
                <w:rFonts w:ascii="Nunito Sans" w:hAnsi="Nunito Sans"/>
                <w:b/>
                <w:bCs/>
                <w:sz w:val="18"/>
                <w:szCs w:val="18"/>
              </w:rPr>
            </w:pPr>
            <w:r w:rsidRPr="000E07C2">
              <w:rPr>
                <w:rFonts w:ascii="Nunito Sans" w:hAnsi="Nunito Sans"/>
                <w:b/>
                <w:bCs/>
                <w:sz w:val="18"/>
                <w:szCs w:val="18"/>
              </w:rPr>
              <w:t>Slow, costly and uncertain rezoning is constraining land supply and delaying delivery</w:t>
            </w:r>
          </w:p>
        </w:tc>
        <w:tc>
          <w:tcPr>
            <w:tcW w:w="4100" w:type="dxa"/>
          </w:tcPr>
          <w:p w14:paraId="202ED077" w14:textId="77777777" w:rsidR="00560879" w:rsidRDefault="00560879" w:rsidP="00D71E9E">
            <w:pPr>
              <w:pStyle w:val="ListParagraph"/>
              <w:numPr>
                <w:ilvl w:val="0"/>
                <w:numId w:val="5"/>
              </w:numPr>
              <w:spacing w:before="60" w:after="60"/>
              <w:ind w:left="315" w:hanging="284"/>
              <w:contextualSpacing w:val="0"/>
              <w:rPr>
                <w:rFonts w:ascii="Nunito Sans" w:hAnsi="Nunito Sans"/>
                <w:sz w:val="18"/>
                <w:szCs w:val="18"/>
              </w:rPr>
            </w:pPr>
            <w:r w:rsidRPr="00B006DE">
              <w:rPr>
                <w:rFonts w:ascii="Nunito Sans" w:hAnsi="Nunito Sans"/>
                <w:sz w:val="18"/>
                <w:szCs w:val="18"/>
              </w:rPr>
              <w:t xml:space="preserve">Rezoning and land release are slow, costly and uncertain. </w:t>
            </w:r>
          </w:p>
          <w:p w14:paraId="26DD2444" w14:textId="77777777" w:rsidR="00560879" w:rsidRPr="007D750D" w:rsidRDefault="00560879" w:rsidP="00D71E9E">
            <w:pPr>
              <w:pStyle w:val="ListParagraph"/>
              <w:numPr>
                <w:ilvl w:val="0"/>
                <w:numId w:val="5"/>
              </w:numPr>
              <w:spacing w:before="60" w:after="60"/>
              <w:ind w:left="315" w:hanging="284"/>
              <w:contextualSpacing w:val="0"/>
              <w:rPr>
                <w:lang w:eastAsia="en-AU"/>
              </w:rPr>
            </w:pPr>
            <w:r w:rsidRPr="007D750D">
              <w:rPr>
                <w:rFonts w:ascii="Nunito Sans" w:hAnsi="Nunito Sans"/>
                <w:sz w:val="18"/>
                <w:szCs w:val="18"/>
              </w:rPr>
              <w:t>Developers lack visibility over future land release, while landowners often delay bringing sites to market to maximise returns</w:t>
            </w:r>
            <w:r>
              <w:rPr>
                <w:rFonts w:ascii="Nunito Sans" w:hAnsi="Nunito Sans"/>
                <w:sz w:val="18"/>
                <w:szCs w:val="18"/>
              </w:rPr>
              <w:t xml:space="preserve">, </w:t>
            </w:r>
            <w:r w:rsidRPr="007D750D">
              <w:rPr>
                <w:rFonts w:ascii="Nunito Sans" w:hAnsi="Nunito Sans"/>
                <w:sz w:val="18"/>
                <w:szCs w:val="18"/>
              </w:rPr>
              <w:t>constraining the availability and timing of developable land.</w:t>
            </w:r>
          </w:p>
          <w:p w14:paraId="2AE93321" w14:textId="0CC50465" w:rsidR="00560879" w:rsidRPr="007D750D" w:rsidRDefault="00560879" w:rsidP="00D71E9E">
            <w:pPr>
              <w:pStyle w:val="ListParagraph"/>
              <w:numPr>
                <w:ilvl w:val="0"/>
                <w:numId w:val="5"/>
              </w:numPr>
              <w:spacing w:before="60" w:after="60"/>
              <w:ind w:left="315" w:hanging="284"/>
              <w:contextualSpacing w:val="0"/>
              <w:rPr>
                <w:lang w:eastAsia="en-AU"/>
              </w:rPr>
            </w:pPr>
            <w:r w:rsidRPr="00B006DE">
              <w:rPr>
                <w:rFonts w:ascii="Nunito Sans" w:hAnsi="Nunito Sans"/>
                <w:sz w:val="18"/>
                <w:szCs w:val="18"/>
              </w:rPr>
              <w:lastRenderedPageBreak/>
              <w:t>Without clear long-term land plans, developers face delays, higher carrying costs and weak incentives for landowners to bring land to market.</w:t>
            </w:r>
          </w:p>
        </w:tc>
        <w:tc>
          <w:tcPr>
            <w:tcW w:w="6653" w:type="dxa"/>
            <w:hideMark/>
          </w:tcPr>
          <w:p w14:paraId="6F824C9C" w14:textId="267D3FFE" w:rsidR="00560879" w:rsidRDefault="0646C17A" w:rsidP="00560879">
            <w:pPr>
              <w:spacing w:before="60" w:after="60"/>
              <w:rPr>
                <w:rFonts w:ascii="Nunito Sans" w:hAnsi="Nunito Sans"/>
                <w:sz w:val="18"/>
                <w:szCs w:val="18"/>
              </w:rPr>
            </w:pPr>
            <w:r w:rsidRPr="2082D04A">
              <w:rPr>
                <w:rFonts w:ascii="Nunito Sans" w:hAnsi="Nunito Sans" w:cs="Times New Roman"/>
                <w:b/>
                <w:bCs/>
                <w:sz w:val="18"/>
                <w:szCs w:val="18"/>
              </w:rPr>
              <w:lastRenderedPageBreak/>
              <w:t>4</w:t>
            </w:r>
            <w:r w:rsidR="00560879">
              <w:rPr>
                <w:rFonts w:ascii="Nunito Sans" w:hAnsi="Nunito Sans" w:cs="Times New Roman"/>
                <w:b/>
                <w:bCs/>
                <w:sz w:val="18"/>
                <w:szCs w:val="18"/>
              </w:rPr>
              <w:t xml:space="preserve">. </w:t>
            </w:r>
            <w:r w:rsidR="00560879" w:rsidRPr="008B7C3A">
              <w:rPr>
                <w:rFonts w:ascii="Nunito Sans" w:hAnsi="Nunito Sans" w:cs="Times New Roman"/>
                <w:b/>
                <w:bCs/>
                <w:sz w:val="18"/>
                <w:szCs w:val="18"/>
              </w:rPr>
              <w:t>Expand long-term precinct planning and sell more shovel-ready public land.</w:t>
            </w:r>
            <w:r w:rsidR="00560879" w:rsidRPr="008B7C3A">
              <w:rPr>
                <w:rFonts w:ascii="Nunito Sans" w:hAnsi="Nunito Sans"/>
                <w:sz w:val="18"/>
                <w:szCs w:val="18"/>
              </w:rPr>
              <w:t xml:space="preserve"> </w:t>
            </w:r>
          </w:p>
          <w:p w14:paraId="5845C6FE" w14:textId="77777777" w:rsidR="00560879" w:rsidRDefault="00560879" w:rsidP="00560879">
            <w:pPr>
              <w:spacing w:before="60" w:after="60"/>
              <w:rPr>
                <w:rFonts w:ascii="Nunito Sans" w:hAnsi="Nunito Sans"/>
                <w:sz w:val="18"/>
                <w:szCs w:val="18"/>
              </w:rPr>
            </w:pPr>
            <w:r w:rsidRPr="007D750D">
              <w:rPr>
                <w:rFonts w:ascii="Nunito Sans" w:hAnsi="Nunito Sans"/>
                <w:sz w:val="18"/>
                <w:szCs w:val="18"/>
              </w:rPr>
              <w:t>Use state</w:t>
            </w:r>
            <w:r w:rsidRPr="007D750D">
              <w:rPr>
                <w:rFonts w:ascii="Nunito Sans" w:hAnsi="Nunito Sans"/>
                <w:sz w:val="18"/>
                <w:szCs w:val="18"/>
              </w:rPr>
              <w:noBreakHyphen/>
              <w:t>led master planning for large growth areas (typically on the urban fringe) to set out how new communities will be developed</w:t>
            </w:r>
            <w:r>
              <w:rPr>
                <w:rFonts w:ascii="Nunito Sans" w:hAnsi="Nunito Sans"/>
                <w:sz w:val="18"/>
                <w:szCs w:val="18"/>
              </w:rPr>
              <w:t xml:space="preserve">, </w:t>
            </w:r>
            <w:r w:rsidRPr="007D750D">
              <w:rPr>
                <w:rFonts w:ascii="Nunito Sans" w:hAnsi="Nunito Sans"/>
                <w:sz w:val="18"/>
                <w:szCs w:val="18"/>
              </w:rPr>
              <w:t>including housing, infrastructure</w:t>
            </w:r>
            <w:r>
              <w:rPr>
                <w:rFonts w:ascii="Nunito Sans" w:hAnsi="Nunito Sans"/>
                <w:sz w:val="18"/>
                <w:szCs w:val="18"/>
              </w:rPr>
              <w:t xml:space="preserve">, </w:t>
            </w:r>
            <w:r w:rsidRPr="007D750D">
              <w:rPr>
                <w:rFonts w:ascii="Nunito Sans" w:hAnsi="Nunito Sans"/>
                <w:sz w:val="18"/>
                <w:szCs w:val="18"/>
              </w:rPr>
              <w:t>roads and open space</w:t>
            </w:r>
            <w:r>
              <w:rPr>
                <w:rFonts w:ascii="Nunito Sans" w:hAnsi="Nunito Sans"/>
                <w:sz w:val="18"/>
                <w:szCs w:val="18"/>
              </w:rPr>
              <w:t xml:space="preserve">, </w:t>
            </w:r>
            <w:r w:rsidRPr="007D750D">
              <w:rPr>
                <w:rFonts w:ascii="Nunito Sans" w:hAnsi="Nunito Sans"/>
                <w:sz w:val="18"/>
                <w:szCs w:val="18"/>
              </w:rPr>
              <w:t xml:space="preserve">bridging the gap between rezoning and construction. </w:t>
            </w:r>
          </w:p>
          <w:p w14:paraId="4F4966A2" w14:textId="77777777" w:rsidR="00314A89" w:rsidRDefault="00560879" w:rsidP="00560879">
            <w:pPr>
              <w:spacing w:before="60" w:after="60"/>
              <w:rPr>
                <w:rFonts w:ascii="Nunito Sans" w:hAnsi="Nunito Sans"/>
                <w:sz w:val="18"/>
                <w:szCs w:val="18"/>
              </w:rPr>
            </w:pPr>
            <w:r w:rsidRPr="007D750D">
              <w:rPr>
                <w:rFonts w:ascii="Nunito Sans" w:hAnsi="Nunito Sans"/>
                <w:sz w:val="18"/>
                <w:szCs w:val="18"/>
              </w:rPr>
              <w:lastRenderedPageBreak/>
              <w:t>This approach translates broad land release into a coordinated, development</w:t>
            </w:r>
            <w:r w:rsidRPr="007D750D">
              <w:rPr>
                <w:rFonts w:ascii="Nunito Sans" w:hAnsi="Nunito Sans"/>
                <w:sz w:val="18"/>
                <w:szCs w:val="18"/>
              </w:rPr>
              <w:noBreakHyphen/>
              <w:t>ready blueprint, providing greater certainty and faster investment decision</w:t>
            </w:r>
            <w:r w:rsidRPr="007D750D">
              <w:rPr>
                <w:rFonts w:ascii="Nunito Sans" w:hAnsi="Nunito Sans"/>
                <w:sz w:val="18"/>
                <w:szCs w:val="18"/>
              </w:rPr>
              <w:noBreakHyphen/>
              <w:t>making for developers.</w:t>
            </w:r>
          </w:p>
          <w:p w14:paraId="7F4E67B5" w14:textId="732E38E4" w:rsidR="00560879" w:rsidRPr="00B006DE" w:rsidRDefault="00A075B2" w:rsidP="00560879">
            <w:pPr>
              <w:spacing w:before="60" w:after="60"/>
              <w:rPr>
                <w:rFonts w:ascii="Nunito Sans" w:hAnsi="Nunito Sans"/>
                <w:sz w:val="18"/>
                <w:szCs w:val="18"/>
              </w:rPr>
            </w:pPr>
            <w:r>
              <w:rPr>
                <w:rFonts w:ascii="Nunito Sans" w:hAnsi="Nunito Sans"/>
                <w:sz w:val="18"/>
                <w:szCs w:val="18"/>
              </w:rPr>
              <w:t xml:space="preserve"> A good example of this is Victoria’s Precinct Structure Plan, which was regularly cited as best practice.</w:t>
            </w:r>
          </w:p>
        </w:tc>
        <w:tc>
          <w:tcPr>
            <w:tcW w:w="1265" w:type="dxa"/>
            <w:shd w:val="clear" w:color="auto" w:fill="FEEBC4"/>
            <w:vAlign w:val="center"/>
          </w:tcPr>
          <w:p w14:paraId="07C630F3" w14:textId="606A134F" w:rsidR="00560879" w:rsidRDefault="00560879" w:rsidP="00560879">
            <w:pPr>
              <w:spacing w:before="60" w:after="60"/>
              <w:rPr>
                <w:rFonts w:ascii="Nunito Sans" w:hAnsi="Nunito Sans" w:cs="Times New Roman"/>
                <w:b/>
                <w:bCs/>
                <w:sz w:val="18"/>
                <w:szCs w:val="18"/>
              </w:rPr>
            </w:pPr>
            <w:r>
              <w:rPr>
                <w:rFonts w:ascii="Nunito Sans" w:hAnsi="Nunito Sans" w:cs="Times New Roman"/>
                <w:b/>
                <w:bCs/>
                <w:sz w:val="18"/>
                <w:szCs w:val="18"/>
              </w:rPr>
              <w:lastRenderedPageBreak/>
              <w:t>Medium</w:t>
            </w:r>
          </w:p>
        </w:tc>
        <w:tc>
          <w:tcPr>
            <w:tcW w:w="1165" w:type="dxa"/>
            <w:shd w:val="clear" w:color="auto" w:fill="FEEBC4"/>
            <w:vAlign w:val="center"/>
          </w:tcPr>
          <w:p w14:paraId="25CBA7A8" w14:textId="3770AC82" w:rsidR="00560879" w:rsidRDefault="00560879" w:rsidP="00560879">
            <w:pPr>
              <w:spacing w:before="60" w:after="60"/>
              <w:rPr>
                <w:rFonts w:ascii="Nunito Sans" w:hAnsi="Nunito Sans" w:cs="Times New Roman"/>
                <w:b/>
                <w:bCs/>
                <w:sz w:val="18"/>
                <w:szCs w:val="18"/>
              </w:rPr>
            </w:pPr>
            <w:r>
              <w:rPr>
                <w:rFonts w:ascii="Nunito Sans" w:hAnsi="Nunito Sans" w:cs="Times New Roman"/>
                <w:b/>
                <w:bCs/>
                <w:sz w:val="18"/>
                <w:szCs w:val="18"/>
              </w:rPr>
              <w:t>Medium</w:t>
            </w:r>
          </w:p>
        </w:tc>
      </w:tr>
      <w:tr w:rsidR="007D750D" w14:paraId="1C3B473B" w14:textId="10EB9015" w:rsidTr="00B01D4D">
        <w:tc>
          <w:tcPr>
            <w:tcW w:w="1554" w:type="dxa"/>
          </w:tcPr>
          <w:p w14:paraId="0A5BD7B0" w14:textId="101CF8AC" w:rsidR="007D750D" w:rsidRPr="00560879" w:rsidRDefault="00252C4D" w:rsidP="00560879">
            <w:pPr>
              <w:spacing w:before="60" w:after="60"/>
              <w:rPr>
                <w:rFonts w:ascii="Nunito Sans" w:hAnsi="Nunito Sans"/>
                <w:b/>
                <w:bCs/>
                <w:sz w:val="18"/>
                <w:szCs w:val="18"/>
              </w:rPr>
            </w:pPr>
            <w:r>
              <w:rPr>
                <w:rFonts w:ascii="Nunito Sans" w:hAnsi="Nunito Sans"/>
                <w:b/>
                <w:bCs/>
                <w:sz w:val="18"/>
                <w:szCs w:val="18"/>
              </w:rPr>
              <w:t>Adopt central coordination</w:t>
            </w:r>
            <w:r w:rsidR="007D750D" w:rsidRPr="00EF2A01">
              <w:rPr>
                <w:rFonts w:ascii="Nunito Sans" w:hAnsi="Nunito Sans"/>
                <w:b/>
                <w:bCs/>
                <w:sz w:val="18"/>
                <w:szCs w:val="18"/>
              </w:rPr>
              <w:t xml:space="preserve"> within government</w:t>
            </w:r>
            <w:r>
              <w:rPr>
                <w:rFonts w:ascii="Nunito Sans" w:hAnsi="Nunito Sans"/>
                <w:b/>
                <w:bCs/>
                <w:sz w:val="18"/>
                <w:szCs w:val="18"/>
              </w:rPr>
              <w:t xml:space="preserve"> to reduce layered complexity in</w:t>
            </w:r>
            <w:r w:rsidR="007D750D" w:rsidRPr="00EF2A01">
              <w:rPr>
                <w:rFonts w:ascii="Nunito Sans" w:hAnsi="Nunito Sans"/>
                <w:b/>
                <w:bCs/>
                <w:sz w:val="18"/>
                <w:szCs w:val="18"/>
              </w:rPr>
              <w:t xml:space="preserve"> the approvals process</w:t>
            </w:r>
          </w:p>
        </w:tc>
        <w:tc>
          <w:tcPr>
            <w:tcW w:w="4100" w:type="dxa"/>
          </w:tcPr>
          <w:p w14:paraId="49C47D31" w14:textId="6BE03697" w:rsid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B006DE">
              <w:rPr>
                <w:rFonts w:ascii="Nunito Sans" w:hAnsi="Nunito Sans"/>
                <w:sz w:val="18"/>
                <w:szCs w:val="18"/>
              </w:rPr>
              <w:t xml:space="preserve">Developers coordinate approvals across </w:t>
            </w:r>
            <w:r>
              <w:rPr>
                <w:rFonts w:ascii="Nunito Sans" w:hAnsi="Nunito Sans"/>
                <w:sz w:val="18"/>
                <w:szCs w:val="18"/>
              </w:rPr>
              <w:t xml:space="preserve">state and local government agencies. </w:t>
            </w:r>
          </w:p>
          <w:p w14:paraId="7B6BD8DE" w14:textId="441A8DF3" w:rsidR="007D750D" w:rsidRP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7D750D">
              <w:rPr>
                <w:rFonts w:ascii="Nunito Sans" w:hAnsi="Nunito Sans"/>
                <w:sz w:val="18"/>
                <w:szCs w:val="18"/>
              </w:rPr>
              <w:t xml:space="preserve">Conflicting advice across agencies, redesigns and repeat applications add months or years to delivery and deter investment, requiring redesign or reapplication that could potentially otherwise be avoided. </w:t>
            </w:r>
          </w:p>
        </w:tc>
        <w:tc>
          <w:tcPr>
            <w:tcW w:w="6653" w:type="dxa"/>
            <w:hideMark/>
          </w:tcPr>
          <w:p w14:paraId="51D82611" w14:textId="2E0CAC12" w:rsidR="007D750D" w:rsidRPr="008B7C3A" w:rsidRDefault="0761848C" w:rsidP="00560879">
            <w:pPr>
              <w:spacing w:before="60" w:after="60"/>
              <w:rPr>
                <w:rFonts w:ascii="Nunito Sans" w:hAnsi="Nunito Sans"/>
                <w:sz w:val="18"/>
                <w:szCs w:val="18"/>
              </w:rPr>
            </w:pPr>
            <w:r w:rsidRPr="2082D04A">
              <w:rPr>
                <w:rFonts w:ascii="Nunito Sans" w:hAnsi="Nunito Sans" w:cs="Times New Roman"/>
                <w:b/>
                <w:bCs/>
                <w:sz w:val="18"/>
                <w:szCs w:val="18"/>
              </w:rPr>
              <w:t>5</w:t>
            </w:r>
            <w:r w:rsidR="007D750D">
              <w:rPr>
                <w:rFonts w:ascii="Nunito Sans" w:hAnsi="Nunito Sans" w:cs="Times New Roman"/>
                <w:b/>
                <w:bCs/>
                <w:sz w:val="18"/>
                <w:szCs w:val="18"/>
              </w:rPr>
              <w:t xml:space="preserve">. </w:t>
            </w:r>
            <w:r w:rsidR="007D750D" w:rsidRPr="008B7C3A">
              <w:rPr>
                <w:rFonts w:ascii="Nunito Sans" w:hAnsi="Nunito Sans" w:cs="Times New Roman"/>
                <w:b/>
                <w:bCs/>
                <w:sz w:val="18"/>
                <w:szCs w:val="18"/>
              </w:rPr>
              <w:t>Create a single coordinated approvals mechanism.</w:t>
            </w:r>
            <w:r w:rsidR="007D750D" w:rsidRPr="008B7C3A">
              <w:rPr>
                <w:rFonts w:ascii="Nunito Sans" w:hAnsi="Nunito Sans"/>
                <w:sz w:val="18"/>
                <w:szCs w:val="18"/>
              </w:rPr>
              <w:t xml:space="preserve"> </w:t>
            </w:r>
          </w:p>
          <w:p w14:paraId="006E1FA8" w14:textId="53EC4D48" w:rsidR="007D750D" w:rsidRPr="00B006DE" w:rsidRDefault="007D750D" w:rsidP="00560879">
            <w:pPr>
              <w:spacing w:before="60" w:after="60"/>
              <w:rPr>
                <w:rFonts w:ascii="Nunito Sans" w:hAnsi="Nunito Sans"/>
                <w:sz w:val="18"/>
                <w:szCs w:val="18"/>
              </w:rPr>
            </w:pPr>
            <w:r>
              <w:rPr>
                <w:rFonts w:ascii="Nunito Sans" w:hAnsi="Nunito Sans"/>
                <w:sz w:val="18"/>
                <w:szCs w:val="18"/>
              </w:rPr>
              <w:t>Align the key planning, water, transport and infrastructure decisions through one lead body, based on proven models such as Queensland’s SARA</w:t>
            </w:r>
            <w:r w:rsidR="00314A89">
              <w:rPr>
                <w:rFonts w:ascii="Nunito Sans" w:hAnsi="Nunito Sans"/>
                <w:sz w:val="18"/>
                <w:szCs w:val="18"/>
              </w:rPr>
              <w:t xml:space="preserve"> (regularly cited by developers)</w:t>
            </w:r>
            <w:r>
              <w:rPr>
                <w:rFonts w:ascii="Nunito Sans" w:hAnsi="Nunito Sans"/>
                <w:sz w:val="18"/>
                <w:szCs w:val="18"/>
              </w:rPr>
              <w:t>, cutting down time and red tape.</w:t>
            </w:r>
            <w:r w:rsidR="00713E57">
              <w:rPr>
                <w:rFonts w:ascii="Nunito Sans" w:hAnsi="Nunito Sans"/>
                <w:sz w:val="18"/>
                <w:szCs w:val="18"/>
              </w:rPr>
              <w:t xml:space="preserve"> Central coordination also </w:t>
            </w:r>
            <w:r w:rsidR="007C7C2A">
              <w:rPr>
                <w:rFonts w:ascii="Nunito Sans" w:hAnsi="Nunito Sans"/>
                <w:sz w:val="18"/>
                <w:szCs w:val="18"/>
              </w:rPr>
              <w:t>facilitates greater preparedness to designate projects a</w:t>
            </w:r>
            <w:r w:rsidR="00532EE8">
              <w:rPr>
                <w:rFonts w:ascii="Nunito Sans" w:hAnsi="Nunito Sans"/>
                <w:sz w:val="18"/>
                <w:szCs w:val="18"/>
              </w:rPr>
              <w:t>s</w:t>
            </w:r>
            <w:r w:rsidR="007C7C2A">
              <w:rPr>
                <w:rFonts w:ascii="Nunito Sans" w:hAnsi="Nunito Sans"/>
                <w:sz w:val="18"/>
                <w:szCs w:val="18"/>
              </w:rPr>
              <w:t xml:space="preserve"> ‘state significant’ and </w:t>
            </w:r>
            <w:r w:rsidR="00532EE8">
              <w:rPr>
                <w:rFonts w:ascii="Nunito Sans" w:hAnsi="Nunito Sans"/>
                <w:sz w:val="18"/>
                <w:szCs w:val="18"/>
              </w:rPr>
              <w:t>use ‘</w:t>
            </w:r>
            <w:r w:rsidR="007C7C2A">
              <w:rPr>
                <w:rFonts w:ascii="Nunito Sans" w:hAnsi="Nunito Sans"/>
                <w:sz w:val="18"/>
                <w:szCs w:val="18"/>
              </w:rPr>
              <w:t>call in</w:t>
            </w:r>
            <w:r w:rsidR="00532EE8">
              <w:rPr>
                <w:rFonts w:ascii="Nunito Sans" w:hAnsi="Nunito Sans"/>
                <w:sz w:val="18"/>
                <w:szCs w:val="18"/>
              </w:rPr>
              <w:t>’</w:t>
            </w:r>
            <w:r w:rsidR="007C7C2A">
              <w:rPr>
                <w:rFonts w:ascii="Nunito Sans" w:hAnsi="Nunito Sans"/>
                <w:sz w:val="18"/>
                <w:szCs w:val="18"/>
              </w:rPr>
              <w:t xml:space="preserve"> </w:t>
            </w:r>
            <w:r w:rsidR="00532EE8">
              <w:rPr>
                <w:rFonts w:ascii="Nunito Sans" w:hAnsi="Nunito Sans"/>
                <w:sz w:val="18"/>
                <w:szCs w:val="18"/>
              </w:rPr>
              <w:t>powers to progress them quickly.</w:t>
            </w:r>
          </w:p>
        </w:tc>
        <w:tc>
          <w:tcPr>
            <w:tcW w:w="1265" w:type="dxa"/>
            <w:shd w:val="clear" w:color="auto" w:fill="FEEBC4"/>
            <w:vAlign w:val="center"/>
          </w:tcPr>
          <w:p w14:paraId="052C7654" w14:textId="4AC7FA17" w:rsidR="007D750D" w:rsidRPr="00C13337" w:rsidRDefault="00A02AA2" w:rsidP="00560879">
            <w:pPr>
              <w:spacing w:before="60" w:after="60"/>
              <w:rPr>
                <w:rFonts w:ascii="Nunito Sans" w:hAnsi="Nunito Sans" w:cs="Times New Roman"/>
                <w:b/>
                <w:bCs/>
                <w:sz w:val="18"/>
                <w:szCs w:val="18"/>
              </w:rPr>
            </w:pPr>
            <w:r w:rsidRPr="00C13337">
              <w:rPr>
                <w:rFonts w:ascii="Nunito Sans" w:hAnsi="Nunito Sans" w:cs="Times New Roman"/>
                <w:b/>
                <w:bCs/>
                <w:sz w:val="18"/>
                <w:szCs w:val="18"/>
              </w:rPr>
              <w:t>Medium</w:t>
            </w:r>
          </w:p>
        </w:tc>
        <w:tc>
          <w:tcPr>
            <w:tcW w:w="1165" w:type="dxa"/>
            <w:shd w:val="clear" w:color="auto" w:fill="FEEBC4"/>
            <w:vAlign w:val="center"/>
          </w:tcPr>
          <w:p w14:paraId="38032403" w14:textId="6E7A34D6" w:rsidR="007D750D" w:rsidRDefault="00BD56A7" w:rsidP="00560879">
            <w:pPr>
              <w:spacing w:before="60" w:after="60"/>
              <w:rPr>
                <w:rFonts w:ascii="Nunito Sans" w:hAnsi="Nunito Sans" w:cs="Times New Roman"/>
                <w:b/>
                <w:bCs/>
                <w:sz w:val="18"/>
                <w:szCs w:val="18"/>
              </w:rPr>
            </w:pPr>
            <w:r>
              <w:rPr>
                <w:rFonts w:ascii="Nunito Sans" w:hAnsi="Nunito Sans" w:cs="Times New Roman"/>
                <w:b/>
                <w:bCs/>
                <w:sz w:val="18"/>
                <w:szCs w:val="18"/>
              </w:rPr>
              <w:t>Medium</w:t>
            </w:r>
          </w:p>
        </w:tc>
      </w:tr>
      <w:tr w:rsidR="00A02AA2" w14:paraId="496046BF" w14:textId="6B894B46" w:rsidTr="00B01D4D">
        <w:tc>
          <w:tcPr>
            <w:tcW w:w="1554" w:type="dxa"/>
            <w:hideMark/>
          </w:tcPr>
          <w:p w14:paraId="7D71391F" w14:textId="5F78D74E" w:rsidR="00A02AA2" w:rsidRPr="008B7C3A" w:rsidRDefault="00252C4D" w:rsidP="00A02AA2">
            <w:pPr>
              <w:spacing w:before="60" w:after="60"/>
              <w:rPr>
                <w:rFonts w:ascii="Nunito Sans" w:hAnsi="Nunito Sans"/>
                <w:b/>
                <w:bCs/>
                <w:sz w:val="18"/>
                <w:szCs w:val="18"/>
              </w:rPr>
            </w:pPr>
            <w:r>
              <w:rPr>
                <w:rFonts w:ascii="Nunito Sans" w:hAnsi="Nunito Sans"/>
                <w:b/>
                <w:bCs/>
                <w:sz w:val="18"/>
                <w:szCs w:val="18"/>
              </w:rPr>
              <w:t>Manage u</w:t>
            </w:r>
            <w:r w:rsidR="00A02AA2" w:rsidRPr="008B7C3A">
              <w:rPr>
                <w:rFonts w:ascii="Nunito Sans" w:hAnsi="Nunito Sans"/>
                <w:b/>
                <w:bCs/>
                <w:sz w:val="18"/>
                <w:szCs w:val="18"/>
              </w:rPr>
              <w:t>p</w:t>
            </w:r>
            <w:r w:rsidR="00A02AA2">
              <w:rPr>
                <w:rFonts w:ascii="Nunito Sans" w:hAnsi="Nunito Sans"/>
                <w:b/>
                <w:bCs/>
                <w:sz w:val="18"/>
                <w:szCs w:val="18"/>
              </w:rPr>
              <w:t>-</w:t>
            </w:r>
            <w:r w:rsidR="00A02AA2" w:rsidRPr="008B7C3A">
              <w:rPr>
                <w:rFonts w:ascii="Nunito Sans" w:hAnsi="Nunito Sans"/>
                <w:b/>
                <w:bCs/>
                <w:sz w:val="18"/>
                <w:szCs w:val="18"/>
              </w:rPr>
              <w:t>front costs</w:t>
            </w:r>
            <w:r>
              <w:rPr>
                <w:rFonts w:ascii="Nunito Sans" w:hAnsi="Nunito Sans"/>
                <w:b/>
                <w:bCs/>
                <w:sz w:val="18"/>
                <w:szCs w:val="18"/>
              </w:rPr>
              <w:t xml:space="preserve"> that </w:t>
            </w:r>
            <w:r w:rsidR="00A02AA2" w:rsidRPr="008B7C3A">
              <w:rPr>
                <w:rFonts w:ascii="Nunito Sans" w:hAnsi="Nunito Sans"/>
                <w:b/>
                <w:bCs/>
                <w:sz w:val="18"/>
                <w:szCs w:val="18"/>
              </w:rPr>
              <w:t>can constrain the ability to start projects</w:t>
            </w:r>
            <w:r w:rsidR="006378E0">
              <w:rPr>
                <w:rFonts w:ascii="Nunito Sans" w:hAnsi="Nunito Sans"/>
                <w:b/>
                <w:bCs/>
                <w:sz w:val="18"/>
                <w:szCs w:val="18"/>
              </w:rPr>
              <w:t xml:space="preserve"> </w:t>
            </w:r>
            <w:r w:rsidR="0027541D">
              <w:rPr>
                <w:rFonts w:ascii="Nunito Sans" w:hAnsi="Nunito Sans"/>
                <w:b/>
                <w:bCs/>
                <w:sz w:val="18"/>
                <w:szCs w:val="18"/>
              </w:rPr>
              <w:t>and</w:t>
            </w:r>
            <w:r w:rsidR="006378E0">
              <w:rPr>
                <w:rFonts w:ascii="Nunito Sans" w:hAnsi="Nunito Sans"/>
                <w:b/>
                <w:bCs/>
                <w:sz w:val="18"/>
                <w:szCs w:val="18"/>
              </w:rPr>
              <w:t xml:space="preserve"> shift</w:t>
            </w:r>
            <w:r w:rsidR="0027541D">
              <w:rPr>
                <w:rFonts w:ascii="Nunito Sans" w:hAnsi="Nunito Sans"/>
                <w:b/>
                <w:bCs/>
                <w:sz w:val="18"/>
                <w:szCs w:val="18"/>
              </w:rPr>
              <w:t>s</w:t>
            </w:r>
            <w:r w:rsidR="006378E0">
              <w:rPr>
                <w:rFonts w:ascii="Nunito Sans" w:hAnsi="Nunito Sans"/>
                <w:b/>
                <w:bCs/>
                <w:sz w:val="18"/>
                <w:szCs w:val="18"/>
              </w:rPr>
              <w:t xml:space="preserve"> costs onto </w:t>
            </w:r>
            <w:r w:rsidR="00F85790">
              <w:rPr>
                <w:rFonts w:ascii="Nunito Sans" w:hAnsi="Nunito Sans"/>
                <w:b/>
                <w:bCs/>
                <w:sz w:val="18"/>
                <w:szCs w:val="18"/>
              </w:rPr>
              <w:t>customers</w:t>
            </w:r>
          </w:p>
          <w:p w14:paraId="23858BF4" w14:textId="5A05CC65" w:rsidR="00A02AA2" w:rsidRDefault="00A02AA2" w:rsidP="00A02AA2">
            <w:pPr>
              <w:spacing w:before="60" w:after="60"/>
              <w:rPr>
                <w:lang w:eastAsia="en-AU"/>
              </w:rPr>
            </w:pPr>
          </w:p>
        </w:tc>
        <w:tc>
          <w:tcPr>
            <w:tcW w:w="4100" w:type="dxa"/>
          </w:tcPr>
          <w:p w14:paraId="41351DFC" w14:textId="176F165F" w:rsidR="00A02AA2" w:rsidRPr="0092794E" w:rsidRDefault="00A02AA2" w:rsidP="00D71E9E">
            <w:pPr>
              <w:pStyle w:val="ListParagraph"/>
              <w:numPr>
                <w:ilvl w:val="0"/>
                <w:numId w:val="5"/>
              </w:numPr>
              <w:spacing w:before="60" w:after="60"/>
              <w:ind w:left="315" w:hanging="284"/>
              <w:contextualSpacing w:val="0"/>
              <w:rPr>
                <w:rFonts w:ascii="Nunito Sans" w:hAnsi="Nunito Sans"/>
                <w:sz w:val="18"/>
                <w:szCs w:val="18"/>
              </w:rPr>
            </w:pPr>
            <w:r w:rsidRPr="00B006DE">
              <w:rPr>
                <w:rFonts w:ascii="Nunito Sans" w:hAnsi="Nunito Sans"/>
                <w:sz w:val="18"/>
                <w:szCs w:val="18"/>
              </w:rPr>
              <w:t xml:space="preserve">Developers face heavy upfront costs from contributions, levies and taxes, often before </w:t>
            </w:r>
            <w:r>
              <w:rPr>
                <w:rFonts w:ascii="Nunito Sans" w:hAnsi="Nunito Sans"/>
                <w:sz w:val="18"/>
                <w:szCs w:val="18"/>
              </w:rPr>
              <w:t>Development Approvals (DAs)</w:t>
            </w:r>
            <w:r w:rsidRPr="00B006DE">
              <w:rPr>
                <w:rFonts w:ascii="Nunito Sans" w:hAnsi="Nunito Sans"/>
                <w:sz w:val="18"/>
                <w:szCs w:val="18"/>
              </w:rPr>
              <w:t xml:space="preserve"> or finance are in place</w:t>
            </w:r>
            <w:r>
              <w:rPr>
                <w:rFonts w:ascii="Nunito Sans" w:hAnsi="Nunito Sans"/>
                <w:sz w:val="18"/>
                <w:szCs w:val="18"/>
              </w:rPr>
              <w:t>, which can account for up to 30% of costs per dwelling.</w:t>
            </w:r>
          </w:p>
          <w:p w14:paraId="4FDEE634" w14:textId="77777777" w:rsidR="00A02AA2" w:rsidRPr="00362B84" w:rsidRDefault="00A02AA2" w:rsidP="00D71E9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This</w:t>
            </w:r>
            <w:r w:rsidRPr="007D750D">
              <w:rPr>
                <w:rFonts w:ascii="Nunito Sans" w:hAnsi="Nunito Sans"/>
                <w:sz w:val="18"/>
                <w:szCs w:val="18"/>
              </w:rPr>
              <w:t xml:space="preserve"> increases risk and stops viable projects from proceeding, or for costs being baked into the process which are ultimately passed onto customers.</w:t>
            </w:r>
          </w:p>
          <w:p w14:paraId="07A8E3FA" w14:textId="40816C03" w:rsidR="00C13337" w:rsidRPr="0092794E" w:rsidRDefault="00C13337" w:rsidP="0092794E"/>
        </w:tc>
        <w:tc>
          <w:tcPr>
            <w:tcW w:w="6653" w:type="dxa"/>
            <w:hideMark/>
          </w:tcPr>
          <w:p w14:paraId="51F2BB7D" w14:textId="788CF2D5" w:rsidR="00A02AA2" w:rsidRPr="008B7C3A" w:rsidRDefault="2E17E20C" w:rsidP="00A02AA2">
            <w:pPr>
              <w:spacing w:before="60" w:after="60"/>
              <w:rPr>
                <w:rFonts w:ascii="Nunito Sans" w:hAnsi="Nunito Sans"/>
                <w:sz w:val="18"/>
                <w:szCs w:val="18"/>
              </w:rPr>
            </w:pPr>
            <w:r w:rsidRPr="2082D04A">
              <w:rPr>
                <w:rFonts w:ascii="Nunito Sans" w:hAnsi="Nunito Sans" w:cs="Times New Roman"/>
                <w:b/>
                <w:bCs/>
                <w:sz w:val="18"/>
                <w:szCs w:val="18"/>
              </w:rPr>
              <w:t>6</w:t>
            </w:r>
            <w:r w:rsidR="00A02AA2">
              <w:rPr>
                <w:rFonts w:ascii="Nunito Sans" w:hAnsi="Nunito Sans" w:cs="Times New Roman"/>
                <w:b/>
                <w:bCs/>
                <w:sz w:val="18"/>
                <w:szCs w:val="18"/>
              </w:rPr>
              <w:t xml:space="preserve">. </w:t>
            </w:r>
            <w:r w:rsidR="00A02AA2" w:rsidRPr="008B7C3A">
              <w:rPr>
                <w:rFonts w:ascii="Nunito Sans" w:hAnsi="Nunito Sans" w:cs="Times New Roman"/>
                <w:b/>
                <w:bCs/>
                <w:sz w:val="18"/>
                <w:szCs w:val="18"/>
              </w:rPr>
              <w:t>Defer developer contributions and levies until construction or occupation.</w:t>
            </w:r>
            <w:r w:rsidR="00A02AA2" w:rsidRPr="008B7C3A">
              <w:rPr>
                <w:rFonts w:ascii="Nunito Sans" w:hAnsi="Nunito Sans"/>
                <w:sz w:val="18"/>
                <w:szCs w:val="18"/>
              </w:rPr>
              <w:t xml:space="preserve"> </w:t>
            </w:r>
          </w:p>
          <w:p w14:paraId="4F722D1D" w14:textId="77777777" w:rsidR="00A02AA2" w:rsidRDefault="00A02AA2" w:rsidP="00A02AA2">
            <w:pPr>
              <w:spacing w:before="60" w:after="60"/>
              <w:rPr>
                <w:rFonts w:ascii="Nunito Sans" w:hAnsi="Nunito Sans"/>
                <w:sz w:val="18"/>
                <w:szCs w:val="18"/>
              </w:rPr>
            </w:pPr>
            <w:r>
              <w:rPr>
                <w:rFonts w:ascii="Nunito Sans" w:hAnsi="Nunito Sans"/>
                <w:sz w:val="18"/>
                <w:szCs w:val="18"/>
              </w:rPr>
              <w:t>This reduces early funding pressure, helps projects start sooner and preserves the government revenue stream, as developers continue to owe contributions but at a time where cashflow is higher.</w:t>
            </w:r>
          </w:p>
          <w:p w14:paraId="5C2F68D5" w14:textId="77777777" w:rsidR="00A02AA2" w:rsidRDefault="00A02AA2" w:rsidP="00A02AA2">
            <w:pPr>
              <w:spacing w:before="60" w:after="60"/>
              <w:rPr>
                <w:rFonts w:ascii="Nunito Sans" w:hAnsi="Nunito Sans"/>
                <w:sz w:val="18"/>
                <w:szCs w:val="18"/>
              </w:rPr>
            </w:pPr>
            <w:r>
              <w:rPr>
                <w:rFonts w:ascii="Nunito Sans" w:hAnsi="Nunito Sans"/>
                <w:sz w:val="18"/>
                <w:szCs w:val="18"/>
              </w:rPr>
              <w:t xml:space="preserve">This </w:t>
            </w:r>
            <w:proofErr w:type="gramStart"/>
            <w:r>
              <w:rPr>
                <w:rFonts w:ascii="Nunito Sans" w:hAnsi="Nunito Sans"/>
                <w:sz w:val="18"/>
                <w:szCs w:val="18"/>
              </w:rPr>
              <w:t>was considered to be</w:t>
            </w:r>
            <w:proofErr w:type="gramEnd"/>
            <w:r>
              <w:rPr>
                <w:rFonts w:ascii="Nunito Sans" w:hAnsi="Nunito Sans"/>
                <w:sz w:val="18"/>
                <w:szCs w:val="18"/>
              </w:rPr>
              <w:t xml:space="preserve"> a successful stimulus mechanism which the NSW Government deployed during the COVID-19 pandemic.</w:t>
            </w:r>
          </w:p>
          <w:p w14:paraId="5556D912" w14:textId="3040FFDC" w:rsidR="009F1616" w:rsidRPr="00C927B2" w:rsidRDefault="009F1616" w:rsidP="00C927B2">
            <w:pPr>
              <w:spacing w:before="60" w:after="60"/>
              <w:rPr>
                <w:rFonts w:ascii="Nunito Sans" w:hAnsi="Nunito Sans"/>
                <w:sz w:val="18"/>
                <w:szCs w:val="18"/>
              </w:rPr>
            </w:pPr>
          </w:p>
        </w:tc>
        <w:tc>
          <w:tcPr>
            <w:tcW w:w="1265" w:type="dxa"/>
            <w:shd w:val="clear" w:color="auto" w:fill="FEEBC4"/>
            <w:vAlign w:val="center"/>
          </w:tcPr>
          <w:p w14:paraId="21646B44" w14:textId="788EE5DD" w:rsidR="00A02AA2" w:rsidRPr="00A02AA2" w:rsidRDefault="00A02AA2" w:rsidP="00A02AA2">
            <w:pPr>
              <w:spacing w:before="60" w:after="60"/>
              <w:rPr>
                <w:rFonts w:ascii="Nunito Sans" w:hAnsi="Nunito Sans" w:cs="Times New Roman"/>
                <w:b/>
                <w:bCs/>
                <w:sz w:val="18"/>
                <w:szCs w:val="18"/>
                <w:highlight w:val="yellow"/>
              </w:rPr>
            </w:pPr>
            <w:r w:rsidRPr="00C13337">
              <w:rPr>
                <w:rFonts w:ascii="Nunito Sans" w:hAnsi="Nunito Sans" w:cs="Times New Roman"/>
                <w:b/>
                <w:bCs/>
                <w:sz w:val="18"/>
                <w:szCs w:val="18"/>
              </w:rPr>
              <w:t>Medium</w:t>
            </w:r>
          </w:p>
        </w:tc>
        <w:tc>
          <w:tcPr>
            <w:tcW w:w="1165" w:type="dxa"/>
            <w:shd w:val="clear" w:color="auto" w:fill="FEEBC4"/>
            <w:vAlign w:val="center"/>
          </w:tcPr>
          <w:p w14:paraId="0D19A183" w14:textId="2B3E7860" w:rsidR="00A02AA2" w:rsidRDefault="00A02AA2" w:rsidP="00A02AA2">
            <w:pPr>
              <w:spacing w:before="60" w:after="60"/>
              <w:rPr>
                <w:rFonts w:ascii="Nunito Sans" w:hAnsi="Nunito Sans" w:cs="Times New Roman"/>
                <w:b/>
                <w:bCs/>
                <w:sz w:val="18"/>
                <w:szCs w:val="18"/>
              </w:rPr>
            </w:pPr>
            <w:r>
              <w:rPr>
                <w:rFonts w:ascii="Nunito Sans" w:hAnsi="Nunito Sans" w:cs="Times New Roman"/>
                <w:b/>
                <w:bCs/>
                <w:sz w:val="18"/>
                <w:szCs w:val="18"/>
              </w:rPr>
              <w:t>Medium</w:t>
            </w:r>
          </w:p>
        </w:tc>
      </w:tr>
      <w:tr w:rsidR="0027541D" w14:paraId="44A8E204" w14:textId="77777777" w:rsidTr="00B01D4D">
        <w:tc>
          <w:tcPr>
            <w:tcW w:w="1554" w:type="dxa"/>
          </w:tcPr>
          <w:p w14:paraId="3A172AF6" w14:textId="7F6FAF9E" w:rsidR="0027541D" w:rsidRDefault="00F55655" w:rsidP="00560879">
            <w:pPr>
              <w:spacing w:before="60" w:after="60"/>
              <w:rPr>
                <w:rFonts w:ascii="Nunito Sans" w:hAnsi="Nunito Sans"/>
                <w:b/>
                <w:bCs/>
                <w:sz w:val="18"/>
                <w:szCs w:val="18"/>
              </w:rPr>
            </w:pPr>
            <w:r>
              <w:rPr>
                <w:rFonts w:ascii="Nunito Sans" w:hAnsi="Nunito Sans"/>
                <w:b/>
                <w:bCs/>
                <w:sz w:val="18"/>
                <w:szCs w:val="18"/>
              </w:rPr>
              <w:t>Grow s</w:t>
            </w:r>
            <w:r w:rsidR="00F87E7D">
              <w:rPr>
                <w:rFonts w:ascii="Nunito Sans" w:hAnsi="Nunito Sans"/>
                <w:b/>
                <w:bCs/>
                <w:sz w:val="18"/>
                <w:szCs w:val="18"/>
              </w:rPr>
              <w:t xml:space="preserve">cale </w:t>
            </w:r>
            <w:r>
              <w:rPr>
                <w:rFonts w:ascii="Nunito Sans" w:hAnsi="Nunito Sans"/>
                <w:b/>
                <w:bCs/>
                <w:sz w:val="18"/>
                <w:szCs w:val="18"/>
              </w:rPr>
              <w:t xml:space="preserve">in </w:t>
            </w:r>
            <w:r w:rsidR="00F87E7D">
              <w:rPr>
                <w:rFonts w:ascii="Nunito Sans" w:hAnsi="Nunito Sans"/>
                <w:b/>
                <w:bCs/>
                <w:sz w:val="18"/>
                <w:szCs w:val="18"/>
              </w:rPr>
              <w:t>the Modern Methods of Construction industry</w:t>
            </w:r>
            <w:r w:rsidR="004B2704">
              <w:rPr>
                <w:rFonts w:ascii="Nunito Sans" w:hAnsi="Nunito Sans"/>
                <w:b/>
                <w:bCs/>
                <w:sz w:val="18"/>
                <w:szCs w:val="18"/>
              </w:rPr>
              <w:t xml:space="preserve"> through standardising insurance and accreditation</w:t>
            </w:r>
          </w:p>
          <w:p w14:paraId="1990CBD0" w14:textId="13A60EE0" w:rsidR="00F55655" w:rsidRDefault="00F55655" w:rsidP="00560879">
            <w:pPr>
              <w:spacing w:before="60" w:after="60"/>
              <w:rPr>
                <w:rFonts w:ascii="Nunito Sans" w:hAnsi="Nunito Sans"/>
                <w:b/>
                <w:bCs/>
                <w:sz w:val="18"/>
                <w:szCs w:val="18"/>
              </w:rPr>
            </w:pPr>
          </w:p>
        </w:tc>
        <w:tc>
          <w:tcPr>
            <w:tcW w:w="4100" w:type="dxa"/>
          </w:tcPr>
          <w:p w14:paraId="2E4BA672" w14:textId="47D681DB" w:rsidR="00F55655" w:rsidRDefault="007B5CA6" w:rsidP="0092794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 xml:space="preserve">As shown in </w:t>
            </w:r>
            <w:r w:rsidR="00FC282B">
              <w:rPr>
                <w:rFonts w:ascii="Nunito Sans" w:hAnsi="Nunito Sans"/>
                <w:sz w:val="18"/>
                <w:szCs w:val="18"/>
              </w:rPr>
              <w:t>Europe</w:t>
            </w:r>
            <w:r>
              <w:rPr>
                <w:rFonts w:ascii="Nunito Sans" w:hAnsi="Nunito Sans"/>
                <w:sz w:val="18"/>
                <w:szCs w:val="18"/>
              </w:rPr>
              <w:t xml:space="preserve"> and the US, </w:t>
            </w:r>
            <w:r w:rsidR="00F55655">
              <w:rPr>
                <w:rFonts w:ascii="Nunito Sans" w:hAnsi="Nunito Sans"/>
                <w:sz w:val="18"/>
                <w:szCs w:val="18"/>
              </w:rPr>
              <w:t>M</w:t>
            </w:r>
            <w:r w:rsidR="00F55655" w:rsidRPr="00172E18">
              <w:rPr>
                <w:rFonts w:ascii="Nunito Sans" w:hAnsi="Nunito Sans"/>
                <w:sz w:val="18"/>
                <w:szCs w:val="18"/>
              </w:rPr>
              <w:t>odern methods of construction (MMC)</w:t>
            </w:r>
            <w:r>
              <w:rPr>
                <w:rFonts w:ascii="Nunito Sans" w:hAnsi="Nunito Sans"/>
                <w:sz w:val="18"/>
                <w:szCs w:val="18"/>
              </w:rPr>
              <w:t xml:space="preserve">, or </w:t>
            </w:r>
            <w:r w:rsidR="0092794E">
              <w:rPr>
                <w:rFonts w:ascii="Nunito Sans" w:hAnsi="Nunito Sans"/>
                <w:sz w:val="18"/>
                <w:szCs w:val="18"/>
              </w:rPr>
              <w:t>prefabricated</w:t>
            </w:r>
            <w:r w:rsidR="00F55655">
              <w:rPr>
                <w:rFonts w:ascii="Nunito Sans" w:hAnsi="Nunito Sans"/>
                <w:sz w:val="18"/>
                <w:szCs w:val="18"/>
              </w:rPr>
              <w:t xml:space="preserve"> </w:t>
            </w:r>
            <w:r>
              <w:rPr>
                <w:rFonts w:ascii="Nunito Sans" w:hAnsi="Nunito Sans"/>
                <w:sz w:val="18"/>
                <w:szCs w:val="18"/>
              </w:rPr>
              <w:t xml:space="preserve">building </w:t>
            </w:r>
            <w:r w:rsidR="00F55655">
              <w:rPr>
                <w:rFonts w:ascii="Nunito Sans" w:hAnsi="Nunito Sans"/>
                <w:sz w:val="18"/>
                <w:szCs w:val="18"/>
              </w:rPr>
              <w:t>present</w:t>
            </w:r>
            <w:r>
              <w:rPr>
                <w:rFonts w:ascii="Nunito Sans" w:hAnsi="Nunito Sans"/>
                <w:sz w:val="18"/>
                <w:szCs w:val="18"/>
              </w:rPr>
              <w:t xml:space="preserve"> significant market growth and cost reduction opportunities</w:t>
            </w:r>
            <w:r w:rsidR="009540F7">
              <w:rPr>
                <w:rFonts w:ascii="Nunito Sans" w:hAnsi="Nunito Sans"/>
                <w:sz w:val="18"/>
                <w:szCs w:val="18"/>
              </w:rPr>
              <w:t>, but the industry requires scale to grow.</w:t>
            </w:r>
          </w:p>
          <w:p w14:paraId="1F151E7A" w14:textId="4D08CCA5" w:rsidR="009540F7" w:rsidRPr="00362B84" w:rsidRDefault="009540F7" w:rsidP="0092794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Nascent industries</w:t>
            </w:r>
            <w:r w:rsidR="00E75995">
              <w:rPr>
                <w:rFonts w:ascii="Nunito Sans" w:hAnsi="Nunito Sans"/>
                <w:sz w:val="18"/>
                <w:szCs w:val="18"/>
              </w:rPr>
              <w:t xml:space="preserve"> often require targeted Government support to scale. </w:t>
            </w:r>
            <w:r>
              <w:rPr>
                <w:rFonts w:ascii="Nunito Sans" w:hAnsi="Nunito Sans"/>
                <w:sz w:val="18"/>
                <w:szCs w:val="18"/>
              </w:rPr>
              <w:t xml:space="preserve"> </w:t>
            </w:r>
          </w:p>
          <w:p w14:paraId="62E7A3CE" w14:textId="03EB5553" w:rsidR="0027541D" w:rsidRPr="0092794E" w:rsidRDefault="00942405" w:rsidP="0092794E">
            <w:pPr>
              <w:pStyle w:val="ListParagraph"/>
              <w:numPr>
                <w:ilvl w:val="0"/>
                <w:numId w:val="5"/>
              </w:numPr>
              <w:spacing w:before="60" w:after="60"/>
              <w:ind w:left="315" w:hanging="284"/>
              <w:contextualSpacing w:val="0"/>
              <w:rPr>
                <w:rFonts w:ascii="Nunito Sans" w:hAnsi="Nunito Sans"/>
                <w:sz w:val="18"/>
                <w:szCs w:val="18"/>
              </w:rPr>
            </w:pPr>
            <w:r>
              <w:rPr>
                <w:rFonts w:ascii="Nunito Sans" w:hAnsi="Nunito Sans"/>
                <w:sz w:val="18"/>
                <w:szCs w:val="18"/>
              </w:rPr>
              <w:t>When considering an MMC build, complexity for consumers arises</w:t>
            </w:r>
            <w:r w:rsidR="00F55655" w:rsidRPr="00B7211A">
              <w:rPr>
                <w:rFonts w:ascii="Nunito Sans" w:hAnsi="Nunito Sans"/>
                <w:sz w:val="18"/>
                <w:szCs w:val="18"/>
              </w:rPr>
              <w:t xml:space="preserve"> from misalignment between funding</w:t>
            </w:r>
            <w:r>
              <w:rPr>
                <w:rFonts w:ascii="Nunito Sans" w:hAnsi="Nunito Sans"/>
                <w:sz w:val="18"/>
                <w:szCs w:val="18"/>
              </w:rPr>
              <w:t>,</w:t>
            </w:r>
            <w:r w:rsidR="00F55655" w:rsidRPr="00B7211A">
              <w:rPr>
                <w:rFonts w:ascii="Nunito Sans" w:hAnsi="Nunito Sans"/>
                <w:sz w:val="18"/>
                <w:szCs w:val="18"/>
              </w:rPr>
              <w:t xml:space="preserve"> </w:t>
            </w:r>
            <w:r>
              <w:rPr>
                <w:rFonts w:ascii="Nunito Sans" w:hAnsi="Nunito Sans"/>
                <w:sz w:val="18"/>
                <w:szCs w:val="18"/>
              </w:rPr>
              <w:t>s</w:t>
            </w:r>
            <w:r w:rsidR="00F55655" w:rsidRPr="00B7211A">
              <w:rPr>
                <w:rFonts w:ascii="Nunito Sans" w:hAnsi="Nunito Sans"/>
                <w:sz w:val="18"/>
                <w:szCs w:val="18"/>
              </w:rPr>
              <w:t xml:space="preserve">ecurity </w:t>
            </w:r>
            <w:r>
              <w:rPr>
                <w:rFonts w:ascii="Nunito Sans" w:hAnsi="Nunito Sans"/>
                <w:sz w:val="18"/>
                <w:szCs w:val="18"/>
              </w:rPr>
              <w:lastRenderedPageBreak/>
              <w:t xml:space="preserve">and insurance </w:t>
            </w:r>
            <w:r w:rsidR="00F55655" w:rsidRPr="00B7211A">
              <w:rPr>
                <w:rFonts w:ascii="Nunito Sans" w:hAnsi="Nunito Sans"/>
                <w:sz w:val="18"/>
                <w:szCs w:val="18"/>
              </w:rPr>
              <w:t>during offsite construction</w:t>
            </w:r>
            <w:r w:rsidR="00F55655">
              <w:rPr>
                <w:rFonts w:ascii="Nunito Sans" w:hAnsi="Nunito Sans"/>
                <w:sz w:val="18"/>
                <w:szCs w:val="18"/>
              </w:rPr>
              <w:t xml:space="preserve">. </w:t>
            </w:r>
            <w:r w:rsidR="00F55655" w:rsidRPr="00B7211A">
              <w:rPr>
                <w:rFonts w:ascii="Nunito Sans" w:hAnsi="Nunito Sans"/>
                <w:sz w:val="18"/>
                <w:szCs w:val="18"/>
              </w:rPr>
              <w:t>In the absence of established security</w:t>
            </w:r>
            <w:r w:rsidR="006472B4">
              <w:rPr>
                <w:rFonts w:ascii="Nunito Sans" w:hAnsi="Nunito Sans"/>
                <w:sz w:val="18"/>
                <w:szCs w:val="18"/>
              </w:rPr>
              <w:t xml:space="preserve"> and accreditation</w:t>
            </w:r>
            <w:r w:rsidR="00F55655" w:rsidRPr="00B7211A">
              <w:rPr>
                <w:rFonts w:ascii="Nunito Sans" w:hAnsi="Nunito Sans"/>
                <w:sz w:val="18"/>
                <w:szCs w:val="18"/>
              </w:rPr>
              <w:t xml:space="preserve"> frameworks, consumers may bear greater risk than in traditional builds, with existing protections (e.g. last</w:t>
            </w:r>
            <w:r w:rsidR="00F55655" w:rsidRPr="00B7211A">
              <w:rPr>
                <w:rFonts w:ascii="Nunito Sans" w:hAnsi="Nunito Sans"/>
                <w:sz w:val="18"/>
                <w:szCs w:val="18"/>
              </w:rPr>
              <w:noBreakHyphen/>
              <w:t>resort warranty insurance) not well suited to</w:t>
            </w:r>
            <w:r w:rsidR="00F55655">
              <w:rPr>
                <w:rFonts w:ascii="Nunito Sans" w:hAnsi="Nunito Sans"/>
                <w:sz w:val="18"/>
                <w:szCs w:val="18"/>
              </w:rPr>
              <w:t xml:space="preserve"> MMC. </w:t>
            </w:r>
          </w:p>
        </w:tc>
        <w:tc>
          <w:tcPr>
            <w:tcW w:w="6653" w:type="dxa"/>
          </w:tcPr>
          <w:p w14:paraId="678F9E6C" w14:textId="77777777" w:rsidR="0092794E" w:rsidRDefault="0092794E" w:rsidP="0092794E">
            <w:pPr>
              <w:spacing w:before="60" w:after="60"/>
              <w:rPr>
                <w:rFonts w:ascii="Nunito Sans" w:hAnsi="Nunito Sans"/>
                <w:b/>
                <w:bCs/>
                <w:sz w:val="18"/>
                <w:szCs w:val="18"/>
              </w:rPr>
            </w:pPr>
            <w:r>
              <w:rPr>
                <w:rFonts w:ascii="Nunito Sans" w:hAnsi="Nunito Sans"/>
                <w:b/>
                <w:bCs/>
                <w:sz w:val="18"/>
                <w:szCs w:val="18"/>
              </w:rPr>
              <w:lastRenderedPageBreak/>
              <w:t>7a</w:t>
            </w:r>
            <w:r w:rsidRPr="00C927B2">
              <w:rPr>
                <w:rFonts w:ascii="Nunito Sans" w:hAnsi="Nunito Sans"/>
                <w:b/>
                <w:bCs/>
                <w:sz w:val="18"/>
                <w:szCs w:val="18"/>
              </w:rPr>
              <w:t>. Introduce a</w:t>
            </w:r>
            <w:r>
              <w:rPr>
                <w:rFonts w:ascii="Nunito Sans" w:hAnsi="Nunito Sans"/>
                <w:b/>
                <w:bCs/>
                <w:sz w:val="18"/>
                <w:szCs w:val="18"/>
              </w:rPr>
              <w:t xml:space="preserve"> g</w:t>
            </w:r>
            <w:r w:rsidRPr="00C927B2">
              <w:rPr>
                <w:rFonts w:ascii="Nunito Sans" w:hAnsi="Nunito Sans"/>
                <w:b/>
                <w:bCs/>
                <w:sz w:val="18"/>
                <w:szCs w:val="18"/>
              </w:rPr>
              <w:t>overnment</w:t>
            </w:r>
            <w:r>
              <w:noBreakHyphen/>
            </w:r>
            <w:r w:rsidRPr="00C927B2">
              <w:rPr>
                <w:rFonts w:ascii="Nunito Sans" w:hAnsi="Nunito Sans"/>
                <w:b/>
                <w:bCs/>
                <w:sz w:val="18"/>
                <w:szCs w:val="18"/>
              </w:rPr>
              <w:t>backed completion or performance guarantee</w:t>
            </w:r>
            <w:r>
              <w:rPr>
                <w:rFonts w:ascii="Nunito Sans" w:hAnsi="Nunito Sans"/>
                <w:b/>
                <w:bCs/>
                <w:sz w:val="18"/>
                <w:szCs w:val="18"/>
              </w:rPr>
              <w:t xml:space="preserve"> for MMC,</w:t>
            </w:r>
            <w:r w:rsidRPr="00C927B2">
              <w:rPr>
                <w:rFonts w:ascii="Nunito Sans" w:hAnsi="Nunito Sans"/>
                <w:b/>
                <w:bCs/>
                <w:sz w:val="18"/>
                <w:szCs w:val="18"/>
              </w:rPr>
              <w:t xml:space="preserve"> focused on the offsite construction phase while the sector matures.</w:t>
            </w:r>
          </w:p>
          <w:p w14:paraId="0BBD8C73" w14:textId="03AE90CC" w:rsidR="0092794E" w:rsidRPr="0092794E" w:rsidRDefault="0092794E" w:rsidP="0092794E">
            <w:pPr>
              <w:spacing w:before="60" w:after="60"/>
              <w:rPr>
                <w:rFonts w:ascii="Nunito Sans" w:hAnsi="Nunito Sans"/>
                <w:sz w:val="18"/>
                <w:szCs w:val="18"/>
              </w:rPr>
            </w:pPr>
            <w:r w:rsidRPr="0092794E">
              <w:rPr>
                <w:rFonts w:ascii="Nunito Sans" w:hAnsi="Nunito Sans"/>
                <w:sz w:val="18"/>
                <w:szCs w:val="18"/>
              </w:rPr>
              <w:t>A completion guarantee</w:t>
            </w:r>
            <w:r>
              <w:rPr>
                <w:rFonts w:ascii="Nunito Sans" w:hAnsi="Nunito Sans"/>
                <w:sz w:val="18"/>
                <w:szCs w:val="18"/>
              </w:rPr>
              <w:t xml:space="preserve">, </w:t>
            </w:r>
            <w:r w:rsidRPr="0092794E">
              <w:rPr>
                <w:rFonts w:ascii="Nunito Sans" w:hAnsi="Nunito Sans"/>
                <w:sz w:val="18"/>
                <w:szCs w:val="18"/>
              </w:rPr>
              <w:t>triggered by manufacturer insolvency or non-delivery</w:t>
            </w:r>
            <w:r>
              <w:rPr>
                <w:rFonts w:ascii="Nunito Sans" w:hAnsi="Nunito Sans"/>
                <w:sz w:val="18"/>
                <w:szCs w:val="18"/>
              </w:rPr>
              <w:t xml:space="preserve">, </w:t>
            </w:r>
            <w:r w:rsidRPr="0092794E">
              <w:rPr>
                <w:rFonts w:ascii="Nunito Sans" w:hAnsi="Nunito Sans"/>
                <w:sz w:val="18"/>
                <w:szCs w:val="18"/>
              </w:rPr>
              <w:t xml:space="preserve">would cover the cost to complete the build or refund progress payments. This is targeted specifically at the pre-affixation phase, where the partially built asset is not yet secured to land and traditional mortgage security does not apply. This has strong global precedent (e.g. Netherlands' </w:t>
            </w:r>
            <w:proofErr w:type="spellStart"/>
            <w:r w:rsidRPr="0092794E">
              <w:rPr>
                <w:rFonts w:ascii="Nunito Sans" w:hAnsi="Nunito Sans"/>
                <w:sz w:val="18"/>
                <w:szCs w:val="18"/>
              </w:rPr>
              <w:t>Woningborg</w:t>
            </w:r>
            <w:proofErr w:type="spellEnd"/>
            <w:r w:rsidRPr="0092794E">
              <w:rPr>
                <w:rFonts w:ascii="Nunito Sans" w:hAnsi="Nunito Sans"/>
                <w:sz w:val="18"/>
                <w:szCs w:val="18"/>
              </w:rPr>
              <w:t>/SWK scheme covering ~90% of new builds)</w:t>
            </w:r>
            <w:r>
              <w:rPr>
                <w:rFonts w:ascii="Nunito Sans" w:hAnsi="Nunito Sans"/>
                <w:sz w:val="18"/>
                <w:szCs w:val="18"/>
              </w:rPr>
              <w:t>.</w:t>
            </w:r>
          </w:p>
          <w:p w14:paraId="7B1C7A2A" w14:textId="52C87CFA" w:rsidR="0092794E" w:rsidRDefault="0092794E" w:rsidP="0092794E">
            <w:pPr>
              <w:spacing w:before="60" w:after="60"/>
              <w:rPr>
                <w:rFonts w:ascii="Nunito Sans" w:hAnsi="Nunito Sans"/>
                <w:sz w:val="18"/>
                <w:szCs w:val="18"/>
              </w:rPr>
            </w:pPr>
            <w:r w:rsidRPr="0092794E">
              <w:rPr>
                <w:rFonts w:ascii="Nunito Sans" w:hAnsi="Nunito Sans"/>
                <w:sz w:val="18"/>
                <w:szCs w:val="18"/>
              </w:rPr>
              <w:t>This is a transitional measure</w:t>
            </w:r>
            <w:r w:rsidR="006C5068">
              <w:rPr>
                <w:rFonts w:ascii="Nunito Sans" w:hAnsi="Nunito Sans"/>
                <w:sz w:val="18"/>
                <w:szCs w:val="18"/>
              </w:rPr>
              <w:t>,</w:t>
            </w:r>
            <w:r w:rsidRPr="0092794E">
              <w:rPr>
                <w:rFonts w:ascii="Nunito Sans" w:hAnsi="Nunito Sans"/>
                <w:sz w:val="18"/>
                <w:szCs w:val="18"/>
              </w:rPr>
              <w:t xml:space="preserve"> designed to be wound back as the sector matures, regulation catches up, and manufacturer track records are established. It works best alongside broader standardisation measures (see 7b).</w:t>
            </w:r>
          </w:p>
          <w:p w14:paraId="4FD4821E" w14:textId="2690980F" w:rsidR="0092794E" w:rsidRDefault="0092794E" w:rsidP="0092794E">
            <w:pPr>
              <w:spacing w:before="60" w:after="60"/>
              <w:rPr>
                <w:rFonts w:ascii="Nunito Sans" w:hAnsi="Nunito Sans"/>
                <w:b/>
                <w:bCs/>
                <w:sz w:val="18"/>
                <w:szCs w:val="18"/>
              </w:rPr>
            </w:pPr>
            <w:r w:rsidRPr="0092794E">
              <w:rPr>
                <w:rFonts w:ascii="Nunito Sans" w:hAnsi="Nunito Sans"/>
                <w:sz w:val="18"/>
                <w:szCs w:val="18"/>
              </w:rPr>
              <w:lastRenderedPageBreak/>
              <w:t>Tasmania has recently announced a Modular Housing Finance Guarantee targeting this exact gap.</w:t>
            </w:r>
          </w:p>
          <w:p w14:paraId="03E4474A" w14:textId="77777777" w:rsidR="0092794E" w:rsidRDefault="0092794E" w:rsidP="00ED38D4">
            <w:pPr>
              <w:spacing w:before="60" w:after="60"/>
              <w:rPr>
                <w:rFonts w:ascii="Nunito Sans" w:hAnsi="Nunito Sans"/>
                <w:b/>
                <w:bCs/>
                <w:sz w:val="18"/>
                <w:szCs w:val="18"/>
              </w:rPr>
            </w:pPr>
          </w:p>
          <w:p w14:paraId="0AD97E83" w14:textId="0E879ED0" w:rsidR="00260AD3" w:rsidRPr="0092794E" w:rsidRDefault="00260AD3" w:rsidP="00ED38D4">
            <w:pPr>
              <w:spacing w:before="60" w:after="60"/>
              <w:rPr>
                <w:rFonts w:ascii="Nunito Sans" w:hAnsi="Nunito Sans"/>
                <w:b/>
                <w:bCs/>
                <w:sz w:val="18"/>
                <w:szCs w:val="18"/>
              </w:rPr>
            </w:pPr>
            <w:r w:rsidRPr="0092794E">
              <w:rPr>
                <w:rFonts w:ascii="Nunito Sans" w:hAnsi="Nunito Sans"/>
                <w:b/>
                <w:bCs/>
                <w:sz w:val="18"/>
                <w:szCs w:val="18"/>
              </w:rPr>
              <w:t>7</w:t>
            </w:r>
            <w:r w:rsidR="0092794E">
              <w:rPr>
                <w:rFonts w:ascii="Nunito Sans" w:hAnsi="Nunito Sans"/>
                <w:b/>
                <w:bCs/>
                <w:sz w:val="18"/>
                <w:szCs w:val="18"/>
              </w:rPr>
              <w:t>b</w:t>
            </w:r>
            <w:r w:rsidRPr="0092794E">
              <w:rPr>
                <w:rFonts w:ascii="Nunito Sans" w:hAnsi="Nunito Sans"/>
                <w:b/>
                <w:bCs/>
                <w:sz w:val="18"/>
                <w:szCs w:val="18"/>
              </w:rPr>
              <w:t xml:space="preserve">. </w:t>
            </w:r>
            <w:r w:rsidR="00B51A3C" w:rsidRPr="0092794E">
              <w:rPr>
                <w:rFonts w:ascii="Nunito Sans" w:hAnsi="Nunito Sans"/>
                <w:b/>
                <w:bCs/>
                <w:sz w:val="18"/>
                <w:szCs w:val="18"/>
              </w:rPr>
              <w:t>Develop c</w:t>
            </w:r>
            <w:r w:rsidRPr="0092794E">
              <w:rPr>
                <w:rFonts w:ascii="Nunito Sans" w:hAnsi="Nunito Sans"/>
                <w:b/>
                <w:bCs/>
                <w:sz w:val="18"/>
                <w:szCs w:val="18"/>
              </w:rPr>
              <w:t>lear rules</w:t>
            </w:r>
            <w:r w:rsidR="00233595">
              <w:rPr>
                <w:rFonts w:ascii="Nunito Sans" w:hAnsi="Nunito Sans"/>
                <w:b/>
                <w:bCs/>
                <w:sz w:val="18"/>
                <w:szCs w:val="18"/>
              </w:rPr>
              <w:t xml:space="preserve"> and accountability </w:t>
            </w:r>
            <w:r w:rsidRPr="0092794E">
              <w:rPr>
                <w:rFonts w:ascii="Nunito Sans" w:hAnsi="Nunito Sans"/>
                <w:b/>
                <w:bCs/>
                <w:sz w:val="18"/>
                <w:szCs w:val="18"/>
              </w:rPr>
              <w:t xml:space="preserve">for construction </w:t>
            </w:r>
            <w:r w:rsidR="00ED38D4" w:rsidRPr="0092794E">
              <w:rPr>
                <w:rFonts w:ascii="Nunito Sans" w:hAnsi="Nunito Sans"/>
                <w:b/>
                <w:bCs/>
                <w:sz w:val="18"/>
                <w:szCs w:val="18"/>
              </w:rPr>
              <w:t>insurance</w:t>
            </w:r>
            <w:r w:rsidRPr="0092794E">
              <w:rPr>
                <w:rFonts w:ascii="Nunito Sans" w:hAnsi="Nunito Sans"/>
                <w:b/>
                <w:bCs/>
                <w:sz w:val="18"/>
                <w:szCs w:val="18"/>
              </w:rPr>
              <w:t>, which covers</w:t>
            </w:r>
            <w:r w:rsidR="00ED38D4" w:rsidRPr="0092794E">
              <w:rPr>
                <w:rFonts w:ascii="Nunito Sans" w:hAnsi="Nunito Sans"/>
                <w:b/>
                <w:bCs/>
                <w:sz w:val="18"/>
                <w:szCs w:val="18"/>
              </w:rPr>
              <w:t xml:space="preserve"> </w:t>
            </w:r>
            <w:r w:rsidRPr="0092794E">
              <w:rPr>
                <w:rFonts w:ascii="Nunito Sans" w:hAnsi="Nunito Sans"/>
                <w:b/>
                <w:bCs/>
                <w:sz w:val="18"/>
                <w:szCs w:val="18"/>
              </w:rPr>
              <w:t xml:space="preserve">the </w:t>
            </w:r>
            <w:r w:rsidR="00B51A3C" w:rsidRPr="0092794E">
              <w:rPr>
                <w:rFonts w:ascii="Nunito Sans" w:hAnsi="Nunito Sans"/>
                <w:b/>
                <w:bCs/>
                <w:sz w:val="18"/>
                <w:szCs w:val="18"/>
              </w:rPr>
              <w:t xml:space="preserve">full build </w:t>
            </w:r>
            <w:r w:rsidRPr="0092794E">
              <w:rPr>
                <w:rFonts w:ascii="Nunito Sans" w:hAnsi="Nunito Sans"/>
                <w:b/>
                <w:bCs/>
                <w:sz w:val="18"/>
                <w:szCs w:val="18"/>
              </w:rPr>
              <w:t xml:space="preserve">period </w:t>
            </w:r>
            <w:r w:rsidR="00B51A3C" w:rsidRPr="0092794E">
              <w:rPr>
                <w:rFonts w:ascii="Nunito Sans" w:hAnsi="Nunito Sans"/>
                <w:b/>
                <w:bCs/>
                <w:sz w:val="18"/>
                <w:szCs w:val="18"/>
              </w:rPr>
              <w:t>including</w:t>
            </w:r>
            <w:r w:rsidRPr="0092794E">
              <w:rPr>
                <w:rFonts w:ascii="Nunito Sans" w:hAnsi="Nunito Sans"/>
                <w:b/>
                <w:bCs/>
                <w:sz w:val="18"/>
                <w:szCs w:val="18"/>
              </w:rPr>
              <w:t xml:space="preserve"> warehouse </w:t>
            </w:r>
            <w:r w:rsidR="00ED38D4" w:rsidRPr="0092794E">
              <w:rPr>
                <w:rFonts w:ascii="Nunito Sans" w:hAnsi="Nunito Sans"/>
                <w:b/>
                <w:bCs/>
                <w:sz w:val="18"/>
                <w:szCs w:val="18"/>
              </w:rPr>
              <w:t xml:space="preserve">assembly, </w:t>
            </w:r>
            <w:r w:rsidRPr="0092794E">
              <w:rPr>
                <w:rFonts w:ascii="Nunito Sans" w:hAnsi="Nunito Sans"/>
                <w:b/>
                <w:bCs/>
                <w:sz w:val="18"/>
                <w:szCs w:val="18"/>
              </w:rPr>
              <w:t xml:space="preserve">through to </w:t>
            </w:r>
            <w:r w:rsidR="00ED38D4" w:rsidRPr="0092794E">
              <w:rPr>
                <w:rFonts w:ascii="Nunito Sans" w:hAnsi="Nunito Sans"/>
                <w:b/>
                <w:bCs/>
                <w:sz w:val="18"/>
                <w:szCs w:val="18"/>
              </w:rPr>
              <w:t xml:space="preserve">transport and </w:t>
            </w:r>
            <w:r w:rsidRPr="0092794E">
              <w:rPr>
                <w:rFonts w:ascii="Nunito Sans" w:hAnsi="Nunito Sans"/>
                <w:b/>
                <w:bCs/>
                <w:sz w:val="18"/>
                <w:szCs w:val="18"/>
              </w:rPr>
              <w:t xml:space="preserve">on-site </w:t>
            </w:r>
            <w:r w:rsidR="00ED38D4" w:rsidRPr="0092794E">
              <w:rPr>
                <w:rFonts w:ascii="Nunito Sans" w:hAnsi="Nunito Sans"/>
                <w:b/>
                <w:bCs/>
                <w:sz w:val="18"/>
                <w:szCs w:val="18"/>
              </w:rPr>
              <w:t>installation</w:t>
            </w:r>
            <w:r w:rsidR="00A95015">
              <w:rPr>
                <w:rFonts w:ascii="Nunito Sans" w:hAnsi="Nunito Sans"/>
                <w:b/>
                <w:bCs/>
                <w:sz w:val="18"/>
                <w:szCs w:val="18"/>
              </w:rPr>
              <w:t>.</w:t>
            </w:r>
            <w:r w:rsidR="00ED38D4" w:rsidRPr="0092794E">
              <w:rPr>
                <w:rFonts w:ascii="Nunito Sans" w:hAnsi="Nunito Sans"/>
                <w:b/>
                <w:bCs/>
                <w:sz w:val="18"/>
                <w:szCs w:val="18"/>
              </w:rPr>
              <w:t xml:space="preserve"> </w:t>
            </w:r>
          </w:p>
          <w:p w14:paraId="46207961" w14:textId="4F832E6F" w:rsidR="00A95015" w:rsidRDefault="00810886" w:rsidP="00ED38D4">
            <w:pPr>
              <w:spacing w:before="60" w:after="60"/>
              <w:rPr>
                <w:rFonts w:ascii="Nunito Sans" w:hAnsi="Nunito Sans"/>
                <w:sz w:val="18"/>
                <w:szCs w:val="18"/>
              </w:rPr>
            </w:pPr>
            <w:r>
              <w:rPr>
                <w:rFonts w:ascii="Nunito Sans" w:hAnsi="Nunito Sans"/>
                <w:sz w:val="18"/>
                <w:szCs w:val="18"/>
              </w:rPr>
              <w:t>On a typical residential home build, homeowners are protected by both mandatory</w:t>
            </w:r>
            <w:r w:rsidR="00C754E6">
              <w:rPr>
                <w:rFonts w:ascii="Nunito Sans" w:hAnsi="Nunito Sans"/>
                <w:sz w:val="18"/>
                <w:szCs w:val="18"/>
              </w:rPr>
              <w:t xml:space="preserve"> state-based </w:t>
            </w:r>
            <w:r>
              <w:rPr>
                <w:rFonts w:ascii="Nunito Sans" w:hAnsi="Nunito Sans"/>
                <w:sz w:val="18"/>
                <w:szCs w:val="18"/>
              </w:rPr>
              <w:t xml:space="preserve">home building insurance </w:t>
            </w:r>
            <w:r w:rsidR="00C754E6">
              <w:rPr>
                <w:rFonts w:ascii="Nunito Sans" w:hAnsi="Nunito Sans"/>
                <w:sz w:val="18"/>
                <w:szCs w:val="18"/>
              </w:rPr>
              <w:t xml:space="preserve">schemes </w:t>
            </w:r>
            <w:r>
              <w:rPr>
                <w:rFonts w:ascii="Nunito Sans" w:hAnsi="Nunito Sans"/>
                <w:sz w:val="18"/>
                <w:szCs w:val="18"/>
              </w:rPr>
              <w:t xml:space="preserve">and </w:t>
            </w:r>
            <w:r w:rsidR="00C754E6">
              <w:rPr>
                <w:rFonts w:ascii="Nunito Sans" w:hAnsi="Nunito Sans"/>
                <w:sz w:val="18"/>
                <w:szCs w:val="18"/>
              </w:rPr>
              <w:t xml:space="preserve">builder’s </w:t>
            </w:r>
            <w:r>
              <w:rPr>
                <w:rFonts w:ascii="Nunito Sans" w:hAnsi="Nunito Sans"/>
                <w:sz w:val="18"/>
                <w:szCs w:val="18"/>
              </w:rPr>
              <w:t>construction insurance.</w:t>
            </w:r>
            <w:r w:rsidR="00A95015">
              <w:rPr>
                <w:rFonts w:ascii="Nunito Sans" w:hAnsi="Nunito Sans"/>
                <w:sz w:val="18"/>
                <w:szCs w:val="18"/>
              </w:rPr>
              <w:t xml:space="preserve"> </w:t>
            </w:r>
            <w:r>
              <w:rPr>
                <w:rFonts w:ascii="Nunito Sans" w:hAnsi="Nunito Sans"/>
                <w:sz w:val="18"/>
                <w:szCs w:val="18"/>
              </w:rPr>
              <w:t xml:space="preserve">These insurances protect against builder insolvency, non-completion, </w:t>
            </w:r>
            <w:r w:rsidR="001E7723">
              <w:rPr>
                <w:rFonts w:ascii="Nunito Sans" w:hAnsi="Nunito Sans"/>
                <w:sz w:val="18"/>
                <w:szCs w:val="18"/>
              </w:rPr>
              <w:t xml:space="preserve">defects and </w:t>
            </w:r>
            <w:r w:rsidR="002870A1">
              <w:rPr>
                <w:rFonts w:ascii="Nunito Sans" w:hAnsi="Nunito Sans"/>
                <w:sz w:val="18"/>
                <w:szCs w:val="18"/>
              </w:rPr>
              <w:t xml:space="preserve">events such as fire. These insurances </w:t>
            </w:r>
            <w:r w:rsidR="00233595">
              <w:rPr>
                <w:rFonts w:ascii="Nunito Sans" w:hAnsi="Nunito Sans"/>
                <w:sz w:val="18"/>
                <w:szCs w:val="18"/>
              </w:rPr>
              <w:t xml:space="preserve">typically </w:t>
            </w:r>
            <w:r w:rsidR="002870A1">
              <w:rPr>
                <w:rFonts w:ascii="Nunito Sans" w:hAnsi="Nunito Sans"/>
                <w:sz w:val="18"/>
                <w:szCs w:val="18"/>
              </w:rPr>
              <w:t>apply to construction on site</w:t>
            </w:r>
            <w:r w:rsidR="00FA165F">
              <w:rPr>
                <w:rFonts w:ascii="Nunito Sans" w:hAnsi="Nunito Sans"/>
                <w:sz w:val="18"/>
                <w:szCs w:val="18"/>
              </w:rPr>
              <w:t xml:space="preserve">. However, </w:t>
            </w:r>
            <w:r w:rsidR="00CC6EA5">
              <w:rPr>
                <w:rFonts w:ascii="Nunito Sans" w:hAnsi="Nunito Sans"/>
                <w:sz w:val="18"/>
                <w:szCs w:val="18"/>
              </w:rPr>
              <w:t xml:space="preserve">their application is </w:t>
            </w:r>
            <w:r w:rsidR="000A14FD">
              <w:rPr>
                <w:rFonts w:ascii="Nunito Sans" w:hAnsi="Nunito Sans"/>
                <w:sz w:val="18"/>
                <w:szCs w:val="18"/>
              </w:rPr>
              <w:t>questionable</w:t>
            </w:r>
            <w:r w:rsidR="002870A1">
              <w:rPr>
                <w:rFonts w:ascii="Nunito Sans" w:hAnsi="Nunito Sans"/>
                <w:sz w:val="18"/>
                <w:szCs w:val="18"/>
              </w:rPr>
              <w:t xml:space="preserve"> </w:t>
            </w:r>
            <w:r w:rsidR="00CC6EA5">
              <w:rPr>
                <w:rFonts w:ascii="Nunito Sans" w:hAnsi="Nunito Sans"/>
                <w:sz w:val="18"/>
                <w:szCs w:val="18"/>
              </w:rPr>
              <w:t xml:space="preserve">when </w:t>
            </w:r>
            <w:r w:rsidR="003E24F8">
              <w:rPr>
                <w:rFonts w:ascii="Nunito Sans" w:hAnsi="Nunito Sans"/>
                <w:sz w:val="18"/>
                <w:szCs w:val="18"/>
              </w:rPr>
              <w:t xml:space="preserve">the build is </w:t>
            </w:r>
            <w:r w:rsidR="0092794E">
              <w:rPr>
                <w:rFonts w:ascii="Nunito Sans" w:hAnsi="Nunito Sans"/>
                <w:sz w:val="18"/>
                <w:szCs w:val="18"/>
              </w:rPr>
              <w:t>prefabricated</w:t>
            </w:r>
            <w:r w:rsidR="003E24F8">
              <w:rPr>
                <w:rFonts w:ascii="Nunito Sans" w:hAnsi="Nunito Sans"/>
                <w:sz w:val="18"/>
                <w:szCs w:val="18"/>
              </w:rPr>
              <w:t xml:space="preserve"> in a factory</w:t>
            </w:r>
            <w:r w:rsidR="0094553B">
              <w:rPr>
                <w:rFonts w:ascii="Nunito Sans" w:hAnsi="Nunito Sans"/>
                <w:sz w:val="18"/>
                <w:szCs w:val="18"/>
              </w:rPr>
              <w:t>,</w:t>
            </w:r>
            <w:r w:rsidR="003E24F8">
              <w:rPr>
                <w:rFonts w:ascii="Nunito Sans" w:hAnsi="Nunito Sans"/>
                <w:sz w:val="18"/>
                <w:szCs w:val="18"/>
              </w:rPr>
              <w:t xml:space="preserve"> </w:t>
            </w:r>
            <w:r w:rsidR="007469D8">
              <w:rPr>
                <w:rFonts w:ascii="Nunito Sans" w:hAnsi="Nunito Sans"/>
                <w:sz w:val="18"/>
                <w:szCs w:val="18"/>
              </w:rPr>
              <w:t>transported via road</w:t>
            </w:r>
            <w:r w:rsidR="0094553B">
              <w:rPr>
                <w:rFonts w:ascii="Nunito Sans" w:hAnsi="Nunito Sans"/>
                <w:sz w:val="18"/>
                <w:szCs w:val="18"/>
              </w:rPr>
              <w:t>, and assembled onsite.</w:t>
            </w:r>
          </w:p>
          <w:p w14:paraId="6C771A53" w14:textId="77777777" w:rsidR="000A14FD" w:rsidRDefault="005F5AE2" w:rsidP="00ED38D4">
            <w:pPr>
              <w:spacing w:before="60" w:after="60"/>
              <w:rPr>
                <w:rFonts w:ascii="Nunito Sans" w:hAnsi="Nunito Sans"/>
                <w:sz w:val="18"/>
                <w:szCs w:val="18"/>
              </w:rPr>
            </w:pPr>
            <w:r>
              <w:rPr>
                <w:rFonts w:ascii="Nunito Sans" w:hAnsi="Nunito Sans"/>
                <w:sz w:val="18"/>
                <w:szCs w:val="18"/>
              </w:rPr>
              <w:t xml:space="preserve">This is further complicated </w:t>
            </w:r>
            <w:r w:rsidR="009D7EEC">
              <w:rPr>
                <w:rFonts w:ascii="Nunito Sans" w:hAnsi="Nunito Sans"/>
                <w:sz w:val="18"/>
                <w:szCs w:val="18"/>
              </w:rPr>
              <w:t>by</w:t>
            </w:r>
            <w:r w:rsidR="003139E3">
              <w:rPr>
                <w:rFonts w:ascii="Nunito Sans" w:hAnsi="Nunito Sans"/>
                <w:sz w:val="18"/>
                <w:szCs w:val="18"/>
              </w:rPr>
              <w:t xml:space="preserve"> differing</w:t>
            </w:r>
            <w:r w:rsidR="007F708E">
              <w:rPr>
                <w:rFonts w:ascii="Nunito Sans" w:hAnsi="Nunito Sans"/>
                <w:sz w:val="18"/>
                <w:szCs w:val="18"/>
              </w:rPr>
              <w:t xml:space="preserve"> </w:t>
            </w:r>
            <w:r w:rsidR="00ED38D4" w:rsidRPr="00172E18">
              <w:rPr>
                <w:rFonts w:ascii="Nunito Sans" w:hAnsi="Nunito Sans"/>
                <w:sz w:val="18"/>
                <w:szCs w:val="18"/>
              </w:rPr>
              <w:t xml:space="preserve">accreditation </w:t>
            </w:r>
            <w:r w:rsidR="003139E3">
              <w:rPr>
                <w:rFonts w:ascii="Nunito Sans" w:hAnsi="Nunito Sans"/>
                <w:sz w:val="18"/>
                <w:szCs w:val="18"/>
              </w:rPr>
              <w:t xml:space="preserve">frameworks. </w:t>
            </w:r>
          </w:p>
          <w:p w14:paraId="6B840D58" w14:textId="769926EC" w:rsidR="004B2704" w:rsidRPr="0092794E" w:rsidRDefault="003139E3" w:rsidP="00ED38D4">
            <w:pPr>
              <w:spacing w:before="60" w:after="60"/>
              <w:rPr>
                <w:rFonts w:ascii="Nunito Sans" w:hAnsi="Nunito Sans"/>
                <w:sz w:val="18"/>
                <w:szCs w:val="18"/>
              </w:rPr>
            </w:pPr>
            <w:r>
              <w:rPr>
                <w:rFonts w:ascii="Nunito Sans" w:hAnsi="Nunito Sans"/>
                <w:sz w:val="18"/>
                <w:szCs w:val="18"/>
              </w:rPr>
              <w:t>M</w:t>
            </w:r>
            <w:r w:rsidR="00ED38D4" w:rsidRPr="00172E18">
              <w:rPr>
                <w:rFonts w:ascii="Nunito Sans" w:hAnsi="Nunito Sans"/>
                <w:sz w:val="18"/>
                <w:szCs w:val="18"/>
              </w:rPr>
              <w:t xml:space="preserve">any </w:t>
            </w:r>
            <w:r>
              <w:rPr>
                <w:rFonts w:ascii="Nunito Sans" w:hAnsi="Nunito Sans"/>
                <w:sz w:val="18"/>
                <w:szCs w:val="18"/>
              </w:rPr>
              <w:t>MMC</w:t>
            </w:r>
            <w:r w:rsidR="003932E7">
              <w:rPr>
                <w:rFonts w:ascii="Nunito Sans" w:hAnsi="Nunito Sans"/>
                <w:sz w:val="18"/>
                <w:szCs w:val="18"/>
              </w:rPr>
              <w:t xml:space="preserve"> companies</w:t>
            </w:r>
            <w:r>
              <w:rPr>
                <w:rFonts w:ascii="Nunito Sans" w:hAnsi="Nunito Sans"/>
                <w:sz w:val="18"/>
                <w:szCs w:val="18"/>
              </w:rPr>
              <w:t xml:space="preserve"> </w:t>
            </w:r>
            <w:r w:rsidR="00ED38D4" w:rsidRPr="00172E18">
              <w:rPr>
                <w:rFonts w:ascii="Nunito Sans" w:hAnsi="Nunito Sans"/>
                <w:sz w:val="18"/>
                <w:szCs w:val="18"/>
              </w:rPr>
              <w:t>operate as manufacturers rather than licensed builders, and there is currently no consistent approach to assessing factory QA, financial resilience or delivery capability.</w:t>
            </w:r>
          </w:p>
        </w:tc>
        <w:tc>
          <w:tcPr>
            <w:tcW w:w="1265" w:type="dxa"/>
            <w:shd w:val="clear" w:color="auto" w:fill="FEEBC4"/>
            <w:vAlign w:val="center"/>
          </w:tcPr>
          <w:p w14:paraId="4400DE4E" w14:textId="722F754D" w:rsidR="0027541D" w:rsidRDefault="000A14FD" w:rsidP="00560879">
            <w:pPr>
              <w:spacing w:before="60" w:after="60"/>
              <w:rPr>
                <w:rFonts w:ascii="Nunito Sans" w:hAnsi="Nunito Sans" w:cs="Times New Roman"/>
                <w:b/>
                <w:bCs/>
                <w:sz w:val="18"/>
                <w:szCs w:val="18"/>
              </w:rPr>
            </w:pPr>
            <w:r>
              <w:rPr>
                <w:rFonts w:ascii="Nunito Sans" w:hAnsi="Nunito Sans" w:cs="Times New Roman"/>
                <w:b/>
                <w:bCs/>
                <w:sz w:val="18"/>
                <w:szCs w:val="18"/>
              </w:rPr>
              <w:lastRenderedPageBreak/>
              <w:t>Medium</w:t>
            </w:r>
          </w:p>
        </w:tc>
        <w:tc>
          <w:tcPr>
            <w:tcW w:w="1165" w:type="dxa"/>
            <w:shd w:val="clear" w:color="auto" w:fill="FEEBC4"/>
            <w:vAlign w:val="center"/>
          </w:tcPr>
          <w:p w14:paraId="705D418E" w14:textId="26A6379D" w:rsidR="0027541D" w:rsidRPr="00C13337" w:rsidRDefault="00BD56A7" w:rsidP="00560879">
            <w:pPr>
              <w:spacing w:before="60" w:after="60"/>
              <w:rPr>
                <w:rFonts w:ascii="Nunito Sans" w:hAnsi="Nunito Sans" w:cs="Times New Roman"/>
                <w:b/>
                <w:bCs/>
                <w:sz w:val="18"/>
                <w:szCs w:val="18"/>
              </w:rPr>
            </w:pPr>
            <w:r>
              <w:rPr>
                <w:rFonts w:ascii="Nunito Sans" w:hAnsi="Nunito Sans" w:cs="Times New Roman"/>
                <w:b/>
                <w:bCs/>
                <w:sz w:val="18"/>
                <w:szCs w:val="18"/>
              </w:rPr>
              <w:t>Medium</w:t>
            </w:r>
          </w:p>
        </w:tc>
      </w:tr>
      <w:tr w:rsidR="007D750D" w14:paraId="66C42420" w14:textId="2B55D36A" w:rsidTr="00B01D4D">
        <w:tc>
          <w:tcPr>
            <w:tcW w:w="1554" w:type="dxa"/>
            <w:hideMark/>
          </w:tcPr>
          <w:p w14:paraId="1187A77A" w14:textId="361A51C8" w:rsidR="007D750D" w:rsidRPr="007D750D" w:rsidRDefault="007D750D" w:rsidP="00560879">
            <w:pPr>
              <w:spacing w:before="60" w:after="60"/>
              <w:rPr>
                <w:rFonts w:ascii="Nunito Sans" w:hAnsi="Nunito Sans"/>
                <w:b/>
                <w:bCs/>
                <w:sz w:val="18"/>
                <w:szCs w:val="18"/>
              </w:rPr>
            </w:pPr>
            <w:r>
              <w:rPr>
                <w:rFonts w:ascii="Nunito Sans" w:hAnsi="Nunito Sans"/>
                <w:b/>
                <w:bCs/>
                <w:sz w:val="18"/>
                <w:szCs w:val="18"/>
              </w:rPr>
              <w:t>Lack of community acceptance slows or blocks denser development</w:t>
            </w:r>
          </w:p>
        </w:tc>
        <w:tc>
          <w:tcPr>
            <w:tcW w:w="4100" w:type="dxa"/>
          </w:tcPr>
          <w:p w14:paraId="2B705F5C" w14:textId="77777777" w:rsid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8B7C3A">
              <w:rPr>
                <w:rFonts w:ascii="Nunito Sans" w:hAnsi="Nunito Sans"/>
                <w:sz w:val="18"/>
                <w:szCs w:val="18"/>
              </w:rPr>
              <w:t xml:space="preserve">Consultation processes are usually shaped by ideological positions, often framed around identifying areas of disagreement or opposition, rather than fostering collaboration or opportunity. </w:t>
            </w:r>
          </w:p>
          <w:p w14:paraId="7FB0276A" w14:textId="13F14F00" w:rsidR="007D750D" w:rsidRPr="007D750D" w:rsidRDefault="007D750D" w:rsidP="00D71E9E">
            <w:pPr>
              <w:pStyle w:val="ListParagraph"/>
              <w:numPr>
                <w:ilvl w:val="0"/>
                <w:numId w:val="5"/>
              </w:numPr>
              <w:spacing w:before="60" w:after="60"/>
              <w:ind w:left="315" w:hanging="284"/>
              <w:contextualSpacing w:val="0"/>
              <w:rPr>
                <w:rFonts w:ascii="Nunito Sans" w:hAnsi="Nunito Sans"/>
                <w:sz w:val="18"/>
                <w:szCs w:val="18"/>
              </w:rPr>
            </w:pPr>
            <w:r w:rsidRPr="007D750D">
              <w:rPr>
                <w:rFonts w:ascii="Nunito Sans" w:hAnsi="Nunito Sans"/>
                <w:sz w:val="18"/>
                <w:szCs w:val="18"/>
              </w:rPr>
              <w:t>In some jurisdictions, there is no standardised method for collecting community input. Multiple opportunities to object can delay projects from occurring, rather than seeking feedback on how to improve the project.</w:t>
            </w:r>
          </w:p>
        </w:tc>
        <w:tc>
          <w:tcPr>
            <w:tcW w:w="6653" w:type="dxa"/>
            <w:hideMark/>
          </w:tcPr>
          <w:p w14:paraId="2202E9A7" w14:textId="59185D32" w:rsidR="007D750D" w:rsidRPr="008B7C3A" w:rsidRDefault="00ED38D4" w:rsidP="00560879">
            <w:pPr>
              <w:spacing w:before="60" w:after="60"/>
              <w:rPr>
                <w:rFonts w:ascii="Nunito Sans" w:hAnsi="Nunito Sans" w:cs="Times New Roman"/>
                <w:b/>
                <w:bCs/>
                <w:sz w:val="18"/>
                <w:szCs w:val="18"/>
              </w:rPr>
            </w:pPr>
            <w:r>
              <w:rPr>
                <w:rFonts w:ascii="Nunito Sans" w:hAnsi="Nunito Sans" w:cs="Times New Roman"/>
                <w:b/>
                <w:bCs/>
                <w:sz w:val="18"/>
                <w:szCs w:val="18"/>
              </w:rPr>
              <w:t>8</w:t>
            </w:r>
            <w:r w:rsidR="007D750D">
              <w:rPr>
                <w:rFonts w:ascii="Nunito Sans" w:hAnsi="Nunito Sans" w:cs="Times New Roman"/>
                <w:b/>
                <w:bCs/>
                <w:sz w:val="18"/>
                <w:szCs w:val="18"/>
              </w:rPr>
              <w:t xml:space="preserve">. </w:t>
            </w:r>
            <w:r w:rsidR="007D750D" w:rsidRPr="008B7C3A">
              <w:rPr>
                <w:rFonts w:ascii="Nunito Sans" w:hAnsi="Nunito Sans" w:cs="Times New Roman"/>
                <w:b/>
                <w:bCs/>
                <w:sz w:val="18"/>
                <w:szCs w:val="18"/>
              </w:rPr>
              <w:t>Reset community engagement and expectations.</w:t>
            </w:r>
          </w:p>
          <w:p w14:paraId="437E885C" w14:textId="758A89CA" w:rsidR="007D750D" w:rsidRDefault="007D750D" w:rsidP="00560879">
            <w:pPr>
              <w:spacing w:before="60" w:after="60"/>
              <w:rPr>
                <w:rFonts w:ascii="Nunito Sans" w:hAnsi="Nunito Sans" w:cs="Times New Roman"/>
                <w:sz w:val="18"/>
                <w:szCs w:val="18"/>
              </w:rPr>
            </w:pPr>
            <w:r w:rsidRPr="00EF2A01">
              <w:rPr>
                <w:rFonts w:ascii="Nunito Sans" w:hAnsi="Nunito Sans" w:cs="Times New Roman"/>
                <w:sz w:val="18"/>
                <w:szCs w:val="18"/>
              </w:rPr>
              <w:t>Reframe consultation to focus on constructive input rather than objection</w:t>
            </w:r>
            <w:r w:rsidRPr="00EF2A01">
              <w:rPr>
                <w:rFonts w:ascii="Nunito Sans" w:hAnsi="Nunito Sans" w:cs="Times New Roman"/>
                <w:sz w:val="18"/>
                <w:szCs w:val="18"/>
              </w:rPr>
              <w:noBreakHyphen/>
              <w:t>driven processe</w:t>
            </w:r>
            <w:r>
              <w:rPr>
                <w:rFonts w:ascii="Nunito Sans" w:hAnsi="Nunito Sans" w:cs="Times New Roman"/>
                <w:sz w:val="18"/>
                <w:szCs w:val="18"/>
              </w:rPr>
              <w:t>s, proportionate to a project’s scale and strategic importance.</w:t>
            </w:r>
          </w:p>
          <w:p w14:paraId="7B2EE995" w14:textId="77777777" w:rsidR="00DE5C99" w:rsidRDefault="007D750D" w:rsidP="00560879">
            <w:pPr>
              <w:spacing w:before="60" w:after="60"/>
              <w:rPr>
                <w:rFonts w:ascii="Nunito Sans" w:hAnsi="Nunito Sans" w:cs="Times New Roman"/>
                <w:sz w:val="18"/>
                <w:szCs w:val="18"/>
              </w:rPr>
            </w:pPr>
            <w:r w:rsidRPr="008B7C3A">
              <w:rPr>
                <w:rFonts w:ascii="Nunito Sans" w:hAnsi="Nunito Sans" w:cs="Times New Roman"/>
                <w:sz w:val="18"/>
                <w:szCs w:val="18"/>
              </w:rPr>
              <w:t>For priority developments aligned with State or national housing targets, governments should adopt a fast-track model with clear timeframes, standardised feedback templates, and a single opportunity for public input, ideally during design stages.</w:t>
            </w:r>
            <w:r w:rsidR="00A075B2">
              <w:rPr>
                <w:rFonts w:ascii="Nunito Sans" w:hAnsi="Nunito Sans" w:cs="Times New Roman"/>
                <w:sz w:val="18"/>
                <w:szCs w:val="18"/>
              </w:rPr>
              <w:t xml:space="preserve"> </w:t>
            </w:r>
          </w:p>
          <w:p w14:paraId="1C30BAF4" w14:textId="0207AAC5" w:rsidR="007D750D" w:rsidRPr="008B7C3A" w:rsidRDefault="00A075B2" w:rsidP="00560879">
            <w:pPr>
              <w:spacing w:before="60" w:after="60"/>
              <w:rPr>
                <w:rFonts w:ascii="Nunito Sans" w:hAnsi="Nunito Sans"/>
                <w:sz w:val="18"/>
                <w:szCs w:val="18"/>
              </w:rPr>
            </w:pPr>
            <w:r>
              <w:rPr>
                <w:rFonts w:ascii="Nunito Sans" w:hAnsi="Nunito Sans" w:cs="Times New Roman"/>
                <w:sz w:val="18"/>
                <w:szCs w:val="18"/>
              </w:rPr>
              <w:t xml:space="preserve">NSW has recently </w:t>
            </w:r>
            <w:r w:rsidR="00A63EE4">
              <w:rPr>
                <w:rFonts w:ascii="Nunito Sans" w:hAnsi="Nunito Sans" w:cs="Times New Roman"/>
                <w:sz w:val="18"/>
                <w:szCs w:val="18"/>
              </w:rPr>
              <w:t>introduced reforms to this effect.</w:t>
            </w:r>
          </w:p>
        </w:tc>
        <w:tc>
          <w:tcPr>
            <w:tcW w:w="1265" w:type="dxa"/>
            <w:shd w:val="clear" w:color="auto" w:fill="FEEBC4"/>
            <w:vAlign w:val="center"/>
          </w:tcPr>
          <w:p w14:paraId="0B7A8633" w14:textId="0C755C91" w:rsidR="007D750D" w:rsidRDefault="00560879" w:rsidP="00560879">
            <w:pPr>
              <w:spacing w:before="60" w:after="60"/>
              <w:rPr>
                <w:rFonts w:ascii="Nunito Sans" w:hAnsi="Nunito Sans" w:cs="Times New Roman"/>
                <w:b/>
                <w:bCs/>
                <w:sz w:val="18"/>
                <w:szCs w:val="18"/>
              </w:rPr>
            </w:pPr>
            <w:r>
              <w:rPr>
                <w:rFonts w:ascii="Nunito Sans" w:hAnsi="Nunito Sans" w:cs="Times New Roman"/>
                <w:b/>
                <w:bCs/>
                <w:sz w:val="18"/>
                <w:szCs w:val="18"/>
              </w:rPr>
              <w:t>Medium</w:t>
            </w:r>
          </w:p>
        </w:tc>
        <w:tc>
          <w:tcPr>
            <w:tcW w:w="1165" w:type="dxa"/>
            <w:shd w:val="clear" w:color="auto" w:fill="E0FAD6"/>
            <w:vAlign w:val="center"/>
          </w:tcPr>
          <w:p w14:paraId="169C6586" w14:textId="1C45B4A5" w:rsidR="007D750D" w:rsidRDefault="00A02AA2" w:rsidP="00560879">
            <w:pPr>
              <w:spacing w:before="60" w:after="60"/>
              <w:rPr>
                <w:rFonts w:ascii="Nunito Sans" w:hAnsi="Nunito Sans" w:cs="Times New Roman"/>
                <w:b/>
                <w:bCs/>
                <w:sz w:val="18"/>
                <w:szCs w:val="18"/>
              </w:rPr>
            </w:pPr>
            <w:r w:rsidRPr="00C13337">
              <w:rPr>
                <w:rFonts w:ascii="Nunito Sans" w:hAnsi="Nunito Sans" w:cs="Times New Roman"/>
                <w:b/>
                <w:bCs/>
                <w:sz w:val="18"/>
                <w:szCs w:val="18"/>
              </w:rPr>
              <w:t>Low</w:t>
            </w:r>
          </w:p>
        </w:tc>
      </w:tr>
    </w:tbl>
    <w:p w14:paraId="11798708" w14:textId="033A1985" w:rsidR="00032EE1" w:rsidRPr="00032EE1" w:rsidRDefault="00032EE1" w:rsidP="00EF2A01">
      <w:pPr>
        <w:rPr>
          <w:rFonts w:ascii="Nunito Sans" w:hAnsi="Nunito Sans"/>
          <w:b/>
          <w:bCs/>
          <w:i/>
          <w:iCs/>
          <w:sz w:val="22"/>
          <w:szCs w:val="22"/>
        </w:rPr>
      </w:pPr>
      <w:r w:rsidRPr="00032EE1">
        <w:rPr>
          <w:rFonts w:ascii="Nunito Sans" w:hAnsi="Nunito Sans"/>
          <w:b/>
          <w:bCs/>
          <w:i/>
          <w:iCs/>
          <w:sz w:val="22"/>
          <w:szCs w:val="22"/>
        </w:rPr>
        <w:t xml:space="preserve"> </w:t>
      </w:r>
    </w:p>
    <w:sectPr w:rsidR="00032EE1" w:rsidRPr="00032EE1" w:rsidSect="000A14FD">
      <w:pgSz w:w="16838" w:h="11906" w:orient="landscape"/>
      <w:pgMar w:top="1276" w:right="1440" w:bottom="568" w:left="1440"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95F2" w14:textId="77777777" w:rsidR="00CB7CC7" w:rsidRDefault="00CB7CC7" w:rsidP="006E0420">
      <w:pPr>
        <w:spacing w:after="0" w:line="240" w:lineRule="auto"/>
      </w:pPr>
      <w:r>
        <w:separator/>
      </w:r>
    </w:p>
  </w:endnote>
  <w:endnote w:type="continuationSeparator" w:id="0">
    <w:p w14:paraId="51EF026F" w14:textId="77777777" w:rsidR="00CB7CC7" w:rsidRDefault="00CB7CC7" w:rsidP="006E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estpac Bold">
    <w:altName w:val="Calibri"/>
    <w:panose1 w:val="00000000000000000000"/>
    <w:charset w:val="00"/>
    <w:family w:val="swiss"/>
    <w:notTrueType/>
    <w:pitch w:val="variable"/>
    <w:sig w:usb0="00000003" w:usb1="00000000" w:usb2="00000000" w:usb3="00000000" w:csb0="00000001" w:csb1="00000000"/>
  </w:font>
  <w:font w:name="Nunito Sans">
    <w:charset w:val="00"/>
    <w:family w:val="auto"/>
    <w:pitch w:val="variable"/>
    <w:sig w:usb0="A00002FF" w:usb1="5000204B" w:usb2="00000000" w:usb3="00000000" w:csb0="00000197"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504735"/>
      <w:docPartObj>
        <w:docPartGallery w:val="Page Numbers (Bottom of Page)"/>
        <w:docPartUnique/>
      </w:docPartObj>
    </w:sdtPr>
    <w:sdtEndPr>
      <w:rPr>
        <w:rFonts w:ascii="Nunito Sans" w:hAnsi="Nunito Sans"/>
        <w:noProof/>
        <w:sz w:val="20"/>
        <w:szCs w:val="20"/>
      </w:rPr>
    </w:sdtEndPr>
    <w:sdtContent>
      <w:p w14:paraId="2ABB50FC" w14:textId="7860409D" w:rsidR="002130E1" w:rsidRPr="002130E1" w:rsidRDefault="002130E1" w:rsidP="002130E1">
        <w:pPr>
          <w:pStyle w:val="Footer"/>
          <w:jc w:val="center"/>
          <w:rPr>
            <w:rFonts w:ascii="Nunito Sans" w:hAnsi="Nunito Sans"/>
            <w:sz w:val="20"/>
            <w:szCs w:val="20"/>
          </w:rPr>
        </w:pPr>
        <w:r w:rsidRPr="002130E1">
          <w:rPr>
            <w:rFonts w:ascii="Nunito Sans" w:hAnsi="Nunito Sans"/>
            <w:sz w:val="20"/>
            <w:szCs w:val="20"/>
          </w:rPr>
          <w:fldChar w:fldCharType="begin"/>
        </w:r>
        <w:r w:rsidRPr="002130E1">
          <w:rPr>
            <w:rFonts w:ascii="Nunito Sans" w:hAnsi="Nunito Sans"/>
            <w:sz w:val="20"/>
            <w:szCs w:val="20"/>
          </w:rPr>
          <w:instrText xml:space="preserve"> PAGE   \* MERGEFORMAT </w:instrText>
        </w:r>
        <w:r w:rsidRPr="002130E1">
          <w:rPr>
            <w:rFonts w:ascii="Nunito Sans" w:hAnsi="Nunito Sans"/>
            <w:sz w:val="20"/>
            <w:szCs w:val="20"/>
          </w:rPr>
          <w:fldChar w:fldCharType="separate"/>
        </w:r>
        <w:r w:rsidRPr="002130E1">
          <w:rPr>
            <w:rFonts w:ascii="Nunito Sans" w:hAnsi="Nunito Sans"/>
            <w:noProof/>
            <w:sz w:val="20"/>
            <w:szCs w:val="20"/>
          </w:rPr>
          <w:t>2</w:t>
        </w:r>
        <w:r w:rsidRPr="002130E1">
          <w:rPr>
            <w:rFonts w:ascii="Nunito Sans" w:hAnsi="Nunito San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52BC" w14:textId="77777777" w:rsidR="00CB7CC7" w:rsidRDefault="00CB7CC7" w:rsidP="006E0420">
      <w:pPr>
        <w:spacing w:after="0" w:line="240" w:lineRule="auto"/>
      </w:pPr>
      <w:r>
        <w:separator/>
      </w:r>
    </w:p>
  </w:footnote>
  <w:footnote w:type="continuationSeparator" w:id="0">
    <w:p w14:paraId="761BB0F0" w14:textId="77777777" w:rsidR="00CB7CC7" w:rsidRDefault="00CB7CC7" w:rsidP="006E0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A083" w14:textId="15E70D14" w:rsidR="006E0420" w:rsidRDefault="006E0420">
    <w:pPr>
      <w:pStyle w:val="Header"/>
    </w:pPr>
    <w:r w:rsidRPr="00D72F29">
      <w:rPr>
        <w:noProof/>
        <w:lang w:val="en-GB" w:eastAsia="en-GB"/>
      </w:rPr>
      <w:drawing>
        <wp:anchor distT="0" distB="0" distL="114300" distR="114300" simplePos="0" relativeHeight="251658240" behindDoc="1" locked="0" layoutInCell="1" allowOverlap="1" wp14:anchorId="5BED8105" wp14:editId="6622EBBB">
          <wp:simplePos x="0" y="0"/>
          <wp:positionH relativeFrom="column">
            <wp:posOffset>-77372</wp:posOffset>
          </wp:positionH>
          <wp:positionV relativeFrom="paragraph">
            <wp:posOffset>-105508</wp:posOffset>
          </wp:positionV>
          <wp:extent cx="885600" cy="360000"/>
          <wp:effectExtent l="0" t="0" r="0" b="2540"/>
          <wp:wrapTight wrapText="bothSides">
            <wp:wrapPolygon edited="0">
              <wp:start x="0" y="0"/>
              <wp:lineTo x="0" y="20608"/>
              <wp:lineTo x="20918" y="20608"/>
              <wp:lineTo x="20918" y="0"/>
              <wp:lineTo x="0" y="0"/>
            </wp:wrapPolygon>
          </wp:wrapTight>
          <wp:docPr id="15335988" name="Picture 15335988"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600" cy="36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0F44" w14:textId="7A065F07" w:rsidR="002130E1" w:rsidRDefault="002130E1">
    <w:pPr>
      <w:pStyle w:val="Header"/>
    </w:pPr>
    <w:r w:rsidRPr="00D72F29">
      <w:rPr>
        <w:noProof/>
        <w:lang w:val="en-GB" w:eastAsia="en-GB"/>
      </w:rPr>
      <w:drawing>
        <wp:anchor distT="0" distB="0" distL="114300" distR="114300" simplePos="0" relativeHeight="251658241" behindDoc="1" locked="0" layoutInCell="1" allowOverlap="1" wp14:anchorId="617885A1" wp14:editId="7CC934BF">
          <wp:simplePos x="0" y="0"/>
          <wp:positionH relativeFrom="column">
            <wp:posOffset>-77372</wp:posOffset>
          </wp:positionH>
          <wp:positionV relativeFrom="paragraph">
            <wp:posOffset>-70973</wp:posOffset>
          </wp:positionV>
          <wp:extent cx="885600" cy="360000"/>
          <wp:effectExtent l="0" t="0" r="0" b="2540"/>
          <wp:wrapTight wrapText="bothSides">
            <wp:wrapPolygon edited="0">
              <wp:start x="0" y="0"/>
              <wp:lineTo x="0" y="20608"/>
              <wp:lineTo x="20918" y="20608"/>
              <wp:lineTo x="20918" y="0"/>
              <wp:lineTo x="0" y="0"/>
            </wp:wrapPolygon>
          </wp:wrapTight>
          <wp:docPr id="1220387511" name="Picture 122038751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600" cy="36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B9C721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308952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AE1B30"/>
    <w:multiLevelType w:val="multilevel"/>
    <w:tmpl w:val="615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C5C59"/>
    <w:multiLevelType w:val="hybridMultilevel"/>
    <w:tmpl w:val="7EFC1B3E"/>
    <w:lvl w:ilvl="0" w:tplc="1A2C61D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38366B"/>
    <w:multiLevelType w:val="multilevel"/>
    <w:tmpl w:val="A4B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A5CBF"/>
    <w:multiLevelType w:val="hybridMultilevel"/>
    <w:tmpl w:val="A5425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E2CB7"/>
    <w:multiLevelType w:val="hybridMultilevel"/>
    <w:tmpl w:val="100C0F0A"/>
    <w:lvl w:ilvl="0" w:tplc="69B6C9CC">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873660"/>
    <w:multiLevelType w:val="hybridMultilevel"/>
    <w:tmpl w:val="A0F0A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F93C43"/>
    <w:multiLevelType w:val="hybridMultilevel"/>
    <w:tmpl w:val="2872E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9354FB"/>
    <w:multiLevelType w:val="multilevel"/>
    <w:tmpl w:val="D76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00781"/>
    <w:multiLevelType w:val="hybridMultilevel"/>
    <w:tmpl w:val="5F3C0CB8"/>
    <w:lvl w:ilvl="0" w:tplc="F58C943C">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4BE7D3E"/>
    <w:multiLevelType w:val="multilevel"/>
    <w:tmpl w:val="09D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301400">
    <w:abstractNumId w:val="4"/>
  </w:num>
  <w:num w:numId="2" w16cid:durableId="2032484347">
    <w:abstractNumId w:val="11"/>
  </w:num>
  <w:num w:numId="3" w16cid:durableId="681665619">
    <w:abstractNumId w:val="9"/>
  </w:num>
  <w:num w:numId="4" w16cid:durableId="1003438971">
    <w:abstractNumId w:val="2"/>
  </w:num>
  <w:num w:numId="5" w16cid:durableId="1735618707">
    <w:abstractNumId w:val="3"/>
  </w:num>
  <w:num w:numId="6" w16cid:durableId="1883706320">
    <w:abstractNumId w:val="8"/>
  </w:num>
  <w:num w:numId="7" w16cid:durableId="797260097">
    <w:abstractNumId w:val="5"/>
  </w:num>
  <w:num w:numId="8" w16cid:durableId="2111658888">
    <w:abstractNumId w:val="7"/>
  </w:num>
  <w:num w:numId="9" w16cid:durableId="2051027029">
    <w:abstractNumId w:val="10"/>
  </w:num>
  <w:num w:numId="10" w16cid:durableId="1068068899">
    <w:abstractNumId w:val="6"/>
  </w:num>
  <w:num w:numId="11" w16cid:durableId="1618945362">
    <w:abstractNumId w:val="1"/>
  </w:num>
  <w:num w:numId="12" w16cid:durableId="46061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47"/>
    <w:rsid w:val="000023CE"/>
    <w:rsid w:val="000046EC"/>
    <w:rsid w:val="000144ED"/>
    <w:rsid w:val="00016133"/>
    <w:rsid w:val="000205E7"/>
    <w:rsid w:val="00021FF7"/>
    <w:rsid w:val="00024263"/>
    <w:rsid w:val="00025077"/>
    <w:rsid w:val="00032EE1"/>
    <w:rsid w:val="00036116"/>
    <w:rsid w:val="00041BEA"/>
    <w:rsid w:val="00045CC2"/>
    <w:rsid w:val="0005047E"/>
    <w:rsid w:val="000576BD"/>
    <w:rsid w:val="00062D54"/>
    <w:rsid w:val="000640B4"/>
    <w:rsid w:val="000645FB"/>
    <w:rsid w:val="00064CFE"/>
    <w:rsid w:val="0007729A"/>
    <w:rsid w:val="00077F3E"/>
    <w:rsid w:val="00086792"/>
    <w:rsid w:val="000A14FD"/>
    <w:rsid w:val="000A213C"/>
    <w:rsid w:val="000B356A"/>
    <w:rsid w:val="000B495C"/>
    <w:rsid w:val="000C0055"/>
    <w:rsid w:val="000C205F"/>
    <w:rsid w:val="000D4CC1"/>
    <w:rsid w:val="000D5D91"/>
    <w:rsid w:val="000E07C2"/>
    <w:rsid w:val="000E4247"/>
    <w:rsid w:val="000E7170"/>
    <w:rsid w:val="000E7535"/>
    <w:rsid w:val="000F208B"/>
    <w:rsid w:val="000F249C"/>
    <w:rsid w:val="000F398B"/>
    <w:rsid w:val="000F41D0"/>
    <w:rsid w:val="000F43B9"/>
    <w:rsid w:val="00105F17"/>
    <w:rsid w:val="001077CC"/>
    <w:rsid w:val="00110C8F"/>
    <w:rsid w:val="001172FB"/>
    <w:rsid w:val="00117E44"/>
    <w:rsid w:val="00124DD1"/>
    <w:rsid w:val="0012752C"/>
    <w:rsid w:val="0013793F"/>
    <w:rsid w:val="00137BDD"/>
    <w:rsid w:val="00146132"/>
    <w:rsid w:val="001524EB"/>
    <w:rsid w:val="001548A2"/>
    <w:rsid w:val="00164DD2"/>
    <w:rsid w:val="0017038F"/>
    <w:rsid w:val="00172054"/>
    <w:rsid w:val="00172546"/>
    <w:rsid w:val="00175E21"/>
    <w:rsid w:val="0018122B"/>
    <w:rsid w:val="00181738"/>
    <w:rsid w:val="0018384C"/>
    <w:rsid w:val="001846C1"/>
    <w:rsid w:val="00187C86"/>
    <w:rsid w:val="0019469C"/>
    <w:rsid w:val="00197B7E"/>
    <w:rsid w:val="001A34F6"/>
    <w:rsid w:val="001A4BC6"/>
    <w:rsid w:val="001B215A"/>
    <w:rsid w:val="001C0160"/>
    <w:rsid w:val="001C32F7"/>
    <w:rsid w:val="001C40D9"/>
    <w:rsid w:val="001C4DFC"/>
    <w:rsid w:val="001C62E4"/>
    <w:rsid w:val="001C68D6"/>
    <w:rsid w:val="001E5F6A"/>
    <w:rsid w:val="001E688E"/>
    <w:rsid w:val="001E6DDB"/>
    <w:rsid w:val="001E75C9"/>
    <w:rsid w:val="001E7723"/>
    <w:rsid w:val="001F066E"/>
    <w:rsid w:val="002028C4"/>
    <w:rsid w:val="002130E1"/>
    <w:rsid w:val="00221678"/>
    <w:rsid w:val="002264E1"/>
    <w:rsid w:val="002275BD"/>
    <w:rsid w:val="00230280"/>
    <w:rsid w:val="00231828"/>
    <w:rsid w:val="00233595"/>
    <w:rsid w:val="002341B8"/>
    <w:rsid w:val="002426FB"/>
    <w:rsid w:val="002471A8"/>
    <w:rsid w:val="00252C4D"/>
    <w:rsid w:val="00253AC1"/>
    <w:rsid w:val="00255302"/>
    <w:rsid w:val="00260AD3"/>
    <w:rsid w:val="002626EF"/>
    <w:rsid w:val="00273985"/>
    <w:rsid w:val="0027541D"/>
    <w:rsid w:val="002759B5"/>
    <w:rsid w:val="0028140F"/>
    <w:rsid w:val="00285F6B"/>
    <w:rsid w:val="002870A1"/>
    <w:rsid w:val="00293596"/>
    <w:rsid w:val="002A44BA"/>
    <w:rsid w:val="002B5E39"/>
    <w:rsid w:val="002C1B5A"/>
    <w:rsid w:val="002C1E46"/>
    <w:rsid w:val="002C25F0"/>
    <w:rsid w:val="002C5428"/>
    <w:rsid w:val="002C55BB"/>
    <w:rsid w:val="002D5C0B"/>
    <w:rsid w:val="002D7E14"/>
    <w:rsid w:val="002E1CBB"/>
    <w:rsid w:val="002E4CF2"/>
    <w:rsid w:val="002E6E7D"/>
    <w:rsid w:val="0030232D"/>
    <w:rsid w:val="00306F4F"/>
    <w:rsid w:val="003139E3"/>
    <w:rsid w:val="00314A89"/>
    <w:rsid w:val="00316437"/>
    <w:rsid w:val="003242FD"/>
    <w:rsid w:val="00326F79"/>
    <w:rsid w:val="003305B5"/>
    <w:rsid w:val="0033148F"/>
    <w:rsid w:val="00336473"/>
    <w:rsid w:val="00337F86"/>
    <w:rsid w:val="003432D8"/>
    <w:rsid w:val="003445CF"/>
    <w:rsid w:val="00353209"/>
    <w:rsid w:val="00360ECD"/>
    <w:rsid w:val="00361BAC"/>
    <w:rsid w:val="00361CE2"/>
    <w:rsid w:val="00362B84"/>
    <w:rsid w:val="0036365E"/>
    <w:rsid w:val="00370AD7"/>
    <w:rsid w:val="00382B50"/>
    <w:rsid w:val="00385E1D"/>
    <w:rsid w:val="0039172D"/>
    <w:rsid w:val="003932E7"/>
    <w:rsid w:val="00393F8C"/>
    <w:rsid w:val="00394DC6"/>
    <w:rsid w:val="00397587"/>
    <w:rsid w:val="003A544A"/>
    <w:rsid w:val="003A7A7F"/>
    <w:rsid w:val="003B173F"/>
    <w:rsid w:val="003B2668"/>
    <w:rsid w:val="003B37E9"/>
    <w:rsid w:val="003B7550"/>
    <w:rsid w:val="003C0398"/>
    <w:rsid w:val="003C5E63"/>
    <w:rsid w:val="003D3417"/>
    <w:rsid w:val="003D7E04"/>
    <w:rsid w:val="003E2392"/>
    <w:rsid w:val="003E24F8"/>
    <w:rsid w:val="003E3587"/>
    <w:rsid w:val="00401A0F"/>
    <w:rsid w:val="0041061F"/>
    <w:rsid w:val="00417346"/>
    <w:rsid w:val="00420F86"/>
    <w:rsid w:val="00424C5B"/>
    <w:rsid w:val="00431786"/>
    <w:rsid w:val="00435787"/>
    <w:rsid w:val="00440A76"/>
    <w:rsid w:val="00453757"/>
    <w:rsid w:val="004603C1"/>
    <w:rsid w:val="00483B02"/>
    <w:rsid w:val="00493B87"/>
    <w:rsid w:val="004A0527"/>
    <w:rsid w:val="004A6724"/>
    <w:rsid w:val="004A6FEC"/>
    <w:rsid w:val="004B065B"/>
    <w:rsid w:val="004B0FF8"/>
    <w:rsid w:val="004B2704"/>
    <w:rsid w:val="004B3253"/>
    <w:rsid w:val="004B5FB1"/>
    <w:rsid w:val="004C0317"/>
    <w:rsid w:val="004C3035"/>
    <w:rsid w:val="004C31EE"/>
    <w:rsid w:val="004C4B0E"/>
    <w:rsid w:val="004C5B80"/>
    <w:rsid w:val="004D5BC2"/>
    <w:rsid w:val="004D743D"/>
    <w:rsid w:val="004E4DA2"/>
    <w:rsid w:val="004F4F3F"/>
    <w:rsid w:val="00503173"/>
    <w:rsid w:val="00505775"/>
    <w:rsid w:val="005078A9"/>
    <w:rsid w:val="00532CC8"/>
    <w:rsid w:val="00532EE8"/>
    <w:rsid w:val="00534418"/>
    <w:rsid w:val="0053680E"/>
    <w:rsid w:val="0054033A"/>
    <w:rsid w:val="00545C78"/>
    <w:rsid w:val="00553BCC"/>
    <w:rsid w:val="00555689"/>
    <w:rsid w:val="00556E90"/>
    <w:rsid w:val="00560879"/>
    <w:rsid w:val="00562273"/>
    <w:rsid w:val="00562E0D"/>
    <w:rsid w:val="005823DA"/>
    <w:rsid w:val="005824C4"/>
    <w:rsid w:val="00584556"/>
    <w:rsid w:val="0059085D"/>
    <w:rsid w:val="00591247"/>
    <w:rsid w:val="00594D28"/>
    <w:rsid w:val="005A1E4F"/>
    <w:rsid w:val="005A44FD"/>
    <w:rsid w:val="005A49CE"/>
    <w:rsid w:val="005A6258"/>
    <w:rsid w:val="005B1B25"/>
    <w:rsid w:val="005B766F"/>
    <w:rsid w:val="005D41B9"/>
    <w:rsid w:val="005D5EE2"/>
    <w:rsid w:val="005D7B46"/>
    <w:rsid w:val="005E345F"/>
    <w:rsid w:val="005E3517"/>
    <w:rsid w:val="005E417F"/>
    <w:rsid w:val="005E6AD3"/>
    <w:rsid w:val="005F5AE2"/>
    <w:rsid w:val="006051A8"/>
    <w:rsid w:val="00605A19"/>
    <w:rsid w:val="00612AC8"/>
    <w:rsid w:val="00613D16"/>
    <w:rsid w:val="006160C8"/>
    <w:rsid w:val="00623D69"/>
    <w:rsid w:val="0063445F"/>
    <w:rsid w:val="006352C7"/>
    <w:rsid w:val="006355DE"/>
    <w:rsid w:val="006378E0"/>
    <w:rsid w:val="006463C6"/>
    <w:rsid w:val="006472B4"/>
    <w:rsid w:val="00653240"/>
    <w:rsid w:val="00660985"/>
    <w:rsid w:val="0067122B"/>
    <w:rsid w:val="0067306F"/>
    <w:rsid w:val="00674FEA"/>
    <w:rsid w:val="00680CF7"/>
    <w:rsid w:val="00687DC2"/>
    <w:rsid w:val="006933A2"/>
    <w:rsid w:val="006A0E05"/>
    <w:rsid w:val="006A235F"/>
    <w:rsid w:val="006B2031"/>
    <w:rsid w:val="006B6659"/>
    <w:rsid w:val="006C1724"/>
    <w:rsid w:val="006C5068"/>
    <w:rsid w:val="006D6E73"/>
    <w:rsid w:val="006D6E84"/>
    <w:rsid w:val="006D75D3"/>
    <w:rsid w:val="006D7FCF"/>
    <w:rsid w:val="006E0420"/>
    <w:rsid w:val="006E3565"/>
    <w:rsid w:val="006F1159"/>
    <w:rsid w:val="006F596F"/>
    <w:rsid w:val="007055BD"/>
    <w:rsid w:val="00712270"/>
    <w:rsid w:val="0071355D"/>
    <w:rsid w:val="007139E4"/>
    <w:rsid w:val="00713E57"/>
    <w:rsid w:val="00716690"/>
    <w:rsid w:val="00716DC6"/>
    <w:rsid w:val="00721C45"/>
    <w:rsid w:val="00723CCE"/>
    <w:rsid w:val="00731BA2"/>
    <w:rsid w:val="007346BF"/>
    <w:rsid w:val="0074398A"/>
    <w:rsid w:val="007469D8"/>
    <w:rsid w:val="0075011C"/>
    <w:rsid w:val="007600FA"/>
    <w:rsid w:val="007632C2"/>
    <w:rsid w:val="00764120"/>
    <w:rsid w:val="0076492C"/>
    <w:rsid w:val="00774478"/>
    <w:rsid w:val="00777F54"/>
    <w:rsid w:val="0078036B"/>
    <w:rsid w:val="00786263"/>
    <w:rsid w:val="007956CF"/>
    <w:rsid w:val="007A25EF"/>
    <w:rsid w:val="007A4FC2"/>
    <w:rsid w:val="007A735D"/>
    <w:rsid w:val="007B0B3C"/>
    <w:rsid w:val="007B5CA6"/>
    <w:rsid w:val="007C5D5B"/>
    <w:rsid w:val="007C7C2A"/>
    <w:rsid w:val="007D026F"/>
    <w:rsid w:val="007D51BA"/>
    <w:rsid w:val="007D5F49"/>
    <w:rsid w:val="007D750D"/>
    <w:rsid w:val="007E0BE8"/>
    <w:rsid w:val="007E1B90"/>
    <w:rsid w:val="007E5051"/>
    <w:rsid w:val="007E7B92"/>
    <w:rsid w:val="007F708E"/>
    <w:rsid w:val="00804E19"/>
    <w:rsid w:val="00810886"/>
    <w:rsid w:val="00811584"/>
    <w:rsid w:val="00820E66"/>
    <w:rsid w:val="008217FE"/>
    <w:rsid w:val="0084431D"/>
    <w:rsid w:val="0084711A"/>
    <w:rsid w:val="00855D2E"/>
    <w:rsid w:val="00861E13"/>
    <w:rsid w:val="00863FEE"/>
    <w:rsid w:val="00867E63"/>
    <w:rsid w:val="008707AC"/>
    <w:rsid w:val="0087293B"/>
    <w:rsid w:val="00875827"/>
    <w:rsid w:val="008828D8"/>
    <w:rsid w:val="00887B29"/>
    <w:rsid w:val="008956E1"/>
    <w:rsid w:val="008A3AF0"/>
    <w:rsid w:val="008B0C56"/>
    <w:rsid w:val="008B7C3A"/>
    <w:rsid w:val="008C5832"/>
    <w:rsid w:val="008D0083"/>
    <w:rsid w:val="008E3512"/>
    <w:rsid w:val="008E69B6"/>
    <w:rsid w:val="008F604E"/>
    <w:rsid w:val="00901AC8"/>
    <w:rsid w:val="00906CC4"/>
    <w:rsid w:val="00907B6E"/>
    <w:rsid w:val="00911EFA"/>
    <w:rsid w:val="00913C7D"/>
    <w:rsid w:val="009150BE"/>
    <w:rsid w:val="0092794E"/>
    <w:rsid w:val="00934B8D"/>
    <w:rsid w:val="00940DB8"/>
    <w:rsid w:val="00942405"/>
    <w:rsid w:val="00942621"/>
    <w:rsid w:val="0094553B"/>
    <w:rsid w:val="00946D01"/>
    <w:rsid w:val="009540F7"/>
    <w:rsid w:val="00956511"/>
    <w:rsid w:val="00967737"/>
    <w:rsid w:val="0097266E"/>
    <w:rsid w:val="00977C9E"/>
    <w:rsid w:val="00987A96"/>
    <w:rsid w:val="00990E34"/>
    <w:rsid w:val="00997C70"/>
    <w:rsid w:val="009A0DE6"/>
    <w:rsid w:val="009A1EC3"/>
    <w:rsid w:val="009A45C7"/>
    <w:rsid w:val="009A53AA"/>
    <w:rsid w:val="009A6E17"/>
    <w:rsid w:val="009A6FCD"/>
    <w:rsid w:val="009B01D0"/>
    <w:rsid w:val="009B4CFB"/>
    <w:rsid w:val="009C3F2B"/>
    <w:rsid w:val="009C5867"/>
    <w:rsid w:val="009C74FB"/>
    <w:rsid w:val="009D0187"/>
    <w:rsid w:val="009D7EEC"/>
    <w:rsid w:val="009E0BE1"/>
    <w:rsid w:val="009E1D67"/>
    <w:rsid w:val="009F1616"/>
    <w:rsid w:val="009F436B"/>
    <w:rsid w:val="00A02AA2"/>
    <w:rsid w:val="00A05FF3"/>
    <w:rsid w:val="00A075B2"/>
    <w:rsid w:val="00A11D81"/>
    <w:rsid w:val="00A129F2"/>
    <w:rsid w:val="00A222A5"/>
    <w:rsid w:val="00A227C6"/>
    <w:rsid w:val="00A30B40"/>
    <w:rsid w:val="00A329CC"/>
    <w:rsid w:val="00A47695"/>
    <w:rsid w:val="00A5771C"/>
    <w:rsid w:val="00A60606"/>
    <w:rsid w:val="00A63DB0"/>
    <w:rsid w:val="00A63EE4"/>
    <w:rsid w:val="00A66557"/>
    <w:rsid w:val="00A667F4"/>
    <w:rsid w:val="00A72C71"/>
    <w:rsid w:val="00A76DF0"/>
    <w:rsid w:val="00A82054"/>
    <w:rsid w:val="00A829F4"/>
    <w:rsid w:val="00A85B46"/>
    <w:rsid w:val="00A905B9"/>
    <w:rsid w:val="00A95015"/>
    <w:rsid w:val="00A95053"/>
    <w:rsid w:val="00A9606D"/>
    <w:rsid w:val="00AA2EBF"/>
    <w:rsid w:val="00AC0559"/>
    <w:rsid w:val="00AD1FEB"/>
    <w:rsid w:val="00AD6A95"/>
    <w:rsid w:val="00AE1D82"/>
    <w:rsid w:val="00AE20B1"/>
    <w:rsid w:val="00AE32AB"/>
    <w:rsid w:val="00AE3FAC"/>
    <w:rsid w:val="00AE6948"/>
    <w:rsid w:val="00AF5500"/>
    <w:rsid w:val="00B006DE"/>
    <w:rsid w:val="00B01D4D"/>
    <w:rsid w:val="00B02E51"/>
    <w:rsid w:val="00B04987"/>
    <w:rsid w:val="00B0580C"/>
    <w:rsid w:val="00B10824"/>
    <w:rsid w:val="00B11EAA"/>
    <w:rsid w:val="00B16ACC"/>
    <w:rsid w:val="00B2397A"/>
    <w:rsid w:val="00B2652E"/>
    <w:rsid w:val="00B31D3F"/>
    <w:rsid w:val="00B323BF"/>
    <w:rsid w:val="00B332D4"/>
    <w:rsid w:val="00B34438"/>
    <w:rsid w:val="00B37AC5"/>
    <w:rsid w:val="00B40C26"/>
    <w:rsid w:val="00B45F8D"/>
    <w:rsid w:val="00B51A3C"/>
    <w:rsid w:val="00B53BB8"/>
    <w:rsid w:val="00B6230C"/>
    <w:rsid w:val="00B67900"/>
    <w:rsid w:val="00B71FEC"/>
    <w:rsid w:val="00B7211A"/>
    <w:rsid w:val="00B80020"/>
    <w:rsid w:val="00B8052F"/>
    <w:rsid w:val="00B86A8A"/>
    <w:rsid w:val="00B9201E"/>
    <w:rsid w:val="00B942BC"/>
    <w:rsid w:val="00B96D8E"/>
    <w:rsid w:val="00BA4E13"/>
    <w:rsid w:val="00BA6E23"/>
    <w:rsid w:val="00BB3869"/>
    <w:rsid w:val="00BB4AF2"/>
    <w:rsid w:val="00BB64F9"/>
    <w:rsid w:val="00BC4F9A"/>
    <w:rsid w:val="00BC7803"/>
    <w:rsid w:val="00BD4652"/>
    <w:rsid w:val="00BD56A7"/>
    <w:rsid w:val="00BD69A2"/>
    <w:rsid w:val="00BE5706"/>
    <w:rsid w:val="00BF0482"/>
    <w:rsid w:val="00C04AD2"/>
    <w:rsid w:val="00C0525C"/>
    <w:rsid w:val="00C05689"/>
    <w:rsid w:val="00C07241"/>
    <w:rsid w:val="00C10B83"/>
    <w:rsid w:val="00C13337"/>
    <w:rsid w:val="00C15BD6"/>
    <w:rsid w:val="00C21D99"/>
    <w:rsid w:val="00C24FE3"/>
    <w:rsid w:val="00C27928"/>
    <w:rsid w:val="00C32B8A"/>
    <w:rsid w:val="00C32FE4"/>
    <w:rsid w:val="00C34042"/>
    <w:rsid w:val="00C34221"/>
    <w:rsid w:val="00C35596"/>
    <w:rsid w:val="00C571AE"/>
    <w:rsid w:val="00C6052F"/>
    <w:rsid w:val="00C60790"/>
    <w:rsid w:val="00C641FA"/>
    <w:rsid w:val="00C671A7"/>
    <w:rsid w:val="00C74C80"/>
    <w:rsid w:val="00C754E6"/>
    <w:rsid w:val="00C808A6"/>
    <w:rsid w:val="00C828F5"/>
    <w:rsid w:val="00C83E53"/>
    <w:rsid w:val="00C863FB"/>
    <w:rsid w:val="00C87136"/>
    <w:rsid w:val="00C876A6"/>
    <w:rsid w:val="00C90A71"/>
    <w:rsid w:val="00C927B2"/>
    <w:rsid w:val="00C960BC"/>
    <w:rsid w:val="00C9787C"/>
    <w:rsid w:val="00CB69A6"/>
    <w:rsid w:val="00CB7017"/>
    <w:rsid w:val="00CB7CC7"/>
    <w:rsid w:val="00CC4D30"/>
    <w:rsid w:val="00CC547C"/>
    <w:rsid w:val="00CC6EA5"/>
    <w:rsid w:val="00CC7B58"/>
    <w:rsid w:val="00CE06D5"/>
    <w:rsid w:val="00CE20B1"/>
    <w:rsid w:val="00CF0D87"/>
    <w:rsid w:val="00CF1217"/>
    <w:rsid w:val="00CF2992"/>
    <w:rsid w:val="00CF43EE"/>
    <w:rsid w:val="00D0033B"/>
    <w:rsid w:val="00D067FF"/>
    <w:rsid w:val="00D11EC0"/>
    <w:rsid w:val="00D127F9"/>
    <w:rsid w:val="00D22699"/>
    <w:rsid w:val="00D23963"/>
    <w:rsid w:val="00D250BC"/>
    <w:rsid w:val="00D334D8"/>
    <w:rsid w:val="00D3463B"/>
    <w:rsid w:val="00D6127D"/>
    <w:rsid w:val="00D71E9E"/>
    <w:rsid w:val="00D77B95"/>
    <w:rsid w:val="00D80A1F"/>
    <w:rsid w:val="00D8380E"/>
    <w:rsid w:val="00D85455"/>
    <w:rsid w:val="00D85AAC"/>
    <w:rsid w:val="00D91DF8"/>
    <w:rsid w:val="00D93370"/>
    <w:rsid w:val="00D93FAF"/>
    <w:rsid w:val="00DA0053"/>
    <w:rsid w:val="00DA29A2"/>
    <w:rsid w:val="00DB05FC"/>
    <w:rsid w:val="00DC1F09"/>
    <w:rsid w:val="00DC2F6B"/>
    <w:rsid w:val="00DD25F2"/>
    <w:rsid w:val="00DE1A84"/>
    <w:rsid w:val="00DE3E49"/>
    <w:rsid w:val="00DE4C9B"/>
    <w:rsid w:val="00DE5C99"/>
    <w:rsid w:val="00DF0C1D"/>
    <w:rsid w:val="00DF148C"/>
    <w:rsid w:val="00DF5B3A"/>
    <w:rsid w:val="00DF66C7"/>
    <w:rsid w:val="00DF7C7D"/>
    <w:rsid w:val="00E01381"/>
    <w:rsid w:val="00E03CCD"/>
    <w:rsid w:val="00E129C3"/>
    <w:rsid w:val="00E1651D"/>
    <w:rsid w:val="00E17B21"/>
    <w:rsid w:val="00E2326D"/>
    <w:rsid w:val="00E30290"/>
    <w:rsid w:val="00E32E48"/>
    <w:rsid w:val="00E33D3C"/>
    <w:rsid w:val="00E46DFA"/>
    <w:rsid w:val="00E50F7B"/>
    <w:rsid w:val="00E6032F"/>
    <w:rsid w:val="00E700DA"/>
    <w:rsid w:val="00E72D00"/>
    <w:rsid w:val="00E75043"/>
    <w:rsid w:val="00E75995"/>
    <w:rsid w:val="00E75D90"/>
    <w:rsid w:val="00E75FF1"/>
    <w:rsid w:val="00E765C6"/>
    <w:rsid w:val="00E91B97"/>
    <w:rsid w:val="00E963ED"/>
    <w:rsid w:val="00EA6752"/>
    <w:rsid w:val="00EB2E6D"/>
    <w:rsid w:val="00EC0368"/>
    <w:rsid w:val="00EC2D5A"/>
    <w:rsid w:val="00EC4947"/>
    <w:rsid w:val="00EC6F83"/>
    <w:rsid w:val="00ED38D4"/>
    <w:rsid w:val="00EE0052"/>
    <w:rsid w:val="00EE5648"/>
    <w:rsid w:val="00EF2A01"/>
    <w:rsid w:val="00EF415E"/>
    <w:rsid w:val="00EF6FDB"/>
    <w:rsid w:val="00F1344B"/>
    <w:rsid w:val="00F13DC9"/>
    <w:rsid w:val="00F17CDA"/>
    <w:rsid w:val="00F2571F"/>
    <w:rsid w:val="00F27671"/>
    <w:rsid w:val="00F332A8"/>
    <w:rsid w:val="00F36461"/>
    <w:rsid w:val="00F41781"/>
    <w:rsid w:val="00F434C6"/>
    <w:rsid w:val="00F445E8"/>
    <w:rsid w:val="00F55183"/>
    <w:rsid w:val="00F55655"/>
    <w:rsid w:val="00F674F8"/>
    <w:rsid w:val="00F74BB4"/>
    <w:rsid w:val="00F74DD4"/>
    <w:rsid w:val="00F85790"/>
    <w:rsid w:val="00F87E7D"/>
    <w:rsid w:val="00FA165F"/>
    <w:rsid w:val="00FA4A6F"/>
    <w:rsid w:val="00FA7160"/>
    <w:rsid w:val="00FA72DD"/>
    <w:rsid w:val="00FA7531"/>
    <w:rsid w:val="00FB6D5F"/>
    <w:rsid w:val="00FC1AF3"/>
    <w:rsid w:val="00FC282B"/>
    <w:rsid w:val="00FC3EFB"/>
    <w:rsid w:val="00FC7DF0"/>
    <w:rsid w:val="00FD03C8"/>
    <w:rsid w:val="00FD1109"/>
    <w:rsid w:val="00FD1D97"/>
    <w:rsid w:val="00FD325D"/>
    <w:rsid w:val="00FD7E9C"/>
    <w:rsid w:val="00FE089C"/>
    <w:rsid w:val="00FE59D5"/>
    <w:rsid w:val="00FE68F2"/>
    <w:rsid w:val="00FF027A"/>
    <w:rsid w:val="00FF723B"/>
    <w:rsid w:val="0646C17A"/>
    <w:rsid w:val="0761848C"/>
    <w:rsid w:val="0F6A9CFB"/>
    <w:rsid w:val="112D4D30"/>
    <w:rsid w:val="2082D04A"/>
    <w:rsid w:val="25F8349F"/>
    <w:rsid w:val="28B1D9A5"/>
    <w:rsid w:val="2E17E20C"/>
    <w:rsid w:val="3194D231"/>
    <w:rsid w:val="327F8978"/>
    <w:rsid w:val="34655E33"/>
    <w:rsid w:val="378934B3"/>
    <w:rsid w:val="453796D1"/>
    <w:rsid w:val="462B4AB2"/>
    <w:rsid w:val="53148FB8"/>
    <w:rsid w:val="5DC1F158"/>
    <w:rsid w:val="69D61C16"/>
    <w:rsid w:val="6E63E9AF"/>
    <w:rsid w:val="6F634D40"/>
    <w:rsid w:val="71774054"/>
    <w:rsid w:val="7E11CC0B"/>
    <w:rsid w:val="7E8E5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A30"/>
  <w15:chartTrackingRefBased/>
  <w15:docId w15:val="{91C64D43-E032-40F2-B84B-51167F63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A2"/>
  </w:style>
  <w:style w:type="paragraph" w:styleId="Heading1">
    <w:name w:val="heading 1"/>
    <w:basedOn w:val="Normal"/>
    <w:next w:val="Normal"/>
    <w:link w:val="Heading1Char"/>
    <w:uiPriority w:val="9"/>
    <w:qFormat/>
    <w:rsid w:val="00EC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947"/>
    <w:rPr>
      <w:rFonts w:eastAsiaTheme="majorEastAsia" w:cstheme="majorBidi"/>
      <w:color w:val="272727" w:themeColor="text1" w:themeTint="D8"/>
    </w:rPr>
  </w:style>
  <w:style w:type="paragraph" w:styleId="Title">
    <w:name w:val="Title"/>
    <w:basedOn w:val="Normal"/>
    <w:next w:val="Normal"/>
    <w:link w:val="TitleChar"/>
    <w:uiPriority w:val="10"/>
    <w:qFormat/>
    <w:rsid w:val="00EC4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947"/>
    <w:pPr>
      <w:spacing w:before="160"/>
      <w:jc w:val="center"/>
    </w:pPr>
    <w:rPr>
      <w:i/>
      <w:iCs/>
      <w:color w:val="404040" w:themeColor="text1" w:themeTint="BF"/>
    </w:rPr>
  </w:style>
  <w:style w:type="character" w:customStyle="1" w:styleId="QuoteChar">
    <w:name w:val="Quote Char"/>
    <w:basedOn w:val="DefaultParagraphFont"/>
    <w:link w:val="Quote"/>
    <w:uiPriority w:val="29"/>
    <w:rsid w:val="00EC4947"/>
    <w:rPr>
      <w:i/>
      <w:iCs/>
      <w:color w:val="404040" w:themeColor="text1" w:themeTint="BF"/>
    </w:rPr>
  </w:style>
  <w:style w:type="paragraph" w:styleId="ListParagraph">
    <w:name w:val="List Paragraph"/>
    <w:basedOn w:val="Normal"/>
    <w:uiPriority w:val="34"/>
    <w:qFormat/>
    <w:rsid w:val="00EC4947"/>
    <w:pPr>
      <w:ind w:left="720"/>
      <w:contextualSpacing/>
    </w:pPr>
  </w:style>
  <w:style w:type="character" w:styleId="IntenseEmphasis">
    <w:name w:val="Intense Emphasis"/>
    <w:basedOn w:val="DefaultParagraphFont"/>
    <w:uiPriority w:val="21"/>
    <w:qFormat/>
    <w:rsid w:val="00EC4947"/>
    <w:rPr>
      <w:i/>
      <w:iCs/>
      <w:color w:val="0F4761" w:themeColor="accent1" w:themeShade="BF"/>
    </w:rPr>
  </w:style>
  <w:style w:type="paragraph" w:styleId="IntenseQuote">
    <w:name w:val="Intense Quote"/>
    <w:basedOn w:val="Normal"/>
    <w:next w:val="Normal"/>
    <w:link w:val="IntenseQuoteChar"/>
    <w:uiPriority w:val="30"/>
    <w:qFormat/>
    <w:rsid w:val="00EC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947"/>
    <w:rPr>
      <w:i/>
      <w:iCs/>
      <w:color w:val="0F4761" w:themeColor="accent1" w:themeShade="BF"/>
    </w:rPr>
  </w:style>
  <w:style w:type="character" w:styleId="IntenseReference">
    <w:name w:val="Intense Reference"/>
    <w:basedOn w:val="DefaultParagraphFont"/>
    <w:uiPriority w:val="32"/>
    <w:qFormat/>
    <w:rsid w:val="00EC4947"/>
    <w:rPr>
      <w:b/>
      <w:bCs/>
      <w:smallCaps/>
      <w:color w:val="0F4761" w:themeColor="accent1" w:themeShade="BF"/>
      <w:spacing w:val="5"/>
    </w:rPr>
  </w:style>
  <w:style w:type="table" w:styleId="TableGrid">
    <w:name w:val="Table Grid"/>
    <w:basedOn w:val="TableNormal"/>
    <w:uiPriority w:val="39"/>
    <w:rsid w:val="00EC4947"/>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4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0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420"/>
  </w:style>
  <w:style w:type="paragraph" w:styleId="Footer">
    <w:name w:val="footer"/>
    <w:basedOn w:val="Normal"/>
    <w:link w:val="FooterChar"/>
    <w:uiPriority w:val="99"/>
    <w:unhideWhenUsed/>
    <w:rsid w:val="006E0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420"/>
  </w:style>
  <w:style w:type="paragraph" w:styleId="NormalWeb">
    <w:name w:val="Normal (Web)"/>
    <w:basedOn w:val="Normal"/>
    <w:uiPriority w:val="99"/>
    <w:semiHidden/>
    <w:unhideWhenUsed/>
    <w:rsid w:val="00B006DE"/>
    <w:rPr>
      <w:rFonts w:ascii="Times New Roman" w:hAnsi="Times New Roman" w:cs="Times New Roman"/>
    </w:rPr>
  </w:style>
  <w:style w:type="character" w:styleId="Hyperlink">
    <w:name w:val="Hyperlink"/>
    <w:basedOn w:val="DefaultParagraphFont"/>
    <w:uiPriority w:val="99"/>
    <w:unhideWhenUsed/>
    <w:rsid w:val="00B006DE"/>
    <w:rPr>
      <w:color w:val="467886" w:themeColor="hyperlink"/>
      <w:u w:val="single"/>
    </w:rPr>
  </w:style>
  <w:style w:type="character" w:styleId="UnresolvedMention">
    <w:name w:val="Unresolved Mention"/>
    <w:basedOn w:val="DefaultParagraphFont"/>
    <w:uiPriority w:val="99"/>
    <w:semiHidden/>
    <w:unhideWhenUsed/>
    <w:rsid w:val="00B006DE"/>
    <w:rPr>
      <w:color w:val="605E5C"/>
      <w:shd w:val="clear" w:color="auto" w:fill="E1DFDD"/>
    </w:rPr>
  </w:style>
  <w:style w:type="paragraph" w:styleId="Revision">
    <w:name w:val="Revision"/>
    <w:hidden/>
    <w:uiPriority w:val="99"/>
    <w:semiHidden/>
    <w:rsid w:val="00911EFA"/>
    <w:pPr>
      <w:spacing w:after="0" w:line="240" w:lineRule="auto"/>
    </w:pPr>
  </w:style>
  <w:style w:type="paragraph" w:styleId="ListBullet">
    <w:name w:val="List Bullet"/>
    <w:basedOn w:val="Normal"/>
    <w:uiPriority w:val="99"/>
    <w:semiHidden/>
    <w:unhideWhenUsed/>
    <w:rsid w:val="00786263"/>
    <w:pPr>
      <w:numPr>
        <w:numId w:val="11"/>
      </w:numPr>
      <w:contextualSpacing/>
    </w:pPr>
  </w:style>
  <w:style w:type="paragraph" w:styleId="ListBullet2">
    <w:name w:val="List Bullet 2"/>
    <w:basedOn w:val="Normal"/>
    <w:uiPriority w:val="99"/>
    <w:unhideWhenUsed/>
    <w:rsid w:val="009A0DE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b2e34d021e5a140b9fb6c995abc2061a">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3644498f5b26e069363960214d0ef5b1"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Additionalinformation xmlns="7b599973-69e8-4ad2-959d-f8c2140b2ffc" xsi:nil="true"/>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63</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27942-87CD-41C5-9D02-0CEDB1D28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748A6-38FF-4707-A057-870A76C7FF1B}">
  <ds:schemaRefs>
    <ds:schemaRef ds:uri="http://schemas.microsoft.com/office/2006/metadata/properties"/>
    <ds:schemaRef ds:uri="http://schemas.microsoft.com/office/infopath/2007/PartnerControls"/>
    <ds:schemaRef ds:uri="525413a7-c6dd-413c-8747-dd3127a98452"/>
    <ds:schemaRef ds:uri="7b599973-69e8-4ad2-959d-f8c2140b2ffc"/>
  </ds:schemaRefs>
</ds:datastoreItem>
</file>

<file path=customXml/itemProps3.xml><?xml version="1.0" encoding="utf-8"?>
<ds:datastoreItem xmlns:ds="http://schemas.openxmlformats.org/officeDocument/2006/customXml" ds:itemID="{253EDF4F-02F4-4ABA-B182-82D3F556B652}">
  <ds:schemaRefs>
    <ds:schemaRef ds:uri="http://schemas.openxmlformats.org/officeDocument/2006/bibliography"/>
  </ds:schemaRefs>
</ds:datastoreItem>
</file>

<file path=customXml/itemProps4.xml><?xml version="1.0" encoding="utf-8"?>
<ds:datastoreItem xmlns:ds="http://schemas.openxmlformats.org/officeDocument/2006/customXml" ds:itemID="{BCC71B25-E931-4139-ACBD-6928CA863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2333</Words>
  <Characters>14167</Characters>
  <Application>Microsoft Office Word</Application>
  <DocSecurity>0</DocSecurity>
  <Lines>442</Lines>
  <Paragraphs>163</Paragraphs>
  <ScaleCrop>false</ScaleCrop>
  <HeadingPairs>
    <vt:vector size="2" baseType="variant">
      <vt:variant>
        <vt:lpstr>Title</vt:lpstr>
      </vt:variant>
      <vt:variant>
        <vt:i4>1</vt:i4>
      </vt:variant>
    </vt:vector>
  </HeadingPairs>
  <TitlesOfParts>
    <vt:vector size="1" baseType="lpstr">
      <vt:lpstr>Submission 38 - Westpac - Housing supply regulation - Public inquiry</vt:lpstr>
    </vt:vector>
  </TitlesOfParts>
  <Company>Westpac</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Westpac - Housing supply regulation - Public inquiry</dc:title>
  <dc:subject/>
  <dc:creator>Westpac</dc:creator>
  <cp:keywords/>
  <dc:description/>
  <cp:lastModifiedBy>Chris Alston</cp:lastModifiedBy>
  <cp:revision>3</cp:revision>
  <dcterms:created xsi:type="dcterms:W3CDTF">2026-06-24T01:11:00Z</dcterms:created>
  <dcterms:modified xsi:type="dcterms:W3CDTF">2026-06-24T01:14:00Z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2026-06-03T02:43:46Z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4b3cd2bc-6381-4623-bfa6-7946ded6ecca</vt:lpwstr>
  </property>
  <property fmtid="{D5CDD505-2E9C-101B-9397-08002B2CF9AE}" pid="8" name="MSIP_Label_6555cfae-cb2a-4680-b088-01ee30167f3b_ContentBits">
    <vt:lpwstr>0</vt:lpwstr>
  </property>
  <property fmtid="{D5CDD505-2E9C-101B-9397-08002B2CF9AE}" pid="9" name="MSIP_Label_6555cfae-cb2a-4680-b088-01ee30167f3b_Tag">
    <vt:lpwstr>10, 0, 1, 1</vt:lpwstr>
  </property>
  <property fmtid="{D5CDD505-2E9C-101B-9397-08002B2CF9AE}" pid="10" name="ContentTypeId">
    <vt:lpwstr>0x010100ABBFA252848DF74891DCCA3FEC5FB110</vt:lpwstr>
  </property>
  <property fmtid="{D5CDD505-2E9C-101B-9397-08002B2CF9AE}" pid="11" name="MediaServiceImageTags">
    <vt:lpwstr/>
  </property>
  <property fmtid="{D5CDD505-2E9C-101B-9397-08002B2CF9AE}" pid="12" name="RevIMBCS">
    <vt:lpwstr>1;#Unclassified|3955eeb1-2d18-4582-aeb2-00144ec3aaf5</vt:lpwstr>
  </property>
  <property fmtid="{D5CDD505-2E9C-101B-9397-08002B2CF9AE}" pid="13" name="MSIP_Label_c1f2b1ce-4212-46db-a901-dd8453f57141_Enabled">
    <vt:lpwstr>true</vt:lpwstr>
  </property>
  <property fmtid="{D5CDD505-2E9C-101B-9397-08002B2CF9AE}" pid="14" name="MSIP_Label_c1f2b1ce-4212-46db-a901-dd8453f57141_SetDate">
    <vt:lpwstr>2026-06-24T01:11:29Z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3b11b377-36a3-4fc9-a467-d2dda872f91d</vt:lpwstr>
  </property>
  <property fmtid="{D5CDD505-2E9C-101B-9397-08002B2CF9AE}" pid="19" name="MSIP_Label_c1f2b1ce-4212-46db-a901-dd8453f57141_ContentBits">
    <vt:lpwstr>0</vt:lpwstr>
  </property>
  <property fmtid="{D5CDD505-2E9C-101B-9397-08002B2CF9AE}" pid="20" name="MSIP_Label_c1f2b1ce-4212-46db-a901-dd8453f57141_Tag">
    <vt:lpwstr>10, 0, 1, 1</vt:lpwstr>
  </property>
</Properties>
</file>