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31F5" w14:textId="39A93E29" w:rsidR="00C63A9C" w:rsidRDefault="00000000" w:rsidP="005F0F02">
      <w:pPr>
        <w:ind w:right="866"/>
        <w:jc w:val="right"/>
        <w:rPr>
          <w:rFonts w:ascii="Arial" w:hAnsi="Arial"/>
        </w:rPr>
      </w:pPr>
      <w:r>
        <w:rPr>
          <w:noProof/>
        </w:rPr>
        <w:pict w14:anchorId="40352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Centre of Policy Studies (CoPS) logo - Since 1975" style="position:absolute;left:0;text-align:left;margin-left:22.5pt;margin-top:-22.7pt;width:158.25pt;height:95.25pt;z-index:251666432;mso-position-horizontal-relative:margin;mso-position-vertical:absolute;mso-position-vertical-relative:margin">
            <v:imagedata r:id="rId11" o:title="new CoPS logo"/>
            <w10:wrap type="square" anchorx="margin" anchory="margin"/>
          </v:shape>
        </w:pict>
      </w:r>
      <w:r>
        <w:rPr>
          <w:noProof/>
        </w:rPr>
        <w:pict w14:anchorId="52005EBD">
          <v:rect id="Rectangle 9" o:spid="_x0000_s2061" style="position:absolute;left:0;text-align:left;margin-left:-54pt;margin-top:257.2pt;width:596.6pt;height:57.75pt;z-index:251661312;visibility:visible;mso-width-relative:margin;mso-height-relative:margin;v-text-anchor:middle" wrapcoords="-27 0 -27 21319 21600 21319 21600 0 -2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" fillcolor="#173781" stroked="f">
            <w10:wrap type="through"/>
          </v:rect>
        </w:pict>
      </w:r>
      <w:r>
        <w:rPr>
          <w:rFonts w:ascii="Arial" w:hAnsi="Arial"/>
        </w:rPr>
        <w:pict w14:anchorId="18EDD314">
          <v:shape id="_x0000_i1025" type="#_x0000_t75" alt="Victoria University Melbourne Australia logo" style="width:141.75pt;height:50.25pt;mso-position-horizontal:absolute" fillcolor="window">
            <v:imagedata r:id="rId12" o:title=""/>
          </v:shape>
        </w:pict>
      </w:r>
    </w:p>
    <w:p w14:paraId="767D888D" w14:textId="0E57EFE0" w:rsidR="00C63A9C" w:rsidRDefault="00000000">
      <w:pPr>
        <w:ind w:left="567" w:right="567"/>
        <w:rPr>
          <w:rFonts w:ascii="Arial" w:hAnsi="Arial"/>
          <w:color w:val="000000"/>
          <w:sz w:val="28"/>
        </w:rPr>
      </w:pPr>
      <w:r>
        <w:rPr>
          <w:noProof/>
        </w:rPr>
        <w:pict w14:anchorId="6049BECA">
          <v:shapetype id="_x0000_t202" coordsize="21600,21600" o:spt="202" path="m,l,21600r21600,l21600,xe">
            <v:stroke joinstyle="miter"/>
            <v:path gradientshapeok="t" o:connecttype="rect"/>
          </v:shapetype>
          <v:shape id="Text Box 7" o:spid="_x0000_s2060" type="#_x0000_t202" style="position:absolute;left:0;text-align:left;margin-left:-11.6pt;margin-top:29.35pt;width:595.4pt;height:89.9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" filled="f" stroked="f">
            <v:textbox style="mso-next-textbox:#Text Box 7">
              <w:txbxContent>
                <w:p w14:paraId="623340EE" w14:textId="77777777" w:rsidR="00C63A9C" w:rsidRPr="00B24A78" w:rsidRDefault="00C63A9C" w:rsidP="00B24A78">
                  <w:pPr>
                    <w:jc w:val="center"/>
                    <w:rPr>
                      <w:rFonts w:ascii="Arial" w:hAnsi="Arial" w:cs="Arial"/>
                      <w:color w:val="C82613"/>
                    </w:rPr>
                  </w:pPr>
                </w:p>
                <w:p w14:paraId="634EE557" w14:textId="77777777" w:rsidR="00C63A9C" w:rsidRPr="00B24A78" w:rsidRDefault="00C63A9C" w:rsidP="007B23B6">
                  <w:pPr>
                    <w:jc w:val="center"/>
                    <w:rPr>
                      <w:b/>
                    </w:rPr>
                  </w:pPr>
                  <w:r w:rsidRPr="00B24A78">
                    <w:rPr>
                      <w:rFonts w:ascii="Arial" w:hAnsi="Arial" w:cs="Arial"/>
                      <w:color w:val="C82613"/>
                    </w:rPr>
                    <w:t xml:space="preserve"> </w:t>
                  </w:r>
                  <w:r w:rsidRPr="00C55520">
                    <w:rPr>
                      <w:rFonts w:ascii="Arial" w:hAnsi="Arial" w:cs="Arial"/>
                      <w:b/>
                      <w:sz w:val="44"/>
                      <w:szCs w:val="44"/>
                      <w:lang w:val="en-GB"/>
                    </w:rPr>
                    <w:t xml:space="preserve">Modelling Heavy Vehicle Reforms in </w:t>
                  </w:r>
                  <w:r>
                    <w:rPr>
                      <w:rFonts w:ascii="Arial" w:hAnsi="Arial" w:cs="Arial"/>
                      <w:b/>
                      <w:sz w:val="44"/>
                      <w:szCs w:val="44"/>
                      <w:lang w:val="en-GB"/>
                    </w:rPr>
                    <w:br/>
                  </w:r>
                  <w:r w:rsidRPr="00C55520">
                    <w:rPr>
                      <w:rFonts w:ascii="Arial" w:hAnsi="Arial" w:cs="Arial"/>
                      <w:b/>
                      <w:sz w:val="44"/>
                      <w:szCs w:val="44"/>
                      <w:lang w:val="en-GB"/>
                    </w:rPr>
                    <w:t>Australia using VURMTAX</w:t>
                  </w:r>
                </w:p>
              </w:txbxContent>
            </v:textbox>
            <w10:wrap type="square"/>
          </v:shape>
        </w:pict>
      </w:r>
    </w:p>
    <w:p w14:paraId="48EC6F80" w14:textId="77777777" w:rsidR="00C63A9C" w:rsidRPr="000C153D" w:rsidRDefault="00C63A9C" w:rsidP="000C153D">
      <w:pPr>
        <w:rPr>
          <w:rFonts w:ascii="Arial" w:hAnsi="Arial"/>
          <w:sz w:val="28"/>
        </w:rPr>
      </w:pPr>
    </w:p>
    <w:p w14:paraId="317E5918" w14:textId="1C68200F" w:rsidR="00C63A9C" w:rsidRPr="000C153D" w:rsidRDefault="00000000" w:rsidP="000C153D">
      <w:pPr>
        <w:rPr>
          <w:rFonts w:ascii="Arial" w:hAnsi="Arial"/>
          <w:sz w:val="28"/>
        </w:rPr>
      </w:pPr>
      <w:r>
        <w:rPr>
          <w:noProof/>
        </w:rPr>
        <w:pict w14:anchorId="082939E8">
          <v:shape id="Picture 5" o:spid="_x0000_s2059" type="#_x0000_t75" style="position:absolute;left:0;text-align:left;margin-left:-22.2pt;margin-top:96.55pt;width:798.35pt;height:358.95pt;z-index:251659264;visibility:visible">
            <v:imagedata r:id="rId13" o:title=""/>
          </v:shape>
        </w:pict>
      </w:r>
      <w:r>
        <w:rPr>
          <w:noProof/>
        </w:rPr>
        <w:pict w14:anchorId="733F5917">
          <v:shape id="Text Box 8" o:spid="_x0000_s2062" type="#_x0000_t202" style="position:absolute;left:0;text-align:left;margin-left:-11.4pt;margin-top:51.65pt;width:594.9pt;height:44.9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" filled="f" stroked="f">
            <v:textbox style="mso-next-textbox:#Text Box 8">
              <w:txbxContent>
                <w:p w14:paraId="76C768F3" w14:textId="77777777" w:rsidR="00C63A9C" w:rsidRDefault="00C63A9C" w:rsidP="00DA3343">
                  <w:pPr>
                    <w:tabs>
                      <w:tab w:val="right" w:pos="10774"/>
                    </w:tabs>
                    <w:spacing w:before="80"/>
                    <w:ind w:left="567" w:right="567"/>
                    <w:jc w:val="center"/>
                    <w:rPr>
                      <w:rFonts w:ascii="Arial" w:hAnsi="Arial"/>
                      <w:color w:val="000000"/>
                      <w:position w:val="10"/>
                      <w:sz w:val="28"/>
                    </w:rPr>
                  </w:pPr>
                  <w:r>
                    <w:rPr>
                      <w:rFonts w:ascii="Arial" w:hAnsi="Arial" w:cs="Arial"/>
                      <w:b/>
                      <w:color w:val="FFFFFF"/>
                      <w:sz w:val="36"/>
                      <w:szCs w:val="36"/>
                    </w:rPr>
                    <w:t>CoPS Working Paper No. G-368</w:t>
                  </w:r>
                  <w:r w:rsidRPr="003C0084">
                    <w:rPr>
                      <w:rFonts w:ascii="Arial" w:hAnsi="Arial"/>
                      <w:b/>
                      <w:color w:val="FFFFFF"/>
                      <w:sz w:val="36"/>
                      <w:szCs w:val="36"/>
                    </w:rPr>
                    <w:t xml:space="preserve">, </w:t>
                  </w:r>
                  <w:r>
                    <w:rPr>
                      <w:rFonts w:ascii="Arial" w:hAnsi="Arial"/>
                      <w:b/>
                      <w:color w:val="FFFFFF"/>
                      <w:sz w:val="36"/>
                      <w:szCs w:val="36"/>
                    </w:rPr>
                    <w:t>June 2026</w:t>
                  </w:r>
                </w:p>
                <w:p w14:paraId="5B122571" w14:textId="77777777" w:rsidR="00C63A9C" w:rsidRPr="00DF2CA4" w:rsidRDefault="00C63A9C" w:rsidP="00DF4EC7">
                  <w:pPr>
                    <w:spacing w:line="360" w:lineRule="auto"/>
                    <w:jc w:val="center"/>
                    <w:rPr>
                      <w:rStyle w:val="IntenseReference"/>
                      <w:rFonts w:cs="Arial"/>
                      <w:b w:val="0"/>
                      <w:sz w:val="36"/>
                      <w:szCs w:val="36"/>
                    </w:rPr>
                  </w:pPr>
                </w:p>
              </w:txbxContent>
            </v:textbox>
            <w10:wrap type="square"/>
          </v:shape>
        </w:pict>
      </w:r>
    </w:p>
    <w:p w14:paraId="572CAE28" w14:textId="19C548D8" w:rsidR="00C63A9C" w:rsidRPr="000C153D" w:rsidRDefault="00C63A9C" w:rsidP="000C153D">
      <w:pPr>
        <w:rPr>
          <w:rFonts w:ascii="Arial" w:hAnsi="Arial"/>
          <w:sz w:val="28"/>
        </w:rPr>
      </w:pPr>
    </w:p>
    <w:p w14:paraId="68221676" w14:textId="2A8C0089" w:rsidR="00C63A9C" w:rsidRPr="000C153D" w:rsidRDefault="00000000" w:rsidP="000C153D">
      <w:pPr>
        <w:rPr>
          <w:rFonts w:ascii="Arial" w:hAnsi="Arial"/>
          <w:sz w:val="28"/>
        </w:rPr>
      </w:pPr>
      <w:r>
        <w:rPr>
          <w:noProof/>
        </w:rPr>
        <w:pict w14:anchorId="309F29B0">
          <v:shape id="Text Box 2" o:spid="_x0000_s2064" type="#_x0000_t202" style="position:absolute;left:0;text-align:left;margin-left:62pt;margin-top:9.45pt;width:463.3pt;height:309.3pt;z-index:251664384;visibility:visible;mso-width-relative:margin;mso-height-relative:margin" filled="f" stroked="f">
            <v:textbox style="mso-next-textbox:#Text Box 2">
              <w:txbxContent>
                <w:p w14:paraId="64C1369C" w14:textId="77777777" w:rsidR="00C63A9C" w:rsidRPr="009723DF" w:rsidRDefault="00C63A9C" w:rsidP="009723DF">
                  <w:pPr>
                    <w:jc w:val="center"/>
                    <w:rPr>
                      <w:rFonts w:ascii="Arial" w:hAnsi="Arial"/>
                      <w:snapToGrid w:val="0"/>
                      <w:color w:val="FFFFFF"/>
                      <w:sz w:val="16"/>
                      <w:szCs w:val="16"/>
                      <w:lang w:eastAsia="en-US"/>
                    </w:rPr>
                  </w:pPr>
                </w:p>
                <w:p w14:paraId="6358F01D" w14:textId="77777777" w:rsidR="00C63A9C" w:rsidRDefault="00C63A9C" w:rsidP="00C6524B">
                  <w:pPr>
                    <w:spacing w:line="500" w:lineRule="exact"/>
                    <w:jc w:val="center"/>
                    <w:rPr>
                      <w:rFonts w:ascii="Arial" w:hAnsi="Arial"/>
                      <w:snapToGrid w:val="0"/>
                      <w:color w:val="FFFFFF"/>
                      <w:sz w:val="36"/>
                      <w:lang w:eastAsia="en-US"/>
                    </w:rPr>
                  </w:pPr>
                </w:p>
                <w:p w14:paraId="66006286" w14:textId="77777777" w:rsidR="00C63A9C" w:rsidRDefault="00C63A9C" w:rsidP="009723DF">
                  <w:pPr>
                    <w:spacing w:line="500" w:lineRule="exact"/>
                    <w:jc w:val="center"/>
                    <w:rPr>
                      <w:rFonts w:ascii="Arial" w:hAnsi="Arial"/>
                      <w:snapToGrid w:val="0"/>
                      <w:color w:val="FFFFFF"/>
                      <w:sz w:val="36"/>
                      <w:lang w:eastAsia="en-US"/>
                    </w:rPr>
                  </w:pPr>
                </w:p>
                <w:p w14:paraId="37D08E4A" w14:textId="77777777" w:rsidR="00C63A9C" w:rsidRDefault="00C63A9C" w:rsidP="009723DF">
                  <w:pPr>
                    <w:spacing w:line="500" w:lineRule="exact"/>
                    <w:jc w:val="center"/>
                    <w:rPr>
                      <w:rFonts w:ascii="Arial" w:hAnsi="Arial"/>
                      <w:snapToGrid w:val="0"/>
                      <w:color w:val="FFFFFF"/>
                      <w:sz w:val="36"/>
                      <w:lang w:eastAsia="en-US"/>
                    </w:rPr>
                  </w:pPr>
                </w:p>
                <w:p w14:paraId="56EF7E07" w14:textId="77777777" w:rsidR="00C63A9C" w:rsidRDefault="00C63A9C" w:rsidP="009723DF">
                  <w:pPr>
                    <w:spacing w:line="500" w:lineRule="exact"/>
                    <w:jc w:val="center"/>
                    <w:rPr>
                      <w:rFonts w:ascii="Arial" w:hAnsi="Arial"/>
                      <w:snapToGrid w:val="0"/>
                      <w:color w:val="FFFFFF"/>
                      <w:sz w:val="36"/>
                      <w:lang w:eastAsia="en-US"/>
                    </w:rPr>
                  </w:pPr>
                  <w:r w:rsidRPr="00C55520">
                    <w:rPr>
                      <w:rFonts w:ascii="Arial" w:hAnsi="Arial"/>
                      <w:snapToGrid w:val="0"/>
                      <w:color w:val="FFFFFF"/>
                      <w:sz w:val="36"/>
                      <w:lang w:eastAsia="en-US"/>
                    </w:rPr>
                    <w:t>Locky Xianglong Liu</w:t>
                  </w:r>
                  <w:r>
                    <w:rPr>
                      <w:rFonts w:ascii="Arial" w:hAnsi="Arial"/>
                      <w:snapToGrid w:val="0"/>
                      <w:color w:val="FFFFFF"/>
                      <w:sz w:val="36"/>
                      <w:lang w:eastAsia="en-US"/>
                    </w:rPr>
                    <w:t>,</w:t>
                  </w:r>
                </w:p>
                <w:p w14:paraId="3CC2C7E2" w14:textId="77777777" w:rsidR="00C63A9C" w:rsidRDefault="00C63A9C" w:rsidP="009723DF">
                  <w:pPr>
                    <w:spacing w:line="500" w:lineRule="exact"/>
                    <w:jc w:val="center"/>
                    <w:rPr>
                      <w:rFonts w:ascii="Arial" w:hAnsi="Arial"/>
                      <w:snapToGrid w:val="0"/>
                      <w:color w:val="FFFFFF"/>
                      <w:sz w:val="36"/>
                      <w:lang w:eastAsia="en-US"/>
                    </w:rPr>
                  </w:pPr>
                  <w:r w:rsidRPr="00C55520">
                    <w:rPr>
                      <w:rFonts w:ascii="Arial" w:hAnsi="Arial"/>
                      <w:snapToGrid w:val="0"/>
                      <w:color w:val="FFFFFF"/>
                      <w:sz w:val="36"/>
                      <w:lang w:eastAsia="en-US"/>
                    </w:rPr>
                    <w:t xml:space="preserve">Jason Nassios </w:t>
                  </w:r>
                  <w:r>
                    <w:rPr>
                      <w:rFonts w:ascii="Arial" w:hAnsi="Arial"/>
                      <w:snapToGrid w:val="0"/>
                      <w:color w:val="FFFFFF"/>
                      <w:sz w:val="36"/>
                      <w:lang w:eastAsia="en-US"/>
                    </w:rPr>
                    <w:t xml:space="preserve"> </w:t>
                  </w:r>
                </w:p>
                <w:p w14:paraId="177AEDD0" w14:textId="77777777" w:rsidR="00C63A9C" w:rsidRDefault="00C63A9C" w:rsidP="009723DF">
                  <w:pPr>
                    <w:spacing w:line="500" w:lineRule="exact"/>
                    <w:jc w:val="center"/>
                    <w:rPr>
                      <w:rFonts w:ascii="Arial" w:hAnsi="Arial"/>
                      <w:snapToGrid w:val="0"/>
                      <w:color w:val="FFFFFF"/>
                      <w:sz w:val="36"/>
                      <w:lang w:eastAsia="en-US"/>
                    </w:rPr>
                  </w:pPr>
                  <w:r>
                    <w:rPr>
                      <w:rFonts w:ascii="Arial" w:hAnsi="Arial"/>
                      <w:snapToGrid w:val="0"/>
                      <w:color w:val="FFFFFF"/>
                      <w:sz w:val="36"/>
                      <w:lang w:eastAsia="en-US"/>
                    </w:rPr>
                    <w:t xml:space="preserve">and </w:t>
                  </w:r>
                </w:p>
                <w:p w14:paraId="62020DB1" w14:textId="77777777" w:rsidR="00C63A9C" w:rsidRDefault="00C63A9C" w:rsidP="009723DF">
                  <w:pPr>
                    <w:spacing w:line="500" w:lineRule="exact"/>
                    <w:jc w:val="center"/>
                    <w:rPr>
                      <w:rFonts w:ascii="Arial" w:hAnsi="Arial"/>
                      <w:snapToGrid w:val="0"/>
                      <w:color w:val="FFFFFF"/>
                      <w:sz w:val="36"/>
                      <w:lang w:eastAsia="en-US"/>
                    </w:rPr>
                  </w:pPr>
                  <w:r>
                    <w:rPr>
                      <w:rFonts w:ascii="Arial" w:hAnsi="Arial"/>
                      <w:snapToGrid w:val="0"/>
                      <w:color w:val="FFFFFF"/>
                      <w:sz w:val="36"/>
                      <w:lang w:eastAsia="en-US"/>
                    </w:rPr>
                    <w:t>Janine Dixon</w:t>
                  </w:r>
                </w:p>
                <w:p w14:paraId="47947A1A" w14:textId="77777777" w:rsidR="0075603E" w:rsidRDefault="0075603E" w:rsidP="009723DF">
                  <w:pPr>
                    <w:spacing w:line="500" w:lineRule="exact"/>
                    <w:jc w:val="center"/>
                    <w:rPr>
                      <w:rFonts w:ascii="Arial" w:hAnsi="Arial"/>
                      <w:snapToGrid w:val="0"/>
                      <w:color w:val="FFFFFF"/>
                      <w:sz w:val="36"/>
                      <w:lang w:eastAsia="en-US"/>
                    </w:rPr>
                  </w:pPr>
                </w:p>
                <w:p w14:paraId="03D423EF" w14:textId="77777777" w:rsidR="00C63A9C" w:rsidRDefault="00C63A9C" w:rsidP="009723DF">
                  <w:pPr>
                    <w:spacing w:line="500" w:lineRule="exact"/>
                    <w:jc w:val="center"/>
                    <w:rPr>
                      <w:rFonts w:ascii="Arial" w:hAnsi="Arial"/>
                      <w:snapToGrid w:val="0"/>
                      <w:color w:val="FFFFFF"/>
                      <w:sz w:val="36"/>
                      <w:lang w:eastAsia="en-US"/>
                    </w:rPr>
                  </w:pPr>
                  <w:r>
                    <w:rPr>
                      <w:rFonts w:ascii="Arial" w:hAnsi="Arial"/>
                      <w:snapToGrid w:val="0"/>
                      <w:color w:val="FFFFFF"/>
                      <w:sz w:val="36"/>
                      <w:lang w:eastAsia="en-US"/>
                    </w:rPr>
                    <w:t xml:space="preserve">Centre of Policy Studies, </w:t>
                  </w:r>
                </w:p>
                <w:p w14:paraId="7C733920" w14:textId="77777777" w:rsidR="00C63A9C" w:rsidRDefault="00C63A9C" w:rsidP="009723DF">
                  <w:pPr>
                    <w:spacing w:line="500" w:lineRule="exact"/>
                    <w:jc w:val="center"/>
                    <w:rPr>
                      <w:rFonts w:ascii="Arial" w:hAnsi="Arial"/>
                      <w:snapToGrid w:val="0"/>
                      <w:color w:val="FFFFFF"/>
                      <w:sz w:val="36"/>
                      <w:lang w:eastAsia="en-US"/>
                    </w:rPr>
                  </w:pPr>
                  <w:r>
                    <w:rPr>
                      <w:rFonts w:ascii="Arial" w:hAnsi="Arial"/>
                      <w:snapToGrid w:val="0"/>
                      <w:color w:val="FFFFFF"/>
                      <w:sz w:val="36"/>
                      <w:lang w:eastAsia="en-US"/>
                    </w:rPr>
                    <w:t>Victoria University</w:t>
                  </w:r>
                </w:p>
                <w:p w14:paraId="6B636E65" w14:textId="77777777" w:rsidR="00C63A9C" w:rsidRDefault="00C63A9C" w:rsidP="00F52B8E">
                  <w:pPr>
                    <w:spacing w:line="500" w:lineRule="exact"/>
                    <w:jc w:val="center"/>
                    <w:rPr>
                      <w:rFonts w:ascii="Arial" w:hAnsi="Arial"/>
                      <w:snapToGrid w:val="0"/>
                      <w:color w:val="FFFFFF"/>
                      <w:sz w:val="36"/>
                      <w:lang w:eastAsia="en-US"/>
                    </w:rPr>
                  </w:pPr>
                </w:p>
                <w:p w14:paraId="608EF693" w14:textId="77777777" w:rsidR="00C63A9C" w:rsidRDefault="00C63A9C" w:rsidP="00CD3022">
                  <w:pPr>
                    <w:spacing w:line="500" w:lineRule="exact"/>
                    <w:rPr>
                      <w:rFonts w:ascii="Arial" w:hAnsi="Arial"/>
                      <w:snapToGrid w:val="0"/>
                      <w:color w:val="FFFFFF"/>
                      <w:sz w:val="36"/>
                      <w:lang w:eastAsia="en-US"/>
                    </w:rPr>
                  </w:pPr>
                </w:p>
                <w:p w14:paraId="6796562B" w14:textId="77777777" w:rsidR="00C63A9C" w:rsidRDefault="00C63A9C" w:rsidP="00F23138">
                  <w:pPr>
                    <w:spacing w:line="500" w:lineRule="exact"/>
                    <w:jc w:val="center"/>
                    <w:rPr>
                      <w:rFonts w:ascii="Arial" w:hAnsi="Arial"/>
                      <w:snapToGrid w:val="0"/>
                      <w:color w:val="FFFFFF"/>
                      <w:sz w:val="36"/>
                      <w:lang w:eastAsia="en-US"/>
                    </w:rPr>
                  </w:pPr>
                </w:p>
                <w:p w14:paraId="0D7497A0" w14:textId="77777777" w:rsidR="00C63A9C" w:rsidRDefault="00C63A9C" w:rsidP="00DF4EC7">
                  <w:pPr>
                    <w:spacing w:line="360" w:lineRule="auto"/>
                    <w:jc w:val="center"/>
                    <w:rPr>
                      <w:rFonts w:ascii="Arial" w:hAnsi="Arial"/>
                      <w:snapToGrid w:val="0"/>
                      <w:sz w:val="36"/>
                      <w:lang w:eastAsia="en-US"/>
                    </w:rPr>
                  </w:pPr>
                </w:p>
                <w:p w14:paraId="4CE98D19" w14:textId="77777777" w:rsidR="00C63A9C" w:rsidRDefault="00C63A9C" w:rsidP="00DF4EC7">
                  <w:pPr>
                    <w:spacing w:line="360" w:lineRule="auto"/>
                    <w:jc w:val="center"/>
                    <w:rPr>
                      <w:rFonts w:ascii="Arial" w:hAnsi="Arial"/>
                      <w:snapToGrid w:val="0"/>
                      <w:sz w:val="36"/>
                      <w:lang w:eastAsia="en-US"/>
                    </w:rPr>
                  </w:pPr>
                </w:p>
                <w:p w14:paraId="36D6C5DC" w14:textId="77777777" w:rsidR="00C63A9C" w:rsidRDefault="00C63A9C"/>
              </w:txbxContent>
            </v:textbox>
          </v:shape>
        </w:pict>
      </w:r>
    </w:p>
    <w:p w14:paraId="7EC49636" w14:textId="11544C22" w:rsidR="00C63A9C" w:rsidRPr="000C153D" w:rsidRDefault="00C63A9C" w:rsidP="000C153D">
      <w:pPr>
        <w:rPr>
          <w:rFonts w:ascii="Arial" w:hAnsi="Arial"/>
          <w:sz w:val="28"/>
        </w:rPr>
      </w:pPr>
    </w:p>
    <w:p w14:paraId="56C3A4A7" w14:textId="77777777" w:rsidR="00C63A9C" w:rsidRPr="000C153D" w:rsidRDefault="00C63A9C" w:rsidP="000C153D">
      <w:pPr>
        <w:rPr>
          <w:rFonts w:ascii="Arial" w:hAnsi="Arial"/>
          <w:sz w:val="28"/>
        </w:rPr>
      </w:pPr>
    </w:p>
    <w:p w14:paraId="2A90916E" w14:textId="586DC4E1" w:rsidR="00C63A9C" w:rsidRPr="000C153D" w:rsidRDefault="00C63A9C" w:rsidP="000C153D">
      <w:pPr>
        <w:rPr>
          <w:rFonts w:ascii="Arial" w:hAnsi="Arial"/>
          <w:sz w:val="28"/>
        </w:rPr>
      </w:pPr>
    </w:p>
    <w:p w14:paraId="0727FEFB" w14:textId="77777777" w:rsidR="00C63A9C" w:rsidRPr="000C153D" w:rsidRDefault="00C63A9C" w:rsidP="000C153D">
      <w:pPr>
        <w:rPr>
          <w:rFonts w:ascii="Arial" w:hAnsi="Arial"/>
          <w:sz w:val="28"/>
        </w:rPr>
      </w:pPr>
    </w:p>
    <w:p w14:paraId="246DAABE" w14:textId="77777777" w:rsidR="00C63A9C" w:rsidRPr="000C153D" w:rsidRDefault="00C63A9C" w:rsidP="000C153D">
      <w:pPr>
        <w:rPr>
          <w:rFonts w:ascii="Arial" w:hAnsi="Arial"/>
          <w:sz w:val="28"/>
        </w:rPr>
      </w:pPr>
    </w:p>
    <w:p w14:paraId="1E3C0069" w14:textId="77777777" w:rsidR="00C63A9C" w:rsidRPr="000C153D" w:rsidRDefault="00C63A9C" w:rsidP="000C153D">
      <w:pPr>
        <w:rPr>
          <w:rFonts w:ascii="Arial" w:hAnsi="Arial"/>
          <w:sz w:val="28"/>
        </w:rPr>
      </w:pPr>
    </w:p>
    <w:p w14:paraId="7EE87742" w14:textId="77777777" w:rsidR="00C63A9C" w:rsidRPr="000C153D" w:rsidRDefault="00C63A9C" w:rsidP="000C153D">
      <w:pPr>
        <w:rPr>
          <w:rFonts w:ascii="Arial" w:hAnsi="Arial"/>
          <w:sz w:val="28"/>
        </w:rPr>
      </w:pPr>
    </w:p>
    <w:p w14:paraId="37342B3E" w14:textId="77777777" w:rsidR="00C63A9C" w:rsidRPr="000C153D" w:rsidRDefault="00C63A9C" w:rsidP="000C153D">
      <w:pPr>
        <w:rPr>
          <w:rFonts w:ascii="Arial" w:hAnsi="Arial"/>
          <w:sz w:val="28"/>
        </w:rPr>
      </w:pPr>
    </w:p>
    <w:p w14:paraId="676BC48F" w14:textId="4D36AEE6" w:rsidR="00C63A9C" w:rsidRPr="000C153D" w:rsidRDefault="00000000" w:rsidP="000C153D">
      <w:pPr>
        <w:rPr>
          <w:rFonts w:ascii="Arial" w:hAnsi="Arial"/>
          <w:sz w:val="28"/>
        </w:rPr>
      </w:pPr>
      <w:r>
        <w:rPr>
          <w:noProof/>
        </w:rPr>
        <w:pict w14:anchorId="650F0573">
          <v:shape id="_x0000_s2068" type="#_x0000_t202" style="position:absolute;left:0;text-align:left;margin-left:443.25pt;margin-top:23.25pt;width:136.4pt;height:23.2pt;z-index:251667456;visibility:visible;mso-width-relative:margin;mso-height-relative:margin" stroked="f">
            <v:textbox style="mso-next-textbox:#_x0000_s2068">
              <w:txbxContent>
                <w:p w14:paraId="53FF6067" w14:textId="77777777" w:rsidR="00EB7F20" w:rsidRDefault="00EB7F20" w:rsidP="00EB7F20">
                  <w:pPr>
                    <w:tabs>
                      <w:tab w:val="left" w:pos="567"/>
                      <w:tab w:val="right" w:pos="11057"/>
                    </w:tabs>
                    <w:jc w:val="center"/>
                  </w:pPr>
                  <w:r>
                    <w:rPr>
                      <w:rFonts w:ascii="Arial" w:hAnsi="Arial"/>
                      <w:color w:val="000000"/>
                    </w:rPr>
                    <w:t>ISBN 978-1-921654-77-0</w:t>
                  </w:r>
                </w:p>
                <w:p w14:paraId="13243097" w14:textId="1FD89CAD" w:rsidR="0039633C" w:rsidRDefault="0039633C" w:rsidP="00377956">
                  <w:pPr>
                    <w:tabs>
                      <w:tab w:val="left" w:pos="567"/>
                      <w:tab w:val="right" w:pos="11057"/>
                    </w:tabs>
                    <w:jc w:val="center"/>
                  </w:pPr>
                </w:p>
              </w:txbxContent>
            </v:textbox>
          </v:shape>
        </w:pict>
      </w:r>
      <w:r>
        <w:rPr>
          <w:noProof/>
        </w:rPr>
        <w:pict w14:anchorId="650F0573">
          <v:shape id="_x0000_s2065" type="#_x0000_t202" style="position:absolute;left:0;text-align:left;margin-left:-11.6pt;margin-top:23.25pt;width:136.4pt;height:23.2pt;z-index:251665408;visibility:visible;mso-width-relative:margin;mso-height-relative:margin" stroked="f">
            <v:textbox style="mso-next-textbox:#_x0000_s2065">
              <w:txbxContent>
                <w:p w14:paraId="6871513A" w14:textId="77777777" w:rsidR="00C63A9C" w:rsidRDefault="00C63A9C" w:rsidP="00377956">
                  <w:pPr>
                    <w:tabs>
                      <w:tab w:val="left" w:pos="567"/>
                      <w:tab w:val="right" w:pos="11057"/>
                    </w:tabs>
                    <w:jc w:val="center"/>
                  </w:pPr>
                  <w:r>
                    <w:rPr>
                      <w:rFonts w:ascii="Arial" w:hAnsi="Arial"/>
                      <w:color w:val="000000"/>
                    </w:rPr>
                    <w:t>ISSN 1 921654 02 3                                                                                                               ISBN 978-1-921654-77-0</w:t>
                  </w:r>
                </w:p>
              </w:txbxContent>
            </v:textbox>
          </v:shape>
        </w:pict>
      </w:r>
    </w:p>
    <w:p w14:paraId="2C609664" w14:textId="5EB99361" w:rsidR="00C63A9C" w:rsidRPr="000C153D" w:rsidRDefault="00000000" w:rsidP="000C153D">
      <w:pPr>
        <w:rPr>
          <w:rFonts w:ascii="Arial" w:hAnsi="Arial"/>
          <w:sz w:val="28"/>
        </w:rPr>
      </w:pPr>
      <w:r>
        <w:rPr>
          <w:noProof/>
        </w:rPr>
        <w:pict w14:anchorId="0C50F5AE">
          <v:shape id="Text Box 10" o:spid="_x0000_s2063" type="#_x0000_t202" style="position:absolute;left:0;text-align:left;margin-left:68.95pt;margin-top:29pt;width:446.35pt;height:53.25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" filled="f" stroked="f">
            <v:textbox style="mso-next-textbox:#Text Box 10">
              <w:txbxContent>
                <w:p w14:paraId="5E4602C6" w14:textId="77777777" w:rsidR="00C63A9C" w:rsidRPr="001B6516" w:rsidRDefault="00C63A9C" w:rsidP="0082433A">
                  <w:pPr>
                    <w:spacing w:line="180" w:lineRule="exact"/>
                    <w:rPr>
                      <w:rFonts w:ascii="Arial" w:hAnsi="Arial"/>
                      <w:sz w:val="18"/>
                      <w:szCs w:val="18"/>
                    </w:rPr>
                  </w:pPr>
                  <w:r w:rsidRPr="001B6516">
                    <w:rPr>
                      <w:rFonts w:ascii="Arial" w:hAnsi="Arial"/>
                      <w:sz w:val="18"/>
                      <w:szCs w:val="18"/>
                    </w:rPr>
                    <w:t>The Centre of Policy Studies (CoPS), incorporating the IMPACT project, is a research centre at Victoria University devoted to quantitative analysis of issues relevant to economic policy.</w:t>
                  </w:r>
                  <w:r w:rsidRPr="001B6516">
                    <w:rPr>
                      <w:rFonts w:ascii="Arial" w:hAnsi="Arial"/>
                      <w:sz w:val="18"/>
                      <w:szCs w:val="18"/>
                    </w:rPr>
                    <w:br/>
                    <w:t>Address: Centre of Policy Studies, Victoria University, PO Box 14428, Melbourne, Victoria, 8001</w:t>
                  </w:r>
                  <w:r w:rsidRPr="001B6516">
                    <w:rPr>
                      <w:rFonts w:ascii="Arial" w:hAnsi="Arial"/>
                      <w:sz w:val="18"/>
                      <w:szCs w:val="18"/>
                    </w:rPr>
                    <w:br/>
                    <w:t>home page: www.vu.edu.au/CoPS/     email: copsinfo@vu.edu.au   Telephone +61 3 9919 1877</w:t>
                  </w:r>
                </w:p>
                <w:p w14:paraId="3EE54491" w14:textId="77777777" w:rsidR="00C63A9C" w:rsidRPr="001B6516" w:rsidRDefault="00C63A9C" w:rsidP="00DF4EC7">
                  <w:pPr>
                    <w:spacing w:line="276" w:lineRule="auto"/>
                    <w:rPr>
                      <w:sz w:val="18"/>
                      <w:szCs w:val="18"/>
                    </w:rPr>
                  </w:pPr>
                </w:p>
              </w:txbxContent>
            </v:textbox>
            <w10:wrap type="square"/>
          </v:shape>
        </w:pict>
      </w:r>
    </w:p>
    <w:p w14:paraId="10763826" w14:textId="36185675" w:rsidR="00C63A9C" w:rsidRPr="000C153D" w:rsidRDefault="00C63A9C" w:rsidP="000C153D">
      <w:pPr>
        <w:rPr>
          <w:rFonts w:ascii="Arial" w:hAnsi="Arial"/>
          <w:sz w:val="28"/>
        </w:rPr>
      </w:pPr>
    </w:p>
    <w:p w14:paraId="2254B7AA" w14:textId="77777777" w:rsidR="00C63A9C" w:rsidRPr="000C153D" w:rsidRDefault="00C63A9C" w:rsidP="000C153D">
      <w:pPr>
        <w:rPr>
          <w:rFonts w:ascii="Arial" w:hAnsi="Arial"/>
          <w:sz w:val="28"/>
        </w:rPr>
      </w:pPr>
    </w:p>
    <w:p w14:paraId="2716AE88" w14:textId="77777777" w:rsidR="00C63A9C" w:rsidRPr="000C153D" w:rsidRDefault="00C63A9C" w:rsidP="000C153D">
      <w:pPr>
        <w:rPr>
          <w:rFonts w:ascii="Arial" w:hAnsi="Arial"/>
          <w:sz w:val="28"/>
        </w:rPr>
      </w:pPr>
    </w:p>
    <w:p w14:paraId="0B77146F" w14:textId="77777777" w:rsidR="00C63A9C" w:rsidRPr="005E15DB" w:rsidRDefault="00C63A9C" w:rsidP="000C153D">
      <w:pPr>
        <w:rPr>
          <w:rFonts w:ascii="Arial" w:hAnsi="Arial"/>
          <w:sz w:val="24"/>
          <w:szCs w:val="24"/>
        </w:rPr>
      </w:pPr>
    </w:p>
    <w:p w14:paraId="72579D05" w14:textId="77777777" w:rsidR="00C63A9C" w:rsidRPr="005E15DB" w:rsidRDefault="00C63A9C" w:rsidP="00B32D48">
      <w:pPr>
        <w:ind w:left="1560" w:right="2142"/>
        <w:rPr>
          <w:rFonts w:ascii="Arial" w:hAnsi="Arial" w:cs="Arial"/>
          <w:sz w:val="24"/>
          <w:szCs w:val="24"/>
        </w:rPr>
      </w:pPr>
      <w:r w:rsidRPr="005E15DB">
        <w:rPr>
          <w:rFonts w:ascii="Arial" w:hAnsi="Arial" w:cs="Arial"/>
          <w:b/>
          <w:bCs/>
          <w:sz w:val="24"/>
          <w:szCs w:val="24"/>
        </w:rPr>
        <w:t>About us</w:t>
      </w:r>
    </w:p>
    <w:p w14:paraId="262FB996" w14:textId="77777777" w:rsidR="00C63A9C" w:rsidRPr="005E15DB" w:rsidRDefault="00C63A9C" w:rsidP="00B32D48">
      <w:pPr>
        <w:ind w:left="1560" w:right="2142"/>
        <w:rPr>
          <w:rFonts w:ascii="Arial" w:hAnsi="Arial" w:cs="Arial"/>
          <w:sz w:val="24"/>
          <w:szCs w:val="24"/>
        </w:rPr>
      </w:pPr>
      <w:r w:rsidRPr="005E15DB">
        <w:rPr>
          <w:rFonts w:ascii="Arial" w:hAnsi="Arial" w:cs="Arial"/>
          <w:sz w:val="24"/>
          <w:szCs w:val="24"/>
        </w:rPr>
        <w:t xml:space="preserve">Researchers at the Centre of Policy Studies have a 45-year history of continuous achievement in the development, application and </w:t>
      </w:r>
    </w:p>
    <w:p w14:paraId="6FD6BD31" w14:textId="2E4D7D76" w:rsidR="00C63A9C" w:rsidRPr="005E15DB" w:rsidRDefault="00C63A9C" w:rsidP="00DB0C40">
      <w:pPr>
        <w:ind w:left="1560" w:right="2142"/>
        <w:rPr>
          <w:rFonts w:ascii="Arial" w:hAnsi="Arial" w:cs="Arial"/>
          <w:sz w:val="24"/>
          <w:szCs w:val="24"/>
        </w:rPr>
      </w:pPr>
      <w:r w:rsidRPr="005E15DB">
        <w:rPr>
          <w:rFonts w:ascii="Arial" w:hAnsi="Arial" w:cs="Arial"/>
          <w:sz w:val="24"/>
          <w:szCs w:val="24"/>
        </w:rPr>
        <w:t>dissemination of large-scale economic models. Our models and software are used around the world to analyse a diverse range of economic issues. CoPS’ funders include: Australian federal and state government departments; private firms and universities in many parts of the world; central government agencies such as finance and trade ministries in many countries; and international development organisations. The Centre’s GEMPACK software, used for solving large economic models, is used at more than 700 sites</w:t>
      </w:r>
      <w:r w:rsidR="00DB0C40">
        <w:rPr>
          <w:rFonts w:ascii="Arial" w:hAnsi="Arial" w:cs="Arial"/>
          <w:sz w:val="24"/>
          <w:szCs w:val="24"/>
        </w:rPr>
        <w:t xml:space="preserve"> </w:t>
      </w:r>
      <w:r w:rsidRPr="005E15DB">
        <w:rPr>
          <w:rFonts w:ascii="Arial" w:hAnsi="Arial" w:cs="Arial"/>
          <w:sz w:val="24"/>
          <w:szCs w:val="24"/>
        </w:rPr>
        <w:t>in over 95 countries.</w:t>
      </w:r>
    </w:p>
    <w:p w14:paraId="1C24F0D2" w14:textId="77777777" w:rsidR="00C63A9C" w:rsidRPr="005E15DB" w:rsidRDefault="00C63A9C" w:rsidP="00B32D48">
      <w:pPr>
        <w:ind w:left="1560" w:right="2142"/>
        <w:rPr>
          <w:rFonts w:ascii="Arial" w:hAnsi="Arial" w:cs="Arial"/>
          <w:color w:val="C82613"/>
          <w:sz w:val="24"/>
          <w:szCs w:val="24"/>
        </w:rPr>
      </w:pPr>
    </w:p>
    <w:p w14:paraId="5037710B" w14:textId="77777777" w:rsidR="00C63A9C" w:rsidRPr="005E15DB" w:rsidRDefault="00C63A9C" w:rsidP="00B32D48">
      <w:pPr>
        <w:ind w:left="1560" w:right="2142"/>
        <w:rPr>
          <w:rFonts w:ascii="Arial" w:hAnsi="Arial" w:cs="Arial"/>
          <w:color w:val="C82613"/>
          <w:sz w:val="24"/>
          <w:szCs w:val="24"/>
        </w:rPr>
      </w:pPr>
    </w:p>
    <w:p w14:paraId="79F89B25" w14:textId="77777777" w:rsidR="00C63A9C" w:rsidRPr="005E15DB" w:rsidRDefault="00C63A9C" w:rsidP="00D27A4B">
      <w:pPr>
        <w:ind w:left="1560" w:right="2426"/>
        <w:rPr>
          <w:rFonts w:ascii="Arial" w:hAnsi="Arial" w:cs="Arial"/>
          <w:sz w:val="24"/>
          <w:szCs w:val="24"/>
        </w:rPr>
      </w:pPr>
      <w:r w:rsidRPr="005E15DB">
        <w:rPr>
          <w:rFonts w:ascii="Arial" w:hAnsi="Arial" w:cs="Arial"/>
          <w:b/>
          <w:bCs/>
          <w:sz w:val="24"/>
          <w:szCs w:val="24"/>
        </w:rPr>
        <w:t>Citation</w:t>
      </w:r>
    </w:p>
    <w:p w14:paraId="6CB9FE3C" w14:textId="66900FE8" w:rsidR="00C0243B" w:rsidRDefault="00C63A9C" w:rsidP="00D27A4B">
      <w:pPr>
        <w:ind w:left="1560" w:right="2426" w:firstLine="22"/>
        <w:rPr>
          <w:rFonts w:ascii="Arial" w:hAnsi="Arial" w:cs="Arial"/>
          <w:sz w:val="24"/>
          <w:szCs w:val="24"/>
        </w:rPr>
      </w:pPr>
      <w:r w:rsidRPr="005E15DB">
        <w:rPr>
          <w:rFonts w:ascii="Arial" w:hAnsi="Arial" w:cs="Arial"/>
          <w:sz w:val="24"/>
          <w:szCs w:val="24"/>
        </w:rPr>
        <w:t>Liu, Locky Xianglong, Jason Nassios and J</w:t>
      </w:r>
      <w:r w:rsidR="00791108">
        <w:rPr>
          <w:rFonts w:ascii="Arial" w:hAnsi="Arial" w:cs="Arial"/>
          <w:sz w:val="24"/>
          <w:szCs w:val="24"/>
        </w:rPr>
        <w:t>anine</w:t>
      </w:r>
      <w:r w:rsidRPr="005E15DB">
        <w:rPr>
          <w:rFonts w:ascii="Arial" w:hAnsi="Arial" w:cs="Arial"/>
          <w:sz w:val="24"/>
          <w:szCs w:val="24"/>
        </w:rPr>
        <w:t xml:space="preserve"> Dixon (2026), </w:t>
      </w:r>
    </w:p>
    <w:p w14:paraId="5164C6B6" w14:textId="30273F73" w:rsidR="00C63A9C" w:rsidRPr="005E15DB" w:rsidRDefault="00C63A9C" w:rsidP="00D27A4B">
      <w:pPr>
        <w:ind w:left="1560" w:right="2426" w:firstLine="22"/>
        <w:rPr>
          <w:rFonts w:ascii="Arial" w:hAnsi="Arial" w:cs="Arial"/>
          <w:sz w:val="24"/>
          <w:szCs w:val="24"/>
          <w:lang w:val="en-GB"/>
        </w:rPr>
      </w:pPr>
      <w:r w:rsidRPr="005E15DB">
        <w:rPr>
          <w:rFonts w:ascii="Arial" w:hAnsi="Arial" w:cs="Arial"/>
          <w:sz w:val="24"/>
          <w:szCs w:val="24"/>
        </w:rPr>
        <w:t>“</w:t>
      </w:r>
      <w:r w:rsidRPr="005E15DB">
        <w:rPr>
          <w:rFonts w:ascii="Arial" w:hAnsi="Arial" w:cs="Arial"/>
          <w:sz w:val="24"/>
          <w:szCs w:val="24"/>
          <w:lang w:val="en-GB"/>
        </w:rPr>
        <w:t>Modelling Heavy Vehicle Reforms in Australia using VURMTAX</w:t>
      </w:r>
      <w:r w:rsidRPr="005E15DB">
        <w:rPr>
          <w:rFonts w:ascii="Arial" w:hAnsi="Arial" w:cs="Arial"/>
          <w:sz w:val="24"/>
          <w:szCs w:val="24"/>
        </w:rPr>
        <w:t>”, Centre of Policy Studies Working Paper No. G-368, Victoria University, June 2026. </w:t>
      </w:r>
    </w:p>
    <w:p w14:paraId="22282017" w14:textId="77777777" w:rsidR="00C63A9C" w:rsidRDefault="00C63A9C" w:rsidP="00B32D48">
      <w:pPr>
        <w:ind w:left="1560" w:right="2142"/>
        <w:rPr>
          <w:color w:val="000000"/>
        </w:rPr>
      </w:pPr>
    </w:p>
    <w:p w14:paraId="7733A4E1" w14:textId="01D71CDC" w:rsidR="001E08F7" w:rsidRDefault="001E08F7">
      <w:pPr>
        <w:widowControl/>
        <w:jc w:val="left"/>
        <w:rPr>
          <w:b/>
          <w:bCs/>
          <w:sz w:val="40"/>
          <w:szCs w:val="40"/>
        </w:rPr>
        <w:sectPr w:rsidR="001E08F7" w:rsidSect="00C63A9C">
          <w:headerReference w:type="even" r:id="rId14"/>
          <w:footerReference w:type="default" r:id="rId15"/>
          <w:headerReference w:type="first" r:id="rId16"/>
          <w:pgSz w:w="11906" w:h="16838"/>
          <w:pgMar w:top="232" w:right="232" w:bottom="232" w:left="232" w:header="851" w:footer="992" w:gutter="0"/>
          <w:pgNumType w:start="0"/>
          <w:cols w:space="425"/>
          <w:titlePg/>
          <w:docGrid w:type="lines" w:linePitch="312"/>
        </w:sectPr>
      </w:pPr>
    </w:p>
    <w:p w14:paraId="1CF64641" w14:textId="7E13D0B0" w:rsidR="00755319" w:rsidRPr="00353AE1" w:rsidRDefault="007C07CC" w:rsidP="00530389">
      <w:pPr>
        <w:spacing w:after="120"/>
        <w:jc w:val="center"/>
        <w:rPr>
          <w:b/>
          <w:bCs/>
          <w:sz w:val="40"/>
          <w:szCs w:val="40"/>
        </w:rPr>
      </w:pPr>
      <w:r w:rsidRPr="00353AE1">
        <w:rPr>
          <w:b/>
          <w:bCs/>
          <w:sz w:val="40"/>
          <w:szCs w:val="40"/>
        </w:rPr>
        <w:lastRenderedPageBreak/>
        <w:t>Modelling Heavy Vehicle Reform</w:t>
      </w:r>
      <w:r w:rsidR="008662CC" w:rsidRPr="00353AE1">
        <w:rPr>
          <w:b/>
          <w:bCs/>
          <w:sz w:val="40"/>
          <w:szCs w:val="40"/>
        </w:rPr>
        <w:t>s</w:t>
      </w:r>
      <w:r w:rsidR="006D6EDA" w:rsidRPr="00353AE1">
        <w:rPr>
          <w:b/>
          <w:bCs/>
          <w:sz w:val="40"/>
          <w:szCs w:val="40"/>
        </w:rPr>
        <w:t xml:space="preserve"> in Australia</w:t>
      </w:r>
      <w:r w:rsidR="008662CC" w:rsidRPr="00353AE1">
        <w:rPr>
          <w:b/>
          <w:bCs/>
          <w:sz w:val="40"/>
          <w:szCs w:val="40"/>
        </w:rPr>
        <w:t xml:space="preserve"> using VURMTAX</w:t>
      </w:r>
    </w:p>
    <w:p w14:paraId="2F81095D" w14:textId="77777777" w:rsidR="00AA2226" w:rsidRPr="00353AE1" w:rsidRDefault="00AA2226" w:rsidP="00530389">
      <w:pPr>
        <w:spacing w:after="120"/>
      </w:pPr>
    </w:p>
    <w:p w14:paraId="0822AA9A" w14:textId="4517AA26" w:rsidR="00003D90" w:rsidRPr="00353AE1" w:rsidRDefault="00003D90" w:rsidP="00530389">
      <w:pPr>
        <w:spacing w:after="120"/>
        <w:jc w:val="center"/>
        <w:rPr>
          <w:b/>
          <w:sz w:val="28"/>
          <w:szCs w:val="28"/>
        </w:rPr>
      </w:pPr>
      <w:r w:rsidRPr="00353AE1">
        <w:rPr>
          <w:b/>
          <w:sz w:val="28"/>
          <w:szCs w:val="28"/>
        </w:rPr>
        <w:t>Locky Xianglong Liu</w:t>
      </w:r>
      <w:r w:rsidRPr="00353AE1">
        <w:rPr>
          <w:rStyle w:val="FootnoteReference"/>
          <w:b/>
          <w:sz w:val="28"/>
          <w:szCs w:val="28"/>
        </w:rPr>
        <w:footnoteReference w:id="1"/>
      </w:r>
      <w:r w:rsidRPr="00353AE1">
        <w:rPr>
          <w:b/>
          <w:sz w:val="28"/>
          <w:szCs w:val="28"/>
        </w:rPr>
        <w:t>, Jason Nassios</w:t>
      </w:r>
      <w:r w:rsidRPr="00353AE1">
        <w:rPr>
          <w:rStyle w:val="FootnoteReference"/>
          <w:b/>
          <w:sz w:val="28"/>
          <w:szCs w:val="28"/>
        </w:rPr>
        <w:footnoteReference w:id="2"/>
      </w:r>
      <w:r w:rsidRPr="00353AE1">
        <w:rPr>
          <w:b/>
          <w:sz w:val="28"/>
          <w:szCs w:val="28"/>
        </w:rPr>
        <w:t xml:space="preserve"> and Janine Dixon</w:t>
      </w:r>
      <w:r w:rsidRPr="00353AE1">
        <w:rPr>
          <w:rStyle w:val="FootnoteReference"/>
          <w:b/>
          <w:sz w:val="28"/>
          <w:szCs w:val="28"/>
        </w:rPr>
        <w:footnoteReference w:id="3"/>
      </w:r>
    </w:p>
    <w:p w14:paraId="06F5003C" w14:textId="77777777" w:rsidR="00763D5A" w:rsidRPr="00353AE1" w:rsidRDefault="00763D5A" w:rsidP="00530389">
      <w:pPr>
        <w:spacing w:after="120"/>
        <w:jc w:val="center"/>
        <w:rPr>
          <w:bCs/>
          <w:sz w:val="28"/>
          <w:szCs w:val="28"/>
        </w:rPr>
      </w:pPr>
      <w:r w:rsidRPr="00353AE1">
        <w:rPr>
          <w:bCs/>
          <w:sz w:val="28"/>
          <w:szCs w:val="28"/>
        </w:rPr>
        <w:t>Centre of Policy Studies</w:t>
      </w:r>
      <w:r w:rsidRPr="00353AE1">
        <w:rPr>
          <w:rStyle w:val="FootnoteReference"/>
          <w:bCs/>
          <w:sz w:val="28"/>
          <w:szCs w:val="28"/>
        </w:rPr>
        <w:footnoteReference w:id="4"/>
      </w:r>
    </w:p>
    <w:p w14:paraId="75AACB68" w14:textId="3001A83C" w:rsidR="0087557D" w:rsidRPr="00353AE1" w:rsidRDefault="007B78E9" w:rsidP="00530389">
      <w:pPr>
        <w:spacing w:after="120"/>
        <w:jc w:val="center"/>
        <w:rPr>
          <w:bCs/>
          <w:sz w:val="28"/>
          <w:szCs w:val="28"/>
        </w:rPr>
      </w:pPr>
      <w:r w:rsidRPr="00353AE1">
        <w:rPr>
          <w:bCs/>
          <w:sz w:val="28"/>
          <w:szCs w:val="28"/>
        </w:rPr>
        <w:t>Victoria University</w:t>
      </w:r>
    </w:p>
    <w:p w14:paraId="5868BC96" w14:textId="77777777" w:rsidR="00DF4DF6" w:rsidRPr="00353AE1" w:rsidRDefault="00DF4DF6" w:rsidP="00530389">
      <w:pPr>
        <w:spacing w:after="120"/>
      </w:pPr>
    </w:p>
    <w:p w14:paraId="22467DBF" w14:textId="71A67F15" w:rsidR="0087557D" w:rsidRPr="00353AE1" w:rsidRDefault="0087557D" w:rsidP="00530389">
      <w:pPr>
        <w:spacing w:after="120"/>
        <w:jc w:val="center"/>
        <w:rPr>
          <w:b/>
          <w:bCs/>
        </w:rPr>
      </w:pPr>
      <w:r w:rsidRPr="00353AE1">
        <w:rPr>
          <w:b/>
          <w:bCs/>
        </w:rPr>
        <w:t>Abstract</w:t>
      </w:r>
    </w:p>
    <w:p w14:paraId="65BA5F1D" w14:textId="77777777" w:rsidR="00DF4DF6" w:rsidRPr="00353AE1" w:rsidRDefault="00DF4DF6" w:rsidP="00530389">
      <w:pPr>
        <w:spacing w:after="120"/>
        <w:jc w:val="center"/>
        <w:rPr>
          <w:b/>
          <w:bCs/>
        </w:rPr>
      </w:pPr>
    </w:p>
    <w:p w14:paraId="4A8D5EE0" w14:textId="77777777" w:rsidR="00781236" w:rsidRDefault="00D924EB" w:rsidP="00530389">
      <w:pPr>
        <w:spacing w:after="120"/>
        <w:jc w:val="left"/>
      </w:pPr>
      <w:r w:rsidRPr="00353AE1">
        <w:t xml:space="preserve">This report uses VURMTAX, a dynamic multi-regional computable general equilibrium model of Australia, to assess the economy-wide effects of two heavy vehicle reform scenarios: </w:t>
      </w:r>
      <w:r w:rsidR="00646904" w:rsidRPr="00353AE1">
        <w:t xml:space="preserve">(1) </w:t>
      </w:r>
      <w:r w:rsidRPr="00353AE1">
        <w:t>increasing heavy vehicle road access</w:t>
      </w:r>
      <w:r w:rsidR="00646904" w:rsidRPr="00353AE1">
        <w:t>;</w:t>
      </w:r>
      <w:r w:rsidRPr="00353AE1">
        <w:t xml:space="preserve"> and</w:t>
      </w:r>
      <w:r w:rsidR="00646904" w:rsidRPr="00353AE1">
        <w:t>, (2)</w:t>
      </w:r>
      <w:r w:rsidRPr="00353AE1">
        <w:t xml:space="preserve"> establishing a National Automated Access System (NAAS). The first scenario is modelled as a nationwide </w:t>
      </w:r>
      <w:r w:rsidR="0004328D" w:rsidRPr="00353AE1">
        <w:t>multi</w:t>
      </w:r>
      <w:r w:rsidRPr="00353AE1">
        <w:t xml:space="preserve">factor productivity improvement in the Road Freight sector, together with an increase in road wear costs, reflecting additional </w:t>
      </w:r>
      <w:r w:rsidR="007145A4" w:rsidRPr="00353AE1">
        <w:t>public</w:t>
      </w:r>
      <w:r w:rsidRPr="00353AE1">
        <w:t xml:space="preserve"> expenditure required to maintain road infrastructure quality. The second scenario is modelled as a Road Freight </w:t>
      </w:r>
      <w:r w:rsidR="00891E0F" w:rsidRPr="00353AE1">
        <w:t xml:space="preserve">multifactor </w:t>
      </w:r>
      <w:r w:rsidRPr="00353AE1">
        <w:t xml:space="preserve">productivity improvement applying </w:t>
      </w:r>
      <w:r w:rsidR="00736BD1" w:rsidRPr="00353AE1">
        <w:t>to all</w:t>
      </w:r>
      <w:r w:rsidRPr="00353AE1">
        <w:t xml:space="preserve"> Australian states and territories except Western Australia and the Northern Territory. </w:t>
      </w:r>
      <w:r w:rsidR="004D2FB9" w:rsidRPr="00353AE1">
        <w:t xml:space="preserve">Policy shock inputs for both scenarios are provided by the Productivity Commission based on estimates of </w:t>
      </w:r>
      <w:r w:rsidR="00D6646B" w:rsidRPr="00353AE1">
        <w:t>BITRE (</w:t>
      </w:r>
      <w:r w:rsidR="00494F82" w:rsidRPr="00353AE1">
        <w:t>forthcoming</w:t>
      </w:r>
      <w:r w:rsidR="00D6646B" w:rsidRPr="00353AE1">
        <w:t>)</w:t>
      </w:r>
      <w:r w:rsidR="004D2FB9" w:rsidRPr="00353AE1">
        <w:t>.</w:t>
      </w:r>
      <w:r w:rsidR="00BE58AF" w:rsidRPr="00353AE1">
        <w:t xml:space="preserve"> </w:t>
      </w:r>
      <w:r w:rsidRPr="00353AE1">
        <w:t xml:space="preserve">This report draws on database and model development work that disaggregates the use of </w:t>
      </w:r>
      <w:r w:rsidR="00C100B8" w:rsidRPr="00353AE1">
        <w:t>different</w:t>
      </w:r>
      <w:r w:rsidRPr="00353AE1">
        <w:t xml:space="preserve"> commercial vehicle classes </w:t>
      </w:r>
      <w:r w:rsidR="00087BC4" w:rsidRPr="00353AE1">
        <w:t xml:space="preserve">across industries and regions </w:t>
      </w:r>
      <w:r w:rsidRPr="00353AE1">
        <w:t xml:space="preserve">within </w:t>
      </w:r>
      <w:r w:rsidR="001B52DE" w:rsidRPr="00353AE1">
        <w:t>the economy</w:t>
      </w:r>
      <w:r w:rsidRPr="00353AE1">
        <w:t>, thereby improving the representation of heavy vehicle</w:t>
      </w:r>
      <w:r w:rsidR="007E1B0F" w:rsidRPr="00353AE1">
        <w:t>s</w:t>
      </w:r>
      <w:r w:rsidRPr="00353AE1">
        <w:t xml:space="preserve"> in VURMTAX. Results indicate that both reforms generate positive economy-wide gains, including higher real GDP, household consumption, investment, and output in road-freight-using industries, although the size and distribution of </w:t>
      </w:r>
      <w:r w:rsidR="00B303B3" w:rsidRPr="00353AE1">
        <w:t>economic impact</w:t>
      </w:r>
      <w:r w:rsidR="00D13E0A" w:rsidRPr="00353AE1">
        <w:t>s</w:t>
      </w:r>
      <w:r w:rsidR="00B303B3" w:rsidRPr="00353AE1">
        <w:t xml:space="preserve"> </w:t>
      </w:r>
      <w:r w:rsidRPr="00353AE1">
        <w:t>vary across regions and sectors</w:t>
      </w:r>
      <w:r w:rsidR="00924C96" w:rsidRPr="00353AE1">
        <w:t xml:space="preserve"> in each scenario</w:t>
      </w:r>
      <w:r w:rsidRPr="00353AE1">
        <w:t>.</w:t>
      </w:r>
    </w:p>
    <w:p w14:paraId="691EB24E" w14:textId="77777777" w:rsidR="00781236" w:rsidRDefault="00781236" w:rsidP="00530389">
      <w:pPr>
        <w:spacing w:after="120"/>
        <w:jc w:val="left"/>
      </w:pPr>
    </w:p>
    <w:p w14:paraId="5FE5C12D" w14:textId="77777777" w:rsidR="007B77AF" w:rsidRDefault="007B77AF" w:rsidP="00530389">
      <w:pPr>
        <w:spacing w:after="120"/>
        <w:jc w:val="left"/>
      </w:pPr>
    </w:p>
    <w:p w14:paraId="339B6CD1" w14:textId="680E3302" w:rsidR="007B77AF" w:rsidRPr="00013474" w:rsidRDefault="007B77AF" w:rsidP="00530389">
      <w:pPr>
        <w:spacing w:after="120"/>
        <w:jc w:val="left"/>
        <w:rPr>
          <w:lang w:val="pt-BR"/>
        </w:rPr>
      </w:pPr>
      <w:r w:rsidRPr="00013474">
        <w:rPr>
          <w:b/>
          <w:bCs/>
          <w:lang w:val="pt-BR"/>
        </w:rPr>
        <w:t>JEL Codes</w:t>
      </w:r>
      <w:r w:rsidRPr="00013474">
        <w:rPr>
          <w:lang w:val="pt-BR"/>
        </w:rPr>
        <w:t>: C68; E62; H2; H71; R38</w:t>
      </w:r>
      <w:r w:rsidR="00242186" w:rsidRPr="00013474">
        <w:rPr>
          <w:lang w:val="pt-BR"/>
        </w:rPr>
        <w:t>; R48</w:t>
      </w:r>
    </w:p>
    <w:p w14:paraId="6B15AB49" w14:textId="089603BF" w:rsidR="00026F22" w:rsidRPr="00353AE1" w:rsidRDefault="007B77AF" w:rsidP="00530389">
      <w:pPr>
        <w:spacing w:after="120"/>
        <w:jc w:val="left"/>
      </w:pPr>
      <w:r w:rsidRPr="00A114DD">
        <w:rPr>
          <w:b/>
          <w:bCs/>
        </w:rPr>
        <w:t>Keywords</w:t>
      </w:r>
      <w:r w:rsidRPr="007B77AF">
        <w:t xml:space="preserve">: CGE modelling; </w:t>
      </w:r>
      <w:r w:rsidR="00730FCF">
        <w:t>Transport</w:t>
      </w:r>
      <w:r w:rsidR="005533CF">
        <w:t xml:space="preserve"> policy</w:t>
      </w:r>
      <w:r w:rsidR="00730FCF">
        <w:t>; Heavy Vehicle</w:t>
      </w:r>
      <w:r w:rsidR="005533CF">
        <w:t>; R</w:t>
      </w:r>
      <w:r w:rsidR="005533CF" w:rsidRPr="005533CF">
        <w:t xml:space="preserve">oad </w:t>
      </w:r>
      <w:r w:rsidR="005533CF">
        <w:t>F</w:t>
      </w:r>
      <w:r w:rsidR="005533CF" w:rsidRPr="005533CF">
        <w:t>reight</w:t>
      </w:r>
    </w:p>
    <w:p w14:paraId="1846A652" w14:textId="2B9A21E9" w:rsidR="00E84169" w:rsidRPr="00353AE1" w:rsidRDefault="00E84169" w:rsidP="003D7E2F">
      <w:pPr>
        <w:pStyle w:val="Heading1"/>
        <w:spacing w:before="0" w:after="120"/>
        <w:rPr>
          <w:rFonts w:cs="Calibri"/>
        </w:rPr>
      </w:pPr>
      <w:bookmarkStart w:id="0" w:name="_Toc234277224"/>
      <w:r w:rsidRPr="00353AE1">
        <w:rPr>
          <w:rFonts w:cs="Calibri"/>
        </w:rPr>
        <w:lastRenderedPageBreak/>
        <w:t>Executive Summary</w:t>
      </w:r>
      <w:bookmarkEnd w:id="0"/>
    </w:p>
    <w:p w14:paraId="323C2372" w14:textId="5CE14633" w:rsidR="00C90F66" w:rsidRPr="00353AE1" w:rsidRDefault="00C90F66" w:rsidP="003D7E2F">
      <w:pPr>
        <w:spacing w:after="120"/>
        <w:jc w:val="left"/>
      </w:pPr>
      <w:r w:rsidRPr="00353AE1">
        <w:t>This report uses VURMTAX, a dynamic multi-regional computable general equilibrium model of Australia, to assess the economy-wide effects of two heavy vehicle reform scenarios requested by the Productivity Commission. The first scenario</w:t>
      </w:r>
      <w:r w:rsidR="0092718D" w:rsidRPr="00353AE1">
        <w:t xml:space="preserve"> (Scenario 1)</w:t>
      </w:r>
      <w:r w:rsidRPr="00353AE1">
        <w:t xml:space="preserve"> examines increasing heavy vehicle road access. It is modelled as a nationwide multifactor productivity improvement in the Road Freight sector, together with additional </w:t>
      </w:r>
      <w:r w:rsidR="0058274A" w:rsidRPr="00353AE1">
        <w:t xml:space="preserve">government </w:t>
      </w:r>
      <w:r w:rsidRPr="00353AE1">
        <w:t>expenditure on civil engineering construction to reflect higher road wear costs. The second scenario</w:t>
      </w:r>
      <w:r w:rsidR="0092718D" w:rsidRPr="00353AE1">
        <w:t xml:space="preserve"> (Scenario 2)</w:t>
      </w:r>
      <w:r w:rsidRPr="00353AE1">
        <w:t xml:space="preserve"> examines the establishment of a National Automated Access System (NAAS). It is modelled as a Road Freight productivity improvement applying to all states and territories except Western Australia and the Northern Territory. </w:t>
      </w:r>
      <w:r w:rsidR="00796106" w:rsidRPr="00353AE1">
        <w:t>Policy shock inputs for both scenarios are provided by the Productivity Commission, based on estimates of these reform scenarios by the Bureau of Infrastructure and Transport Research Economics (BITRE</w:t>
      </w:r>
      <w:r w:rsidR="000B08F7" w:rsidRPr="00353AE1">
        <w:t>,</w:t>
      </w:r>
      <w:r w:rsidR="00796106" w:rsidRPr="00353AE1">
        <w:t xml:space="preserve"> </w:t>
      </w:r>
      <w:r w:rsidR="002B5D4E" w:rsidRPr="00353AE1">
        <w:t>forthcoming</w:t>
      </w:r>
      <w:r w:rsidR="00796106" w:rsidRPr="00353AE1">
        <w:t>)</w:t>
      </w:r>
      <w:r w:rsidR="00F23F71" w:rsidRPr="00353AE1">
        <w:t>.</w:t>
      </w:r>
      <w:r w:rsidR="008C31F6" w:rsidRPr="00353AE1">
        <w:t xml:space="preserve"> </w:t>
      </w:r>
      <w:r w:rsidRPr="00353AE1">
        <w:t>The modelling incorporates database development work that improves the representation of commercial vehicle use across industries and regions</w:t>
      </w:r>
      <w:r w:rsidR="00551C5F" w:rsidRPr="00353AE1">
        <w:t xml:space="preserve"> in VURMTAX</w:t>
      </w:r>
      <w:r w:rsidRPr="00353AE1">
        <w:t>.</w:t>
      </w:r>
    </w:p>
    <w:p w14:paraId="51E32B08" w14:textId="156C2B39" w:rsidR="00F464D1" w:rsidRPr="00353AE1" w:rsidRDefault="00C90F66" w:rsidP="00CC324C">
      <w:pPr>
        <w:spacing w:after="120"/>
        <w:jc w:val="left"/>
      </w:pPr>
      <w:r w:rsidRPr="00353AE1">
        <w:t>The results indicate that both</w:t>
      </w:r>
      <w:r w:rsidR="00494371" w:rsidRPr="00353AE1">
        <w:t xml:space="preserve"> modelled</w:t>
      </w:r>
      <w:r w:rsidRPr="00353AE1">
        <w:t xml:space="preserve"> reforms</w:t>
      </w:r>
      <w:r w:rsidR="0002432F" w:rsidRPr="00353AE1">
        <w:t xml:space="preserve"> </w:t>
      </w:r>
      <w:r w:rsidRPr="00353AE1">
        <w:t xml:space="preserve">generate positive national economic effects. </w:t>
      </w:r>
    </w:p>
    <w:p w14:paraId="7DBC43A9" w14:textId="68ED6C5A" w:rsidR="00F464D1" w:rsidRPr="00353AE1" w:rsidRDefault="00C90F66" w:rsidP="00CC324C">
      <w:pPr>
        <w:spacing w:after="120"/>
        <w:jc w:val="left"/>
      </w:pPr>
      <w:r w:rsidRPr="00353AE1">
        <w:t>Under Scenario 1, real GDP rises by 0.09 per cent</w:t>
      </w:r>
      <w:r w:rsidR="00DB0382" w:rsidRPr="00353AE1">
        <w:t xml:space="preserve"> above baseline</w:t>
      </w:r>
      <w:r w:rsidRPr="00353AE1">
        <w:t xml:space="preserve"> </w:t>
      </w:r>
      <w:r w:rsidR="00B64638" w:rsidRPr="00353AE1">
        <w:t>on impact</w:t>
      </w:r>
      <w:r w:rsidRPr="00353AE1">
        <w:t xml:space="preserve"> and 0.10 per cent by 2040. Real household consumption, investment and exports also rise. These gains reflect lower Road Freight costs</w:t>
      </w:r>
      <w:r w:rsidR="009A1D4C" w:rsidRPr="00353AE1">
        <w:t xml:space="preserve"> </w:t>
      </w:r>
      <w:r w:rsidRPr="00353AE1">
        <w:t>support</w:t>
      </w:r>
      <w:r w:rsidR="009A1D4C" w:rsidRPr="00353AE1">
        <w:t>ing</w:t>
      </w:r>
      <w:r w:rsidRPr="00353AE1">
        <w:t xml:space="preserve"> output in road-freight-using industries. </w:t>
      </w:r>
      <w:r w:rsidR="00276F37" w:rsidRPr="00353AE1">
        <w:t xml:space="preserve">The additional road-wear expenditure increases public demand for civil engineering construction, providing a boost to construction </w:t>
      </w:r>
      <w:r w:rsidR="002825C1" w:rsidRPr="00353AE1">
        <w:t>activit</w:t>
      </w:r>
      <w:r w:rsidR="00DE193B" w:rsidRPr="00353AE1">
        <w:t>y</w:t>
      </w:r>
      <w:r w:rsidR="00276F37" w:rsidRPr="00353AE1">
        <w:t xml:space="preserve"> but weakening the </w:t>
      </w:r>
      <w:r w:rsidR="00492FA9" w:rsidRPr="00353AE1">
        <w:t xml:space="preserve">government </w:t>
      </w:r>
      <w:r w:rsidR="00276F37" w:rsidRPr="00353AE1">
        <w:t>budget position.</w:t>
      </w:r>
    </w:p>
    <w:p w14:paraId="35C6FA8B" w14:textId="14586B91" w:rsidR="00C90F66" w:rsidRPr="00353AE1" w:rsidRDefault="00C90F66" w:rsidP="00CC324C">
      <w:pPr>
        <w:spacing w:after="120"/>
        <w:jc w:val="left"/>
      </w:pPr>
      <w:r w:rsidRPr="00353AE1">
        <w:t xml:space="preserve">Under Scenario 2, </w:t>
      </w:r>
      <w:r w:rsidR="009F61FB" w:rsidRPr="00353AE1">
        <w:t>r</w:t>
      </w:r>
      <w:r w:rsidRPr="00353AE1">
        <w:t xml:space="preserve">eal GDP rises by 0.04 per cent </w:t>
      </w:r>
      <w:r w:rsidR="00DB0382" w:rsidRPr="00353AE1">
        <w:t xml:space="preserve">above baseline </w:t>
      </w:r>
      <w:r w:rsidR="00B64638" w:rsidRPr="00353AE1">
        <w:t>on impact</w:t>
      </w:r>
      <w:r w:rsidRPr="00353AE1">
        <w:t xml:space="preserve"> and 0.05 per cent by 2040</w:t>
      </w:r>
      <w:r w:rsidR="00C47C39" w:rsidRPr="00353AE1">
        <w:t xml:space="preserve">. The economic benefits </w:t>
      </w:r>
      <w:r w:rsidR="000C64F6" w:rsidRPr="00353AE1">
        <w:t xml:space="preserve">from the </w:t>
      </w:r>
      <w:r w:rsidR="00DA307F" w:rsidRPr="00353AE1">
        <w:t>R</w:t>
      </w:r>
      <w:r w:rsidR="000C64F6" w:rsidRPr="00353AE1">
        <w:t xml:space="preserve">oad </w:t>
      </w:r>
      <w:r w:rsidR="00DA307F" w:rsidRPr="00353AE1">
        <w:t>F</w:t>
      </w:r>
      <w:r w:rsidR="000C64F6" w:rsidRPr="00353AE1">
        <w:t xml:space="preserve">reight productivity improvement </w:t>
      </w:r>
      <w:r w:rsidR="00C47C39" w:rsidRPr="00353AE1">
        <w:t xml:space="preserve">are concentrated in </w:t>
      </w:r>
      <w:r w:rsidR="00254F4B" w:rsidRPr="00353AE1">
        <w:t xml:space="preserve">the states and territories </w:t>
      </w:r>
      <w:r w:rsidR="00C47C39" w:rsidRPr="00353AE1">
        <w:t xml:space="preserve">where </w:t>
      </w:r>
      <w:r w:rsidR="00C65A2E" w:rsidRPr="00353AE1">
        <w:t xml:space="preserve">the </w:t>
      </w:r>
      <w:r w:rsidR="00FD7C2C" w:rsidRPr="00353AE1">
        <w:t xml:space="preserve">Road Freight </w:t>
      </w:r>
      <w:r w:rsidR="00C65A2E" w:rsidRPr="00353AE1">
        <w:t>productivity shock is applied.</w:t>
      </w:r>
    </w:p>
    <w:p w14:paraId="5A39E063" w14:textId="35EA67E6" w:rsidR="00C90F66" w:rsidRPr="00353AE1" w:rsidRDefault="00C90F66" w:rsidP="00CC324C">
      <w:pPr>
        <w:spacing w:after="120"/>
        <w:jc w:val="left"/>
      </w:pPr>
      <w:r w:rsidRPr="00353AE1">
        <w:t xml:space="preserve">Across both scenarios, the main sectoral beneficiaries are Road Freight and industries that rely relatively heavily on road freight services, </w:t>
      </w:r>
      <w:r w:rsidR="00D40EBC" w:rsidRPr="00353AE1">
        <w:t>such as</w:t>
      </w:r>
      <w:r w:rsidRPr="00353AE1">
        <w:t xml:space="preserve"> agriculture, manufacturing, wholesale trade and retail trade. In Scenario 1, civil engineering construction also expands strongly because of the additional road-wear expenditure. Some sectors contract. Railway Freight contracts because it </w:t>
      </w:r>
      <w:r w:rsidR="001C38AC" w:rsidRPr="00353AE1">
        <w:t xml:space="preserve">directly </w:t>
      </w:r>
      <w:r w:rsidRPr="00353AE1">
        <w:t>competes with Road Freight. Heavy Vehicle</w:t>
      </w:r>
      <w:r w:rsidR="008E53DB" w:rsidRPr="00353AE1">
        <w:t xml:space="preserve"> output</w:t>
      </w:r>
      <w:r w:rsidRPr="00353AE1">
        <w:t xml:space="preserve"> contract</w:t>
      </w:r>
      <w:r w:rsidR="00755A9A" w:rsidRPr="00353AE1">
        <w:t>s</w:t>
      </w:r>
      <w:r w:rsidRPr="00353AE1">
        <w:t xml:space="preserve"> because higher Road Freight productivity reduces commercial vehicle input requirements per unit of freight output.</w:t>
      </w:r>
    </w:p>
    <w:p w14:paraId="79622588" w14:textId="43F9E50D" w:rsidR="00C90F66" w:rsidRPr="00353AE1" w:rsidRDefault="00C90F66" w:rsidP="00CC324C">
      <w:pPr>
        <w:spacing w:after="120"/>
        <w:jc w:val="left"/>
      </w:pPr>
      <w:r w:rsidRPr="00353AE1">
        <w:t>The regional impacts are uneven. Tasmania records the strongest gains in both scenarios, reflecting its relatively high Road Freight margin intensity and the resulting larger cost savings from lower Road Freight costs. The stronger Tasmanian economy also attracts</w:t>
      </w:r>
      <w:r w:rsidR="00276B0A" w:rsidRPr="00353AE1">
        <w:t xml:space="preserve"> </w:t>
      </w:r>
      <w:r w:rsidRPr="00353AE1">
        <w:t>interstate migration</w:t>
      </w:r>
      <w:r w:rsidR="00E37A29" w:rsidRPr="00353AE1">
        <w:t xml:space="preserve"> into Tasmania</w:t>
      </w:r>
      <w:r w:rsidRPr="00353AE1">
        <w:t>, supporting</w:t>
      </w:r>
      <w:r w:rsidR="00A439A0" w:rsidRPr="00353AE1">
        <w:t xml:space="preserve"> regional</w:t>
      </w:r>
      <w:r w:rsidRPr="00353AE1">
        <w:t xml:space="preserve"> household consumption and employment. In Scenario 2, </w:t>
      </w:r>
      <w:r w:rsidR="00CE0D85" w:rsidRPr="00353AE1">
        <w:t>Western Australia and Northern Territory</w:t>
      </w:r>
      <w:r w:rsidRPr="00353AE1">
        <w:t xml:space="preserve"> gain less than other regions because </w:t>
      </w:r>
      <w:r w:rsidR="0050110C" w:rsidRPr="00353AE1">
        <w:t>they</w:t>
      </w:r>
      <w:r w:rsidRPr="00353AE1">
        <w:t xml:space="preserve"> </w:t>
      </w:r>
      <w:r w:rsidR="0050110C" w:rsidRPr="00353AE1">
        <w:t>are</w:t>
      </w:r>
      <w:r w:rsidRPr="00353AE1">
        <w:t xml:space="preserve"> excluded from the direct </w:t>
      </w:r>
      <w:r w:rsidR="00FD18C3" w:rsidRPr="00353AE1">
        <w:t xml:space="preserve">Road Freight </w:t>
      </w:r>
      <w:r w:rsidRPr="00353AE1">
        <w:t xml:space="preserve">productivity shock. </w:t>
      </w:r>
      <w:r w:rsidR="009405BB" w:rsidRPr="00353AE1">
        <w:t>They are</w:t>
      </w:r>
      <w:r w:rsidRPr="00353AE1">
        <w:t xml:space="preserve"> affected indirectly through relative cost changes and resource reallocation elsewhere in the national economy.</w:t>
      </w:r>
    </w:p>
    <w:p w14:paraId="3B238234" w14:textId="58797773" w:rsidR="002A50E2" w:rsidRPr="00353AE1" w:rsidRDefault="00C90F66" w:rsidP="00CC324C">
      <w:pPr>
        <w:spacing w:after="120"/>
        <w:jc w:val="left"/>
      </w:pPr>
      <w:r w:rsidRPr="00353AE1">
        <w:t xml:space="preserve">Government budget effects differ between the two scenarios. </w:t>
      </w:r>
      <w:r w:rsidR="001D271A" w:rsidRPr="00353AE1">
        <w:t xml:space="preserve">In Scenario 1, the additional </w:t>
      </w:r>
      <w:r w:rsidR="001D271A" w:rsidRPr="00353AE1">
        <w:lastRenderedPageBreak/>
        <w:t xml:space="preserve">road-wear expenditure </w:t>
      </w:r>
      <w:r w:rsidR="00B35147" w:rsidRPr="00353AE1">
        <w:t xml:space="preserve">is split between federal and state/local governments. </w:t>
      </w:r>
      <w:r w:rsidR="009B50DF" w:rsidRPr="00353AE1">
        <w:t>For the federal government, revenue gains from federal taxes more than offset its share of the road-wear expenditure, leading to a positive net budget position</w:t>
      </w:r>
      <w:r w:rsidR="000B11EB" w:rsidRPr="00353AE1">
        <w:t>.</w:t>
      </w:r>
      <w:r w:rsidR="00B1501E" w:rsidRPr="00353AE1">
        <w:t xml:space="preserve"> </w:t>
      </w:r>
      <w:r w:rsidR="002A50E2" w:rsidRPr="00353AE1">
        <w:t>By contrast, state/local governments bear the larger share of the additional road-wear expenditure. The increase in state/local</w:t>
      </w:r>
      <w:r w:rsidR="00585499" w:rsidRPr="00353AE1">
        <w:t xml:space="preserve"> government</w:t>
      </w:r>
      <w:r w:rsidR="002A50E2" w:rsidRPr="00353AE1">
        <w:t xml:space="preserve"> revenue generated by stronger economic activity falls short of the rise in expenditure, leading to negative net budget positions relative to baseline.</w:t>
      </w:r>
    </w:p>
    <w:p w14:paraId="4546BE01" w14:textId="2CDD4556" w:rsidR="00C90F66" w:rsidRPr="00353AE1" w:rsidRDefault="00C90F66" w:rsidP="00CC324C">
      <w:pPr>
        <w:spacing w:after="120"/>
        <w:jc w:val="left"/>
      </w:pPr>
      <w:r w:rsidRPr="00353AE1">
        <w:t>In Scenario 2, the net budget position improves</w:t>
      </w:r>
      <w:r w:rsidR="002E5A33" w:rsidRPr="00353AE1">
        <w:t xml:space="preserve"> for the federal government</w:t>
      </w:r>
      <w:r w:rsidRPr="00353AE1">
        <w:t xml:space="preserve">. </w:t>
      </w:r>
      <w:r w:rsidR="00DD685A" w:rsidRPr="00353AE1">
        <w:t>At the state level, budget outcomes broadly follow regional economic activity</w:t>
      </w:r>
      <w:r w:rsidR="00F55722" w:rsidRPr="00353AE1">
        <w:t xml:space="preserve"> and generally improve for most regions</w:t>
      </w:r>
      <w:r w:rsidR="00DD685A" w:rsidRPr="00353AE1">
        <w:t>. However, Tasmania’s strong population inflow increases public expenditure obligations, as the model closure ties government consumption</w:t>
      </w:r>
      <w:r w:rsidR="00305BAA" w:rsidRPr="00353AE1">
        <w:t xml:space="preserve"> within a region</w:t>
      </w:r>
      <w:r w:rsidR="00DD685A" w:rsidRPr="00353AE1">
        <w:t xml:space="preserve"> to </w:t>
      </w:r>
      <w:r w:rsidR="00305BAA" w:rsidRPr="00353AE1">
        <w:t xml:space="preserve">regional </w:t>
      </w:r>
      <w:r w:rsidR="00DD685A" w:rsidRPr="00353AE1">
        <w:t>population</w:t>
      </w:r>
      <w:r w:rsidR="00305BAA" w:rsidRPr="00353AE1">
        <w:t xml:space="preserve"> levels</w:t>
      </w:r>
      <w:r w:rsidR="00DD685A" w:rsidRPr="00353AE1">
        <w:t xml:space="preserve">, </w:t>
      </w:r>
      <w:r w:rsidR="00413446" w:rsidRPr="00353AE1">
        <w:t xml:space="preserve">more than </w:t>
      </w:r>
      <w:r w:rsidR="000E1BA0" w:rsidRPr="00353AE1">
        <w:t xml:space="preserve">offsetting </w:t>
      </w:r>
      <w:r w:rsidR="000158E4" w:rsidRPr="00353AE1">
        <w:t>the revenue gain associated with stronger regional activities.</w:t>
      </w:r>
    </w:p>
    <w:p w14:paraId="45F3FFE9" w14:textId="66A84406" w:rsidR="00376ACF" w:rsidRPr="00353AE1" w:rsidRDefault="00C90F66" w:rsidP="00CC324C">
      <w:pPr>
        <w:spacing w:after="120"/>
        <w:jc w:val="left"/>
      </w:pPr>
      <w:r w:rsidRPr="00353AE1">
        <w:t xml:space="preserve">Overall, </w:t>
      </w:r>
      <w:r w:rsidR="005B276B" w:rsidRPr="00353AE1">
        <w:t>our</w:t>
      </w:r>
      <w:r w:rsidRPr="00353AE1">
        <w:t xml:space="preserve"> modelling suggests that heavy vehicle reforms can improve economy-wide performance by reducing Road Freight costs and supporting freight-using sectors. The size and distribution of gains depend on reform design, </w:t>
      </w:r>
      <w:r w:rsidR="006430F2" w:rsidRPr="00353AE1">
        <w:t xml:space="preserve">regional </w:t>
      </w:r>
      <w:r w:rsidRPr="00353AE1">
        <w:t xml:space="preserve">coverage, </w:t>
      </w:r>
      <w:r w:rsidR="0053067F" w:rsidRPr="00353AE1">
        <w:t xml:space="preserve">regional and </w:t>
      </w:r>
      <w:r w:rsidR="00892378" w:rsidRPr="00353AE1">
        <w:t>sectoral</w:t>
      </w:r>
      <w:r w:rsidRPr="00353AE1">
        <w:t xml:space="preserve"> cost structures</w:t>
      </w:r>
      <w:r w:rsidR="00F15D8B" w:rsidRPr="00353AE1">
        <w:t>,</w:t>
      </w:r>
      <w:r w:rsidRPr="00353AE1">
        <w:t xml:space="preserve"> and associated infrastructure costs.</w:t>
      </w:r>
    </w:p>
    <w:p w14:paraId="23F84F63" w14:textId="77777777" w:rsidR="00376ACF" w:rsidRPr="00353AE1" w:rsidRDefault="00376ACF" w:rsidP="00CC324C">
      <w:pPr>
        <w:widowControl/>
        <w:spacing w:after="120"/>
        <w:jc w:val="left"/>
      </w:pPr>
      <w:r w:rsidRPr="00353AE1">
        <w:br w:type="page"/>
      </w:r>
    </w:p>
    <w:sdt>
      <w:sdtPr>
        <w:rPr>
          <w:rFonts w:eastAsiaTheme="minorEastAsia" w:cs="Calibri"/>
          <w:color w:val="auto"/>
          <w:kern w:val="2"/>
          <w:sz w:val="22"/>
          <w:szCs w:val="22"/>
          <w:lang w:val="en-AU" w:eastAsia="zh-CN"/>
        </w:rPr>
        <w:id w:val="1180314480"/>
        <w:docPartObj>
          <w:docPartGallery w:val="Table of Contents"/>
          <w:docPartUnique/>
        </w:docPartObj>
      </w:sdtPr>
      <w:sdtEndPr>
        <w:rPr>
          <w:b/>
          <w:bCs/>
          <w:noProof/>
        </w:rPr>
      </w:sdtEndPr>
      <w:sdtContent>
        <w:p w14:paraId="4CCB78C8" w14:textId="563DFD59" w:rsidR="00D93328" w:rsidRPr="00353AE1" w:rsidRDefault="00D93328" w:rsidP="004D07EA">
          <w:pPr>
            <w:pStyle w:val="TOCHeading"/>
            <w:spacing w:before="0" w:after="120"/>
            <w:rPr>
              <w:rFonts w:cs="Calibri"/>
            </w:rPr>
          </w:pPr>
          <w:r w:rsidRPr="00353AE1">
            <w:rPr>
              <w:rFonts w:cs="Calibri"/>
            </w:rPr>
            <w:t>Table of Contents</w:t>
          </w:r>
        </w:p>
        <w:p w14:paraId="4E25B52D" w14:textId="50868082" w:rsidR="00A72F8F" w:rsidRDefault="00D93328">
          <w:pPr>
            <w:pStyle w:val="TOC1"/>
            <w:tabs>
              <w:tab w:val="right" w:leader="dot" w:pos="8296"/>
            </w:tabs>
            <w:rPr>
              <w:rFonts w:asciiTheme="minorHAnsi" w:hAnsiTheme="minorHAnsi" w:cstheme="minorBidi"/>
              <w:noProof/>
              <w:sz w:val="24"/>
              <w:szCs w:val="24"/>
              <w14:ligatures w14:val="standardContextual"/>
            </w:rPr>
          </w:pPr>
          <w:r w:rsidRPr="00353AE1">
            <w:fldChar w:fldCharType="begin"/>
          </w:r>
          <w:r w:rsidRPr="00353AE1">
            <w:instrText xml:space="preserve"> TOC \o "1-3" \h \z \u </w:instrText>
          </w:r>
          <w:r w:rsidRPr="00353AE1">
            <w:fldChar w:fldCharType="separate"/>
          </w:r>
          <w:hyperlink w:anchor="_Toc234277224" w:history="1">
            <w:r w:rsidR="00A72F8F" w:rsidRPr="00EA2828">
              <w:rPr>
                <w:rStyle w:val="Hyperlink"/>
                <w:noProof/>
              </w:rPr>
              <w:t>Executive Summary</w:t>
            </w:r>
            <w:r w:rsidR="00A72F8F">
              <w:rPr>
                <w:noProof/>
                <w:webHidden/>
              </w:rPr>
              <w:tab/>
            </w:r>
            <w:r w:rsidR="00A72F8F">
              <w:rPr>
                <w:noProof/>
                <w:webHidden/>
              </w:rPr>
              <w:fldChar w:fldCharType="begin"/>
            </w:r>
            <w:r w:rsidR="00A72F8F">
              <w:rPr>
                <w:noProof/>
                <w:webHidden/>
              </w:rPr>
              <w:instrText xml:space="preserve"> PAGEREF _Toc234277224 \h </w:instrText>
            </w:r>
            <w:r w:rsidR="00A72F8F">
              <w:rPr>
                <w:noProof/>
                <w:webHidden/>
              </w:rPr>
            </w:r>
            <w:r w:rsidR="00A72F8F">
              <w:rPr>
                <w:noProof/>
                <w:webHidden/>
              </w:rPr>
              <w:fldChar w:fldCharType="separate"/>
            </w:r>
            <w:r w:rsidR="00A72F8F">
              <w:rPr>
                <w:noProof/>
                <w:webHidden/>
              </w:rPr>
              <w:t>1</w:t>
            </w:r>
            <w:r w:rsidR="00A72F8F">
              <w:rPr>
                <w:noProof/>
                <w:webHidden/>
              </w:rPr>
              <w:fldChar w:fldCharType="end"/>
            </w:r>
          </w:hyperlink>
        </w:p>
        <w:p w14:paraId="17A469AC" w14:textId="4ABFE53E"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25" w:history="1">
            <w:r w:rsidRPr="00EA2828">
              <w:rPr>
                <w:rStyle w:val="Hyperlink"/>
                <w:noProof/>
              </w:rPr>
              <w:t>1.</w:t>
            </w:r>
            <w:r>
              <w:rPr>
                <w:rFonts w:asciiTheme="minorHAnsi" w:hAnsiTheme="minorHAnsi" w:cstheme="minorBidi"/>
                <w:noProof/>
                <w:sz w:val="24"/>
                <w:szCs w:val="24"/>
                <w14:ligatures w14:val="standardContextual"/>
              </w:rPr>
              <w:tab/>
            </w:r>
            <w:r w:rsidRPr="00EA2828">
              <w:rPr>
                <w:rStyle w:val="Hyperlink"/>
                <w:noProof/>
              </w:rPr>
              <w:t>Introduction</w:t>
            </w:r>
            <w:r>
              <w:rPr>
                <w:noProof/>
                <w:webHidden/>
              </w:rPr>
              <w:tab/>
            </w:r>
            <w:r>
              <w:rPr>
                <w:noProof/>
                <w:webHidden/>
              </w:rPr>
              <w:fldChar w:fldCharType="begin"/>
            </w:r>
            <w:r>
              <w:rPr>
                <w:noProof/>
                <w:webHidden/>
              </w:rPr>
              <w:instrText xml:space="preserve"> PAGEREF _Toc234277225 \h </w:instrText>
            </w:r>
            <w:r>
              <w:rPr>
                <w:noProof/>
                <w:webHidden/>
              </w:rPr>
            </w:r>
            <w:r>
              <w:rPr>
                <w:noProof/>
                <w:webHidden/>
              </w:rPr>
              <w:fldChar w:fldCharType="separate"/>
            </w:r>
            <w:r>
              <w:rPr>
                <w:noProof/>
                <w:webHidden/>
              </w:rPr>
              <w:t>5</w:t>
            </w:r>
            <w:r>
              <w:rPr>
                <w:noProof/>
                <w:webHidden/>
              </w:rPr>
              <w:fldChar w:fldCharType="end"/>
            </w:r>
          </w:hyperlink>
        </w:p>
        <w:p w14:paraId="1976BBA9" w14:textId="719BB514"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26" w:history="1">
            <w:r w:rsidRPr="00EA2828">
              <w:rPr>
                <w:rStyle w:val="Hyperlink"/>
                <w:noProof/>
              </w:rPr>
              <w:t>2.</w:t>
            </w:r>
            <w:r>
              <w:rPr>
                <w:rFonts w:asciiTheme="minorHAnsi" w:hAnsiTheme="minorHAnsi" w:cstheme="minorBidi"/>
                <w:noProof/>
                <w:sz w:val="24"/>
                <w:szCs w:val="24"/>
                <w14:ligatures w14:val="standardContextual"/>
              </w:rPr>
              <w:tab/>
            </w:r>
            <w:r w:rsidRPr="00EA2828">
              <w:rPr>
                <w:rStyle w:val="Hyperlink"/>
                <w:noProof/>
              </w:rPr>
              <w:t>Modelling framework</w:t>
            </w:r>
            <w:r>
              <w:rPr>
                <w:noProof/>
                <w:webHidden/>
              </w:rPr>
              <w:tab/>
            </w:r>
            <w:r>
              <w:rPr>
                <w:noProof/>
                <w:webHidden/>
              </w:rPr>
              <w:fldChar w:fldCharType="begin"/>
            </w:r>
            <w:r>
              <w:rPr>
                <w:noProof/>
                <w:webHidden/>
              </w:rPr>
              <w:instrText xml:space="preserve"> PAGEREF _Toc234277226 \h </w:instrText>
            </w:r>
            <w:r>
              <w:rPr>
                <w:noProof/>
                <w:webHidden/>
              </w:rPr>
            </w:r>
            <w:r>
              <w:rPr>
                <w:noProof/>
                <w:webHidden/>
              </w:rPr>
              <w:fldChar w:fldCharType="separate"/>
            </w:r>
            <w:r>
              <w:rPr>
                <w:noProof/>
                <w:webHidden/>
              </w:rPr>
              <w:t>5</w:t>
            </w:r>
            <w:r>
              <w:rPr>
                <w:noProof/>
                <w:webHidden/>
              </w:rPr>
              <w:fldChar w:fldCharType="end"/>
            </w:r>
          </w:hyperlink>
        </w:p>
        <w:p w14:paraId="7B0A0381" w14:textId="7F8B714A"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27" w:history="1">
            <w:r w:rsidRPr="00EA2828">
              <w:rPr>
                <w:rStyle w:val="Hyperlink"/>
                <w:noProof/>
              </w:rPr>
              <w:t>2.1 The VURMTAX model</w:t>
            </w:r>
            <w:r>
              <w:rPr>
                <w:noProof/>
                <w:webHidden/>
              </w:rPr>
              <w:tab/>
            </w:r>
            <w:r>
              <w:rPr>
                <w:noProof/>
                <w:webHidden/>
              </w:rPr>
              <w:fldChar w:fldCharType="begin"/>
            </w:r>
            <w:r>
              <w:rPr>
                <w:noProof/>
                <w:webHidden/>
              </w:rPr>
              <w:instrText xml:space="preserve"> PAGEREF _Toc234277227 \h </w:instrText>
            </w:r>
            <w:r>
              <w:rPr>
                <w:noProof/>
                <w:webHidden/>
              </w:rPr>
            </w:r>
            <w:r>
              <w:rPr>
                <w:noProof/>
                <w:webHidden/>
              </w:rPr>
              <w:fldChar w:fldCharType="separate"/>
            </w:r>
            <w:r>
              <w:rPr>
                <w:noProof/>
                <w:webHidden/>
              </w:rPr>
              <w:t>5</w:t>
            </w:r>
            <w:r>
              <w:rPr>
                <w:noProof/>
                <w:webHidden/>
              </w:rPr>
              <w:fldChar w:fldCharType="end"/>
            </w:r>
          </w:hyperlink>
        </w:p>
        <w:p w14:paraId="4A356625" w14:textId="6C56EF69"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28" w:history="1">
            <w:r w:rsidRPr="00EA2828">
              <w:rPr>
                <w:rStyle w:val="Hyperlink"/>
                <w:noProof/>
              </w:rPr>
              <w:t>2.2 Representation of the heavy vehicle sector</w:t>
            </w:r>
            <w:r>
              <w:rPr>
                <w:noProof/>
                <w:webHidden/>
              </w:rPr>
              <w:tab/>
            </w:r>
            <w:r>
              <w:rPr>
                <w:noProof/>
                <w:webHidden/>
              </w:rPr>
              <w:fldChar w:fldCharType="begin"/>
            </w:r>
            <w:r>
              <w:rPr>
                <w:noProof/>
                <w:webHidden/>
              </w:rPr>
              <w:instrText xml:space="preserve"> PAGEREF _Toc234277228 \h </w:instrText>
            </w:r>
            <w:r>
              <w:rPr>
                <w:noProof/>
                <w:webHidden/>
              </w:rPr>
            </w:r>
            <w:r>
              <w:rPr>
                <w:noProof/>
                <w:webHidden/>
              </w:rPr>
              <w:fldChar w:fldCharType="separate"/>
            </w:r>
            <w:r>
              <w:rPr>
                <w:noProof/>
                <w:webHidden/>
              </w:rPr>
              <w:t>7</w:t>
            </w:r>
            <w:r>
              <w:rPr>
                <w:noProof/>
                <w:webHidden/>
              </w:rPr>
              <w:fldChar w:fldCharType="end"/>
            </w:r>
          </w:hyperlink>
        </w:p>
        <w:p w14:paraId="7D9C8410" w14:textId="43C32D92"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29" w:history="1">
            <w:r w:rsidRPr="00EA2828">
              <w:rPr>
                <w:rStyle w:val="Hyperlink"/>
                <w:noProof/>
              </w:rPr>
              <w:t>3.</w:t>
            </w:r>
            <w:r>
              <w:rPr>
                <w:rFonts w:asciiTheme="minorHAnsi" w:hAnsiTheme="minorHAnsi" w:cstheme="minorBidi"/>
                <w:noProof/>
                <w:sz w:val="24"/>
                <w:szCs w:val="24"/>
                <w14:ligatures w14:val="standardContextual"/>
              </w:rPr>
              <w:tab/>
            </w:r>
            <w:r w:rsidRPr="00EA2828">
              <w:rPr>
                <w:rStyle w:val="Hyperlink"/>
                <w:noProof/>
              </w:rPr>
              <w:t>Simulation design</w:t>
            </w:r>
            <w:r>
              <w:rPr>
                <w:noProof/>
                <w:webHidden/>
              </w:rPr>
              <w:tab/>
            </w:r>
            <w:r>
              <w:rPr>
                <w:noProof/>
                <w:webHidden/>
              </w:rPr>
              <w:fldChar w:fldCharType="begin"/>
            </w:r>
            <w:r>
              <w:rPr>
                <w:noProof/>
                <w:webHidden/>
              </w:rPr>
              <w:instrText xml:space="preserve"> PAGEREF _Toc234277229 \h </w:instrText>
            </w:r>
            <w:r>
              <w:rPr>
                <w:noProof/>
                <w:webHidden/>
              </w:rPr>
            </w:r>
            <w:r>
              <w:rPr>
                <w:noProof/>
                <w:webHidden/>
              </w:rPr>
              <w:fldChar w:fldCharType="separate"/>
            </w:r>
            <w:r>
              <w:rPr>
                <w:noProof/>
                <w:webHidden/>
              </w:rPr>
              <w:t>9</w:t>
            </w:r>
            <w:r>
              <w:rPr>
                <w:noProof/>
                <w:webHidden/>
              </w:rPr>
              <w:fldChar w:fldCharType="end"/>
            </w:r>
          </w:hyperlink>
        </w:p>
        <w:p w14:paraId="788345DB" w14:textId="7DD1110E"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0" w:history="1">
            <w:r w:rsidRPr="00EA2828">
              <w:rPr>
                <w:rStyle w:val="Hyperlink"/>
                <w:noProof/>
              </w:rPr>
              <w:t>3.1 Key elements of the policy closure</w:t>
            </w:r>
            <w:r>
              <w:rPr>
                <w:noProof/>
                <w:webHidden/>
              </w:rPr>
              <w:tab/>
            </w:r>
            <w:r>
              <w:rPr>
                <w:noProof/>
                <w:webHidden/>
              </w:rPr>
              <w:fldChar w:fldCharType="begin"/>
            </w:r>
            <w:r>
              <w:rPr>
                <w:noProof/>
                <w:webHidden/>
              </w:rPr>
              <w:instrText xml:space="preserve"> PAGEREF _Toc234277230 \h </w:instrText>
            </w:r>
            <w:r>
              <w:rPr>
                <w:noProof/>
                <w:webHidden/>
              </w:rPr>
            </w:r>
            <w:r>
              <w:rPr>
                <w:noProof/>
                <w:webHidden/>
              </w:rPr>
              <w:fldChar w:fldCharType="separate"/>
            </w:r>
            <w:r>
              <w:rPr>
                <w:noProof/>
                <w:webHidden/>
              </w:rPr>
              <w:t>9</w:t>
            </w:r>
            <w:r>
              <w:rPr>
                <w:noProof/>
                <w:webHidden/>
              </w:rPr>
              <w:fldChar w:fldCharType="end"/>
            </w:r>
          </w:hyperlink>
        </w:p>
        <w:p w14:paraId="5F1BE010" w14:textId="7C42D5FA"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1" w:history="1">
            <w:r w:rsidRPr="00EA2828">
              <w:rPr>
                <w:rStyle w:val="Hyperlink"/>
                <w:noProof/>
              </w:rPr>
              <w:t>3.2 Implementation of the policy shocks</w:t>
            </w:r>
            <w:r>
              <w:rPr>
                <w:noProof/>
                <w:webHidden/>
              </w:rPr>
              <w:tab/>
            </w:r>
            <w:r>
              <w:rPr>
                <w:noProof/>
                <w:webHidden/>
              </w:rPr>
              <w:fldChar w:fldCharType="begin"/>
            </w:r>
            <w:r>
              <w:rPr>
                <w:noProof/>
                <w:webHidden/>
              </w:rPr>
              <w:instrText xml:space="preserve"> PAGEREF _Toc234277231 \h </w:instrText>
            </w:r>
            <w:r>
              <w:rPr>
                <w:noProof/>
                <w:webHidden/>
              </w:rPr>
            </w:r>
            <w:r>
              <w:rPr>
                <w:noProof/>
                <w:webHidden/>
              </w:rPr>
              <w:fldChar w:fldCharType="separate"/>
            </w:r>
            <w:r>
              <w:rPr>
                <w:noProof/>
                <w:webHidden/>
              </w:rPr>
              <w:t>10</w:t>
            </w:r>
            <w:r>
              <w:rPr>
                <w:noProof/>
                <w:webHidden/>
              </w:rPr>
              <w:fldChar w:fldCharType="end"/>
            </w:r>
          </w:hyperlink>
        </w:p>
        <w:p w14:paraId="4B6FA93E" w14:textId="4D4E49EC"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32" w:history="1">
            <w:r w:rsidRPr="00EA2828">
              <w:rPr>
                <w:rStyle w:val="Hyperlink"/>
                <w:noProof/>
              </w:rPr>
              <w:t>4.</w:t>
            </w:r>
            <w:r>
              <w:rPr>
                <w:rFonts w:asciiTheme="minorHAnsi" w:hAnsiTheme="minorHAnsi" w:cstheme="minorBidi"/>
                <w:noProof/>
                <w:sz w:val="24"/>
                <w:szCs w:val="24"/>
                <w14:ligatures w14:val="standardContextual"/>
              </w:rPr>
              <w:tab/>
            </w:r>
            <w:r w:rsidRPr="00EA2828">
              <w:rPr>
                <w:rStyle w:val="Hyperlink"/>
                <w:noProof/>
              </w:rPr>
              <w:t>Results: Scenario 1</w:t>
            </w:r>
            <w:r>
              <w:rPr>
                <w:noProof/>
                <w:webHidden/>
              </w:rPr>
              <w:tab/>
            </w:r>
            <w:r>
              <w:rPr>
                <w:noProof/>
                <w:webHidden/>
              </w:rPr>
              <w:fldChar w:fldCharType="begin"/>
            </w:r>
            <w:r>
              <w:rPr>
                <w:noProof/>
                <w:webHidden/>
              </w:rPr>
              <w:instrText xml:space="preserve"> PAGEREF _Toc234277232 \h </w:instrText>
            </w:r>
            <w:r>
              <w:rPr>
                <w:noProof/>
                <w:webHidden/>
              </w:rPr>
            </w:r>
            <w:r>
              <w:rPr>
                <w:noProof/>
                <w:webHidden/>
              </w:rPr>
              <w:fldChar w:fldCharType="separate"/>
            </w:r>
            <w:r>
              <w:rPr>
                <w:noProof/>
                <w:webHidden/>
              </w:rPr>
              <w:t>12</w:t>
            </w:r>
            <w:r>
              <w:rPr>
                <w:noProof/>
                <w:webHidden/>
              </w:rPr>
              <w:fldChar w:fldCharType="end"/>
            </w:r>
          </w:hyperlink>
        </w:p>
        <w:p w14:paraId="15BC8ACA" w14:textId="1AEAB108"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3" w:history="1">
            <w:r w:rsidRPr="00EA2828">
              <w:rPr>
                <w:rStyle w:val="Hyperlink"/>
                <w:noProof/>
              </w:rPr>
              <w:t>4.1 Impacts on Road Freight</w:t>
            </w:r>
            <w:r>
              <w:rPr>
                <w:noProof/>
                <w:webHidden/>
              </w:rPr>
              <w:tab/>
            </w:r>
            <w:r>
              <w:rPr>
                <w:noProof/>
                <w:webHidden/>
              </w:rPr>
              <w:fldChar w:fldCharType="begin"/>
            </w:r>
            <w:r>
              <w:rPr>
                <w:noProof/>
                <w:webHidden/>
              </w:rPr>
              <w:instrText xml:space="preserve"> PAGEREF _Toc234277233 \h </w:instrText>
            </w:r>
            <w:r>
              <w:rPr>
                <w:noProof/>
                <w:webHidden/>
              </w:rPr>
            </w:r>
            <w:r>
              <w:rPr>
                <w:noProof/>
                <w:webHidden/>
              </w:rPr>
              <w:fldChar w:fldCharType="separate"/>
            </w:r>
            <w:r>
              <w:rPr>
                <w:noProof/>
                <w:webHidden/>
              </w:rPr>
              <w:t>12</w:t>
            </w:r>
            <w:r>
              <w:rPr>
                <w:noProof/>
                <w:webHidden/>
              </w:rPr>
              <w:fldChar w:fldCharType="end"/>
            </w:r>
          </w:hyperlink>
        </w:p>
        <w:p w14:paraId="7D2523FF" w14:textId="772F51E6"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4" w:history="1">
            <w:r w:rsidRPr="00EA2828">
              <w:rPr>
                <w:rStyle w:val="Hyperlink"/>
                <w:noProof/>
              </w:rPr>
              <w:t>4.2 National macroeconomic impacts</w:t>
            </w:r>
            <w:r>
              <w:rPr>
                <w:noProof/>
                <w:webHidden/>
              </w:rPr>
              <w:tab/>
            </w:r>
            <w:r>
              <w:rPr>
                <w:noProof/>
                <w:webHidden/>
              </w:rPr>
              <w:fldChar w:fldCharType="begin"/>
            </w:r>
            <w:r>
              <w:rPr>
                <w:noProof/>
                <w:webHidden/>
              </w:rPr>
              <w:instrText xml:space="preserve"> PAGEREF _Toc234277234 \h </w:instrText>
            </w:r>
            <w:r>
              <w:rPr>
                <w:noProof/>
                <w:webHidden/>
              </w:rPr>
            </w:r>
            <w:r>
              <w:rPr>
                <w:noProof/>
                <w:webHidden/>
              </w:rPr>
              <w:fldChar w:fldCharType="separate"/>
            </w:r>
            <w:r>
              <w:rPr>
                <w:noProof/>
                <w:webHidden/>
              </w:rPr>
              <w:t>13</w:t>
            </w:r>
            <w:r>
              <w:rPr>
                <w:noProof/>
                <w:webHidden/>
              </w:rPr>
              <w:fldChar w:fldCharType="end"/>
            </w:r>
          </w:hyperlink>
        </w:p>
        <w:p w14:paraId="14E2EBD2" w14:textId="7598FFBD"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5" w:history="1">
            <w:r w:rsidRPr="00EA2828">
              <w:rPr>
                <w:rStyle w:val="Hyperlink"/>
                <w:noProof/>
              </w:rPr>
              <w:t>4.3 Sectoral impacts</w:t>
            </w:r>
            <w:r>
              <w:rPr>
                <w:noProof/>
                <w:webHidden/>
              </w:rPr>
              <w:tab/>
            </w:r>
            <w:r>
              <w:rPr>
                <w:noProof/>
                <w:webHidden/>
              </w:rPr>
              <w:fldChar w:fldCharType="begin"/>
            </w:r>
            <w:r>
              <w:rPr>
                <w:noProof/>
                <w:webHidden/>
              </w:rPr>
              <w:instrText xml:space="preserve"> PAGEREF _Toc234277235 \h </w:instrText>
            </w:r>
            <w:r>
              <w:rPr>
                <w:noProof/>
                <w:webHidden/>
              </w:rPr>
            </w:r>
            <w:r>
              <w:rPr>
                <w:noProof/>
                <w:webHidden/>
              </w:rPr>
              <w:fldChar w:fldCharType="separate"/>
            </w:r>
            <w:r>
              <w:rPr>
                <w:noProof/>
                <w:webHidden/>
              </w:rPr>
              <w:t>15</w:t>
            </w:r>
            <w:r>
              <w:rPr>
                <w:noProof/>
                <w:webHidden/>
              </w:rPr>
              <w:fldChar w:fldCharType="end"/>
            </w:r>
          </w:hyperlink>
        </w:p>
        <w:p w14:paraId="607D8644" w14:textId="266C6946"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6" w:history="1">
            <w:r w:rsidRPr="00EA2828">
              <w:rPr>
                <w:rStyle w:val="Hyperlink"/>
                <w:noProof/>
              </w:rPr>
              <w:t>4.4 Regional results</w:t>
            </w:r>
            <w:r>
              <w:rPr>
                <w:noProof/>
                <w:webHidden/>
              </w:rPr>
              <w:tab/>
            </w:r>
            <w:r>
              <w:rPr>
                <w:noProof/>
                <w:webHidden/>
              </w:rPr>
              <w:fldChar w:fldCharType="begin"/>
            </w:r>
            <w:r>
              <w:rPr>
                <w:noProof/>
                <w:webHidden/>
              </w:rPr>
              <w:instrText xml:space="preserve"> PAGEREF _Toc234277236 \h </w:instrText>
            </w:r>
            <w:r>
              <w:rPr>
                <w:noProof/>
                <w:webHidden/>
              </w:rPr>
            </w:r>
            <w:r>
              <w:rPr>
                <w:noProof/>
                <w:webHidden/>
              </w:rPr>
              <w:fldChar w:fldCharType="separate"/>
            </w:r>
            <w:r>
              <w:rPr>
                <w:noProof/>
                <w:webHidden/>
              </w:rPr>
              <w:t>17</w:t>
            </w:r>
            <w:r>
              <w:rPr>
                <w:noProof/>
                <w:webHidden/>
              </w:rPr>
              <w:fldChar w:fldCharType="end"/>
            </w:r>
          </w:hyperlink>
        </w:p>
        <w:p w14:paraId="4A94DAA2" w14:textId="7389E6F8"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7" w:history="1">
            <w:r w:rsidRPr="00EA2828">
              <w:rPr>
                <w:rStyle w:val="Hyperlink"/>
                <w:noProof/>
              </w:rPr>
              <w:t>4.5 Government budget impacts</w:t>
            </w:r>
            <w:r>
              <w:rPr>
                <w:noProof/>
                <w:webHidden/>
              </w:rPr>
              <w:tab/>
            </w:r>
            <w:r>
              <w:rPr>
                <w:noProof/>
                <w:webHidden/>
              </w:rPr>
              <w:fldChar w:fldCharType="begin"/>
            </w:r>
            <w:r>
              <w:rPr>
                <w:noProof/>
                <w:webHidden/>
              </w:rPr>
              <w:instrText xml:space="preserve"> PAGEREF _Toc234277237 \h </w:instrText>
            </w:r>
            <w:r>
              <w:rPr>
                <w:noProof/>
                <w:webHidden/>
              </w:rPr>
            </w:r>
            <w:r>
              <w:rPr>
                <w:noProof/>
                <w:webHidden/>
              </w:rPr>
              <w:fldChar w:fldCharType="separate"/>
            </w:r>
            <w:r>
              <w:rPr>
                <w:noProof/>
                <w:webHidden/>
              </w:rPr>
              <w:t>21</w:t>
            </w:r>
            <w:r>
              <w:rPr>
                <w:noProof/>
                <w:webHidden/>
              </w:rPr>
              <w:fldChar w:fldCharType="end"/>
            </w:r>
          </w:hyperlink>
        </w:p>
        <w:p w14:paraId="4B946353" w14:textId="0F67645C"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38" w:history="1">
            <w:r w:rsidRPr="00EA2828">
              <w:rPr>
                <w:rStyle w:val="Hyperlink"/>
                <w:noProof/>
              </w:rPr>
              <w:t>5.</w:t>
            </w:r>
            <w:r>
              <w:rPr>
                <w:rFonts w:asciiTheme="minorHAnsi" w:hAnsiTheme="minorHAnsi" w:cstheme="minorBidi"/>
                <w:noProof/>
                <w:sz w:val="24"/>
                <w:szCs w:val="24"/>
                <w14:ligatures w14:val="standardContextual"/>
              </w:rPr>
              <w:tab/>
            </w:r>
            <w:r w:rsidRPr="00EA2828">
              <w:rPr>
                <w:rStyle w:val="Hyperlink"/>
                <w:noProof/>
              </w:rPr>
              <w:t>Results: Scenario 2</w:t>
            </w:r>
            <w:r>
              <w:rPr>
                <w:noProof/>
                <w:webHidden/>
              </w:rPr>
              <w:tab/>
            </w:r>
            <w:r>
              <w:rPr>
                <w:noProof/>
                <w:webHidden/>
              </w:rPr>
              <w:fldChar w:fldCharType="begin"/>
            </w:r>
            <w:r>
              <w:rPr>
                <w:noProof/>
                <w:webHidden/>
              </w:rPr>
              <w:instrText xml:space="preserve"> PAGEREF _Toc234277238 \h </w:instrText>
            </w:r>
            <w:r>
              <w:rPr>
                <w:noProof/>
                <w:webHidden/>
              </w:rPr>
            </w:r>
            <w:r>
              <w:rPr>
                <w:noProof/>
                <w:webHidden/>
              </w:rPr>
              <w:fldChar w:fldCharType="separate"/>
            </w:r>
            <w:r>
              <w:rPr>
                <w:noProof/>
                <w:webHidden/>
              </w:rPr>
              <w:t>23</w:t>
            </w:r>
            <w:r>
              <w:rPr>
                <w:noProof/>
                <w:webHidden/>
              </w:rPr>
              <w:fldChar w:fldCharType="end"/>
            </w:r>
          </w:hyperlink>
        </w:p>
        <w:p w14:paraId="16B34544" w14:textId="6E87D313"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39" w:history="1">
            <w:r w:rsidRPr="00EA2828">
              <w:rPr>
                <w:rStyle w:val="Hyperlink"/>
                <w:noProof/>
              </w:rPr>
              <w:t>5.1 Impacts on Road Freight</w:t>
            </w:r>
            <w:r>
              <w:rPr>
                <w:noProof/>
                <w:webHidden/>
              </w:rPr>
              <w:tab/>
            </w:r>
            <w:r>
              <w:rPr>
                <w:noProof/>
                <w:webHidden/>
              </w:rPr>
              <w:fldChar w:fldCharType="begin"/>
            </w:r>
            <w:r>
              <w:rPr>
                <w:noProof/>
                <w:webHidden/>
              </w:rPr>
              <w:instrText xml:space="preserve"> PAGEREF _Toc234277239 \h </w:instrText>
            </w:r>
            <w:r>
              <w:rPr>
                <w:noProof/>
                <w:webHidden/>
              </w:rPr>
            </w:r>
            <w:r>
              <w:rPr>
                <w:noProof/>
                <w:webHidden/>
              </w:rPr>
              <w:fldChar w:fldCharType="separate"/>
            </w:r>
            <w:r>
              <w:rPr>
                <w:noProof/>
                <w:webHidden/>
              </w:rPr>
              <w:t>23</w:t>
            </w:r>
            <w:r>
              <w:rPr>
                <w:noProof/>
                <w:webHidden/>
              </w:rPr>
              <w:fldChar w:fldCharType="end"/>
            </w:r>
          </w:hyperlink>
        </w:p>
        <w:p w14:paraId="7674FA92" w14:textId="426C6BE9"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40" w:history="1">
            <w:r w:rsidRPr="00EA2828">
              <w:rPr>
                <w:rStyle w:val="Hyperlink"/>
                <w:noProof/>
              </w:rPr>
              <w:t>5.2 National Macroeconomic Impacts</w:t>
            </w:r>
            <w:r>
              <w:rPr>
                <w:noProof/>
                <w:webHidden/>
              </w:rPr>
              <w:tab/>
            </w:r>
            <w:r>
              <w:rPr>
                <w:noProof/>
                <w:webHidden/>
              </w:rPr>
              <w:fldChar w:fldCharType="begin"/>
            </w:r>
            <w:r>
              <w:rPr>
                <w:noProof/>
                <w:webHidden/>
              </w:rPr>
              <w:instrText xml:space="preserve"> PAGEREF _Toc234277240 \h </w:instrText>
            </w:r>
            <w:r>
              <w:rPr>
                <w:noProof/>
                <w:webHidden/>
              </w:rPr>
            </w:r>
            <w:r>
              <w:rPr>
                <w:noProof/>
                <w:webHidden/>
              </w:rPr>
              <w:fldChar w:fldCharType="separate"/>
            </w:r>
            <w:r>
              <w:rPr>
                <w:noProof/>
                <w:webHidden/>
              </w:rPr>
              <w:t>23</w:t>
            </w:r>
            <w:r>
              <w:rPr>
                <w:noProof/>
                <w:webHidden/>
              </w:rPr>
              <w:fldChar w:fldCharType="end"/>
            </w:r>
          </w:hyperlink>
        </w:p>
        <w:p w14:paraId="00BDAE13" w14:textId="17213B35"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41" w:history="1">
            <w:r w:rsidRPr="00EA2828">
              <w:rPr>
                <w:rStyle w:val="Hyperlink"/>
                <w:noProof/>
              </w:rPr>
              <w:t>5.3 Sectoral Impacts</w:t>
            </w:r>
            <w:r>
              <w:rPr>
                <w:noProof/>
                <w:webHidden/>
              </w:rPr>
              <w:tab/>
            </w:r>
            <w:r>
              <w:rPr>
                <w:noProof/>
                <w:webHidden/>
              </w:rPr>
              <w:fldChar w:fldCharType="begin"/>
            </w:r>
            <w:r>
              <w:rPr>
                <w:noProof/>
                <w:webHidden/>
              </w:rPr>
              <w:instrText xml:space="preserve"> PAGEREF _Toc234277241 \h </w:instrText>
            </w:r>
            <w:r>
              <w:rPr>
                <w:noProof/>
                <w:webHidden/>
              </w:rPr>
            </w:r>
            <w:r>
              <w:rPr>
                <w:noProof/>
                <w:webHidden/>
              </w:rPr>
              <w:fldChar w:fldCharType="separate"/>
            </w:r>
            <w:r>
              <w:rPr>
                <w:noProof/>
                <w:webHidden/>
              </w:rPr>
              <w:t>25</w:t>
            </w:r>
            <w:r>
              <w:rPr>
                <w:noProof/>
                <w:webHidden/>
              </w:rPr>
              <w:fldChar w:fldCharType="end"/>
            </w:r>
          </w:hyperlink>
        </w:p>
        <w:p w14:paraId="07CBCC46" w14:textId="3B69DECB"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42" w:history="1">
            <w:r w:rsidRPr="00EA2828">
              <w:rPr>
                <w:rStyle w:val="Hyperlink"/>
                <w:noProof/>
              </w:rPr>
              <w:t>5.4 Regional Impacts</w:t>
            </w:r>
            <w:r>
              <w:rPr>
                <w:noProof/>
                <w:webHidden/>
              </w:rPr>
              <w:tab/>
            </w:r>
            <w:r>
              <w:rPr>
                <w:noProof/>
                <w:webHidden/>
              </w:rPr>
              <w:fldChar w:fldCharType="begin"/>
            </w:r>
            <w:r>
              <w:rPr>
                <w:noProof/>
                <w:webHidden/>
              </w:rPr>
              <w:instrText xml:space="preserve"> PAGEREF _Toc234277242 \h </w:instrText>
            </w:r>
            <w:r>
              <w:rPr>
                <w:noProof/>
                <w:webHidden/>
              </w:rPr>
            </w:r>
            <w:r>
              <w:rPr>
                <w:noProof/>
                <w:webHidden/>
              </w:rPr>
              <w:fldChar w:fldCharType="separate"/>
            </w:r>
            <w:r>
              <w:rPr>
                <w:noProof/>
                <w:webHidden/>
              </w:rPr>
              <w:t>27</w:t>
            </w:r>
            <w:r>
              <w:rPr>
                <w:noProof/>
                <w:webHidden/>
              </w:rPr>
              <w:fldChar w:fldCharType="end"/>
            </w:r>
          </w:hyperlink>
        </w:p>
        <w:p w14:paraId="306843D7" w14:textId="549AC822" w:rsidR="00A72F8F" w:rsidRDefault="00A72F8F">
          <w:pPr>
            <w:pStyle w:val="TOC2"/>
            <w:tabs>
              <w:tab w:val="right" w:leader="dot" w:pos="8296"/>
            </w:tabs>
            <w:rPr>
              <w:rFonts w:asciiTheme="minorHAnsi" w:hAnsiTheme="minorHAnsi" w:cstheme="minorBidi"/>
              <w:noProof/>
              <w:sz w:val="24"/>
              <w:szCs w:val="24"/>
              <w14:ligatures w14:val="standardContextual"/>
            </w:rPr>
          </w:pPr>
          <w:hyperlink w:anchor="_Toc234277243" w:history="1">
            <w:r w:rsidRPr="00EA2828">
              <w:rPr>
                <w:rStyle w:val="Hyperlink"/>
                <w:noProof/>
              </w:rPr>
              <w:t>5.5 Government Budget Impacts</w:t>
            </w:r>
            <w:r>
              <w:rPr>
                <w:noProof/>
                <w:webHidden/>
              </w:rPr>
              <w:tab/>
            </w:r>
            <w:r>
              <w:rPr>
                <w:noProof/>
                <w:webHidden/>
              </w:rPr>
              <w:fldChar w:fldCharType="begin"/>
            </w:r>
            <w:r>
              <w:rPr>
                <w:noProof/>
                <w:webHidden/>
              </w:rPr>
              <w:instrText xml:space="preserve"> PAGEREF _Toc234277243 \h </w:instrText>
            </w:r>
            <w:r>
              <w:rPr>
                <w:noProof/>
                <w:webHidden/>
              </w:rPr>
            </w:r>
            <w:r>
              <w:rPr>
                <w:noProof/>
                <w:webHidden/>
              </w:rPr>
              <w:fldChar w:fldCharType="separate"/>
            </w:r>
            <w:r>
              <w:rPr>
                <w:noProof/>
                <w:webHidden/>
              </w:rPr>
              <w:t>30</w:t>
            </w:r>
            <w:r>
              <w:rPr>
                <w:noProof/>
                <w:webHidden/>
              </w:rPr>
              <w:fldChar w:fldCharType="end"/>
            </w:r>
          </w:hyperlink>
        </w:p>
        <w:p w14:paraId="2AFF6D1B" w14:textId="05FED81D" w:rsidR="00A72F8F" w:rsidRDefault="00A72F8F">
          <w:pPr>
            <w:pStyle w:val="TOC1"/>
            <w:tabs>
              <w:tab w:val="left" w:pos="480"/>
              <w:tab w:val="right" w:leader="dot" w:pos="8296"/>
            </w:tabs>
            <w:rPr>
              <w:rFonts w:asciiTheme="minorHAnsi" w:hAnsiTheme="minorHAnsi" w:cstheme="minorBidi"/>
              <w:noProof/>
              <w:sz w:val="24"/>
              <w:szCs w:val="24"/>
              <w14:ligatures w14:val="standardContextual"/>
            </w:rPr>
          </w:pPr>
          <w:hyperlink w:anchor="_Toc234277244" w:history="1">
            <w:r w:rsidRPr="00EA2828">
              <w:rPr>
                <w:rStyle w:val="Hyperlink"/>
                <w:noProof/>
              </w:rPr>
              <w:t>6.</w:t>
            </w:r>
            <w:r>
              <w:rPr>
                <w:rFonts w:asciiTheme="minorHAnsi" w:hAnsiTheme="minorHAnsi" w:cstheme="minorBidi"/>
                <w:noProof/>
                <w:sz w:val="24"/>
                <w:szCs w:val="24"/>
                <w14:ligatures w14:val="standardContextual"/>
              </w:rPr>
              <w:tab/>
            </w:r>
            <w:r w:rsidRPr="00EA2828">
              <w:rPr>
                <w:rStyle w:val="Hyperlink"/>
                <w:noProof/>
              </w:rPr>
              <w:t>Conclusion</w:t>
            </w:r>
            <w:r>
              <w:rPr>
                <w:noProof/>
                <w:webHidden/>
              </w:rPr>
              <w:tab/>
            </w:r>
            <w:r>
              <w:rPr>
                <w:noProof/>
                <w:webHidden/>
              </w:rPr>
              <w:fldChar w:fldCharType="begin"/>
            </w:r>
            <w:r>
              <w:rPr>
                <w:noProof/>
                <w:webHidden/>
              </w:rPr>
              <w:instrText xml:space="preserve"> PAGEREF _Toc234277244 \h </w:instrText>
            </w:r>
            <w:r>
              <w:rPr>
                <w:noProof/>
                <w:webHidden/>
              </w:rPr>
            </w:r>
            <w:r>
              <w:rPr>
                <w:noProof/>
                <w:webHidden/>
              </w:rPr>
              <w:fldChar w:fldCharType="separate"/>
            </w:r>
            <w:r>
              <w:rPr>
                <w:noProof/>
                <w:webHidden/>
              </w:rPr>
              <w:t>31</w:t>
            </w:r>
            <w:r>
              <w:rPr>
                <w:noProof/>
                <w:webHidden/>
              </w:rPr>
              <w:fldChar w:fldCharType="end"/>
            </w:r>
          </w:hyperlink>
        </w:p>
        <w:p w14:paraId="24096669" w14:textId="7BB5ABD3" w:rsidR="00A72F8F" w:rsidRDefault="00A72F8F">
          <w:pPr>
            <w:pStyle w:val="TOC1"/>
            <w:tabs>
              <w:tab w:val="right" w:leader="dot" w:pos="8296"/>
            </w:tabs>
            <w:rPr>
              <w:rFonts w:asciiTheme="minorHAnsi" w:hAnsiTheme="minorHAnsi" w:cstheme="minorBidi"/>
              <w:noProof/>
              <w:sz w:val="24"/>
              <w:szCs w:val="24"/>
              <w14:ligatures w14:val="standardContextual"/>
            </w:rPr>
          </w:pPr>
          <w:hyperlink w:anchor="_Toc234277245" w:history="1">
            <w:r w:rsidRPr="00EA2828">
              <w:rPr>
                <w:rStyle w:val="Hyperlink"/>
                <w:noProof/>
              </w:rPr>
              <w:t>References</w:t>
            </w:r>
            <w:r>
              <w:rPr>
                <w:noProof/>
                <w:webHidden/>
              </w:rPr>
              <w:tab/>
            </w:r>
            <w:r>
              <w:rPr>
                <w:noProof/>
                <w:webHidden/>
              </w:rPr>
              <w:fldChar w:fldCharType="begin"/>
            </w:r>
            <w:r>
              <w:rPr>
                <w:noProof/>
                <w:webHidden/>
              </w:rPr>
              <w:instrText xml:space="preserve"> PAGEREF _Toc234277245 \h </w:instrText>
            </w:r>
            <w:r>
              <w:rPr>
                <w:noProof/>
                <w:webHidden/>
              </w:rPr>
            </w:r>
            <w:r>
              <w:rPr>
                <w:noProof/>
                <w:webHidden/>
              </w:rPr>
              <w:fldChar w:fldCharType="separate"/>
            </w:r>
            <w:r>
              <w:rPr>
                <w:noProof/>
                <w:webHidden/>
              </w:rPr>
              <w:t>33</w:t>
            </w:r>
            <w:r>
              <w:rPr>
                <w:noProof/>
                <w:webHidden/>
              </w:rPr>
              <w:fldChar w:fldCharType="end"/>
            </w:r>
          </w:hyperlink>
        </w:p>
        <w:p w14:paraId="17AA91D1" w14:textId="71237C02" w:rsidR="00A72F8F" w:rsidRDefault="00A72F8F">
          <w:pPr>
            <w:pStyle w:val="TOC1"/>
            <w:tabs>
              <w:tab w:val="right" w:leader="dot" w:pos="8296"/>
            </w:tabs>
            <w:rPr>
              <w:rFonts w:asciiTheme="minorHAnsi" w:hAnsiTheme="minorHAnsi" w:cstheme="minorBidi"/>
              <w:noProof/>
              <w:sz w:val="24"/>
              <w:szCs w:val="24"/>
              <w14:ligatures w14:val="standardContextual"/>
            </w:rPr>
          </w:pPr>
          <w:hyperlink w:anchor="_Toc234277246" w:history="1">
            <w:r w:rsidRPr="00EA2828">
              <w:rPr>
                <w:rStyle w:val="Hyperlink"/>
                <w:noProof/>
              </w:rPr>
              <w:t>Appendix: Accessible descriptions of figures</w:t>
            </w:r>
            <w:r>
              <w:rPr>
                <w:noProof/>
                <w:webHidden/>
              </w:rPr>
              <w:tab/>
            </w:r>
            <w:r>
              <w:rPr>
                <w:noProof/>
                <w:webHidden/>
              </w:rPr>
              <w:fldChar w:fldCharType="begin"/>
            </w:r>
            <w:r>
              <w:rPr>
                <w:noProof/>
                <w:webHidden/>
              </w:rPr>
              <w:instrText xml:space="preserve"> PAGEREF _Toc234277246 \h </w:instrText>
            </w:r>
            <w:r>
              <w:rPr>
                <w:noProof/>
                <w:webHidden/>
              </w:rPr>
            </w:r>
            <w:r>
              <w:rPr>
                <w:noProof/>
                <w:webHidden/>
              </w:rPr>
              <w:fldChar w:fldCharType="separate"/>
            </w:r>
            <w:r>
              <w:rPr>
                <w:noProof/>
                <w:webHidden/>
              </w:rPr>
              <w:t>35</w:t>
            </w:r>
            <w:r>
              <w:rPr>
                <w:noProof/>
                <w:webHidden/>
              </w:rPr>
              <w:fldChar w:fldCharType="end"/>
            </w:r>
          </w:hyperlink>
        </w:p>
        <w:p w14:paraId="34E57BCE" w14:textId="05A8BB96" w:rsidR="00D93328" w:rsidRPr="00353AE1" w:rsidRDefault="00D93328" w:rsidP="004D07EA">
          <w:pPr>
            <w:spacing w:after="120"/>
          </w:pPr>
          <w:r w:rsidRPr="00353AE1">
            <w:rPr>
              <w:b/>
              <w:bCs/>
              <w:noProof/>
            </w:rPr>
            <w:fldChar w:fldCharType="end"/>
          </w:r>
        </w:p>
      </w:sdtContent>
    </w:sdt>
    <w:p w14:paraId="4CBE3930" w14:textId="77777777" w:rsidR="00C90F66" w:rsidRPr="00353AE1" w:rsidRDefault="00C90F66" w:rsidP="004D07EA">
      <w:pPr>
        <w:spacing w:after="120"/>
        <w:jc w:val="left"/>
      </w:pPr>
    </w:p>
    <w:p w14:paraId="353B8EB3" w14:textId="36107BE9" w:rsidR="001614FE" w:rsidRPr="00353AE1" w:rsidRDefault="001614FE" w:rsidP="004D07EA">
      <w:pPr>
        <w:widowControl/>
        <w:spacing w:after="120"/>
        <w:jc w:val="left"/>
      </w:pPr>
      <w:r w:rsidRPr="00353AE1">
        <w:br w:type="page"/>
      </w:r>
    </w:p>
    <w:p w14:paraId="303C0EB8" w14:textId="1F36DB09" w:rsidR="004925AB" w:rsidRPr="00353AE1" w:rsidRDefault="001614FE" w:rsidP="004D07EA">
      <w:pPr>
        <w:pStyle w:val="TOCHeading"/>
        <w:spacing w:before="0" w:after="120"/>
        <w:rPr>
          <w:rFonts w:cs="Calibri"/>
          <w:lang w:eastAsia="zh-CN"/>
        </w:rPr>
      </w:pPr>
      <w:r w:rsidRPr="00353AE1">
        <w:rPr>
          <w:rFonts w:cs="Calibri"/>
        </w:rPr>
        <w:lastRenderedPageBreak/>
        <w:t>Table</w:t>
      </w:r>
      <w:r w:rsidR="00773558" w:rsidRPr="00353AE1">
        <w:rPr>
          <w:rFonts w:cs="Calibri"/>
          <w:lang w:eastAsia="zh-CN"/>
        </w:rPr>
        <w:t>s</w:t>
      </w:r>
    </w:p>
    <w:p w14:paraId="4AFC708C" w14:textId="64AF7A01" w:rsidR="00224332" w:rsidRPr="00353AE1" w:rsidRDefault="0074121F" w:rsidP="00224332">
      <w:pPr>
        <w:pStyle w:val="TableofFigures"/>
        <w:tabs>
          <w:tab w:val="right" w:leader="dot" w:pos="8296"/>
        </w:tabs>
        <w:spacing w:after="120"/>
        <w:rPr>
          <w:rStyle w:val="Hyperlink"/>
        </w:rPr>
      </w:pPr>
      <w:r w:rsidRPr="00353AE1">
        <w:rPr>
          <w:rStyle w:val="Hyperlink"/>
          <w:noProof/>
        </w:rPr>
        <w:fldChar w:fldCharType="begin"/>
      </w:r>
      <w:r w:rsidRPr="00353AE1">
        <w:rPr>
          <w:rStyle w:val="Hyperlink"/>
          <w:noProof/>
        </w:rPr>
        <w:instrText xml:space="preserve"> TOC \h \z \c "Table" </w:instrText>
      </w:r>
      <w:r w:rsidRPr="00353AE1">
        <w:rPr>
          <w:rStyle w:val="Hyperlink"/>
          <w:noProof/>
        </w:rPr>
        <w:fldChar w:fldCharType="separate"/>
      </w:r>
      <w:hyperlink w:anchor="_Toc231907805" w:history="1">
        <w:r w:rsidR="00224332" w:rsidRPr="00353AE1">
          <w:rPr>
            <w:rStyle w:val="Hyperlink"/>
            <w:noProof/>
          </w:rPr>
          <w:t>Table 1. Composition Breakdown on the Use of Commercial Vehicles, by Vehicle Class and Region</w:t>
        </w:r>
        <w:r w:rsidR="00224332" w:rsidRPr="00353AE1">
          <w:rPr>
            <w:rStyle w:val="Hyperlink"/>
            <w:webHidden/>
          </w:rPr>
          <w:tab/>
        </w:r>
        <w:r w:rsidR="00224332" w:rsidRPr="00353AE1">
          <w:rPr>
            <w:rStyle w:val="Hyperlink"/>
            <w:webHidden/>
          </w:rPr>
          <w:fldChar w:fldCharType="begin"/>
        </w:r>
        <w:r w:rsidR="00224332" w:rsidRPr="00353AE1">
          <w:rPr>
            <w:rStyle w:val="Hyperlink"/>
            <w:webHidden/>
          </w:rPr>
          <w:instrText xml:space="preserve"> PAGEREF _Toc231907805 \h </w:instrText>
        </w:r>
        <w:r w:rsidR="00224332" w:rsidRPr="00353AE1">
          <w:rPr>
            <w:rStyle w:val="Hyperlink"/>
            <w:webHidden/>
          </w:rPr>
        </w:r>
        <w:r w:rsidR="00224332" w:rsidRPr="00353AE1">
          <w:rPr>
            <w:rStyle w:val="Hyperlink"/>
            <w:webHidden/>
          </w:rPr>
          <w:fldChar w:fldCharType="separate"/>
        </w:r>
        <w:r w:rsidR="00224332" w:rsidRPr="00353AE1">
          <w:rPr>
            <w:rStyle w:val="Hyperlink"/>
            <w:webHidden/>
          </w:rPr>
          <w:t>8</w:t>
        </w:r>
        <w:r w:rsidR="00224332" w:rsidRPr="00353AE1">
          <w:rPr>
            <w:rStyle w:val="Hyperlink"/>
            <w:webHidden/>
          </w:rPr>
          <w:fldChar w:fldCharType="end"/>
        </w:r>
      </w:hyperlink>
    </w:p>
    <w:p w14:paraId="51768107" w14:textId="00A5E409" w:rsidR="00224332" w:rsidRPr="00353AE1" w:rsidRDefault="00224332" w:rsidP="00224332">
      <w:pPr>
        <w:pStyle w:val="TableofFigures"/>
        <w:tabs>
          <w:tab w:val="right" w:leader="dot" w:pos="8296"/>
        </w:tabs>
        <w:spacing w:after="120"/>
        <w:rPr>
          <w:rStyle w:val="Hyperlink"/>
        </w:rPr>
      </w:pPr>
      <w:hyperlink w:anchor="_Toc231907806" w:history="1">
        <w:r w:rsidRPr="00353AE1">
          <w:rPr>
            <w:rStyle w:val="Hyperlink"/>
            <w:noProof/>
          </w:rPr>
          <w:t>Table 2. Input Share of Heavy Vehicle in the Road Freight Sector</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_Toc231907806 \h </w:instrText>
        </w:r>
        <w:r w:rsidRPr="00353AE1">
          <w:rPr>
            <w:rStyle w:val="Hyperlink"/>
            <w:webHidden/>
          </w:rPr>
        </w:r>
        <w:r w:rsidRPr="00353AE1">
          <w:rPr>
            <w:rStyle w:val="Hyperlink"/>
            <w:webHidden/>
          </w:rPr>
          <w:fldChar w:fldCharType="separate"/>
        </w:r>
        <w:r w:rsidRPr="00353AE1">
          <w:rPr>
            <w:rStyle w:val="Hyperlink"/>
            <w:webHidden/>
          </w:rPr>
          <w:t>9</w:t>
        </w:r>
        <w:r w:rsidRPr="00353AE1">
          <w:rPr>
            <w:rStyle w:val="Hyperlink"/>
            <w:webHidden/>
          </w:rPr>
          <w:fldChar w:fldCharType="end"/>
        </w:r>
      </w:hyperlink>
    </w:p>
    <w:p w14:paraId="4A40BF09" w14:textId="1E631CC2" w:rsidR="00224332" w:rsidRPr="00353AE1" w:rsidRDefault="00224332" w:rsidP="00224332">
      <w:pPr>
        <w:pStyle w:val="TableofFigures"/>
        <w:tabs>
          <w:tab w:val="right" w:leader="dot" w:pos="8296"/>
        </w:tabs>
        <w:spacing w:after="120"/>
        <w:rPr>
          <w:rStyle w:val="Hyperlink"/>
        </w:rPr>
      </w:pPr>
      <w:hyperlink w:anchor="_Toc231907807" w:history="1">
        <w:r w:rsidRPr="00353AE1">
          <w:rPr>
            <w:rStyle w:val="Hyperlink"/>
            <w:noProof/>
          </w:rPr>
          <w:t>Table 3. Regional allocation shares of the additional government road-wear expenditure</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_Toc231907807 \h </w:instrText>
        </w:r>
        <w:r w:rsidRPr="00353AE1">
          <w:rPr>
            <w:rStyle w:val="Hyperlink"/>
            <w:webHidden/>
          </w:rPr>
        </w:r>
        <w:r w:rsidRPr="00353AE1">
          <w:rPr>
            <w:rStyle w:val="Hyperlink"/>
            <w:webHidden/>
          </w:rPr>
          <w:fldChar w:fldCharType="separate"/>
        </w:r>
        <w:r w:rsidRPr="00353AE1">
          <w:rPr>
            <w:rStyle w:val="Hyperlink"/>
            <w:webHidden/>
          </w:rPr>
          <w:t>11</w:t>
        </w:r>
        <w:r w:rsidRPr="00353AE1">
          <w:rPr>
            <w:rStyle w:val="Hyperlink"/>
            <w:webHidden/>
          </w:rPr>
          <w:fldChar w:fldCharType="end"/>
        </w:r>
      </w:hyperlink>
    </w:p>
    <w:p w14:paraId="30ED9FC7" w14:textId="1A8B931F" w:rsidR="00224332" w:rsidRPr="00353AE1" w:rsidRDefault="00224332" w:rsidP="00224332">
      <w:pPr>
        <w:pStyle w:val="TableofFigures"/>
        <w:tabs>
          <w:tab w:val="right" w:leader="dot" w:pos="8296"/>
        </w:tabs>
        <w:spacing w:after="120"/>
        <w:rPr>
          <w:rStyle w:val="Hyperlink"/>
        </w:rPr>
      </w:pPr>
      <w:hyperlink w:anchor="_Toc231907808" w:history="1">
        <w:r w:rsidRPr="00353AE1">
          <w:rPr>
            <w:rStyle w:val="Hyperlink"/>
            <w:noProof/>
          </w:rPr>
          <w:t>Table 4. Policy Shocks by Simulation</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_Toc231907808 \h </w:instrText>
        </w:r>
        <w:r w:rsidRPr="00353AE1">
          <w:rPr>
            <w:rStyle w:val="Hyperlink"/>
            <w:webHidden/>
          </w:rPr>
        </w:r>
        <w:r w:rsidRPr="00353AE1">
          <w:rPr>
            <w:rStyle w:val="Hyperlink"/>
            <w:webHidden/>
          </w:rPr>
          <w:fldChar w:fldCharType="separate"/>
        </w:r>
        <w:r w:rsidRPr="00353AE1">
          <w:rPr>
            <w:rStyle w:val="Hyperlink"/>
            <w:webHidden/>
          </w:rPr>
          <w:t>12</w:t>
        </w:r>
        <w:r w:rsidRPr="00353AE1">
          <w:rPr>
            <w:rStyle w:val="Hyperlink"/>
            <w:webHidden/>
          </w:rPr>
          <w:fldChar w:fldCharType="end"/>
        </w:r>
      </w:hyperlink>
    </w:p>
    <w:p w14:paraId="2717512A" w14:textId="16EAE192" w:rsidR="00224332" w:rsidRPr="00353AE1" w:rsidRDefault="00224332" w:rsidP="00224332">
      <w:pPr>
        <w:pStyle w:val="TableofFigures"/>
        <w:tabs>
          <w:tab w:val="right" w:leader="dot" w:pos="8296"/>
        </w:tabs>
        <w:spacing w:after="120"/>
        <w:rPr>
          <w:rStyle w:val="Hyperlink"/>
        </w:rPr>
      </w:pPr>
      <w:hyperlink w:anchor="_Toc231907809" w:history="1">
        <w:r w:rsidRPr="00353AE1">
          <w:rPr>
            <w:rStyle w:val="Hyperlink"/>
            <w:noProof/>
          </w:rPr>
          <w:t>Table 5. Road Freight and Heavy Vehicle Output and Price Responses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_Toc231907809 \h </w:instrText>
        </w:r>
        <w:r w:rsidRPr="00353AE1">
          <w:rPr>
            <w:rStyle w:val="Hyperlink"/>
            <w:webHidden/>
          </w:rPr>
        </w:r>
        <w:r w:rsidRPr="00353AE1">
          <w:rPr>
            <w:rStyle w:val="Hyperlink"/>
            <w:webHidden/>
          </w:rPr>
          <w:fldChar w:fldCharType="separate"/>
        </w:r>
        <w:r w:rsidRPr="00353AE1">
          <w:rPr>
            <w:rStyle w:val="Hyperlink"/>
            <w:webHidden/>
          </w:rPr>
          <w:t>14</w:t>
        </w:r>
        <w:r w:rsidRPr="00353AE1">
          <w:rPr>
            <w:rStyle w:val="Hyperlink"/>
            <w:webHidden/>
          </w:rPr>
          <w:fldChar w:fldCharType="end"/>
        </w:r>
      </w:hyperlink>
    </w:p>
    <w:p w14:paraId="449170C1" w14:textId="61C7DD3D" w:rsidR="00224332" w:rsidRPr="00353AE1" w:rsidRDefault="00224332" w:rsidP="00224332">
      <w:pPr>
        <w:pStyle w:val="TableofFigures"/>
        <w:tabs>
          <w:tab w:val="right" w:leader="dot" w:pos="8296"/>
        </w:tabs>
        <w:spacing w:after="120"/>
        <w:rPr>
          <w:rStyle w:val="Hyperlink"/>
        </w:rPr>
      </w:pPr>
      <w:hyperlink w:anchor="_Toc231907810" w:history="1">
        <w:r w:rsidRPr="00353AE1">
          <w:rPr>
            <w:rStyle w:val="Hyperlink"/>
            <w:noProof/>
          </w:rPr>
          <w:t>Table 6. National Macroeconomic Variables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_Toc231907810 \h </w:instrText>
        </w:r>
        <w:r w:rsidRPr="00353AE1">
          <w:rPr>
            <w:rStyle w:val="Hyperlink"/>
            <w:webHidden/>
          </w:rPr>
        </w:r>
        <w:r w:rsidRPr="00353AE1">
          <w:rPr>
            <w:rStyle w:val="Hyperlink"/>
            <w:webHidden/>
          </w:rPr>
          <w:fldChar w:fldCharType="separate"/>
        </w:r>
        <w:r w:rsidRPr="00353AE1">
          <w:rPr>
            <w:rStyle w:val="Hyperlink"/>
            <w:webHidden/>
          </w:rPr>
          <w:t>15</w:t>
        </w:r>
        <w:r w:rsidRPr="00353AE1">
          <w:rPr>
            <w:rStyle w:val="Hyperlink"/>
            <w:webHidden/>
          </w:rPr>
          <w:fldChar w:fldCharType="end"/>
        </w:r>
      </w:hyperlink>
    </w:p>
    <w:p w14:paraId="1A9F744E" w14:textId="705A3410" w:rsidR="00224332" w:rsidRPr="00353AE1" w:rsidRDefault="00224332" w:rsidP="00224332">
      <w:pPr>
        <w:pStyle w:val="TableofFigures"/>
        <w:tabs>
          <w:tab w:val="right" w:leader="dot" w:pos="8296"/>
        </w:tabs>
        <w:spacing w:after="120"/>
        <w:rPr>
          <w:rStyle w:val="Hyperlink"/>
        </w:rPr>
      </w:pPr>
      <w:hyperlink w:anchor="_Toc231907811" w:history="1">
        <w:r w:rsidRPr="00353AE1">
          <w:rPr>
            <w:rStyle w:val="Hyperlink"/>
            <w:noProof/>
          </w:rPr>
          <w:t>Table 7. Top and Bottom Three Performing Industries in the shock year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_Toc231907811 \h </w:instrText>
        </w:r>
        <w:r w:rsidRPr="00353AE1">
          <w:rPr>
            <w:rStyle w:val="Hyperlink"/>
            <w:webHidden/>
          </w:rPr>
        </w:r>
        <w:r w:rsidRPr="00353AE1">
          <w:rPr>
            <w:rStyle w:val="Hyperlink"/>
            <w:webHidden/>
          </w:rPr>
          <w:fldChar w:fldCharType="separate"/>
        </w:r>
        <w:r w:rsidRPr="00353AE1">
          <w:rPr>
            <w:rStyle w:val="Hyperlink"/>
            <w:webHidden/>
          </w:rPr>
          <w:t>17</w:t>
        </w:r>
        <w:r w:rsidRPr="00353AE1">
          <w:rPr>
            <w:rStyle w:val="Hyperlink"/>
            <w:webHidden/>
          </w:rPr>
          <w:fldChar w:fldCharType="end"/>
        </w:r>
      </w:hyperlink>
    </w:p>
    <w:p w14:paraId="723DA628" w14:textId="4FBBFE58" w:rsidR="00224332" w:rsidRPr="00353AE1" w:rsidRDefault="00224332" w:rsidP="00224332">
      <w:pPr>
        <w:pStyle w:val="TableofFigures"/>
        <w:tabs>
          <w:tab w:val="right" w:leader="dot" w:pos="8296"/>
        </w:tabs>
        <w:spacing w:after="120"/>
        <w:rPr>
          <w:rStyle w:val="Hyperlink"/>
        </w:rPr>
      </w:pPr>
      <w:hyperlink w:anchor="_Toc231907812" w:history="1">
        <w:r w:rsidRPr="00353AE1">
          <w:rPr>
            <w:rStyle w:val="Hyperlink"/>
            <w:noProof/>
          </w:rPr>
          <w:t>Table 8. Road Freight Margin Intensity</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_Toc231907812 \h </w:instrText>
        </w:r>
        <w:r w:rsidRPr="00353AE1">
          <w:rPr>
            <w:rStyle w:val="Hyperlink"/>
            <w:webHidden/>
          </w:rPr>
        </w:r>
        <w:r w:rsidRPr="00353AE1">
          <w:rPr>
            <w:rStyle w:val="Hyperlink"/>
            <w:webHidden/>
          </w:rPr>
          <w:fldChar w:fldCharType="separate"/>
        </w:r>
        <w:r w:rsidRPr="00353AE1">
          <w:rPr>
            <w:rStyle w:val="Hyperlink"/>
            <w:webHidden/>
          </w:rPr>
          <w:t>19</w:t>
        </w:r>
        <w:r w:rsidRPr="00353AE1">
          <w:rPr>
            <w:rStyle w:val="Hyperlink"/>
            <w:webHidden/>
          </w:rPr>
          <w:fldChar w:fldCharType="end"/>
        </w:r>
      </w:hyperlink>
    </w:p>
    <w:p w14:paraId="421C33DC" w14:textId="38092A85" w:rsidR="00224332" w:rsidRPr="00353AE1" w:rsidRDefault="00224332" w:rsidP="00224332">
      <w:pPr>
        <w:pStyle w:val="TableofFigures"/>
        <w:tabs>
          <w:tab w:val="right" w:leader="dot" w:pos="8296"/>
        </w:tabs>
        <w:spacing w:after="120"/>
        <w:rPr>
          <w:rStyle w:val="Hyperlink"/>
        </w:rPr>
      </w:pPr>
      <w:hyperlink w:anchor="_Toc231907813" w:history="1">
        <w:r w:rsidRPr="00353AE1">
          <w:rPr>
            <w:rStyle w:val="Hyperlink"/>
            <w:noProof/>
          </w:rPr>
          <w:t>Table 9. Industry Activities: Road Freight and Heavy Vehicle, by State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_Toc231907813 \h </w:instrText>
        </w:r>
        <w:r w:rsidRPr="00353AE1">
          <w:rPr>
            <w:rStyle w:val="Hyperlink"/>
            <w:webHidden/>
          </w:rPr>
        </w:r>
        <w:r w:rsidRPr="00353AE1">
          <w:rPr>
            <w:rStyle w:val="Hyperlink"/>
            <w:webHidden/>
          </w:rPr>
          <w:fldChar w:fldCharType="separate"/>
        </w:r>
        <w:r w:rsidRPr="00353AE1">
          <w:rPr>
            <w:rStyle w:val="Hyperlink"/>
            <w:webHidden/>
          </w:rPr>
          <w:t>21</w:t>
        </w:r>
        <w:r w:rsidRPr="00353AE1">
          <w:rPr>
            <w:rStyle w:val="Hyperlink"/>
            <w:webHidden/>
          </w:rPr>
          <w:fldChar w:fldCharType="end"/>
        </w:r>
      </w:hyperlink>
    </w:p>
    <w:p w14:paraId="4EFE44FB" w14:textId="6A27D17F" w:rsidR="00224332" w:rsidRPr="00353AE1" w:rsidRDefault="00224332" w:rsidP="00224332">
      <w:pPr>
        <w:pStyle w:val="TableofFigures"/>
        <w:tabs>
          <w:tab w:val="right" w:leader="dot" w:pos="8296"/>
        </w:tabs>
        <w:spacing w:after="120"/>
        <w:rPr>
          <w:rStyle w:val="Hyperlink"/>
        </w:rPr>
      </w:pPr>
      <w:hyperlink w:anchor="_Toc231907814" w:history="1">
        <w:r w:rsidRPr="00353AE1">
          <w:rPr>
            <w:rStyle w:val="Hyperlink"/>
            <w:noProof/>
          </w:rPr>
          <w:t>Table 10. State Macroeconomic Results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_Toc231907814 \h </w:instrText>
        </w:r>
        <w:r w:rsidRPr="00353AE1">
          <w:rPr>
            <w:rStyle w:val="Hyperlink"/>
            <w:webHidden/>
          </w:rPr>
        </w:r>
        <w:r w:rsidRPr="00353AE1">
          <w:rPr>
            <w:rStyle w:val="Hyperlink"/>
            <w:webHidden/>
          </w:rPr>
          <w:fldChar w:fldCharType="separate"/>
        </w:r>
        <w:r w:rsidRPr="00353AE1">
          <w:rPr>
            <w:rStyle w:val="Hyperlink"/>
            <w:webHidden/>
          </w:rPr>
          <w:t>22</w:t>
        </w:r>
        <w:r w:rsidRPr="00353AE1">
          <w:rPr>
            <w:rStyle w:val="Hyperlink"/>
            <w:webHidden/>
          </w:rPr>
          <w:fldChar w:fldCharType="end"/>
        </w:r>
      </w:hyperlink>
    </w:p>
    <w:p w14:paraId="0BA924A8" w14:textId="6465DD4F" w:rsidR="00224332" w:rsidRPr="00353AE1" w:rsidRDefault="00224332" w:rsidP="00224332">
      <w:pPr>
        <w:pStyle w:val="TableofFigures"/>
        <w:tabs>
          <w:tab w:val="right" w:leader="dot" w:pos="8296"/>
        </w:tabs>
        <w:spacing w:after="120"/>
        <w:rPr>
          <w:rStyle w:val="Hyperlink"/>
        </w:rPr>
      </w:pPr>
      <w:hyperlink w:anchor="_Toc231907815" w:history="1">
        <w:r w:rsidRPr="00353AE1">
          <w:rPr>
            <w:rStyle w:val="Hyperlink"/>
            <w:noProof/>
          </w:rPr>
          <w:t>Table 11. Net Budget Position by Level of Government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_Toc231907815 \h </w:instrText>
        </w:r>
        <w:r w:rsidRPr="00353AE1">
          <w:rPr>
            <w:rStyle w:val="Hyperlink"/>
            <w:webHidden/>
          </w:rPr>
        </w:r>
        <w:r w:rsidRPr="00353AE1">
          <w:rPr>
            <w:rStyle w:val="Hyperlink"/>
            <w:webHidden/>
          </w:rPr>
          <w:fldChar w:fldCharType="separate"/>
        </w:r>
        <w:r w:rsidRPr="00353AE1">
          <w:rPr>
            <w:rStyle w:val="Hyperlink"/>
            <w:webHidden/>
          </w:rPr>
          <w:t>26</w:t>
        </w:r>
        <w:r w:rsidRPr="00353AE1">
          <w:rPr>
            <w:rStyle w:val="Hyperlink"/>
            <w:webHidden/>
          </w:rPr>
          <w:fldChar w:fldCharType="end"/>
        </w:r>
      </w:hyperlink>
    </w:p>
    <w:p w14:paraId="72F001D7" w14:textId="0D3C7CAE" w:rsidR="00224332" w:rsidRPr="00353AE1" w:rsidRDefault="00224332" w:rsidP="00224332">
      <w:pPr>
        <w:pStyle w:val="TableofFigures"/>
        <w:tabs>
          <w:tab w:val="right" w:leader="dot" w:pos="8296"/>
        </w:tabs>
        <w:spacing w:after="120"/>
        <w:rPr>
          <w:rStyle w:val="Hyperlink"/>
        </w:rPr>
      </w:pPr>
      <w:hyperlink w:anchor="_Toc231907816" w:history="1">
        <w:r w:rsidRPr="00353AE1">
          <w:rPr>
            <w:rStyle w:val="Hyperlink"/>
            <w:noProof/>
          </w:rPr>
          <w:t>Table 12. Breakdown: Additional Road Maintenance and Repair Expenditure by Level of Government in 2026 (Scenario 1)</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_Toc231907816 \h </w:instrText>
        </w:r>
        <w:r w:rsidRPr="00353AE1">
          <w:rPr>
            <w:rStyle w:val="Hyperlink"/>
            <w:webHidden/>
          </w:rPr>
        </w:r>
        <w:r w:rsidRPr="00353AE1">
          <w:rPr>
            <w:rStyle w:val="Hyperlink"/>
            <w:webHidden/>
          </w:rPr>
          <w:fldChar w:fldCharType="separate"/>
        </w:r>
        <w:r w:rsidRPr="00353AE1">
          <w:rPr>
            <w:rStyle w:val="Hyperlink"/>
            <w:webHidden/>
          </w:rPr>
          <w:t>26</w:t>
        </w:r>
        <w:r w:rsidRPr="00353AE1">
          <w:rPr>
            <w:rStyle w:val="Hyperlink"/>
            <w:webHidden/>
          </w:rPr>
          <w:fldChar w:fldCharType="end"/>
        </w:r>
      </w:hyperlink>
    </w:p>
    <w:p w14:paraId="7C8399E0" w14:textId="4BC6E34C" w:rsidR="00224332" w:rsidRPr="00353AE1" w:rsidRDefault="00224332" w:rsidP="00224332">
      <w:pPr>
        <w:pStyle w:val="TableofFigures"/>
        <w:tabs>
          <w:tab w:val="right" w:leader="dot" w:pos="8296"/>
        </w:tabs>
        <w:spacing w:after="120"/>
        <w:rPr>
          <w:rStyle w:val="Hyperlink"/>
        </w:rPr>
      </w:pPr>
      <w:hyperlink w:anchor="_Toc231907817" w:history="1">
        <w:r w:rsidRPr="00353AE1">
          <w:rPr>
            <w:rStyle w:val="Hyperlink"/>
            <w:noProof/>
          </w:rPr>
          <w:t>Table 13. Road Freight and Heavy Vehicle Output and Price Responses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_Toc231907817 \h </w:instrText>
        </w:r>
        <w:r w:rsidRPr="00353AE1">
          <w:rPr>
            <w:rStyle w:val="Hyperlink"/>
            <w:webHidden/>
          </w:rPr>
        </w:r>
        <w:r w:rsidRPr="00353AE1">
          <w:rPr>
            <w:rStyle w:val="Hyperlink"/>
            <w:webHidden/>
          </w:rPr>
          <w:fldChar w:fldCharType="separate"/>
        </w:r>
        <w:r w:rsidRPr="00353AE1">
          <w:rPr>
            <w:rStyle w:val="Hyperlink"/>
            <w:webHidden/>
          </w:rPr>
          <w:t>27</w:t>
        </w:r>
        <w:r w:rsidRPr="00353AE1">
          <w:rPr>
            <w:rStyle w:val="Hyperlink"/>
            <w:webHidden/>
          </w:rPr>
          <w:fldChar w:fldCharType="end"/>
        </w:r>
      </w:hyperlink>
    </w:p>
    <w:p w14:paraId="5FB3217B" w14:textId="3C88BF29" w:rsidR="00224332" w:rsidRPr="00353AE1" w:rsidRDefault="00224332" w:rsidP="00224332">
      <w:pPr>
        <w:pStyle w:val="TableofFigures"/>
        <w:tabs>
          <w:tab w:val="right" w:leader="dot" w:pos="8296"/>
        </w:tabs>
        <w:spacing w:after="120"/>
        <w:rPr>
          <w:rStyle w:val="Hyperlink"/>
        </w:rPr>
      </w:pPr>
      <w:hyperlink w:anchor="_Toc231907818" w:history="1">
        <w:r w:rsidRPr="00353AE1">
          <w:rPr>
            <w:rStyle w:val="Hyperlink"/>
            <w:noProof/>
          </w:rPr>
          <w:t>Table 14. National Macroeconomic Variables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_Toc231907818 \h </w:instrText>
        </w:r>
        <w:r w:rsidRPr="00353AE1">
          <w:rPr>
            <w:rStyle w:val="Hyperlink"/>
            <w:webHidden/>
          </w:rPr>
        </w:r>
        <w:r w:rsidRPr="00353AE1">
          <w:rPr>
            <w:rStyle w:val="Hyperlink"/>
            <w:webHidden/>
          </w:rPr>
          <w:fldChar w:fldCharType="separate"/>
        </w:r>
        <w:r w:rsidRPr="00353AE1">
          <w:rPr>
            <w:rStyle w:val="Hyperlink"/>
            <w:webHidden/>
          </w:rPr>
          <w:t>28</w:t>
        </w:r>
        <w:r w:rsidRPr="00353AE1">
          <w:rPr>
            <w:rStyle w:val="Hyperlink"/>
            <w:webHidden/>
          </w:rPr>
          <w:fldChar w:fldCharType="end"/>
        </w:r>
      </w:hyperlink>
    </w:p>
    <w:p w14:paraId="7618564E" w14:textId="3C8C645B" w:rsidR="00224332" w:rsidRPr="00353AE1" w:rsidRDefault="00224332" w:rsidP="00224332">
      <w:pPr>
        <w:pStyle w:val="TableofFigures"/>
        <w:tabs>
          <w:tab w:val="right" w:leader="dot" w:pos="8296"/>
        </w:tabs>
        <w:spacing w:after="120"/>
        <w:rPr>
          <w:rStyle w:val="Hyperlink"/>
        </w:rPr>
      </w:pPr>
      <w:hyperlink w:anchor="_Toc231907819" w:history="1">
        <w:r w:rsidRPr="00353AE1">
          <w:rPr>
            <w:rStyle w:val="Hyperlink"/>
            <w:noProof/>
          </w:rPr>
          <w:t>Table 15. Top and Bottom Three Performing Industries in the Shock Year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_Toc231907819 \h </w:instrText>
        </w:r>
        <w:r w:rsidRPr="00353AE1">
          <w:rPr>
            <w:rStyle w:val="Hyperlink"/>
            <w:webHidden/>
          </w:rPr>
        </w:r>
        <w:r w:rsidRPr="00353AE1">
          <w:rPr>
            <w:rStyle w:val="Hyperlink"/>
            <w:webHidden/>
          </w:rPr>
          <w:fldChar w:fldCharType="separate"/>
        </w:r>
        <w:r w:rsidRPr="00353AE1">
          <w:rPr>
            <w:rStyle w:val="Hyperlink"/>
            <w:webHidden/>
          </w:rPr>
          <w:t>31</w:t>
        </w:r>
        <w:r w:rsidRPr="00353AE1">
          <w:rPr>
            <w:rStyle w:val="Hyperlink"/>
            <w:webHidden/>
          </w:rPr>
          <w:fldChar w:fldCharType="end"/>
        </w:r>
      </w:hyperlink>
    </w:p>
    <w:p w14:paraId="1EB3DA63" w14:textId="2A9BC363" w:rsidR="00224332" w:rsidRPr="00353AE1" w:rsidRDefault="00224332" w:rsidP="00224332">
      <w:pPr>
        <w:pStyle w:val="TableofFigures"/>
        <w:tabs>
          <w:tab w:val="right" w:leader="dot" w:pos="8296"/>
        </w:tabs>
        <w:spacing w:after="120"/>
        <w:rPr>
          <w:rStyle w:val="Hyperlink"/>
        </w:rPr>
      </w:pPr>
      <w:hyperlink w:anchor="_Toc231907820" w:history="1">
        <w:r w:rsidRPr="00353AE1">
          <w:rPr>
            <w:rStyle w:val="Hyperlink"/>
            <w:noProof/>
          </w:rPr>
          <w:t>Table 16. Industry Activities: Road Freight and Heavy Vehicle, by State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_Toc231907820 \h </w:instrText>
        </w:r>
        <w:r w:rsidRPr="00353AE1">
          <w:rPr>
            <w:rStyle w:val="Hyperlink"/>
            <w:webHidden/>
          </w:rPr>
        </w:r>
        <w:r w:rsidRPr="00353AE1">
          <w:rPr>
            <w:rStyle w:val="Hyperlink"/>
            <w:webHidden/>
          </w:rPr>
          <w:fldChar w:fldCharType="separate"/>
        </w:r>
        <w:r w:rsidRPr="00353AE1">
          <w:rPr>
            <w:rStyle w:val="Hyperlink"/>
            <w:webHidden/>
          </w:rPr>
          <w:t>33</w:t>
        </w:r>
        <w:r w:rsidRPr="00353AE1">
          <w:rPr>
            <w:rStyle w:val="Hyperlink"/>
            <w:webHidden/>
          </w:rPr>
          <w:fldChar w:fldCharType="end"/>
        </w:r>
      </w:hyperlink>
    </w:p>
    <w:p w14:paraId="74CDB8BE" w14:textId="0082DDFF" w:rsidR="00224332" w:rsidRPr="00353AE1" w:rsidRDefault="00224332" w:rsidP="00224332">
      <w:pPr>
        <w:pStyle w:val="TableofFigures"/>
        <w:tabs>
          <w:tab w:val="right" w:leader="dot" w:pos="8296"/>
        </w:tabs>
        <w:spacing w:after="120"/>
        <w:rPr>
          <w:rStyle w:val="Hyperlink"/>
        </w:rPr>
      </w:pPr>
      <w:hyperlink w:anchor="_Toc231907821" w:history="1">
        <w:r w:rsidRPr="00353AE1">
          <w:rPr>
            <w:rStyle w:val="Hyperlink"/>
            <w:noProof/>
          </w:rPr>
          <w:t>Table 17. State Macroeconomic Results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_Toc231907821 \h </w:instrText>
        </w:r>
        <w:r w:rsidRPr="00353AE1">
          <w:rPr>
            <w:rStyle w:val="Hyperlink"/>
            <w:webHidden/>
          </w:rPr>
        </w:r>
        <w:r w:rsidRPr="00353AE1">
          <w:rPr>
            <w:rStyle w:val="Hyperlink"/>
            <w:webHidden/>
          </w:rPr>
          <w:fldChar w:fldCharType="separate"/>
        </w:r>
        <w:r w:rsidRPr="00353AE1">
          <w:rPr>
            <w:rStyle w:val="Hyperlink"/>
            <w:webHidden/>
          </w:rPr>
          <w:t>35</w:t>
        </w:r>
        <w:r w:rsidRPr="00353AE1">
          <w:rPr>
            <w:rStyle w:val="Hyperlink"/>
            <w:webHidden/>
          </w:rPr>
          <w:fldChar w:fldCharType="end"/>
        </w:r>
      </w:hyperlink>
    </w:p>
    <w:p w14:paraId="13353462" w14:textId="6FAB0E6F" w:rsidR="00224332" w:rsidRPr="00353AE1" w:rsidRDefault="00224332" w:rsidP="00224332">
      <w:pPr>
        <w:pStyle w:val="TableofFigures"/>
        <w:tabs>
          <w:tab w:val="right" w:leader="dot" w:pos="8296"/>
        </w:tabs>
        <w:spacing w:after="120"/>
        <w:rPr>
          <w:rStyle w:val="Hyperlink"/>
        </w:rPr>
      </w:pPr>
      <w:hyperlink w:anchor="_Toc231907822" w:history="1">
        <w:r w:rsidRPr="00353AE1">
          <w:rPr>
            <w:rStyle w:val="Hyperlink"/>
            <w:noProof/>
          </w:rPr>
          <w:t>Table 18. Net Budget Position by Level of Government (Scenario 2)</w:t>
        </w:r>
        <w:r w:rsidRPr="00353AE1">
          <w:rPr>
            <w:rStyle w:val="Hyperlink"/>
            <w:webHidden/>
          </w:rPr>
          <w:tab/>
        </w:r>
        <w:r w:rsidRPr="00353AE1">
          <w:rPr>
            <w:rStyle w:val="Hyperlink"/>
            <w:webHidden/>
          </w:rPr>
          <w:fldChar w:fldCharType="begin"/>
        </w:r>
        <w:r w:rsidRPr="00353AE1">
          <w:rPr>
            <w:rStyle w:val="Hyperlink"/>
            <w:webHidden/>
          </w:rPr>
          <w:instrText xml:space="preserve"> PAGEREF _Toc231907822 \h </w:instrText>
        </w:r>
        <w:r w:rsidRPr="00353AE1">
          <w:rPr>
            <w:rStyle w:val="Hyperlink"/>
            <w:webHidden/>
          </w:rPr>
        </w:r>
        <w:r w:rsidRPr="00353AE1">
          <w:rPr>
            <w:rStyle w:val="Hyperlink"/>
            <w:webHidden/>
          </w:rPr>
          <w:fldChar w:fldCharType="separate"/>
        </w:r>
        <w:r w:rsidRPr="00353AE1">
          <w:rPr>
            <w:rStyle w:val="Hyperlink"/>
            <w:webHidden/>
          </w:rPr>
          <w:t>39</w:t>
        </w:r>
        <w:r w:rsidRPr="00353AE1">
          <w:rPr>
            <w:rStyle w:val="Hyperlink"/>
            <w:webHidden/>
          </w:rPr>
          <w:fldChar w:fldCharType="end"/>
        </w:r>
      </w:hyperlink>
    </w:p>
    <w:p w14:paraId="3C5D44E7" w14:textId="7B2741AE" w:rsidR="00D33DB1" w:rsidRPr="00353AE1" w:rsidRDefault="0074121F" w:rsidP="006C7B2E">
      <w:pPr>
        <w:pStyle w:val="TableofFigures"/>
        <w:tabs>
          <w:tab w:val="right" w:leader="dot" w:pos="8296"/>
        </w:tabs>
        <w:spacing w:after="120"/>
        <w:rPr>
          <w:lang w:val="en-US" w:eastAsia="en-US"/>
        </w:rPr>
      </w:pPr>
      <w:r w:rsidRPr="00353AE1">
        <w:rPr>
          <w:rStyle w:val="Hyperlink"/>
          <w:noProof/>
        </w:rPr>
        <w:fldChar w:fldCharType="end"/>
      </w:r>
    </w:p>
    <w:p w14:paraId="5C48C1DA" w14:textId="167DA93C" w:rsidR="004925AB" w:rsidRPr="00353AE1" w:rsidRDefault="004925AB" w:rsidP="004D07EA">
      <w:pPr>
        <w:pStyle w:val="TOCHeading"/>
        <w:spacing w:before="0" w:after="120"/>
        <w:rPr>
          <w:rFonts w:cs="Calibri"/>
          <w:lang w:eastAsia="zh-CN"/>
        </w:rPr>
      </w:pPr>
      <w:r w:rsidRPr="00353AE1">
        <w:rPr>
          <w:rFonts w:cs="Calibri"/>
        </w:rPr>
        <w:t>Figure</w:t>
      </w:r>
      <w:r w:rsidR="00773558" w:rsidRPr="00353AE1">
        <w:rPr>
          <w:rFonts w:cs="Calibri"/>
          <w:lang w:eastAsia="zh-CN"/>
        </w:rPr>
        <w:t>s</w:t>
      </w:r>
    </w:p>
    <w:p w14:paraId="4A381D73" w14:textId="0B00E49B" w:rsidR="00CF1979" w:rsidRPr="00353AE1" w:rsidRDefault="004925AB" w:rsidP="00CF1979">
      <w:pPr>
        <w:pStyle w:val="TableofFigures"/>
        <w:tabs>
          <w:tab w:val="right" w:leader="dot" w:pos="8296"/>
        </w:tabs>
        <w:spacing w:after="120"/>
        <w:rPr>
          <w:rStyle w:val="Hyperlink"/>
          <w:noProof/>
        </w:rPr>
      </w:pPr>
      <w:r w:rsidRPr="00353AE1">
        <w:rPr>
          <w:rStyle w:val="Hyperlink"/>
          <w:noProof/>
        </w:rPr>
        <w:fldChar w:fldCharType="begin"/>
      </w:r>
      <w:r w:rsidRPr="00353AE1">
        <w:rPr>
          <w:rStyle w:val="Hyperlink"/>
          <w:noProof/>
        </w:rPr>
        <w:instrText xml:space="preserve"> TOC \h \z \c "Figure" </w:instrText>
      </w:r>
      <w:r w:rsidRPr="00353AE1">
        <w:rPr>
          <w:rStyle w:val="Hyperlink"/>
          <w:noProof/>
        </w:rPr>
        <w:fldChar w:fldCharType="separate"/>
      </w:r>
      <w:hyperlink w:anchor="_Toc231905615" w:history="1">
        <w:r w:rsidR="00CF1979" w:rsidRPr="00353AE1">
          <w:rPr>
            <w:rStyle w:val="Hyperlink"/>
            <w:noProof/>
          </w:rPr>
          <w:t>Figure 1. ANZSIC Industry Output (Scenario 1A)</w:t>
        </w:r>
        <w:r w:rsidR="00CF1979" w:rsidRPr="00353AE1">
          <w:rPr>
            <w:rStyle w:val="Hyperlink"/>
            <w:noProof/>
            <w:webHidden/>
          </w:rPr>
          <w:tab/>
        </w:r>
        <w:r w:rsidR="00CF1979" w:rsidRPr="00353AE1">
          <w:rPr>
            <w:rStyle w:val="Hyperlink"/>
            <w:noProof/>
            <w:webHidden/>
          </w:rPr>
          <w:fldChar w:fldCharType="begin"/>
        </w:r>
        <w:r w:rsidR="00CF1979" w:rsidRPr="00353AE1">
          <w:rPr>
            <w:rStyle w:val="Hyperlink"/>
            <w:noProof/>
            <w:webHidden/>
          </w:rPr>
          <w:instrText xml:space="preserve"> PAGEREF _Toc231905615 \h </w:instrText>
        </w:r>
        <w:r w:rsidR="00CF1979" w:rsidRPr="00353AE1">
          <w:rPr>
            <w:rStyle w:val="Hyperlink"/>
            <w:noProof/>
            <w:webHidden/>
          </w:rPr>
        </w:r>
        <w:r w:rsidR="00CF1979" w:rsidRPr="00353AE1">
          <w:rPr>
            <w:rStyle w:val="Hyperlink"/>
            <w:noProof/>
            <w:webHidden/>
          </w:rPr>
          <w:fldChar w:fldCharType="separate"/>
        </w:r>
        <w:r w:rsidR="002F72F0" w:rsidRPr="00353AE1">
          <w:rPr>
            <w:rStyle w:val="Hyperlink"/>
            <w:noProof/>
            <w:webHidden/>
          </w:rPr>
          <w:t>18</w:t>
        </w:r>
        <w:r w:rsidR="00CF1979" w:rsidRPr="00353AE1">
          <w:rPr>
            <w:rStyle w:val="Hyperlink"/>
            <w:noProof/>
            <w:webHidden/>
          </w:rPr>
          <w:fldChar w:fldCharType="end"/>
        </w:r>
      </w:hyperlink>
    </w:p>
    <w:p w14:paraId="65CEADFA" w14:textId="0BAAD2F6" w:rsidR="00CF1979" w:rsidRPr="00353AE1" w:rsidRDefault="00CF1979" w:rsidP="00CF1979">
      <w:pPr>
        <w:pStyle w:val="TableofFigures"/>
        <w:tabs>
          <w:tab w:val="right" w:leader="dot" w:pos="8296"/>
        </w:tabs>
        <w:spacing w:after="120"/>
        <w:rPr>
          <w:rStyle w:val="Hyperlink"/>
          <w:noProof/>
        </w:rPr>
      </w:pPr>
      <w:hyperlink w:anchor="_Toc231905616" w:history="1">
        <w:r w:rsidRPr="00353AE1">
          <w:rPr>
            <w:rStyle w:val="Hyperlink"/>
            <w:noProof/>
          </w:rPr>
          <w:t>Figure 2. ANZSIC Industry Output (Scenario 1B)</w:t>
        </w:r>
        <w:r w:rsidRPr="00353AE1">
          <w:rPr>
            <w:rStyle w:val="Hyperlink"/>
            <w:noProof/>
            <w:webHidden/>
          </w:rPr>
          <w:tab/>
        </w:r>
        <w:r w:rsidRPr="00353AE1">
          <w:rPr>
            <w:rStyle w:val="Hyperlink"/>
            <w:noProof/>
            <w:webHidden/>
          </w:rPr>
          <w:fldChar w:fldCharType="begin"/>
        </w:r>
        <w:r w:rsidRPr="00353AE1">
          <w:rPr>
            <w:rStyle w:val="Hyperlink"/>
            <w:noProof/>
            <w:webHidden/>
          </w:rPr>
          <w:instrText xml:space="preserve"> PAGEREF _Toc231905616 \h </w:instrText>
        </w:r>
        <w:r w:rsidRPr="00353AE1">
          <w:rPr>
            <w:rStyle w:val="Hyperlink"/>
            <w:noProof/>
            <w:webHidden/>
          </w:rPr>
        </w:r>
        <w:r w:rsidRPr="00353AE1">
          <w:rPr>
            <w:rStyle w:val="Hyperlink"/>
            <w:noProof/>
            <w:webHidden/>
          </w:rPr>
          <w:fldChar w:fldCharType="separate"/>
        </w:r>
        <w:r w:rsidR="002F72F0" w:rsidRPr="00353AE1">
          <w:rPr>
            <w:rStyle w:val="Hyperlink"/>
            <w:noProof/>
            <w:webHidden/>
          </w:rPr>
          <w:t>19</w:t>
        </w:r>
        <w:r w:rsidRPr="00353AE1">
          <w:rPr>
            <w:rStyle w:val="Hyperlink"/>
            <w:noProof/>
            <w:webHidden/>
          </w:rPr>
          <w:fldChar w:fldCharType="end"/>
        </w:r>
      </w:hyperlink>
    </w:p>
    <w:p w14:paraId="44F52A8F" w14:textId="1425A0A9" w:rsidR="00CF1979" w:rsidRPr="00353AE1" w:rsidRDefault="00CF1979" w:rsidP="00CF1979">
      <w:pPr>
        <w:pStyle w:val="TableofFigures"/>
        <w:tabs>
          <w:tab w:val="right" w:leader="dot" w:pos="8296"/>
        </w:tabs>
        <w:spacing w:after="120"/>
        <w:rPr>
          <w:rStyle w:val="Hyperlink"/>
          <w:noProof/>
        </w:rPr>
      </w:pPr>
      <w:hyperlink w:anchor="_Toc231905617" w:history="1">
        <w:r w:rsidRPr="00353AE1">
          <w:rPr>
            <w:rStyle w:val="Hyperlink"/>
            <w:noProof/>
          </w:rPr>
          <w:t>Figure 3. ANZSIC Industry Output (Scenario 2A)</w:t>
        </w:r>
        <w:r w:rsidRPr="00353AE1">
          <w:rPr>
            <w:rStyle w:val="Hyperlink"/>
            <w:noProof/>
            <w:webHidden/>
          </w:rPr>
          <w:tab/>
        </w:r>
        <w:r w:rsidRPr="00353AE1">
          <w:rPr>
            <w:rStyle w:val="Hyperlink"/>
            <w:noProof/>
            <w:webHidden/>
          </w:rPr>
          <w:fldChar w:fldCharType="begin"/>
        </w:r>
        <w:r w:rsidRPr="00353AE1">
          <w:rPr>
            <w:rStyle w:val="Hyperlink"/>
            <w:noProof/>
            <w:webHidden/>
          </w:rPr>
          <w:instrText xml:space="preserve"> PAGEREF _Toc231905617 \h </w:instrText>
        </w:r>
        <w:r w:rsidRPr="00353AE1">
          <w:rPr>
            <w:rStyle w:val="Hyperlink"/>
            <w:noProof/>
            <w:webHidden/>
          </w:rPr>
        </w:r>
        <w:r w:rsidRPr="00353AE1">
          <w:rPr>
            <w:rStyle w:val="Hyperlink"/>
            <w:noProof/>
            <w:webHidden/>
          </w:rPr>
          <w:fldChar w:fldCharType="separate"/>
        </w:r>
        <w:r w:rsidR="002F72F0" w:rsidRPr="00353AE1">
          <w:rPr>
            <w:rStyle w:val="Hyperlink"/>
            <w:noProof/>
            <w:webHidden/>
          </w:rPr>
          <w:t>32</w:t>
        </w:r>
        <w:r w:rsidRPr="00353AE1">
          <w:rPr>
            <w:rStyle w:val="Hyperlink"/>
            <w:noProof/>
            <w:webHidden/>
          </w:rPr>
          <w:fldChar w:fldCharType="end"/>
        </w:r>
      </w:hyperlink>
    </w:p>
    <w:p w14:paraId="0C6E8885" w14:textId="1976E95E" w:rsidR="00CF1979" w:rsidRPr="00353AE1" w:rsidRDefault="00CF1979" w:rsidP="00CF1979">
      <w:pPr>
        <w:pStyle w:val="TableofFigures"/>
        <w:tabs>
          <w:tab w:val="right" w:leader="dot" w:pos="8296"/>
        </w:tabs>
        <w:spacing w:after="120"/>
        <w:rPr>
          <w:rStyle w:val="Hyperlink"/>
          <w:noProof/>
        </w:rPr>
      </w:pPr>
      <w:hyperlink w:anchor="_Toc231905618" w:history="1">
        <w:r w:rsidRPr="00353AE1">
          <w:rPr>
            <w:rStyle w:val="Hyperlink"/>
            <w:noProof/>
          </w:rPr>
          <w:t>Figure 4. ANZSIC Industry Output (Scenario 2B)</w:t>
        </w:r>
        <w:r w:rsidRPr="00353AE1">
          <w:rPr>
            <w:rStyle w:val="Hyperlink"/>
            <w:noProof/>
            <w:webHidden/>
          </w:rPr>
          <w:tab/>
        </w:r>
        <w:r w:rsidRPr="00353AE1">
          <w:rPr>
            <w:rStyle w:val="Hyperlink"/>
            <w:noProof/>
            <w:webHidden/>
          </w:rPr>
          <w:fldChar w:fldCharType="begin"/>
        </w:r>
        <w:r w:rsidRPr="00353AE1">
          <w:rPr>
            <w:rStyle w:val="Hyperlink"/>
            <w:noProof/>
            <w:webHidden/>
          </w:rPr>
          <w:instrText xml:space="preserve"> PAGEREF _Toc231905618 \h </w:instrText>
        </w:r>
        <w:r w:rsidRPr="00353AE1">
          <w:rPr>
            <w:rStyle w:val="Hyperlink"/>
            <w:noProof/>
            <w:webHidden/>
          </w:rPr>
        </w:r>
        <w:r w:rsidRPr="00353AE1">
          <w:rPr>
            <w:rStyle w:val="Hyperlink"/>
            <w:noProof/>
            <w:webHidden/>
          </w:rPr>
          <w:fldChar w:fldCharType="separate"/>
        </w:r>
        <w:r w:rsidR="002F72F0" w:rsidRPr="00353AE1">
          <w:rPr>
            <w:rStyle w:val="Hyperlink"/>
            <w:noProof/>
            <w:webHidden/>
          </w:rPr>
          <w:t>32</w:t>
        </w:r>
        <w:r w:rsidRPr="00353AE1">
          <w:rPr>
            <w:rStyle w:val="Hyperlink"/>
            <w:noProof/>
            <w:webHidden/>
          </w:rPr>
          <w:fldChar w:fldCharType="end"/>
        </w:r>
      </w:hyperlink>
    </w:p>
    <w:p w14:paraId="33A28E04" w14:textId="0CBA052A" w:rsidR="00646904" w:rsidRPr="00353AE1" w:rsidRDefault="004925AB" w:rsidP="006E7FA2">
      <w:pPr>
        <w:pStyle w:val="TableofFigures"/>
        <w:tabs>
          <w:tab w:val="right" w:leader="dot" w:pos="8296"/>
        </w:tabs>
        <w:spacing w:after="120"/>
        <w:rPr>
          <w:rStyle w:val="Hyperlink"/>
          <w:noProof/>
        </w:rPr>
      </w:pPr>
      <w:r w:rsidRPr="00353AE1">
        <w:rPr>
          <w:rStyle w:val="Hyperlink"/>
          <w:noProof/>
        </w:rPr>
        <w:fldChar w:fldCharType="end"/>
      </w:r>
    </w:p>
    <w:p w14:paraId="2E7D01C7" w14:textId="77777777" w:rsidR="00224332" w:rsidRPr="00353AE1" w:rsidRDefault="00224332">
      <w:pPr>
        <w:widowControl/>
        <w:jc w:val="left"/>
        <w:rPr>
          <w:rFonts w:eastAsiaTheme="majorEastAsia"/>
          <w:color w:val="0F4761" w:themeColor="accent1" w:themeShade="BF"/>
          <w:sz w:val="40"/>
          <w:szCs w:val="40"/>
        </w:rPr>
      </w:pPr>
      <w:r w:rsidRPr="00353AE1">
        <w:br w:type="page"/>
      </w:r>
    </w:p>
    <w:p w14:paraId="5713864B" w14:textId="07ED1CF8" w:rsidR="00B83569" w:rsidRPr="00353AE1" w:rsidRDefault="00026F22" w:rsidP="004D07EA">
      <w:pPr>
        <w:pStyle w:val="Heading1"/>
        <w:numPr>
          <w:ilvl w:val="0"/>
          <w:numId w:val="5"/>
        </w:numPr>
        <w:spacing w:before="0" w:after="120"/>
        <w:ind w:left="284"/>
        <w:rPr>
          <w:rFonts w:cs="Calibri"/>
        </w:rPr>
      </w:pPr>
      <w:bookmarkStart w:id="1" w:name="_Toc234277225"/>
      <w:r w:rsidRPr="00353AE1">
        <w:rPr>
          <w:rFonts w:cs="Calibri"/>
        </w:rPr>
        <w:lastRenderedPageBreak/>
        <w:t>Introduction</w:t>
      </w:r>
      <w:bookmarkEnd w:id="1"/>
    </w:p>
    <w:p w14:paraId="6D722E71" w14:textId="6B1B2084" w:rsidR="000D240E" w:rsidRPr="00353AE1" w:rsidRDefault="00E56C83" w:rsidP="004D07EA">
      <w:pPr>
        <w:spacing w:after="120"/>
        <w:jc w:val="left"/>
      </w:pPr>
      <w:r w:rsidRPr="00353AE1">
        <w:t xml:space="preserve">Victoria University’s </w:t>
      </w:r>
      <w:r w:rsidR="00DF1D59" w:rsidRPr="00353AE1">
        <w:t xml:space="preserve">Centre of Policy Studies (CoPS) was engaged by the </w:t>
      </w:r>
      <w:r w:rsidR="0060486D" w:rsidRPr="00353AE1">
        <w:t>Productivity</w:t>
      </w:r>
      <w:r w:rsidR="00DF1D59" w:rsidRPr="00353AE1">
        <w:t xml:space="preserve"> Commission (PC) to </w:t>
      </w:r>
      <w:r w:rsidR="00614A69" w:rsidRPr="00353AE1">
        <w:t>conduct scenario analys</w:t>
      </w:r>
      <w:r w:rsidR="00A27618" w:rsidRPr="00353AE1">
        <w:t>i</w:t>
      </w:r>
      <w:r w:rsidR="00614A69" w:rsidRPr="00353AE1">
        <w:t xml:space="preserve">s </w:t>
      </w:r>
      <w:r w:rsidR="0090594F" w:rsidRPr="00353AE1">
        <w:t>of</w:t>
      </w:r>
      <w:r w:rsidR="00DF1D59" w:rsidRPr="00353AE1">
        <w:t xml:space="preserve"> the </w:t>
      </w:r>
      <w:r w:rsidR="0007042E" w:rsidRPr="00353AE1">
        <w:t>impact</w:t>
      </w:r>
      <w:r w:rsidR="00CF1341" w:rsidRPr="00353AE1">
        <w:t>s</w:t>
      </w:r>
      <w:r w:rsidR="00E73EB7" w:rsidRPr="00353AE1">
        <w:t xml:space="preserve"> of two heavy vehicle reform</w:t>
      </w:r>
      <w:r w:rsidR="0007042E" w:rsidRPr="00353AE1">
        <w:t>s</w:t>
      </w:r>
      <w:r w:rsidR="00E73EB7" w:rsidRPr="00353AE1">
        <w:t xml:space="preserve"> using VURMTAX, a dynamic multi-regional computable general equilibrium model of Australia.</w:t>
      </w:r>
      <w:r w:rsidR="002474B1" w:rsidRPr="00353AE1">
        <w:t xml:space="preserve"> </w:t>
      </w:r>
      <w:r w:rsidR="003F1C5B" w:rsidRPr="00353AE1">
        <w:t xml:space="preserve">The </w:t>
      </w:r>
      <w:r w:rsidR="00614A69" w:rsidRPr="00353AE1">
        <w:t xml:space="preserve">two scenarios </w:t>
      </w:r>
      <w:r w:rsidR="00BA0C94" w:rsidRPr="00353AE1">
        <w:t>examined</w:t>
      </w:r>
      <w:r w:rsidR="00D51DA6" w:rsidRPr="00353AE1">
        <w:t xml:space="preserve"> </w:t>
      </w:r>
      <w:r w:rsidR="003F1C5B" w:rsidRPr="00353AE1">
        <w:t>are</w:t>
      </w:r>
      <w:r w:rsidR="006D7343" w:rsidRPr="00353AE1">
        <w:t>:</w:t>
      </w:r>
      <w:r w:rsidR="003F1C5B" w:rsidRPr="00353AE1">
        <w:t xml:space="preserve"> (1) increasing heavy vehicle road access</w:t>
      </w:r>
      <w:r w:rsidR="006D7343" w:rsidRPr="00353AE1">
        <w:t>;</w:t>
      </w:r>
      <w:r w:rsidR="003F1C5B" w:rsidRPr="00353AE1">
        <w:t xml:space="preserve"> and</w:t>
      </w:r>
      <w:r w:rsidR="006D7343" w:rsidRPr="00353AE1">
        <w:t>,</w:t>
      </w:r>
      <w:r w:rsidR="003F1C5B" w:rsidRPr="00353AE1">
        <w:t xml:space="preserve"> (2) </w:t>
      </w:r>
      <w:r w:rsidR="00AE4E4C" w:rsidRPr="00353AE1">
        <w:t>establishing</w:t>
      </w:r>
      <w:r w:rsidR="003F1C5B" w:rsidRPr="00353AE1">
        <w:t xml:space="preserve"> a</w:t>
      </w:r>
      <w:r w:rsidR="003F1C5B" w:rsidRPr="00353AE1">
        <w:rPr>
          <w:b/>
          <w:bCs/>
        </w:rPr>
        <w:t xml:space="preserve"> </w:t>
      </w:r>
      <w:r w:rsidR="003F1C5B" w:rsidRPr="00353AE1">
        <w:t xml:space="preserve">National Automated Access System (NAAS). </w:t>
      </w:r>
    </w:p>
    <w:p w14:paraId="2AE7917C" w14:textId="7448A3EE" w:rsidR="00BB745C" w:rsidRPr="00353AE1" w:rsidRDefault="006F3BB5" w:rsidP="004D07EA">
      <w:pPr>
        <w:spacing w:after="120"/>
        <w:jc w:val="left"/>
      </w:pPr>
      <w:r w:rsidRPr="00353AE1">
        <w:t>The first scenario considers the effects of increasing heavy vehicle road access. In the modelling, this is represented as a nationwide productivity improvement in the Road Freight sector</w:t>
      </w:r>
      <w:r w:rsidR="00855A39" w:rsidRPr="00353AE1">
        <w:t xml:space="preserve">, as well as </w:t>
      </w:r>
      <w:r w:rsidR="00634895" w:rsidRPr="00353AE1">
        <w:t>an increase in</w:t>
      </w:r>
      <w:r w:rsidR="00855A39" w:rsidRPr="00353AE1">
        <w:t xml:space="preserve"> road wear costs</w:t>
      </w:r>
      <w:r w:rsidRPr="00353AE1">
        <w:t xml:space="preserve">. </w:t>
      </w:r>
    </w:p>
    <w:p w14:paraId="06D69963" w14:textId="454C1AB6" w:rsidR="00096C5B" w:rsidRPr="00353AE1" w:rsidRDefault="00096C5B" w:rsidP="004D07EA">
      <w:pPr>
        <w:spacing w:after="120"/>
        <w:jc w:val="left"/>
      </w:pPr>
      <w:r w:rsidRPr="00353AE1">
        <w:t xml:space="preserve">The second scenario considers the </w:t>
      </w:r>
      <w:r w:rsidR="00E52CA3" w:rsidRPr="00353AE1">
        <w:t>establishment of the NAAS. In the modelling, this is represented as a Road Freight productivity improvement applying only to the states and territories assumed to be covered by the NAAS scenario, namely all Australian states and territories except Western Australia and the Northern Territory.</w:t>
      </w:r>
    </w:p>
    <w:p w14:paraId="310EBFF9" w14:textId="3FA6E9FE" w:rsidR="003F34AE" w:rsidRPr="00353AE1" w:rsidRDefault="003F34AE" w:rsidP="004D07EA">
      <w:pPr>
        <w:spacing w:after="120"/>
        <w:jc w:val="left"/>
      </w:pPr>
      <w:r w:rsidRPr="00353AE1">
        <w:t xml:space="preserve">The analysis reported here has been undertaken in accordance with the project requirements provided by the PC. Specifically, we run and report the results of two scenario analyses, with each scenario corresponding to a reform package. For each scenario, we include a core simulation and an alternative simulation, which differ only in the magnitude of the policy shock. </w:t>
      </w:r>
      <w:r w:rsidR="00F62C75" w:rsidRPr="00353AE1">
        <w:t xml:space="preserve">While </w:t>
      </w:r>
      <w:r w:rsidRPr="00353AE1">
        <w:t xml:space="preserve">simulation results </w:t>
      </w:r>
      <w:r w:rsidR="00F62C75" w:rsidRPr="00353AE1">
        <w:t xml:space="preserve">for the core and alternative simulations for each scenario </w:t>
      </w:r>
      <w:r w:rsidRPr="00353AE1">
        <w:t>are provided to the PC, this report focuses on the core simulation for each scenario</w:t>
      </w:r>
      <w:r w:rsidR="00F62C75" w:rsidRPr="00353AE1">
        <w:t xml:space="preserve"> only</w:t>
      </w:r>
      <w:r w:rsidRPr="00353AE1">
        <w:t>.</w:t>
      </w:r>
      <w:r w:rsidR="00EE75BB" w:rsidRPr="00353AE1">
        <w:t xml:space="preserve"> </w:t>
      </w:r>
      <w:r w:rsidR="00B5098D" w:rsidRPr="00353AE1">
        <w:t xml:space="preserve">For </w:t>
      </w:r>
      <w:r w:rsidR="00162811" w:rsidRPr="00353AE1">
        <w:t>all</w:t>
      </w:r>
      <w:r w:rsidR="00B5098D" w:rsidRPr="00353AE1">
        <w:t xml:space="preserve"> </w:t>
      </w:r>
      <w:r w:rsidR="00162811" w:rsidRPr="00353AE1">
        <w:t>simulations</w:t>
      </w:r>
      <w:r w:rsidR="00B5098D" w:rsidRPr="00353AE1">
        <w:t>, policy shock inputs are provided by the PC based on estimates of BITRE (</w:t>
      </w:r>
      <w:r w:rsidR="009E761B" w:rsidRPr="00353AE1">
        <w:t>forthcoming</w:t>
      </w:r>
      <w:r w:rsidR="00B5098D" w:rsidRPr="00353AE1">
        <w:t>)</w:t>
      </w:r>
      <w:r w:rsidR="00C146EB" w:rsidRPr="00353AE1">
        <w:t>, summarised in</w:t>
      </w:r>
      <w:r w:rsidR="0076460D" w:rsidRPr="00353AE1">
        <w:t xml:space="preserve"> Table 3 of Section 3.2</w:t>
      </w:r>
      <w:r w:rsidR="00B5098D" w:rsidRPr="00353AE1">
        <w:t>.</w:t>
      </w:r>
    </w:p>
    <w:p w14:paraId="23EC4210" w14:textId="45AB92CA" w:rsidR="00C32B0E" w:rsidRPr="00353AE1" w:rsidRDefault="00C32B0E" w:rsidP="004D07EA">
      <w:pPr>
        <w:spacing w:after="120"/>
        <w:jc w:val="left"/>
      </w:pPr>
      <w:r w:rsidRPr="00353AE1">
        <w:t xml:space="preserve">The remainder of this report is structured as follows. Section 2 provides an overview of </w:t>
      </w:r>
      <w:r w:rsidR="00B369AB" w:rsidRPr="00353AE1">
        <w:t xml:space="preserve">VURMTAX, </w:t>
      </w:r>
      <w:r w:rsidRPr="00353AE1">
        <w:t xml:space="preserve">the economic model we use to </w:t>
      </w:r>
      <w:r w:rsidR="0053213C" w:rsidRPr="00353AE1">
        <w:t xml:space="preserve">conduct the </w:t>
      </w:r>
      <w:r w:rsidRPr="00353AE1">
        <w:t>scenario</w:t>
      </w:r>
      <w:r w:rsidR="0053213C" w:rsidRPr="00353AE1">
        <w:t xml:space="preserve"> analyses</w:t>
      </w:r>
      <w:r w:rsidRPr="00353AE1">
        <w:t>. Section 3 describes our implementation of the policy shocks in VURMTAX</w:t>
      </w:r>
      <w:r w:rsidR="008D2CD0" w:rsidRPr="00353AE1">
        <w:t xml:space="preserve"> for each scenario</w:t>
      </w:r>
      <w:r w:rsidRPr="00353AE1">
        <w:t>. Section 4 discusses simulation results</w:t>
      </w:r>
      <w:r w:rsidR="00557100" w:rsidRPr="00353AE1">
        <w:t xml:space="preserve"> of Scenario 1</w:t>
      </w:r>
      <w:r w:rsidRPr="00353AE1">
        <w:t xml:space="preserve">. </w:t>
      </w:r>
      <w:r w:rsidR="00192BEF" w:rsidRPr="00353AE1">
        <w:t xml:space="preserve">Section 5 discusses simulation results of Scenario 2. </w:t>
      </w:r>
      <w:r w:rsidRPr="00353AE1">
        <w:t xml:space="preserve">Section </w:t>
      </w:r>
      <w:r w:rsidR="00557100" w:rsidRPr="00353AE1">
        <w:t>6</w:t>
      </w:r>
      <w:r w:rsidRPr="00353AE1">
        <w:t xml:space="preserve"> concludes.</w:t>
      </w:r>
    </w:p>
    <w:p w14:paraId="2BC6D5FD" w14:textId="77777777" w:rsidR="002C2D9B" w:rsidRPr="00353AE1" w:rsidRDefault="002C2D9B" w:rsidP="004D07EA">
      <w:pPr>
        <w:spacing w:after="120"/>
        <w:jc w:val="left"/>
      </w:pPr>
    </w:p>
    <w:p w14:paraId="5581734A" w14:textId="01774CEC" w:rsidR="002C2D9B" w:rsidRPr="00353AE1" w:rsidRDefault="00B860B2" w:rsidP="00096589">
      <w:pPr>
        <w:pStyle w:val="Heading1"/>
        <w:numPr>
          <w:ilvl w:val="0"/>
          <w:numId w:val="5"/>
        </w:numPr>
        <w:spacing w:before="0" w:after="120"/>
        <w:ind w:left="284"/>
        <w:rPr>
          <w:rFonts w:cs="Calibri"/>
        </w:rPr>
      </w:pPr>
      <w:bookmarkStart w:id="2" w:name="_Toc234277226"/>
      <w:r w:rsidRPr="00353AE1">
        <w:rPr>
          <w:rFonts w:cs="Calibri"/>
        </w:rPr>
        <w:t>M</w:t>
      </w:r>
      <w:r w:rsidR="004475BF" w:rsidRPr="00353AE1">
        <w:rPr>
          <w:rFonts w:cs="Calibri"/>
        </w:rPr>
        <w:t>odelling framework</w:t>
      </w:r>
      <w:bookmarkEnd w:id="2"/>
    </w:p>
    <w:p w14:paraId="182481D4" w14:textId="0B9FC9AD" w:rsidR="00A074B0" w:rsidRPr="00353AE1" w:rsidRDefault="00A074B0" w:rsidP="00096589">
      <w:pPr>
        <w:pStyle w:val="Heading2"/>
        <w:spacing w:before="0" w:after="120"/>
        <w:rPr>
          <w:rFonts w:cs="Calibri"/>
        </w:rPr>
      </w:pPr>
      <w:bookmarkStart w:id="3" w:name="_Toc234277227"/>
      <w:r w:rsidRPr="00353AE1">
        <w:rPr>
          <w:rStyle w:val="SubtleEmphasis"/>
          <w:rFonts w:cs="Calibri"/>
          <w:i w:val="0"/>
          <w:iCs w:val="0"/>
          <w:color w:val="595959" w:themeColor="text1" w:themeTint="A6"/>
        </w:rPr>
        <w:t xml:space="preserve">2.1 </w:t>
      </w:r>
      <w:r w:rsidR="0062132A" w:rsidRPr="00353AE1">
        <w:rPr>
          <w:rStyle w:val="SubtleEmphasis"/>
          <w:rFonts w:cs="Calibri"/>
          <w:i w:val="0"/>
          <w:iCs w:val="0"/>
          <w:color w:val="595959" w:themeColor="text1" w:themeTint="A6"/>
        </w:rPr>
        <w:t>The VURMTAX model</w:t>
      </w:r>
      <w:bookmarkEnd w:id="3"/>
    </w:p>
    <w:p w14:paraId="79B4CF88" w14:textId="016B80A8" w:rsidR="008E10B4" w:rsidRPr="00353AE1" w:rsidRDefault="008E10B4" w:rsidP="00096589">
      <w:pPr>
        <w:spacing w:after="120"/>
        <w:jc w:val="left"/>
      </w:pPr>
      <w:r w:rsidRPr="00353AE1">
        <w:rPr>
          <w:color w:val="000000" w:themeColor="text1"/>
        </w:rPr>
        <w:t xml:space="preserve">VURMTAX is a multi-regional computable general equilibrium model of Australia based on the Victoria University Regional Model (VURM) </w:t>
      </w:r>
      <w:r w:rsidR="00DE5E00" w:rsidRPr="00353AE1">
        <w:rPr>
          <w:color w:val="000000" w:themeColor="text1"/>
        </w:rPr>
        <w:t>described</w:t>
      </w:r>
      <w:r w:rsidR="001C3BC4" w:rsidRPr="00353AE1">
        <w:rPr>
          <w:color w:val="000000" w:themeColor="text1"/>
        </w:rPr>
        <w:t xml:space="preserve"> by Adams et al</w:t>
      </w:r>
      <w:r w:rsidR="00257711" w:rsidRPr="00353AE1">
        <w:rPr>
          <w:color w:val="000000" w:themeColor="text1"/>
        </w:rPr>
        <w:t>.</w:t>
      </w:r>
      <w:r w:rsidR="001C3BC4" w:rsidRPr="00353AE1">
        <w:rPr>
          <w:color w:val="000000" w:themeColor="text1"/>
        </w:rPr>
        <w:t xml:space="preserve"> (2015)</w:t>
      </w:r>
      <w:r w:rsidRPr="00353AE1">
        <w:rPr>
          <w:color w:val="000000" w:themeColor="text1"/>
        </w:rPr>
        <w:t>. The model is designed for detailed taxation analysis and is described in Nassios et al. (2019a). Herein, we use a six-region aggregation of the core eight-region database for Australia’s states and territories</w:t>
      </w:r>
      <w:r w:rsidRPr="00353AE1">
        <w:t>. The six regions are Victoria (VIC), Queensland (QLD), South Australia (SA), Tasmania (TAS), New South Wales combined with the Australian Capital Territory (NSW&amp;ACT), and Western Australia combined with the Northern Territory (WA&amp;NT), consistent with the project requirements.</w:t>
      </w:r>
      <w:r w:rsidR="00B505F0" w:rsidRPr="00353AE1">
        <w:t xml:space="preserve"> </w:t>
      </w:r>
      <w:r w:rsidR="003934EC" w:rsidRPr="00353AE1">
        <w:t xml:space="preserve">Combining NSW with the ACT provides a parsimonious treatment of two closely linked economies, reflecting the ACT’s strong </w:t>
      </w:r>
      <w:r w:rsidR="003934EC" w:rsidRPr="00353AE1">
        <w:lastRenderedPageBreak/>
        <w:t>economic integration with NSW. WA and NT are combined because they are the only two jurisdictions not to have adopted the Heavy Vehicle National Law and are therefore excluded from the NAAS reform in our scenario analysis.</w:t>
      </w:r>
    </w:p>
    <w:p w14:paraId="6496F752" w14:textId="637E3B61" w:rsidR="008E10B4" w:rsidRPr="00353AE1" w:rsidRDefault="00047565" w:rsidP="00096589">
      <w:pPr>
        <w:spacing w:after="120"/>
        <w:jc w:val="left"/>
        <w:rPr>
          <w:color w:val="000000" w:themeColor="text1"/>
        </w:rPr>
      </w:pPr>
      <w:r w:rsidRPr="00353AE1">
        <w:rPr>
          <w:color w:val="000000" w:themeColor="text1"/>
        </w:rPr>
        <w:t>To</w:t>
      </w:r>
      <w:r w:rsidR="008E10B4" w:rsidRPr="00353AE1">
        <w:rPr>
          <w:color w:val="000000" w:themeColor="text1"/>
        </w:rPr>
        <w:t xml:space="preserve"> parameterise VURMTAX, CoPS relies on data from a variety of sources, including </w:t>
      </w:r>
      <w:r w:rsidR="00F62C75" w:rsidRPr="00353AE1">
        <w:rPr>
          <w:color w:val="000000" w:themeColor="text1"/>
        </w:rPr>
        <w:t xml:space="preserve">the </w:t>
      </w:r>
      <w:r w:rsidR="008E10B4" w:rsidRPr="00353AE1">
        <w:rPr>
          <w:color w:val="000000" w:themeColor="text1"/>
        </w:rPr>
        <w:t xml:space="preserve">Australian Bureau of Statistics (ABS) Census data, Agricultural Census data, State accounts data, and international trade data. </w:t>
      </w:r>
    </w:p>
    <w:p w14:paraId="688C1EF0" w14:textId="71A1E1C9" w:rsidR="008E10B4" w:rsidRPr="00353AE1" w:rsidRDefault="008E10B4" w:rsidP="00096589">
      <w:pPr>
        <w:spacing w:after="120"/>
        <w:jc w:val="left"/>
        <w:rPr>
          <w:color w:val="000000" w:themeColor="text1"/>
        </w:rPr>
      </w:pPr>
      <w:r w:rsidRPr="00353AE1">
        <w:rPr>
          <w:color w:val="000000" w:themeColor="text1"/>
        </w:rPr>
        <w:t>Each region in VURMTAX has a single representative household and a</w:t>
      </w:r>
      <w:r w:rsidR="0035334A" w:rsidRPr="00353AE1">
        <w:rPr>
          <w:color w:val="000000" w:themeColor="text1"/>
        </w:rPr>
        <w:t xml:space="preserve"> combined</w:t>
      </w:r>
      <w:r w:rsidRPr="00353AE1">
        <w:rPr>
          <w:color w:val="000000" w:themeColor="text1"/>
        </w:rPr>
        <w:t xml:space="preserve"> state and local government. The federal government</w:t>
      </w:r>
      <w:r w:rsidR="00F71025" w:rsidRPr="00353AE1">
        <w:rPr>
          <w:color w:val="000000" w:themeColor="text1"/>
        </w:rPr>
        <w:t xml:space="preserve"> also</w:t>
      </w:r>
      <w:r w:rsidRPr="00353AE1">
        <w:rPr>
          <w:color w:val="000000" w:themeColor="text1"/>
        </w:rPr>
        <w:t xml:space="preserve"> operates in each region. The foreign sector is described by export demand curves for the products of each region, and by supply curves for international imports to each region. </w:t>
      </w:r>
      <w:r w:rsidR="003D080F" w:rsidRPr="00353AE1">
        <w:rPr>
          <w:color w:val="000000" w:themeColor="text1"/>
        </w:rPr>
        <w:t xml:space="preserve">Foreign currency prices of all </w:t>
      </w:r>
      <w:r w:rsidR="00891977" w:rsidRPr="00353AE1">
        <w:rPr>
          <w:color w:val="000000" w:themeColor="text1"/>
        </w:rPr>
        <w:t xml:space="preserve">imports are exogenous. </w:t>
      </w:r>
      <w:r w:rsidRPr="00353AE1">
        <w:rPr>
          <w:color w:val="000000" w:themeColor="text1"/>
        </w:rPr>
        <w:t xml:space="preserve">Supply and demand for each regionally produced commodity is the outcome of optimising behaviour. Regional industries are assumed to use intermediate inputs, labour, capital and land in a cost-minimising way, while operating in competitive markets. Region-specific representative households purchase utility-maximising bundles of goods, subject to given prices and disposable income. Regions are linked via interregional trade, interregional migration and capital movements, and governments operate within a fiscal federal framework.  </w:t>
      </w:r>
    </w:p>
    <w:p w14:paraId="2AF57449" w14:textId="46AB9061" w:rsidR="008E10B4" w:rsidRPr="00353AE1" w:rsidRDefault="008E10B4" w:rsidP="00096589">
      <w:pPr>
        <w:spacing w:after="120"/>
        <w:jc w:val="left"/>
        <w:rPr>
          <w:color w:val="000000" w:themeColor="text1"/>
        </w:rPr>
      </w:pPr>
      <w:r w:rsidRPr="00353AE1">
        <w:rPr>
          <w:color w:val="000000" w:themeColor="text1"/>
        </w:rPr>
        <w:t>Investment in each regional industry is positively related to expected rates of return on capital in each regional industry. VURMTAX recognises two investor classes: local investors (i.e. domestic households and government) and foreign investors. Capital creators assemble, in a cost-minimi</w:t>
      </w:r>
      <w:r w:rsidR="0064073B" w:rsidRPr="00353AE1">
        <w:rPr>
          <w:color w:val="000000" w:themeColor="text1"/>
        </w:rPr>
        <w:t>s</w:t>
      </w:r>
      <w:r w:rsidRPr="00353AE1">
        <w:rPr>
          <w:color w:val="000000" w:themeColor="text1"/>
        </w:rPr>
        <w:t xml:space="preserve">ing manner, units of industry-specific physical capital for each regional industry. </w:t>
      </w:r>
    </w:p>
    <w:p w14:paraId="768D42CF" w14:textId="1433562B" w:rsidR="008E10B4" w:rsidRPr="00353AE1" w:rsidRDefault="008E10B4" w:rsidP="00096589">
      <w:pPr>
        <w:spacing w:after="120"/>
        <w:jc w:val="left"/>
        <w:rPr>
          <w:color w:val="000000" w:themeColor="text1"/>
        </w:rPr>
      </w:pPr>
      <w:r w:rsidRPr="00353AE1">
        <w:rPr>
          <w:color w:val="000000" w:themeColor="text1"/>
        </w:rPr>
        <w:t>VURMTAX provides results for economic variables on a year-on-year basis. The results for a particular year are used to update the database for the commencement of the next year. More specifically, the model contains a series of equations that connect capital stocks to past-year capital stocks and net investment. Similarly, debt is linked to past and present borrowing/saving, and the regional population is related to natural growth and international and interstate migration [</w:t>
      </w:r>
      <w:r w:rsidR="00090B38" w:rsidRPr="00353AE1">
        <w:rPr>
          <w:color w:val="000000" w:themeColor="text1"/>
        </w:rPr>
        <w:t xml:space="preserve">see </w:t>
      </w:r>
      <w:r w:rsidRPr="00353AE1">
        <w:rPr>
          <w:color w:val="000000" w:themeColor="text1"/>
        </w:rPr>
        <w:t>Giesecke and Madden (2013)]. The model is solved with the GEMPACK economic modelling software [</w:t>
      </w:r>
      <w:r w:rsidR="00DF6A4C" w:rsidRPr="00353AE1">
        <w:rPr>
          <w:color w:val="000000" w:themeColor="text1"/>
        </w:rPr>
        <w:t xml:space="preserve">see </w:t>
      </w:r>
      <w:r w:rsidRPr="00353AE1">
        <w:rPr>
          <w:color w:val="000000" w:themeColor="text1"/>
        </w:rPr>
        <w:t>Harrison and Pearson (1996)</w:t>
      </w:r>
      <w:r w:rsidR="00DF6A4C" w:rsidRPr="00353AE1">
        <w:rPr>
          <w:color w:val="000000" w:themeColor="text1"/>
        </w:rPr>
        <w:t xml:space="preserve"> and</w:t>
      </w:r>
      <w:r w:rsidRPr="00353AE1">
        <w:rPr>
          <w:color w:val="000000" w:themeColor="text1"/>
        </w:rPr>
        <w:t xml:space="preserve"> Horridge et al. (2018)]. </w:t>
      </w:r>
    </w:p>
    <w:p w14:paraId="1DC8D79F" w14:textId="4ECE78CA" w:rsidR="008E10B4" w:rsidRPr="00353AE1" w:rsidRDefault="008E10B4" w:rsidP="00096589">
      <w:pPr>
        <w:spacing w:after="120"/>
        <w:jc w:val="left"/>
        <w:rPr>
          <w:color w:val="000000" w:themeColor="text1"/>
        </w:rPr>
      </w:pPr>
      <w:r w:rsidRPr="00353AE1">
        <w:rPr>
          <w:color w:val="000000" w:themeColor="text1"/>
        </w:rPr>
        <w:t xml:space="preserve">In solving VURMTAX, we undertake two parallel model runs: a baseline simulation and a policy simulation. The baseline simulation is a business-as-usual forecast for the period of interest. The policy simulation is identical to the baseline simulation in all respects, other than the addition of shocks describing the policy under investigation. </w:t>
      </w:r>
      <w:r w:rsidR="00A27625" w:rsidRPr="00353AE1">
        <w:t>Results are reported as deviations from the baseline forecast in each year of the policy simulation. For flow variables</w:t>
      </w:r>
      <w:r w:rsidR="00AC5E98" w:rsidRPr="00353AE1">
        <w:t xml:space="preserve"> such as GDP</w:t>
      </w:r>
      <w:r w:rsidR="00A27625" w:rsidRPr="00353AE1">
        <w:t>, the result in a given year is the deviation from the baseline level in that same year. For stock variables</w:t>
      </w:r>
      <w:r w:rsidR="00847019" w:rsidRPr="00353AE1">
        <w:t xml:space="preserve"> such as population</w:t>
      </w:r>
      <w:r w:rsidR="00046AB8" w:rsidRPr="00353AE1">
        <w:t xml:space="preserve">, </w:t>
      </w:r>
      <w:r w:rsidR="00A27625" w:rsidRPr="00353AE1">
        <w:t>the deviations reflect effects accumulated through the model’s year-to-year dynamics.</w:t>
      </w:r>
    </w:p>
    <w:p w14:paraId="770461FE" w14:textId="61FCB546" w:rsidR="008E10B4" w:rsidRPr="00353AE1" w:rsidRDefault="008E10B4" w:rsidP="00096589">
      <w:pPr>
        <w:spacing w:after="120"/>
        <w:jc w:val="left"/>
        <w:rPr>
          <w:color w:val="EE0000"/>
        </w:rPr>
      </w:pPr>
      <w:r w:rsidRPr="00353AE1">
        <w:rPr>
          <w:color w:val="000000" w:themeColor="text1"/>
        </w:rPr>
        <w:t>Applications of VURMTAX include analys</w:t>
      </w:r>
      <w:r w:rsidR="00FD7556" w:rsidRPr="00353AE1">
        <w:rPr>
          <w:color w:val="000000" w:themeColor="text1"/>
        </w:rPr>
        <w:t>e</w:t>
      </w:r>
      <w:r w:rsidRPr="00353AE1">
        <w:rPr>
          <w:color w:val="000000" w:themeColor="text1"/>
        </w:rPr>
        <w:t>s of the GST [</w:t>
      </w:r>
      <w:r w:rsidR="00E70B9A" w:rsidRPr="00353AE1">
        <w:rPr>
          <w:color w:val="000000" w:themeColor="text1"/>
        </w:rPr>
        <w:t xml:space="preserve">see </w:t>
      </w:r>
      <w:r w:rsidRPr="00353AE1">
        <w:rPr>
          <w:color w:val="000000" w:themeColor="text1"/>
        </w:rPr>
        <w:t>Giesecke and Tran (2018)</w:t>
      </w:r>
      <w:r w:rsidR="00E70B9A" w:rsidRPr="00353AE1">
        <w:rPr>
          <w:color w:val="000000" w:themeColor="text1"/>
        </w:rPr>
        <w:t xml:space="preserve"> and</w:t>
      </w:r>
      <w:r w:rsidRPr="00353AE1">
        <w:rPr>
          <w:color w:val="000000" w:themeColor="text1"/>
        </w:rPr>
        <w:t xml:space="preserve"> Giesecke et al. (2021)], company tax [</w:t>
      </w:r>
      <w:r w:rsidR="00892C37" w:rsidRPr="00353AE1">
        <w:rPr>
          <w:color w:val="000000" w:themeColor="text1"/>
        </w:rPr>
        <w:t xml:space="preserve">see </w:t>
      </w:r>
      <w:r w:rsidRPr="00353AE1">
        <w:rPr>
          <w:color w:val="000000" w:themeColor="text1"/>
        </w:rPr>
        <w:t>Dixon and Nassios (2018)], tax mix swaps [</w:t>
      </w:r>
      <w:r w:rsidR="00EA4FC0" w:rsidRPr="00353AE1">
        <w:rPr>
          <w:color w:val="000000" w:themeColor="text1"/>
        </w:rPr>
        <w:t xml:space="preserve">see </w:t>
      </w:r>
      <w:r w:rsidRPr="00353AE1">
        <w:rPr>
          <w:color w:val="000000" w:themeColor="text1"/>
        </w:rPr>
        <w:t>Nassios and Giesecke (2025)], oil supply shocks and fiscal policy responses [</w:t>
      </w:r>
      <w:r w:rsidR="00EA4FC0" w:rsidRPr="00353AE1">
        <w:rPr>
          <w:color w:val="000000" w:themeColor="text1"/>
        </w:rPr>
        <w:t xml:space="preserve">see </w:t>
      </w:r>
      <w:r w:rsidRPr="00353AE1">
        <w:rPr>
          <w:color w:val="000000" w:themeColor="text1"/>
        </w:rPr>
        <w:t>Liu et al. (2024)], taxing export education [</w:t>
      </w:r>
      <w:r w:rsidR="00EA4FC0" w:rsidRPr="00353AE1">
        <w:rPr>
          <w:color w:val="000000" w:themeColor="text1"/>
        </w:rPr>
        <w:t xml:space="preserve">see </w:t>
      </w:r>
      <w:r w:rsidRPr="00353AE1">
        <w:rPr>
          <w:color w:val="000000" w:themeColor="text1"/>
        </w:rPr>
        <w:t>Liu et al. (2025)] and land tax [</w:t>
      </w:r>
      <w:r w:rsidR="00EA4FC0" w:rsidRPr="00353AE1">
        <w:rPr>
          <w:color w:val="000000" w:themeColor="text1"/>
        </w:rPr>
        <w:t xml:space="preserve">see </w:t>
      </w:r>
      <w:r w:rsidRPr="00353AE1">
        <w:rPr>
          <w:color w:val="000000" w:themeColor="text1"/>
        </w:rPr>
        <w:t xml:space="preserve">Nassios et al. </w:t>
      </w:r>
      <w:r w:rsidRPr="00353AE1">
        <w:rPr>
          <w:color w:val="000000" w:themeColor="text1"/>
        </w:rPr>
        <w:lastRenderedPageBreak/>
        <w:t xml:space="preserve">(2019b)]. </w:t>
      </w:r>
    </w:p>
    <w:p w14:paraId="41C31142" w14:textId="77777777" w:rsidR="008E10B4" w:rsidRPr="00353AE1" w:rsidRDefault="008E10B4" w:rsidP="00096589">
      <w:pPr>
        <w:spacing w:after="120"/>
        <w:jc w:val="left"/>
        <w:rPr>
          <w:color w:val="EE0000"/>
        </w:rPr>
      </w:pPr>
    </w:p>
    <w:p w14:paraId="66C0BEF3" w14:textId="0D65FB4A" w:rsidR="008E10B4" w:rsidRPr="00353AE1" w:rsidRDefault="008E10B4" w:rsidP="00993DF3">
      <w:pPr>
        <w:pStyle w:val="Heading2"/>
        <w:spacing w:before="0" w:after="120"/>
        <w:rPr>
          <w:rStyle w:val="SubtleEmphasis"/>
          <w:rFonts w:eastAsiaTheme="minorEastAsia" w:cs="Calibri"/>
          <w:i w:val="0"/>
          <w:iCs w:val="0"/>
          <w:color w:val="595959" w:themeColor="text1" w:themeTint="A6"/>
          <w:sz w:val="22"/>
          <w:szCs w:val="22"/>
        </w:rPr>
      </w:pPr>
      <w:bookmarkStart w:id="4" w:name="_Toc234277228"/>
      <w:r w:rsidRPr="00353AE1">
        <w:rPr>
          <w:rStyle w:val="SubtleEmphasis"/>
          <w:rFonts w:cs="Calibri"/>
          <w:i w:val="0"/>
          <w:iCs w:val="0"/>
          <w:color w:val="595959" w:themeColor="text1" w:themeTint="A6"/>
        </w:rPr>
        <w:t xml:space="preserve">2.2 </w:t>
      </w:r>
      <w:r w:rsidR="00DB671A" w:rsidRPr="00353AE1">
        <w:rPr>
          <w:rStyle w:val="SubtleEmphasis"/>
          <w:rFonts w:cs="Calibri"/>
          <w:i w:val="0"/>
          <w:iCs w:val="0"/>
          <w:color w:val="595959" w:themeColor="text1" w:themeTint="A6"/>
        </w:rPr>
        <w:t>R</w:t>
      </w:r>
      <w:r w:rsidRPr="00353AE1">
        <w:rPr>
          <w:rStyle w:val="SubtleEmphasis"/>
          <w:rFonts w:cs="Calibri"/>
          <w:i w:val="0"/>
          <w:iCs w:val="0"/>
          <w:color w:val="595959" w:themeColor="text1" w:themeTint="A6"/>
        </w:rPr>
        <w:t xml:space="preserve">epresentation of </w:t>
      </w:r>
      <w:r w:rsidR="00117116" w:rsidRPr="00353AE1">
        <w:rPr>
          <w:rStyle w:val="SubtleEmphasis"/>
          <w:rFonts w:cs="Calibri"/>
          <w:i w:val="0"/>
          <w:iCs w:val="0"/>
          <w:color w:val="595959" w:themeColor="text1" w:themeTint="A6"/>
        </w:rPr>
        <w:t xml:space="preserve">the </w:t>
      </w:r>
      <w:r w:rsidRPr="00353AE1">
        <w:rPr>
          <w:rStyle w:val="SubtleEmphasis"/>
          <w:rFonts w:cs="Calibri"/>
          <w:i w:val="0"/>
          <w:iCs w:val="0"/>
          <w:color w:val="595959" w:themeColor="text1" w:themeTint="A6"/>
        </w:rPr>
        <w:t>heavy vehicle sector</w:t>
      </w:r>
      <w:bookmarkEnd w:id="4"/>
    </w:p>
    <w:p w14:paraId="68AD5CE8" w14:textId="52FA1980" w:rsidR="005C00F7" w:rsidRPr="00353AE1" w:rsidRDefault="005C00F7" w:rsidP="00993DF3">
      <w:pPr>
        <w:spacing w:after="120"/>
        <w:jc w:val="left"/>
        <w:rPr>
          <w:color w:val="000000" w:themeColor="text1"/>
        </w:rPr>
      </w:pPr>
      <w:r w:rsidRPr="00353AE1">
        <w:rPr>
          <w:color w:val="000000" w:themeColor="text1"/>
        </w:rPr>
        <w:t>To better capture the economic effects of heavy vehicle reform, this study involve</w:t>
      </w:r>
      <w:r w:rsidR="001A5368" w:rsidRPr="00353AE1">
        <w:rPr>
          <w:color w:val="000000" w:themeColor="text1"/>
        </w:rPr>
        <w:t>s</w:t>
      </w:r>
      <w:r w:rsidRPr="00353AE1">
        <w:rPr>
          <w:color w:val="000000" w:themeColor="text1"/>
        </w:rPr>
        <w:t xml:space="preserve"> database and model development work within VURMTAX. While the reforms examined in this report directly affect </w:t>
      </w:r>
      <w:r w:rsidR="00E7515A" w:rsidRPr="00353AE1">
        <w:rPr>
          <w:color w:val="000000" w:themeColor="text1"/>
        </w:rPr>
        <w:t>Road Freight</w:t>
      </w:r>
      <w:r w:rsidRPr="00353AE1">
        <w:rPr>
          <w:color w:val="000000" w:themeColor="text1"/>
        </w:rPr>
        <w:t xml:space="preserve"> productivity and </w:t>
      </w:r>
      <w:r w:rsidR="00442DA5" w:rsidRPr="00353AE1">
        <w:rPr>
          <w:color w:val="000000" w:themeColor="text1"/>
        </w:rPr>
        <w:t xml:space="preserve">the use of </w:t>
      </w:r>
      <w:r w:rsidRPr="00353AE1">
        <w:rPr>
          <w:color w:val="000000" w:themeColor="text1"/>
        </w:rPr>
        <w:t>heavy vehicle</w:t>
      </w:r>
      <w:r w:rsidR="00270941" w:rsidRPr="00353AE1">
        <w:rPr>
          <w:color w:val="000000" w:themeColor="text1"/>
        </w:rPr>
        <w:t>s</w:t>
      </w:r>
      <w:r w:rsidRPr="00353AE1">
        <w:rPr>
          <w:color w:val="000000" w:themeColor="text1"/>
        </w:rPr>
        <w:t xml:space="preserve">, the standard VURMTAX database does not separately identify different classes of commercial vehicles used in freight-related activity across industries. </w:t>
      </w:r>
    </w:p>
    <w:p w14:paraId="5DD2180E" w14:textId="669CA50A" w:rsidR="005C00F7" w:rsidRPr="00353AE1" w:rsidRDefault="005C00F7" w:rsidP="00993DF3">
      <w:pPr>
        <w:spacing w:after="120"/>
        <w:jc w:val="left"/>
        <w:rPr>
          <w:color w:val="000000" w:themeColor="text1"/>
        </w:rPr>
      </w:pPr>
      <w:r w:rsidRPr="00353AE1">
        <w:rPr>
          <w:color w:val="000000" w:themeColor="text1"/>
        </w:rPr>
        <w:t xml:space="preserve">To address this, we undertook database development work to distinguish separate classes of commercial vehicles used by industries, including the Road Freight sector and the in-house use of commercial vehicles by other sectors. This allows the model to distinguish clearly between different types of commercial vehicle activity within freight-related production, rather than treating commercial vehicle use in a more aggregated way. </w:t>
      </w:r>
    </w:p>
    <w:p w14:paraId="717DB71F" w14:textId="787ADD28" w:rsidR="005C00F7" w:rsidRPr="00353AE1" w:rsidRDefault="005C00F7" w:rsidP="00993DF3">
      <w:pPr>
        <w:spacing w:after="120"/>
        <w:jc w:val="left"/>
        <w:rPr>
          <w:color w:val="000000" w:themeColor="text1"/>
        </w:rPr>
      </w:pPr>
      <w:r w:rsidRPr="00353AE1">
        <w:rPr>
          <w:color w:val="000000" w:themeColor="text1"/>
        </w:rPr>
        <w:t>Specifically, we begin by identifying four classes of commercial vehicles used in production activities across the economy: light commercial vehicles (LCV), rigid trucks, articulated trucks, and buses.</w:t>
      </w:r>
      <w:r w:rsidR="006A2B2A" w:rsidRPr="00353AE1">
        <w:rPr>
          <w:rStyle w:val="FootnoteReference"/>
          <w:color w:val="000000" w:themeColor="text1"/>
        </w:rPr>
        <w:footnoteReference w:id="5"/>
      </w:r>
      <w:r w:rsidRPr="00353AE1">
        <w:rPr>
          <w:color w:val="000000" w:themeColor="text1"/>
        </w:rPr>
        <w:t xml:space="preserve"> We then create a </w:t>
      </w:r>
      <w:r w:rsidR="006A2B2A" w:rsidRPr="00353AE1">
        <w:rPr>
          <w:color w:val="000000" w:themeColor="text1"/>
        </w:rPr>
        <w:t>mixing or “</w:t>
      </w:r>
      <w:r w:rsidRPr="00353AE1">
        <w:rPr>
          <w:color w:val="000000" w:themeColor="text1"/>
        </w:rPr>
        <w:t>dummy</w:t>
      </w:r>
      <w:r w:rsidR="006A2B2A" w:rsidRPr="00353AE1">
        <w:rPr>
          <w:color w:val="000000" w:themeColor="text1"/>
        </w:rPr>
        <w:t>”</w:t>
      </w:r>
      <w:r w:rsidRPr="00353AE1">
        <w:rPr>
          <w:color w:val="000000" w:themeColor="text1"/>
        </w:rPr>
        <w:t xml:space="preserve"> industry for each vehicle class within the database. The first three classes are associated with freight-related activity, while buses are associated with road passenger activity. This distinction is important for th</w:t>
      </w:r>
      <w:r w:rsidR="003F5111" w:rsidRPr="00353AE1">
        <w:rPr>
          <w:color w:val="000000" w:themeColor="text1"/>
        </w:rPr>
        <w:t xml:space="preserve">is </w:t>
      </w:r>
      <w:r w:rsidRPr="00353AE1">
        <w:rPr>
          <w:color w:val="000000" w:themeColor="text1"/>
        </w:rPr>
        <w:t xml:space="preserve">study because </w:t>
      </w:r>
      <w:r w:rsidR="004D0EFA" w:rsidRPr="00353AE1">
        <w:rPr>
          <w:color w:val="000000" w:themeColor="text1"/>
        </w:rPr>
        <w:t xml:space="preserve">the reforms examined in the scenario analysis directly affect </w:t>
      </w:r>
      <w:r w:rsidR="00E7515A" w:rsidRPr="00353AE1">
        <w:rPr>
          <w:color w:val="000000" w:themeColor="text1"/>
        </w:rPr>
        <w:t>Road Freight</w:t>
      </w:r>
      <w:r w:rsidR="004D0EFA" w:rsidRPr="00353AE1">
        <w:rPr>
          <w:color w:val="000000" w:themeColor="text1"/>
        </w:rPr>
        <w:t xml:space="preserve"> activity undertaken by industries, rather than road passenger activity</w:t>
      </w:r>
      <w:r w:rsidR="00815959" w:rsidRPr="00353AE1">
        <w:rPr>
          <w:color w:val="000000" w:themeColor="text1"/>
        </w:rPr>
        <w:t>.</w:t>
      </w:r>
    </w:p>
    <w:p w14:paraId="01E0EE40" w14:textId="57C47BFB" w:rsidR="005E0780" w:rsidRPr="00353AE1" w:rsidRDefault="005E0780" w:rsidP="00993DF3">
      <w:pPr>
        <w:spacing w:after="120"/>
        <w:jc w:val="left"/>
        <w:rPr>
          <w:color w:val="000000" w:themeColor="text1"/>
        </w:rPr>
      </w:pPr>
      <w:r w:rsidRPr="00353AE1">
        <w:rPr>
          <w:color w:val="000000" w:themeColor="text1"/>
        </w:rPr>
        <w:t xml:space="preserve">The creation of these </w:t>
      </w:r>
      <w:r w:rsidR="00987425" w:rsidRPr="00353AE1">
        <w:rPr>
          <w:color w:val="000000" w:themeColor="text1"/>
        </w:rPr>
        <w:t>“</w:t>
      </w:r>
      <w:r w:rsidRPr="00353AE1">
        <w:rPr>
          <w:color w:val="000000" w:themeColor="text1"/>
        </w:rPr>
        <w:t>dummy</w:t>
      </w:r>
      <w:r w:rsidR="00987425" w:rsidRPr="00353AE1">
        <w:rPr>
          <w:color w:val="000000" w:themeColor="text1"/>
        </w:rPr>
        <w:t>”</w:t>
      </w:r>
      <w:r w:rsidRPr="00353AE1">
        <w:rPr>
          <w:color w:val="000000" w:themeColor="text1"/>
        </w:rPr>
        <w:t xml:space="preserve"> sectors required the commercial transport structure in the database to be reworked so that commercial vehicle use could be represented explicitly by vehicle class</w:t>
      </w:r>
      <w:r w:rsidR="00B956FF" w:rsidRPr="00353AE1">
        <w:rPr>
          <w:color w:val="000000" w:themeColor="text1"/>
        </w:rPr>
        <w:t xml:space="preserve">. </w:t>
      </w:r>
      <w:r w:rsidRPr="00353AE1">
        <w:rPr>
          <w:color w:val="000000" w:themeColor="text1"/>
        </w:rPr>
        <w:t>We reallocated benchmark flows associated with commercial vehicle activity across the four commercial transport dummy sectors, allowing separate representation of vehicle-related fuel use, repair use, capital use</w:t>
      </w:r>
      <w:r w:rsidR="00EE3FD0" w:rsidRPr="00353AE1">
        <w:rPr>
          <w:color w:val="000000" w:themeColor="text1"/>
        </w:rPr>
        <w:t xml:space="preserve">, </w:t>
      </w:r>
      <w:r w:rsidRPr="00353AE1">
        <w:rPr>
          <w:color w:val="000000" w:themeColor="text1"/>
        </w:rPr>
        <w:t>investment</w:t>
      </w:r>
      <w:r w:rsidR="00EE3FD0" w:rsidRPr="00353AE1">
        <w:rPr>
          <w:color w:val="000000" w:themeColor="text1"/>
        </w:rPr>
        <w:t>, and taxation</w:t>
      </w:r>
      <w:r w:rsidRPr="00353AE1">
        <w:rPr>
          <w:color w:val="000000" w:themeColor="text1"/>
        </w:rPr>
        <w:t xml:space="preserve"> across regions. In this way, each</w:t>
      </w:r>
      <w:r w:rsidR="009B5D9D" w:rsidRPr="00353AE1">
        <w:rPr>
          <w:color w:val="000000" w:themeColor="text1"/>
        </w:rPr>
        <w:t xml:space="preserve"> commercial vehicle</w:t>
      </w:r>
      <w:r w:rsidRPr="00353AE1">
        <w:rPr>
          <w:color w:val="000000" w:themeColor="text1"/>
        </w:rPr>
        <w:t xml:space="preserve"> dummy sector </w:t>
      </w:r>
      <w:r w:rsidR="009B5D9D" w:rsidRPr="00353AE1">
        <w:rPr>
          <w:color w:val="000000" w:themeColor="text1"/>
        </w:rPr>
        <w:t>has been</w:t>
      </w:r>
      <w:r w:rsidRPr="00353AE1">
        <w:rPr>
          <w:color w:val="000000" w:themeColor="text1"/>
        </w:rPr>
        <w:t xml:space="preserve"> assigned its own benchmark cost structure, consistent with the differing operating characteristics of LCVs, rigid trucks, articulated trucks and buses.</w:t>
      </w:r>
    </w:p>
    <w:p w14:paraId="6CF05243" w14:textId="20ECFAB3" w:rsidR="007D68A5" w:rsidRPr="00353AE1" w:rsidRDefault="007D68A5" w:rsidP="00993DF3">
      <w:pPr>
        <w:spacing w:after="120"/>
        <w:jc w:val="left"/>
        <w:rPr>
          <w:color w:val="000000" w:themeColor="text1"/>
        </w:rPr>
      </w:pPr>
      <w:r w:rsidRPr="00353AE1">
        <w:rPr>
          <w:color w:val="000000" w:themeColor="text1"/>
        </w:rPr>
        <w:t xml:space="preserve">The commercial transport disaggregation draws on data from the </w:t>
      </w:r>
      <w:r w:rsidR="005A5DEE" w:rsidRPr="00353AE1">
        <w:rPr>
          <w:color w:val="000000" w:themeColor="text1"/>
        </w:rPr>
        <w:t>ABS</w:t>
      </w:r>
      <w:r w:rsidR="00B54D13" w:rsidRPr="00353AE1">
        <w:rPr>
          <w:color w:val="000000" w:themeColor="text1"/>
        </w:rPr>
        <w:t xml:space="preserve"> </w:t>
      </w:r>
      <w:r w:rsidR="006D6C4C" w:rsidRPr="00353AE1">
        <w:rPr>
          <w:color w:val="000000" w:themeColor="text1"/>
        </w:rPr>
        <w:t>(</w:t>
      </w:r>
      <w:r w:rsidR="00B54D13" w:rsidRPr="00353AE1">
        <w:rPr>
          <w:color w:val="000000" w:themeColor="text1"/>
        </w:rPr>
        <w:t>2019)</w:t>
      </w:r>
      <w:r w:rsidR="00E11E71" w:rsidRPr="00353AE1">
        <w:rPr>
          <w:color w:val="000000" w:themeColor="text1"/>
        </w:rPr>
        <w:t xml:space="preserve"> and </w:t>
      </w:r>
      <w:r w:rsidR="00AB2A46" w:rsidRPr="00353AE1">
        <w:rPr>
          <w:color w:val="000000" w:themeColor="text1"/>
        </w:rPr>
        <w:t xml:space="preserve">BITRE </w:t>
      </w:r>
      <w:r w:rsidR="00CE1A90" w:rsidRPr="00353AE1">
        <w:rPr>
          <w:color w:val="000000" w:themeColor="text1"/>
        </w:rPr>
        <w:t>(</w:t>
      </w:r>
      <w:r w:rsidR="00AB2A46" w:rsidRPr="00353AE1">
        <w:rPr>
          <w:color w:val="000000" w:themeColor="text1"/>
        </w:rPr>
        <w:t>2024)</w:t>
      </w:r>
      <w:r w:rsidRPr="00353AE1">
        <w:rPr>
          <w:color w:val="000000" w:themeColor="text1"/>
        </w:rPr>
        <w:t xml:space="preserve">. </w:t>
      </w:r>
      <w:r w:rsidR="006A2B2A" w:rsidRPr="00353AE1">
        <w:rPr>
          <w:color w:val="000000" w:themeColor="text1"/>
        </w:rPr>
        <w:t>Data</w:t>
      </w:r>
      <w:r w:rsidRPr="00353AE1">
        <w:rPr>
          <w:color w:val="000000" w:themeColor="text1"/>
        </w:rPr>
        <w:t xml:space="preserve"> on fuel use, business kilometres travelled, and new vehicle sales by vehicle type and region </w:t>
      </w:r>
      <w:r w:rsidR="00BB4A0B" w:rsidRPr="00353AE1">
        <w:rPr>
          <w:color w:val="000000" w:themeColor="text1"/>
        </w:rPr>
        <w:t>were</w:t>
      </w:r>
      <w:r w:rsidRPr="00353AE1">
        <w:rPr>
          <w:color w:val="000000" w:themeColor="text1"/>
        </w:rPr>
        <w:t xml:space="preserve"> used to inform the allocation of benchmark activity across vehicle classes and regions, while preserving consistency</w:t>
      </w:r>
      <w:r w:rsidR="001E1269" w:rsidRPr="00353AE1">
        <w:rPr>
          <w:color w:val="000000" w:themeColor="text1"/>
        </w:rPr>
        <w:t xml:space="preserve"> </w:t>
      </w:r>
      <w:r w:rsidRPr="00353AE1">
        <w:rPr>
          <w:color w:val="000000" w:themeColor="text1"/>
        </w:rPr>
        <w:t xml:space="preserve">with </w:t>
      </w:r>
      <w:r w:rsidR="006B72B5" w:rsidRPr="00353AE1">
        <w:rPr>
          <w:color w:val="000000" w:themeColor="text1"/>
        </w:rPr>
        <w:t>the</w:t>
      </w:r>
      <w:r w:rsidRPr="00353AE1">
        <w:rPr>
          <w:color w:val="000000" w:themeColor="text1"/>
        </w:rPr>
        <w:t xml:space="preserve"> original database.</w:t>
      </w:r>
      <w:r w:rsidR="004B08BB" w:rsidRPr="00353AE1">
        <w:rPr>
          <w:color w:val="000000" w:themeColor="text1"/>
        </w:rPr>
        <w:t xml:space="preserve"> </w:t>
      </w:r>
    </w:p>
    <w:p w14:paraId="201896ED" w14:textId="3CD2A81B" w:rsidR="00185869" w:rsidRPr="00353AE1" w:rsidRDefault="00185869" w:rsidP="00993DF3">
      <w:pPr>
        <w:spacing w:after="120"/>
        <w:jc w:val="left"/>
        <w:rPr>
          <w:color w:val="000000" w:themeColor="text1"/>
        </w:rPr>
      </w:pPr>
      <w:r w:rsidRPr="00353AE1">
        <w:rPr>
          <w:color w:val="000000" w:themeColor="text1"/>
        </w:rPr>
        <w:t xml:space="preserve">Additional treatments </w:t>
      </w:r>
      <w:r w:rsidR="00A96115" w:rsidRPr="00353AE1">
        <w:rPr>
          <w:color w:val="000000" w:themeColor="text1"/>
        </w:rPr>
        <w:t xml:space="preserve">are necessary </w:t>
      </w:r>
      <w:r w:rsidRPr="00353AE1">
        <w:rPr>
          <w:color w:val="000000" w:themeColor="text1"/>
        </w:rPr>
        <w:t>to ensure that the revised database reflected the use of different vehicle classes</w:t>
      </w:r>
      <w:r w:rsidR="00B74D87" w:rsidRPr="00353AE1">
        <w:rPr>
          <w:color w:val="000000" w:themeColor="text1"/>
        </w:rPr>
        <w:t xml:space="preserve"> by industries in the economy</w:t>
      </w:r>
      <w:r w:rsidRPr="00353AE1">
        <w:rPr>
          <w:color w:val="000000" w:themeColor="text1"/>
        </w:rPr>
        <w:t xml:space="preserve"> in a realistic way. For example, the Road Freight sector was specified to use LCVs, rigid trucks and articulated trucks, while the Road Passenger sector was specified to use buses only. Similarly,</w:t>
      </w:r>
      <w:r w:rsidR="00CD7503" w:rsidRPr="00353AE1">
        <w:rPr>
          <w:color w:val="000000" w:themeColor="text1"/>
        </w:rPr>
        <w:t xml:space="preserve"> the mining</w:t>
      </w:r>
      <w:r w:rsidRPr="00353AE1">
        <w:rPr>
          <w:color w:val="000000" w:themeColor="text1"/>
        </w:rPr>
        <w:t xml:space="preserve"> industries were </w:t>
      </w:r>
      <w:r w:rsidRPr="00353AE1">
        <w:rPr>
          <w:color w:val="000000" w:themeColor="text1"/>
        </w:rPr>
        <w:lastRenderedPageBreak/>
        <w:t>assigned a relatively heavier reliance on articulated trucks, with comparatively lower use of LCVs. The resulting structure allows industries in each region to use different mixes of vehicle classes in production.</w:t>
      </w:r>
    </w:p>
    <w:p w14:paraId="5979F9E2" w14:textId="342472A6" w:rsidR="005E0780" w:rsidRPr="00353AE1" w:rsidRDefault="00AE7958" w:rsidP="00993DF3">
      <w:pPr>
        <w:spacing w:after="120"/>
        <w:jc w:val="left"/>
        <w:rPr>
          <w:color w:val="000000" w:themeColor="text1"/>
        </w:rPr>
      </w:pPr>
      <w:r w:rsidRPr="00353AE1">
        <w:rPr>
          <w:color w:val="000000" w:themeColor="text1"/>
        </w:rPr>
        <w:t>One</w:t>
      </w:r>
      <w:r w:rsidR="00A96115" w:rsidRPr="00353AE1">
        <w:rPr>
          <w:color w:val="000000" w:themeColor="text1"/>
        </w:rPr>
        <w:t xml:space="preserve"> further refinement </w:t>
      </w:r>
      <w:r w:rsidR="00520011" w:rsidRPr="00353AE1">
        <w:rPr>
          <w:color w:val="000000" w:themeColor="text1"/>
        </w:rPr>
        <w:t>is</w:t>
      </w:r>
      <w:r w:rsidR="00A96115" w:rsidRPr="00353AE1">
        <w:rPr>
          <w:color w:val="000000" w:themeColor="text1"/>
        </w:rPr>
        <w:t xml:space="preserve"> the separation of off-road articulated truck activity from on-road articulated truck use. This is important because </w:t>
      </w:r>
      <w:r w:rsidR="00D32B16" w:rsidRPr="00353AE1">
        <w:rPr>
          <w:color w:val="000000" w:themeColor="text1"/>
        </w:rPr>
        <w:t>off-road usage of</w:t>
      </w:r>
      <w:r w:rsidR="00A96115" w:rsidRPr="00353AE1">
        <w:rPr>
          <w:color w:val="000000" w:themeColor="text1"/>
        </w:rPr>
        <w:t xml:space="preserve"> articulated truck</w:t>
      </w:r>
      <w:r w:rsidR="00D32B16" w:rsidRPr="00353AE1">
        <w:rPr>
          <w:color w:val="000000" w:themeColor="text1"/>
        </w:rPr>
        <w:t>s</w:t>
      </w:r>
      <w:r w:rsidR="00A96115" w:rsidRPr="00353AE1">
        <w:rPr>
          <w:color w:val="000000" w:themeColor="text1"/>
        </w:rPr>
        <w:t xml:space="preserve"> in sectors such as agriculture, mining and construction is not directly related to public-road freight movements and is therefore </w:t>
      </w:r>
      <w:r w:rsidR="00EB7008" w:rsidRPr="00353AE1">
        <w:rPr>
          <w:color w:val="000000" w:themeColor="text1"/>
        </w:rPr>
        <w:t>not</w:t>
      </w:r>
      <w:r w:rsidR="00A96115" w:rsidRPr="00353AE1">
        <w:rPr>
          <w:color w:val="000000" w:themeColor="text1"/>
        </w:rPr>
        <w:t xml:space="preserve"> relevant to the reforms examined in this study. To capture this distinction, we estimated off-road articulated truck use </w:t>
      </w:r>
      <w:r w:rsidR="00AC44EA" w:rsidRPr="00353AE1">
        <w:rPr>
          <w:color w:val="000000" w:themeColor="text1"/>
        </w:rPr>
        <w:t>by calculating the share of</w:t>
      </w:r>
      <w:r w:rsidR="00A96115" w:rsidRPr="00353AE1">
        <w:rPr>
          <w:color w:val="000000" w:themeColor="text1"/>
        </w:rPr>
        <w:t xml:space="preserve"> fuel tax credit refunds to </w:t>
      </w:r>
      <w:r w:rsidR="00A37555" w:rsidRPr="00353AE1">
        <w:rPr>
          <w:color w:val="000000" w:themeColor="text1"/>
        </w:rPr>
        <w:t xml:space="preserve">these </w:t>
      </w:r>
      <w:r w:rsidR="00A96115" w:rsidRPr="00353AE1">
        <w:rPr>
          <w:color w:val="000000" w:themeColor="text1"/>
        </w:rPr>
        <w:t xml:space="preserve">relevant industries as a proxy for off-road vehicle activity. This treatment helps ensure that off-road commercial vehicle use is </w:t>
      </w:r>
      <w:r w:rsidR="005532CD" w:rsidRPr="00353AE1">
        <w:rPr>
          <w:color w:val="000000" w:themeColor="text1"/>
        </w:rPr>
        <w:t>not directly affected</w:t>
      </w:r>
      <w:r w:rsidR="00A96115" w:rsidRPr="00353AE1">
        <w:rPr>
          <w:color w:val="000000" w:themeColor="text1"/>
        </w:rPr>
        <w:t xml:space="preserve"> by the simulated </w:t>
      </w:r>
      <w:r w:rsidR="00E7515A" w:rsidRPr="00353AE1">
        <w:rPr>
          <w:color w:val="000000" w:themeColor="text1"/>
        </w:rPr>
        <w:t>Road Freight</w:t>
      </w:r>
      <w:r w:rsidR="00293F1B" w:rsidRPr="00353AE1">
        <w:rPr>
          <w:color w:val="000000" w:themeColor="text1"/>
        </w:rPr>
        <w:t xml:space="preserve"> </w:t>
      </w:r>
      <w:r w:rsidR="000F0E92" w:rsidRPr="00353AE1">
        <w:rPr>
          <w:color w:val="000000" w:themeColor="text1"/>
        </w:rPr>
        <w:t>multifactor productivity (</w:t>
      </w:r>
      <w:r w:rsidR="00293F1B" w:rsidRPr="00353AE1">
        <w:rPr>
          <w:color w:val="000000" w:themeColor="text1"/>
        </w:rPr>
        <w:t>MFP</w:t>
      </w:r>
      <w:r w:rsidR="000F0E92" w:rsidRPr="00353AE1">
        <w:rPr>
          <w:color w:val="000000" w:themeColor="text1"/>
        </w:rPr>
        <w:t>)</w:t>
      </w:r>
      <w:r w:rsidR="00A96115" w:rsidRPr="00353AE1">
        <w:rPr>
          <w:color w:val="000000" w:themeColor="text1"/>
        </w:rPr>
        <w:t xml:space="preserve"> improvements</w:t>
      </w:r>
      <w:r w:rsidR="00293F1B" w:rsidRPr="00353AE1">
        <w:rPr>
          <w:color w:val="000000" w:themeColor="text1"/>
        </w:rPr>
        <w:t xml:space="preserve"> </w:t>
      </w:r>
      <w:r w:rsidR="00383C1D" w:rsidRPr="00353AE1">
        <w:rPr>
          <w:color w:val="000000" w:themeColor="text1"/>
        </w:rPr>
        <w:t>in our scenario analyses</w:t>
      </w:r>
      <w:r w:rsidR="00A96115" w:rsidRPr="00353AE1">
        <w:rPr>
          <w:color w:val="000000" w:themeColor="text1"/>
        </w:rPr>
        <w:t>.</w:t>
      </w:r>
    </w:p>
    <w:p w14:paraId="0FC16AD2" w14:textId="77895796" w:rsidR="00163F24" w:rsidRPr="00353AE1" w:rsidRDefault="00F16450" w:rsidP="00993DF3">
      <w:pPr>
        <w:widowControl/>
        <w:spacing w:after="120"/>
        <w:jc w:val="left"/>
        <w:rPr>
          <w:color w:val="000000" w:themeColor="text1"/>
        </w:rPr>
      </w:pPr>
      <w:r w:rsidRPr="00353AE1">
        <w:rPr>
          <w:color w:val="000000" w:themeColor="text1"/>
        </w:rPr>
        <w:t xml:space="preserve">For reporting purposes, the dummy sectors for rigid trucks and on-road articulated trucks are aggregated into a </w:t>
      </w:r>
      <w:r w:rsidR="003D5A90" w:rsidRPr="00353AE1">
        <w:rPr>
          <w:color w:val="000000" w:themeColor="text1"/>
        </w:rPr>
        <w:t>H</w:t>
      </w:r>
      <w:r w:rsidRPr="00353AE1">
        <w:rPr>
          <w:color w:val="000000" w:themeColor="text1"/>
        </w:rPr>
        <w:t xml:space="preserve">eavy </w:t>
      </w:r>
      <w:r w:rsidR="003D5A90" w:rsidRPr="00353AE1">
        <w:rPr>
          <w:color w:val="000000" w:themeColor="text1"/>
        </w:rPr>
        <w:t>V</w:t>
      </w:r>
      <w:r w:rsidRPr="00353AE1">
        <w:rPr>
          <w:color w:val="000000" w:themeColor="text1"/>
        </w:rPr>
        <w:t xml:space="preserve">ehicle sector that produces a </w:t>
      </w:r>
      <w:r w:rsidR="00FE3CF4" w:rsidRPr="00353AE1">
        <w:rPr>
          <w:color w:val="000000" w:themeColor="text1"/>
        </w:rPr>
        <w:t>H</w:t>
      </w:r>
      <w:r w:rsidRPr="00353AE1">
        <w:rPr>
          <w:color w:val="000000" w:themeColor="text1"/>
        </w:rPr>
        <w:t xml:space="preserve">eavy </w:t>
      </w:r>
      <w:r w:rsidR="00FE3CF4" w:rsidRPr="00353AE1">
        <w:rPr>
          <w:color w:val="000000" w:themeColor="text1"/>
        </w:rPr>
        <w:t>V</w:t>
      </w:r>
      <w:r w:rsidRPr="00353AE1">
        <w:rPr>
          <w:color w:val="000000" w:themeColor="text1"/>
        </w:rPr>
        <w:t xml:space="preserve">ehicle commodity. This </w:t>
      </w:r>
      <w:r w:rsidR="00A75DF9" w:rsidRPr="00353AE1">
        <w:rPr>
          <w:color w:val="000000" w:themeColor="text1"/>
        </w:rPr>
        <w:t>H</w:t>
      </w:r>
      <w:r w:rsidRPr="00353AE1">
        <w:rPr>
          <w:color w:val="000000" w:themeColor="text1"/>
        </w:rPr>
        <w:t xml:space="preserve">eavy </w:t>
      </w:r>
      <w:r w:rsidR="00A75DF9" w:rsidRPr="00353AE1">
        <w:rPr>
          <w:color w:val="000000" w:themeColor="text1"/>
        </w:rPr>
        <w:t>V</w:t>
      </w:r>
      <w:r w:rsidRPr="00353AE1">
        <w:rPr>
          <w:color w:val="000000" w:themeColor="text1"/>
        </w:rPr>
        <w:t>ehicle commodity is used as an intermediate input by the Road Freight sector and by other non-dummy industries, excluding the Road Passenger sector.</w:t>
      </w:r>
      <w:r w:rsidR="00684D9E" w:rsidRPr="00353AE1">
        <w:rPr>
          <w:color w:val="000000" w:themeColor="text1"/>
        </w:rPr>
        <w:t xml:space="preserve"> </w:t>
      </w:r>
    </w:p>
    <w:p w14:paraId="74419821" w14:textId="6FBB8F88" w:rsidR="00204D45" w:rsidRPr="00353AE1" w:rsidRDefault="00085CB2" w:rsidP="00993DF3">
      <w:pPr>
        <w:widowControl/>
        <w:spacing w:after="120"/>
        <w:jc w:val="left"/>
      </w:pPr>
      <w:r w:rsidRPr="00353AE1">
        <w:rPr>
          <w:color w:val="000000" w:themeColor="text1"/>
        </w:rPr>
        <w:t xml:space="preserve">Table 1 </w:t>
      </w:r>
      <w:r w:rsidR="000F25FB" w:rsidRPr="00353AE1">
        <w:rPr>
          <w:color w:val="000000" w:themeColor="text1"/>
        </w:rPr>
        <w:t>reports the summary of</w:t>
      </w:r>
      <w:r w:rsidRPr="00353AE1">
        <w:rPr>
          <w:color w:val="000000" w:themeColor="text1"/>
        </w:rPr>
        <w:t xml:space="preserve"> the </w:t>
      </w:r>
      <w:r w:rsidR="00C71087" w:rsidRPr="00353AE1">
        <w:rPr>
          <w:color w:val="000000" w:themeColor="text1"/>
        </w:rPr>
        <w:t xml:space="preserve">composition breakdown </w:t>
      </w:r>
      <w:r w:rsidR="00D90D9E" w:rsidRPr="00353AE1">
        <w:rPr>
          <w:color w:val="000000" w:themeColor="text1"/>
        </w:rPr>
        <w:t xml:space="preserve">on the use of </w:t>
      </w:r>
      <w:r w:rsidR="00C71087" w:rsidRPr="00353AE1">
        <w:rPr>
          <w:color w:val="000000" w:themeColor="text1"/>
        </w:rPr>
        <w:t>commercial vehicle</w:t>
      </w:r>
      <w:r w:rsidR="0051218C" w:rsidRPr="00353AE1">
        <w:rPr>
          <w:color w:val="000000" w:themeColor="text1"/>
        </w:rPr>
        <w:t>s by</w:t>
      </w:r>
      <w:r w:rsidR="005B1A4E" w:rsidRPr="00353AE1">
        <w:rPr>
          <w:color w:val="000000" w:themeColor="text1"/>
        </w:rPr>
        <w:t xml:space="preserve"> vehicle</w:t>
      </w:r>
      <w:r w:rsidR="00C71087" w:rsidRPr="00353AE1">
        <w:rPr>
          <w:color w:val="000000" w:themeColor="text1"/>
        </w:rPr>
        <w:t xml:space="preserve"> class </w:t>
      </w:r>
      <w:r w:rsidR="0066612B" w:rsidRPr="00353AE1">
        <w:rPr>
          <w:color w:val="000000" w:themeColor="text1"/>
        </w:rPr>
        <w:t>and</w:t>
      </w:r>
      <w:r w:rsidR="00C71087" w:rsidRPr="00353AE1">
        <w:rPr>
          <w:color w:val="000000" w:themeColor="text1"/>
        </w:rPr>
        <w:t xml:space="preserve"> region.</w:t>
      </w:r>
      <w:r w:rsidR="00033C0D" w:rsidRPr="00353AE1">
        <w:rPr>
          <w:color w:val="000000" w:themeColor="text1"/>
        </w:rPr>
        <w:t xml:space="preserve"> </w:t>
      </w:r>
      <w:r w:rsidR="00D615F8" w:rsidRPr="00353AE1">
        <w:t>It is worth noting that the relatively large share of heavy vehicles in Victoria reflects the state’s relatively small mining sector and, therefore, its smaller share of off-road articulated trucks.</w:t>
      </w:r>
      <w:r w:rsidR="00DD07A7" w:rsidRPr="00353AE1">
        <w:t xml:space="preserve"> </w:t>
      </w:r>
      <w:r w:rsidR="00204D45" w:rsidRPr="00353AE1">
        <w:t>Table 2 reports the input share of Heavy Vehicle in the Road Freight sector by region.</w:t>
      </w:r>
    </w:p>
    <w:p w14:paraId="5319483A" w14:textId="77777777" w:rsidR="00235170" w:rsidRPr="00353AE1" w:rsidRDefault="00235170" w:rsidP="00993DF3">
      <w:pPr>
        <w:widowControl/>
        <w:spacing w:after="120"/>
        <w:jc w:val="left"/>
      </w:pPr>
    </w:p>
    <w:p w14:paraId="21731D7E" w14:textId="3E5A7547" w:rsidR="003F2245" w:rsidRPr="00353AE1" w:rsidRDefault="003F2245" w:rsidP="00993DF3">
      <w:pPr>
        <w:pStyle w:val="Caption"/>
        <w:keepNext/>
        <w:spacing w:after="120"/>
        <w:jc w:val="center"/>
        <w:rPr>
          <w:sz w:val="22"/>
          <w:szCs w:val="22"/>
        </w:rPr>
      </w:pPr>
      <w:bookmarkStart w:id="5" w:name="_Toc230696724"/>
      <w:bookmarkStart w:id="6" w:name="_Toc230710342"/>
      <w:bookmarkStart w:id="7" w:name="_Toc230710388"/>
      <w:bookmarkStart w:id="8" w:name="_Toc230711111"/>
      <w:bookmarkStart w:id="9" w:name="_Toc231907805"/>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w:t>
      </w:r>
      <w:r w:rsidR="00DF6059" w:rsidRPr="00353AE1">
        <w:rPr>
          <w:sz w:val="22"/>
          <w:szCs w:val="22"/>
        </w:rPr>
        <w:fldChar w:fldCharType="end"/>
      </w:r>
      <w:r w:rsidR="00085CB2" w:rsidRPr="00353AE1">
        <w:rPr>
          <w:sz w:val="22"/>
          <w:szCs w:val="22"/>
        </w:rPr>
        <w:t>.</w:t>
      </w:r>
      <w:r w:rsidRPr="00353AE1">
        <w:rPr>
          <w:sz w:val="22"/>
          <w:szCs w:val="22"/>
        </w:rPr>
        <w:t xml:space="preserve"> Composition </w:t>
      </w:r>
      <w:r w:rsidR="00780209" w:rsidRPr="00353AE1">
        <w:rPr>
          <w:sz w:val="22"/>
          <w:szCs w:val="22"/>
        </w:rPr>
        <w:t>B</w:t>
      </w:r>
      <w:r w:rsidRPr="00353AE1">
        <w:rPr>
          <w:sz w:val="22"/>
          <w:szCs w:val="22"/>
        </w:rPr>
        <w:t xml:space="preserve">reakdown </w:t>
      </w:r>
      <w:r w:rsidR="003C6F5C" w:rsidRPr="00353AE1">
        <w:rPr>
          <w:sz w:val="22"/>
          <w:szCs w:val="22"/>
        </w:rPr>
        <w:t xml:space="preserve">on the </w:t>
      </w:r>
      <w:r w:rsidR="00780209" w:rsidRPr="00353AE1">
        <w:rPr>
          <w:sz w:val="22"/>
          <w:szCs w:val="22"/>
        </w:rPr>
        <w:t>U</w:t>
      </w:r>
      <w:r w:rsidR="003C6F5C" w:rsidRPr="00353AE1">
        <w:rPr>
          <w:sz w:val="22"/>
          <w:szCs w:val="22"/>
        </w:rPr>
        <w:t>se of</w:t>
      </w:r>
      <w:r w:rsidRPr="00353AE1">
        <w:rPr>
          <w:sz w:val="22"/>
          <w:szCs w:val="22"/>
        </w:rPr>
        <w:t xml:space="preserve"> </w:t>
      </w:r>
      <w:r w:rsidR="00780209" w:rsidRPr="00353AE1">
        <w:rPr>
          <w:sz w:val="22"/>
          <w:szCs w:val="22"/>
        </w:rPr>
        <w:t>C</w:t>
      </w:r>
      <w:r w:rsidRPr="00353AE1">
        <w:rPr>
          <w:sz w:val="22"/>
          <w:szCs w:val="22"/>
        </w:rPr>
        <w:t xml:space="preserve">ommercial </w:t>
      </w:r>
      <w:r w:rsidR="00780209" w:rsidRPr="00353AE1">
        <w:rPr>
          <w:sz w:val="22"/>
          <w:szCs w:val="22"/>
        </w:rPr>
        <w:t>V</w:t>
      </w:r>
      <w:r w:rsidRPr="00353AE1">
        <w:rPr>
          <w:sz w:val="22"/>
          <w:szCs w:val="22"/>
        </w:rPr>
        <w:t>ehicle</w:t>
      </w:r>
      <w:r w:rsidR="003C6F5C" w:rsidRPr="00353AE1">
        <w:rPr>
          <w:sz w:val="22"/>
          <w:szCs w:val="22"/>
        </w:rPr>
        <w:t>s, by</w:t>
      </w:r>
      <w:r w:rsidR="00990F11" w:rsidRPr="00353AE1">
        <w:rPr>
          <w:sz w:val="22"/>
          <w:szCs w:val="22"/>
        </w:rPr>
        <w:t xml:space="preserve"> </w:t>
      </w:r>
      <w:r w:rsidR="00780209" w:rsidRPr="00353AE1">
        <w:rPr>
          <w:sz w:val="22"/>
          <w:szCs w:val="22"/>
        </w:rPr>
        <w:t>V</w:t>
      </w:r>
      <w:r w:rsidR="00990F11" w:rsidRPr="00353AE1">
        <w:rPr>
          <w:sz w:val="22"/>
          <w:szCs w:val="22"/>
        </w:rPr>
        <w:t>ehicle</w:t>
      </w:r>
      <w:r w:rsidRPr="00353AE1">
        <w:rPr>
          <w:sz w:val="22"/>
          <w:szCs w:val="22"/>
        </w:rPr>
        <w:t xml:space="preserve"> </w:t>
      </w:r>
      <w:r w:rsidR="00780209" w:rsidRPr="00353AE1">
        <w:rPr>
          <w:sz w:val="22"/>
          <w:szCs w:val="22"/>
        </w:rPr>
        <w:t>C</w:t>
      </w:r>
      <w:r w:rsidRPr="00353AE1">
        <w:rPr>
          <w:sz w:val="22"/>
          <w:szCs w:val="22"/>
        </w:rPr>
        <w:t xml:space="preserve">lass </w:t>
      </w:r>
      <w:r w:rsidR="003C6F5C" w:rsidRPr="00353AE1">
        <w:rPr>
          <w:sz w:val="22"/>
          <w:szCs w:val="22"/>
        </w:rPr>
        <w:t>and</w:t>
      </w:r>
      <w:r w:rsidRPr="00353AE1">
        <w:rPr>
          <w:sz w:val="22"/>
          <w:szCs w:val="22"/>
        </w:rPr>
        <w:t xml:space="preserve"> </w:t>
      </w:r>
      <w:r w:rsidR="00780209" w:rsidRPr="00353AE1">
        <w:rPr>
          <w:sz w:val="22"/>
          <w:szCs w:val="22"/>
        </w:rPr>
        <w:t>R</w:t>
      </w:r>
      <w:r w:rsidRPr="00353AE1">
        <w:rPr>
          <w:sz w:val="22"/>
          <w:szCs w:val="22"/>
        </w:rPr>
        <w:t>egion</w:t>
      </w:r>
      <w:bookmarkEnd w:id="5"/>
      <w:bookmarkEnd w:id="6"/>
      <w:bookmarkEnd w:id="7"/>
      <w:bookmarkEnd w:id="8"/>
      <w:bookmarkEnd w:id="9"/>
    </w:p>
    <w:tbl>
      <w:tblPr>
        <w:tblW w:w="8998" w:type="dxa"/>
        <w:jc w:val="center"/>
        <w:tblLook w:val="04A0" w:firstRow="1" w:lastRow="0" w:firstColumn="1" w:lastColumn="0" w:noHBand="0" w:noVBand="1"/>
      </w:tblPr>
      <w:tblGrid>
        <w:gridCol w:w="2940"/>
        <w:gridCol w:w="1260"/>
        <w:gridCol w:w="960"/>
        <w:gridCol w:w="960"/>
        <w:gridCol w:w="960"/>
        <w:gridCol w:w="960"/>
        <w:gridCol w:w="958"/>
      </w:tblGrid>
      <w:tr w:rsidR="005822FE" w:rsidRPr="00353AE1" w14:paraId="57697168" w14:textId="77777777" w:rsidTr="00524775">
        <w:trPr>
          <w:trHeight w:val="300"/>
          <w:jc w:val="center"/>
        </w:trPr>
        <w:tc>
          <w:tcPr>
            <w:tcW w:w="2940" w:type="dxa"/>
            <w:tcBorders>
              <w:top w:val="single" w:sz="4" w:space="0" w:color="auto"/>
              <w:left w:val="nil"/>
              <w:bottom w:val="nil"/>
              <w:right w:val="nil"/>
            </w:tcBorders>
            <w:noWrap/>
            <w:vAlign w:val="bottom"/>
            <w:hideMark/>
          </w:tcPr>
          <w:p w14:paraId="7189F88F" w14:textId="14A07E21" w:rsidR="005822FE" w:rsidRPr="00353AE1" w:rsidRDefault="005822FE" w:rsidP="005B396B">
            <w:pPr>
              <w:widowControl/>
              <w:jc w:val="left"/>
              <w:rPr>
                <w:rFonts w:eastAsia="Times New Roman"/>
                <w:b/>
                <w:bCs/>
                <w:color w:val="000000"/>
                <w:kern w:val="0"/>
                <w:lang w:val="en-GB"/>
              </w:rPr>
            </w:pPr>
            <w:r w:rsidRPr="00353AE1">
              <w:rPr>
                <w:rFonts w:eastAsia="Times New Roman"/>
                <w:b/>
                <w:bCs/>
                <w:color w:val="000000"/>
                <w:kern w:val="0"/>
                <w:lang w:val="en-GB"/>
              </w:rPr>
              <w:t>Commercial Vehicle Class</w:t>
            </w:r>
          </w:p>
        </w:tc>
        <w:tc>
          <w:tcPr>
            <w:tcW w:w="1260" w:type="dxa"/>
            <w:tcBorders>
              <w:top w:val="single" w:sz="4" w:space="0" w:color="auto"/>
              <w:left w:val="nil"/>
              <w:bottom w:val="nil"/>
              <w:right w:val="nil"/>
            </w:tcBorders>
            <w:noWrap/>
            <w:vAlign w:val="bottom"/>
            <w:hideMark/>
          </w:tcPr>
          <w:p w14:paraId="5511737E"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NSW&amp;ACT</w:t>
            </w:r>
          </w:p>
        </w:tc>
        <w:tc>
          <w:tcPr>
            <w:tcW w:w="960" w:type="dxa"/>
            <w:tcBorders>
              <w:top w:val="single" w:sz="4" w:space="0" w:color="auto"/>
              <w:left w:val="nil"/>
              <w:bottom w:val="nil"/>
              <w:right w:val="nil"/>
            </w:tcBorders>
            <w:noWrap/>
            <w:vAlign w:val="bottom"/>
            <w:hideMark/>
          </w:tcPr>
          <w:p w14:paraId="19889832"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VIC</w:t>
            </w:r>
          </w:p>
        </w:tc>
        <w:tc>
          <w:tcPr>
            <w:tcW w:w="960" w:type="dxa"/>
            <w:tcBorders>
              <w:top w:val="single" w:sz="4" w:space="0" w:color="auto"/>
              <w:left w:val="nil"/>
              <w:bottom w:val="nil"/>
              <w:right w:val="nil"/>
            </w:tcBorders>
            <w:noWrap/>
            <w:vAlign w:val="bottom"/>
            <w:hideMark/>
          </w:tcPr>
          <w:p w14:paraId="28436D77"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QLD</w:t>
            </w:r>
          </w:p>
        </w:tc>
        <w:tc>
          <w:tcPr>
            <w:tcW w:w="960" w:type="dxa"/>
            <w:tcBorders>
              <w:top w:val="single" w:sz="4" w:space="0" w:color="auto"/>
              <w:left w:val="nil"/>
              <w:bottom w:val="nil"/>
              <w:right w:val="nil"/>
            </w:tcBorders>
            <w:noWrap/>
            <w:vAlign w:val="bottom"/>
            <w:hideMark/>
          </w:tcPr>
          <w:p w14:paraId="3DCB23A8"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SA</w:t>
            </w:r>
          </w:p>
        </w:tc>
        <w:tc>
          <w:tcPr>
            <w:tcW w:w="960" w:type="dxa"/>
            <w:tcBorders>
              <w:top w:val="single" w:sz="4" w:space="0" w:color="auto"/>
              <w:left w:val="nil"/>
              <w:bottom w:val="nil"/>
              <w:right w:val="nil"/>
            </w:tcBorders>
            <w:noWrap/>
            <w:vAlign w:val="bottom"/>
            <w:hideMark/>
          </w:tcPr>
          <w:p w14:paraId="3523AB10"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TAS</w:t>
            </w:r>
          </w:p>
        </w:tc>
        <w:tc>
          <w:tcPr>
            <w:tcW w:w="958" w:type="dxa"/>
            <w:tcBorders>
              <w:top w:val="single" w:sz="4" w:space="0" w:color="auto"/>
              <w:left w:val="nil"/>
              <w:bottom w:val="nil"/>
              <w:right w:val="nil"/>
            </w:tcBorders>
            <w:noWrap/>
            <w:vAlign w:val="bottom"/>
            <w:hideMark/>
          </w:tcPr>
          <w:p w14:paraId="34666625" w14:textId="77777777" w:rsidR="005822FE" w:rsidRPr="00353AE1" w:rsidRDefault="005822FE" w:rsidP="005B396B">
            <w:pPr>
              <w:widowControl/>
              <w:jc w:val="center"/>
              <w:rPr>
                <w:rFonts w:eastAsia="Times New Roman"/>
                <w:b/>
                <w:bCs/>
                <w:color w:val="000000"/>
                <w:kern w:val="0"/>
                <w:lang w:val="en-GB"/>
              </w:rPr>
            </w:pPr>
            <w:r w:rsidRPr="00353AE1">
              <w:rPr>
                <w:rFonts w:eastAsia="Times New Roman"/>
                <w:b/>
                <w:bCs/>
                <w:color w:val="000000"/>
                <w:kern w:val="0"/>
                <w:lang w:val="en-GB"/>
              </w:rPr>
              <w:t>WA&amp;NT</w:t>
            </w:r>
          </w:p>
        </w:tc>
      </w:tr>
      <w:tr w:rsidR="005822FE" w:rsidRPr="00353AE1" w14:paraId="41C52A3F" w14:textId="77777777" w:rsidTr="00524775">
        <w:trPr>
          <w:trHeight w:val="300"/>
          <w:jc w:val="center"/>
        </w:trPr>
        <w:tc>
          <w:tcPr>
            <w:tcW w:w="2940" w:type="dxa"/>
            <w:tcBorders>
              <w:top w:val="single" w:sz="4" w:space="0" w:color="auto"/>
              <w:left w:val="nil"/>
              <w:bottom w:val="nil"/>
              <w:right w:val="nil"/>
            </w:tcBorders>
            <w:noWrap/>
            <w:vAlign w:val="bottom"/>
            <w:hideMark/>
          </w:tcPr>
          <w:p w14:paraId="03308611" w14:textId="58343BFC" w:rsidR="005822FE" w:rsidRPr="00353AE1" w:rsidRDefault="005822FE" w:rsidP="005B396B">
            <w:pPr>
              <w:widowControl/>
              <w:jc w:val="left"/>
              <w:rPr>
                <w:rFonts w:eastAsia="Times New Roman"/>
                <w:color w:val="000000"/>
                <w:kern w:val="0"/>
                <w:lang w:val="en-GB"/>
              </w:rPr>
            </w:pPr>
            <w:r w:rsidRPr="00353AE1">
              <w:rPr>
                <w:rFonts w:eastAsia="Times New Roman"/>
                <w:color w:val="000000"/>
                <w:kern w:val="0"/>
                <w:lang w:val="en-GB"/>
              </w:rPr>
              <w:t>LCV</w:t>
            </w:r>
            <w:r w:rsidR="00466C73" w:rsidRPr="00353AE1">
              <w:rPr>
                <w:rFonts w:eastAsia="Times New Roman"/>
                <w:color w:val="000000"/>
                <w:kern w:val="0"/>
                <w:lang w:val="en-GB"/>
              </w:rPr>
              <w:t>s</w:t>
            </w:r>
          </w:p>
        </w:tc>
        <w:tc>
          <w:tcPr>
            <w:tcW w:w="1260" w:type="dxa"/>
            <w:tcBorders>
              <w:top w:val="single" w:sz="4" w:space="0" w:color="auto"/>
              <w:left w:val="nil"/>
              <w:bottom w:val="nil"/>
              <w:right w:val="nil"/>
            </w:tcBorders>
            <w:noWrap/>
            <w:vAlign w:val="center"/>
            <w:hideMark/>
          </w:tcPr>
          <w:p w14:paraId="7793E123"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50.8%</w:t>
            </w:r>
          </w:p>
        </w:tc>
        <w:tc>
          <w:tcPr>
            <w:tcW w:w="960" w:type="dxa"/>
            <w:tcBorders>
              <w:top w:val="single" w:sz="4" w:space="0" w:color="auto"/>
              <w:left w:val="nil"/>
              <w:bottom w:val="nil"/>
              <w:right w:val="nil"/>
            </w:tcBorders>
            <w:noWrap/>
            <w:vAlign w:val="center"/>
            <w:hideMark/>
          </w:tcPr>
          <w:p w14:paraId="7F30E6F0"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48.2%</w:t>
            </w:r>
          </w:p>
        </w:tc>
        <w:tc>
          <w:tcPr>
            <w:tcW w:w="960" w:type="dxa"/>
            <w:tcBorders>
              <w:top w:val="single" w:sz="4" w:space="0" w:color="auto"/>
              <w:left w:val="nil"/>
              <w:bottom w:val="nil"/>
              <w:right w:val="nil"/>
            </w:tcBorders>
            <w:noWrap/>
            <w:vAlign w:val="center"/>
            <w:hideMark/>
          </w:tcPr>
          <w:p w14:paraId="12187343"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43.5%</w:t>
            </w:r>
          </w:p>
        </w:tc>
        <w:tc>
          <w:tcPr>
            <w:tcW w:w="960" w:type="dxa"/>
            <w:tcBorders>
              <w:top w:val="single" w:sz="4" w:space="0" w:color="auto"/>
              <w:left w:val="nil"/>
              <w:bottom w:val="nil"/>
              <w:right w:val="nil"/>
            </w:tcBorders>
            <w:noWrap/>
            <w:vAlign w:val="center"/>
            <w:hideMark/>
          </w:tcPr>
          <w:p w14:paraId="4F0A7E5F"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50.1%</w:t>
            </w:r>
          </w:p>
        </w:tc>
        <w:tc>
          <w:tcPr>
            <w:tcW w:w="960" w:type="dxa"/>
            <w:tcBorders>
              <w:top w:val="single" w:sz="4" w:space="0" w:color="auto"/>
              <w:left w:val="nil"/>
              <w:bottom w:val="nil"/>
              <w:right w:val="nil"/>
            </w:tcBorders>
            <w:noWrap/>
            <w:vAlign w:val="center"/>
            <w:hideMark/>
          </w:tcPr>
          <w:p w14:paraId="609EE2B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51.1%</w:t>
            </w:r>
          </w:p>
        </w:tc>
        <w:tc>
          <w:tcPr>
            <w:tcW w:w="958" w:type="dxa"/>
            <w:tcBorders>
              <w:top w:val="single" w:sz="4" w:space="0" w:color="auto"/>
              <w:left w:val="nil"/>
              <w:bottom w:val="nil"/>
              <w:right w:val="nil"/>
            </w:tcBorders>
            <w:noWrap/>
            <w:vAlign w:val="center"/>
            <w:hideMark/>
          </w:tcPr>
          <w:p w14:paraId="4A6C8F60"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30.3%</w:t>
            </w:r>
          </w:p>
        </w:tc>
      </w:tr>
      <w:tr w:rsidR="005822FE" w:rsidRPr="00353AE1" w14:paraId="7871A745" w14:textId="77777777" w:rsidTr="00524775">
        <w:trPr>
          <w:trHeight w:val="300"/>
          <w:jc w:val="center"/>
        </w:trPr>
        <w:tc>
          <w:tcPr>
            <w:tcW w:w="2940" w:type="dxa"/>
            <w:tcBorders>
              <w:top w:val="nil"/>
              <w:left w:val="nil"/>
              <w:bottom w:val="nil"/>
              <w:right w:val="nil"/>
            </w:tcBorders>
            <w:noWrap/>
            <w:vAlign w:val="bottom"/>
            <w:hideMark/>
          </w:tcPr>
          <w:p w14:paraId="43F27A98" w14:textId="735733B9" w:rsidR="005822FE" w:rsidRPr="00353AE1" w:rsidRDefault="005822FE" w:rsidP="005B396B">
            <w:pPr>
              <w:widowControl/>
              <w:jc w:val="left"/>
              <w:rPr>
                <w:rFonts w:eastAsia="Times New Roman"/>
                <w:color w:val="000000"/>
                <w:kern w:val="0"/>
                <w:lang w:val="en-GB"/>
              </w:rPr>
            </w:pPr>
            <w:r w:rsidRPr="00353AE1">
              <w:rPr>
                <w:rFonts w:eastAsia="Times New Roman"/>
                <w:color w:val="000000"/>
                <w:kern w:val="0"/>
                <w:lang w:val="en-GB"/>
              </w:rPr>
              <w:t xml:space="preserve">Heavy </w:t>
            </w:r>
            <w:r w:rsidR="00DC271B" w:rsidRPr="00353AE1">
              <w:rPr>
                <w:rFonts w:eastAsia="Times New Roman"/>
                <w:color w:val="000000"/>
                <w:kern w:val="0"/>
                <w:lang w:val="en-GB"/>
              </w:rPr>
              <w:t>v</w:t>
            </w:r>
            <w:r w:rsidRPr="00353AE1">
              <w:rPr>
                <w:rFonts w:eastAsia="Times New Roman"/>
                <w:color w:val="000000"/>
                <w:kern w:val="0"/>
                <w:lang w:val="en-GB"/>
              </w:rPr>
              <w:t>ehicle</w:t>
            </w:r>
            <w:r w:rsidR="00466C73" w:rsidRPr="00353AE1">
              <w:rPr>
                <w:rFonts w:eastAsia="Times New Roman"/>
                <w:color w:val="000000"/>
                <w:kern w:val="0"/>
                <w:lang w:val="en-GB"/>
              </w:rPr>
              <w:t>s</w:t>
            </w:r>
          </w:p>
        </w:tc>
        <w:tc>
          <w:tcPr>
            <w:tcW w:w="1260" w:type="dxa"/>
            <w:tcBorders>
              <w:top w:val="nil"/>
              <w:left w:val="nil"/>
              <w:bottom w:val="nil"/>
              <w:right w:val="nil"/>
            </w:tcBorders>
            <w:noWrap/>
            <w:vAlign w:val="center"/>
            <w:hideMark/>
          </w:tcPr>
          <w:p w14:paraId="4855EC8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38.5%</w:t>
            </w:r>
          </w:p>
        </w:tc>
        <w:tc>
          <w:tcPr>
            <w:tcW w:w="960" w:type="dxa"/>
            <w:tcBorders>
              <w:top w:val="nil"/>
              <w:left w:val="nil"/>
              <w:bottom w:val="nil"/>
              <w:right w:val="nil"/>
            </w:tcBorders>
            <w:noWrap/>
            <w:vAlign w:val="center"/>
            <w:hideMark/>
          </w:tcPr>
          <w:p w14:paraId="23604360"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43.7%</w:t>
            </w:r>
          </w:p>
        </w:tc>
        <w:tc>
          <w:tcPr>
            <w:tcW w:w="960" w:type="dxa"/>
            <w:tcBorders>
              <w:top w:val="nil"/>
              <w:left w:val="nil"/>
              <w:bottom w:val="nil"/>
              <w:right w:val="nil"/>
            </w:tcBorders>
            <w:noWrap/>
            <w:vAlign w:val="center"/>
            <w:hideMark/>
          </w:tcPr>
          <w:p w14:paraId="3F057A2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38.8%</w:t>
            </w:r>
          </w:p>
        </w:tc>
        <w:tc>
          <w:tcPr>
            <w:tcW w:w="960" w:type="dxa"/>
            <w:tcBorders>
              <w:top w:val="nil"/>
              <w:left w:val="nil"/>
              <w:bottom w:val="nil"/>
              <w:right w:val="nil"/>
            </w:tcBorders>
            <w:noWrap/>
            <w:vAlign w:val="center"/>
            <w:hideMark/>
          </w:tcPr>
          <w:p w14:paraId="502C7140"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38.1%</w:t>
            </w:r>
          </w:p>
        </w:tc>
        <w:tc>
          <w:tcPr>
            <w:tcW w:w="960" w:type="dxa"/>
            <w:tcBorders>
              <w:top w:val="nil"/>
              <w:left w:val="nil"/>
              <w:bottom w:val="nil"/>
              <w:right w:val="nil"/>
            </w:tcBorders>
            <w:noWrap/>
            <w:vAlign w:val="center"/>
            <w:hideMark/>
          </w:tcPr>
          <w:p w14:paraId="540195D7"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35.9%</w:t>
            </w:r>
          </w:p>
        </w:tc>
        <w:tc>
          <w:tcPr>
            <w:tcW w:w="958" w:type="dxa"/>
            <w:tcBorders>
              <w:top w:val="nil"/>
              <w:left w:val="nil"/>
              <w:bottom w:val="nil"/>
              <w:right w:val="nil"/>
            </w:tcBorders>
            <w:noWrap/>
            <w:vAlign w:val="center"/>
            <w:hideMark/>
          </w:tcPr>
          <w:p w14:paraId="5BDE410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38.2%</w:t>
            </w:r>
          </w:p>
        </w:tc>
      </w:tr>
      <w:tr w:rsidR="005822FE" w:rsidRPr="00353AE1" w14:paraId="138E1E94" w14:textId="77777777" w:rsidTr="00524775">
        <w:trPr>
          <w:trHeight w:val="300"/>
          <w:jc w:val="center"/>
        </w:trPr>
        <w:tc>
          <w:tcPr>
            <w:tcW w:w="2940" w:type="dxa"/>
            <w:tcBorders>
              <w:top w:val="nil"/>
              <w:left w:val="nil"/>
              <w:bottom w:val="nil"/>
              <w:right w:val="nil"/>
            </w:tcBorders>
            <w:noWrap/>
            <w:vAlign w:val="bottom"/>
            <w:hideMark/>
          </w:tcPr>
          <w:p w14:paraId="3B2AFA54" w14:textId="54BD0AE1" w:rsidR="005822FE" w:rsidRPr="00353AE1" w:rsidRDefault="005822FE" w:rsidP="005B396B">
            <w:pPr>
              <w:widowControl/>
              <w:jc w:val="left"/>
              <w:rPr>
                <w:rFonts w:eastAsia="Times New Roman"/>
                <w:color w:val="000000"/>
                <w:kern w:val="0"/>
                <w:lang w:val="en-GB"/>
              </w:rPr>
            </w:pPr>
            <w:r w:rsidRPr="00353AE1">
              <w:rPr>
                <w:rFonts w:eastAsia="Times New Roman"/>
                <w:color w:val="000000"/>
                <w:kern w:val="0"/>
                <w:lang w:val="en-GB"/>
              </w:rPr>
              <w:t>Bus</w:t>
            </w:r>
            <w:r w:rsidR="00466C73" w:rsidRPr="00353AE1">
              <w:rPr>
                <w:rFonts w:eastAsia="Times New Roman"/>
                <w:color w:val="000000"/>
                <w:kern w:val="0"/>
                <w:lang w:val="en-GB"/>
              </w:rPr>
              <w:t>es</w:t>
            </w:r>
          </w:p>
        </w:tc>
        <w:tc>
          <w:tcPr>
            <w:tcW w:w="1260" w:type="dxa"/>
            <w:tcBorders>
              <w:top w:val="nil"/>
              <w:left w:val="nil"/>
              <w:bottom w:val="nil"/>
              <w:right w:val="nil"/>
            </w:tcBorders>
            <w:noWrap/>
            <w:vAlign w:val="center"/>
            <w:hideMark/>
          </w:tcPr>
          <w:p w14:paraId="7AD23085"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5.3%</w:t>
            </w:r>
          </w:p>
        </w:tc>
        <w:tc>
          <w:tcPr>
            <w:tcW w:w="960" w:type="dxa"/>
            <w:tcBorders>
              <w:top w:val="nil"/>
              <w:left w:val="nil"/>
              <w:bottom w:val="nil"/>
              <w:right w:val="nil"/>
            </w:tcBorders>
            <w:noWrap/>
            <w:vAlign w:val="center"/>
            <w:hideMark/>
          </w:tcPr>
          <w:p w14:paraId="6C9C4D82"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4.7%</w:t>
            </w:r>
          </w:p>
        </w:tc>
        <w:tc>
          <w:tcPr>
            <w:tcW w:w="960" w:type="dxa"/>
            <w:tcBorders>
              <w:top w:val="nil"/>
              <w:left w:val="nil"/>
              <w:bottom w:val="nil"/>
              <w:right w:val="nil"/>
            </w:tcBorders>
            <w:noWrap/>
            <w:vAlign w:val="center"/>
            <w:hideMark/>
          </w:tcPr>
          <w:p w14:paraId="4356635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4.7%</w:t>
            </w:r>
          </w:p>
        </w:tc>
        <w:tc>
          <w:tcPr>
            <w:tcW w:w="960" w:type="dxa"/>
            <w:tcBorders>
              <w:top w:val="nil"/>
              <w:left w:val="nil"/>
              <w:bottom w:val="nil"/>
              <w:right w:val="nil"/>
            </w:tcBorders>
            <w:noWrap/>
            <w:vAlign w:val="center"/>
            <w:hideMark/>
          </w:tcPr>
          <w:p w14:paraId="642E0F31"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5.0%</w:t>
            </w:r>
          </w:p>
        </w:tc>
        <w:tc>
          <w:tcPr>
            <w:tcW w:w="960" w:type="dxa"/>
            <w:tcBorders>
              <w:top w:val="nil"/>
              <w:left w:val="nil"/>
              <w:bottom w:val="nil"/>
              <w:right w:val="nil"/>
            </w:tcBorders>
            <w:noWrap/>
            <w:vAlign w:val="center"/>
            <w:hideMark/>
          </w:tcPr>
          <w:p w14:paraId="5609BE0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6.0%</w:t>
            </w:r>
          </w:p>
        </w:tc>
        <w:tc>
          <w:tcPr>
            <w:tcW w:w="958" w:type="dxa"/>
            <w:tcBorders>
              <w:top w:val="nil"/>
              <w:left w:val="nil"/>
              <w:bottom w:val="nil"/>
              <w:right w:val="nil"/>
            </w:tcBorders>
            <w:noWrap/>
            <w:vAlign w:val="center"/>
            <w:hideMark/>
          </w:tcPr>
          <w:p w14:paraId="4ECC6D6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4.1%</w:t>
            </w:r>
          </w:p>
        </w:tc>
      </w:tr>
      <w:tr w:rsidR="005822FE" w:rsidRPr="00353AE1" w14:paraId="343E5B2F" w14:textId="77777777" w:rsidTr="00524775">
        <w:trPr>
          <w:trHeight w:val="300"/>
          <w:jc w:val="center"/>
        </w:trPr>
        <w:tc>
          <w:tcPr>
            <w:tcW w:w="2940" w:type="dxa"/>
            <w:tcBorders>
              <w:top w:val="nil"/>
              <w:left w:val="nil"/>
              <w:bottom w:val="nil"/>
              <w:right w:val="nil"/>
            </w:tcBorders>
            <w:noWrap/>
            <w:vAlign w:val="bottom"/>
            <w:hideMark/>
          </w:tcPr>
          <w:p w14:paraId="4E37C78A" w14:textId="3A229750" w:rsidR="005822FE" w:rsidRPr="00353AE1" w:rsidRDefault="005822FE" w:rsidP="005B396B">
            <w:pPr>
              <w:widowControl/>
              <w:jc w:val="left"/>
              <w:rPr>
                <w:rFonts w:eastAsia="Times New Roman"/>
                <w:color w:val="000000"/>
                <w:kern w:val="0"/>
                <w:lang w:val="en-GB"/>
              </w:rPr>
            </w:pPr>
            <w:r w:rsidRPr="00353AE1">
              <w:rPr>
                <w:rFonts w:eastAsia="Times New Roman"/>
                <w:color w:val="000000"/>
                <w:kern w:val="0"/>
                <w:lang w:val="en-GB"/>
              </w:rPr>
              <w:t xml:space="preserve">Off-road </w:t>
            </w:r>
            <w:r w:rsidR="007B26DD" w:rsidRPr="00353AE1">
              <w:rPr>
                <w:rFonts w:eastAsia="Times New Roman"/>
                <w:color w:val="000000"/>
                <w:kern w:val="0"/>
                <w:lang w:val="en-GB"/>
              </w:rPr>
              <w:t>articulated</w:t>
            </w:r>
            <w:r w:rsidRPr="00353AE1">
              <w:rPr>
                <w:rFonts w:eastAsia="Times New Roman"/>
                <w:color w:val="000000"/>
                <w:kern w:val="0"/>
                <w:lang w:val="en-GB"/>
              </w:rPr>
              <w:t xml:space="preserve"> </w:t>
            </w:r>
            <w:r w:rsidR="007B26DD" w:rsidRPr="00353AE1">
              <w:rPr>
                <w:rFonts w:eastAsia="Times New Roman"/>
                <w:color w:val="000000"/>
                <w:kern w:val="0"/>
                <w:lang w:val="en-GB"/>
              </w:rPr>
              <w:t>trucks</w:t>
            </w:r>
          </w:p>
        </w:tc>
        <w:tc>
          <w:tcPr>
            <w:tcW w:w="1260" w:type="dxa"/>
            <w:tcBorders>
              <w:top w:val="nil"/>
              <w:left w:val="nil"/>
              <w:bottom w:val="nil"/>
              <w:right w:val="nil"/>
            </w:tcBorders>
            <w:noWrap/>
            <w:vAlign w:val="center"/>
            <w:hideMark/>
          </w:tcPr>
          <w:p w14:paraId="4CEEE6AD"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5.4%</w:t>
            </w:r>
          </w:p>
        </w:tc>
        <w:tc>
          <w:tcPr>
            <w:tcW w:w="960" w:type="dxa"/>
            <w:tcBorders>
              <w:top w:val="nil"/>
              <w:left w:val="nil"/>
              <w:bottom w:val="nil"/>
              <w:right w:val="nil"/>
            </w:tcBorders>
            <w:noWrap/>
            <w:vAlign w:val="center"/>
            <w:hideMark/>
          </w:tcPr>
          <w:p w14:paraId="04146A1F"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3.4%</w:t>
            </w:r>
          </w:p>
        </w:tc>
        <w:tc>
          <w:tcPr>
            <w:tcW w:w="960" w:type="dxa"/>
            <w:tcBorders>
              <w:top w:val="nil"/>
              <w:left w:val="nil"/>
              <w:bottom w:val="nil"/>
              <w:right w:val="nil"/>
            </w:tcBorders>
            <w:noWrap/>
            <w:vAlign w:val="center"/>
            <w:hideMark/>
          </w:tcPr>
          <w:p w14:paraId="1E37D0A0"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13.0%</w:t>
            </w:r>
          </w:p>
        </w:tc>
        <w:tc>
          <w:tcPr>
            <w:tcW w:w="960" w:type="dxa"/>
            <w:tcBorders>
              <w:top w:val="nil"/>
              <w:left w:val="nil"/>
              <w:bottom w:val="nil"/>
              <w:right w:val="nil"/>
            </w:tcBorders>
            <w:noWrap/>
            <w:vAlign w:val="center"/>
            <w:hideMark/>
          </w:tcPr>
          <w:p w14:paraId="5E4B47C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6.9%</w:t>
            </w:r>
          </w:p>
        </w:tc>
        <w:tc>
          <w:tcPr>
            <w:tcW w:w="960" w:type="dxa"/>
            <w:tcBorders>
              <w:top w:val="nil"/>
              <w:left w:val="nil"/>
              <w:bottom w:val="nil"/>
              <w:right w:val="nil"/>
            </w:tcBorders>
            <w:noWrap/>
            <w:vAlign w:val="center"/>
            <w:hideMark/>
          </w:tcPr>
          <w:p w14:paraId="090DFD0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7.0%</w:t>
            </w:r>
          </w:p>
        </w:tc>
        <w:tc>
          <w:tcPr>
            <w:tcW w:w="958" w:type="dxa"/>
            <w:tcBorders>
              <w:top w:val="nil"/>
              <w:left w:val="nil"/>
              <w:bottom w:val="nil"/>
              <w:right w:val="nil"/>
            </w:tcBorders>
            <w:noWrap/>
            <w:vAlign w:val="center"/>
            <w:hideMark/>
          </w:tcPr>
          <w:p w14:paraId="78B0DDE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27.5%</w:t>
            </w:r>
          </w:p>
        </w:tc>
      </w:tr>
      <w:tr w:rsidR="005822FE" w:rsidRPr="00353AE1" w14:paraId="08DCBBC3" w14:textId="77777777" w:rsidTr="00524775">
        <w:trPr>
          <w:trHeight w:val="315"/>
          <w:jc w:val="center"/>
        </w:trPr>
        <w:tc>
          <w:tcPr>
            <w:tcW w:w="2940" w:type="dxa"/>
            <w:tcBorders>
              <w:top w:val="single" w:sz="4" w:space="0" w:color="auto"/>
              <w:left w:val="nil"/>
              <w:bottom w:val="double" w:sz="6" w:space="0" w:color="auto"/>
              <w:right w:val="nil"/>
            </w:tcBorders>
            <w:noWrap/>
            <w:vAlign w:val="bottom"/>
            <w:hideMark/>
          </w:tcPr>
          <w:p w14:paraId="573CF99B" w14:textId="77777777" w:rsidR="005822FE" w:rsidRPr="00353AE1" w:rsidRDefault="005822FE" w:rsidP="005B396B">
            <w:pPr>
              <w:widowControl/>
              <w:jc w:val="left"/>
              <w:rPr>
                <w:rFonts w:eastAsia="Times New Roman"/>
                <w:color w:val="000000"/>
                <w:kern w:val="0"/>
                <w:lang w:val="en-GB"/>
              </w:rPr>
            </w:pPr>
            <w:r w:rsidRPr="00353AE1">
              <w:rPr>
                <w:rFonts w:eastAsia="Times New Roman"/>
                <w:color w:val="000000"/>
                <w:kern w:val="0"/>
                <w:lang w:val="en-GB"/>
              </w:rPr>
              <w:t>Total</w:t>
            </w:r>
          </w:p>
        </w:tc>
        <w:tc>
          <w:tcPr>
            <w:tcW w:w="1260" w:type="dxa"/>
            <w:tcBorders>
              <w:top w:val="single" w:sz="4" w:space="0" w:color="auto"/>
              <w:left w:val="nil"/>
              <w:bottom w:val="double" w:sz="6" w:space="0" w:color="auto"/>
              <w:right w:val="nil"/>
            </w:tcBorders>
            <w:noWrap/>
            <w:vAlign w:val="center"/>
            <w:hideMark/>
          </w:tcPr>
          <w:p w14:paraId="59409FDA"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c>
          <w:tcPr>
            <w:tcW w:w="960" w:type="dxa"/>
            <w:tcBorders>
              <w:top w:val="single" w:sz="4" w:space="0" w:color="auto"/>
              <w:left w:val="nil"/>
              <w:bottom w:val="double" w:sz="6" w:space="0" w:color="auto"/>
              <w:right w:val="nil"/>
            </w:tcBorders>
            <w:noWrap/>
            <w:vAlign w:val="center"/>
            <w:hideMark/>
          </w:tcPr>
          <w:p w14:paraId="1F41414B"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c>
          <w:tcPr>
            <w:tcW w:w="960" w:type="dxa"/>
            <w:tcBorders>
              <w:top w:val="single" w:sz="4" w:space="0" w:color="auto"/>
              <w:left w:val="nil"/>
              <w:bottom w:val="double" w:sz="6" w:space="0" w:color="auto"/>
              <w:right w:val="nil"/>
            </w:tcBorders>
            <w:noWrap/>
            <w:vAlign w:val="center"/>
            <w:hideMark/>
          </w:tcPr>
          <w:p w14:paraId="25729E95"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c>
          <w:tcPr>
            <w:tcW w:w="960" w:type="dxa"/>
            <w:tcBorders>
              <w:top w:val="single" w:sz="4" w:space="0" w:color="auto"/>
              <w:left w:val="nil"/>
              <w:bottom w:val="double" w:sz="6" w:space="0" w:color="auto"/>
              <w:right w:val="nil"/>
            </w:tcBorders>
            <w:noWrap/>
            <w:vAlign w:val="center"/>
            <w:hideMark/>
          </w:tcPr>
          <w:p w14:paraId="393A86C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c>
          <w:tcPr>
            <w:tcW w:w="960" w:type="dxa"/>
            <w:tcBorders>
              <w:top w:val="single" w:sz="4" w:space="0" w:color="auto"/>
              <w:left w:val="nil"/>
              <w:bottom w:val="double" w:sz="6" w:space="0" w:color="auto"/>
              <w:right w:val="nil"/>
            </w:tcBorders>
            <w:noWrap/>
            <w:vAlign w:val="center"/>
            <w:hideMark/>
          </w:tcPr>
          <w:p w14:paraId="15517988"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c>
          <w:tcPr>
            <w:tcW w:w="958" w:type="dxa"/>
            <w:tcBorders>
              <w:top w:val="single" w:sz="4" w:space="0" w:color="auto"/>
              <w:left w:val="nil"/>
              <w:bottom w:val="double" w:sz="6" w:space="0" w:color="auto"/>
              <w:right w:val="nil"/>
            </w:tcBorders>
            <w:noWrap/>
            <w:vAlign w:val="center"/>
            <w:hideMark/>
          </w:tcPr>
          <w:p w14:paraId="71B005D5" w14:textId="77777777" w:rsidR="005822FE" w:rsidRPr="00353AE1" w:rsidRDefault="005822FE" w:rsidP="005B396B">
            <w:pPr>
              <w:widowControl/>
              <w:jc w:val="center"/>
              <w:rPr>
                <w:rFonts w:eastAsia="Times New Roman"/>
                <w:color w:val="000000"/>
                <w:kern w:val="0"/>
                <w:lang w:val="en-GB"/>
              </w:rPr>
            </w:pPr>
            <w:r w:rsidRPr="00353AE1">
              <w:rPr>
                <w:rFonts w:eastAsia="Times New Roman"/>
                <w:color w:val="000000"/>
                <w:kern w:val="0"/>
                <w:lang w:val="en-GB"/>
              </w:rPr>
              <w:t>100.0%</w:t>
            </w:r>
          </w:p>
        </w:tc>
      </w:tr>
    </w:tbl>
    <w:p w14:paraId="2DF3EA64" w14:textId="77777777" w:rsidR="00235170" w:rsidRPr="00353AE1" w:rsidRDefault="00235170" w:rsidP="00FA1E7A">
      <w:pPr>
        <w:pStyle w:val="NormalWeb"/>
        <w:spacing w:before="0" w:beforeAutospacing="0" w:after="120" w:afterAutospacing="0"/>
        <w:rPr>
          <w:rFonts w:ascii="Calibri" w:eastAsiaTheme="minorEastAsia" w:hAnsi="Calibri" w:cs="Calibri"/>
          <w:color w:val="000000" w:themeColor="text1"/>
          <w:kern w:val="2"/>
          <w:sz w:val="22"/>
          <w:szCs w:val="22"/>
          <w:lang w:val="en-AU"/>
        </w:rPr>
      </w:pPr>
    </w:p>
    <w:p w14:paraId="105678F0" w14:textId="77777777" w:rsidR="006720BF" w:rsidRPr="00353AE1" w:rsidRDefault="006720BF" w:rsidP="006720BF">
      <w:pPr>
        <w:pStyle w:val="NormalWeb"/>
        <w:spacing w:before="0" w:beforeAutospacing="0" w:after="120" w:afterAutospacing="0"/>
        <w:rPr>
          <w:rFonts w:ascii="Calibri" w:eastAsiaTheme="minorEastAsia" w:hAnsi="Calibri" w:cs="Calibri"/>
          <w:color w:val="000000" w:themeColor="text1"/>
          <w:kern w:val="2"/>
          <w:sz w:val="22"/>
          <w:szCs w:val="22"/>
          <w:lang w:val="en-AU"/>
        </w:rPr>
      </w:pPr>
      <w:r w:rsidRPr="00353AE1">
        <w:rPr>
          <w:rFonts w:ascii="Calibri" w:eastAsiaTheme="minorEastAsia" w:hAnsi="Calibri" w:cs="Calibri"/>
          <w:color w:val="000000" w:themeColor="text1"/>
          <w:kern w:val="2"/>
          <w:sz w:val="22"/>
          <w:szCs w:val="22"/>
          <w:lang w:val="en-AU"/>
        </w:rPr>
        <w:t xml:space="preserve">Overall, this refinement improves the modelling of heavy vehicle reform in two ways. First, it allows the model to better identify how the reforms affect the targeted vehicle classes within Road Freight and related activities. Second, it improves the model’s capacity to trace how changes in Road Freight productivity flow through to other industries and regions via differences in commercial vehicle use across the economy. This is important because the overall economic effects of heavy vehicle reform depend not only on how industries use specialist road freight services in production, but also on how in-house freight-related vehicle use enters production and supply chains. </w:t>
      </w:r>
    </w:p>
    <w:p w14:paraId="267EF636" w14:textId="77777777" w:rsidR="006720BF" w:rsidRPr="00353AE1" w:rsidRDefault="006720BF" w:rsidP="00FA1E7A">
      <w:pPr>
        <w:pStyle w:val="NormalWeb"/>
        <w:spacing w:before="0" w:beforeAutospacing="0" w:after="120" w:afterAutospacing="0"/>
        <w:rPr>
          <w:rFonts w:ascii="Calibri" w:eastAsiaTheme="minorEastAsia" w:hAnsi="Calibri" w:cs="Calibri"/>
          <w:color w:val="000000" w:themeColor="text1"/>
          <w:kern w:val="2"/>
          <w:sz w:val="22"/>
          <w:szCs w:val="22"/>
          <w:lang w:val="en-AU"/>
        </w:rPr>
      </w:pPr>
    </w:p>
    <w:p w14:paraId="29EEEB51" w14:textId="491A0E3C" w:rsidR="00524775" w:rsidRPr="00353AE1" w:rsidRDefault="00524775" w:rsidP="00FA1E7A">
      <w:pPr>
        <w:pStyle w:val="Caption"/>
        <w:keepNext/>
        <w:spacing w:after="120"/>
        <w:jc w:val="center"/>
        <w:rPr>
          <w:sz w:val="22"/>
          <w:szCs w:val="22"/>
        </w:rPr>
      </w:pPr>
      <w:bookmarkStart w:id="10" w:name="_Toc230696725"/>
      <w:bookmarkStart w:id="11" w:name="_Toc230710343"/>
      <w:bookmarkStart w:id="12" w:name="_Toc230710389"/>
      <w:bookmarkStart w:id="13" w:name="_Toc230711112"/>
      <w:bookmarkStart w:id="14" w:name="_Toc231907806"/>
      <w:r w:rsidRPr="00353AE1">
        <w:rPr>
          <w:sz w:val="22"/>
          <w:szCs w:val="22"/>
        </w:rPr>
        <w:lastRenderedPageBreak/>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2</w:t>
      </w:r>
      <w:r w:rsidR="00DF6059" w:rsidRPr="00353AE1">
        <w:rPr>
          <w:sz w:val="22"/>
          <w:szCs w:val="22"/>
        </w:rPr>
        <w:fldChar w:fldCharType="end"/>
      </w:r>
      <w:r w:rsidRPr="00353AE1">
        <w:rPr>
          <w:sz w:val="22"/>
          <w:szCs w:val="22"/>
        </w:rPr>
        <w:t xml:space="preserve">. Input </w:t>
      </w:r>
      <w:r w:rsidR="00A91963" w:rsidRPr="00353AE1">
        <w:rPr>
          <w:sz w:val="22"/>
          <w:szCs w:val="22"/>
        </w:rPr>
        <w:t>S</w:t>
      </w:r>
      <w:r w:rsidRPr="00353AE1">
        <w:rPr>
          <w:sz w:val="22"/>
          <w:szCs w:val="22"/>
        </w:rPr>
        <w:t xml:space="preserve">hare of </w:t>
      </w:r>
      <w:r w:rsidR="00A91963" w:rsidRPr="00353AE1">
        <w:rPr>
          <w:sz w:val="22"/>
          <w:szCs w:val="22"/>
        </w:rPr>
        <w:t>H</w:t>
      </w:r>
      <w:r w:rsidRPr="00353AE1">
        <w:rPr>
          <w:sz w:val="22"/>
          <w:szCs w:val="22"/>
        </w:rPr>
        <w:t xml:space="preserve">eavy </w:t>
      </w:r>
      <w:r w:rsidR="00A91963" w:rsidRPr="00353AE1">
        <w:rPr>
          <w:sz w:val="22"/>
          <w:szCs w:val="22"/>
        </w:rPr>
        <w:t>V</w:t>
      </w:r>
      <w:r w:rsidRPr="00353AE1">
        <w:rPr>
          <w:sz w:val="22"/>
          <w:szCs w:val="22"/>
        </w:rPr>
        <w:t xml:space="preserve">ehicle </w:t>
      </w:r>
      <w:r w:rsidR="001B16E5" w:rsidRPr="00353AE1">
        <w:rPr>
          <w:sz w:val="22"/>
          <w:szCs w:val="22"/>
        </w:rPr>
        <w:t>in the</w:t>
      </w:r>
      <w:r w:rsidRPr="00353AE1">
        <w:rPr>
          <w:sz w:val="22"/>
          <w:szCs w:val="22"/>
        </w:rPr>
        <w:t xml:space="preserve"> Road Freight </w:t>
      </w:r>
      <w:r w:rsidR="0061739C" w:rsidRPr="00353AE1">
        <w:rPr>
          <w:sz w:val="22"/>
          <w:szCs w:val="22"/>
        </w:rPr>
        <w:t>S</w:t>
      </w:r>
      <w:r w:rsidRPr="00353AE1">
        <w:rPr>
          <w:sz w:val="22"/>
          <w:szCs w:val="22"/>
        </w:rPr>
        <w:t>ector</w:t>
      </w:r>
      <w:bookmarkEnd w:id="10"/>
      <w:bookmarkEnd w:id="11"/>
      <w:bookmarkEnd w:id="12"/>
      <w:bookmarkEnd w:id="13"/>
      <w:bookmarkEnd w:id="14"/>
    </w:p>
    <w:tbl>
      <w:tblPr>
        <w:tblW w:w="4413" w:type="dxa"/>
        <w:jc w:val="center"/>
        <w:tblLook w:val="04A0" w:firstRow="1" w:lastRow="0" w:firstColumn="1" w:lastColumn="0" w:noHBand="0" w:noVBand="1"/>
      </w:tblPr>
      <w:tblGrid>
        <w:gridCol w:w="1157"/>
        <w:gridCol w:w="3280"/>
      </w:tblGrid>
      <w:tr w:rsidR="00524775" w:rsidRPr="00353AE1" w14:paraId="75DEBB9A" w14:textId="77777777">
        <w:trPr>
          <w:trHeight w:val="600"/>
          <w:jc w:val="center"/>
        </w:trPr>
        <w:tc>
          <w:tcPr>
            <w:tcW w:w="1133" w:type="dxa"/>
            <w:tcBorders>
              <w:top w:val="single" w:sz="4" w:space="0" w:color="auto"/>
              <w:left w:val="nil"/>
              <w:bottom w:val="nil"/>
              <w:right w:val="nil"/>
            </w:tcBorders>
            <w:noWrap/>
            <w:vAlign w:val="center"/>
            <w:hideMark/>
          </w:tcPr>
          <w:p w14:paraId="4DC6531F" w14:textId="77777777" w:rsidR="00524775" w:rsidRPr="00353AE1" w:rsidRDefault="00524775" w:rsidP="005B396B">
            <w:pPr>
              <w:widowControl/>
              <w:jc w:val="center"/>
              <w:rPr>
                <w:rFonts w:eastAsia="Times New Roman"/>
                <w:b/>
                <w:bCs/>
                <w:color w:val="000000"/>
                <w:kern w:val="0"/>
                <w:lang w:val="en-GB"/>
              </w:rPr>
            </w:pPr>
            <w:r w:rsidRPr="00353AE1">
              <w:rPr>
                <w:rFonts w:eastAsia="Times New Roman"/>
                <w:b/>
                <w:bCs/>
                <w:color w:val="000000"/>
                <w:kern w:val="0"/>
                <w:lang w:val="en-GB"/>
              </w:rPr>
              <w:t>State</w:t>
            </w:r>
          </w:p>
        </w:tc>
        <w:tc>
          <w:tcPr>
            <w:tcW w:w="3280" w:type="dxa"/>
            <w:tcBorders>
              <w:top w:val="single" w:sz="4" w:space="0" w:color="auto"/>
              <w:left w:val="nil"/>
              <w:bottom w:val="nil"/>
              <w:right w:val="nil"/>
            </w:tcBorders>
            <w:vAlign w:val="center"/>
            <w:hideMark/>
          </w:tcPr>
          <w:p w14:paraId="4C6FBE27" w14:textId="147A3410" w:rsidR="00524775" w:rsidRPr="00353AE1" w:rsidRDefault="00524775" w:rsidP="005B396B">
            <w:pPr>
              <w:widowControl/>
              <w:jc w:val="center"/>
              <w:rPr>
                <w:rFonts w:eastAsia="Times New Roman"/>
                <w:b/>
                <w:bCs/>
                <w:color w:val="000000"/>
                <w:kern w:val="0"/>
                <w:lang w:val="en-GB"/>
              </w:rPr>
            </w:pPr>
            <w:r w:rsidRPr="00353AE1">
              <w:rPr>
                <w:rFonts w:eastAsia="Times New Roman"/>
                <w:b/>
                <w:bCs/>
                <w:color w:val="000000"/>
                <w:kern w:val="0"/>
                <w:lang w:val="en-GB"/>
              </w:rPr>
              <w:t xml:space="preserve">Heavy Vehicle Input Share in </w:t>
            </w:r>
            <w:r w:rsidR="003438C7" w:rsidRPr="00353AE1">
              <w:rPr>
                <w:rFonts w:eastAsia="Times New Roman"/>
                <w:b/>
                <w:bCs/>
                <w:color w:val="000000"/>
                <w:kern w:val="0"/>
                <w:lang w:val="en-GB"/>
              </w:rPr>
              <w:t xml:space="preserve">the </w:t>
            </w:r>
            <w:r w:rsidRPr="00353AE1">
              <w:rPr>
                <w:rFonts w:eastAsia="Times New Roman"/>
                <w:b/>
                <w:bCs/>
                <w:color w:val="000000"/>
                <w:kern w:val="0"/>
                <w:lang w:val="en-GB"/>
              </w:rPr>
              <w:t>Road Freight Sector</w:t>
            </w:r>
          </w:p>
        </w:tc>
      </w:tr>
      <w:tr w:rsidR="00524775" w:rsidRPr="00353AE1" w14:paraId="03432D31" w14:textId="77777777">
        <w:trPr>
          <w:trHeight w:val="300"/>
          <w:jc w:val="center"/>
        </w:trPr>
        <w:tc>
          <w:tcPr>
            <w:tcW w:w="1133" w:type="dxa"/>
            <w:tcBorders>
              <w:top w:val="single" w:sz="4" w:space="0" w:color="auto"/>
              <w:left w:val="nil"/>
              <w:bottom w:val="nil"/>
              <w:right w:val="nil"/>
            </w:tcBorders>
            <w:noWrap/>
            <w:vAlign w:val="center"/>
            <w:hideMark/>
          </w:tcPr>
          <w:p w14:paraId="7CCFF030"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NSW&amp;ACT</w:t>
            </w:r>
          </w:p>
        </w:tc>
        <w:tc>
          <w:tcPr>
            <w:tcW w:w="3280" w:type="dxa"/>
            <w:tcBorders>
              <w:top w:val="single" w:sz="4" w:space="0" w:color="auto"/>
              <w:left w:val="nil"/>
              <w:bottom w:val="nil"/>
              <w:right w:val="nil"/>
            </w:tcBorders>
            <w:noWrap/>
            <w:vAlign w:val="bottom"/>
            <w:hideMark/>
          </w:tcPr>
          <w:p w14:paraId="503E5B58" w14:textId="77777777" w:rsidR="00524775" w:rsidRPr="00353AE1" w:rsidRDefault="00524775" w:rsidP="005B396B">
            <w:pPr>
              <w:widowControl/>
              <w:jc w:val="center"/>
              <w:rPr>
                <w:rFonts w:eastAsia="Times New Roman"/>
                <w:color w:val="000000"/>
                <w:kern w:val="0"/>
                <w:lang w:val="en-GB"/>
              </w:rPr>
            </w:pPr>
            <w:r w:rsidRPr="00353AE1">
              <w:rPr>
                <w:color w:val="000000"/>
              </w:rPr>
              <w:t>10.6%</w:t>
            </w:r>
          </w:p>
        </w:tc>
      </w:tr>
      <w:tr w:rsidR="00524775" w:rsidRPr="00353AE1" w14:paraId="7990BDCC" w14:textId="77777777">
        <w:trPr>
          <w:trHeight w:val="300"/>
          <w:jc w:val="center"/>
        </w:trPr>
        <w:tc>
          <w:tcPr>
            <w:tcW w:w="1133" w:type="dxa"/>
            <w:tcBorders>
              <w:top w:val="nil"/>
              <w:left w:val="nil"/>
              <w:bottom w:val="nil"/>
              <w:right w:val="nil"/>
            </w:tcBorders>
            <w:noWrap/>
            <w:vAlign w:val="center"/>
            <w:hideMark/>
          </w:tcPr>
          <w:p w14:paraId="43296BB2"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VIC</w:t>
            </w:r>
          </w:p>
        </w:tc>
        <w:tc>
          <w:tcPr>
            <w:tcW w:w="3280" w:type="dxa"/>
            <w:tcBorders>
              <w:top w:val="nil"/>
              <w:left w:val="nil"/>
              <w:bottom w:val="nil"/>
              <w:right w:val="nil"/>
            </w:tcBorders>
            <w:noWrap/>
            <w:vAlign w:val="bottom"/>
            <w:hideMark/>
          </w:tcPr>
          <w:p w14:paraId="27155CAA" w14:textId="77777777" w:rsidR="00524775" w:rsidRPr="00353AE1" w:rsidRDefault="00524775" w:rsidP="005B396B">
            <w:pPr>
              <w:widowControl/>
              <w:jc w:val="center"/>
              <w:rPr>
                <w:rFonts w:eastAsia="Times New Roman"/>
                <w:color w:val="000000"/>
                <w:kern w:val="0"/>
                <w:lang w:val="en-GB"/>
              </w:rPr>
            </w:pPr>
            <w:r w:rsidRPr="00353AE1">
              <w:rPr>
                <w:color w:val="000000"/>
              </w:rPr>
              <w:t>10.7%</w:t>
            </w:r>
          </w:p>
        </w:tc>
      </w:tr>
      <w:tr w:rsidR="00524775" w:rsidRPr="00353AE1" w14:paraId="13A9BC77" w14:textId="77777777">
        <w:trPr>
          <w:trHeight w:val="300"/>
          <w:jc w:val="center"/>
        </w:trPr>
        <w:tc>
          <w:tcPr>
            <w:tcW w:w="1133" w:type="dxa"/>
            <w:tcBorders>
              <w:top w:val="nil"/>
              <w:left w:val="nil"/>
              <w:bottom w:val="nil"/>
              <w:right w:val="nil"/>
            </w:tcBorders>
            <w:noWrap/>
            <w:vAlign w:val="center"/>
            <w:hideMark/>
          </w:tcPr>
          <w:p w14:paraId="40CE255C"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QLD</w:t>
            </w:r>
          </w:p>
        </w:tc>
        <w:tc>
          <w:tcPr>
            <w:tcW w:w="3280" w:type="dxa"/>
            <w:tcBorders>
              <w:top w:val="nil"/>
              <w:left w:val="nil"/>
              <w:bottom w:val="nil"/>
              <w:right w:val="nil"/>
            </w:tcBorders>
            <w:noWrap/>
            <w:vAlign w:val="bottom"/>
            <w:hideMark/>
          </w:tcPr>
          <w:p w14:paraId="3F7C03C7" w14:textId="77777777" w:rsidR="00524775" w:rsidRPr="00353AE1" w:rsidRDefault="00524775" w:rsidP="005B396B">
            <w:pPr>
              <w:widowControl/>
              <w:jc w:val="center"/>
              <w:rPr>
                <w:rFonts w:eastAsia="Times New Roman"/>
                <w:color w:val="000000"/>
                <w:kern w:val="0"/>
                <w:lang w:val="en-GB"/>
              </w:rPr>
            </w:pPr>
            <w:r w:rsidRPr="00353AE1">
              <w:rPr>
                <w:color w:val="000000"/>
              </w:rPr>
              <w:t>11.9%</w:t>
            </w:r>
          </w:p>
        </w:tc>
      </w:tr>
      <w:tr w:rsidR="00524775" w:rsidRPr="00353AE1" w14:paraId="206EB938" w14:textId="77777777">
        <w:trPr>
          <w:trHeight w:val="300"/>
          <w:jc w:val="center"/>
        </w:trPr>
        <w:tc>
          <w:tcPr>
            <w:tcW w:w="1133" w:type="dxa"/>
            <w:tcBorders>
              <w:top w:val="nil"/>
              <w:left w:val="nil"/>
              <w:bottom w:val="nil"/>
              <w:right w:val="nil"/>
            </w:tcBorders>
            <w:noWrap/>
            <w:vAlign w:val="center"/>
            <w:hideMark/>
          </w:tcPr>
          <w:p w14:paraId="71AFEC88"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SA</w:t>
            </w:r>
          </w:p>
        </w:tc>
        <w:tc>
          <w:tcPr>
            <w:tcW w:w="3280" w:type="dxa"/>
            <w:tcBorders>
              <w:top w:val="nil"/>
              <w:left w:val="nil"/>
              <w:bottom w:val="nil"/>
              <w:right w:val="nil"/>
            </w:tcBorders>
            <w:noWrap/>
            <w:vAlign w:val="bottom"/>
            <w:hideMark/>
          </w:tcPr>
          <w:p w14:paraId="05120C4E" w14:textId="77777777" w:rsidR="00524775" w:rsidRPr="00353AE1" w:rsidRDefault="00524775" w:rsidP="005B396B">
            <w:pPr>
              <w:widowControl/>
              <w:jc w:val="center"/>
              <w:rPr>
                <w:rFonts w:eastAsia="Times New Roman"/>
                <w:color w:val="000000"/>
                <w:kern w:val="0"/>
                <w:lang w:val="en-GB"/>
              </w:rPr>
            </w:pPr>
            <w:r w:rsidRPr="00353AE1">
              <w:rPr>
                <w:color w:val="000000"/>
              </w:rPr>
              <w:t>10.8%</w:t>
            </w:r>
          </w:p>
        </w:tc>
      </w:tr>
      <w:tr w:rsidR="00524775" w:rsidRPr="00353AE1" w14:paraId="3465E8D2" w14:textId="77777777">
        <w:trPr>
          <w:trHeight w:val="315"/>
          <w:jc w:val="center"/>
        </w:trPr>
        <w:tc>
          <w:tcPr>
            <w:tcW w:w="1133" w:type="dxa"/>
            <w:tcBorders>
              <w:top w:val="nil"/>
              <w:left w:val="nil"/>
              <w:bottom w:val="nil"/>
              <w:right w:val="nil"/>
            </w:tcBorders>
            <w:noWrap/>
            <w:vAlign w:val="center"/>
            <w:hideMark/>
          </w:tcPr>
          <w:p w14:paraId="52C46B9D"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TAS</w:t>
            </w:r>
          </w:p>
        </w:tc>
        <w:tc>
          <w:tcPr>
            <w:tcW w:w="3280" w:type="dxa"/>
            <w:tcBorders>
              <w:top w:val="nil"/>
              <w:left w:val="nil"/>
              <w:bottom w:val="nil"/>
              <w:right w:val="nil"/>
            </w:tcBorders>
            <w:noWrap/>
            <w:vAlign w:val="bottom"/>
            <w:hideMark/>
          </w:tcPr>
          <w:p w14:paraId="546150CF" w14:textId="77777777" w:rsidR="00524775" w:rsidRPr="00353AE1" w:rsidRDefault="00524775" w:rsidP="005B396B">
            <w:pPr>
              <w:widowControl/>
              <w:jc w:val="center"/>
              <w:rPr>
                <w:rFonts w:eastAsia="Times New Roman"/>
                <w:color w:val="000000"/>
                <w:kern w:val="0"/>
                <w:lang w:val="en-GB"/>
              </w:rPr>
            </w:pPr>
            <w:r w:rsidRPr="00353AE1">
              <w:rPr>
                <w:color w:val="000000"/>
              </w:rPr>
              <w:t>7.7%</w:t>
            </w:r>
          </w:p>
        </w:tc>
      </w:tr>
      <w:tr w:rsidR="00524775" w:rsidRPr="00353AE1" w14:paraId="6A6AB5F7" w14:textId="77777777">
        <w:trPr>
          <w:trHeight w:val="330"/>
          <w:jc w:val="center"/>
        </w:trPr>
        <w:tc>
          <w:tcPr>
            <w:tcW w:w="1133" w:type="dxa"/>
            <w:tcBorders>
              <w:top w:val="nil"/>
              <w:left w:val="nil"/>
              <w:bottom w:val="double" w:sz="6" w:space="0" w:color="auto"/>
              <w:right w:val="nil"/>
            </w:tcBorders>
            <w:noWrap/>
            <w:vAlign w:val="center"/>
            <w:hideMark/>
          </w:tcPr>
          <w:p w14:paraId="44A18F0A" w14:textId="77777777" w:rsidR="00524775" w:rsidRPr="00353AE1" w:rsidRDefault="00524775" w:rsidP="005B396B">
            <w:pPr>
              <w:widowControl/>
              <w:jc w:val="center"/>
              <w:rPr>
                <w:rFonts w:eastAsia="Times New Roman"/>
                <w:color w:val="000000"/>
                <w:kern w:val="0"/>
                <w:lang w:val="en-GB"/>
              </w:rPr>
            </w:pPr>
            <w:r w:rsidRPr="00353AE1">
              <w:rPr>
                <w:rFonts w:eastAsia="Times New Roman"/>
                <w:color w:val="000000"/>
                <w:kern w:val="0"/>
                <w:lang w:val="en-GB"/>
              </w:rPr>
              <w:t>WA&amp;NT</w:t>
            </w:r>
          </w:p>
        </w:tc>
        <w:tc>
          <w:tcPr>
            <w:tcW w:w="3280" w:type="dxa"/>
            <w:tcBorders>
              <w:top w:val="nil"/>
              <w:left w:val="nil"/>
              <w:bottom w:val="double" w:sz="6" w:space="0" w:color="auto"/>
              <w:right w:val="nil"/>
            </w:tcBorders>
            <w:noWrap/>
            <w:vAlign w:val="bottom"/>
            <w:hideMark/>
          </w:tcPr>
          <w:p w14:paraId="04F948CE" w14:textId="77777777" w:rsidR="00524775" w:rsidRPr="00353AE1" w:rsidRDefault="00524775" w:rsidP="005B396B">
            <w:pPr>
              <w:widowControl/>
              <w:jc w:val="center"/>
              <w:rPr>
                <w:rFonts w:eastAsia="Times New Roman"/>
                <w:color w:val="000000"/>
                <w:kern w:val="0"/>
                <w:lang w:val="en-GB"/>
              </w:rPr>
            </w:pPr>
            <w:r w:rsidRPr="00353AE1">
              <w:rPr>
                <w:color w:val="000000"/>
              </w:rPr>
              <w:t>9.5%</w:t>
            </w:r>
          </w:p>
        </w:tc>
      </w:tr>
    </w:tbl>
    <w:p w14:paraId="6B47BBC8" w14:textId="67C0DF01" w:rsidR="00AE2459" w:rsidRPr="00353AE1" w:rsidRDefault="00AE2459" w:rsidP="00FA1E7A">
      <w:pPr>
        <w:widowControl/>
        <w:spacing w:after="120"/>
        <w:jc w:val="left"/>
        <w:rPr>
          <w:color w:val="000000" w:themeColor="text1"/>
        </w:rPr>
      </w:pPr>
    </w:p>
    <w:p w14:paraId="6BC9E880" w14:textId="77777777" w:rsidR="003330A4" w:rsidRPr="00353AE1" w:rsidRDefault="003330A4" w:rsidP="00FA1E7A">
      <w:pPr>
        <w:pStyle w:val="Heading1"/>
        <w:numPr>
          <w:ilvl w:val="0"/>
          <w:numId w:val="5"/>
        </w:numPr>
        <w:spacing w:before="0" w:after="120"/>
        <w:ind w:left="284"/>
        <w:rPr>
          <w:rFonts w:cs="Calibri"/>
        </w:rPr>
      </w:pPr>
      <w:bookmarkStart w:id="15" w:name="_Toc207715687"/>
      <w:bookmarkStart w:id="16" w:name="_Toc234277229"/>
      <w:r w:rsidRPr="00353AE1">
        <w:rPr>
          <w:rFonts w:cs="Calibri"/>
        </w:rPr>
        <w:t>Simulation design</w:t>
      </w:r>
      <w:bookmarkEnd w:id="15"/>
      <w:bookmarkEnd w:id="16"/>
    </w:p>
    <w:p w14:paraId="393FAA80" w14:textId="0D26A457" w:rsidR="005B6B3D" w:rsidRPr="00353AE1" w:rsidRDefault="006F1FF8" w:rsidP="00FA1E7A">
      <w:pPr>
        <w:pStyle w:val="Heading2"/>
        <w:spacing w:before="0" w:after="120"/>
        <w:rPr>
          <w:rStyle w:val="SubtleEmphasis"/>
          <w:rFonts w:cs="Calibri"/>
          <w:i w:val="0"/>
          <w:iCs w:val="0"/>
          <w:color w:val="595959" w:themeColor="text1" w:themeTint="A6"/>
          <w:sz w:val="40"/>
          <w:szCs w:val="40"/>
        </w:rPr>
      </w:pPr>
      <w:bookmarkStart w:id="17" w:name="_Toc207715688"/>
      <w:bookmarkStart w:id="18" w:name="_Toc234277230"/>
      <w:r w:rsidRPr="00353AE1">
        <w:rPr>
          <w:rStyle w:val="SubtleEmphasis"/>
          <w:rFonts w:cs="Calibri"/>
          <w:i w:val="0"/>
          <w:iCs w:val="0"/>
          <w:color w:val="595959" w:themeColor="text1" w:themeTint="A6"/>
        </w:rPr>
        <w:t xml:space="preserve">3.1 </w:t>
      </w:r>
      <w:r w:rsidR="005B6B3D" w:rsidRPr="00353AE1">
        <w:rPr>
          <w:rStyle w:val="SubtleEmphasis"/>
          <w:rFonts w:cs="Calibri"/>
          <w:i w:val="0"/>
          <w:iCs w:val="0"/>
          <w:color w:val="595959" w:themeColor="text1" w:themeTint="A6"/>
        </w:rPr>
        <w:t>Key elements of the policy closure</w:t>
      </w:r>
      <w:bookmarkEnd w:id="17"/>
      <w:bookmarkEnd w:id="18"/>
    </w:p>
    <w:p w14:paraId="5A7CBB80" w14:textId="56FBC272" w:rsidR="005B6B3D" w:rsidRPr="00353AE1" w:rsidRDefault="005B6B3D" w:rsidP="00FA1E7A">
      <w:pPr>
        <w:spacing w:after="120"/>
        <w:jc w:val="left"/>
        <w:rPr>
          <w:color w:val="000000" w:themeColor="text1"/>
        </w:rPr>
      </w:pPr>
      <w:r w:rsidRPr="00353AE1">
        <w:rPr>
          <w:color w:val="000000" w:themeColor="text1"/>
        </w:rPr>
        <w:t>In solving VURMTAX, we undertake two parallel model runs: a baseline simulation and a policy simulation. The policy simulation is identical to the baseline simulation in all respects, other than the addition of shocks describing the scenario</w:t>
      </w:r>
      <w:r w:rsidR="00DC422D" w:rsidRPr="00353AE1">
        <w:rPr>
          <w:color w:val="000000" w:themeColor="text1"/>
        </w:rPr>
        <w:t>s</w:t>
      </w:r>
      <w:r w:rsidRPr="00353AE1">
        <w:rPr>
          <w:color w:val="000000" w:themeColor="text1"/>
        </w:rPr>
        <w:t xml:space="preserve"> under investigation. We report results as</w:t>
      </w:r>
      <w:r w:rsidR="008A029B" w:rsidRPr="00353AE1">
        <w:rPr>
          <w:color w:val="000000" w:themeColor="text1"/>
        </w:rPr>
        <w:t xml:space="preserve"> </w:t>
      </w:r>
      <w:r w:rsidR="00130253" w:rsidRPr="00353AE1">
        <w:rPr>
          <w:color w:val="000000" w:themeColor="text1"/>
        </w:rPr>
        <w:t xml:space="preserve">percentage, percentage point, or ordinary </w:t>
      </w:r>
      <w:r w:rsidRPr="00353AE1">
        <w:rPr>
          <w:color w:val="000000" w:themeColor="text1"/>
        </w:rPr>
        <w:t>deviations</w:t>
      </w:r>
      <w:r w:rsidR="008A029B" w:rsidRPr="00353AE1">
        <w:rPr>
          <w:color w:val="000000" w:themeColor="text1"/>
        </w:rPr>
        <w:t xml:space="preserve"> </w:t>
      </w:r>
      <w:r w:rsidRPr="00353AE1">
        <w:rPr>
          <w:color w:val="000000" w:themeColor="text1"/>
        </w:rPr>
        <w:t>in the values of variables in each year of the policy simulation, away from their baseline values. All policy simulations conducted herein are undertaken under the following model closure:</w:t>
      </w:r>
    </w:p>
    <w:p w14:paraId="7E3216E1" w14:textId="77777777" w:rsidR="005B6B3D" w:rsidRPr="00353AE1" w:rsidRDefault="005B6B3D" w:rsidP="00FA1E7A">
      <w:pPr>
        <w:spacing w:after="120"/>
        <w:ind w:left="567" w:hanging="567"/>
        <w:jc w:val="left"/>
        <w:rPr>
          <w:color w:val="000000" w:themeColor="text1"/>
        </w:rPr>
      </w:pPr>
      <w:r w:rsidRPr="00353AE1">
        <w:rPr>
          <w:color w:val="000000" w:themeColor="text1"/>
        </w:rPr>
        <w:t xml:space="preserve">(1) </w:t>
      </w:r>
      <w:r w:rsidRPr="00353AE1">
        <w:rPr>
          <w:color w:val="000000" w:themeColor="text1"/>
        </w:rPr>
        <w:tab/>
        <w:t>Regional labour markets characterised by short‐run wage stickiness, with endogenous regional unemployment rates, transitioning to a long‐run environment of regional wage flexibility with exogenous regional unemployment rates.</w:t>
      </w:r>
    </w:p>
    <w:p w14:paraId="62A4BFD4" w14:textId="48805C1E" w:rsidR="005B6B3D" w:rsidRPr="00353AE1" w:rsidRDefault="005B6B3D" w:rsidP="00FA1E7A">
      <w:pPr>
        <w:spacing w:after="120"/>
        <w:ind w:left="567" w:hanging="567"/>
        <w:jc w:val="left"/>
      </w:pPr>
      <w:r w:rsidRPr="00353AE1">
        <w:rPr>
          <w:color w:val="000000" w:themeColor="text1"/>
        </w:rPr>
        <w:t xml:space="preserve">(2) </w:t>
      </w:r>
      <w:r w:rsidRPr="00353AE1">
        <w:rPr>
          <w:color w:val="000000" w:themeColor="text1"/>
        </w:rPr>
        <w:tab/>
        <w:t>Rates of inter‐regional migration are sticky in the short</w:t>
      </w:r>
      <w:r w:rsidR="00937621" w:rsidRPr="00353AE1">
        <w:rPr>
          <w:color w:val="000000" w:themeColor="text1"/>
        </w:rPr>
        <w:t xml:space="preserve"> </w:t>
      </w:r>
      <w:r w:rsidRPr="00353AE1">
        <w:rPr>
          <w:color w:val="000000" w:themeColor="text1"/>
        </w:rPr>
        <w:t>run, but adjust gradually in response to movements in inter‐regional relativities in</w:t>
      </w:r>
      <w:r w:rsidR="005848FF" w:rsidRPr="00353AE1">
        <w:rPr>
          <w:color w:val="000000" w:themeColor="text1"/>
        </w:rPr>
        <w:t xml:space="preserve"> expected</w:t>
      </w:r>
      <w:r w:rsidRPr="00353AE1">
        <w:rPr>
          <w:color w:val="000000" w:themeColor="text1"/>
        </w:rPr>
        <w:t xml:space="preserve"> real consumer wages in order to </w:t>
      </w:r>
      <w:r w:rsidRPr="00353AE1">
        <w:t>ensure that such income relativities are gradually returned to baseline values [</w:t>
      </w:r>
      <w:r w:rsidR="001A166D" w:rsidRPr="00353AE1">
        <w:t>s</w:t>
      </w:r>
      <w:r w:rsidR="00480D13" w:rsidRPr="00353AE1">
        <w:t>e</w:t>
      </w:r>
      <w:r w:rsidR="001A166D" w:rsidRPr="00353AE1">
        <w:t xml:space="preserve">e </w:t>
      </w:r>
      <w:r w:rsidRPr="00353AE1">
        <w:t>Giesecke and Madden (2013)].</w:t>
      </w:r>
    </w:p>
    <w:p w14:paraId="339ACD89" w14:textId="63080DBC" w:rsidR="005B6B3D" w:rsidRPr="00353AE1" w:rsidRDefault="005B6B3D" w:rsidP="009D4737">
      <w:pPr>
        <w:spacing w:after="120"/>
        <w:ind w:left="567" w:hanging="567"/>
        <w:jc w:val="left"/>
      </w:pPr>
      <w:r w:rsidRPr="00353AE1">
        <w:t>(3)</w:t>
      </w:r>
      <w:r w:rsidRPr="00353AE1">
        <w:tab/>
        <w:t>Regional participation rates adjust to deviations in region‐specific nominal wages, price</w:t>
      </w:r>
      <w:r w:rsidR="005848FF" w:rsidRPr="00353AE1">
        <w:t xml:space="preserve"> </w:t>
      </w:r>
      <w:r w:rsidRPr="00353AE1">
        <w:t>levels, and non‐labour incomes, as described by Giesecke et al. (2021).</w:t>
      </w:r>
    </w:p>
    <w:p w14:paraId="54CBD5F6" w14:textId="03B501BE" w:rsidR="005B6B3D" w:rsidRPr="00353AE1" w:rsidRDefault="005B6B3D" w:rsidP="00AD5602">
      <w:pPr>
        <w:spacing w:after="120"/>
        <w:ind w:left="567" w:hanging="567"/>
        <w:jc w:val="left"/>
      </w:pPr>
      <w:r w:rsidRPr="00353AE1">
        <w:t>(4)</w:t>
      </w:r>
      <w:r w:rsidRPr="00353AE1">
        <w:tab/>
        <w:t xml:space="preserve">National private consumption spending is the sum across regions of regional private consumption. Within each region, private consumption spending is a given proportion of regional disposable income. The national average propensity to consume (APC) is </w:t>
      </w:r>
      <w:r w:rsidR="00B978F5" w:rsidRPr="00353AE1">
        <w:t xml:space="preserve">fixed to its baseline level. </w:t>
      </w:r>
    </w:p>
    <w:p w14:paraId="56841787" w14:textId="57B77B86" w:rsidR="009B37D8" w:rsidRPr="00353AE1" w:rsidRDefault="005B6B3D" w:rsidP="00AD5602">
      <w:pPr>
        <w:spacing w:after="120"/>
        <w:ind w:left="567" w:hanging="567"/>
        <w:jc w:val="left"/>
      </w:pPr>
      <w:r w:rsidRPr="00353AE1">
        <w:t>(5)</w:t>
      </w:r>
      <w:r w:rsidRPr="00353AE1">
        <w:tab/>
      </w:r>
      <w:r w:rsidR="00A13DE2" w:rsidRPr="00353AE1">
        <w:t xml:space="preserve">Within each region, all levels of government consumption spending </w:t>
      </w:r>
      <w:r w:rsidR="004C196C" w:rsidRPr="00353AE1">
        <w:t>vary</w:t>
      </w:r>
      <w:r w:rsidR="00A13DE2" w:rsidRPr="00353AE1">
        <w:t xml:space="preserve"> in proportion to the regional population deviation from its baseline forecast level, with one exception</w:t>
      </w:r>
      <w:r w:rsidR="00BE67E8" w:rsidRPr="00353AE1">
        <w:t>. In Scenario 1,</w:t>
      </w:r>
      <w:r w:rsidR="00AA798F" w:rsidRPr="00353AE1">
        <w:t xml:space="preserve"> </w:t>
      </w:r>
      <w:r w:rsidR="00DA4046" w:rsidRPr="00353AE1">
        <w:t xml:space="preserve">federal and state/local </w:t>
      </w:r>
      <w:r w:rsidR="00F96137" w:rsidRPr="00353AE1">
        <w:t xml:space="preserve">government consumption </w:t>
      </w:r>
      <w:r w:rsidR="005250AF" w:rsidRPr="00353AE1">
        <w:t xml:space="preserve">on </w:t>
      </w:r>
      <w:r w:rsidR="00F1589E" w:rsidRPr="00353AE1">
        <w:t>civil engineering and construction</w:t>
      </w:r>
      <w:r w:rsidR="00481F88" w:rsidRPr="00353AE1">
        <w:t xml:space="preserve"> is allowed to deviate from baseline to accommodate the additional road wear expenditure.</w:t>
      </w:r>
    </w:p>
    <w:p w14:paraId="5980748E" w14:textId="60AEB757" w:rsidR="007F227F" w:rsidRPr="00353AE1" w:rsidRDefault="00232FBD" w:rsidP="00AD5602">
      <w:pPr>
        <w:spacing w:after="120"/>
        <w:ind w:left="567" w:hanging="567"/>
        <w:jc w:val="left"/>
      </w:pPr>
      <w:r w:rsidRPr="00353AE1">
        <w:t>(6)</w:t>
      </w:r>
      <w:r w:rsidRPr="00353AE1">
        <w:tab/>
      </w:r>
      <w:r w:rsidR="002C51AD" w:rsidRPr="00353AE1">
        <w:t xml:space="preserve">The federal government’s budget constraint is maintained through an endogenous direct tax or transfer to households, levied on a per capita basis. State/local </w:t>
      </w:r>
      <w:r w:rsidR="002C51AD" w:rsidRPr="00353AE1">
        <w:lastRenderedPageBreak/>
        <w:t>government budgets are maintained through endogenous direct taxes or transfers to households within their jurisdiction.</w:t>
      </w:r>
    </w:p>
    <w:p w14:paraId="5B9EB823" w14:textId="29BC77EC" w:rsidR="005B6B3D" w:rsidRPr="00353AE1" w:rsidRDefault="005B6B3D" w:rsidP="00AD5602">
      <w:pPr>
        <w:spacing w:after="120"/>
        <w:ind w:left="567" w:hanging="567"/>
        <w:jc w:val="left"/>
      </w:pPr>
      <w:r w:rsidRPr="00353AE1">
        <w:t>(</w:t>
      </w:r>
      <w:r w:rsidR="00232FBD" w:rsidRPr="00353AE1">
        <w:t>7</w:t>
      </w:r>
      <w:r w:rsidRPr="00353AE1">
        <w:t>)</w:t>
      </w:r>
      <w:r w:rsidRPr="00353AE1">
        <w:tab/>
        <w:t>The numeraire price level is the national CPI in all scenarios.</w:t>
      </w:r>
    </w:p>
    <w:p w14:paraId="100ED3D7" w14:textId="4C680E40" w:rsidR="00AE2459" w:rsidRPr="00353AE1" w:rsidRDefault="00AE2459" w:rsidP="00AD5602">
      <w:pPr>
        <w:spacing w:after="120"/>
        <w:jc w:val="left"/>
      </w:pPr>
    </w:p>
    <w:p w14:paraId="39A83053" w14:textId="25E5C32E" w:rsidR="00BA5496" w:rsidRPr="00353AE1" w:rsidRDefault="004C20DD" w:rsidP="00370F06">
      <w:pPr>
        <w:pStyle w:val="Heading2"/>
        <w:spacing w:before="0" w:after="120"/>
        <w:rPr>
          <w:rStyle w:val="SubtleEmphasis"/>
          <w:rFonts w:cs="Calibri"/>
          <w:i w:val="0"/>
          <w:iCs w:val="0"/>
          <w:color w:val="595959" w:themeColor="text1" w:themeTint="A6"/>
        </w:rPr>
      </w:pPr>
      <w:bookmarkStart w:id="19" w:name="_Toc207715689"/>
      <w:bookmarkStart w:id="20" w:name="_Toc234277231"/>
      <w:r w:rsidRPr="00353AE1">
        <w:rPr>
          <w:rStyle w:val="SubtleEmphasis"/>
          <w:rFonts w:cs="Calibri"/>
          <w:i w:val="0"/>
          <w:iCs w:val="0"/>
          <w:color w:val="595959" w:themeColor="text1" w:themeTint="A6"/>
        </w:rPr>
        <w:t>3.2 Implementation of the policy shocks</w:t>
      </w:r>
      <w:bookmarkEnd w:id="19"/>
      <w:bookmarkEnd w:id="20"/>
    </w:p>
    <w:p w14:paraId="04AD482E" w14:textId="53078135" w:rsidR="00BA5496" w:rsidRPr="00353AE1" w:rsidRDefault="00BA5496" w:rsidP="00AD5602">
      <w:pPr>
        <w:spacing w:after="120"/>
        <w:jc w:val="left"/>
      </w:pPr>
      <w:r w:rsidRPr="00353AE1">
        <w:t xml:space="preserve">We examine two scenarios. Scenario 1 </w:t>
      </w:r>
      <w:r w:rsidR="005848FF" w:rsidRPr="00353AE1">
        <w:t xml:space="preserve">models </w:t>
      </w:r>
      <w:r w:rsidRPr="00353AE1">
        <w:t>increase</w:t>
      </w:r>
      <w:r w:rsidR="00781DBC" w:rsidRPr="00353AE1">
        <w:t>d</w:t>
      </w:r>
      <w:r w:rsidRPr="00353AE1">
        <w:t xml:space="preserve"> heavy vehicle road access. Scenario 2 </w:t>
      </w:r>
      <w:r w:rsidR="005848FF" w:rsidRPr="00353AE1">
        <w:t xml:space="preserve">models the establishment of </w:t>
      </w:r>
      <w:r w:rsidRPr="00353AE1">
        <w:t xml:space="preserve">a National Automated Access System (NAAS). For each scenario, we run two simulations: a core simulation and an alternative simulation. The alternative simulation differs from the core simulation only in the magnitude of the policy </w:t>
      </w:r>
      <w:r w:rsidR="00223163" w:rsidRPr="00353AE1">
        <w:t>shock</w:t>
      </w:r>
      <w:r w:rsidR="00C25D4D" w:rsidRPr="00353AE1">
        <w:t xml:space="preserve">. </w:t>
      </w:r>
      <w:r w:rsidR="007F227F" w:rsidRPr="00353AE1">
        <w:t>Alternative simulation</w:t>
      </w:r>
      <w:r w:rsidR="00C25D4D" w:rsidRPr="00353AE1">
        <w:t xml:space="preserve"> results are reported in tables and figures</w:t>
      </w:r>
      <w:r w:rsidR="00A023B3" w:rsidRPr="00353AE1">
        <w:t xml:space="preserve"> </w:t>
      </w:r>
      <w:r w:rsidR="00E848B1" w:rsidRPr="00353AE1">
        <w:t xml:space="preserve">in sections 4 and 5 </w:t>
      </w:r>
      <w:r w:rsidR="00A023B3" w:rsidRPr="00353AE1">
        <w:t>for comparison</w:t>
      </w:r>
      <w:r w:rsidR="0008200A" w:rsidRPr="00353AE1">
        <w:t>,</w:t>
      </w:r>
      <w:r w:rsidR="00A023B3" w:rsidRPr="00353AE1">
        <w:t xml:space="preserve"> but</w:t>
      </w:r>
      <w:r w:rsidR="0008200A" w:rsidRPr="00353AE1">
        <w:t xml:space="preserve"> are</w:t>
      </w:r>
      <w:r w:rsidR="00A023B3" w:rsidRPr="00353AE1">
        <w:t xml:space="preserve"> not discussed</w:t>
      </w:r>
      <w:r w:rsidR="005848FF" w:rsidRPr="00353AE1">
        <w:t xml:space="preserve"> herein. Results for both the core and alternative simulations are provided to the PC in spreadsheets that accompany this report. </w:t>
      </w:r>
    </w:p>
    <w:p w14:paraId="7A53CAC3" w14:textId="61F4A8C4" w:rsidR="00A84304" w:rsidRPr="00353AE1" w:rsidRDefault="00A84304" w:rsidP="00AD5602">
      <w:pPr>
        <w:spacing w:after="120"/>
        <w:jc w:val="left"/>
      </w:pPr>
      <w:r w:rsidRPr="00353AE1">
        <w:t xml:space="preserve">The size of the shocks was provided by the Productivity Commission </w:t>
      </w:r>
      <w:r w:rsidR="000B50E7" w:rsidRPr="00353AE1">
        <w:t>based on</w:t>
      </w:r>
      <w:r w:rsidR="008418EA" w:rsidRPr="00353AE1">
        <w:t xml:space="preserve"> </w:t>
      </w:r>
      <w:r w:rsidR="00C202BA" w:rsidRPr="00353AE1">
        <w:t xml:space="preserve">estimates of </w:t>
      </w:r>
      <w:r w:rsidR="008418EA" w:rsidRPr="00353AE1">
        <w:t>BITRE (</w:t>
      </w:r>
      <w:r w:rsidR="00A36652" w:rsidRPr="00353AE1">
        <w:t>forthcoming</w:t>
      </w:r>
      <w:r w:rsidR="008418EA" w:rsidRPr="00353AE1">
        <w:t>).</w:t>
      </w:r>
    </w:p>
    <w:p w14:paraId="6C7DBC4F" w14:textId="0BEEB06B" w:rsidR="004D0A2E" w:rsidRPr="00353AE1" w:rsidRDefault="009A503F" w:rsidP="00AD5602">
      <w:pPr>
        <w:spacing w:after="120"/>
        <w:jc w:val="left"/>
      </w:pPr>
      <w:r w:rsidRPr="00353AE1">
        <w:t xml:space="preserve">Scenario 1 </w:t>
      </w:r>
      <w:r w:rsidR="007E52B8" w:rsidRPr="00353AE1">
        <w:t>models</w:t>
      </w:r>
      <w:r w:rsidRPr="00353AE1">
        <w:t xml:space="preserve"> increase</w:t>
      </w:r>
      <w:r w:rsidR="00FD084D" w:rsidRPr="00353AE1">
        <w:t>d</w:t>
      </w:r>
      <w:r w:rsidRPr="00353AE1">
        <w:t xml:space="preserve"> heavy vehicle road access</w:t>
      </w:r>
      <w:r w:rsidR="00C7688B" w:rsidRPr="00353AE1">
        <w:t>, with t</w:t>
      </w:r>
      <w:r w:rsidRPr="00353AE1">
        <w:t xml:space="preserve">wo policy shocks imposed in this scenario. </w:t>
      </w:r>
      <w:r w:rsidR="00D14AFF" w:rsidRPr="00353AE1">
        <w:t>In our modelling</w:t>
      </w:r>
      <w:r w:rsidRPr="00353AE1">
        <w:t xml:space="preserve">, this is implemented as </w:t>
      </w:r>
      <w:r w:rsidR="000B14AA" w:rsidRPr="00353AE1">
        <w:t>a</w:t>
      </w:r>
      <w:r w:rsidR="00217DA7" w:rsidRPr="00353AE1">
        <w:t>n</w:t>
      </w:r>
      <w:r w:rsidR="000B14AA" w:rsidRPr="00353AE1">
        <w:t xml:space="preserve"> MFP</w:t>
      </w:r>
      <w:r w:rsidR="00D101BA" w:rsidRPr="00353AE1">
        <w:t xml:space="preserve"> </w:t>
      </w:r>
      <w:r w:rsidRPr="00353AE1">
        <w:t xml:space="preserve">improvement that reduces the intermediate and primary factor inputs required per unit of </w:t>
      </w:r>
      <w:r w:rsidR="00E7515A" w:rsidRPr="00353AE1">
        <w:t>Road Freight</w:t>
      </w:r>
      <w:r w:rsidRPr="00353AE1">
        <w:t xml:space="preserve"> output. This shock </w:t>
      </w:r>
      <w:r w:rsidR="00BA171D" w:rsidRPr="00353AE1">
        <w:t>reduc</w:t>
      </w:r>
      <w:r w:rsidR="00FD2B34" w:rsidRPr="00353AE1">
        <w:t>es</w:t>
      </w:r>
      <w:r w:rsidR="00BA171D" w:rsidRPr="00353AE1">
        <w:t xml:space="preserve"> overall resource costs</w:t>
      </w:r>
      <w:r w:rsidR="00F235E5" w:rsidRPr="00353AE1">
        <w:t xml:space="preserve"> per unit of output</w:t>
      </w:r>
      <w:r w:rsidR="00BA171D" w:rsidRPr="00353AE1">
        <w:t xml:space="preserve">, </w:t>
      </w:r>
      <w:r w:rsidR="003A5BAD" w:rsidRPr="00353AE1">
        <w:t xml:space="preserve">including the number of freight trips required, driver working hours, </w:t>
      </w:r>
      <w:r w:rsidR="001D317B" w:rsidRPr="00353AE1">
        <w:t>and vehicle operating costs</w:t>
      </w:r>
      <w:r w:rsidR="003A5BAD" w:rsidRPr="00353AE1">
        <w:t xml:space="preserve">. This treatment </w:t>
      </w:r>
      <w:r w:rsidR="00D877BD" w:rsidRPr="00353AE1">
        <w:t xml:space="preserve">is consistent with the methodology </w:t>
      </w:r>
      <w:r w:rsidR="003A5BAD" w:rsidRPr="00353AE1">
        <w:t>in BITRE (forthcoming)</w:t>
      </w:r>
      <w:r w:rsidR="00D877BD" w:rsidRPr="00353AE1">
        <w:t xml:space="preserve"> wh</w:t>
      </w:r>
      <w:r w:rsidR="00F909B8" w:rsidRPr="00353AE1">
        <w:t>ich</w:t>
      </w:r>
      <w:r w:rsidR="00D877BD" w:rsidRPr="00353AE1">
        <w:t xml:space="preserve"> measure</w:t>
      </w:r>
      <w:r w:rsidR="00014533" w:rsidRPr="00353AE1">
        <w:t>s</w:t>
      </w:r>
      <w:r w:rsidR="00D877BD" w:rsidRPr="00353AE1">
        <w:t xml:space="preserve"> benefits on </w:t>
      </w:r>
      <w:r w:rsidR="00621FEC" w:rsidRPr="00353AE1">
        <w:t>an</w:t>
      </w:r>
      <w:r w:rsidR="00D877BD" w:rsidRPr="00353AE1">
        <w:t xml:space="preserve"> MFP basis.</w:t>
      </w:r>
    </w:p>
    <w:p w14:paraId="4F13ACC8" w14:textId="3B41F5C1" w:rsidR="00BD4D4F" w:rsidRPr="00E016A0" w:rsidRDefault="0048781C" w:rsidP="00AD5602">
      <w:pPr>
        <w:spacing w:after="120"/>
        <w:jc w:val="left"/>
      </w:pPr>
      <w:r w:rsidRPr="00353AE1">
        <w:t xml:space="preserve">The second shock is an increase in government expenditure on road-related maintenance and repair activities, representing the additional road construction and maintenance expenditure required to offset road wear and maintain infrastructure quality. In the VURMTAX database, such expenditure is recorded under the government’s spending on civil engineering </w:t>
      </w:r>
      <w:r w:rsidR="007E52B8" w:rsidRPr="00353AE1">
        <w:t xml:space="preserve">and </w:t>
      </w:r>
      <w:r w:rsidRPr="00353AE1">
        <w:t>construction.</w:t>
      </w:r>
      <w:r w:rsidR="009405AD" w:rsidRPr="00353AE1">
        <w:rPr>
          <w:rStyle w:val="FootnoteReference"/>
        </w:rPr>
        <w:footnoteReference w:id="6"/>
      </w:r>
      <w:r w:rsidRPr="00353AE1">
        <w:t xml:space="preserve"> </w:t>
      </w:r>
    </w:p>
    <w:p w14:paraId="799CE497" w14:textId="7EC714F2" w:rsidR="00B065E9" w:rsidRPr="00353AE1" w:rsidRDefault="00B065E9" w:rsidP="00AD5602">
      <w:pPr>
        <w:spacing w:after="120"/>
        <w:jc w:val="left"/>
        <w:rPr>
          <w:lang w:val="en-GB"/>
        </w:rPr>
      </w:pPr>
      <w:r w:rsidRPr="00353AE1">
        <w:rPr>
          <w:lang w:val="en-GB"/>
        </w:rPr>
        <w:t xml:space="preserve">Following advice from the </w:t>
      </w:r>
      <w:r w:rsidR="00794E1F" w:rsidRPr="00353AE1">
        <w:rPr>
          <w:lang w:val="en-GB"/>
        </w:rPr>
        <w:t>PC</w:t>
      </w:r>
      <w:r w:rsidRPr="00353AE1">
        <w:rPr>
          <w:lang w:val="en-GB"/>
        </w:rPr>
        <w:t>, the additional road-wear expenditure is split between the federal and state/local governments using national road-related expenditure shares</w:t>
      </w:r>
      <w:r w:rsidR="00D622DB" w:rsidRPr="00353AE1">
        <w:rPr>
          <w:lang w:val="en-GB"/>
        </w:rPr>
        <w:t xml:space="preserve"> reported</w:t>
      </w:r>
      <w:r w:rsidR="00DC26D5" w:rsidRPr="00353AE1">
        <w:rPr>
          <w:lang w:val="en-GB"/>
        </w:rPr>
        <w:t xml:space="preserve"> by</w:t>
      </w:r>
      <w:r w:rsidR="00D622DB" w:rsidRPr="00353AE1">
        <w:rPr>
          <w:lang w:val="en-GB"/>
        </w:rPr>
        <w:t xml:space="preserve"> </w:t>
      </w:r>
      <w:r w:rsidR="00CE457B" w:rsidRPr="00353AE1">
        <w:rPr>
          <w:lang w:val="en-GB"/>
        </w:rPr>
        <w:t>BITRE (2025)</w:t>
      </w:r>
      <w:r w:rsidRPr="00353AE1">
        <w:rPr>
          <w:lang w:val="en-GB"/>
        </w:rPr>
        <w:t xml:space="preserve">. Specifically, 24.1 per cent of the additional expenditure is allocated to federal government consumption and 75.9 per cent is allocated to state/local government consumption. </w:t>
      </w:r>
      <w:r w:rsidR="00C440BF" w:rsidRPr="00353AE1">
        <w:t xml:space="preserve">The regional allocation of the </w:t>
      </w:r>
      <w:r w:rsidR="00C614A3" w:rsidRPr="00353AE1">
        <w:t xml:space="preserve">24.1 per cent </w:t>
      </w:r>
      <w:r w:rsidR="00C440BF" w:rsidRPr="00353AE1">
        <w:t>additional</w:t>
      </w:r>
      <w:r w:rsidR="005445C1" w:rsidRPr="00353AE1">
        <w:t xml:space="preserve"> federal government </w:t>
      </w:r>
      <w:r w:rsidR="00C440BF" w:rsidRPr="00353AE1">
        <w:lastRenderedPageBreak/>
        <w:t>road-wear expenditure follows the shares provided by the PC in Table 3.</w:t>
      </w:r>
      <w:r w:rsidR="00C614A3" w:rsidRPr="00353AE1">
        <w:t xml:space="preserve"> The 75.9 per cent uplift in state/local government </w:t>
      </w:r>
      <w:r w:rsidR="00861CA0" w:rsidRPr="00353AE1">
        <w:t xml:space="preserve">consumption follows an identical regional </w:t>
      </w:r>
      <w:r w:rsidR="00625D02" w:rsidRPr="00353AE1">
        <w:t>distribution</w:t>
      </w:r>
      <w:r w:rsidR="00861CA0" w:rsidRPr="00353AE1">
        <w:t xml:space="preserve">. </w:t>
      </w:r>
      <w:r w:rsidR="00C440BF" w:rsidRPr="00353AE1">
        <w:t xml:space="preserve">As advised, these shares are based on the state-level distribution of heavy-vehicle-related road costs </w:t>
      </w:r>
      <w:r w:rsidR="00167748" w:rsidRPr="00353AE1">
        <w:t>f</w:t>
      </w:r>
      <w:r w:rsidR="00F13EBF" w:rsidRPr="00353AE1">
        <w:t>rom</w:t>
      </w:r>
      <w:r w:rsidR="00C440BF" w:rsidRPr="00353AE1">
        <w:t xml:space="preserve"> BITRE</w:t>
      </w:r>
      <w:r w:rsidRPr="00353AE1">
        <w:rPr>
          <w:lang w:val="en-GB"/>
        </w:rPr>
        <w:t>.</w:t>
      </w:r>
      <w:r w:rsidR="009D31CB" w:rsidRPr="00353AE1">
        <w:rPr>
          <w:rStyle w:val="FootnoteReference"/>
          <w:lang w:val="en-GB"/>
        </w:rPr>
        <w:footnoteReference w:id="7"/>
      </w:r>
    </w:p>
    <w:p w14:paraId="27D039CF" w14:textId="77777777" w:rsidR="00FC4CAC" w:rsidRPr="00E016A0" w:rsidRDefault="00FC4CAC" w:rsidP="00AD5602">
      <w:pPr>
        <w:spacing w:after="120"/>
        <w:jc w:val="left"/>
        <w:rPr>
          <w:lang w:val="en-GB"/>
        </w:rPr>
      </w:pPr>
    </w:p>
    <w:p w14:paraId="2128DCE2" w14:textId="5379EDA7" w:rsidR="00FC4CAC" w:rsidRPr="00E016A0" w:rsidRDefault="00FC4CAC" w:rsidP="00E016A0">
      <w:pPr>
        <w:pStyle w:val="Caption"/>
        <w:keepNext/>
        <w:jc w:val="center"/>
        <w:rPr>
          <w:sz w:val="24"/>
          <w:szCs w:val="24"/>
        </w:rPr>
      </w:pPr>
      <w:bookmarkStart w:id="21" w:name="_Toc231907807"/>
      <w:r w:rsidRPr="00E016A0">
        <w:rPr>
          <w:sz w:val="24"/>
          <w:szCs w:val="24"/>
        </w:rPr>
        <w:t xml:space="preserve">Table </w:t>
      </w:r>
      <w:r w:rsidR="00DF6059" w:rsidRPr="00353AE1">
        <w:rPr>
          <w:sz w:val="24"/>
          <w:szCs w:val="24"/>
        </w:rPr>
        <w:fldChar w:fldCharType="begin"/>
      </w:r>
      <w:r w:rsidR="00DF6059" w:rsidRPr="00353AE1">
        <w:rPr>
          <w:sz w:val="24"/>
          <w:szCs w:val="24"/>
        </w:rPr>
        <w:instrText xml:space="preserve"> SEQ Table \* ARABIC </w:instrText>
      </w:r>
      <w:r w:rsidR="00DF6059" w:rsidRPr="00353AE1">
        <w:rPr>
          <w:sz w:val="24"/>
          <w:szCs w:val="24"/>
        </w:rPr>
        <w:fldChar w:fldCharType="separate"/>
      </w:r>
      <w:r w:rsidR="00DF6059" w:rsidRPr="00353AE1">
        <w:rPr>
          <w:noProof/>
          <w:sz w:val="24"/>
          <w:szCs w:val="24"/>
        </w:rPr>
        <w:t>3</w:t>
      </w:r>
      <w:r w:rsidR="00DF6059" w:rsidRPr="00353AE1">
        <w:rPr>
          <w:sz w:val="24"/>
          <w:szCs w:val="24"/>
        </w:rPr>
        <w:fldChar w:fldCharType="end"/>
      </w:r>
      <w:r w:rsidRPr="00E016A0">
        <w:rPr>
          <w:sz w:val="24"/>
          <w:szCs w:val="24"/>
        </w:rPr>
        <w:t xml:space="preserve">. </w:t>
      </w:r>
      <w:r w:rsidR="00915DD3" w:rsidRPr="00353AE1">
        <w:rPr>
          <w:sz w:val="24"/>
          <w:szCs w:val="24"/>
        </w:rPr>
        <w:t>R</w:t>
      </w:r>
      <w:r w:rsidR="002F7D84" w:rsidRPr="00E016A0">
        <w:rPr>
          <w:sz w:val="24"/>
          <w:szCs w:val="24"/>
        </w:rPr>
        <w:t>egional allocation</w:t>
      </w:r>
      <w:r w:rsidR="00FC0A8A" w:rsidRPr="00353AE1">
        <w:rPr>
          <w:sz w:val="24"/>
          <w:szCs w:val="24"/>
        </w:rPr>
        <w:t xml:space="preserve"> shares</w:t>
      </w:r>
      <w:r w:rsidR="002F7D84" w:rsidRPr="00E016A0">
        <w:rPr>
          <w:sz w:val="24"/>
          <w:szCs w:val="24"/>
        </w:rPr>
        <w:t xml:space="preserve"> of the additional </w:t>
      </w:r>
      <w:r w:rsidR="00FE7437" w:rsidRPr="00353AE1">
        <w:rPr>
          <w:sz w:val="24"/>
          <w:szCs w:val="24"/>
        </w:rPr>
        <w:t xml:space="preserve">government </w:t>
      </w:r>
      <w:r w:rsidR="002F7D84" w:rsidRPr="00E016A0">
        <w:rPr>
          <w:sz w:val="24"/>
          <w:szCs w:val="24"/>
        </w:rPr>
        <w:t>road-</w:t>
      </w:r>
      <w:r w:rsidR="00FE7437" w:rsidRPr="00353AE1">
        <w:rPr>
          <w:sz w:val="24"/>
          <w:szCs w:val="24"/>
        </w:rPr>
        <w:t>wear</w:t>
      </w:r>
      <w:r w:rsidR="002F7D84" w:rsidRPr="00E016A0">
        <w:rPr>
          <w:sz w:val="24"/>
          <w:szCs w:val="24"/>
        </w:rPr>
        <w:t xml:space="preserve"> expenditure</w:t>
      </w:r>
      <w:bookmarkEnd w:id="21"/>
    </w:p>
    <w:tbl>
      <w:tblPr>
        <w:tblW w:w="3544" w:type="dxa"/>
        <w:jc w:val="center"/>
        <w:tblLayout w:type="fixed"/>
        <w:tblLook w:val="04A0" w:firstRow="1" w:lastRow="0" w:firstColumn="1" w:lastColumn="0" w:noHBand="0" w:noVBand="1"/>
      </w:tblPr>
      <w:tblGrid>
        <w:gridCol w:w="1772"/>
        <w:gridCol w:w="1772"/>
      </w:tblGrid>
      <w:tr w:rsidR="00FC4CAC" w:rsidRPr="00353AE1" w14:paraId="741AB0AD" w14:textId="77777777" w:rsidTr="00E016A0">
        <w:trPr>
          <w:trHeight w:val="315"/>
          <w:jc w:val="center"/>
        </w:trPr>
        <w:tc>
          <w:tcPr>
            <w:tcW w:w="1772" w:type="dxa"/>
            <w:tcBorders>
              <w:top w:val="single" w:sz="8" w:space="0" w:color="auto"/>
              <w:left w:val="nil"/>
              <w:bottom w:val="nil"/>
              <w:right w:val="nil"/>
            </w:tcBorders>
            <w:noWrap/>
            <w:vAlign w:val="center"/>
            <w:hideMark/>
          </w:tcPr>
          <w:p w14:paraId="3B6AC960" w14:textId="77777777" w:rsidR="00FC4CAC" w:rsidRPr="00353AE1" w:rsidRDefault="00FC4CAC" w:rsidP="00FC4CAC">
            <w:pPr>
              <w:widowControl/>
              <w:jc w:val="center"/>
              <w:rPr>
                <w:rFonts w:eastAsia="Times New Roman"/>
                <w:b/>
                <w:bCs/>
                <w:color w:val="000000"/>
                <w:kern w:val="0"/>
                <w:lang w:val="en-GB"/>
              </w:rPr>
            </w:pPr>
            <w:r w:rsidRPr="00353AE1">
              <w:rPr>
                <w:rFonts w:eastAsia="Times New Roman"/>
                <w:b/>
                <w:bCs/>
                <w:color w:val="000000"/>
                <w:kern w:val="0"/>
                <w:lang w:val="en-GB"/>
              </w:rPr>
              <w:t>State</w:t>
            </w:r>
          </w:p>
        </w:tc>
        <w:tc>
          <w:tcPr>
            <w:tcW w:w="1772" w:type="dxa"/>
            <w:tcBorders>
              <w:top w:val="single" w:sz="8" w:space="0" w:color="auto"/>
              <w:left w:val="nil"/>
              <w:bottom w:val="nil"/>
              <w:right w:val="nil"/>
            </w:tcBorders>
            <w:vAlign w:val="center"/>
            <w:hideMark/>
          </w:tcPr>
          <w:p w14:paraId="0ABC47C9" w14:textId="77777777" w:rsidR="00FC4CAC" w:rsidRPr="00353AE1" w:rsidRDefault="00FC4CAC" w:rsidP="00FC4CAC">
            <w:pPr>
              <w:widowControl/>
              <w:jc w:val="center"/>
              <w:rPr>
                <w:rFonts w:eastAsia="Times New Roman"/>
                <w:b/>
                <w:bCs/>
                <w:color w:val="000000"/>
                <w:kern w:val="0"/>
                <w:lang w:val="en-GB"/>
              </w:rPr>
            </w:pPr>
            <w:r w:rsidRPr="00353AE1">
              <w:rPr>
                <w:rFonts w:eastAsia="Times New Roman"/>
                <w:b/>
                <w:bCs/>
                <w:color w:val="000000"/>
                <w:kern w:val="0"/>
                <w:lang w:val="en-GB"/>
              </w:rPr>
              <w:t xml:space="preserve">Share </w:t>
            </w:r>
          </w:p>
        </w:tc>
      </w:tr>
      <w:tr w:rsidR="00FC4CAC" w:rsidRPr="00353AE1" w14:paraId="75C07ABA" w14:textId="77777777" w:rsidTr="00E016A0">
        <w:trPr>
          <w:trHeight w:val="300"/>
          <w:jc w:val="center"/>
        </w:trPr>
        <w:tc>
          <w:tcPr>
            <w:tcW w:w="1772" w:type="dxa"/>
            <w:tcBorders>
              <w:top w:val="single" w:sz="8" w:space="0" w:color="auto"/>
              <w:left w:val="nil"/>
              <w:bottom w:val="nil"/>
              <w:right w:val="nil"/>
            </w:tcBorders>
            <w:noWrap/>
            <w:vAlign w:val="center"/>
            <w:hideMark/>
          </w:tcPr>
          <w:p w14:paraId="3EF8C1B4"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NSW&amp;ACT</w:t>
            </w:r>
          </w:p>
        </w:tc>
        <w:tc>
          <w:tcPr>
            <w:tcW w:w="1772" w:type="dxa"/>
            <w:tcBorders>
              <w:top w:val="single" w:sz="8" w:space="0" w:color="auto"/>
              <w:left w:val="nil"/>
              <w:bottom w:val="nil"/>
              <w:right w:val="nil"/>
            </w:tcBorders>
            <w:noWrap/>
            <w:vAlign w:val="center"/>
            <w:hideMark/>
          </w:tcPr>
          <w:p w14:paraId="682BDCBF"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28.95%</w:t>
            </w:r>
          </w:p>
        </w:tc>
      </w:tr>
      <w:tr w:rsidR="00FC4CAC" w:rsidRPr="00353AE1" w14:paraId="4B634FDF" w14:textId="77777777" w:rsidTr="00E016A0">
        <w:trPr>
          <w:trHeight w:val="300"/>
          <w:jc w:val="center"/>
        </w:trPr>
        <w:tc>
          <w:tcPr>
            <w:tcW w:w="1772" w:type="dxa"/>
            <w:tcBorders>
              <w:top w:val="nil"/>
              <w:left w:val="nil"/>
              <w:bottom w:val="nil"/>
              <w:right w:val="nil"/>
            </w:tcBorders>
            <w:noWrap/>
            <w:vAlign w:val="center"/>
            <w:hideMark/>
          </w:tcPr>
          <w:p w14:paraId="74312E9F"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VIC</w:t>
            </w:r>
          </w:p>
        </w:tc>
        <w:tc>
          <w:tcPr>
            <w:tcW w:w="1772" w:type="dxa"/>
            <w:tcBorders>
              <w:top w:val="nil"/>
              <w:left w:val="nil"/>
              <w:bottom w:val="nil"/>
              <w:right w:val="nil"/>
            </w:tcBorders>
            <w:noWrap/>
            <w:vAlign w:val="center"/>
            <w:hideMark/>
          </w:tcPr>
          <w:p w14:paraId="1DD6901C"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20.69%</w:t>
            </w:r>
          </w:p>
        </w:tc>
      </w:tr>
      <w:tr w:rsidR="00FC4CAC" w:rsidRPr="00353AE1" w14:paraId="532E9ECF" w14:textId="77777777" w:rsidTr="00E016A0">
        <w:trPr>
          <w:trHeight w:val="300"/>
          <w:jc w:val="center"/>
        </w:trPr>
        <w:tc>
          <w:tcPr>
            <w:tcW w:w="1772" w:type="dxa"/>
            <w:tcBorders>
              <w:top w:val="nil"/>
              <w:left w:val="nil"/>
              <w:bottom w:val="nil"/>
              <w:right w:val="nil"/>
            </w:tcBorders>
            <w:noWrap/>
            <w:vAlign w:val="center"/>
            <w:hideMark/>
          </w:tcPr>
          <w:p w14:paraId="3BFC05B7"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QLD</w:t>
            </w:r>
          </w:p>
        </w:tc>
        <w:tc>
          <w:tcPr>
            <w:tcW w:w="1772" w:type="dxa"/>
            <w:tcBorders>
              <w:top w:val="nil"/>
              <w:left w:val="nil"/>
              <w:bottom w:val="nil"/>
              <w:right w:val="nil"/>
            </w:tcBorders>
            <w:noWrap/>
            <w:vAlign w:val="center"/>
            <w:hideMark/>
          </w:tcPr>
          <w:p w14:paraId="4E73FFF1"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29.31%</w:t>
            </w:r>
          </w:p>
        </w:tc>
      </w:tr>
      <w:tr w:rsidR="00FC4CAC" w:rsidRPr="00353AE1" w14:paraId="11B6DB85" w14:textId="77777777" w:rsidTr="00E016A0">
        <w:trPr>
          <w:trHeight w:val="300"/>
          <w:jc w:val="center"/>
        </w:trPr>
        <w:tc>
          <w:tcPr>
            <w:tcW w:w="1772" w:type="dxa"/>
            <w:tcBorders>
              <w:top w:val="nil"/>
              <w:left w:val="nil"/>
              <w:bottom w:val="nil"/>
              <w:right w:val="nil"/>
            </w:tcBorders>
            <w:noWrap/>
            <w:vAlign w:val="center"/>
            <w:hideMark/>
          </w:tcPr>
          <w:p w14:paraId="3E8F585F"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SA</w:t>
            </w:r>
          </w:p>
        </w:tc>
        <w:tc>
          <w:tcPr>
            <w:tcW w:w="1772" w:type="dxa"/>
            <w:tcBorders>
              <w:top w:val="nil"/>
              <w:left w:val="nil"/>
              <w:bottom w:val="nil"/>
              <w:right w:val="nil"/>
            </w:tcBorders>
            <w:noWrap/>
            <w:vAlign w:val="center"/>
            <w:hideMark/>
          </w:tcPr>
          <w:p w14:paraId="1C3E00F1"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5.25%</w:t>
            </w:r>
          </w:p>
        </w:tc>
      </w:tr>
      <w:tr w:rsidR="00FC4CAC" w:rsidRPr="00353AE1" w14:paraId="6C8DA51F" w14:textId="77777777" w:rsidTr="00E016A0">
        <w:trPr>
          <w:trHeight w:val="300"/>
          <w:jc w:val="center"/>
        </w:trPr>
        <w:tc>
          <w:tcPr>
            <w:tcW w:w="1772" w:type="dxa"/>
            <w:tcBorders>
              <w:top w:val="nil"/>
              <w:left w:val="nil"/>
              <w:bottom w:val="nil"/>
              <w:right w:val="nil"/>
            </w:tcBorders>
            <w:noWrap/>
            <w:vAlign w:val="center"/>
            <w:hideMark/>
          </w:tcPr>
          <w:p w14:paraId="2F10391C"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TAS</w:t>
            </w:r>
          </w:p>
        </w:tc>
        <w:tc>
          <w:tcPr>
            <w:tcW w:w="1772" w:type="dxa"/>
            <w:tcBorders>
              <w:top w:val="nil"/>
              <w:left w:val="nil"/>
              <w:bottom w:val="nil"/>
              <w:right w:val="nil"/>
            </w:tcBorders>
            <w:noWrap/>
            <w:vAlign w:val="center"/>
            <w:hideMark/>
          </w:tcPr>
          <w:p w14:paraId="1C6BBF11"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2.39%</w:t>
            </w:r>
          </w:p>
        </w:tc>
      </w:tr>
      <w:tr w:rsidR="00FC4CAC" w:rsidRPr="00353AE1" w14:paraId="6C82176C" w14:textId="77777777" w:rsidTr="00E016A0">
        <w:trPr>
          <w:trHeight w:val="315"/>
          <w:jc w:val="center"/>
        </w:trPr>
        <w:tc>
          <w:tcPr>
            <w:tcW w:w="1772" w:type="dxa"/>
            <w:tcBorders>
              <w:top w:val="nil"/>
              <w:left w:val="nil"/>
              <w:bottom w:val="double" w:sz="6" w:space="0" w:color="auto"/>
              <w:right w:val="nil"/>
            </w:tcBorders>
            <w:noWrap/>
            <w:vAlign w:val="center"/>
            <w:hideMark/>
          </w:tcPr>
          <w:p w14:paraId="11048E13"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WA&amp;NT</w:t>
            </w:r>
          </w:p>
        </w:tc>
        <w:tc>
          <w:tcPr>
            <w:tcW w:w="1772" w:type="dxa"/>
            <w:tcBorders>
              <w:top w:val="nil"/>
              <w:left w:val="nil"/>
              <w:bottom w:val="double" w:sz="6" w:space="0" w:color="auto"/>
              <w:right w:val="nil"/>
            </w:tcBorders>
            <w:noWrap/>
            <w:vAlign w:val="center"/>
            <w:hideMark/>
          </w:tcPr>
          <w:p w14:paraId="76CB3375" w14:textId="77777777" w:rsidR="00FC4CAC" w:rsidRPr="00353AE1" w:rsidRDefault="00FC4CAC" w:rsidP="00FC4CAC">
            <w:pPr>
              <w:widowControl/>
              <w:jc w:val="center"/>
              <w:rPr>
                <w:rFonts w:eastAsia="Times New Roman"/>
                <w:color w:val="000000"/>
                <w:kern w:val="0"/>
                <w:lang w:val="en-GB"/>
              </w:rPr>
            </w:pPr>
            <w:r w:rsidRPr="00353AE1">
              <w:rPr>
                <w:rFonts w:eastAsia="Times New Roman"/>
                <w:color w:val="000000"/>
                <w:kern w:val="0"/>
                <w:lang w:val="en-GB"/>
              </w:rPr>
              <w:t>13.41%</w:t>
            </w:r>
          </w:p>
        </w:tc>
      </w:tr>
    </w:tbl>
    <w:p w14:paraId="44737961" w14:textId="77777777" w:rsidR="00BD4D4F" w:rsidRPr="00353AE1" w:rsidRDefault="00BD4D4F" w:rsidP="00AD5602">
      <w:pPr>
        <w:spacing w:after="120"/>
        <w:jc w:val="left"/>
      </w:pPr>
    </w:p>
    <w:p w14:paraId="61DD3F52" w14:textId="214CB089" w:rsidR="000249CC" w:rsidRPr="00E016A0" w:rsidRDefault="000249CC" w:rsidP="00AD5602">
      <w:pPr>
        <w:spacing w:after="120"/>
        <w:jc w:val="left"/>
        <w:rPr>
          <w:lang w:val="en-GB"/>
        </w:rPr>
      </w:pPr>
      <w:r w:rsidRPr="00353AE1">
        <w:rPr>
          <w:lang w:val="en-GB"/>
        </w:rPr>
        <w:t xml:space="preserve">Scenario 1 </w:t>
      </w:r>
      <w:r w:rsidR="00861CA0" w:rsidRPr="00353AE1">
        <w:rPr>
          <w:lang w:val="en-GB"/>
        </w:rPr>
        <w:t xml:space="preserve">thus </w:t>
      </w:r>
      <w:r w:rsidRPr="00353AE1">
        <w:rPr>
          <w:lang w:val="en-GB"/>
        </w:rPr>
        <w:t>combines a Road Freight MFP improvement with an additional public demand shock for civil engineering</w:t>
      </w:r>
      <w:r w:rsidR="007C1E84" w:rsidRPr="00353AE1">
        <w:rPr>
          <w:lang w:val="en-GB"/>
        </w:rPr>
        <w:t xml:space="preserve"> and</w:t>
      </w:r>
      <w:r w:rsidRPr="00353AE1">
        <w:rPr>
          <w:lang w:val="en-GB"/>
        </w:rPr>
        <w:t xml:space="preserve"> construction, allocated across levels of government and regions using the specified expenditure shares</w:t>
      </w:r>
      <w:r w:rsidR="00FC14A6" w:rsidRPr="00353AE1">
        <w:rPr>
          <w:lang w:val="en-GB"/>
        </w:rPr>
        <w:t xml:space="preserve"> provided by</w:t>
      </w:r>
      <w:r w:rsidR="0006442A" w:rsidRPr="00353AE1">
        <w:rPr>
          <w:lang w:val="en-GB"/>
        </w:rPr>
        <w:t xml:space="preserve"> the</w:t>
      </w:r>
      <w:r w:rsidR="00FC14A6" w:rsidRPr="00353AE1">
        <w:rPr>
          <w:lang w:val="en-GB"/>
        </w:rPr>
        <w:t xml:space="preserve"> PC</w:t>
      </w:r>
      <w:r w:rsidRPr="00353AE1">
        <w:rPr>
          <w:lang w:val="en-GB"/>
        </w:rPr>
        <w:t>.</w:t>
      </w:r>
    </w:p>
    <w:p w14:paraId="23FAAC19" w14:textId="7FC9E2F2" w:rsidR="00EF42D9" w:rsidRPr="00353AE1" w:rsidRDefault="009F496A" w:rsidP="00AD5602">
      <w:pPr>
        <w:spacing w:after="120"/>
        <w:jc w:val="left"/>
      </w:pPr>
      <w:r w:rsidRPr="00353AE1">
        <w:rPr>
          <w:rStyle w:val="Strong"/>
          <w:b w:val="0"/>
          <w:bCs w:val="0"/>
        </w:rPr>
        <w:t>Scenario 2</w:t>
      </w:r>
      <w:r w:rsidRPr="00353AE1">
        <w:t xml:space="preserve"> </w:t>
      </w:r>
      <w:r w:rsidR="007E52B8" w:rsidRPr="00353AE1">
        <w:t xml:space="preserve">models </w:t>
      </w:r>
      <w:r w:rsidRPr="00353AE1">
        <w:t xml:space="preserve">the </w:t>
      </w:r>
      <w:r w:rsidR="007E52B8" w:rsidRPr="00353AE1">
        <w:t xml:space="preserve">economic impact of </w:t>
      </w:r>
      <w:r w:rsidRPr="00353AE1">
        <w:t>establish</w:t>
      </w:r>
      <w:r w:rsidR="007E52B8" w:rsidRPr="00353AE1">
        <w:t>ing</w:t>
      </w:r>
      <w:r w:rsidRPr="00353AE1">
        <w:t xml:space="preserve"> </w:t>
      </w:r>
      <w:r w:rsidR="007E52B8" w:rsidRPr="00353AE1">
        <w:t xml:space="preserve">a </w:t>
      </w:r>
      <w:r w:rsidRPr="00353AE1">
        <w:t xml:space="preserve">National Automated Access System (NAAS), which is intended to streamline and automate road access decision-making for heavy vehicles. Consistent with the project specification, the NAAS is assumed to apply to all Australian states and territories except Western Australia and the Northern Territory. </w:t>
      </w:r>
      <w:r w:rsidR="006A4119" w:rsidRPr="00353AE1">
        <w:t>Hereafter</w:t>
      </w:r>
      <w:r w:rsidR="00D0721D" w:rsidRPr="00353AE1">
        <w:t xml:space="preserve">, we refer </w:t>
      </w:r>
      <w:r w:rsidR="00496650" w:rsidRPr="00353AE1">
        <w:t xml:space="preserve">to </w:t>
      </w:r>
      <w:r w:rsidR="00D0721D" w:rsidRPr="00353AE1">
        <w:t>NSW</w:t>
      </w:r>
      <w:r w:rsidR="006A6B00" w:rsidRPr="00353AE1">
        <w:t xml:space="preserve">&amp;ACT, </w:t>
      </w:r>
      <w:r w:rsidR="00D0721D" w:rsidRPr="00353AE1">
        <w:t>VIC, QLD, SA</w:t>
      </w:r>
      <w:r w:rsidR="006A6B00" w:rsidRPr="00353AE1">
        <w:t xml:space="preserve"> and</w:t>
      </w:r>
      <w:r w:rsidR="00D0721D" w:rsidRPr="00353AE1">
        <w:t xml:space="preserve"> TAS as</w:t>
      </w:r>
      <w:r w:rsidR="0093534D" w:rsidRPr="00353AE1">
        <w:t xml:space="preserve"> the</w:t>
      </w:r>
      <w:r w:rsidR="00D0721D" w:rsidRPr="00353AE1">
        <w:t xml:space="preserve"> “NAAS states”.</w:t>
      </w:r>
      <w:r w:rsidRPr="00353AE1">
        <w:t xml:space="preserve"> </w:t>
      </w:r>
    </w:p>
    <w:p w14:paraId="3AA89E5C" w14:textId="54E6EF6F" w:rsidR="00DF7946" w:rsidRPr="00353AE1" w:rsidRDefault="009F496A" w:rsidP="00AD5602">
      <w:pPr>
        <w:spacing w:after="120"/>
        <w:jc w:val="left"/>
      </w:pPr>
      <w:r w:rsidRPr="00353AE1">
        <w:t xml:space="preserve">In this scenario, we impose an MFP improvement in the </w:t>
      </w:r>
      <w:r w:rsidR="00104099" w:rsidRPr="00353AE1">
        <w:t>Road Freight</w:t>
      </w:r>
      <w:r w:rsidRPr="00353AE1">
        <w:t xml:space="preserve"> sector in the NAAS states only. </w:t>
      </w:r>
      <w:r w:rsidR="000C4F1E" w:rsidRPr="00353AE1">
        <w:t>T</w:t>
      </w:r>
      <w:r w:rsidR="006F34EE" w:rsidRPr="00353AE1">
        <w:t>he productivity benefit of establishing a NAAS is implemented as a Road Freight MFP shock, reflecting the expected impact of NAAS in reducing the overall resource cost</w:t>
      </w:r>
      <w:r w:rsidR="004F7F82" w:rsidRPr="00353AE1">
        <w:t xml:space="preserve"> per unit of output</w:t>
      </w:r>
      <w:r w:rsidR="006F34EE" w:rsidRPr="00353AE1">
        <w:t xml:space="preserve"> </w:t>
      </w:r>
      <w:r w:rsidR="004F7F82" w:rsidRPr="00353AE1">
        <w:t xml:space="preserve">of </w:t>
      </w:r>
      <w:r w:rsidR="006F34EE" w:rsidRPr="00353AE1">
        <w:t>Road Freight services through more efficient road access decision-making</w:t>
      </w:r>
      <w:r w:rsidR="00861CA0" w:rsidRPr="00353AE1">
        <w:t>; once again, this approach is</w:t>
      </w:r>
      <w:r w:rsidR="006F34EE" w:rsidRPr="00353AE1">
        <w:t xml:space="preserve"> </w:t>
      </w:r>
      <w:r w:rsidR="00ED62A5" w:rsidRPr="00353AE1">
        <w:t>consistent with</w:t>
      </w:r>
      <w:r w:rsidR="006F34EE" w:rsidRPr="00353AE1">
        <w:t xml:space="preserve"> BITRE (forthcoming).</w:t>
      </w:r>
      <w:r w:rsidR="00E41CB8" w:rsidRPr="00353AE1">
        <w:t xml:space="preserve"> </w:t>
      </w:r>
      <w:r w:rsidRPr="00353AE1">
        <w:t xml:space="preserve">The size of the state-level productivity shock is calibrated so that </w:t>
      </w:r>
      <w:r w:rsidR="002F637B" w:rsidRPr="00353AE1">
        <w:t xml:space="preserve">it </w:t>
      </w:r>
      <w:r w:rsidR="00DC0E64" w:rsidRPr="00353AE1">
        <w:t>matches the Australia-wide Road Freight productivity impacts provided by the PC</w:t>
      </w:r>
      <w:r w:rsidR="00C14CC8" w:rsidRPr="00353AE1">
        <w:t xml:space="preserve"> based on BITRE (</w:t>
      </w:r>
      <w:r w:rsidR="007D7663" w:rsidRPr="00353AE1">
        <w:t>forthcoming</w:t>
      </w:r>
      <w:r w:rsidR="00C14CC8" w:rsidRPr="00353AE1">
        <w:t>)</w:t>
      </w:r>
      <w:r w:rsidR="002F637B" w:rsidRPr="00353AE1">
        <w:t>.</w:t>
      </w:r>
    </w:p>
    <w:p w14:paraId="7C6D4F97" w14:textId="3A7C627F" w:rsidR="00EE75BB" w:rsidRPr="00353AE1" w:rsidRDefault="005B605C" w:rsidP="00AD5602">
      <w:pPr>
        <w:spacing w:after="120"/>
        <w:jc w:val="left"/>
      </w:pPr>
      <w:r w:rsidRPr="00353AE1">
        <w:t xml:space="preserve">The specific shocks applied in each simulation are summarised in Table </w:t>
      </w:r>
      <w:r w:rsidR="00E31E26" w:rsidRPr="00353AE1">
        <w:t>4</w:t>
      </w:r>
      <w:r w:rsidRPr="00353AE1">
        <w:t>.</w:t>
      </w:r>
      <w:r w:rsidR="00DD5F06" w:rsidRPr="00353AE1">
        <w:t xml:space="preserve"> In the </w:t>
      </w:r>
      <w:r w:rsidR="00FA671D" w:rsidRPr="00353AE1">
        <w:t>sections 4 and 5 herein</w:t>
      </w:r>
      <w:r w:rsidR="00DD5F06" w:rsidRPr="00353AE1">
        <w:t>,</w:t>
      </w:r>
      <w:r w:rsidR="00AB02D7" w:rsidRPr="00353AE1">
        <w:t xml:space="preserve"> we discuss the economic impacts of each reform. Our discussion is focused on the </w:t>
      </w:r>
      <w:r w:rsidR="00152525" w:rsidRPr="00353AE1">
        <w:t xml:space="preserve">core </w:t>
      </w:r>
      <w:r w:rsidR="00AB02D7" w:rsidRPr="00353AE1">
        <w:t>simulation for each scenario.</w:t>
      </w:r>
      <w:r w:rsidR="00DD5F06" w:rsidRPr="00353AE1">
        <w:t xml:space="preserve"> </w:t>
      </w:r>
      <w:r w:rsidR="00AB02D7" w:rsidRPr="00353AE1">
        <w:t xml:space="preserve">Section </w:t>
      </w:r>
      <w:r w:rsidR="00F96D6D" w:rsidRPr="00353AE1">
        <w:t>4</w:t>
      </w:r>
      <w:r w:rsidR="00AB02D7" w:rsidRPr="00353AE1">
        <w:t xml:space="preserve"> focuses on </w:t>
      </w:r>
      <w:r w:rsidR="00152525" w:rsidRPr="00353AE1">
        <w:t xml:space="preserve">Scenario </w:t>
      </w:r>
      <w:r w:rsidR="00DD5F06" w:rsidRPr="00353AE1">
        <w:t xml:space="preserve">1 </w:t>
      </w:r>
      <w:r w:rsidR="00F96D6D" w:rsidRPr="00353AE1">
        <w:t xml:space="preserve">(specifically, </w:t>
      </w:r>
      <w:r w:rsidR="009A1359" w:rsidRPr="00353AE1">
        <w:t xml:space="preserve">Simulation </w:t>
      </w:r>
      <w:r w:rsidR="00DD5F06" w:rsidRPr="00353AE1">
        <w:t>S1A</w:t>
      </w:r>
      <w:r w:rsidR="00F96D6D" w:rsidRPr="00353AE1">
        <w:t>)</w:t>
      </w:r>
      <w:r w:rsidR="00DD5F06" w:rsidRPr="00353AE1">
        <w:t xml:space="preserve">, while </w:t>
      </w:r>
      <w:r w:rsidR="009A1359" w:rsidRPr="00353AE1">
        <w:t xml:space="preserve">Section </w:t>
      </w:r>
      <w:r w:rsidR="00F96D6D" w:rsidRPr="00353AE1">
        <w:t xml:space="preserve">5 focuses on </w:t>
      </w:r>
      <w:r w:rsidR="009A1359" w:rsidRPr="00353AE1">
        <w:t xml:space="preserve">Scenario </w:t>
      </w:r>
      <w:r w:rsidR="00DD5F06" w:rsidRPr="00353AE1">
        <w:t xml:space="preserve">2 </w:t>
      </w:r>
      <w:r w:rsidR="00F96D6D" w:rsidRPr="00353AE1">
        <w:t>(</w:t>
      </w:r>
      <w:r w:rsidR="009A1359" w:rsidRPr="00353AE1">
        <w:t xml:space="preserve">Simulation </w:t>
      </w:r>
      <w:r w:rsidR="00DD5F06" w:rsidRPr="00353AE1">
        <w:t>S2A</w:t>
      </w:r>
      <w:r w:rsidR="00F96D6D" w:rsidRPr="00353AE1">
        <w:t>)</w:t>
      </w:r>
      <w:r w:rsidR="00DD5F06" w:rsidRPr="00353AE1">
        <w:t>.</w:t>
      </w:r>
      <w:r w:rsidR="00F334F4" w:rsidRPr="00353AE1">
        <w:t xml:space="preserve"> </w:t>
      </w:r>
      <w:r w:rsidR="00FD4205" w:rsidRPr="00353AE1">
        <w:t xml:space="preserve">While the </w:t>
      </w:r>
      <w:r w:rsidR="00FD4205" w:rsidRPr="00353AE1">
        <w:lastRenderedPageBreak/>
        <w:t xml:space="preserve">discussion </w:t>
      </w:r>
      <w:r w:rsidR="00566FEA" w:rsidRPr="00353AE1">
        <w:t xml:space="preserve">only </w:t>
      </w:r>
      <w:r w:rsidR="00073EB6" w:rsidRPr="00353AE1">
        <w:t>focuses</w:t>
      </w:r>
      <w:r w:rsidR="008C5491" w:rsidRPr="00353AE1">
        <w:t xml:space="preserve"> on</w:t>
      </w:r>
      <w:r w:rsidR="00FD4205" w:rsidRPr="00353AE1">
        <w:t xml:space="preserve"> the core simulations, key tables</w:t>
      </w:r>
      <w:r w:rsidR="00486273" w:rsidRPr="00353AE1">
        <w:t xml:space="preserve"> and figures</w:t>
      </w:r>
      <w:r w:rsidR="00FD4205" w:rsidRPr="00353AE1">
        <w:t xml:space="preserve"> also report results for the alternative simulations for comparison.</w:t>
      </w:r>
    </w:p>
    <w:p w14:paraId="3933D249" w14:textId="77777777" w:rsidR="000E6850" w:rsidRPr="00353AE1" w:rsidRDefault="000E6850" w:rsidP="000E6850">
      <w:pPr>
        <w:spacing w:after="120"/>
        <w:jc w:val="left"/>
      </w:pPr>
      <w:r w:rsidRPr="00353AE1">
        <w:t>The policy shocks are imposed in financial year (FY) 2026, and the counterfactual simulations run to FY 2040, covering a 15-year time horizon.</w:t>
      </w:r>
    </w:p>
    <w:p w14:paraId="26387199" w14:textId="5CD45AF0" w:rsidR="00646904" w:rsidRPr="00353AE1" w:rsidRDefault="00646904">
      <w:pPr>
        <w:widowControl/>
        <w:jc w:val="left"/>
      </w:pPr>
    </w:p>
    <w:p w14:paraId="3DED990E" w14:textId="50DB6E90" w:rsidR="00BB2296" w:rsidRPr="00353AE1" w:rsidRDefault="00BB2296" w:rsidP="009A1359">
      <w:pPr>
        <w:pStyle w:val="Caption"/>
        <w:keepNext/>
        <w:spacing w:after="120"/>
        <w:jc w:val="center"/>
        <w:rPr>
          <w:sz w:val="24"/>
          <w:szCs w:val="24"/>
        </w:rPr>
      </w:pPr>
      <w:bookmarkStart w:id="22" w:name="_Toc230696726"/>
      <w:bookmarkStart w:id="23" w:name="_Toc230710344"/>
      <w:bookmarkStart w:id="24" w:name="_Toc230710390"/>
      <w:bookmarkStart w:id="25" w:name="_Toc230711113"/>
      <w:bookmarkStart w:id="26" w:name="_Toc231907808"/>
      <w:r w:rsidRPr="00353AE1">
        <w:rPr>
          <w:sz w:val="24"/>
          <w:szCs w:val="24"/>
        </w:rPr>
        <w:t xml:space="preserve">Table </w:t>
      </w:r>
      <w:r w:rsidR="00DF6059" w:rsidRPr="00353AE1">
        <w:rPr>
          <w:sz w:val="24"/>
          <w:szCs w:val="24"/>
        </w:rPr>
        <w:fldChar w:fldCharType="begin"/>
      </w:r>
      <w:r w:rsidR="00DF6059" w:rsidRPr="00353AE1">
        <w:rPr>
          <w:sz w:val="24"/>
          <w:szCs w:val="24"/>
        </w:rPr>
        <w:instrText xml:space="preserve"> SEQ Table \* ARABIC </w:instrText>
      </w:r>
      <w:r w:rsidR="00DF6059" w:rsidRPr="00353AE1">
        <w:rPr>
          <w:sz w:val="24"/>
          <w:szCs w:val="24"/>
        </w:rPr>
        <w:fldChar w:fldCharType="separate"/>
      </w:r>
      <w:r w:rsidR="00DF6059" w:rsidRPr="00353AE1">
        <w:rPr>
          <w:noProof/>
          <w:sz w:val="24"/>
          <w:szCs w:val="24"/>
        </w:rPr>
        <w:t>4</w:t>
      </w:r>
      <w:r w:rsidR="00DF6059" w:rsidRPr="00353AE1">
        <w:rPr>
          <w:sz w:val="24"/>
          <w:szCs w:val="24"/>
        </w:rPr>
        <w:fldChar w:fldCharType="end"/>
      </w:r>
      <w:r w:rsidR="00A51461" w:rsidRPr="00353AE1">
        <w:rPr>
          <w:sz w:val="24"/>
          <w:szCs w:val="24"/>
        </w:rPr>
        <w:t>.</w:t>
      </w:r>
      <w:r w:rsidRPr="00353AE1">
        <w:rPr>
          <w:sz w:val="24"/>
          <w:szCs w:val="24"/>
        </w:rPr>
        <w:t xml:space="preserve"> </w:t>
      </w:r>
      <w:r w:rsidR="00A54C34" w:rsidRPr="00353AE1">
        <w:rPr>
          <w:sz w:val="24"/>
          <w:szCs w:val="24"/>
        </w:rPr>
        <w:t xml:space="preserve">Policy </w:t>
      </w:r>
      <w:r w:rsidR="00535C7D" w:rsidRPr="00353AE1">
        <w:rPr>
          <w:sz w:val="24"/>
          <w:szCs w:val="24"/>
        </w:rPr>
        <w:t>S</w:t>
      </w:r>
      <w:r w:rsidR="00A54C34" w:rsidRPr="00353AE1">
        <w:rPr>
          <w:sz w:val="24"/>
          <w:szCs w:val="24"/>
        </w:rPr>
        <w:t xml:space="preserve">hocks by </w:t>
      </w:r>
      <w:r w:rsidR="00535C7D" w:rsidRPr="00353AE1">
        <w:rPr>
          <w:sz w:val="24"/>
          <w:szCs w:val="24"/>
        </w:rPr>
        <w:t>S</w:t>
      </w:r>
      <w:r w:rsidR="00A54C34" w:rsidRPr="00353AE1">
        <w:rPr>
          <w:sz w:val="24"/>
          <w:szCs w:val="24"/>
        </w:rPr>
        <w:t>imulation</w:t>
      </w:r>
      <w:bookmarkEnd w:id="22"/>
      <w:bookmarkEnd w:id="23"/>
      <w:bookmarkEnd w:id="24"/>
      <w:bookmarkEnd w:id="25"/>
      <w:bookmarkEnd w:id="26"/>
    </w:p>
    <w:tbl>
      <w:tblPr>
        <w:tblW w:w="5000" w:type="pct"/>
        <w:jc w:val="center"/>
        <w:tblLook w:val="04A0" w:firstRow="1" w:lastRow="0" w:firstColumn="1" w:lastColumn="0" w:noHBand="0" w:noVBand="1"/>
      </w:tblPr>
      <w:tblGrid>
        <w:gridCol w:w="4528"/>
        <w:gridCol w:w="1604"/>
        <w:gridCol w:w="2174"/>
      </w:tblGrid>
      <w:tr w:rsidR="0013232D" w:rsidRPr="00353AE1" w14:paraId="4A7260F6" w14:textId="77777777" w:rsidTr="00E016A0">
        <w:trPr>
          <w:trHeight w:val="20"/>
          <w:jc w:val="center"/>
        </w:trPr>
        <w:tc>
          <w:tcPr>
            <w:tcW w:w="2726" w:type="pct"/>
            <w:tcBorders>
              <w:top w:val="single" w:sz="4" w:space="0" w:color="auto"/>
              <w:left w:val="nil"/>
              <w:bottom w:val="nil"/>
              <w:right w:val="nil"/>
            </w:tcBorders>
            <w:noWrap/>
            <w:vAlign w:val="center"/>
            <w:hideMark/>
          </w:tcPr>
          <w:p w14:paraId="0F65CBE0" w14:textId="71F8E001" w:rsidR="0013232D" w:rsidRPr="00353AE1" w:rsidRDefault="0013232D" w:rsidP="00814F60">
            <w:pPr>
              <w:widowControl/>
              <w:jc w:val="left"/>
              <w:rPr>
                <w:rFonts w:eastAsia="Times New Roman"/>
                <w:b/>
                <w:bCs/>
                <w:kern w:val="0"/>
                <w:lang w:val="en-GB"/>
              </w:rPr>
            </w:pPr>
            <w:r w:rsidRPr="00353AE1">
              <w:rPr>
                <w:rFonts w:eastAsia="Times New Roman"/>
                <w:b/>
                <w:bCs/>
                <w:kern w:val="0"/>
                <w:lang w:val="en-GB"/>
              </w:rPr>
              <w:t xml:space="preserve">Scenario 1: </w:t>
            </w:r>
            <w:r w:rsidR="00B01ECF" w:rsidRPr="00353AE1">
              <w:rPr>
                <w:rFonts w:eastAsia="Times New Roman"/>
                <w:b/>
                <w:bCs/>
                <w:kern w:val="0"/>
                <w:lang w:val="en-GB"/>
              </w:rPr>
              <w:t>I</w:t>
            </w:r>
            <w:r w:rsidRPr="00353AE1">
              <w:rPr>
                <w:rFonts w:eastAsia="Times New Roman"/>
                <w:b/>
                <w:bCs/>
                <w:kern w:val="0"/>
                <w:lang w:val="en-GB"/>
              </w:rPr>
              <w:t xml:space="preserve">ncreasing </w:t>
            </w:r>
            <w:r w:rsidR="0073706C" w:rsidRPr="00353AE1">
              <w:rPr>
                <w:rFonts w:eastAsia="Times New Roman"/>
                <w:b/>
                <w:bCs/>
                <w:kern w:val="0"/>
                <w:lang w:val="en-GB"/>
              </w:rPr>
              <w:t xml:space="preserve">heavy vehicle </w:t>
            </w:r>
            <w:r w:rsidRPr="00353AE1">
              <w:rPr>
                <w:rFonts w:eastAsia="Times New Roman"/>
                <w:b/>
                <w:bCs/>
                <w:kern w:val="0"/>
                <w:lang w:val="en-GB"/>
              </w:rPr>
              <w:t>road access</w:t>
            </w:r>
          </w:p>
        </w:tc>
        <w:tc>
          <w:tcPr>
            <w:tcW w:w="966" w:type="pct"/>
            <w:tcBorders>
              <w:top w:val="single" w:sz="4" w:space="0" w:color="auto"/>
              <w:left w:val="nil"/>
              <w:bottom w:val="nil"/>
              <w:right w:val="nil"/>
            </w:tcBorders>
            <w:noWrap/>
            <w:vAlign w:val="center"/>
            <w:hideMark/>
          </w:tcPr>
          <w:p w14:paraId="4F4B0546" w14:textId="77777777" w:rsidR="0013232D" w:rsidRPr="00353AE1" w:rsidRDefault="0013232D" w:rsidP="00814F60">
            <w:pPr>
              <w:widowControl/>
              <w:jc w:val="center"/>
              <w:rPr>
                <w:rFonts w:eastAsia="Times New Roman"/>
                <w:i/>
                <w:iCs/>
                <w:kern w:val="0"/>
                <w:lang w:val="en-GB"/>
              </w:rPr>
            </w:pPr>
            <w:r w:rsidRPr="00353AE1">
              <w:rPr>
                <w:rFonts w:eastAsia="Times New Roman"/>
                <w:i/>
                <w:iCs/>
                <w:kern w:val="0"/>
                <w:lang w:val="en-GB"/>
              </w:rPr>
              <w:t>Core Simulation</w:t>
            </w:r>
          </w:p>
        </w:tc>
        <w:tc>
          <w:tcPr>
            <w:tcW w:w="1309" w:type="pct"/>
            <w:tcBorders>
              <w:top w:val="single" w:sz="4" w:space="0" w:color="auto"/>
              <w:left w:val="nil"/>
              <w:bottom w:val="nil"/>
              <w:right w:val="nil"/>
            </w:tcBorders>
            <w:noWrap/>
            <w:vAlign w:val="center"/>
            <w:hideMark/>
          </w:tcPr>
          <w:p w14:paraId="0C16316A" w14:textId="77777777" w:rsidR="0013232D" w:rsidRPr="00353AE1" w:rsidRDefault="0013232D" w:rsidP="00814F60">
            <w:pPr>
              <w:widowControl/>
              <w:jc w:val="center"/>
              <w:rPr>
                <w:rFonts w:eastAsia="Times New Roman"/>
                <w:i/>
                <w:iCs/>
                <w:kern w:val="0"/>
                <w:lang w:val="en-GB"/>
              </w:rPr>
            </w:pPr>
            <w:r w:rsidRPr="00353AE1">
              <w:rPr>
                <w:rFonts w:eastAsia="Times New Roman"/>
                <w:i/>
                <w:iCs/>
                <w:kern w:val="0"/>
                <w:lang w:val="en-GB"/>
              </w:rPr>
              <w:t>Alternative Simulation</w:t>
            </w:r>
          </w:p>
        </w:tc>
      </w:tr>
      <w:tr w:rsidR="0013232D" w:rsidRPr="00353AE1" w14:paraId="3813CB78" w14:textId="77777777" w:rsidTr="00E016A0">
        <w:trPr>
          <w:trHeight w:val="20"/>
          <w:jc w:val="center"/>
        </w:trPr>
        <w:tc>
          <w:tcPr>
            <w:tcW w:w="2726" w:type="pct"/>
            <w:tcBorders>
              <w:top w:val="nil"/>
              <w:left w:val="nil"/>
              <w:bottom w:val="nil"/>
              <w:right w:val="nil"/>
            </w:tcBorders>
            <w:noWrap/>
            <w:vAlign w:val="bottom"/>
            <w:hideMark/>
          </w:tcPr>
          <w:p w14:paraId="20FE92B6" w14:textId="77777777" w:rsidR="0013232D" w:rsidRPr="00353AE1" w:rsidRDefault="0013232D" w:rsidP="00814F60">
            <w:pPr>
              <w:widowControl/>
              <w:jc w:val="center"/>
              <w:rPr>
                <w:rFonts w:eastAsia="Times New Roman"/>
                <w:kern w:val="0"/>
                <w:lang w:val="en-GB"/>
              </w:rPr>
            </w:pPr>
          </w:p>
        </w:tc>
        <w:tc>
          <w:tcPr>
            <w:tcW w:w="966" w:type="pct"/>
            <w:tcBorders>
              <w:top w:val="nil"/>
              <w:left w:val="nil"/>
              <w:bottom w:val="nil"/>
              <w:right w:val="nil"/>
            </w:tcBorders>
            <w:noWrap/>
            <w:vAlign w:val="center"/>
            <w:hideMark/>
          </w:tcPr>
          <w:p w14:paraId="614F25AF"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S1A</w:t>
            </w:r>
          </w:p>
        </w:tc>
        <w:tc>
          <w:tcPr>
            <w:tcW w:w="1309" w:type="pct"/>
            <w:tcBorders>
              <w:top w:val="nil"/>
              <w:left w:val="nil"/>
              <w:bottom w:val="nil"/>
              <w:right w:val="nil"/>
            </w:tcBorders>
            <w:noWrap/>
            <w:vAlign w:val="center"/>
            <w:hideMark/>
          </w:tcPr>
          <w:p w14:paraId="3465950C"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S1B</w:t>
            </w:r>
          </w:p>
        </w:tc>
      </w:tr>
      <w:tr w:rsidR="0013232D" w:rsidRPr="00353AE1" w14:paraId="1F4F685F" w14:textId="77777777" w:rsidTr="00E016A0">
        <w:trPr>
          <w:trHeight w:val="20"/>
          <w:jc w:val="center"/>
        </w:trPr>
        <w:tc>
          <w:tcPr>
            <w:tcW w:w="2726" w:type="pct"/>
            <w:tcBorders>
              <w:top w:val="nil"/>
              <w:left w:val="nil"/>
              <w:bottom w:val="nil"/>
              <w:right w:val="nil"/>
            </w:tcBorders>
            <w:noWrap/>
            <w:vAlign w:val="center"/>
            <w:hideMark/>
          </w:tcPr>
          <w:p w14:paraId="6A7199D3" w14:textId="521CAF7A" w:rsidR="0013232D" w:rsidRPr="00353AE1" w:rsidRDefault="00611D93" w:rsidP="00814F60">
            <w:pPr>
              <w:widowControl/>
              <w:jc w:val="left"/>
              <w:rPr>
                <w:rFonts w:eastAsia="Times New Roman"/>
                <w:kern w:val="0"/>
                <w:lang w:val="en-GB"/>
              </w:rPr>
            </w:pPr>
            <w:r w:rsidRPr="00353AE1">
              <w:rPr>
                <w:rFonts w:eastAsia="Times New Roman"/>
                <w:kern w:val="0"/>
                <w:lang w:val="en-GB"/>
              </w:rPr>
              <w:t xml:space="preserve">Road freight </w:t>
            </w:r>
            <w:r w:rsidR="0013232D" w:rsidRPr="00353AE1">
              <w:rPr>
                <w:rFonts w:eastAsia="Times New Roman"/>
                <w:kern w:val="0"/>
                <w:lang w:val="en-GB"/>
              </w:rPr>
              <w:t>MFP improvement</w:t>
            </w:r>
          </w:p>
        </w:tc>
        <w:tc>
          <w:tcPr>
            <w:tcW w:w="966" w:type="pct"/>
            <w:tcBorders>
              <w:top w:val="single" w:sz="4" w:space="0" w:color="auto"/>
              <w:left w:val="nil"/>
              <w:bottom w:val="nil"/>
              <w:right w:val="nil"/>
            </w:tcBorders>
            <w:vAlign w:val="center"/>
            <w:hideMark/>
          </w:tcPr>
          <w:p w14:paraId="23272EB0"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3.2%</w:t>
            </w:r>
            <w:r w:rsidRPr="00353AE1">
              <w:rPr>
                <w:rFonts w:eastAsia="Times New Roman"/>
                <w:kern w:val="0"/>
                <w:lang w:val="en-GB"/>
              </w:rPr>
              <w:br/>
              <w:t>Australia-wide</w:t>
            </w:r>
          </w:p>
        </w:tc>
        <w:tc>
          <w:tcPr>
            <w:tcW w:w="1309" w:type="pct"/>
            <w:tcBorders>
              <w:top w:val="single" w:sz="4" w:space="0" w:color="auto"/>
              <w:left w:val="nil"/>
              <w:bottom w:val="nil"/>
              <w:right w:val="nil"/>
            </w:tcBorders>
            <w:vAlign w:val="center"/>
            <w:hideMark/>
          </w:tcPr>
          <w:p w14:paraId="3136D328"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1%</w:t>
            </w:r>
            <w:r w:rsidRPr="00353AE1">
              <w:rPr>
                <w:rFonts w:eastAsia="Times New Roman"/>
                <w:kern w:val="0"/>
                <w:lang w:val="en-GB"/>
              </w:rPr>
              <w:br/>
              <w:t>Australia-wide</w:t>
            </w:r>
          </w:p>
        </w:tc>
      </w:tr>
      <w:tr w:rsidR="0013232D" w:rsidRPr="00353AE1" w14:paraId="3CF83DFA" w14:textId="77777777" w:rsidTr="00E016A0">
        <w:trPr>
          <w:trHeight w:val="20"/>
          <w:jc w:val="center"/>
        </w:trPr>
        <w:tc>
          <w:tcPr>
            <w:tcW w:w="2726" w:type="pct"/>
            <w:tcBorders>
              <w:top w:val="nil"/>
              <w:left w:val="nil"/>
              <w:bottom w:val="nil"/>
              <w:right w:val="nil"/>
            </w:tcBorders>
            <w:noWrap/>
            <w:vAlign w:val="center"/>
            <w:hideMark/>
          </w:tcPr>
          <w:p w14:paraId="4463B8E3" w14:textId="77777777" w:rsidR="0013232D" w:rsidRPr="00353AE1" w:rsidRDefault="0013232D" w:rsidP="00814F60">
            <w:pPr>
              <w:widowControl/>
              <w:jc w:val="center"/>
              <w:rPr>
                <w:rFonts w:eastAsia="Times New Roman"/>
                <w:kern w:val="0"/>
                <w:lang w:val="en-GB"/>
              </w:rPr>
            </w:pPr>
          </w:p>
        </w:tc>
        <w:tc>
          <w:tcPr>
            <w:tcW w:w="966" w:type="pct"/>
            <w:tcBorders>
              <w:top w:val="nil"/>
              <w:left w:val="nil"/>
              <w:bottom w:val="nil"/>
              <w:right w:val="nil"/>
            </w:tcBorders>
            <w:vAlign w:val="center"/>
            <w:hideMark/>
          </w:tcPr>
          <w:p w14:paraId="40B8B508" w14:textId="77777777" w:rsidR="0013232D" w:rsidRPr="00353AE1" w:rsidRDefault="0013232D" w:rsidP="00814F60">
            <w:pPr>
              <w:widowControl/>
              <w:jc w:val="left"/>
              <w:rPr>
                <w:rFonts w:eastAsia="Times New Roman"/>
                <w:kern w:val="0"/>
                <w:lang w:val="en-GB"/>
              </w:rPr>
            </w:pPr>
          </w:p>
        </w:tc>
        <w:tc>
          <w:tcPr>
            <w:tcW w:w="1309" w:type="pct"/>
            <w:tcBorders>
              <w:top w:val="nil"/>
              <w:left w:val="nil"/>
              <w:bottom w:val="nil"/>
              <w:right w:val="nil"/>
            </w:tcBorders>
            <w:vAlign w:val="center"/>
            <w:hideMark/>
          </w:tcPr>
          <w:p w14:paraId="0905C236" w14:textId="77777777" w:rsidR="0013232D" w:rsidRPr="00353AE1" w:rsidRDefault="0013232D" w:rsidP="00814F60">
            <w:pPr>
              <w:widowControl/>
              <w:jc w:val="center"/>
              <w:rPr>
                <w:rFonts w:eastAsia="Times New Roman"/>
                <w:kern w:val="0"/>
                <w:lang w:val="en-GB"/>
              </w:rPr>
            </w:pPr>
          </w:p>
        </w:tc>
      </w:tr>
      <w:tr w:rsidR="00257D94" w:rsidRPr="00353AE1" w14:paraId="20B6ECB2" w14:textId="77777777" w:rsidTr="00257D94">
        <w:trPr>
          <w:trHeight w:val="20"/>
          <w:jc w:val="center"/>
        </w:trPr>
        <w:tc>
          <w:tcPr>
            <w:tcW w:w="2726" w:type="pct"/>
            <w:tcBorders>
              <w:top w:val="nil"/>
              <w:left w:val="nil"/>
              <w:bottom w:val="nil"/>
              <w:right w:val="nil"/>
            </w:tcBorders>
            <w:noWrap/>
            <w:vAlign w:val="bottom"/>
          </w:tcPr>
          <w:p w14:paraId="6AD9985F" w14:textId="77777777" w:rsidR="00257D94" w:rsidRPr="00353AE1" w:rsidRDefault="00257D94" w:rsidP="00814F60">
            <w:pPr>
              <w:widowControl/>
              <w:jc w:val="left"/>
              <w:rPr>
                <w:rFonts w:eastAsia="Times New Roman"/>
                <w:kern w:val="0"/>
                <w:lang w:val="en-GB"/>
              </w:rPr>
            </w:pPr>
          </w:p>
        </w:tc>
        <w:tc>
          <w:tcPr>
            <w:tcW w:w="966" w:type="pct"/>
            <w:tcBorders>
              <w:top w:val="nil"/>
              <w:left w:val="nil"/>
              <w:bottom w:val="nil"/>
              <w:right w:val="nil"/>
            </w:tcBorders>
            <w:noWrap/>
            <w:vAlign w:val="center"/>
          </w:tcPr>
          <w:p w14:paraId="38B755B2" w14:textId="77777777" w:rsidR="00257D94" w:rsidRPr="00353AE1" w:rsidRDefault="00257D94" w:rsidP="00814F60">
            <w:pPr>
              <w:widowControl/>
              <w:jc w:val="center"/>
              <w:rPr>
                <w:rFonts w:eastAsia="Times New Roman"/>
                <w:kern w:val="0"/>
                <w:lang w:val="en-GB"/>
              </w:rPr>
            </w:pPr>
          </w:p>
        </w:tc>
        <w:tc>
          <w:tcPr>
            <w:tcW w:w="1309" w:type="pct"/>
            <w:tcBorders>
              <w:top w:val="nil"/>
              <w:left w:val="nil"/>
              <w:bottom w:val="nil"/>
              <w:right w:val="nil"/>
            </w:tcBorders>
            <w:noWrap/>
            <w:vAlign w:val="center"/>
          </w:tcPr>
          <w:p w14:paraId="6C5F57C4" w14:textId="77777777" w:rsidR="00257D94" w:rsidRPr="00353AE1" w:rsidRDefault="00257D94" w:rsidP="00814F60">
            <w:pPr>
              <w:widowControl/>
              <w:jc w:val="center"/>
              <w:rPr>
                <w:rFonts w:eastAsia="Times New Roman"/>
                <w:kern w:val="0"/>
                <w:lang w:val="en-GB"/>
              </w:rPr>
            </w:pPr>
          </w:p>
        </w:tc>
      </w:tr>
      <w:tr w:rsidR="0013232D" w:rsidRPr="00353AE1" w14:paraId="4421733D" w14:textId="77777777" w:rsidTr="00E016A0">
        <w:trPr>
          <w:trHeight w:val="20"/>
          <w:jc w:val="center"/>
        </w:trPr>
        <w:tc>
          <w:tcPr>
            <w:tcW w:w="2726" w:type="pct"/>
            <w:tcBorders>
              <w:top w:val="nil"/>
              <w:left w:val="nil"/>
              <w:bottom w:val="nil"/>
              <w:right w:val="nil"/>
            </w:tcBorders>
            <w:noWrap/>
            <w:vAlign w:val="bottom"/>
            <w:hideMark/>
          </w:tcPr>
          <w:p w14:paraId="1A6E67AE" w14:textId="1A651E19" w:rsidR="0013232D" w:rsidRPr="00353AE1" w:rsidRDefault="00E43B53" w:rsidP="00814F60">
            <w:pPr>
              <w:widowControl/>
              <w:jc w:val="left"/>
              <w:rPr>
                <w:rFonts w:eastAsia="Times New Roman"/>
                <w:kern w:val="0"/>
                <w:lang w:val="en-GB"/>
              </w:rPr>
            </w:pPr>
            <w:r w:rsidRPr="00353AE1">
              <w:rPr>
                <w:rFonts w:eastAsia="Times New Roman"/>
                <w:kern w:val="0"/>
                <w:lang w:val="en-GB"/>
              </w:rPr>
              <w:t xml:space="preserve">Additional </w:t>
            </w:r>
            <w:r w:rsidR="006532E9" w:rsidRPr="00353AE1">
              <w:t>road wear expenditure</w:t>
            </w:r>
          </w:p>
        </w:tc>
        <w:tc>
          <w:tcPr>
            <w:tcW w:w="966" w:type="pct"/>
            <w:tcBorders>
              <w:top w:val="nil"/>
              <w:left w:val="nil"/>
              <w:bottom w:val="nil"/>
              <w:right w:val="nil"/>
            </w:tcBorders>
            <w:noWrap/>
            <w:vAlign w:val="center"/>
            <w:hideMark/>
          </w:tcPr>
          <w:p w14:paraId="188C391B" w14:textId="78133959" w:rsidR="0013232D" w:rsidRPr="00353AE1" w:rsidRDefault="0013232D" w:rsidP="00814F60">
            <w:pPr>
              <w:widowControl/>
              <w:jc w:val="center"/>
              <w:rPr>
                <w:rFonts w:eastAsia="Times New Roman"/>
                <w:kern w:val="0"/>
                <w:lang w:val="en-GB"/>
              </w:rPr>
            </w:pPr>
            <w:r w:rsidRPr="00353AE1">
              <w:rPr>
                <w:rFonts w:eastAsia="Times New Roman"/>
                <w:kern w:val="0"/>
                <w:lang w:val="en-GB"/>
              </w:rPr>
              <w:t>$1</w:t>
            </w:r>
            <w:r w:rsidR="00BC3A8D" w:rsidRPr="00353AE1">
              <w:rPr>
                <w:kern w:val="0"/>
                <w:lang w:val="en-GB"/>
              </w:rPr>
              <w:t>,</w:t>
            </w:r>
            <w:r w:rsidRPr="00353AE1">
              <w:rPr>
                <w:rFonts w:eastAsia="Times New Roman"/>
                <w:kern w:val="0"/>
                <w:lang w:val="en-GB"/>
              </w:rPr>
              <w:t>118.7m</w:t>
            </w:r>
          </w:p>
        </w:tc>
        <w:tc>
          <w:tcPr>
            <w:tcW w:w="1309" w:type="pct"/>
            <w:tcBorders>
              <w:top w:val="nil"/>
              <w:left w:val="nil"/>
              <w:bottom w:val="nil"/>
              <w:right w:val="nil"/>
            </w:tcBorders>
            <w:noWrap/>
            <w:vAlign w:val="center"/>
            <w:hideMark/>
          </w:tcPr>
          <w:p w14:paraId="567791CE"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$377.8m</w:t>
            </w:r>
          </w:p>
        </w:tc>
      </w:tr>
      <w:tr w:rsidR="0013232D" w:rsidRPr="00353AE1" w14:paraId="235931BA" w14:textId="77777777" w:rsidTr="00E016A0">
        <w:trPr>
          <w:trHeight w:val="20"/>
          <w:jc w:val="center"/>
        </w:trPr>
        <w:tc>
          <w:tcPr>
            <w:tcW w:w="2726" w:type="pct"/>
            <w:tcBorders>
              <w:top w:val="nil"/>
              <w:left w:val="nil"/>
              <w:bottom w:val="single" w:sz="4" w:space="0" w:color="auto"/>
              <w:right w:val="nil"/>
            </w:tcBorders>
            <w:noWrap/>
            <w:vAlign w:val="bottom"/>
            <w:hideMark/>
          </w:tcPr>
          <w:p w14:paraId="524EB81C" w14:textId="77777777" w:rsidR="0013232D" w:rsidRPr="00353AE1" w:rsidRDefault="0013232D" w:rsidP="00814F60">
            <w:pPr>
              <w:widowControl/>
              <w:jc w:val="left"/>
              <w:rPr>
                <w:rFonts w:eastAsia="Times New Roman"/>
                <w:kern w:val="0"/>
                <w:lang w:val="en-GB"/>
              </w:rPr>
            </w:pPr>
            <w:r w:rsidRPr="00353AE1">
              <w:rPr>
                <w:rFonts w:eastAsia="Times New Roman"/>
                <w:kern w:val="0"/>
                <w:lang w:val="en-GB"/>
              </w:rPr>
              <w:t> </w:t>
            </w:r>
          </w:p>
        </w:tc>
        <w:tc>
          <w:tcPr>
            <w:tcW w:w="966" w:type="pct"/>
            <w:tcBorders>
              <w:top w:val="nil"/>
              <w:left w:val="nil"/>
              <w:bottom w:val="single" w:sz="4" w:space="0" w:color="auto"/>
              <w:right w:val="nil"/>
            </w:tcBorders>
            <w:noWrap/>
            <w:vAlign w:val="center"/>
            <w:hideMark/>
          </w:tcPr>
          <w:p w14:paraId="30F9F8EB"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 </w:t>
            </w:r>
          </w:p>
        </w:tc>
        <w:tc>
          <w:tcPr>
            <w:tcW w:w="1309" w:type="pct"/>
            <w:tcBorders>
              <w:top w:val="nil"/>
              <w:left w:val="nil"/>
              <w:bottom w:val="single" w:sz="4" w:space="0" w:color="auto"/>
              <w:right w:val="nil"/>
            </w:tcBorders>
            <w:noWrap/>
            <w:vAlign w:val="center"/>
            <w:hideMark/>
          </w:tcPr>
          <w:p w14:paraId="00CF14AF"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 </w:t>
            </w:r>
          </w:p>
        </w:tc>
      </w:tr>
      <w:tr w:rsidR="0013232D" w:rsidRPr="00353AE1" w14:paraId="19E1A5DA" w14:textId="77777777" w:rsidTr="00E016A0">
        <w:trPr>
          <w:trHeight w:val="20"/>
          <w:jc w:val="center"/>
        </w:trPr>
        <w:tc>
          <w:tcPr>
            <w:tcW w:w="2726" w:type="pct"/>
            <w:tcBorders>
              <w:top w:val="nil"/>
              <w:left w:val="nil"/>
              <w:bottom w:val="nil"/>
              <w:right w:val="nil"/>
            </w:tcBorders>
            <w:noWrap/>
            <w:vAlign w:val="center"/>
            <w:hideMark/>
          </w:tcPr>
          <w:p w14:paraId="2FD5703C" w14:textId="3D1011F1" w:rsidR="0013232D" w:rsidRPr="00353AE1" w:rsidRDefault="0013232D" w:rsidP="00814F60">
            <w:pPr>
              <w:widowControl/>
              <w:jc w:val="left"/>
              <w:rPr>
                <w:rFonts w:eastAsia="Times New Roman"/>
                <w:b/>
                <w:bCs/>
                <w:kern w:val="0"/>
                <w:lang w:val="en-GB"/>
              </w:rPr>
            </w:pPr>
            <w:r w:rsidRPr="00353AE1">
              <w:rPr>
                <w:rFonts w:eastAsia="Times New Roman"/>
                <w:b/>
                <w:bCs/>
                <w:kern w:val="0"/>
                <w:lang w:val="en-GB"/>
              </w:rPr>
              <w:t xml:space="preserve">Scenario 2: </w:t>
            </w:r>
            <w:r w:rsidR="00B01ECF" w:rsidRPr="00353AE1">
              <w:rPr>
                <w:rFonts w:eastAsia="Times New Roman"/>
                <w:b/>
                <w:bCs/>
                <w:kern w:val="0"/>
                <w:lang w:val="en-GB"/>
              </w:rPr>
              <w:t>E</w:t>
            </w:r>
            <w:r w:rsidRPr="00353AE1">
              <w:rPr>
                <w:rFonts w:eastAsia="Times New Roman"/>
                <w:b/>
                <w:bCs/>
                <w:kern w:val="0"/>
                <w:lang w:val="en-GB"/>
              </w:rPr>
              <w:t>stablishment of NAAS</w:t>
            </w:r>
          </w:p>
        </w:tc>
        <w:tc>
          <w:tcPr>
            <w:tcW w:w="966" w:type="pct"/>
            <w:tcBorders>
              <w:top w:val="nil"/>
              <w:left w:val="nil"/>
              <w:bottom w:val="nil"/>
              <w:right w:val="nil"/>
            </w:tcBorders>
            <w:noWrap/>
            <w:vAlign w:val="center"/>
            <w:hideMark/>
          </w:tcPr>
          <w:p w14:paraId="2A3F6D9A" w14:textId="77777777" w:rsidR="0013232D" w:rsidRPr="00353AE1" w:rsidRDefault="0013232D" w:rsidP="00814F60">
            <w:pPr>
              <w:widowControl/>
              <w:jc w:val="center"/>
              <w:rPr>
                <w:rFonts w:eastAsia="Times New Roman"/>
                <w:i/>
                <w:iCs/>
                <w:kern w:val="0"/>
                <w:lang w:val="en-GB"/>
              </w:rPr>
            </w:pPr>
            <w:r w:rsidRPr="00353AE1">
              <w:rPr>
                <w:rFonts w:eastAsia="Times New Roman"/>
                <w:i/>
                <w:iCs/>
                <w:kern w:val="0"/>
                <w:lang w:val="en-GB"/>
              </w:rPr>
              <w:t>Core Simulation</w:t>
            </w:r>
          </w:p>
        </w:tc>
        <w:tc>
          <w:tcPr>
            <w:tcW w:w="1309" w:type="pct"/>
            <w:tcBorders>
              <w:top w:val="nil"/>
              <w:left w:val="nil"/>
              <w:bottom w:val="nil"/>
              <w:right w:val="nil"/>
            </w:tcBorders>
            <w:noWrap/>
            <w:vAlign w:val="center"/>
            <w:hideMark/>
          </w:tcPr>
          <w:p w14:paraId="5E5C66D3" w14:textId="77777777" w:rsidR="0013232D" w:rsidRPr="00353AE1" w:rsidRDefault="0013232D" w:rsidP="00814F60">
            <w:pPr>
              <w:widowControl/>
              <w:jc w:val="center"/>
              <w:rPr>
                <w:rFonts w:eastAsia="Times New Roman"/>
                <w:i/>
                <w:iCs/>
                <w:kern w:val="0"/>
                <w:lang w:val="en-GB"/>
              </w:rPr>
            </w:pPr>
            <w:r w:rsidRPr="00353AE1">
              <w:rPr>
                <w:rFonts w:eastAsia="Times New Roman"/>
                <w:i/>
                <w:iCs/>
                <w:kern w:val="0"/>
                <w:lang w:val="en-GB"/>
              </w:rPr>
              <w:t>Alternative Simulation</w:t>
            </w:r>
          </w:p>
        </w:tc>
      </w:tr>
      <w:tr w:rsidR="0013232D" w:rsidRPr="00353AE1" w14:paraId="7199C4DA" w14:textId="77777777" w:rsidTr="00E016A0">
        <w:trPr>
          <w:trHeight w:val="20"/>
          <w:jc w:val="center"/>
        </w:trPr>
        <w:tc>
          <w:tcPr>
            <w:tcW w:w="2726" w:type="pct"/>
            <w:tcBorders>
              <w:top w:val="nil"/>
              <w:left w:val="nil"/>
              <w:bottom w:val="nil"/>
              <w:right w:val="nil"/>
            </w:tcBorders>
            <w:noWrap/>
            <w:vAlign w:val="bottom"/>
            <w:hideMark/>
          </w:tcPr>
          <w:p w14:paraId="00A45B4A" w14:textId="77777777" w:rsidR="0013232D" w:rsidRPr="00353AE1" w:rsidRDefault="0013232D" w:rsidP="00814F60">
            <w:pPr>
              <w:widowControl/>
              <w:jc w:val="center"/>
              <w:rPr>
                <w:rFonts w:eastAsia="Times New Roman"/>
                <w:kern w:val="0"/>
                <w:lang w:val="en-GB"/>
              </w:rPr>
            </w:pPr>
          </w:p>
        </w:tc>
        <w:tc>
          <w:tcPr>
            <w:tcW w:w="966" w:type="pct"/>
            <w:tcBorders>
              <w:top w:val="nil"/>
              <w:left w:val="nil"/>
              <w:bottom w:val="single" w:sz="4" w:space="0" w:color="auto"/>
              <w:right w:val="nil"/>
            </w:tcBorders>
            <w:noWrap/>
            <w:vAlign w:val="center"/>
            <w:hideMark/>
          </w:tcPr>
          <w:p w14:paraId="3C4ED71C"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S2A</w:t>
            </w:r>
          </w:p>
        </w:tc>
        <w:tc>
          <w:tcPr>
            <w:tcW w:w="1309" w:type="pct"/>
            <w:tcBorders>
              <w:top w:val="nil"/>
              <w:left w:val="nil"/>
              <w:bottom w:val="single" w:sz="4" w:space="0" w:color="auto"/>
              <w:right w:val="nil"/>
            </w:tcBorders>
            <w:noWrap/>
            <w:vAlign w:val="center"/>
            <w:hideMark/>
          </w:tcPr>
          <w:p w14:paraId="379F33FA"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S2B</w:t>
            </w:r>
          </w:p>
        </w:tc>
      </w:tr>
      <w:tr w:rsidR="0013232D" w:rsidRPr="00353AE1" w14:paraId="54E59EF1" w14:textId="77777777" w:rsidTr="00E016A0">
        <w:trPr>
          <w:trHeight w:val="20"/>
          <w:jc w:val="center"/>
        </w:trPr>
        <w:tc>
          <w:tcPr>
            <w:tcW w:w="2726" w:type="pct"/>
            <w:tcBorders>
              <w:top w:val="nil"/>
              <w:left w:val="nil"/>
              <w:bottom w:val="nil"/>
              <w:right w:val="nil"/>
            </w:tcBorders>
            <w:noWrap/>
            <w:vAlign w:val="center"/>
            <w:hideMark/>
          </w:tcPr>
          <w:p w14:paraId="3321C087" w14:textId="329B3E95" w:rsidR="0013232D" w:rsidRPr="00353AE1" w:rsidRDefault="00C3453F" w:rsidP="00814F60">
            <w:pPr>
              <w:widowControl/>
              <w:jc w:val="left"/>
              <w:rPr>
                <w:rFonts w:eastAsia="Times New Roman"/>
                <w:kern w:val="0"/>
                <w:lang w:val="en-GB"/>
              </w:rPr>
            </w:pPr>
            <w:r w:rsidRPr="00353AE1">
              <w:rPr>
                <w:rFonts w:eastAsia="Times New Roman"/>
                <w:kern w:val="0"/>
                <w:lang w:val="en-GB"/>
              </w:rPr>
              <w:t>Road freight MFP improvement</w:t>
            </w:r>
          </w:p>
        </w:tc>
        <w:tc>
          <w:tcPr>
            <w:tcW w:w="966" w:type="pct"/>
            <w:tcBorders>
              <w:top w:val="nil"/>
              <w:left w:val="nil"/>
              <w:bottom w:val="nil"/>
              <w:right w:val="nil"/>
            </w:tcBorders>
            <w:vAlign w:val="center"/>
            <w:hideMark/>
          </w:tcPr>
          <w:p w14:paraId="30E3D316"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 xml:space="preserve">2.3% </w:t>
            </w:r>
            <w:r w:rsidRPr="00353AE1">
              <w:rPr>
                <w:rFonts w:eastAsia="Times New Roman"/>
                <w:kern w:val="0"/>
                <w:lang w:val="en-GB"/>
              </w:rPr>
              <w:br/>
              <w:t>in NAAS states</w:t>
            </w:r>
          </w:p>
        </w:tc>
        <w:tc>
          <w:tcPr>
            <w:tcW w:w="1309" w:type="pct"/>
            <w:tcBorders>
              <w:top w:val="nil"/>
              <w:left w:val="nil"/>
              <w:bottom w:val="nil"/>
              <w:right w:val="nil"/>
            </w:tcBorders>
            <w:vAlign w:val="center"/>
            <w:hideMark/>
          </w:tcPr>
          <w:p w14:paraId="2F25B6E1"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 xml:space="preserve">1.15% </w:t>
            </w:r>
            <w:r w:rsidRPr="00353AE1">
              <w:rPr>
                <w:rFonts w:eastAsia="Times New Roman"/>
                <w:kern w:val="0"/>
                <w:lang w:val="en-GB"/>
              </w:rPr>
              <w:br/>
              <w:t>in NAAS states</w:t>
            </w:r>
          </w:p>
        </w:tc>
      </w:tr>
      <w:tr w:rsidR="0013232D" w:rsidRPr="00353AE1" w14:paraId="36826E9C" w14:textId="77777777" w:rsidTr="00E016A0">
        <w:trPr>
          <w:trHeight w:val="20"/>
          <w:jc w:val="center"/>
        </w:trPr>
        <w:tc>
          <w:tcPr>
            <w:tcW w:w="2726" w:type="pct"/>
            <w:tcBorders>
              <w:top w:val="nil"/>
              <w:left w:val="nil"/>
              <w:bottom w:val="double" w:sz="6" w:space="0" w:color="auto"/>
              <w:right w:val="nil"/>
            </w:tcBorders>
            <w:noWrap/>
            <w:vAlign w:val="center"/>
            <w:hideMark/>
          </w:tcPr>
          <w:p w14:paraId="080F6F27" w14:textId="77777777" w:rsidR="0013232D" w:rsidRPr="00353AE1" w:rsidRDefault="0013232D" w:rsidP="00814F60">
            <w:pPr>
              <w:widowControl/>
              <w:jc w:val="left"/>
              <w:rPr>
                <w:rFonts w:eastAsia="Times New Roman"/>
                <w:kern w:val="0"/>
                <w:lang w:val="en-GB"/>
              </w:rPr>
            </w:pPr>
            <w:r w:rsidRPr="00353AE1">
              <w:rPr>
                <w:rFonts w:eastAsia="Times New Roman"/>
                <w:kern w:val="0"/>
                <w:lang w:val="en-GB"/>
              </w:rPr>
              <w:t> </w:t>
            </w:r>
          </w:p>
        </w:tc>
        <w:tc>
          <w:tcPr>
            <w:tcW w:w="966" w:type="pct"/>
            <w:tcBorders>
              <w:top w:val="nil"/>
              <w:left w:val="nil"/>
              <w:bottom w:val="double" w:sz="6" w:space="0" w:color="auto"/>
              <w:right w:val="nil"/>
            </w:tcBorders>
            <w:vAlign w:val="center"/>
            <w:hideMark/>
          </w:tcPr>
          <w:p w14:paraId="5327D859"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(calibrated to Australia-wide shock of 1.6%)</w:t>
            </w:r>
          </w:p>
        </w:tc>
        <w:tc>
          <w:tcPr>
            <w:tcW w:w="1309" w:type="pct"/>
            <w:tcBorders>
              <w:top w:val="nil"/>
              <w:left w:val="nil"/>
              <w:bottom w:val="double" w:sz="6" w:space="0" w:color="auto"/>
              <w:right w:val="nil"/>
            </w:tcBorders>
            <w:vAlign w:val="center"/>
            <w:hideMark/>
          </w:tcPr>
          <w:p w14:paraId="3AA3BC7A" w14:textId="77777777" w:rsidR="0013232D" w:rsidRPr="00353AE1" w:rsidRDefault="0013232D" w:rsidP="00814F60">
            <w:pPr>
              <w:widowControl/>
              <w:jc w:val="center"/>
              <w:rPr>
                <w:rFonts w:eastAsia="Times New Roman"/>
                <w:kern w:val="0"/>
                <w:lang w:val="en-GB"/>
              </w:rPr>
            </w:pPr>
            <w:r w:rsidRPr="00353AE1">
              <w:rPr>
                <w:rFonts w:eastAsia="Times New Roman"/>
                <w:kern w:val="0"/>
                <w:lang w:val="en-GB"/>
              </w:rPr>
              <w:t>(calibrated to Australia-wide shock of 0.8%)</w:t>
            </w:r>
          </w:p>
        </w:tc>
      </w:tr>
    </w:tbl>
    <w:p w14:paraId="10B91E5D" w14:textId="77777777" w:rsidR="003E7233" w:rsidRPr="00353AE1" w:rsidRDefault="003E7233" w:rsidP="00A45D6C">
      <w:pPr>
        <w:spacing w:after="120"/>
        <w:jc w:val="left"/>
      </w:pPr>
    </w:p>
    <w:p w14:paraId="37E96A1B" w14:textId="77777777" w:rsidR="00F26DCB" w:rsidRPr="00353AE1" w:rsidRDefault="00F26DCB" w:rsidP="00A45D6C">
      <w:pPr>
        <w:spacing w:after="120"/>
        <w:jc w:val="left"/>
      </w:pPr>
    </w:p>
    <w:p w14:paraId="3DAA0048" w14:textId="5381EB3F" w:rsidR="00CA3EFA" w:rsidRPr="00353AE1" w:rsidRDefault="00A60529" w:rsidP="003E7233">
      <w:pPr>
        <w:pStyle w:val="Heading1"/>
        <w:numPr>
          <w:ilvl w:val="0"/>
          <w:numId w:val="5"/>
        </w:numPr>
        <w:spacing w:before="0" w:after="120"/>
        <w:ind w:left="284"/>
        <w:rPr>
          <w:rFonts w:cs="Calibri"/>
        </w:rPr>
      </w:pPr>
      <w:bookmarkStart w:id="27" w:name="_Toc234277232"/>
      <w:r w:rsidRPr="00353AE1">
        <w:rPr>
          <w:rFonts w:cs="Calibri"/>
        </w:rPr>
        <w:t>Results</w:t>
      </w:r>
      <w:r w:rsidR="00C95883" w:rsidRPr="00353AE1">
        <w:rPr>
          <w:rFonts w:cs="Calibri"/>
        </w:rPr>
        <w:t>: Scenario 1</w:t>
      </w:r>
      <w:bookmarkEnd w:id="27"/>
    </w:p>
    <w:p w14:paraId="4B2BD7AF" w14:textId="7BE728E7" w:rsidR="00DE1364" w:rsidRPr="00353AE1" w:rsidRDefault="00DE1364" w:rsidP="003E7233">
      <w:pPr>
        <w:pStyle w:val="Heading2"/>
        <w:spacing w:before="0" w:after="120"/>
        <w:rPr>
          <w:rFonts w:cs="Calibri"/>
        </w:rPr>
      </w:pPr>
      <w:bookmarkStart w:id="28" w:name="_Toc234277233"/>
      <w:r w:rsidRPr="00353AE1">
        <w:rPr>
          <w:rStyle w:val="SubtleEmphasis"/>
          <w:rFonts w:cs="Calibri"/>
          <w:i w:val="0"/>
          <w:iCs w:val="0"/>
          <w:color w:val="auto"/>
        </w:rPr>
        <w:t xml:space="preserve">4.1 </w:t>
      </w:r>
      <w:r w:rsidR="00654A74" w:rsidRPr="00353AE1">
        <w:rPr>
          <w:rStyle w:val="SubtleEmphasis"/>
          <w:rFonts w:cs="Calibri"/>
          <w:i w:val="0"/>
          <w:iCs w:val="0"/>
          <w:color w:val="auto"/>
        </w:rPr>
        <w:t xml:space="preserve">Impacts on </w:t>
      </w:r>
      <w:r w:rsidR="00826D75" w:rsidRPr="00353AE1">
        <w:rPr>
          <w:rStyle w:val="SubtleEmphasis"/>
          <w:rFonts w:cs="Calibri"/>
          <w:i w:val="0"/>
          <w:iCs w:val="0"/>
          <w:color w:val="auto"/>
        </w:rPr>
        <w:t>Road Freight</w:t>
      </w:r>
      <w:bookmarkEnd w:id="28"/>
    </w:p>
    <w:p w14:paraId="5A2F83BA" w14:textId="245AD1B5" w:rsidR="001F2DDC" w:rsidRPr="00353AE1" w:rsidRDefault="001F2DDC" w:rsidP="003E7233">
      <w:pPr>
        <w:spacing w:after="120"/>
        <w:jc w:val="left"/>
        <w:rPr>
          <w:lang w:val="en-GB"/>
        </w:rPr>
      </w:pPr>
      <w:r w:rsidRPr="00353AE1">
        <w:rPr>
          <w:lang w:val="en-GB"/>
        </w:rPr>
        <w:t>Scenario 1 combines a nationwide MFP improvement in the Road Freight sector with additional government expenditure on road maintenance and repair to reflect higher road wear costs.</w:t>
      </w:r>
    </w:p>
    <w:p w14:paraId="28D8501B" w14:textId="6B7FD273" w:rsidR="00BA7985" w:rsidRPr="00353AE1" w:rsidRDefault="007965EE" w:rsidP="003E7233">
      <w:pPr>
        <w:spacing w:after="120"/>
        <w:jc w:val="left"/>
      </w:pPr>
      <w:r w:rsidRPr="00353AE1">
        <w:t xml:space="preserve">Table </w:t>
      </w:r>
      <w:r w:rsidR="00E31E26" w:rsidRPr="00353AE1">
        <w:t xml:space="preserve">5 </w:t>
      </w:r>
      <w:r w:rsidRPr="00353AE1">
        <w:t xml:space="preserve">summarises the industry output and price responses for </w:t>
      </w:r>
      <w:r w:rsidR="00104099" w:rsidRPr="00353AE1">
        <w:t>Road Freight</w:t>
      </w:r>
      <w:r w:rsidRPr="00353AE1">
        <w:t xml:space="preserve"> and </w:t>
      </w:r>
      <w:r w:rsidR="00104099" w:rsidRPr="00353AE1">
        <w:t>H</w:t>
      </w:r>
      <w:r w:rsidRPr="00353AE1">
        <w:t xml:space="preserve">eavy </w:t>
      </w:r>
      <w:r w:rsidR="00104099" w:rsidRPr="00353AE1">
        <w:t>V</w:t>
      </w:r>
      <w:r w:rsidRPr="00353AE1">
        <w:t>ehicle</w:t>
      </w:r>
      <w:r w:rsidR="008D3F30" w:rsidRPr="00353AE1">
        <w:t xml:space="preserve"> industries</w:t>
      </w:r>
      <w:r w:rsidRPr="00353AE1">
        <w:t xml:space="preserve">. </w:t>
      </w:r>
    </w:p>
    <w:p w14:paraId="6BDD67C9" w14:textId="1A00CDDC" w:rsidR="001F2DDC" w:rsidRPr="00353AE1" w:rsidRDefault="00B64638" w:rsidP="003E7233">
      <w:pPr>
        <w:spacing w:after="120"/>
        <w:jc w:val="left"/>
      </w:pPr>
      <w:r w:rsidRPr="00353AE1">
        <w:t>On impact</w:t>
      </w:r>
      <w:r w:rsidR="001F2DDC" w:rsidRPr="00353AE1">
        <w:t>, the MFP improvement reduces the basic price of Road Freight output by 3.</w:t>
      </w:r>
      <w:r w:rsidR="005D45E3" w:rsidRPr="00353AE1">
        <w:t xml:space="preserve">5 </w:t>
      </w:r>
      <w:r w:rsidR="001F2DDC" w:rsidRPr="00353AE1">
        <w:t>per cent and raises Road Freight output by 0.</w:t>
      </w:r>
      <w:r w:rsidR="00431B48" w:rsidRPr="00353AE1">
        <w:t xml:space="preserve">69 </w:t>
      </w:r>
      <w:r w:rsidR="001F2DDC" w:rsidRPr="00353AE1">
        <w:t xml:space="preserve">per cent relative to baseline. Because fewer intermediate and primary factor inputs are required per unit of Road Freight output, labour use in the sector falls, with Road Freight employment in persons declining by 2.75 per cent on impact. The effect on capital stock is lagged by one period, </w:t>
      </w:r>
      <w:r w:rsidR="0082631E" w:rsidRPr="00353AE1">
        <w:t>because</w:t>
      </w:r>
      <w:r w:rsidR="00221765" w:rsidRPr="00353AE1">
        <w:t xml:space="preserve"> </w:t>
      </w:r>
      <w:r w:rsidR="00221765" w:rsidRPr="00353AE1">
        <w:rPr>
          <w:lang w:val="en-GB"/>
        </w:rPr>
        <w:t>industry-specific capital is assumed to be fixed at baseline in the short run, that is, the first year of the shock</w:t>
      </w:r>
      <w:r w:rsidR="001F2DDC" w:rsidRPr="00353AE1">
        <w:t xml:space="preserve">. Over time, Road Freight output rises to 0.77 per cent above baseline by 2040, while its basic </w:t>
      </w:r>
      <w:r w:rsidR="001F2DDC" w:rsidRPr="00353AE1">
        <w:lastRenderedPageBreak/>
        <w:t>output price remains 3.</w:t>
      </w:r>
      <w:r w:rsidR="00055E4D" w:rsidRPr="00353AE1">
        <w:t xml:space="preserve">33 </w:t>
      </w:r>
      <w:r w:rsidR="001F2DDC" w:rsidRPr="00353AE1">
        <w:t xml:space="preserve">per cent below baseline. </w:t>
      </w:r>
    </w:p>
    <w:p w14:paraId="27E37578" w14:textId="36B8F29B" w:rsidR="001F2DDC" w:rsidRPr="00353AE1" w:rsidRDefault="001F2DDC" w:rsidP="003E7233">
      <w:pPr>
        <w:spacing w:after="120"/>
        <w:jc w:val="left"/>
      </w:pPr>
      <w:r w:rsidRPr="00353AE1">
        <w:t xml:space="preserve">As Road Freight uses </w:t>
      </w:r>
      <w:r w:rsidR="009A7DB4" w:rsidRPr="00353AE1">
        <w:t>H</w:t>
      </w:r>
      <w:r w:rsidRPr="00353AE1">
        <w:t xml:space="preserve">eavy </w:t>
      </w:r>
      <w:r w:rsidR="009A7DB4" w:rsidRPr="00353AE1">
        <w:t>V</w:t>
      </w:r>
      <w:r w:rsidRPr="00353AE1">
        <w:t xml:space="preserve">ehicle as intermediate inputs, </w:t>
      </w:r>
      <w:r w:rsidR="005149F1" w:rsidRPr="00353AE1">
        <w:t xml:space="preserve">the cost-saving technical change reduces the demand for </w:t>
      </w:r>
      <w:r w:rsidR="00CF3CAE" w:rsidRPr="00353AE1">
        <w:t>H</w:t>
      </w:r>
      <w:r w:rsidR="005149F1" w:rsidRPr="00353AE1">
        <w:t xml:space="preserve">eavy </w:t>
      </w:r>
      <w:r w:rsidR="00CF3CAE" w:rsidRPr="00353AE1">
        <w:t>V</w:t>
      </w:r>
      <w:r w:rsidR="005149F1" w:rsidRPr="00353AE1">
        <w:t xml:space="preserve">ehicle inputs per unit of </w:t>
      </w:r>
      <w:r w:rsidR="00424A57" w:rsidRPr="00353AE1">
        <w:t>Road Freight</w:t>
      </w:r>
      <w:r w:rsidR="005149F1" w:rsidRPr="00353AE1">
        <w:t xml:space="preserve"> output</w:t>
      </w:r>
      <w:r w:rsidRPr="00353AE1">
        <w:t>. This reduces national Heavy Vehicle output by 0.2</w:t>
      </w:r>
      <w:r w:rsidR="0053237A" w:rsidRPr="00353AE1">
        <w:t>1</w:t>
      </w:r>
      <w:r w:rsidRPr="00353AE1">
        <w:t xml:space="preserve"> per cent on impact. The weaker demand </w:t>
      </w:r>
      <w:r w:rsidR="00837744" w:rsidRPr="00353AE1">
        <w:t xml:space="preserve">for </w:t>
      </w:r>
      <w:r w:rsidR="00337B3F" w:rsidRPr="00353AE1">
        <w:t>H</w:t>
      </w:r>
      <w:r w:rsidR="00837744" w:rsidRPr="00353AE1">
        <w:t xml:space="preserve">eavy </w:t>
      </w:r>
      <w:r w:rsidR="00337B3F" w:rsidRPr="00353AE1">
        <w:t>V</w:t>
      </w:r>
      <w:r w:rsidR="00837744" w:rsidRPr="00353AE1">
        <w:t>ehicle</w:t>
      </w:r>
      <w:r w:rsidR="00A41330" w:rsidRPr="00353AE1">
        <w:t>s</w:t>
      </w:r>
      <w:r w:rsidR="00837744" w:rsidRPr="00353AE1">
        <w:t xml:space="preserve"> </w:t>
      </w:r>
      <w:r w:rsidRPr="00353AE1">
        <w:t xml:space="preserve">from the Road Freight sector also </w:t>
      </w:r>
      <w:r w:rsidR="00E137D1" w:rsidRPr="00353AE1">
        <w:t>reduces</w:t>
      </w:r>
      <w:r w:rsidRPr="00353AE1">
        <w:t xml:space="preserve"> the cost of </w:t>
      </w:r>
      <w:r w:rsidR="00432D53" w:rsidRPr="00353AE1">
        <w:t>using</w:t>
      </w:r>
      <w:r w:rsidRPr="00353AE1">
        <w:t xml:space="preserve"> heavy vehicle services, with the basic price of Heavy Vehicle output falling by 0.</w:t>
      </w:r>
      <w:r w:rsidR="00932E81" w:rsidRPr="00353AE1">
        <w:t xml:space="preserve">18 </w:t>
      </w:r>
      <w:r w:rsidRPr="00353AE1">
        <w:t xml:space="preserve">per cent on impact and remaining 0.1 per cent below baseline by 2040. </w:t>
      </w:r>
    </w:p>
    <w:p w14:paraId="18B3DB7F" w14:textId="633C3B82" w:rsidR="00A51340" w:rsidRPr="00353AE1" w:rsidRDefault="00A51340" w:rsidP="00FF05CC">
      <w:pPr>
        <w:spacing w:after="120"/>
        <w:jc w:val="left"/>
      </w:pPr>
      <w:r w:rsidRPr="00353AE1">
        <w:t xml:space="preserve">In Scenario 1, the additional road-related government expenditure is modelled as an increase in </w:t>
      </w:r>
      <w:r w:rsidR="00473EE1" w:rsidRPr="00353AE1">
        <w:t>federal and state</w:t>
      </w:r>
      <w:r w:rsidR="003A74B7" w:rsidRPr="00353AE1">
        <w:t>/local</w:t>
      </w:r>
      <w:r w:rsidR="00473EE1" w:rsidRPr="00353AE1">
        <w:t xml:space="preserve"> </w:t>
      </w:r>
      <w:r w:rsidRPr="00353AE1">
        <w:t xml:space="preserve">government consumption of civil engineering </w:t>
      </w:r>
      <w:r w:rsidR="00473EE1" w:rsidRPr="00353AE1">
        <w:t xml:space="preserve">and </w:t>
      </w:r>
      <w:r w:rsidRPr="00353AE1">
        <w:t xml:space="preserve">construction. This represents additional public demand for road-related maintenance and repair, rather than a reallocation away from other government consumption categories. </w:t>
      </w:r>
      <w:r w:rsidR="00910AE8" w:rsidRPr="00353AE1">
        <w:t>Specifically, the road-related expenditure is imposed as a separate increase in civil engineering construction demand, while other government consumption remains governed by the closure stated in Section 3.1, and is tied to regional population deviations from baseline.</w:t>
      </w:r>
    </w:p>
    <w:p w14:paraId="5F4518C9" w14:textId="2B8477FC" w:rsidR="00FF05CC" w:rsidRPr="00353AE1" w:rsidRDefault="00FF05CC" w:rsidP="00FF05CC">
      <w:pPr>
        <w:spacing w:after="120"/>
        <w:jc w:val="left"/>
      </w:pPr>
      <w:r w:rsidRPr="00353AE1">
        <w:t xml:space="preserve">In Scenario 1, civil engineering construction is the strongest-performing industry on impact, with output </w:t>
      </w:r>
      <w:r w:rsidR="00D0633C" w:rsidRPr="00353AE1">
        <w:t>0.8</w:t>
      </w:r>
      <w:r w:rsidR="00C83281" w:rsidRPr="00353AE1">
        <w:t xml:space="preserve"> </w:t>
      </w:r>
      <w:r w:rsidRPr="00353AE1">
        <w:t>per cent above baseline in 2026.</w:t>
      </w:r>
    </w:p>
    <w:p w14:paraId="51470090" w14:textId="77777777" w:rsidR="00861CA0" w:rsidRPr="00353AE1" w:rsidRDefault="00861CA0" w:rsidP="00FF05CC">
      <w:pPr>
        <w:spacing w:after="120"/>
        <w:jc w:val="left"/>
      </w:pPr>
    </w:p>
    <w:p w14:paraId="756FD92A" w14:textId="374A1CF3" w:rsidR="00454608" w:rsidRPr="00353AE1" w:rsidRDefault="00454608" w:rsidP="003E7233">
      <w:pPr>
        <w:pStyle w:val="Caption"/>
        <w:keepNext/>
        <w:spacing w:after="120"/>
        <w:jc w:val="center"/>
        <w:rPr>
          <w:sz w:val="22"/>
          <w:szCs w:val="22"/>
        </w:rPr>
      </w:pPr>
      <w:bookmarkStart w:id="29" w:name="_Toc230696727"/>
      <w:bookmarkStart w:id="30" w:name="_Toc230710345"/>
      <w:bookmarkStart w:id="31" w:name="_Toc230710391"/>
      <w:bookmarkStart w:id="32" w:name="_Toc230711114"/>
      <w:bookmarkStart w:id="33" w:name="_Toc231907809"/>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5</w:t>
      </w:r>
      <w:r w:rsidR="00DF6059" w:rsidRPr="00353AE1">
        <w:rPr>
          <w:sz w:val="22"/>
          <w:szCs w:val="22"/>
        </w:rPr>
        <w:fldChar w:fldCharType="end"/>
      </w:r>
      <w:r w:rsidRPr="00353AE1">
        <w:rPr>
          <w:sz w:val="22"/>
          <w:szCs w:val="22"/>
        </w:rPr>
        <w:t xml:space="preserve">. </w:t>
      </w:r>
      <w:r w:rsidR="00084292" w:rsidRPr="00353AE1">
        <w:rPr>
          <w:sz w:val="22"/>
          <w:szCs w:val="22"/>
        </w:rPr>
        <w:t xml:space="preserve">Road Freight and Heavy Vehicle </w:t>
      </w:r>
      <w:r w:rsidRPr="00353AE1">
        <w:rPr>
          <w:sz w:val="22"/>
          <w:szCs w:val="22"/>
        </w:rPr>
        <w:t xml:space="preserve">Output and Price </w:t>
      </w:r>
      <w:r w:rsidR="00230CDC" w:rsidRPr="00353AE1">
        <w:rPr>
          <w:sz w:val="22"/>
          <w:szCs w:val="22"/>
        </w:rPr>
        <w:t>R</w:t>
      </w:r>
      <w:r w:rsidRPr="00353AE1">
        <w:rPr>
          <w:sz w:val="22"/>
          <w:szCs w:val="22"/>
        </w:rPr>
        <w:t>esponses</w:t>
      </w:r>
      <w:r w:rsidR="009A7DAB" w:rsidRPr="00353AE1">
        <w:rPr>
          <w:sz w:val="22"/>
          <w:szCs w:val="22"/>
        </w:rPr>
        <w:t xml:space="preserve"> (</w:t>
      </w:r>
      <w:r w:rsidR="00084292" w:rsidRPr="00353AE1">
        <w:rPr>
          <w:sz w:val="22"/>
          <w:szCs w:val="22"/>
        </w:rPr>
        <w:t>Scenario 1</w:t>
      </w:r>
      <w:bookmarkEnd w:id="29"/>
      <w:r w:rsidR="009A7DAB" w:rsidRPr="00353AE1">
        <w:rPr>
          <w:sz w:val="22"/>
          <w:szCs w:val="22"/>
        </w:rPr>
        <w:t>)</w:t>
      </w:r>
      <w:bookmarkEnd w:id="30"/>
      <w:bookmarkEnd w:id="31"/>
      <w:bookmarkEnd w:id="32"/>
      <w:bookmarkEnd w:id="33"/>
    </w:p>
    <w:tbl>
      <w:tblPr>
        <w:tblW w:w="0" w:type="auto"/>
        <w:jc w:val="center"/>
        <w:tblLook w:val="04A0" w:firstRow="1" w:lastRow="0" w:firstColumn="1" w:lastColumn="0" w:noHBand="0" w:noVBand="1"/>
      </w:tblPr>
      <w:tblGrid>
        <w:gridCol w:w="2842"/>
        <w:gridCol w:w="1165"/>
        <w:gridCol w:w="1165"/>
        <w:gridCol w:w="1165"/>
        <w:gridCol w:w="1165"/>
      </w:tblGrid>
      <w:tr w:rsidR="005B4ECC" w:rsidRPr="00353AE1" w14:paraId="79B81601" w14:textId="77777777" w:rsidTr="00E016A0">
        <w:trPr>
          <w:trHeight w:val="300"/>
          <w:jc w:val="center"/>
        </w:trPr>
        <w:tc>
          <w:tcPr>
            <w:tcW w:w="0" w:type="auto"/>
            <w:tcBorders>
              <w:top w:val="single" w:sz="4" w:space="0" w:color="auto"/>
              <w:left w:val="nil"/>
              <w:bottom w:val="nil"/>
              <w:right w:val="nil"/>
            </w:tcBorders>
            <w:noWrap/>
            <w:vAlign w:val="bottom"/>
            <w:hideMark/>
          </w:tcPr>
          <w:p w14:paraId="2CDF0E98" w14:textId="77777777" w:rsidR="005B4ECC" w:rsidRPr="00353AE1" w:rsidRDefault="005B4ECC" w:rsidP="005B4ECC">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0" w:type="auto"/>
            <w:gridSpan w:val="2"/>
            <w:tcBorders>
              <w:top w:val="single" w:sz="4" w:space="0" w:color="auto"/>
              <w:left w:val="nil"/>
              <w:bottom w:val="single" w:sz="4" w:space="0" w:color="auto"/>
              <w:right w:val="nil"/>
            </w:tcBorders>
            <w:noWrap/>
            <w:vAlign w:val="bottom"/>
            <w:hideMark/>
          </w:tcPr>
          <w:p w14:paraId="043FB364" w14:textId="77777777" w:rsidR="005B4ECC" w:rsidRPr="00353AE1" w:rsidRDefault="005B4ECC" w:rsidP="005B4ECC">
            <w:pPr>
              <w:widowControl/>
              <w:jc w:val="center"/>
              <w:rPr>
                <w:rFonts w:eastAsia="Times New Roman"/>
                <w:b/>
                <w:bCs/>
                <w:color w:val="000000"/>
                <w:kern w:val="0"/>
                <w:lang w:val="en-GB"/>
              </w:rPr>
            </w:pPr>
            <w:r w:rsidRPr="00353AE1">
              <w:rPr>
                <w:rFonts w:eastAsia="Times New Roman"/>
                <w:b/>
                <w:bCs/>
                <w:color w:val="000000"/>
                <w:kern w:val="0"/>
                <w:lang w:val="en-GB"/>
              </w:rPr>
              <w:t>Scenario 1A</w:t>
            </w:r>
          </w:p>
        </w:tc>
        <w:tc>
          <w:tcPr>
            <w:tcW w:w="0" w:type="auto"/>
            <w:gridSpan w:val="2"/>
            <w:tcBorders>
              <w:top w:val="single" w:sz="4" w:space="0" w:color="auto"/>
              <w:left w:val="nil"/>
              <w:bottom w:val="single" w:sz="4" w:space="0" w:color="auto"/>
              <w:right w:val="nil"/>
            </w:tcBorders>
            <w:noWrap/>
            <w:vAlign w:val="bottom"/>
            <w:hideMark/>
          </w:tcPr>
          <w:p w14:paraId="1AD1B276" w14:textId="77777777" w:rsidR="005B4ECC" w:rsidRPr="00353AE1" w:rsidRDefault="005B4ECC" w:rsidP="005B4ECC">
            <w:pPr>
              <w:widowControl/>
              <w:jc w:val="center"/>
              <w:rPr>
                <w:rFonts w:eastAsia="Times New Roman"/>
                <w:b/>
                <w:bCs/>
                <w:color w:val="000000"/>
                <w:kern w:val="0"/>
                <w:lang w:val="en-GB"/>
              </w:rPr>
            </w:pPr>
            <w:r w:rsidRPr="00353AE1">
              <w:rPr>
                <w:rFonts w:eastAsia="Times New Roman"/>
                <w:b/>
                <w:bCs/>
                <w:color w:val="000000"/>
                <w:kern w:val="0"/>
                <w:lang w:val="en-GB"/>
              </w:rPr>
              <w:t>Scenario 1B</w:t>
            </w:r>
          </w:p>
        </w:tc>
      </w:tr>
      <w:tr w:rsidR="005B4ECC" w:rsidRPr="00353AE1" w14:paraId="2EA44801" w14:textId="77777777" w:rsidTr="00E016A0">
        <w:trPr>
          <w:trHeight w:val="300"/>
          <w:jc w:val="center"/>
        </w:trPr>
        <w:tc>
          <w:tcPr>
            <w:tcW w:w="0" w:type="auto"/>
            <w:tcBorders>
              <w:top w:val="single" w:sz="4" w:space="0" w:color="auto"/>
              <w:left w:val="nil"/>
              <w:bottom w:val="nil"/>
              <w:right w:val="nil"/>
            </w:tcBorders>
            <w:noWrap/>
            <w:vAlign w:val="bottom"/>
            <w:hideMark/>
          </w:tcPr>
          <w:p w14:paraId="26312CF6" w14:textId="77777777" w:rsidR="005B4ECC" w:rsidRPr="00353AE1" w:rsidRDefault="005B4ECC" w:rsidP="005B4ECC">
            <w:pPr>
              <w:widowControl/>
              <w:jc w:val="left"/>
              <w:rPr>
                <w:rFonts w:eastAsia="Times New Roman"/>
                <w:b/>
                <w:bCs/>
                <w:color w:val="000000"/>
                <w:kern w:val="0"/>
                <w:lang w:val="en-GB"/>
              </w:rPr>
            </w:pPr>
            <w:r w:rsidRPr="00353AE1">
              <w:rPr>
                <w:rFonts w:eastAsia="Times New Roman"/>
                <w:b/>
                <w:bCs/>
                <w:color w:val="000000"/>
                <w:kern w:val="0"/>
                <w:lang w:val="en-GB"/>
              </w:rPr>
              <w:t>Road Freight</w:t>
            </w:r>
          </w:p>
        </w:tc>
        <w:tc>
          <w:tcPr>
            <w:tcW w:w="0" w:type="auto"/>
            <w:tcBorders>
              <w:top w:val="nil"/>
              <w:left w:val="nil"/>
              <w:bottom w:val="nil"/>
              <w:right w:val="nil"/>
            </w:tcBorders>
            <w:noWrap/>
            <w:vAlign w:val="bottom"/>
            <w:hideMark/>
          </w:tcPr>
          <w:p w14:paraId="479691F0"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nil"/>
              <w:left w:val="nil"/>
              <w:bottom w:val="nil"/>
              <w:right w:val="nil"/>
            </w:tcBorders>
            <w:noWrap/>
            <w:vAlign w:val="bottom"/>
            <w:hideMark/>
          </w:tcPr>
          <w:p w14:paraId="76698358"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2040</w:t>
            </w:r>
          </w:p>
        </w:tc>
        <w:tc>
          <w:tcPr>
            <w:tcW w:w="0" w:type="auto"/>
            <w:tcBorders>
              <w:top w:val="nil"/>
              <w:left w:val="nil"/>
              <w:bottom w:val="nil"/>
              <w:right w:val="nil"/>
            </w:tcBorders>
            <w:noWrap/>
            <w:vAlign w:val="bottom"/>
            <w:hideMark/>
          </w:tcPr>
          <w:p w14:paraId="48E0BB08"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nil"/>
              <w:left w:val="nil"/>
              <w:bottom w:val="nil"/>
              <w:right w:val="nil"/>
            </w:tcBorders>
            <w:noWrap/>
            <w:vAlign w:val="bottom"/>
            <w:hideMark/>
          </w:tcPr>
          <w:p w14:paraId="707409AE"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2040</w:t>
            </w:r>
          </w:p>
        </w:tc>
      </w:tr>
      <w:tr w:rsidR="005B4ECC" w:rsidRPr="00353AE1" w14:paraId="5AC0A53E" w14:textId="77777777" w:rsidTr="00E016A0">
        <w:trPr>
          <w:trHeight w:val="300"/>
          <w:jc w:val="center"/>
        </w:trPr>
        <w:tc>
          <w:tcPr>
            <w:tcW w:w="0" w:type="auto"/>
            <w:tcBorders>
              <w:top w:val="nil"/>
              <w:left w:val="nil"/>
              <w:bottom w:val="single" w:sz="4" w:space="0" w:color="auto"/>
              <w:right w:val="nil"/>
            </w:tcBorders>
            <w:noWrap/>
            <w:vAlign w:val="bottom"/>
            <w:hideMark/>
          </w:tcPr>
          <w:p w14:paraId="6F6B2880"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 </w:t>
            </w:r>
          </w:p>
        </w:tc>
        <w:tc>
          <w:tcPr>
            <w:tcW w:w="0" w:type="auto"/>
            <w:gridSpan w:val="2"/>
            <w:tcBorders>
              <w:top w:val="nil"/>
              <w:left w:val="nil"/>
              <w:bottom w:val="single" w:sz="4" w:space="0" w:color="auto"/>
              <w:right w:val="nil"/>
            </w:tcBorders>
            <w:noWrap/>
            <w:vAlign w:val="bottom"/>
            <w:hideMark/>
          </w:tcPr>
          <w:p w14:paraId="7CFDA40B" w14:textId="77777777" w:rsidR="005B4ECC" w:rsidRPr="00353AE1" w:rsidRDefault="005B4ECC" w:rsidP="005B4ECC">
            <w:pPr>
              <w:widowControl/>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c>
          <w:tcPr>
            <w:tcW w:w="0" w:type="auto"/>
            <w:gridSpan w:val="2"/>
            <w:tcBorders>
              <w:top w:val="nil"/>
              <w:left w:val="nil"/>
              <w:bottom w:val="single" w:sz="4" w:space="0" w:color="auto"/>
              <w:right w:val="nil"/>
            </w:tcBorders>
            <w:noWrap/>
            <w:vAlign w:val="bottom"/>
            <w:hideMark/>
          </w:tcPr>
          <w:p w14:paraId="298B296B" w14:textId="77777777" w:rsidR="005B4ECC" w:rsidRPr="00353AE1" w:rsidRDefault="005B4ECC" w:rsidP="005B4ECC">
            <w:pPr>
              <w:widowControl/>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r>
      <w:tr w:rsidR="005B4ECC" w:rsidRPr="00353AE1" w14:paraId="4B3201D7" w14:textId="77777777" w:rsidTr="00E016A0">
        <w:trPr>
          <w:trHeight w:val="300"/>
          <w:jc w:val="center"/>
        </w:trPr>
        <w:tc>
          <w:tcPr>
            <w:tcW w:w="0" w:type="auto"/>
            <w:tcBorders>
              <w:top w:val="nil"/>
              <w:left w:val="nil"/>
              <w:bottom w:val="nil"/>
              <w:right w:val="nil"/>
            </w:tcBorders>
            <w:noWrap/>
            <w:vAlign w:val="center"/>
            <w:hideMark/>
          </w:tcPr>
          <w:p w14:paraId="2B901E48"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Sectoral output</w:t>
            </w:r>
          </w:p>
        </w:tc>
        <w:tc>
          <w:tcPr>
            <w:tcW w:w="0" w:type="auto"/>
            <w:tcBorders>
              <w:top w:val="nil"/>
              <w:left w:val="nil"/>
              <w:bottom w:val="nil"/>
              <w:right w:val="nil"/>
            </w:tcBorders>
            <w:noWrap/>
            <w:vAlign w:val="center"/>
            <w:hideMark/>
          </w:tcPr>
          <w:p w14:paraId="52E67311"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0.69</w:t>
            </w:r>
          </w:p>
        </w:tc>
        <w:tc>
          <w:tcPr>
            <w:tcW w:w="0" w:type="auto"/>
            <w:tcBorders>
              <w:top w:val="nil"/>
              <w:left w:val="nil"/>
              <w:bottom w:val="nil"/>
              <w:right w:val="nil"/>
            </w:tcBorders>
            <w:noWrap/>
            <w:vAlign w:val="center"/>
            <w:hideMark/>
          </w:tcPr>
          <w:p w14:paraId="6DD934E1"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0.77</w:t>
            </w:r>
          </w:p>
        </w:tc>
        <w:tc>
          <w:tcPr>
            <w:tcW w:w="0" w:type="auto"/>
            <w:tcBorders>
              <w:top w:val="nil"/>
              <w:left w:val="nil"/>
              <w:bottom w:val="nil"/>
              <w:right w:val="nil"/>
            </w:tcBorders>
            <w:noWrap/>
            <w:vAlign w:val="center"/>
            <w:hideMark/>
          </w:tcPr>
          <w:p w14:paraId="40CE968C"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0.21</w:t>
            </w:r>
          </w:p>
        </w:tc>
        <w:tc>
          <w:tcPr>
            <w:tcW w:w="0" w:type="auto"/>
            <w:tcBorders>
              <w:top w:val="nil"/>
              <w:left w:val="nil"/>
              <w:bottom w:val="nil"/>
              <w:right w:val="nil"/>
            </w:tcBorders>
            <w:noWrap/>
            <w:vAlign w:val="center"/>
            <w:hideMark/>
          </w:tcPr>
          <w:p w14:paraId="5072479C"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0.24</w:t>
            </w:r>
          </w:p>
        </w:tc>
      </w:tr>
      <w:tr w:rsidR="005B4ECC" w:rsidRPr="00353AE1" w14:paraId="5A4BFA36" w14:textId="77777777" w:rsidTr="00E016A0">
        <w:trPr>
          <w:trHeight w:val="300"/>
          <w:jc w:val="center"/>
        </w:trPr>
        <w:tc>
          <w:tcPr>
            <w:tcW w:w="0" w:type="auto"/>
            <w:tcBorders>
              <w:top w:val="nil"/>
              <w:left w:val="nil"/>
              <w:bottom w:val="nil"/>
              <w:right w:val="nil"/>
            </w:tcBorders>
            <w:noWrap/>
            <w:vAlign w:val="center"/>
            <w:hideMark/>
          </w:tcPr>
          <w:p w14:paraId="587D6A99"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Basic price of industry output</w:t>
            </w:r>
          </w:p>
        </w:tc>
        <w:tc>
          <w:tcPr>
            <w:tcW w:w="0" w:type="auto"/>
            <w:tcBorders>
              <w:top w:val="nil"/>
              <w:left w:val="nil"/>
              <w:bottom w:val="nil"/>
              <w:right w:val="nil"/>
            </w:tcBorders>
            <w:noWrap/>
            <w:vAlign w:val="center"/>
            <w:hideMark/>
          </w:tcPr>
          <w:p w14:paraId="5E6F5316"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-3.50</w:t>
            </w:r>
          </w:p>
        </w:tc>
        <w:tc>
          <w:tcPr>
            <w:tcW w:w="0" w:type="auto"/>
            <w:tcBorders>
              <w:top w:val="nil"/>
              <w:left w:val="nil"/>
              <w:bottom w:val="nil"/>
              <w:right w:val="nil"/>
            </w:tcBorders>
            <w:noWrap/>
            <w:vAlign w:val="center"/>
            <w:hideMark/>
          </w:tcPr>
          <w:p w14:paraId="6FD35538"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-3.33</w:t>
            </w:r>
          </w:p>
        </w:tc>
        <w:tc>
          <w:tcPr>
            <w:tcW w:w="0" w:type="auto"/>
            <w:tcBorders>
              <w:top w:val="nil"/>
              <w:left w:val="nil"/>
              <w:bottom w:val="nil"/>
              <w:right w:val="nil"/>
            </w:tcBorders>
            <w:noWrap/>
            <w:vAlign w:val="center"/>
            <w:hideMark/>
          </w:tcPr>
          <w:p w14:paraId="19794A92"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-1.10</w:t>
            </w:r>
          </w:p>
        </w:tc>
        <w:tc>
          <w:tcPr>
            <w:tcW w:w="0" w:type="auto"/>
            <w:tcBorders>
              <w:top w:val="nil"/>
              <w:left w:val="nil"/>
              <w:bottom w:val="nil"/>
              <w:right w:val="nil"/>
            </w:tcBorders>
            <w:noWrap/>
            <w:vAlign w:val="center"/>
            <w:hideMark/>
          </w:tcPr>
          <w:p w14:paraId="5D2E7504"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-1.04</w:t>
            </w:r>
          </w:p>
        </w:tc>
      </w:tr>
      <w:tr w:rsidR="005B4ECC" w:rsidRPr="00353AE1" w14:paraId="5E191FC5" w14:textId="77777777" w:rsidTr="00E016A0">
        <w:trPr>
          <w:trHeight w:val="300"/>
          <w:jc w:val="center"/>
        </w:trPr>
        <w:tc>
          <w:tcPr>
            <w:tcW w:w="0" w:type="auto"/>
            <w:tcBorders>
              <w:top w:val="nil"/>
              <w:left w:val="nil"/>
              <w:bottom w:val="nil"/>
              <w:right w:val="nil"/>
            </w:tcBorders>
            <w:noWrap/>
            <w:vAlign w:val="bottom"/>
            <w:hideMark/>
          </w:tcPr>
          <w:p w14:paraId="2FCAC8B4" w14:textId="77777777" w:rsidR="005B4ECC" w:rsidRPr="00353AE1" w:rsidRDefault="005B4ECC" w:rsidP="005B4ECC">
            <w:pPr>
              <w:widowControl/>
              <w:jc w:val="center"/>
              <w:rPr>
                <w:rFonts w:eastAsia="Times New Roman"/>
                <w:color w:val="000000"/>
                <w:kern w:val="0"/>
                <w:lang w:val="en-GB"/>
              </w:rPr>
            </w:pPr>
          </w:p>
        </w:tc>
        <w:tc>
          <w:tcPr>
            <w:tcW w:w="0" w:type="auto"/>
            <w:tcBorders>
              <w:top w:val="nil"/>
              <w:left w:val="nil"/>
              <w:bottom w:val="nil"/>
              <w:right w:val="nil"/>
            </w:tcBorders>
            <w:noWrap/>
            <w:vAlign w:val="bottom"/>
            <w:hideMark/>
          </w:tcPr>
          <w:p w14:paraId="11826820" w14:textId="77777777" w:rsidR="005B4ECC" w:rsidRPr="00353AE1" w:rsidRDefault="005B4ECC" w:rsidP="005B4ECC">
            <w:pPr>
              <w:widowControl/>
              <w:jc w:val="left"/>
              <w:rPr>
                <w:rFonts w:eastAsia="Times New Roman"/>
                <w:kern w:val="0"/>
                <w:sz w:val="20"/>
                <w:szCs w:val="20"/>
                <w:lang w:val="en-GB"/>
              </w:rPr>
            </w:pPr>
          </w:p>
        </w:tc>
        <w:tc>
          <w:tcPr>
            <w:tcW w:w="0" w:type="auto"/>
            <w:tcBorders>
              <w:top w:val="nil"/>
              <w:left w:val="nil"/>
              <w:bottom w:val="nil"/>
              <w:right w:val="nil"/>
            </w:tcBorders>
            <w:noWrap/>
            <w:vAlign w:val="bottom"/>
            <w:hideMark/>
          </w:tcPr>
          <w:p w14:paraId="52E15915" w14:textId="77777777" w:rsidR="005B4ECC" w:rsidRPr="00353AE1" w:rsidRDefault="005B4ECC" w:rsidP="005B4ECC">
            <w:pPr>
              <w:widowControl/>
              <w:jc w:val="center"/>
              <w:rPr>
                <w:rFonts w:eastAsia="Times New Roman"/>
                <w:kern w:val="0"/>
                <w:sz w:val="20"/>
                <w:szCs w:val="20"/>
                <w:lang w:val="en-GB"/>
              </w:rPr>
            </w:pPr>
          </w:p>
        </w:tc>
        <w:tc>
          <w:tcPr>
            <w:tcW w:w="0" w:type="auto"/>
            <w:tcBorders>
              <w:top w:val="nil"/>
              <w:left w:val="nil"/>
              <w:bottom w:val="nil"/>
              <w:right w:val="nil"/>
            </w:tcBorders>
            <w:noWrap/>
            <w:vAlign w:val="bottom"/>
            <w:hideMark/>
          </w:tcPr>
          <w:p w14:paraId="2A236315" w14:textId="77777777" w:rsidR="005B4ECC" w:rsidRPr="00353AE1" w:rsidRDefault="005B4ECC" w:rsidP="005B4ECC">
            <w:pPr>
              <w:widowControl/>
              <w:jc w:val="center"/>
              <w:rPr>
                <w:rFonts w:eastAsia="Times New Roman"/>
                <w:kern w:val="0"/>
                <w:sz w:val="20"/>
                <w:szCs w:val="20"/>
                <w:lang w:val="en-GB"/>
              </w:rPr>
            </w:pPr>
          </w:p>
        </w:tc>
        <w:tc>
          <w:tcPr>
            <w:tcW w:w="0" w:type="auto"/>
            <w:tcBorders>
              <w:top w:val="nil"/>
              <w:left w:val="nil"/>
              <w:bottom w:val="nil"/>
              <w:right w:val="nil"/>
            </w:tcBorders>
            <w:noWrap/>
            <w:vAlign w:val="bottom"/>
            <w:hideMark/>
          </w:tcPr>
          <w:p w14:paraId="2A9CD80C" w14:textId="77777777" w:rsidR="005B4ECC" w:rsidRPr="00353AE1" w:rsidRDefault="005B4ECC" w:rsidP="005B4ECC">
            <w:pPr>
              <w:widowControl/>
              <w:jc w:val="center"/>
              <w:rPr>
                <w:rFonts w:eastAsia="Times New Roman"/>
                <w:kern w:val="0"/>
                <w:sz w:val="20"/>
                <w:szCs w:val="20"/>
                <w:lang w:val="en-GB"/>
              </w:rPr>
            </w:pPr>
          </w:p>
        </w:tc>
      </w:tr>
      <w:tr w:rsidR="005B4ECC" w:rsidRPr="00353AE1" w14:paraId="32032E79" w14:textId="77777777" w:rsidTr="00E016A0">
        <w:trPr>
          <w:trHeight w:val="300"/>
          <w:jc w:val="center"/>
        </w:trPr>
        <w:tc>
          <w:tcPr>
            <w:tcW w:w="0" w:type="auto"/>
            <w:tcBorders>
              <w:top w:val="single" w:sz="4" w:space="0" w:color="auto"/>
              <w:left w:val="nil"/>
              <w:bottom w:val="nil"/>
              <w:right w:val="nil"/>
            </w:tcBorders>
            <w:noWrap/>
            <w:vAlign w:val="bottom"/>
            <w:hideMark/>
          </w:tcPr>
          <w:p w14:paraId="04E4B97D" w14:textId="77777777" w:rsidR="005B4ECC" w:rsidRPr="00353AE1" w:rsidRDefault="005B4ECC" w:rsidP="005B4ECC">
            <w:pPr>
              <w:widowControl/>
              <w:jc w:val="left"/>
              <w:rPr>
                <w:rFonts w:eastAsia="Times New Roman"/>
                <w:b/>
                <w:bCs/>
                <w:color w:val="000000"/>
                <w:kern w:val="0"/>
                <w:lang w:val="en-GB"/>
              </w:rPr>
            </w:pPr>
            <w:r w:rsidRPr="00353AE1">
              <w:rPr>
                <w:rFonts w:eastAsia="Times New Roman"/>
                <w:b/>
                <w:bCs/>
                <w:color w:val="000000"/>
                <w:kern w:val="0"/>
                <w:lang w:val="en-GB"/>
              </w:rPr>
              <w:t>Heavy Vehicle</w:t>
            </w:r>
          </w:p>
        </w:tc>
        <w:tc>
          <w:tcPr>
            <w:tcW w:w="0" w:type="auto"/>
            <w:tcBorders>
              <w:top w:val="single" w:sz="4" w:space="0" w:color="auto"/>
              <w:left w:val="nil"/>
              <w:bottom w:val="nil"/>
              <w:right w:val="nil"/>
            </w:tcBorders>
            <w:noWrap/>
            <w:vAlign w:val="bottom"/>
            <w:hideMark/>
          </w:tcPr>
          <w:p w14:paraId="55AC999F"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single" w:sz="4" w:space="0" w:color="auto"/>
              <w:left w:val="nil"/>
              <w:bottom w:val="nil"/>
              <w:right w:val="nil"/>
            </w:tcBorders>
            <w:noWrap/>
            <w:vAlign w:val="bottom"/>
            <w:hideMark/>
          </w:tcPr>
          <w:p w14:paraId="598E3EDA"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2040</w:t>
            </w:r>
          </w:p>
        </w:tc>
        <w:tc>
          <w:tcPr>
            <w:tcW w:w="0" w:type="auto"/>
            <w:tcBorders>
              <w:top w:val="single" w:sz="4" w:space="0" w:color="auto"/>
              <w:left w:val="nil"/>
              <w:bottom w:val="nil"/>
              <w:right w:val="nil"/>
            </w:tcBorders>
            <w:noWrap/>
            <w:vAlign w:val="bottom"/>
            <w:hideMark/>
          </w:tcPr>
          <w:p w14:paraId="410E2615"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single" w:sz="4" w:space="0" w:color="auto"/>
              <w:left w:val="nil"/>
              <w:bottom w:val="nil"/>
              <w:right w:val="nil"/>
            </w:tcBorders>
            <w:noWrap/>
            <w:vAlign w:val="bottom"/>
            <w:hideMark/>
          </w:tcPr>
          <w:p w14:paraId="56D7DB41"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2040</w:t>
            </w:r>
          </w:p>
        </w:tc>
      </w:tr>
      <w:tr w:rsidR="005B4ECC" w:rsidRPr="00353AE1" w14:paraId="671963F5" w14:textId="77777777" w:rsidTr="00E016A0">
        <w:trPr>
          <w:trHeight w:val="300"/>
          <w:jc w:val="center"/>
        </w:trPr>
        <w:tc>
          <w:tcPr>
            <w:tcW w:w="0" w:type="auto"/>
            <w:tcBorders>
              <w:top w:val="nil"/>
              <w:left w:val="nil"/>
              <w:bottom w:val="single" w:sz="4" w:space="0" w:color="auto"/>
              <w:right w:val="nil"/>
            </w:tcBorders>
            <w:noWrap/>
            <w:vAlign w:val="bottom"/>
            <w:hideMark/>
          </w:tcPr>
          <w:p w14:paraId="3F1A93FA"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 </w:t>
            </w:r>
          </w:p>
        </w:tc>
        <w:tc>
          <w:tcPr>
            <w:tcW w:w="0" w:type="auto"/>
            <w:gridSpan w:val="2"/>
            <w:tcBorders>
              <w:top w:val="nil"/>
              <w:left w:val="nil"/>
              <w:bottom w:val="single" w:sz="4" w:space="0" w:color="auto"/>
              <w:right w:val="nil"/>
            </w:tcBorders>
            <w:noWrap/>
            <w:vAlign w:val="bottom"/>
            <w:hideMark/>
          </w:tcPr>
          <w:p w14:paraId="79ABA440" w14:textId="77777777" w:rsidR="005B4ECC" w:rsidRPr="00353AE1" w:rsidRDefault="005B4ECC" w:rsidP="005B4ECC">
            <w:pPr>
              <w:widowControl/>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c>
          <w:tcPr>
            <w:tcW w:w="0" w:type="auto"/>
            <w:gridSpan w:val="2"/>
            <w:tcBorders>
              <w:top w:val="nil"/>
              <w:left w:val="nil"/>
              <w:bottom w:val="single" w:sz="4" w:space="0" w:color="auto"/>
              <w:right w:val="nil"/>
            </w:tcBorders>
            <w:noWrap/>
            <w:vAlign w:val="bottom"/>
            <w:hideMark/>
          </w:tcPr>
          <w:p w14:paraId="48C92190" w14:textId="77777777" w:rsidR="005B4ECC" w:rsidRPr="00353AE1" w:rsidRDefault="005B4ECC" w:rsidP="005B4ECC">
            <w:pPr>
              <w:widowControl/>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r>
      <w:tr w:rsidR="005B4ECC" w:rsidRPr="00353AE1" w14:paraId="7BD92039" w14:textId="77777777" w:rsidTr="00E016A0">
        <w:trPr>
          <w:trHeight w:val="300"/>
          <w:jc w:val="center"/>
        </w:trPr>
        <w:tc>
          <w:tcPr>
            <w:tcW w:w="0" w:type="auto"/>
            <w:tcBorders>
              <w:top w:val="nil"/>
              <w:left w:val="nil"/>
              <w:bottom w:val="nil"/>
              <w:right w:val="nil"/>
            </w:tcBorders>
            <w:noWrap/>
            <w:vAlign w:val="center"/>
            <w:hideMark/>
          </w:tcPr>
          <w:p w14:paraId="541C9541"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Sectoral output</w:t>
            </w:r>
          </w:p>
        </w:tc>
        <w:tc>
          <w:tcPr>
            <w:tcW w:w="0" w:type="auto"/>
            <w:tcBorders>
              <w:top w:val="nil"/>
              <w:left w:val="nil"/>
              <w:bottom w:val="nil"/>
              <w:right w:val="nil"/>
            </w:tcBorders>
            <w:noWrap/>
            <w:vAlign w:val="center"/>
            <w:hideMark/>
          </w:tcPr>
          <w:p w14:paraId="6796C3FD"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-0.21</w:t>
            </w:r>
          </w:p>
        </w:tc>
        <w:tc>
          <w:tcPr>
            <w:tcW w:w="0" w:type="auto"/>
            <w:tcBorders>
              <w:top w:val="nil"/>
              <w:left w:val="nil"/>
              <w:bottom w:val="nil"/>
              <w:right w:val="nil"/>
            </w:tcBorders>
            <w:noWrap/>
            <w:vAlign w:val="center"/>
            <w:hideMark/>
          </w:tcPr>
          <w:p w14:paraId="1DE9B7E6"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-0.19</w:t>
            </w:r>
          </w:p>
        </w:tc>
        <w:tc>
          <w:tcPr>
            <w:tcW w:w="0" w:type="auto"/>
            <w:tcBorders>
              <w:top w:val="nil"/>
              <w:left w:val="nil"/>
              <w:bottom w:val="nil"/>
              <w:right w:val="nil"/>
            </w:tcBorders>
            <w:noWrap/>
            <w:vAlign w:val="center"/>
            <w:hideMark/>
          </w:tcPr>
          <w:p w14:paraId="2A40B71E"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-0.06</w:t>
            </w:r>
          </w:p>
        </w:tc>
        <w:tc>
          <w:tcPr>
            <w:tcW w:w="0" w:type="auto"/>
            <w:tcBorders>
              <w:top w:val="nil"/>
              <w:left w:val="nil"/>
              <w:bottom w:val="nil"/>
              <w:right w:val="nil"/>
            </w:tcBorders>
            <w:noWrap/>
            <w:vAlign w:val="center"/>
            <w:hideMark/>
          </w:tcPr>
          <w:p w14:paraId="0FBDB518"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-0.06</w:t>
            </w:r>
          </w:p>
        </w:tc>
      </w:tr>
      <w:tr w:rsidR="005B4ECC" w:rsidRPr="00353AE1" w14:paraId="704E995C" w14:textId="77777777" w:rsidTr="00E016A0">
        <w:trPr>
          <w:trHeight w:val="315"/>
          <w:jc w:val="center"/>
        </w:trPr>
        <w:tc>
          <w:tcPr>
            <w:tcW w:w="0" w:type="auto"/>
            <w:tcBorders>
              <w:top w:val="nil"/>
              <w:left w:val="nil"/>
              <w:bottom w:val="double" w:sz="6" w:space="0" w:color="auto"/>
              <w:right w:val="nil"/>
            </w:tcBorders>
            <w:noWrap/>
            <w:vAlign w:val="center"/>
            <w:hideMark/>
          </w:tcPr>
          <w:p w14:paraId="53B627FC" w14:textId="77777777" w:rsidR="005B4ECC" w:rsidRPr="00353AE1" w:rsidRDefault="005B4ECC" w:rsidP="005B4ECC">
            <w:pPr>
              <w:widowControl/>
              <w:jc w:val="left"/>
              <w:rPr>
                <w:rFonts w:eastAsia="Times New Roman"/>
                <w:color w:val="000000"/>
                <w:kern w:val="0"/>
                <w:lang w:val="en-GB"/>
              </w:rPr>
            </w:pPr>
            <w:r w:rsidRPr="00353AE1">
              <w:rPr>
                <w:rFonts w:eastAsia="Times New Roman"/>
                <w:color w:val="000000"/>
                <w:kern w:val="0"/>
                <w:lang w:val="en-GB"/>
              </w:rPr>
              <w:t>Basic price of industry output</w:t>
            </w:r>
          </w:p>
        </w:tc>
        <w:tc>
          <w:tcPr>
            <w:tcW w:w="0" w:type="auto"/>
            <w:tcBorders>
              <w:top w:val="nil"/>
              <w:left w:val="nil"/>
              <w:bottom w:val="double" w:sz="6" w:space="0" w:color="auto"/>
              <w:right w:val="nil"/>
            </w:tcBorders>
            <w:noWrap/>
            <w:vAlign w:val="center"/>
            <w:hideMark/>
          </w:tcPr>
          <w:p w14:paraId="0E28E35D"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-0.18</w:t>
            </w:r>
          </w:p>
        </w:tc>
        <w:tc>
          <w:tcPr>
            <w:tcW w:w="0" w:type="auto"/>
            <w:tcBorders>
              <w:top w:val="nil"/>
              <w:left w:val="nil"/>
              <w:bottom w:val="double" w:sz="6" w:space="0" w:color="auto"/>
              <w:right w:val="nil"/>
            </w:tcBorders>
            <w:noWrap/>
            <w:vAlign w:val="center"/>
            <w:hideMark/>
          </w:tcPr>
          <w:p w14:paraId="51A72114"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-0.10</w:t>
            </w:r>
          </w:p>
        </w:tc>
        <w:tc>
          <w:tcPr>
            <w:tcW w:w="0" w:type="auto"/>
            <w:tcBorders>
              <w:top w:val="nil"/>
              <w:left w:val="nil"/>
              <w:bottom w:val="double" w:sz="6" w:space="0" w:color="auto"/>
              <w:right w:val="nil"/>
            </w:tcBorders>
            <w:noWrap/>
            <w:vAlign w:val="center"/>
            <w:hideMark/>
          </w:tcPr>
          <w:p w14:paraId="13ACE23F"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-0.06</w:t>
            </w:r>
          </w:p>
        </w:tc>
        <w:tc>
          <w:tcPr>
            <w:tcW w:w="0" w:type="auto"/>
            <w:tcBorders>
              <w:top w:val="nil"/>
              <w:left w:val="nil"/>
              <w:bottom w:val="double" w:sz="6" w:space="0" w:color="auto"/>
              <w:right w:val="nil"/>
            </w:tcBorders>
            <w:noWrap/>
            <w:vAlign w:val="center"/>
            <w:hideMark/>
          </w:tcPr>
          <w:p w14:paraId="6A704687" w14:textId="77777777" w:rsidR="005B4ECC" w:rsidRPr="00353AE1" w:rsidRDefault="005B4ECC" w:rsidP="005B4ECC">
            <w:pPr>
              <w:widowControl/>
              <w:jc w:val="center"/>
              <w:rPr>
                <w:rFonts w:eastAsia="Times New Roman"/>
                <w:color w:val="000000"/>
                <w:kern w:val="0"/>
                <w:lang w:val="en-GB"/>
              </w:rPr>
            </w:pPr>
            <w:r w:rsidRPr="00353AE1">
              <w:rPr>
                <w:rFonts w:eastAsia="Times New Roman"/>
                <w:color w:val="000000"/>
                <w:kern w:val="0"/>
                <w:lang w:val="en-GB"/>
              </w:rPr>
              <w:t>-0.03</w:t>
            </w:r>
          </w:p>
        </w:tc>
      </w:tr>
    </w:tbl>
    <w:p w14:paraId="7FFD613A" w14:textId="77777777" w:rsidR="005B4ECC" w:rsidRPr="00353AE1" w:rsidRDefault="005B4ECC" w:rsidP="00E016A0"/>
    <w:p w14:paraId="521805B2" w14:textId="77777777" w:rsidR="002E75A1" w:rsidRPr="00353AE1" w:rsidRDefault="002E75A1" w:rsidP="003E7233">
      <w:pPr>
        <w:spacing w:after="120"/>
        <w:jc w:val="left"/>
      </w:pPr>
    </w:p>
    <w:p w14:paraId="1D1AD68E" w14:textId="6329A25F" w:rsidR="009D0655" w:rsidRPr="00353AE1" w:rsidRDefault="009D0655" w:rsidP="003E7233">
      <w:pPr>
        <w:pStyle w:val="Heading2"/>
        <w:spacing w:before="0" w:after="120"/>
        <w:rPr>
          <w:rFonts w:cs="Calibri"/>
        </w:rPr>
      </w:pPr>
      <w:bookmarkStart w:id="34" w:name="_Toc234277234"/>
      <w:r w:rsidRPr="00353AE1">
        <w:rPr>
          <w:rStyle w:val="SubtleEmphasis"/>
          <w:rFonts w:cs="Calibri"/>
          <w:i w:val="0"/>
          <w:iCs w:val="0"/>
          <w:color w:val="auto"/>
        </w:rPr>
        <w:t>4.</w:t>
      </w:r>
      <w:r w:rsidR="00BC415C" w:rsidRPr="00353AE1">
        <w:rPr>
          <w:rStyle w:val="SubtleEmphasis"/>
          <w:rFonts w:cs="Calibri"/>
          <w:i w:val="0"/>
          <w:iCs w:val="0"/>
          <w:color w:val="auto"/>
        </w:rPr>
        <w:t>2</w:t>
      </w:r>
      <w:r w:rsidRPr="00353AE1">
        <w:rPr>
          <w:rStyle w:val="SubtleEmphasis"/>
          <w:rFonts w:cs="Calibri"/>
          <w:i w:val="0"/>
          <w:iCs w:val="0"/>
          <w:color w:val="auto"/>
        </w:rPr>
        <w:t xml:space="preserve"> National </w:t>
      </w:r>
      <w:r w:rsidR="00C11C5D" w:rsidRPr="00353AE1">
        <w:rPr>
          <w:rStyle w:val="SubtleEmphasis"/>
          <w:rFonts w:cs="Calibri"/>
          <w:i w:val="0"/>
          <w:iCs w:val="0"/>
          <w:color w:val="auto"/>
        </w:rPr>
        <w:t>macroeconomic impacts</w:t>
      </w:r>
      <w:bookmarkEnd w:id="34"/>
    </w:p>
    <w:p w14:paraId="2952A53D" w14:textId="00B3BB19" w:rsidR="00305016" w:rsidRPr="00353AE1" w:rsidRDefault="001D3BD3" w:rsidP="003E7233">
      <w:pPr>
        <w:spacing w:after="120"/>
        <w:jc w:val="left"/>
      </w:pPr>
      <w:r w:rsidRPr="00353AE1">
        <w:t>The combined effect of a nationwide Road Freight MFP improvement and higher public demand for civil engineering construction is positive for the Australian economy overall.</w:t>
      </w:r>
      <w:r w:rsidR="00DC5369" w:rsidRPr="00353AE1">
        <w:t xml:space="preserve"> </w:t>
      </w:r>
      <w:r w:rsidR="00305016" w:rsidRPr="00353AE1">
        <w:t xml:space="preserve">Table </w:t>
      </w:r>
      <w:r w:rsidR="00422182" w:rsidRPr="00353AE1">
        <w:t>6</w:t>
      </w:r>
      <w:r w:rsidR="00305016" w:rsidRPr="00353AE1">
        <w:t xml:space="preserve"> summarises the national macroeconomic results for Scenario </w:t>
      </w:r>
      <w:r w:rsidR="00DC5369" w:rsidRPr="00353AE1">
        <w:t>1</w:t>
      </w:r>
      <w:r w:rsidR="00305016" w:rsidRPr="00353AE1">
        <w:t>.</w:t>
      </w:r>
    </w:p>
    <w:p w14:paraId="714E06B7" w14:textId="0A9B8749" w:rsidR="001F2DDC" w:rsidRPr="00353AE1" w:rsidRDefault="00B64638" w:rsidP="003E7233">
      <w:pPr>
        <w:spacing w:after="120"/>
        <w:jc w:val="left"/>
      </w:pPr>
      <w:r w:rsidRPr="00353AE1">
        <w:t>On impact</w:t>
      </w:r>
      <w:r w:rsidR="001D3BD3" w:rsidRPr="00353AE1">
        <w:t>, real GDP rises by 0.09 per cent relative to baseline. Real household consumption, real investment</w:t>
      </w:r>
      <w:r w:rsidR="002C03F7" w:rsidRPr="00353AE1">
        <w:t>,</w:t>
      </w:r>
      <w:r w:rsidR="001D3BD3" w:rsidRPr="00353AE1">
        <w:t xml:space="preserve"> and real government consumption rise by 0.0</w:t>
      </w:r>
      <w:r w:rsidR="002C03F7" w:rsidRPr="00353AE1">
        <w:t>5</w:t>
      </w:r>
      <w:r w:rsidR="001D3BD3" w:rsidRPr="00353AE1">
        <w:t xml:space="preserve"> per cent, 0.0</w:t>
      </w:r>
      <w:r w:rsidR="002C03F7" w:rsidRPr="00353AE1">
        <w:t>3</w:t>
      </w:r>
      <w:r w:rsidR="001D3BD3" w:rsidRPr="00353AE1">
        <w:t xml:space="preserve"> per cent and </w:t>
      </w:r>
      <w:r w:rsidR="00FE620E" w:rsidRPr="00353AE1">
        <w:t>0.19</w:t>
      </w:r>
      <w:r w:rsidR="001D3BD3" w:rsidRPr="00353AE1">
        <w:t xml:space="preserve"> per cent respectively, reflecting stronger domestic demand. </w:t>
      </w:r>
      <w:r w:rsidR="006B73EB" w:rsidRPr="00353AE1">
        <w:t xml:space="preserve">In particular, the rise </w:t>
      </w:r>
      <w:r w:rsidR="00F85925" w:rsidRPr="00353AE1">
        <w:t>in real</w:t>
      </w:r>
      <w:r w:rsidR="00AD719E" w:rsidRPr="00353AE1">
        <w:t xml:space="preserve"> federal and state/local</w:t>
      </w:r>
      <w:r w:rsidR="00F85925" w:rsidRPr="00353AE1">
        <w:t xml:space="preserve"> government consumption </w:t>
      </w:r>
      <w:r w:rsidR="00554CEB" w:rsidRPr="00353AE1">
        <w:t>reflects</w:t>
      </w:r>
      <w:r w:rsidR="00F85925" w:rsidRPr="00353AE1">
        <w:t xml:space="preserve"> the</w:t>
      </w:r>
      <w:r w:rsidR="00B5638A" w:rsidRPr="00353AE1">
        <w:t xml:space="preserve"> federal and state share of</w:t>
      </w:r>
      <w:r w:rsidR="00F85925" w:rsidRPr="00353AE1">
        <w:t xml:space="preserve"> </w:t>
      </w:r>
      <w:r w:rsidR="00F85925" w:rsidRPr="00353AE1">
        <w:lastRenderedPageBreak/>
        <w:t xml:space="preserve">additional public expenditure on road-related maintenance and repair. </w:t>
      </w:r>
      <w:r w:rsidR="00E64586" w:rsidRPr="00353AE1">
        <w:t>R</w:t>
      </w:r>
      <w:r w:rsidR="001D3BD3" w:rsidRPr="00353AE1">
        <w:t>eal export volumes increas</w:t>
      </w:r>
      <w:r w:rsidR="00BD3D60" w:rsidRPr="00353AE1">
        <w:t>e</w:t>
      </w:r>
      <w:r w:rsidR="001D3BD3" w:rsidRPr="00353AE1">
        <w:t xml:space="preserve"> by 0.</w:t>
      </w:r>
      <w:r w:rsidR="009F5471" w:rsidRPr="00353AE1">
        <w:t xml:space="preserve">08 </w:t>
      </w:r>
      <w:r w:rsidR="001D3BD3" w:rsidRPr="00353AE1">
        <w:t xml:space="preserve">per cent </w:t>
      </w:r>
      <w:r w:rsidR="00530E14" w:rsidRPr="00353AE1">
        <w:t xml:space="preserve">as </w:t>
      </w:r>
      <w:r w:rsidR="001D3BD3" w:rsidRPr="00353AE1">
        <w:t>trade-exposed industries</w:t>
      </w:r>
      <w:r w:rsidR="00530E14" w:rsidRPr="00353AE1">
        <w:t xml:space="preserve"> benefit from</w:t>
      </w:r>
      <w:r w:rsidR="001D3BD3" w:rsidRPr="00353AE1">
        <w:t xml:space="preserve"> lower freight costs</w:t>
      </w:r>
      <w:r w:rsidR="006B7AF3" w:rsidRPr="00353AE1">
        <w:t>. Real import volumes increase by 0.</w:t>
      </w:r>
      <w:r w:rsidR="00653AAE" w:rsidRPr="00353AE1">
        <w:t xml:space="preserve">03 </w:t>
      </w:r>
      <w:r w:rsidR="006B7AF3" w:rsidRPr="00353AE1">
        <w:t xml:space="preserve">per cent, which is </w:t>
      </w:r>
      <w:r w:rsidR="00835D7F" w:rsidRPr="00353AE1">
        <w:t>driven</w:t>
      </w:r>
      <w:r w:rsidR="001D3BD3" w:rsidRPr="00353AE1">
        <w:t xml:space="preserve"> </w:t>
      </w:r>
      <w:r w:rsidR="00835D7F" w:rsidRPr="00353AE1">
        <w:t>by</w:t>
      </w:r>
      <w:r w:rsidR="001D3BD3" w:rsidRPr="00353AE1">
        <w:t xml:space="preserve"> stronger domestic demand. </w:t>
      </w:r>
    </w:p>
    <w:p w14:paraId="45908254" w14:textId="667A2AFE" w:rsidR="001F2DDC" w:rsidRPr="00353AE1" w:rsidRDefault="001F2DDC">
      <w:pPr>
        <w:spacing w:after="120"/>
        <w:jc w:val="left"/>
      </w:pPr>
      <w:r w:rsidRPr="00353AE1">
        <w:t>National labour market outcomes are also positive, as road-freight-using sectors expand and generate stronger labour demand across the economy. National employment rises by 0.</w:t>
      </w:r>
      <w:r w:rsidR="00DA6F85" w:rsidRPr="00353AE1">
        <w:t xml:space="preserve">037 </w:t>
      </w:r>
      <w:r w:rsidRPr="00353AE1">
        <w:t>per cent in persons in 2026 and remains 0.01</w:t>
      </w:r>
      <w:r w:rsidR="00DA6F85" w:rsidRPr="00353AE1">
        <w:t>7</w:t>
      </w:r>
      <w:r w:rsidRPr="00353AE1">
        <w:t xml:space="preserve"> per cent above baseline by 2040. Wage-bill-weighted employment also rises, although by a slightly smaller amount. This </w:t>
      </w:r>
      <w:r w:rsidR="00FA2022" w:rsidRPr="00353AE1">
        <w:t xml:space="preserve">gap </w:t>
      </w:r>
      <w:r w:rsidRPr="00353AE1">
        <w:t>reflects differences in wage-bill weights across industries when labour reallocates. Part of the labour released from the Road Freight sector, which has relatively higher wage rates, is absorbed by sectors with relatively lower wage-bill weights, such as agriculture. Relative to baseline, the unemployment rate falls by 0.0</w:t>
      </w:r>
      <w:r w:rsidR="004A368E" w:rsidRPr="00353AE1">
        <w:t>4</w:t>
      </w:r>
      <w:r w:rsidRPr="00353AE1">
        <w:t xml:space="preserve"> percentage points in 2026 and gradually returns toward baseline over time. </w:t>
      </w:r>
    </w:p>
    <w:p w14:paraId="2F76EFE5" w14:textId="77777777" w:rsidR="00714337" w:rsidRPr="00353AE1" w:rsidRDefault="00714337">
      <w:pPr>
        <w:spacing w:after="120"/>
        <w:jc w:val="left"/>
      </w:pPr>
    </w:p>
    <w:p w14:paraId="08391D83" w14:textId="107EB9DE" w:rsidR="003301BB" w:rsidRPr="00353AE1" w:rsidRDefault="003301BB" w:rsidP="00D77C8E">
      <w:pPr>
        <w:pStyle w:val="Caption"/>
        <w:keepNext/>
        <w:spacing w:after="120"/>
        <w:jc w:val="center"/>
        <w:rPr>
          <w:sz w:val="22"/>
          <w:szCs w:val="22"/>
        </w:rPr>
      </w:pPr>
      <w:bookmarkStart w:id="35" w:name="_Toc230696728"/>
      <w:bookmarkStart w:id="36" w:name="_Toc230710346"/>
      <w:bookmarkStart w:id="37" w:name="_Toc230710392"/>
      <w:bookmarkStart w:id="38" w:name="_Toc230711115"/>
      <w:bookmarkStart w:id="39" w:name="_Toc231907810"/>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6</w:t>
      </w:r>
      <w:r w:rsidR="00DF6059" w:rsidRPr="00353AE1">
        <w:rPr>
          <w:sz w:val="22"/>
          <w:szCs w:val="22"/>
        </w:rPr>
        <w:fldChar w:fldCharType="end"/>
      </w:r>
      <w:r w:rsidRPr="00353AE1">
        <w:rPr>
          <w:sz w:val="22"/>
          <w:szCs w:val="22"/>
        </w:rPr>
        <w:t>. National Macro</w:t>
      </w:r>
      <w:r w:rsidR="0066724B" w:rsidRPr="00353AE1">
        <w:rPr>
          <w:sz w:val="22"/>
          <w:szCs w:val="22"/>
        </w:rPr>
        <w:t>economic</w:t>
      </w:r>
      <w:r w:rsidRPr="00353AE1">
        <w:rPr>
          <w:sz w:val="22"/>
          <w:szCs w:val="22"/>
        </w:rPr>
        <w:t xml:space="preserve"> Variables</w:t>
      </w:r>
      <w:r w:rsidR="005862D7" w:rsidRPr="00353AE1">
        <w:rPr>
          <w:sz w:val="22"/>
          <w:szCs w:val="22"/>
        </w:rPr>
        <w:t xml:space="preserve"> (</w:t>
      </w:r>
      <w:r w:rsidRPr="00353AE1">
        <w:rPr>
          <w:sz w:val="22"/>
          <w:szCs w:val="22"/>
        </w:rPr>
        <w:t>Scenario 1</w:t>
      </w:r>
      <w:bookmarkEnd w:id="35"/>
      <w:r w:rsidR="005862D7" w:rsidRPr="00353AE1">
        <w:rPr>
          <w:sz w:val="22"/>
          <w:szCs w:val="22"/>
        </w:rPr>
        <w:t>)</w:t>
      </w:r>
      <w:bookmarkEnd w:id="36"/>
      <w:bookmarkEnd w:id="37"/>
      <w:bookmarkEnd w:id="38"/>
      <w:bookmarkEnd w:id="39"/>
    </w:p>
    <w:tbl>
      <w:tblPr>
        <w:tblW w:w="5000" w:type="pct"/>
        <w:tblLook w:val="04A0" w:firstRow="1" w:lastRow="0" w:firstColumn="1" w:lastColumn="0" w:noHBand="0" w:noVBand="1"/>
      </w:tblPr>
      <w:tblGrid>
        <w:gridCol w:w="3784"/>
        <w:gridCol w:w="1131"/>
        <w:gridCol w:w="1130"/>
        <w:gridCol w:w="1131"/>
        <w:gridCol w:w="1130"/>
      </w:tblGrid>
      <w:tr w:rsidR="00E43284" w:rsidRPr="00353AE1" w14:paraId="0C6BFA2D" w14:textId="77777777" w:rsidTr="00E016A0">
        <w:trPr>
          <w:trHeight w:val="300"/>
        </w:trPr>
        <w:tc>
          <w:tcPr>
            <w:tcW w:w="1795" w:type="pct"/>
            <w:tcBorders>
              <w:top w:val="single" w:sz="4" w:space="0" w:color="auto"/>
              <w:left w:val="nil"/>
              <w:bottom w:val="single" w:sz="4" w:space="0" w:color="auto"/>
              <w:right w:val="nil"/>
            </w:tcBorders>
            <w:noWrap/>
            <w:vAlign w:val="bottom"/>
            <w:hideMark/>
          </w:tcPr>
          <w:p w14:paraId="734E3A2C" w14:textId="77777777" w:rsidR="00E43284" w:rsidRPr="00353AE1" w:rsidRDefault="00E43284" w:rsidP="00E43284">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1647" w:type="pct"/>
            <w:gridSpan w:val="2"/>
            <w:tcBorders>
              <w:top w:val="single" w:sz="4" w:space="0" w:color="auto"/>
              <w:left w:val="nil"/>
              <w:bottom w:val="single" w:sz="4" w:space="0" w:color="auto"/>
              <w:right w:val="nil"/>
            </w:tcBorders>
            <w:noWrap/>
            <w:vAlign w:val="bottom"/>
            <w:hideMark/>
          </w:tcPr>
          <w:p w14:paraId="1B1A95CF" w14:textId="77777777" w:rsidR="00E43284" w:rsidRPr="00353AE1" w:rsidRDefault="00E43284" w:rsidP="00E43284">
            <w:pPr>
              <w:widowControl/>
              <w:jc w:val="center"/>
              <w:rPr>
                <w:rFonts w:eastAsia="Times New Roman"/>
                <w:b/>
                <w:bCs/>
                <w:color w:val="000000"/>
                <w:kern w:val="0"/>
                <w:lang w:val="en-GB"/>
              </w:rPr>
            </w:pPr>
            <w:r w:rsidRPr="00353AE1">
              <w:rPr>
                <w:rFonts w:eastAsia="Times New Roman"/>
                <w:b/>
                <w:bCs/>
                <w:color w:val="000000"/>
                <w:kern w:val="0"/>
                <w:lang w:val="en-GB"/>
              </w:rPr>
              <w:t>Scenario 1A</w:t>
            </w:r>
          </w:p>
        </w:tc>
        <w:tc>
          <w:tcPr>
            <w:tcW w:w="1557" w:type="pct"/>
            <w:gridSpan w:val="2"/>
            <w:tcBorders>
              <w:top w:val="single" w:sz="4" w:space="0" w:color="auto"/>
              <w:left w:val="nil"/>
              <w:bottom w:val="single" w:sz="4" w:space="0" w:color="auto"/>
              <w:right w:val="nil"/>
            </w:tcBorders>
            <w:noWrap/>
            <w:vAlign w:val="bottom"/>
            <w:hideMark/>
          </w:tcPr>
          <w:p w14:paraId="65F1E85C" w14:textId="77777777" w:rsidR="00E43284" w:rsidRPr="00353AE1" w:rsidRDefault="00E43284" w:rsidP="00E43284">
            <w:pPr>
              <w:widowControl/>
              <w:jc w:val="center"/>
              <w:rPr>
                <w:rFonts w:eastAsia="Times New Roman"/>
                <w:b/>
                <w:bCs/>
                <w:color w:val="000000"/>
                <w:kern w:val="0"/>
                <w:lang w:val="en-GB"/>
              </w:rPr>
            </w:pPr>
            <w:r w:rsidRPr="00353AE1">
              <w:rPr>
                <w:rFonts w:eastAsia="Times New Roman"/>
                <w:b/>
                <w:bCs/>
                <w:color w:val="000000"/>
                <w:kern w:val="0"/>
                <w:lang w:val="en-GB"/>
              </w:rPr>
              <w:t>Scenario 1B</w:t>
            </w:r>
          </w:p>
        </w:tc>
      </w:tr>
      <w:tr w:rsidR="00E43284" w:rsidRPr="00353AE1" w14:paraId="5C73DC07" w14:textId="77777777" w:rsidTr="00E016A0">
        <w:trPr>
          <w:trHeight w:val="300"/>
        </w:trPr>
        <w:tc>
          <w:tcPr>
            <w:tcW w:w="1795" w:type="pct"/>
            <w:tcBorders>
              <w:top w:val="nil"/>
              <w:left w:val="nil"/>
              <w:bottom w:val="nil"/>
              <w:right w:val="nil"/>
            </w:tcBorders>
            <w:noWrap/>
            <w:vAlign w:val="bottom"/>
            <w:hideMark/>
          </w:tcPr>
          <w:p w14:paraId="25694147" w14:textId="77777777" w:rsidR="00E43284" w:rsidRPr="00353AE1" w:rsidRDefault="00E43284" w:rsidP="00E43284">
            <w:pPr>
              <w:widowControl/>
              <w:jc w:val="left"/>
              <w:rPr>
                <w:rFonts w:eastAsia="Times New Roman"/>
                <w:b/>
                <w:bCs/>
                <w:color w:val="000000"/>
                <w:kern w:val="0"/>
                <w:lang w:val="en-GB"/>
              </w:rPr>
            </w:pPr>
            <w:r w:rsidRPr="00353AE1">
              <w:rPr>
                <w:rFonts w:eastAsia="Times New Roman"/>
                <w:b/>
                <w:bCs/>
                <w:color w:val="000000"/>
                <w:kern w:val="0"/>
                <w:lang w:val="en-GB"/>
              </w:rPr>
              <w:t>National macro variable</w:t>
            </w:r>
          </w:p>
        </w:tc>
        <w:tc>
          <w:tcPr>
            <w:tcW w:w="824" w:type="pct"/>
            <w:tcBorders>
              <w:top w:val="nil"/>
              <w:left w:val="nil"/>
              <w:bottom w:val="nil"/>
              <w:right w:val="nil"/>
            </w:tcBorders>
            <w:noWrap/>
            <w:vAlign w:val="bottom"/>
            <w:hideMark/>
          </w:tcPr>
          <w:p w14:paraId="51FA0BB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2026</w:t>
            </w:r>
          </w:p>
        </w:tc>
        <w:tc>
          <w:tcPr>
            <w:tcW w:w="824" w:type="pct"/>
            <w:tcBorders>
              <w:top w:val="nil"/>
              <w:left w:val="nil"/>
              <w:bottom w:val="nil"/>
              <w:right w:val="nil"/>
            </w:tcBorders>
            <w:noWrap/>
            <w:vAlign w:val="bottom"/>
            <w:hideMark/>
          </w:tcPr>
          <w:p w14:paraId="00A0844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2040</w:t>
            </w:r>
          </w:p>
        </w:tc>
        <w:tc>
          <w:tcPr>
            <w:tcW w:w="779" w:type="pct"/>
            <w:tcBorders>
              <w:top w:val="nil"/>
              <w:left w:val="nil"/>
              <w:bottom w:val="nil"/>
              <w:right w:val="nil"/>
            </w:tcBorders>
            <w:noWrap/>
            <w:vAlign w:val="bottom"/>
            <w:hideMark/>
          </w:tcPr>
          <w:p w14:paraId="28FEBFD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2026</w:t>
            </w:r>
          </w:p>
        </w:tc>
        <w:tc>
          <w:tcPr>
            <w:tcW w:w="779" w:type="pct"/>
            <w:tcBorders>
              <w:top w:val="nil"/>
              <w:left w:val="nil"/>
              <w:bottom w:val="nil"/>
              <w:right w:val="nil"/>
            </w:tcBorders>
            <w:noWrap/>
            <w:vAlign w:val="bottom"/>
            <w:hideMark/>
          </w:tcPr>
          <w:p w14:paraId="5011F86A"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2040</w:t>
            </w:r>
          </w:p>
        </w:tc>
      </w:tr>
      <w:tr w:rsidR="00E43284" w:rsidRPr="00353AE1" w14:paraId="2AB48D95" w14:textId="77777777" w:rsidTr="00E016A0">
        <w:trPr>
          <w:trHeight w:val="300"/>
        </w:trPr>
        <w:tc>
          <w:tcPr>
            <w:tcW w:w="1795" w:type="pct"/>
            <w:tcBorders>
              <w:top w:val="nil"/>
              <w:left w:val="nil"/>
              <w:bottom w:val="single" w:sz="4" w:space="0" w:color="auto"/>
              <w:right w:val="nil"/>
            </w:tcBorders>
            <w:noWrap/>
            <w:vAlign w:val="bottom"/>
            <w:hideMark/>
          </w:tcPr>
          <w:p w14:paraId="63CCCEB5" w14:textId="77777777" w:rsidR="00E43284" w:rsidRPr="00353AE1" w:rsidRDefault="00E43284" w:rsidP="00E43284">
            <w:pPr>
              <w:widowControl/>
              <w:jc w:val="left"/>
              <w:rPr>
                <w:rFonts w:eastAsia="Times New Roman"/>
                <w:i/>
                <w:iCs/>
                <w:color w:val="000000"/>
                <w:kern w:val="0"/>
                <w:sz w:val="20"/>
                <w:szCs w:val="20"/>
                <w:lang w:val="en-GB"/>
              </w:rPr>
            </w:pPr>
            <w:r w:rsidRPr="00353AE1">
              <w:rPr>
                <w:rFonts w:eastAsia="Times New Roman"/>
                <w:i/>
                <w:iCs/>
                <w:color w:val="000000"/>
                <w:kern w:val="0"/>
                <w:sz w:val="20"/>
                <w:szCs w:val="20"/>
                <w:lang w:val="en-GB"/>
              </w:rPr>
              <w:t> </w:t>
            </w:r>
          </w:p>
        </w:tc>
        <w:tc>
          <w:tcPr>
            <w:tcW w:w="1647" w:type="pct"/>
            <w:gridSpan w:val="2"/>
            <w:tcBorders>
              <w:top w:val="nil"/>
              <w:left w:val="nil"/>
              <w:bottom w:val="single" w:sz="4" w:space="0" w:color="auto"/>
              <w:right w:val="nil"/>
            </w:tcBorders>
            <w:noWrap/>
            <w:vAlign w:val="bottom"/>
            <w:hideMark/>
          </w:tcPr>
          <w:p w14:paraId="4322F19C" w14:textId="77777777" w:rsidR="00E43284" w:rsidRPr="00353AE1" w:rsidRDefault="00E43284" w:rsidP="009E3407">
            <w:pPr>
              <w:widowControl/>
              <w:spacing w:line="240" w:lineRule="exact"/>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c>
          <w:tcPr>
            <w:tcW w:w="1557" w:type="pct"/>
            <w:gridSpan w:val="2"/>
            <w:tcBorders>
              <w:top w:val="nil"/>
              <w:left w:val="nil"/>
              <w:bottom w:val="single" w:sz="4" w:space="0" w:color="auto"/>
              <w:right w:val="nil"/>
            </w:tcBorders>
            <w:noWrap/>
            <w:vAlign w:val="bottom"/>
            <w:hideMark/>
          </w:tcPr>
          <w:p w14:paraId="2E9BD12E" w14:textId="77777777" w:rsidR="00E43284" w:rsidRPr="00353AE1" w:rsidRDefault="00E43284" w:rsidP="009E3407">
            <w:pPr>
              <w:widowControl/>
              <w:spacing w:line="240" w:lineRule="exact"/>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Deviation from baseline</w:t>
            </w:r>
          </w:p>
        </w:tc>
      </w:tr>
      <w:tr w:rsidR="00E43284" w:rsidRPr="00353AE1" w14:paraId="51FB6B6F" w14:textId="77777777" w:rsidTr="00E016A0">
        <w:trPr>
          <w:trHeight w:val="300"/>
        </w:trPr>
        <w:tc>
          <w:tcPr>
            <w:tcW w:w="1795" w:type="pct"/>
            <w:tcBorders>
              <w:top w:val="nil"/>
              <w:left w:val="nil"/>
              <w:bottom w:val="nil"/>
              <w:right w:val="nil"/>
            </w:tcBorders>
            <w:noWrap/>
            <w:vAlign w:val="center"/>
            <w:hideMark/>
          </w:tcPr>
          <w:p w14:paraId="6BA8459F"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GDP</w:t>
            </w:r>
          </w:p>
        </w:tc>
        <w:tc>
          <w:tcPr>
            <w:tcW w:w="824" w:type="pct"/>
            <w:tcBorders>
              <w:top w:val="nil"/>
              <w:left w:val="nil"/>
              <w:bottom w:val="nil"/>
              <w:right w:val="nil"/>
            </w:tcBorders>
            <w:noWrap/>
            <w:vAlign w:val="center"/>
            <w:hideMark/>
          </w:tcPr>
          <w:p w14:paraId="3183E351"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0.09</w:t>
            </w:r>
          </w:p>
        </w:tc>
        <w:tc>
          <w:tcPr>
            <w:tcW w:w="824" w:type="pct"/>
            <w:tcBorders>
              <w:top w:val="nil"/>
              <w:left w:val="nil"/>
              <w:bottom w:val="nil"/>
              <w:right w:val="nil"/>
            </w:tcBorders>
            <w:noWrap/>
            <w:vAlign w:val="center"/>
            <w:hideMark/>
          </w:tcPr>
          <w:p w14:paraId="2BB46C5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0.10</w:t>
            </w:r>
          </w:p>
        </w:tc>
        <w:tc>
          <w:tcPr>
            <w:tcW w:w="779" w:type="pct"/>
            <w:tcBorders>
              <w:top w:val="nil"/>
              <w:left w:val="nil"/>
              <w:bottom w:val="nil"/>
              <w:right w:val="nil"/>
            </w:tcBorders>
            <w:noWrap/>
            <w:vAlign w:val="center"/>
            <w:hideMark/>
          </w:tcPr>
          <w:p w14:paraId="43AC7415"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779" w:type="pct"/>
            <w:tcBorders>
              <w:top w:val="nil"/>
              <w:left w:val="nil"/>
              <w:bottom w:val="nil"/>
              <w:right w:val="nil"/>
            </w:tcBorders>
            <w:noWrap/>
            <w:vAlign w:val="center"/>
            <w:hideMark/>
          </w:tcPr>
          <w:p w14:paraId="49EE31D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r>
      <w:tr w:rsidR="00E43284" w:rsidRPr="00353AE1" w14:paraId="272CCF7D" w14:textId="77777777" w:rsidTr="00E016A0">
        <w:trPr>
          <w:trHeight w:val="300"/>
        </w:trPr>
        <w:tc>
          <w:tcPr>
            <w:tcW w:w="1795" w:type="pct"/>
            <w:tcBorders>
              <w:top w:val="nil"/>
              <w:left w:val="nil"/>
              <w:bottom w:val="nil"/>
              <w:right w:val="nil"/>
            </w:tcBorders>
            <w:noWrap/>
            <w:vAlign w:val="center"/>
            <w:hideMark/>
          </w:tcPr>
          <w:p w14:paraId="3555691A"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investment</w:t>
            </w:r>
          </w:p>
        </w:tc>
        <w:tc>
          <w:tcPr>
            <w:tcW w:w="824" w:type="pct"/>
            <w:tcBorders>
              <w:top w:val="nil"/>
              <w:left w:val="nil"/>
              <w:bottom w:val="nil"/>
              <w:right w:val="nil"/>
            </w:tcBorders>
            <w:noWrap/>
            <w:vAlign w:val="center"/>
            <w:hideMark/>
          </w:tcPr>
          <w:p w14:paraId="28ADD3E0"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824" w:type="pct"/>
            <w:tcBorders>
              <w:top w:val="nil"/>
              <w:left w:val="nil"/>
              <w:bottom w:val="nil"/>
              <w:right w:val="nil"/>
            </w:tcBorders>
            <w:noWrap/>
            <w:vAlign w:val="center"/>
            <w:hideMark/>
          </w:tcPr>
          <w:p w14:paraId="2FA6128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0.05</w:t>
            </w:r>
          </w:p>
        </w:tc>
        <w:tc>
          <w:tcPr>
            <w:tcW w:w="779" w:type="pct"/>
            <w:tcBorders>
              <w:top w:val="nil"/>
              <w:left w:val="nil"/>
              <w:bottom w:val="nil"/>
              <w:right w:val="nil"/>
            </w:tcBorders>
            <w:noWrap/>
            <w:vAlign w:val="center"/>
            <w:hideMark/>
          </w:tcPr>
          <w:p w14:paraId="1121192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3DCE1C9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w:t>
            </w:r>
          </w:p>
        </w:tc>
      </w:tr>
      <w:tr w:rsidR="00E43284" w:rsidRPr="00353AE1" w14:paraId="53B07394" w14:textId="77777777" w:rsidTr="00E016A0">
        <w:trPr>
          <w:trHeight w:val="300"/>
        </w:trPr>
        <w:tc>
          <w:tcPr>
            <w:tcW w:w="1795" w:type="pct"/>
            <w:tcBorders>
              <w:top w:val="nil"/>
              <w:left w:val="nil"/>
              <w:bottom w:val="nil"/>
              <w:right w:val="nil"/>
            </w:tcBorders>
            <w:noWrap/>
            <w:vAlign w:val="center"/>
            <w:hideMark/>
          </w:tcPr>
          <w:p w14:paraId="7D20AC13"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household consumption</w:t>
            </w:r>
          </w:p>
        </w:tc>
        <w:tc>
          <w:tcPr>
            <w:tcW w:w="824" w:type="pct"/>
            <w:tcBorders>
              <w:top w:val="nil"/>
              <w:left w:val="nil"/>
              <w:bottom w:val="nil"/>
              <w:right w:val="nil"/>
            </w:tcBorders>
            <w:noWrap/>
            <w:vAlign w:val="center"/>
            <w:hideMark/>
          </w:tcPr>
          <w:p w14:paraId="6976418C"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0.05</w:t>
            </w:r>
          </w:p>
        </w:tc>
        <w:tc>
          <w:tcPr>
            <w:tcW w:w="824" w:type="pct"/>
            <w:tcBorders>
              <w:top w:val="nil"/>
              <w:left w:val="nil"/>
              <w:bottom w:val="nil"/>
              <w:right w:val="nil"/>
            </w:tcBorders>
            <w:noWrap/>
            <w:vAlign w:val="center"/>
            <w:hideMark/>
          </w:tcPr>
          <w:p w14:paraId="78BD8062"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0.05</w:t>
            </w:r>
          </w:p>
        </w:tc>
        <w:tc>
          <w:tcPr>
            <w:tcW w:w="779" w:type="pct"/>
            <w:tcBorders>
              <w:top w:val="nil"/>
              <w:left w:val="nil"/>
              <w:bottom w:val="nil"/>
              <w:right w:val="nil"/>
            </w:tcBorders>
            <w:noWrap/>
            <w:vAlign w:val="center"/>
            <w:hideMark/>
          </w:tcPr>
          <w:p w14:paraId="18F3185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40FA0C2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r>
      <w:tr w:rsidR="00E43284" w:rsidRPr="00353AE1" w14:paraId="1AC07200" w14:textId="77777777" w:rsidTr="00E016A0">
        <w:trPr>
          <w:trHeight w:val="300"/>
        </w:trPr>
        <w:tc>
          <w:tcPr>
            <w:tcW w:w="1795" w:type="pct"/>
            <w:tcBorders>
              <w:top w:val="nil"/>
              <w:left w:val="nil"/>
              <w:bottom w:val="nil"/>
              <w:right w:val="nil"/>
            </w:tcBorders>
            <w:noWrap/>
            <w:vAlign w:val="center"/>
            <w:hideMark/>
          </w:tcPr>
          <w:p w14:paraId="334EDEF1"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export volumes</w:t>
            </w:r>
          </w:p>
        </w:tc>
        <w:tc>
          <w:tcPr>
            <w:tcW w:w="824" w:type="pct"/>
            <w:tcBorders>
              <w:top w:val="nil"/>
              <w:left w:val="nil"/>
              <w:bottom w:val="nil"/>
              <w:right w:val="nil"/>
            </w:tcBorders>
            <w:noWrap/>
            <w:vAlign w:val="center"/>
            <w:hideMark/>
          </w:tcPr>
          <w:p w14:paraId="73CB85C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0.08</w:t>
            </w:r>
          </w:p>
        </w:tc>
        <w:tc>
          <w:tcPr>
            <w:tcW w:w="824" w:type="pct"/>
            <w:tcBorders>
              <w:top w:val="nil"/>
              <w:left w:val="nil"/>
              <w:bottom w:val="nil"/>
              <w:right w:val="nil"/>
            </w:tcBorders>
            <w:noWrap/>
            <w:vAlign w:val="center"/>
            <w:hideMark/>
          </w:tcPr>
          <w:p w14:paraId="61D85FBC"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0.11</w:t>
            </w:r>
          </w:p>
        </w:tc>
        <w:tc>
          <w:tcPr>
            <w:tcW w:w="779" w:type="pct"/>
            <w:tcBorders>
              <w:top w:val="nil"/>
              <w:left w:val="nil"/>
              <w:bottom w:val="nil"/>
              <w:right w:val="nil"/>
            </w:tcBorders>
            <w:noWrap/>
            <w:vAlign w:val="center"/>
            <w:hideMark/>
          </w:tcPr>
          <w:p w14:paraId="44DDA8E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779" w:type="pct"/>
            <w:tcBorders>
              <w:top w:val="nil"/>
              <w:left w:val="nil"/>
              <w:bottom w:val="nil"/>
              <w:right w:val="nil"/>
            </w:tcBorders>
            <w:noWrap/>
            <w:vAlign w:val="center"/>
            <w:hideMark/>
          </w:tcPr>
          <w:p w14:paraId="06A59E8E"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r>
      <w:tr w:rsidR="00E43284" w:rsidRPr="00353AE1" w14:paraId="49A7F97F" w14:textId="77777777" w:rsidTr="00E016A0">
        <w:trPr>
          <w:trHeight w:val="300"/>
        </w:trPr>
        <w:tc>
          <w:tcPr>
            <w:tcW w:w="1795" w:type="pct"/>
            <w:tcBorders>
              <w:top w:val="nil"/>
              <w:left w:val="nil"/>
              <w:bottom w:val="nil"/>
              <w:right w:val="nil"/>
            </w:tcBorders>
            <w:noWrap/>
            <w:vAlign w:val="center"/>
            <w:hideMark/>
          </w:tcPr>
          <w:p w14:paraId="63E21741"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state/local gov. consumption</w:t>
            </w:r>
          </w:p>
        </w:tc>
        <w:tc>
          <w:tcPr>
            <w:tcW w:w="824" w:type="pct"/>
            <w:tcBorders>
              <w:top w:val="nil"/>
              <w:left w:val="nil"/>
              <w:bottom w:val="nil"/>
              <w:right w:val="nil"/>
            </w:tcBorders>
            <w:noWrap/>
            <w:vAlign w:val="center"/>
            <w:hideMark/>
          </w:tcPr>
          <w:p w14:paraId="73A30DB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0.28</w:t>
            </w:r>
          </w:p>
        </w:tc>
        <w:tc>
          <w:tcPr>
            <w:tcW w:w="824" w:type="pct"/>
            <w:tcBorders>
              <w:top w:val="nil"/>
              <w:left w:val="nil"/>
              <w:bottom w:val="nil"/>
              <w:right w:val="nil"/>
            </w:tcBorders>
            <w:noWrap/>
            <w:vAlign w:val="center"/>
            <w:hideMark/>
          </w:tcPr>
          <w:p w14:paraId="51526EBD"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0.28</w:t>
            </w:r>
          </w:p>
        </w:tc>
        <w:tc>
          <w:tcPr>
            <w:tcW w:w="779" w:type="pct"/>
            <w:tcBorders>
              <w:top w:val="nil"/>
              <w:left w:val="nil"/>
              <w:bottom w:val="nil"/>
              <w:right w:val="nil"/>
            </w:tcBorders>
            <w:noWrap/>
            <w:vAlign w:val="center"/>
            <w:hideMark/>
          </w:tcPr>
          <w:p w14:paraId="626F1E4D"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0.09</w:t>
            </w:r>
          </w:p>
        </w:tc>
        <w:tc>
          <w:tcPr>
            <w:tcW w:w="779" w:type="pct"/>
            <w:tcBorders>
              <w:top w:val="nil"/>
              <w:left w:val="nil"/>
              <w:bottom w:val="nil"/>
              <w:right w:val="nil"/>
            </w:tcBorders>
            <w:noWrap/>
            <w:vAlign w:val="center"/>
            <w:hideMark/>
          </w:tcPr>
          <w:p w14:paraId="5BEA616A"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0.09</w:t>
            </w:r>
          </w:p>
        </w:tc>
      </w:tr>
      <w:tr w:rsidR="00E43284" w:rsidRPr="00353AE1" w14:paraId="4539323F" w14:textId="77777777" w:rsidTr="00E016A0">
        <w:trPr>
          <w:trHeight w:val="300"/>
        </w:trPr>
        <w:tc>
          <w:tcPr>
            <w:tcW w:w="1795" w:type="pct"/>
            <w:tcBorders>
              <w:top w:val="nil"/>
              <w:left w:val="nil"/>
              <w:bottom w:val="nil"/>
              <w:right w:val="nil"/>
            </w:tcBorders>
            <w:noWrap/>
            <w:vAlign w:val="center"/>
            <w:hideMark/>
          </w:tcPr>
          <w:p w14:paraId="4C1B5CBF"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federal gov. consumption</w:t>
            </w:r>
          </w:p>
        </w:tc>
        <w:tc>
          <w:tcPr>
            <w:tcW w:w="824" w:type="pct"/>
            <w:tcBorders>
              <w:top w:val="nil"/>
              <w:left w:val="nil"/>
              <w:bottom w:val="nil"/>
              <w:right w:val="nil"/>
            </w:tcBorders>
            <w:noWrap/>
            <w:vAlign w:val="center"/>
            <w:hideMark/>
          </w:tcPr>
          <w:p w14:paraId="50C1DC8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0.10</w:t>
            </w:r>
          </w:p>
        </w:tc>
        <w:tc>
          <w:tcPr>
            <w:tcW w:w="824" w:type="pct"/>
            <w:tcBorders>
              <w:top w:val="nil"/>
              <w:left w:val="nil"/>
              <w:bottom w:val="nil"/>
              <w:right w:val="nil"/>
            </w:tcBorders>
            <w:noWrap/>
            <w:vAlign w:val="center"/>
            <w:hideMark/>
          </w:tcPr>
          <w:p w14:paraId="383642B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0.10</w:t>
            </w:r>
          </w:p>
        </w:tc>
        <w:tc>
          <w:tcPr>
            <w:tcW w:w="779" w:type="pct"/>
            <w:tcBorders>
              <w:top w:val="nil"/>
              <w:left w:val="nil"/>
              <w:bottom w:val="nil"/>
              <w:right w:val="nil"/>
            </w:tcBorders>
            <w:noWrap/>
            <w:vAlign w:val="center"/>
            <w:hideMark/>
          </w:tcPr>
          <w:p w14:paraId="14AB5E1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779" w:type="pct"/>
            <w:tcBorders>
              <w:top w:val="nil"/>
              <w:left w:val="nil"/>
              <w:bottom w:val="nil"/>
              <w:right w:val="nil"/>
            </w:tcBorders>
            <w:noWrap/>
            <w:vAlign w:val="center"/>
            <w:hideMark/>
          </w:tcPr>
          <w:p w14:paraId="0D45AE3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r>
      <w:tr w:rsidR="00E43284" w:rsidRPr="00353AE1" w14:paraId="55EC0910" w14:textId="77777777" w:rsidTr="00E016A0">
        <w:trPr>
          <w:trHeight w:val="300"/>
        </w:trPr>
        <w:tc>
          <w:tcPr>
            <w:tcW w:w="1795" w:type="pct"/>
            <w:tcBorders>
              <w:top w:val="nil"/>
              <w:left w:val="nil"/>
              <w:bottom w:val="nil"/>
              <w:right w:val="nil"/>
            </w:tcBorders>
            <w:noWrap/>
            <w:vAlign w:val="bottom"/>
            <w:hideMark/>
          </w:tcPr>
          <w:p w14:paraId="3E49728E"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government consumption (all levels)</w:t>
            </w:r>
          </w:p>
        </w:tc>
        <w:tc>
          <w:tcPr>
            <w:tcW w:w="824" w:type="pct"/>
            <w:tcBorders>
              <w:top w:val="nil"/>
              <w:left w:val="nil"/>
              <w:bottom w:val="nil"/>
              <w:right w:val="nil"/>
            </w:tcBorders>
            <w:noWrap/>
            <w:vAlign w:val="center"/>
            <w:hideMark/>
          </w:tcPr>
          <w:p w14:paraId="22BC78F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0.19</w:t>
            </w:r>
          </w:p>
        </w:tc>
        <w:tc>
          <w:tcPr>
            <w:tcW w:w="824" w:type="pct"/>
            <w:tcBorders>
              <w:top w:val="nil"/>
              <w:left w:val="nil"/>
              <w:bottom w:val="nil"/>
              <w:right w:val="nil"/>
            </w:tcBorders>
            <w:noWrap/>
            <w:vAlign w:val="center"/>
            <w:hideMark/>
          </w:tcPr>
          <w:p w14:paraId="337A8616"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0.20</w:t>
            </w:r>
          </w:p>
        </w:tc>
        <w:tc>
          <w:tcPr>
            <w:tcW w:w="779" w:type="pct"/>
            <w:tcBorders>
              <w:top w:val="nil"/>
              <w:left w:val="nil"/>
              <w:bottom w:val="nil"/>
              <w:right w:val="nil"/>
            </w:tcBorders>
            <w:noWrap/>
            <w:vAlign w:val="center"/>
            <w:hideMark/>
          </w:tcPr>
          <w:p w14:paraId="7E76BD5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0.07</w:t>
            </w:r>
          </w:p>
        </w:tc>
        <w:tc>
          <w:tcPr>
            <w:tcW w:w="779" w:type="pct"/>
            <w:tcBorders>
              <w:top w:val="nil"/>
              <w:left w:val="nil"/>
              <w:bottom w:val="nil"/>
              <w:right w:val="nil"/>
            </w:tcBorders>
            <w:noWrap/>
            <w:vAlign w:val="center"/>
            <w:hideMark/>
          </w:tcPr>
          <w:p w14:paraId="2C4B0ADA"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0.07</w:t>
            </w:r>
          </w:p>
        </w:tc>
      </w:tr>
      <w:tr w:rsidR="00E43284" w:rsidRPr="00353AE1" w14:paraId="12DDCA37" w14:textId="77777777" w:rsidTr="00E016A0">
        <w:trPr>
          <w:trHeight w:val="300"/>
        </w:trPr>
        <w:tc>
          <w:tcPr>
            <w:tcW w:w="1795" w:type="pct"/>
            <w:tcBorders>
              <w:top w:val="nil"/>
              <w:left w:val="nil"/>
              <w:bottom w:val="nil"/>
              <w:right w:val="nil"/>
            </w:tcBorders>
            <w:noWrap/>
            <w:vAlign w:val="center"/>
            <w:hideMark/>
          </w:tcPr>
          <w:p w14:paraId="5B2489AC"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import volumes</w:t>
            </w:r>
          </w:p>
        </w:tc>
        <w:tc>
          <w:tcPr>
            <w:tcW w:w="824" w:type="pct"/>
            <w:tcBorders>
              <w:top w:val="nil"/>
              <w:left w:val="nil"/>
              <w:bottom w:val="nil"/>
              <w:right w:val="nil"/>
            </w:tcBorders>
            <w:noWrap/>
            <w:vAlign w:val="center"/>
            <w:hideMark/>
          </w:tcPr>
          <w:p w14:paraId="23C263AD"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824" w:type="pct"/>
            <w:tcBorders>
              <w:top w:val="nil"/>
              <w:left w:val="nil"/>
              <w:bottom w:val="nil"/>
              <w:right w:val="nil"/>
            </w:tcBorders>
            <w:noWrap/>
            <w:vAlign w:val="center"/>
            <w:hideMark/>
          </w:tcPr>
          <w:p w14:paraId="7376B5A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0.04</w:t>
            </w:r>
          </w:p>
        </w:tc>
        <w:tc>
          <w:tcPr>
            <w:tcW w:w="779" w:type="pct"/>
            <w:tcBorders>
              <w:top w:val="nil"/>
              <w:left w:val="nil"/>
              <w:bottom w:val="nil"/>
              <w:right w:val="nil"/>
            </w:tcBorders>
            <w:noWrap/>
            <w:vAlign w:val="center"/>
            <w:hideMark/>
          </w:tcPr>
          <w:p w14:paraId="2C24487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06FC29D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r>
      <w:tr w:rsidR="00E43284" w:rsidRPr="00353AE1" w14:paraId="787AA9AA" w14:textId="77777777" w:rsidTr="00E016A0">
        <w:trPr>
          <w:trHeight w:val="300"/>
        </w:trPr>
        <w:tc>
          <w:tcPr>
            <w:tcW w:w="1795" w:type="pct"/>
            <w:tcBorders>
              <w:top w:val="nil"/>
              <w:left w:val="nil"/>
              <w:bottom w:val="nil"/>
              <w:right w:val="nil"/>
            </w:tcBorders>
            <w:noWrap/>
            <w:vAlign w:val="center"/>
            <w:hideMark/>
          </w:tcPr>
          <w:p w14:paraId="61A360CB"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Capital stock</w:t>
            </w:r>
          </w:p>
        </w:tc>
        <w:tc>
          <w:tcPr>
            <w:tcW w:w="824" w:type="pct"/>
            <w:tcBorders>
              <w:top w:val="nil"/>
              <w:left w:val="nil"/>
              <w:bottom w:val="nil"/>
              <w:right w:val="nil"/>
            </w:tcBorders>
            <w:noWrap/>
            <w:vAlign w:val="center"/>
            <w:hideMark/>
          </w:tcPr>
          <w:p w14:paraId="53C52A2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824" w:type="pct"/>
            <w:tcBorders>
              <w:top w:val="nil"/>
              <w:left w:val="nil"/>
              <w:bottom w:val="nil"/>
              <w:right w:val="nil"/>
            </w:tcBorders>
            <w:noWrap/>
            <w:vAlign w:val="center"/>
            <w:hideMark/>
          </w:tcPr>
          <w:p w14:paraId="4DEF1546"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0.06</w:t>
            </w:r>
          </w:p>
        </w:tc>
        <w:tc>
          <w:tcPr>
            <w:tcW w:w="779" w:type="pct"/>
            <w:tcBorders>
              <w:top w:val="nil"/>
              <w:left w:val="nil"/>
              <w:bottom w:val="nil"/>
              <w:right w:val="nil"/>
            </w:tcBorders>
            <w:noWrap/>
            <w:vAlign w:val="center"/>
            <w:hideMark/>
          </w:tcPr>
          <w:p w14:paraId="681008FA"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4A3543E6"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w:t>
            </w:r>
          </w:p>
        </w:tc>
      </w:tr>
      <w:tr w:rsidR="00E43284" w:rsidRPr="00353AE1" w14:paraId="20A6F809" w14:textId="77777777" w:rsidTr="00E016A0">
        <w:trPr>
          <w:trHeight w:val="300"/>
        </w:trPr>
        <w:tc>
          <w:tcPr>
            <w:tcW w:w="1795" w:type="pct"/>
            <w:tcBorders>
              <w:top w:val="nil"/>
              <w:left w:val="nil"/>
              <w:bottom w:val="nil"/>
              <w:right w:val="nil"/>
            </w:tcBorders>
            <w:noWrap/>
            <w:vAlign w:val="center"/>
            <w:hideMark/>
          </w:tcPr>
          <w:p w14:paraId="14CBDA2B"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Employment (wage-bill weighted)</w:t>
            </w:r>
          </w:p>
        </w:tc>
        <w:tc>
          <w:tcPr>
            <w:tcW w:w="824" w:type="pct"/>
            <w:tcBorders>
              <w:top w:val="nil"/>
              <w:left w:val="nil"/>
              <w:bottom w:val="nil"/>
              <w:right w:val="nil"/>
            </w:tcBorders>
            <w:noWrap/>
            <w:vAlign w:val="center"/>
            <w:hideMark/>
          </w:tcPr>
          <w:p w14:paraId="6B7D5D6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0.031</w:t>
            </w:r>
          </w:p>
        </w:tc>
        <w:tc>
          <w:tcPr>
            <w:tcW w:w="824" w:type="pct"/>
            <w:tcBorders>
              <w:top w:val="nil"/>
              <w:left w:val="nil"/>
              <w:bottom w:val="nil"/>
              <w:right w:val="nil"/>
            </w:tcBorders>
            <w:noWrap/>
            <w:vAlign w:val="center"/>
            <w:hideMark/>
          </w:tcPr>
          <w:p w14:paraId="4374A0E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0.013</w:t>
            </w:r>
          </w:p>
        </w:tc>
        <w:tc>
          <w:tcPr>
            <w:tcW w:w="779" w:type="pct"/>
            <w:tcBorders>
              <w:top w:val="nil"/>
              <w:left w:val="nil"/>
              <w:bottom w:val="nil"/>
              <w:right w:val="nil"/>
            </w:tcBorders>
            <w:noWrap/>
            <w:vAlign w:val="center"/>
            <w:hideMark/>
          </w:tcPr>
          <w:p w14:paraId="6C4D237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0.010</w:t>
            </w:r>
          </w:p>
        </w:tc>
        <w:tc>
          <w:tcPr>
            <w:tcW w:w="779" w:type="pct"/>
            <w:tcBorders>
              <w:top w:val="nil"/>
              <w:left w:val="nil"/>
              <w:bottom w:val="nil"/>
              <w:right w:val="nil"/>
            </w:tcBorders>
            <w:noWrap/>
            <w:vAlign w:val="center"/>
            <w:hideMark/>
          </w:tcPr>
          <w:p w14:paraId="665687DC"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0.005</w:t>
            </w:r>
          </w:p>
        </w:tc>
      </w:tr>
      <w:tr w:rsidR="00E43284" w:rsidRPr="00353AE1" w14:paraId="064D3F84" w14:textId="77777777" w:rsidTr="00E016A0">
        <w:trPr>
          <w:trHeight w:val="300"/>
        </w:trPr>
        <w:tc>
          <w:tcPr>
            <w:tcW w:w="1795" w:type="pct"/>
            <w:tcBorders>
              <w:top w:val="nil"/>
              <w:left w:val="nil"/>
              <w:bottom w:val="nil"/>
              <w:right w:val="nil"/>
            </w:tcBorders>
            <w:noWrap/>
            <w:vAlign w:val="center"/>
            <w:hideMark/>
          </w:tcPr>
          <w:p w14:paraId="40864770"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Employment (persons)</w:t>
            </w:r>
          </w:p>
        </w:tc>
        <w:tc>
          <w:tcPr>
            <w:tcW w:w="824" w:type="pct"/>
            <w:tcBorders>
              <w:top w:val="nil"/>
              <w:left w:val="nil"/>
              <w:bottom w:val="nil"/>
              <w:right w:val="nil"/>
            </w:tcBorders>
            <w:noWrap/>
            <w:vAlign w:val="center"/>
            <w:hideMark/>
          </w:tcPr>
          <w:p w14:paraId="7A6F692D"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0.037</w:t>
            </w:r>
          </w:p>
        </w:tc>
        <w:tc>
          <w:tcPr>
            <w:tcW w:w="824" w:type="pct"/>
            <w:tcBorders>
              <w:top w:val="nil"/>
              <w:left w:val="nil"/>
              <w:bottom w:val="nil"/>
              <w:right w:val="nil"/>
            </w:tcBorders>
            <w:noWrap/>
            <w:vAlign w:val="center"/>
            <w:hideMark/>
          </w:tcPr>
          <w:p w14:paraId="1F22ED3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0.017</w:t>
            </w:r>
          </w:p>
        </w:tc>
        <w:tc>
          <w:tcPr>
            <w:tcW w:w="779" w:type="pct"/>
            <w:tcBorders>
              <w:top w:val="nil"/>
              <w:left w:val="nil"/>
              <w:bottom w:val="nil"/>
              <w:right w:val="nil"/>
            </w:tcBorders>
            <w:noWrap/>
            <w:vAlign w:val="center"/>
            <w:hideMark/>
          </w:tcPr>
          <w:p w14:paraId="19F3393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0.012</w:t>
            </w:r>
          </w:p>
        </w:tc>
        <w:tc>
          <w:tcPr>
            <w:tcW w:w="779" w:type="pct"/>
            <w:tcBorders>
              <w:top w:val="nil"/>
              <w:left w:val="nil"/>
              <w:bottom w:val="nil"/>
              <w:right w:val="nil"/>
            </w:tcBorders>
            <w:noWrap/>
            <w:vAlign w:val="center"/>
            <w:hideMark/>
          </w:tcPr>
          <w:p w14:paraId="22E6AB7A"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0.005</w:t>
            </w:r>
          </w:p>
        </w:tc>
      </w:tr>
      <w:tr w:rsidR="00E43284" w:rsidRPr="00353AE1" w14:paraId="00D431DB" w14:textId="77777777" w:rsidTr="00E016A0">
        <w:trPr>
          <w:trHeight w:val="300"/>
        </w:trPr>
        <w:tc>
          <w:tcPr>
            <w:tcW w:w="1795" w:type="pct"/>
            <w:tcBorders>
              <w:top w:val="nil"/>
              <w:left w:val="nil"/>
              <w:bottom w:val="nil"/>
              <w:right w:val="nil"/>
            </w:tcBorders>
            <w:noWrap/>
            <w:vAlign w:val="center"/>
            <w:hideMark/>
          </w:tcPr>
          <w:p w14:paraId="5C8A5669"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National population</w:t>
            </w:r>
          </w:p>
        </w:tc>
        <w:tc>
          <w:tcPr>
            <w:tcW w:w="824" w:type="pct"/>
            <w:tcBorders>
              <w:top w:val="nil"/>
              <w:left w:val="nil"/>
              <w:bottom w:val="nil"/>
              <w:right w:val="nil"/>
            </w:tcBorders>
            <w:noWrap/>
            <w:vAlign w:val="center"/>
            <w:hideMark/>
          </w:tcPr>
          <w:p w14:paraId="4221E17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824" w:type="pct"/>
            <w:tcBorders>
              <w:top w:val="nil"/>
              <w:left w:val="nil"/>
              <w:bottom w:val="nil"/>
              <w:right w:val="nil"/>
            </w:tcBorders>
            <w:noWrap/>
            <w:vAlign w:val="center"/>
            <w:hideMark/>
          </w:tcPr>
          <w:p w14:paraId="28D3A4F1"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5A6B7E0D"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68CFA405"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r>
      <w:tr w:rsidR="00E43284" w:rsidRPr="00353AE1" w14:paraId="2311F554" w14:textId="77777777" w:rsidTr="00E016A0">
        <w:trPr>
          <w:trHeight w:val="300"/>
        </w:trPr>
        <w:tc>
          <w:tcPr>
            <w:tcW w:w="1795" w:type="pct"/>
            <w:tcBorders>
              <w:top w:val="nil"/>
              <w:left w:val="nil"/>
              <w:bottom w:val="nil"/>
              <w:right w:val="nil"/>
            </w:tcBorders>
            <w:noWrap/>
            <w:vAlign w:val="center"/>
            <w:hideMark/>
          </w:tcPr>
          <w:p w14:paraId="67895075"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consumer wage</w:t>
            </w:r>
          </w:p>
        </w:tc>
        <w:tc>
          <w:tcPr>
            <w:tcW w:w="824" w:type="pct"/>
            <w:tcBorders>
              <w:top w:val="nil"/>
              <w:left w:val="nil"/>
              <w:bottom w:val="nil"/>
              <w:right w:val="nil"/>
            </w:tcBorders>
            <w:noWrap/>
            <w:vAlign w:val="center"/>
            <w:hideMark/>
          </w:tcPr>
          <w:p w14:paraId="19E097A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0.005</w:t>
            </w:r>
          </w:p>
        </w:tc>
        <w:tc>
          <w:tcPr>
            <w:tcW w:w="824" w:type="pct"/>
            <w:tcBorders>
              <w:top w:val="nil"/>
              <w:left w:val="nil"/>
              <w:bottom w:val="nil"/>
              <w:right w:val="nil"/>
            </w:tcBorders>
            <w:noWrap/>
            <w:vAlign w:val="center"/>
            <w:hideMark/>
          </w:tcPr>
          <w:p w14:paraId="5826F6B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0.081</w:t>
            </w:r>
          </w:p>
        </w:tc>
        <w:tc>
          <w:tcPr>
            <w:tcW w:w="779" w:type="pct"/>
            <w:tcBorders>
              <w:top w:val="nil"/>
              <w:left w:val="nil"/>
              <w:bottom w:val="nil"/>
              <w:right w:val="nil"/>
            </w:tcBorders>
            <w:noWrap/>
            <w:vAlign w:val="center"/>
            <w:hideMark/>
          </w:tcPr>
          <w:p w14:paraId="69D315B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0.002</w:t>
            </w:r>
          </w:p>
        </w:tc>
        <w:tc>
          <w:tcPr>
            <w:tcW w:w="779" w:type="pct"/>
            <w:tcBorders>
              <w:top w:val="nil"/>
              <w:left w:val="nil"/>
              <w:bottom w:val="nil"/>
              <w:right w:val="nil"/>
            </w:tcBorders>
            <w:noWrap/>
            <w:vAlign w:val="center"/>
            <w:hideMark/>
          </w:tcPr>
          <w:p w14:paraId="61F58591"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0.026</w:t>
            </w:r>
          </w:p>
        </w:tc>
      </w:tr>
      <w:tr w:rsidR="00E43284" w:rsidRPr="00353AE1" w14:paraId="412D0F29" w14:textId="77777777" w:rsidTr="00E016A0">
        <w:trPr>
          <w:trHeight w:val="300"/>
        </w:trPr>
        <w:tc>
          <w:tcPr>
            <w:tcW w:w="1795" w:type="pct"/>
            <w:tcBorders>
              <w:top w:val="nil"/>
              <w:left w:val="nil"/>
              <w:bottom w:val="nil"/>
              <w:right w:val="nil"/>
            </w:tcBorders>
            <w:noWrap/>
            <w:vAlign w:val="center"/>
            <w:hideMark/>
          </w:tcPr>
          <w:p w14:paraId="02FD4F57"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cost of labour</w:t>
            </w:r>
          </w:p>
        </w:tc>
        <w:tc>
          <w:tcPr>
            <w:tcW w:w="824" w:type="pct"/>
            <w:tcBorders>
              <w:top w:val="nil"/>
              <w:left w:val="nil"/>
              <w:bottom w:val="nil"/>
              <w:right w:val="nil"/>
            </w:tcBorders>
            <w:noWrap/>
            <w:vAlign w:val="center"/>
            <w:hideMark/>
          </w:tcPr>
          <w:p w14:paraId="4AD97C72"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0.005</w:t>
            </w:r>
          </w:p>
        </w:tc>
        <w:tc>
          <w:tcPr>
            <w:tcW w:w="824" w:type="pct"/>
            <w:tcBorders>
              <w:top w:val="nil"/>
              <w:left w:val="nil"/>
              <w:bottom w:val="nil"/>
              <w:right w:val="nil"/>
            </w:tcBorders>
            <w:noWrap/>
            <w:vAlign w:val="center"/>
            <w:hideMark/>
          </w:tcPr>
          <w:p w14:paraId="1487F1F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0.092</w:t>
            </w:r>
          </w:p>
        </w:tc>
        <w:tc>
          <w:tcPr>
            <w:tcW w:w="779" w:type="pct"/>
            <w:tcBorders>
              <w:top w:val="nil"/>
              <w:left w:val="nil"/>
              <w:bottom w:val="nil"/>
              <w:right w:val="nil"/>
            </w:tcBorders>
            <w:noWrap/>
            <w:vAlign w:val="center"/>
            <w:hideMark/>
          </w:tcPr>
          <w:p w14:paraId="3E5A655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0.001</w:t>
            </w:r>
          </w:p>
        </w:tc>
        <w:tc>
          <w:tcPr>
            <w:tcW w:w="779" w:type="pct"/>
            <w:tcBorders>
              <w:top w:val="nil"/>
              <w:left w:val="nil"/>
              <w:bottom w:val="nil"/>
              <w:right w:val="nil"/>
            </w:tcBorders>
            <w:noWrap/>
            <w:vAlign w:val="center"/>
            <w:hideMark/>
          </w:tcPr>
          <w:p w14:paraId="2CEDFDC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0.029</w:t>
            </w:r>
          </w:p>
        </w:tc>
      </w:tr>
      <w:tr w:rsidR="00E43284" w:rsidRPr="00353AE1" w14:paraId="037A749A" w14:textId="77777777" w:rsidTr="00E016A0">
        <w:trPr>
          <w:trHeight w:val="300"/>
        </w:trPr>
        <w:tc>
          <w:tcPr>
            <w:tcW w:w="1795" w:type="pct"/>
            <w:tcBorders>
              <w:top w:val="nil"/>
              <w:left w:val="nil"/>
              <w:bottom w:val="nil"/>
              <w:right w:val="nil"/>
            </w:tcBorders>
            <w:noWrap/>
            <w:vAlign w:val="center"/>
            <w:hideMark/>
          </w:tcPr>
          <w:p w14:paraId="78AB7241"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GDP deflator</w:t>
            </w:r>
          </w:p>
        </w:tc>
        <w:tc>
          <w:tcPr>
            <w:tcW w:w="824" w:type="pct"/>
            <w:tcBorders>
              <w:top w:val="nil"/>
              <w:left w:val="nil"/>
              <w:bottom w:val="nil"/>
              <w:right w:val="nil"/>
            </w:tcBorders>
            <w:noWrap/>
            <w:vAlign w:val="center"/>
            <w:hideMark/>
          </w:tcPr>
          <w:p w14:paraId="644B2A10"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824" w:type="pct"/>
            <w:tcBorders>
              <w:top w:val="nil"/>
              <w:left w:val="nil"/>
              <w:bottom w:val="nil"/>
              <w:right w:val="nil"/>
            </w:tcBorders>
            <w:noWrap/>
            <w:vAlign w:val="center"/>
            <w:hideMark/>
          </w:tcPr>
          <w:p w14:paraId="32998AC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476E6590"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713B1AA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r>
      <w:tr w:rsidR="00E43284" w:rsidRPr="00353AE1" w14:paraId="1C4D2CED" w14:textId="77777777" w:rsidTr="00E016A0">
        <w:trPr>
          <w:trHeight w:val="300"/>
        </w:trPr>
        <w:tc>
          <w:tcPr>
            <w:tcW w:w="1795" w:type="pct"/>
            <w:tcBorders>
              <w:top w:val="nil"/>
              <w:left w:val="nil"/>
              <w:bottom w:val="nil"/>
              <w:right w:val="nil"/>
            </w:tcBorders>
            <w:noWrap/>
            <w:vAlign w:val="center"/>
            <w:hideMark/>
          </w:tcPr>
          <w:p w14:paraId="0BD7FC35"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CPI (numeraire)</w:t>
            </w:r>
          </w:p>
        </w:tc>
        <w:tc>
          <w:tcPr>
            <w:tcW w:w="824" w:type="pct"/>
            <w:tcBorders>
              <w:top w:val="nil"/>
              <w:left w:val="nil"/>
              <w:bottom w:val="nil"/>
              <w:right w:val="nil"/>
            </w:tcBorders>
            <w:noWrap/>
            <w:vAlign w:val="center"/>
            <w:hideMark/>
          </w:tcPr>
          <w:p w14:paraId="77F342E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824" w:type="pct"/>
            <w:tcBorders>
              <w:top w:val="nil"/>
              <w:left w:val="nil"/>
              <w:bottom w:val="nil"/>
              <w:right w:val="nil"/>
            </w:tcBorders>
            <w:noWrap/>
            <w:vAlign w:val="center"/>
            <w:hideMark/>
          </w:tcPr>
          <w:p w14:paraId="4A5BC82E"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3E1B623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nil"/>
              <w:right w:val="nil"/>
            </w:tcBorders>
            <w:noWrap/>
            <w:vAlign w:val="center"/>
            <w:hideMark/>
          </w:tcPr>
          <w:p w14:paraId="3B934865"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r>
      <w:tr w:rsidR="00E43284" w:rsidRPr="00353AE1" w14:paraId="50C62AD3" w14:textId="77777777" w:rsidTr="00E016A0">
        <w:trPr>
          <w:trHeight w:val="300"/>
        </w:trPr>
        <w:tc>
          <w:tcPr>
            <w:tcW w:w="1795" w:type="pct"/>
            <w:tcBorders>
              <w:top w:val="nil"/>
              <w:left w:val="nil"/>
              <w:bottom w:val="nil"/>
              <w:right w:val="nil"/>
            </w:tcBorders>
            <w:noWrap/>
            <w:vAlign w:val="center"/>
            <w:hideMark/>
          </w:tcPr>
          <w:p w14:paraId="57C13898"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National terms of trade</w:t>
            </w:r>
          </w:p>
        </w:tc>
        <w:tc>
          <w:tcPr>
            <w:tcW w:w="824" w:type="pct"/>
            <w:tcBorders>
              <w:top w:val="nil"/>
              <w:left w:val="nil"/>
              <w:bottom w:val="nil"/>
              <w:right w:val="nil"/>
            </w:tcBorders>
            <w:noWrap/>
            <w:vAlign w:val="center"/>
            <w:hideMark/>
          </w:tcPr>
          <w:p w14:paraId="2AA4F769"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w:t>
            </w:r>
          </w:p>
        </w:tc>
        <w:tc>
          <w:tcPr>
            <w:tcW w:w="824" w:type="pct"/>
            <w:tcBorders>
              <w:top w:val="nil"/>
              <w:left w:val="nil"/>
              <w:bottom w:val="nil"/>
              <w:right w:val="nil"/>
            </w:tcBorders>
            <w:noWrap/>
            <w:vAlign w:val="center"/>
            <w:hideMark/>
          </w:tcPr>
          <w:p w14:paraId="15B448F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779" w:type="pct"/>
            <w:tcBorders>
              <w:top w:val="nil"/>
              <w:left w:val="nil"/>
              <w:bottom w:val="nil"/>
              <w:right w:val="nil"/>
            </w:tcBorders>
            <w:noWrap/>
            <w:vAlign w:val="center"/>
            <w:hideMark/>
          </w:tcPr>
          <w:p w14:paraId="4060130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40C7EC6F"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r>
      <w:tr w:rsidR="00E43284" w:rsidRPr="00353AE1" w14:paraId="2E3508DB" w14:textId="77777777" w:rsidTr="00E016A0">
        <w:trPr>
          <w:trHeight w:val="300"/>
        </w:trPr>
        <w:tc>
          <w:tcPr>
            <w:tcW w:w="1795" w:type="pct"/>
            <w:tcBorders>
              <w:top w:val="nil"/>
              <w:left w:val="nil"/>
              <w:bottom w:val="nil"/>
              <w:right w:val="nil"/>
            </w:tcBorders>
            <w:noWrap/>
            <w:vAlign w:val="center"/>
            <w:hideMark/>
          </w:tcPr>
          <w:p w14:paraId="5D65CBF3"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Real devaluation</w:t>
            </w:r>
          </w:p>
        </w:tc>
        <w:tc>
          <w:tcPr>
            <w:tcW w:w="824" w:type="pct"/>
            <w:tcBorders>
              <w:top w:val="nil"/>
              <w:left w:val="nil"/>
              <w:bottom w:val="nil"/>
              <w:right w:val="nil"/>
            </w:tcBorders>
            <w:noWrap/>
            <w:vAlign w:val="center"/>
            <w:hideMark/>
          </w:tcPr>
          <w:p w14:paraId="254E0750"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824" w:type="pct"/>
            <w:tcBorders>
              <w:top w:val="nil"/>
              <w:left w:val="nil"/>
              <w:bottom w:val="nil"/>
              <w:right w:val="nil"/>
            </w:tcBorders>
            <w:noWrap/>
            <w:vAlign w:val="center"/>
            <w:hideMark/>
          </w:tcPr>
          <w:p w14:paraId="3D7B605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-0.02</w:t>
            </w:r>
          </w:p>
        </w:tc>
        <w:tc>
          <w:tcPr>
            <w:tcW w:w="779" w:type="pct"/>
            <w:tcBorders>
              <w:top w:val="nil"/>
              <w:left w:val="nil"/>
              <w:bottom w:val="nil"/>
              <w:right w:val="nil"/>
            </w:tcBorders>
            <w:noWrap/>
            <w:vAlign w:val="center"/>
            <w:hideMark/>
          </w:tcPr>
          <w:p w14:paraId="412B4F4E"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358E468B"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r>
      <w:tr w:rsidR="00E43284" w:rsidRPr="00353AE1" w14:paraId="15A3847D" w14:textId="77777777" w:rsidTr="00E016A0">
        <w:trPr>
          <w:trHeight w:val="300"/>
        </w:trPr>
        <w:tc>
          <w:tcPr>
            <w:tcW w:w="1795" w:type="pct"/>
            <w:tcBorders>
              <w:top w:val="nil"/>
              <w:left w:val="nil"/>
              <w:bottom w:val="nil"/>
              <w:right w:val="nil"/>
            </w:tcBorders>
            <w:noWrap/>
            <w:vAlign w:val="center"/>
            <w:hideMark/>
          </w:tcPr>
          <w:p w14:paraId="43A1828A"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Nominal exchange rate</w:t>
            </w:r>
          </w:p>
        </w:tc>
        <w:tc>
          <w:tcPr>
            <w:tcW w:w="824" w:type="pct"/>
            <w:tcBorders>
              <w:top w:val="nil"/>
              <w:left w:val="nil"/>
              <w:bottom w:val="nil"/>
              <w:right w:val="nil"/>
            </w:tcBorders>
            <w:noWrap/>
            <w:vAlign w:val="center"/>
            <w:hideMark/>
          </w:tcPr>
          <w:p w14:paraId="2619BED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824" w:type="pct"/>
            <w:tcBorders>
              <w:top w:val="nil"/>
              <w:left w:val="nil"/>
              <w:bottom w:val="nil"/>
              <w:right w:val="nil"/>
            </w:tcBorders>
            <w:noWrap/>
            <w:vAlign w:val="center"/>
            <w:hideMark/>
          </w:tcPr>
          <w:p w14:paraId="44BA8490"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-0.03</w:t>
            </w:r>
          </w:p>
        </w:tc>
        <w:tc>
          <w:tcPr>
            <w:tcW w:w="779" w:type="pct"/>
            <w:tcBorders>
              <w:top w:val="nil"/>
              <w:left w:val="nil"/>
              <w:bottom w:val="nil"/>
              <w:right w:val="nil"/>
            </w:tcBorders>
            <w:noWrap/>
            <w:vAlign w:val="center"/>
            <w:hideMark/>
          </w:tcPr>
          <w:p w14:paraId="427C4EF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nil"/>
              <w:right w:val="nil"/>
            </w:tcBorders>
            <w:noWrap/>
            <w:vAlign w:val="center"/>
            <w:hideMark/>
          </w:tcPr>
          <w:p w14:paraId="35EE64F3"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r>
      <w:tr w:rsidR="00E43284" w:rsidRPr="00353AE1" w14:paraId="373B2684" w14:textId="77777777" w:rsidTr="00E016A0">
        <w:trPr>
          <w:trHeight w:val="567"/>
        </w:trPr>
        <w:tc>
          <w:tcPr>
            <w:tcW w:w="1795" w:type="pct"/>
            <w:tcBorders>
              <w:top w:val="single" w:sz="4" w:space="0" w:color="auto"/>
              <w:left w:val="nil"/>
              <w:bottom w:val="single" w:sz="4" w:space="0" w:color="auto"/>
              <w:right w:val="nil"/>
            </w:tcBorders>
            <w:noWrap/>
            <w:vAlign w:val="bottom"/>
            <w:hideMark/>
          </w:tcPr>
          <w:p w14:paraId="3D1E6A74" w14:textId="77777777" w:rsidR="00E43284" w:rsidRPr="00353AE1" w:rsidRDefault="00E43284" w:rsidP="00E43284">
            <w:pPr>
              <w:widowControl/>
              <w:jc w:val="left"/>
              <w:rPr>
                <w:rFonts w:eastAsia="Times New Roman"/>
                <w:i/>
                <w:iCs/>
                <w:color w:val="000000"/>
                <w:kern w:val="0"/>
                <w:sz w:val="20"/>
                <w:szCs w:val="20"/>
                <w:lang w:val="en-GB"/>
              </w:rPr>
            </w:pPr>
            <w:r w:rsidRPr="00353AE1">
              <w:rPr>
                <w:rFonts w:eastAsia="Times New Roman"/>
                <w:i/>
                <w:iCs/>
                <w:color w:val="000000"/>
                <w:kern w:val="0"/>
                <w:sz w:val="20"/>
                <w:szCs w:val="20"/>
                <w:lang w:val="en-GB"/>
              </w:rPr>
              <w:t> </w:t>
            </w:r>
          </w:p>
        </w:tc>
        <w:tc>
          <w:tcPr>
            <w:tcW w:w="1647" w:type="pct"/>
            <w:gridSpan w:val="2"/>
            <w:tcBorders>
              <w:top w:val="single" w:sz="4" w:space="0" w:color="auto"/>
              <w:left w:val="nil"/>
              <w:bottom w:val="single" w:sz="4" w:space="0" w:color="auto"/>
              <w:right w:val="nil"/>
            </w:tcBorders>
            <w:vAlign w:val="bottom"/>
            <w:hideMark/>
          </w:tcPr>
          <w:p w14:paraId="52E6C313" w14:textId="05611E42" w:rsidR="00E43284" w:rsidRPr="00353AE1" w:rsidRDefault="00E43284" w:rsidP="00C507C6">
            <w:pPr>
              <w:widowControl/>
              <w:spacing w:line="240" w:lineRule="exact"/>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xml:space="preserve">Percentage point </w:t>
            </w:r>
            <w:r w:rsidR="00267892" w:rsidRPr="00353AE1">
              <w:rPr>
                <w:rFonts w:eastAsia="Times New Roman"/>
                <w:i/>
                <w:iCs/>
                <w:color w:val="000000"/>
                <w:kern w:val="0"/>
                <w:sz w:val="20"/>
                <w:szCs w:val="20"/>
                <w:lang w:val="en-GB"/>
              </w:rPr>
              <w:br/>
            </w:r>
            <w:r w:rsidRPr="00353AE1">
              <w:rPr>
                <w:rFonts w:eastAsia="Times New Roman"/>
                <w:i/>
                <w:iCs/>
                <w:color w:val="000000"/>
                <w:kern w:val="0"/>
                <w:sz w:val="20"/>
                <w:szCs w:val="20"/>
                <w:lang w:val="en-GB"/>
              </w:rPr>
              <w:t xml:space="preserve">deviation </w:t>
            </w:r>
            <w:r w:rsidRPr="00353AE1">
              <w:rPr>
                <w:rFonts w:eastAsia="Times New Roman"/>
                <w:i/>
                <w:iCs/>
                <w:color w:val="000000"/>
                <w:kern w:val="0"/>
                <w:sz w:val="20"/>
                <w:szCs w:val="20"/>
                <w:lang w:val="en-GB"/>
              </w:rPr>
              <w:br/>
              <w:t>from baseline</w:t>
            </w:r>
          </w:p>
        </w:tc>
        <w:tc>
          <w:tcPr>
            <w:tcW w:w="1557" w:type="pct"/>
            <w:gridSpan w:val="2"/>
            <w:tcBorders>
              <w:top w:val="single" w:sz="4" w:space="0" w:color="auto"/>
              <w:left w:val="nil"/>
              <w:bottom w:val="single" w:sz="4" w:space="0" w:color="auto"/>
              <w:right w:val="nil"/>
            </w:tcBorders>
            <w:vAlign w:val="bottom"/>
            <w:hideMark/>
          </w:tcPr>
          <w:p w14:paraId="79D68F0F" w14:textId="77777777" w:rsidR="00E43284" w:rsidRPr="00353AE1" w:rsidRDefault="00E43284" w:rsidP="00C507C6">
            <w:pPr>
              <w:widowControl/>
              <w:spacing w:line="240" w:lineRule="exact"/>
              <w:jc w:val="center"/>
              <w:rPr>
                <w:rFonts w:eastAsia="Times New Roman"/>
                <w:i/>
                <w:iCs/>
                <w:color w:val="000000"/>
                <w:kern w:val="0"/>
                <w:sz w:val="20"/>
                <w:szCs w:val="20"/>
                <w:lang w:val="en-GB"/>
              </w:rPr>
            </w:pPr>
            <w:r w:rsidRPr="00353AE1">
              <w:rPr>
                <w:rFonts w:eastAsia="Times New Roman"/>
                <w:i/>
                <w:iCs/>
                <w:color w:val="000000"/>
                <w:kern w:val="0"/>
                <w:sz w:val="20"/>
                <w:szCs w:val="20"/>
                <w:lang w:val="en-GB"/>
              </w:rPr>
              <w:t xml:space="preserve">Percentage point deviation </w:t>
            </w:r>
            <w:r w:rsidRPr="00353AE1">
              <w:rPr>
                <w:rFonts w:eastAsia="Times New Roman"/>
                <w:i/>
                <w:iCs/>
                <w:color w:val="000000"/>
                <w:kern w:val="0"/>
                <w:sz w:val="20"/>
                <w:szCs w:val="20"/>
                <w:lang w:val="en-GB"/>
              </w:rPr>
              <w:br/>
              <w:t>from baseline</w:t>
            </w:r>
          </w:p>
        </w:tc>
      </w:tr>
      <w:tr w:rsidR="00E43284" w:rsidRPr="00353AE1" w14:paraId="73CA5470" w14:textId="77777777" w:rsidTr="00E016A0">
        <w:trPr>
          <w:trHeight w:val="315"/>
        </w:trPr>
        <w:tc>
          <w:tcPr>
            <w:tcW w:w="1795" w:type="pct"/>
            <w:tcBorders>
              <w:top w:val="nil"/>
              <w:left w:val="nil"/>
              <w:bottom w:val="double" w:sz="6" w:space="0" w:color="auto"/>
              <w:right w:val="nil"/>
            </w:tcBorders>
            <w:noWrap/>
            <w:vAlign w:val="center"/>
            <w:hideMark/>
          </w:tcPr>
          <w:p w14:paraId="7341575D" w14:textId="77777777" w:rsidR="00E43284" w:rsidRPr="00353AE1" w:rsidRDefault="00E43284" w:rsidP="00E43284">
            <w:pPr>
              <w:widowControl/>
              <w:jc w:val="left"/>
              <w:rPr>
                <w:rFonts w:eastAsia="Times New Roman"/>
                <w:color w:val="000000"/>
                <w:kern w:val="0"/>
                <w:lang w:val="en-GB"/>
              </w:rPr>
            </w:pPr>
            <w:r w:rsidRPr="00353AE1">
              <w:rPr>
                <w:rFonts w:eastAsia="Times New Roman"/>
                <w:color w:val="000000"/>
                <w:kern w:val="0"/>
                <w:lang w:val="en-GB"/>
              </w:rPr>
              <w:t>Unemployment rate</w:t>
            </w:r>
          </w:p>
        </w:tc>
        <w:tc>
          <w:tcPr>
            <w:tcW w:w="824" w:type="pct"/>
            <w:tcBorders>
              <w:top w:val="nil"/>
              <w:left w:val="nil"/>
              <w:bottom w:val="double" w:sz="6" w:space="0" w:color="auto"/>
              <w:right w:val="nil"/>
            </w:tcBorders>
            <w:noWrap/>
            <w:vAlign w:val="center"/>
            <w:hideMark/>
          </w:tcPr>
          <w:p w14:paraId="2CC17A9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-0.04</w:t>
            </w:r>
          </w:p>
        </w:tc>
        <w:tc>
          <w:tcPr>
            <w:tcW w:w="824" w:type="pct"/>
            <w:tcBorders>
              <w:top w:val="nil"/>
              <w:left w:val="nil"/>
              <w:bottom w:val="double" w:sz="6" w:space="0" w:color="auto"/>
              <w:right w:val="nil"/>
            </w:tcBorders>
            <w:noWrap/>
            <w:vAlign w:val="center"/>
            <w:hideMark/>
          </w:tcPr>
          <w:p w14:paraId="158859E8"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c>
          <w:tcPr>
            <w:tcW w:w="779" w:type="pct"/>
            <w:tcBorders>
              <w:top w:val="nil"/>
              <w:left w:val="nil"/>
              <w:bottom w:val="double" w:sz="6" w:space="0" w:color="auto"/>
              <w:right w:val="nil"/>
            </w:tcBorders>
            <w:noWrap/>
            <w:vAlign w:val="center"/>
            <w:hideMark/>
          </w:tcPr>
          <w:p w14:paraId="2AEDE077"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-0.01</w:t>
            </w:r>
          </w:p>
        </w:tc>
        <w:tc>
          <w:tcPr>
            <w:tcW w:w="779" w:type="pct"/>
            <w:tcBorders>
              <w:top w:val="nil"/>
              <w:left w:val="nil"/>
              <w:bottom w:val="double" w:sz="6" w:space="0" w:color="auto"/>
              <w:right w:val="nil"/>
            </w:tcBorders>
            <w:noWrap/>
            <w:vAlign w:val="center"/>
            <w:hideMark/>
          </w:tcPr>
          <w:p w14:paraId="02C8FE24" w14:textId="77777777" w:rsidR="00E43284" w:rsidRPr="00353AE1" w:rsidRDefault="00E43284" w:rsidP="00E43284">
            <w:pPr>
              <w:widowControl/>
              <w:jc w:val="center"/>
              <w:rPr>
                <w:rFonts w:eastAsia="Times New Roman"/>
                <w:color w:val="000000"/>
                <w:kern w:val="0"/>
                <w:lang w:val="en-GB"/>
              </w:rPr>
            </w:pPr>
            <w:r w:rsidRPr="00353AE1">
              <w:rPr>
                <w:rFonts w:eastAsia="Times New Roman"/>
                <w:color w:val="000000"/>
                <w:kern w:val="0"/>
                <w:lang w:val="en-GB"/>
              </w:rPr>
              <w:t>0.00</w:t>
            </w:r>
          </w:p>
        </w:tc>
      </w:tr>
    </w:tbl>
    <w:p w14:paraId="5A710AE8" w14:textId="77777777" w:rsidR="005F6F7C" w:rsidRPr="00353AE1" w:rsidRDefault="005F6F7C" w:rsidP="00E016A0"/>
    <w:p w14:paraId="2383A6E2" w14:textId="77777777" w:rsidR="00E56E6A" w:rsidRPr="00353AE1" w:rsidRDefault="00E56E6A" w:rsidP="001658E1">
      <w:pPr>
        <w:spacing w:after="120"/>
        <w:jc w:val="left"/>
      </w:pPr>
    </w:p>
    <w:p w14:paraId="24071151" w14:textId="4EBF7F4E" w:rsidR="001658E1" w:rsidRPr="00353AE1" w:rsidRDefault="001658E1" w:rsidP="001658E1">
      <w:pPr>
        <w:spacing w:after="120"/>
        <w:jc w:val="left"/>
      </w:pPr>
      <w:r w:rsidRPr="00353AE1">
        <w:t xml:space="preserve">Directly driven by stronger labour demand, the real cost of labour also rises. In addition, the aggregate output price falls relative to the CPI but only marginally, further increasing the real cost of labour to producers as the nominal producer wage is deflated by output prices. Real consumer wages also rise from 2026 onward, consistent with the model closure in which real wages are sticky in the short run and adjust positively to a short-run fall in the unemployment rate over time. The real consumer wage remains above baseline in 2040, supporting household income and consumption. </w:t>
      </w:r>
    </w:p>
    <w:p w14:paraId="3E301091" w14:textId="77777777" w:rsidR="001658E1" w:rsidRPr="00353AE1" w:rsidRDefault="001658E1" w:rsidP="001658E1">
      <w:pPr>
        <w:spacing w:after="120"/>
        <w:jc w:val="left"/>
      </w:pPr>
      <w:r w:rsidRPr="00353AE1">
        <w:t>With CPI as the numeraire, CPI remains fixed at baseline by construction. The GDP deflator falls slightly below baseline over time, while the national terms of trade fall by 0.02 per cent on impact and 0.03 per cent by 2040.</w:t>
      </w:r>
      <w:r w:rsidRPr="00353AE1">
        <w:rPr>
          <w:color w:val="EE0000"/>
        </w:rPr>
        <w:t xml:space="preserve"> </w:t>
      </w:r>
      <w:r w:rsidRPr="00353AE1">
        <w:t>These movements reflect lower export prices associated with reduced freight costs, while import prices in foreign currency are fixed at baseline. In VURMTAX, the nominal exchange rate is defined as domestic currency per unit of foreign currency. Its fall below baseline therefore indicates a nominal appreciation. At the same time, stronger domestic activity and higher factor demand place some upward pressure on domestic costs, contributing to a small real appreciation that partly offsets the competitiveness gain from lower freight costs.</w:t>
      </w:r>
    </w:p>
    <w:p w14:paraId="63FCEF0B" w14:textId="77777777" w:rsidR="00646904" w:rsidRPr="00353AE1" w:rsidRDefault="00646904" w:rsidP="006578B6">
      <w:pPr>
        <w:spacing w:after="120"/>
        <w:jc w:val="left"/>
      </w:pPr>
    </w:p>
    <w:p w14:paraId="5F0C4539" w14:textId="5C838E33" w:rsidR="00090294" w:rsidRPr="00353AE1" w:rsidRDefault="00090294" w:rsidP="006578B6">
      <w:pPr>
        <w:pStyle w:val="Heading2"/>
        <w:spacing w:before="0" w:after="120"/>
        <w:rPr>
          <w:rFonts w:cs="Calibri"/>
        </w:rPr>
      </w:pPr>
      <w:bookmarkStart w:id="40" w:name="_Toc234277235"/>
      <w:r w:rsidRPr="00353AE1">
        <w:rPr>
          <w:rStyle w:val="SubtleEmphasis"/>
          <w:rFonts w:cs="Calibri"/>
          <w:i w:val="0"/>
          <w:iCs w:val="0"/>
          <w:color w:val="auto"/>
        </w:rPr>
        <w:t>4.</w:t>
      </w:r>
      <w:r w:rsidR="006C65EB" w:rsidRPr="00353AE1">
        <w:rPr>
          <w:rStyle w:val="SubtleEmphasis"/>
          <w:rFonts w:cs="Calibri"/>
          <w:i w:val="0"/>
          <w:iCs w:val="0"/>
          <w:color w:val="auto"/>
        </w:rPr>
        <w:t>3</w:t>
      </w:r>
      <w:r w:rsidRPr="00353AE1">
        <w:rPr>
          <w:rStyle w:val="SubtleEmphasis"/>
          <w:rFonts w:cs="Calibri"/>
          <w:i w:val="0"/>
          <w:iCs w:val="0"/>
          <w:color w:val="auto"/>
        </w:rPr>
        <w:t xml:space="preserve"> Sectoral </w:t>
      </w:r>
      <w:r w:rsidR="00B770E5" w:rsidRPr="00353AE1">
        <w:rPr>
          <w:rStyle w:val="SubtleEmphasis"/>
          <w:rFonts w:cs="Calibri"/>
          <w:i w:val="0"/>
          <w:iCs w:val="0"/>
          <w:color w:val="auto"/>
        </w:rPr>
        <w:t>impacts</w:t>
      </w:r>
      <w:bookmarkEnd w:id="40"/>
    </w:p>
    <w:p w14:paraId="7F94C54D" w14:textId="70FD0C3C" w:rsidR="008548D0" w:rsidRPr="00353AE1" w:rsidRDefault="008548D0" w:rsidP="006578B6">
      <w:pPr>
        <w:spacing w:after="120"/>
        <w:jc w:val="left"/>
      </w:pPr>
      <w:r w:rsidRPr="00353AE1">
        <w:t xml:space="preserve">Table </w:t>
      </w:r>
      <w:r w:rsidR="00492AFE" w:rsidRPr="00353AE1">
        <w:t xml:space="preserve">7 </w:t>
      </w:r>
      <w:r w:rsidRPr="00353AE1">
        <w:t>reports the top and bottom three performing industries on impact in Scenario 1.</w:t>
      </w:r>
      <w:r w:rsidR="001F7E21" w:rsidRPr="00353AE1">
        <w:t xml:space="preserve"> </w:t>
      </w:r>
      <w:r w:rsidRPr="00353AE1">
        <w:t>To present the broader sectoral pattern more clearly, we also aggregate the</w:t>
      </w:r>
      <w:r w:rsidR="003A71AD" w:rsidRPr="00353AE1">
        <w:t xml:space="preserve"> 95 </w:t>
      </w:r>
      <w:r w:rsidRPr="00353AE1">
        <w:t xml:space="preserve">industries in VURMTAX into 20 broad groups that align closely with the </w:t>
      </w:r>
      <w:r w:rsidR="005259E7" w:rsidRPr="00353AE1">
        <w:t>ABS</w:t>
      </w:r>
      <w:r w:rsidRPr="00353AE1">
        <w:t xml:space="preserve"> ANZSIC level 1 classification. </w:t>
      </w:r>
      <w:r w:rsidR="00E854B8" w:rsidRPr="00353AE1">
        <w:t>These</w:t>
      </w:r>
      <w:r w:rsidRPr="00353AE1">
        <w:t xml:space="preserve"> results are reported for 2026, the shock year, and for 2040 in</w:t>
      </w:r>
      <w:r w:rsidR="00A5289D" w:rsidRPr="00353AE1">
        <w:t xml:space="preserve"> </w:t>
      </w:r>
      <w:r w:rsidR="00AA2F23" w:rsidRPr="00353AE1">
        <w:t>Figure 1</w:t>
      </w:r>
      <w:r w:rsidR="00FE3E0D" w:rsidRPr="00353AE1">
        <w:t xml:space="preserve"> and Figure 2</w:t>
      </w:r>
      <w:r w:rsidRPr="00353AE1">
        <w:t>.</w:t>
      </w:r>
    </w:p>
    <w:p w14:paraId="09621F13" w14:textId="77777777" w:rsidR="008548D0" w:rsidRPr="00353AE1" w:rsidRDefault="008548D0" w:rsidP="006578B6">
      <w:pPr>
        <w:spacing w:after="120"/>
        <w:jc w:val="left"/>
      </w:pPr>
      <w:r w:rsidRPr="00353AE1">
        <w:t>The sectoral results reflect the two imposed shocks in Scenario 1: lower freight costs from the Road Freight MFP improvement, and higher public demand for road repair and maintenance.</w:t>
      </w:r>
    </w:p>
    <w:p w14:paraId="144ED85F" w14:textId="32990020" w:rsidR="008548D0" w:rsidRPr="00353AE1" w:rsidRDefault="008548D0" w:rsidP="006578B6">
      <w:pPr>
        <w:spacing w:after="120"/>
        <w:jc w:val="left"/>
      </w:pPr>
      <w:r w:rsidRPr="00353AE1">
        <w:t>At the ANZSIC level, Construction is the strongest-performing sector on impact, rising by 0.2</w:t>
      </w:r>
      <w:r w:rsidR="00826138" w:rsidRPr="00353AE1">
        <w:t>5</w:t>
      </w:r>
      <w:r w:rsidRPr="00353AE1">
        <w:t xml:space="preserve"> per cent in 2026. This reflects both the boost to civil engineering construction from additional government road-wear expenditure</w:t>
      </w:r>
      <w:r w:rsidR="008254A5" w:rsidRPr="00353AE1">
        <w:t>,</w:t>
      </w:r>
      <w:r w:rsidRPr="00353AE1">
        <w:t xml:space="preserve"> and the benefit of lower freight costs. Agriculture, </w:t>
      </w:r>
      <w:r w:rsidR="008F507A" w:rsidRPr="00353AE1">
        <w:t>F</w:t>
      </w:r>
      <w:r w:rsidRPr="00353AE1">
        <w:t xml:space="preserve">orestry and </w:t>
      </w:r>
      <w:r w:rsidR="008F507A" w:rsidRPr="00353AE1">
        <w:t>F</w:t>
      </w:r>
      <w:r w:rsidRPr="00353AE1">
        <w:t xml:space="preserve">ishing also </w:t>
      </w:r>
      <w:r w:rsidR="008F507A" w:rsidRPr="00353AE1">
        <w:t>perform</w:t>
      </w:r>
      <w:r w:rsidRPr="00353AE1">
        <w:t xml:space="preserve"> strongly, rising by 0.</w:t>
      </w:r>
      <w:r w:rsidR="00921585" w:rsidRPr="00353AE1">
        <w:t xml:space="preserve">20 </w:t>
      </w:r>
      <w:r w:rsidRPr="00353AE1">
        <w:t xml:space="preserve">per cent in 2026, consistent with its relatively heavy reliance on road freight services. Manufacturing, wholesale trade and retail trade also expand, </w:t>
      </w:r>
      <w:r w:rsidR="00E769E4" w:rsidRPr="00353AE1">
        <w:t>benefiting from</w:t>
      </w:r>
      <w:r w:rsidRPr="00353AE1">
        <w:t xml:space="preserve"> lower freight costs</w:t>
      </w:r>
      <w:r w:rsidR="00E32897" w:rsidRPr="00353AE1">
        <w:t xml:space="preserve">. </w:t>
      </w:r>
    </w:p>
    <w:p w14:paraId="2FCF7E64" w14:textId="68DDAB4D" w:rsidR="008548D0" w:rsidRPr="00353AE1" w:rsidRDefault="008548D0" w:rsidP="006578B6">
      <w:pPr>
        <w:spacing w:after="120"/>
        <w:jc w:val="left"/>
      </w:pPr>
      <w:r w:rsidRPr="00353AE1">
        <w:t xml:space="preserve">At the disaggregated </w:t>
      </w:r>
      <w:r w:rsidR="0030637C" w:rsidRPr="00353AE1">
        <w:t>industry level</w:t>
      </w:r>
      <w:r w:rsidRPr="00353AE1">
        <w:t xml:space="preserve">, Civil Engineering Construction, Road Freight and Grains are the three strongest-performing industries on impact. Civil Engineering Construction benefits from higher government expenditure on road maintenance and repair, while Road Freight benefits </w:t>
      </w:r>
      <w:r w:rsidR="006F0153" w:rsidRPr="00353AE1">
        <w:t xml:space="preserve">directly </w:t>
      </w:r>
      <w:r w:rsidRPr="00353AE1">
        <w:t>from the imposed MFP improvement. Grains performs strongly because it is highly dependent on road freight services and therefore benefits from lower transport costs.</w:t>
      </w:r>
    </w:p>
    <w:p w14:paraId="3498F821" w14:textId="2A72A73C" w:rsidR="003450B3" w:rsidRPr="00353AE1" w:rsidRDefault="004020E1" w:rsidP="006578B6">
      <w:pPr>
        <w:spacing w:after="120"/>
        <w:jc w:val="left"/>
      </w:pPr>
      <w:r w:rsidRPr="00353AE1">
        <w:t xml:space="preserve">Among the </w:t>
      </w:r>
      <w:r w:rsidR="008548D0" w:rsidRPr="00353AE1">
        <w:t>weakest-performing industries</w:t>
      </w:r>
      <w:r w:rsidRPr="00353AE1">
        <w:t xml:space="preserve">, </w:t>
      </w:r>
      <w:r w:rsidR="008548D0" w:rsidRPr="00353AE1">
        <w:t>Railway Freight contracts by 0.</w:t>
      </w:r>
      <w:r w:rsidR="0033177E" w:rsidRPr="00353AE1">
        <w:t xml:space="preserve">46 </w:t>
      </w:r>
      <w:r w:rsidR="008548D0" w:rsidRPr="00353AE1">
        <w:t>per cent in 2026</w:t>
      </w:r>
      <w:r w:rsidR="00280773" w:rsidRPr="00353AE1">
        <w:t xml:space="preserve">: </w:t>
      </w:r>
      <w:r w:rsidR="002D6530" w:rsidRPr="00353AE1">
        <w:t xml:space="preserve">the </w:t>
      </w:r>
      <w:r w:rsidR="00280773" w:rsidRPr="00353AE1">
        <w:t>VURMTAX model</w:t>
      </w:r>
      <w:r w:rsidR="002D6530" w:rsidRPr="00353AE1">
        <w:t xml:space="preserve"> allows for</w:t>
      </w:r>
      <w:r w:rsidR="00280773" w:rsidRPr="00353AE1">
        <w:t xml:space="preserve"> modal substitution in margin </w:t>
      </w:r>
      <w:r w:rsidR="004B55AA" w:rsidRPr="00353AE1">
        <w:t xml:space="preserve">use, and </w:t>
      </w:r>
      <w:r w:rsidR="001272A3" w:rsidRPr="00353AE1">
        <w:t xml:space="preserve">the </w:t>
      </w:r>
      <w:r w:rsidR="004B55AA" w:rsidRPr="00353AE1">
        <w:t xml:space="preserve">contraction </w:t>
      </w:r>
      <w:r w:rsidR="004B55AA" w:rsidRPr="00353AE1">
        <w:lastRenderedPageBreak/>
        <w:t>of Railway Freight</w:t>
      </w:r>
      <w:r w:rsidR="008548D0" w:rsidRPr="00353AE1">
        <w:t xml:space="preserve"> </w:t>
      </w:r>
      <w:r w:rsidR="004B55AA" w:rsidRPr="00353AE1">
        <w:t xml:space="preserve">reflects this </w:t>
      </w:r>
      <w:r w:rsidR="008548D0" w:rsidRPr="00353AE1">
        <w:t xml:space="preserve">direct competition with Road Freight. Heavy Vehicle and LCV also contract because higher Road Freight productivity reduces the amount of commercial vehicle input required for a given freight task. </w:t>
      </w:r>
    </w:p>
    <w:p w14:paraId="46309FEA" w14:textId="54D95DE1" w:rsidR="008548D0" w:rsidRPr="00353AE1" w:rsidRDefault="008548D0" w:rsidP="006578B6">
      <w:pPr>
        <w:spacing w:after="120"/>
        <w:jc w:val="left"/>
      </w:pPr>
      <w:r w:rsidRPr="00353AE1">
        <w:t xml:space="preserve">At the ANZSIC level, Other Services records the largest contraction, falling by 0.08 per cent in 2026. This is consistent with the broad sector including automotive repair services, which are adversely affected by lower commercial vehicle use and the associated reduction in demand for </w:t>
      </w:r>
      <w:r w:rsidR="002D6EAC" w:rsidRPr="00353AE1">
        <w:t xml:space="preserve">vehicle </w:t>
      </w:r>
      <w:r w:rsidRPr="00353AE1">
        <w:t xml:space="preserve">repair. Public </w:t>
      </w:r>
      <w:r w:rsidR="00611109" w:rsidRPr="00353AE1">
        <w:t>A</w:t>
      </w:r>
      <w:r w:rsidRPr="00353AE1">
        <w:t xml:space="preserve">dministration and </w:t>
      </w:r>
      <w:r w:rsidR="00611109" w:rsidRPr="00353AE1">
        <w:t>D</w:t>
      </w:r>
      <w:r w:rsidRPr="00353AE1">
        <w:t xml:space="preserve">efence is little affected by the reform, </w:t>
      </w:r>
      <w:r w:rsidR="00695531" w:rsidRPr="00353AE1">
        <w:t>as the additional</w:t>
      </w:r>
      <w:r w:rsidR="00611975" w:rsidRPr="00353AE1">
        <w:t xml:space="preserve"> public demand shock is imposed on civil engineering construction rather than </w:t>
      </w:r>
      <w:r w:rsidR="00D43283" w:rsidRPr="00353AE1">
        <w:t>public</w:t>
      </w:r>
      <w:r w:rsidR="00611975" w:rsidRPr="00353AE1">
        <w:t xml:space="preserve"> service provision</w:t>
      </w:r>
      <w:r w:rsidRPr="00353AE1">
        <w:t>.</w:t>
      </w:r>
    </w:p>
    <w:p w14:paraId="7880C30D" w14:textId="49DD7CF0" w:rsidR="007C48FE" w:rsidRPr="00353AE1" w:rsidRDefault="008548D0" w:rsidP="006578B6">
      <w:pPr>
        <w:spacing w:after="120"/>
        <w:jc w:val="left"/>
      </w:pPr>
      <w:r w:rsidRPr="00353AE1">
        <w:t xml:space="preserve">The sectoral pattern in 2040 is broadly similar to that in 2026. One notable exception is Mining. Mining expands only modestly on impact, rising by 0.02 per cent in 2026, because it is </w:t>
      </w:r>
      <w:r w:rsidR="00D01EE6" w:rsidRPr="00353AE1">
        <w:t>highly</w:t>
      </w:r>
      <w:r w:rsidRPr="00353AE1">
        <w:t xml:space="preserve"> capital intensive and therefore constrained in the short run. Over time, however, the benefit of lower freight costs becomes more apparent as capital adjusts, and Mining rises to 0.09 per cent above baseline by 2040.</w:t>
      </w:r>
    </w:p>
    <w:p w14:paraId="4A154A84" w14:textId="560DDF62" w:rsidR="003073B5" w:rsidRPr="00353AE1" w:rsidRDefault="003073B5" w:rsidP="006578B6">
      <w:pPr>
        <w:pStyle w:val="Caption"/>
        <w:keepNext/>
        <w:spacing w:after="120"/>
        <w:jc w:val="center"/>
        <w:rPr>
          <w:sz w:val="22"/>
          <w:szCs w:val="22"/>
        </w:rPr>
      </w:pPr>
    </w:p>
    <w:p w14:paraId="50CE7551" w14:textId="0B866FC2" w:rsidR="00114E6F" w:rsidRPr="00353AE1" w:rsidRDefault="00114E6F" w:rsidP="006578B6">
      <w:pPr>
        <w:pStyle w:val="Caption"/>
        <w:keepNext/>
        <w:spacing w:after="120"/>
        <w:jc w:val="center"/>
        <w:rPr>
          <w:sz w:val="22"/>
          <w:szCs w:val="22"/>
        </w:rPr>
      </w:pPr>
      <w:bookmarkStart w:id="41" w:name="_Toc230696729"/>
      <w:bookmarkStart w:id="42" w:name="_Toc230710347"/>
      <w:bookmarkStart w:id="43" w:name="_Toc230710393"/>
      <w:bookmarkStart w:id="44" w:name="_Toc230711116"/>
      <w:bookmarkStart w:id="45" w:name="_Toc231907811"/>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7</w:t>
      </w:r>
      <w:r w:rsidR="00DF6059" w:rsidRPr="00353AE1">
        <w:rPr>
          <w:sz w:val="22"/>
          <w:szCs w:val="22"/>
        </w:rPr>
        <w:fldChar w:fldCharType="end"/>
      </w:r>
      <w:r w:rsidRPr="00353AE1">
        <w:rPr>
          <w:sz w:val="22"/>
          <w:szCs w:val="22"/>
        </w:rPr>
        <w:t>. Top and Bottom Three Performing Industries in the shock</w:t>
      </w:r>
      <w:r w:rsidR="000F1E1D" w:rsidRPr="00353AE1">
        <w:rPr>
          <w:sz w:val="22"/>
          <w:szCs w:val="22"/>
        </w:rPr>
        <w:t xml:space="preserve"> </w:t>
      </w:r>
      <w:r w:rsidRPr="00353AE1">
        <w:rPr>
          <w:sz w:val="22"/>
          <w:szCs w:val="22"/>
        </w:rPr>
        <w:t>year</w:t>
      </w:r>
      <w:r w:rsidR="000F1E1D" w:rsidRPr="00353AE1">
        <w:rPr>
          <w:sz w:val="22"/>
          <w:szCs w:val="22"/>
        </w:rPr>
        <w:t xml:space="preserve"> (</w:t>
      </w:r>
      <w:r w:rsidRPr="00353AE1">
        <w:rPr>
          <w:sz w:val="22"/>
          <w:szCs w:val="22"/>
        </w:rPr>
        <w:t>Scenario 1</w:t>
      </w:r>
      <w:bookmarkEnd w:id="41"/>
      <w:r w:rsidR="000F1E1D" w:rsidRPr="00353AE1">
        <w:rPr>
          <w:sz w:val="22"/>
          <w:szCs w:val="22"/>
        </w:rPr>
        <w:t>)</w:t>
      </w:r>
      <w:bookmarkEnd w:id="42"/>
      <w:bookmarkEnd w:id="43"/>
      <w:bookmarkEnd w:id="44"/>
      <w:bookmarkEnd w:id="45"/>
    </w:p>
    <w:tbl>
      <w:tblPr>
        <w:tblW w:w="0" w:type="auto"/>
        <w:jc w:val="center"/>
        <w:tblLook w:val="04A0" w:firstRow="1" w:lastRow="0" w:firstColumn="1" w:lastColumn="0" w:noHBand="0" w:noVBand="1"/>
      </w:tblPr>
      <w:tblGrid>
        <w:gridCol w:w="3100"/>
        <w:gridCol w:w="1295"/>
        <w:gridCol w:w="1285"/>
      </w:tblGrid>
      <w:tr w:rsidR="00AC0106" w:rsidRPr="00353AE1" w14:paraId="28531C93" w14:textId="77777777" w:rsidTr="00E016A0">
        <w:trPr>
          <w:trHeight w:val="315"/>
          <w:jc w:val="center"/>
        </w:trPr>
        <w:tc>
          <w:tcPr>
            <w:tcW w:w="0" w:type="auto"/>
            <w:tcBorders>
              <w:top w:val="single" w:sz="4" w:space="0" w:color="auto"/>
              <w:left w:val="nil"/>
              <w:bottom w:val="nil"/>
              <w:right w:val="nil"/>
            </w:tcBorders>
            <w:noWrap/>
            <w:vAlign w:val="center"/>
            <w:hideMark/>
          </w:tcPr>
          <w:p w14:paraId="2CE65EC8" w14:textId="77777777" w:rsidR="00AC0106" w:rsidRPr="00353AE1" w:rsidRDefault="00AC0106" w:rsidP="00AC0106">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0" w:type="auto"/>
            <w:tcBorders>
              <w:top w:val="single" w:sz="4" w:space="0" w:color="auto"/>
              <w:left w:val="nil"/>
              <w:bottom w:val="nil"/>
              <w:right w:val="nil"/>
            </w:tcBorders>
            <w:noWrap/>
            <w:vAlign w:val="center"/>
            <w:hideMark/>
          </w:tcPr>
          <w:p w14:paraId="1CCED6EE" w14:textId="77777777" w:rsidR="00AC0106" w:rsidRPr="00353AE1" w:rsidRDefault="00AC0106" w:rsidP="00AC0106">
            <w:pPr>
              <w:widowControl/>
              <w:jc w:val="center"/>
              <w:rPr>
                <w:rFonts w:eastAsia="Times New Roman"/>
                <w:b/>
                <w:bCs/>
                <w:color w:val="000000"/>
                <w:kern w:val="0"/>
                <w:lang w:val="en-GB"/>
              </w:rPr>
            </w:pPr>
            <w:r w:rsidRPr="00353AE1">
              <w:rPr>
                <w:rFonts w:eastAsia="Times New Roman"/>
                <w:b/>
                <w:bCs/>
                <w:color w:val="000000"/>
                <w:kern w:val="0"/>
                <w:lang w:val="en-GB"/>
              </w:rPr>
              <w:t>Scenario 1A</w:t>
            </w:r>
          </w:p>
        </w:tc>
        <w:tc>
          <w:tcPr>
            <w:tcW w:w="0" w:type="auto"/>
            <w:tcBorders>
              <w:top w:val="single" w:sz="4" w:space="0" w:color="auto"/>
              <w:left w:val="nil"/>
              <w:bottom w:val="nil"/>
              <w:right w:val="nil"/>
            </w:tcBorders>
            <w:noWrap/>
            <w:vAlign w:val="center"/>
            <w:hideMark/>
          </w:tcPr>
          <w:p w14:paraId="46182BBF" w14:textId="77777777" w:rsidR="00AC0106" w:rsidRPr="00353AE1" w:rsidRDefault="00AC0106" w:rsidP="00AC0106">
            <w:pPr>
              <w:widowControl/>
              <w:jc w:val="center"/>
              <w:rPr>
                <w:rFonts w:eastAsia="Times New Roman"/>
                <w:b/>
                <w:bCs/>
                <w:color w:val="000000"/>
                <w:kern w:val="0"/>
                <w:lang w:val="en-GB"/>
              </w:rPr>
            </w:pPr>
            <w:r w:rsidRPr="00353AE1">
              <w:rPr>
                <w:rFonts w:eastAsia="Times New Roman"/>
                <w:b/>
                <w:bCs/>
                <w:color w:val="000000"/>
                <w:kern w:val="0"/>
                <w:lang w:val="en-GB"/>
              </w:rPr>
              <w:t>Scenario 1B</w:t>
            </w:r>
          </w:p>
        </w:tc>
      </w:tr>
      <w:tr w:rsidR="00AC0106" w:rsidRPr="00353AE1" w14:paraId="79D2307D" w14:textId="77777777" w:rsidTr="00E016A0">
        <w:trPr>
          <w:trHeight w:val="300"/>
          <w:jc w:val="center"/>
        </w:trPr>
        <w:tc>
          <w:tcPr>
            <w:tcW w:w="0" w:type="auto"/>
            <w:tcBorders>
              <w:top w:val="nil"/>
              <w:left w:val="nil"/>
              <w:bottom w:val="nil"/>
              <w:right w:val="nil"/>
            </w:tcBorders>
            <w:noWrap/>
            <w:vAlign w:val="center"/>
            <w:hideMark/>
          </w:tcPr>
          <w:p w14:paraId="177BF33E" w14:textId="77777777" w:rsidR="00AC0106" w:rsidRPr="00353AE1" w:rsidRDefault="00AC0106" w:rsidP="00AC0106">
            <w:pPr>
              <w:widowControl/>
              <w:jc w:val="center"/>
              <w:rPr>
                <w:rFonts w:eastAsia="Times New Roman"/>
                <w:b/>
                <w:bCs/>
                <w:color w:val="000000"/>
                <w:kern w:val="0"/>
                <w:lang w:val="en-GB"/>
              </w:rPr>
            </w:pPr>
          </w:p>
        </w:tc>
        <w:tc>
          <w:tcPr>
            <w:tcW w:w="0" w:type="auto"/>
            <w:gridSpan w:val="2"/>
            <w:tcBorders>
              <w:top w:val="nil"/>
              <w:left w:val="nil"/>
              <w:bottom w:val="nil"/>
              <w:right w:val="nil"/>
            </w:tcBorders>
            <w:vAlign w:val="center"/>
            <w:hideMark/>
          </w:tcPr>
          <w:p w14:paraId="092F6213" w14:textId="77777777" w:rsidR="00AC0106" w:rsidRPr="00353AE1" w:rsidRDefault="00AC0106" w:rsidP="00AC0106">
            <w:pPr>
              <w:widowControl/>
              <w:jc w:val="center"/>
              <w:rPr>
                <w:rFonts w:eastAsia="Times New Roman"/>
                <w:color w:val="000000"/>
                <w:kern w:val="0"/>
                <w:lang w:val="en-GB"/>
              </w:rPr>
            </w:pPr>
            <w:r w:rsidRPr="00353AE1">
              <w:rPr>
                <w:rFonts w:eastAsia="Times New Roman"/>
                <w:color w:val="000000"/>
                <w:kern w:val="0"/>
                <w:lang w:val="en-GB"/>
              </w:rPr>
              <w:t>% Deviation from baseline</w:t>
            </w:r>
          </w:p>
        </w:tc>
      </w:tr>
      <w:tr w:rsidR="00AC0106" w:rsidRPr="00353AE1" w14:paraId="240EA799" w14:textId="77777777" w:rsidTr="00E016A0">
        <w:trPr>
          <w:trHeight w:val="300"/>
          <w:jc w:val="center"/>
        </w:trPr>
        <w:tc>
          <w:tcPr>
            <w:tcW w:w="0" w:type="auto"/>
            <w:tcBorders>
              <w:top w:val="nil"/>
              <w:left w:val="nil"/>
              <w:bottom w:val="nil"/>
              <w:right w:val="nil"/>
            </w:tcBorders>
            <w:shd w:val="clear" w:color="auto" w:fill="F2F2F2" w:themeFill="background1" w:themeFillShade="F2"/>
            <w:noWrap/>
            <w:vAlign w:val="bottom"/>
            <w:hideMark/>
          </w:tcPr>
          <w:p w14:paraId="0F9B3774" w14:textId="77777777" w:rsidR="00AC0106" w:rsidRPr="00E016A0" w:rsidRDefault="00AC0106" w:rsidP="00AC0106">
            <w:pPr>
              <w:widowControl/>
              <w:jc w:val="left"/>
              <w:rPr>
                <w:rFonts w:eastAsia="Times New Roman"/>
                <w:b/>
                <w:bCs/>
                <w:color w:val="000000"/>
                <w:kern w:val="0"/>
                <w:lang w:val="en-GB"/>
              </w:rPr>
            </w:pPr>
            <w:r w:rsidRPr="00E016A0">
              <w:rPr>
                <w:rFonts w:eastAsia="Times New Roman"/>
                <w:b/>
                <w:bCs/>
                <w:color w:val="000000"/>
                <w:kern w:val="0"/>
                <w:lang w:val="en-GB"/>
              </w:rPr>
              <w:t>Top 3 performing industries</w:t>
            </w:r>
          </w:p>
        </w:tc>
        <w:tc>
          <w:tcPr>
            <w:tcW w:w="0" w:type="auto"/>
            <w:tcBorders>
              <w:top w:val="nil"/>
              <w:left w:val="nil"/>
              <w:bottom w:val="nil"/>
              <w:right w:val="nil"/>
            </w:tcBorders>
            <w:shd w:val="clear" w:color="auto" w:fill="F2F2F2" w:themeFill="background1" w:themeFillShade="F2"/>
            <w:noWrap/>
            <w:vAlign w:val="bottom"/>
            <w:hideMark/>
          </w:tcPr>
          <w:p w14:paraId="50AB2359" w14:textId="77777777" w:rsidR="00AC0106" w:rsidRPr="00353AE1" w:rsidRDefault="00AC0106" w:rsidP="00AC0106">
            <w:pPr>
              <w:widowControl/>
              <w:jc w:val="left"/>
              <w:rPr>
                <w:rFonts w:eastAsia="Times New Roman"/>
                <w:b/>
                <w:bCs/>
                <w:color w:val="000000"/>
                <w:kern w:val="0"/>
                <w:lang w:val="en-GB"/>
              </w:rPr>
            </w:pPr>
          </w:p>
        </w:tc>
        <w:tc>
          <w:tcPr>
            <w:tcW w:w="0" w:type="auto"/>
            <w:tcBorders>
              <w:top w:val="nil"/>
              <w:left w:val="nil"/>
              <w:bottom w:val="nil"/>
              <w:right w:val="nil"/>
            </w:tcBorders>
            <w:shd w:val="clear" w:color="auto" w:fill="F2F2F2" w:themeFill="background1" w:themeFillShade="F2"/>
            <w:noWrap/>
            <w:vAlign w:val="bottom"/>
            <w:hideMark/>
          </w:tcPr>
          <w:p w14:paraId="5077EEBD" w14:textId="77777777" w:rsidR="00AC0106" w:rsidRPr="00353AE1" w:rsidRDefault="00AC0106" w:rsidP="00AC0106">
            <w:pPr>
              <w:widowControl/>
              <w:jc w:val="left"/>
              <w:rPr>
                <w:rFonts w:eastAsia="Times New Roman"/>
                <w:kern w:val="0"/>
                <w:sz w:val="20"/>
                <w:szCs w:val="20"/>
                <w:lang w:val="en-GB"/>
              </w:rPr>
            </w:pPr>
          </w:p>
        </w:tc>
      </w:tr>
      <w:tr w:rsidR="00AC0106" w:rsidRPr="00353AE1" w14:paraId="4661AE4A" w14:textId="77777777" w:rsidTr="00E016A0">
        <w:trPr>
          <w:trHeight w:val="315"/>
          <w:jc w:val="center"/>
        </w:trPr>
        <w:tc>
          <w:tcPr>
            <w:tcW w:w="0" w:type="auto"/>
            <w:tcBorders>
              <w:top w:val="nil"/>
              <w:left w:val="nil"/>
              <w:bottom w:val="nil"/>
              <w:right w:val="nil"/>
            </w:tcBorders>
            <w:noWrap/>
            <w:vAlign w:val="center"/>
            <w:hideMark/>
          </w:tcPr>
          <w:p w14:paraId="61405160"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Civil Engineering Construction</w:t>
            </w:r>
          </w:p>
        </w:tc>
        <w:tc>
          <w:tcPr>
            <w:tcW w:w="0" w:type="auto"/>
            <w:tcBorders>
              <w:top w:val="nil"/>
              <w:left w:val="nil"/>
              <w:bottom w:val="nil"/>
              <w:right w:val="nil"/>
            </w:tcBorders>
            <w:noWrap/>
            <w:vAlign w:val="center"/>
            <w:hideMark/>
          </w:tcPr>
          <w:p w14:paraId="7B7EC3F0"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0.80</w:t>
            </w:r>
          </w:p>
        </w:tc>
        <w:tc>
          <w:tcPr>
            <w:tcW w:w="0" w:type="auto"/>
            <w:tcBorders>
              <w:top w:val="nil"/>
              <w:left w:val="nil"/>
              <w:bottom w:val="nil"/>
              <w:right w:val="nil"/>
            </w:tcBorders>
            <w:noWrap/>
            <w:vAlign w:val="center"/>
            <w:hideMark/>
          </w:tcPr>
          <w:p w14:paraId="492FB5E3"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0.27</w:t>
            </w:r>
          </w:p>
        </w:tc>
      </w:tr>
      <w:tr w:rsidR="00AC0106" w:rsidRPr="00353AE1" w14:paraId="6B88012D" w14:textId="77777777" w:rsidTr="00E016A0">
        <w:trPr>
          <w:trHeight w:val="315"/>
          <w:jc w:val="center"/>
        </w:trPr>
        <w:tc>
          <w:tcPr>
            <w:tcW w:w="0" w:type="auto"/>
            <w:tcBorders>
              <w:top w:val="nil"/>
              <w:left w:val="nil"/>
              <w:bottom w:val="nil"/>
              <w:right w:val="nil"/>
            </w:tcBorders>
            <w:noWrap/>
            <w:vAlign w:val="center"/>
            <w:hideMark/>
          </w:tcPr>
          <w:p w14:paraId="2C682B25"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Road Freight</w:t>
            </w:r>
          </w:p>
        </w:tc>
        <w:tc>
          <w:tcPr>
            <w:tcW w:w="0" w:type="auto"/>
            <w:tcBorders>
              <w:top w:val="nil"/>
              <w:left w:val="nil"/>
              <w:bottom w:val="nil"/>
              <w:right w:val="nil"/>
            </w:tcBorders>
            <w:noWrap/>
            <w:vAlign w:val="center"/>
            <w:hideMark/>
          </w:tcPr>
          <w:p w14:paraId="334BF140"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0.69</w:t>
            </w:r>
          </w:p>
        </w:tc>
        <w:tc>
          <w:tcPr>
            <w:tcW w:w="0" w:type="auto"/>
            <w:tcBorders>
              <w:top w:val="nil"/>
              <w:left w:val="nil"/>
              <w:bottom w:val="nil"/>
              <w:right w:val="nil"/>
            </w:tcBorders>
            <w:noWrap/>
            <w:vAlign w:val="center"/>
            <w:hideMark/>
          </w:tcPr>
          <w:p w14:paraId="0372F0AE"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0.21</w:t>
            </w:r>
          </w:p>
        </w:tc>
      </w:tr>
      <w:tr w:rsidR="00AC0106" w:rsidRPr="00353AE1" w14:paraId="49181FFA" w14:textId="77777777" w:rsidTr="00E016A0">
        <w:trPr>
          <w:trHeight w:val="300"/>
          <w:jc w:val="center"/>
        </w:trPr>
        <w:tc>
          <w:tcPr>
            <w:tcW w:w="0" w:type="auto"/>
            <w:tcBorders>
              <w:top w:val="nil"/>
              <w:left w:val="nil"/>
              <w:bottom w:val="nil"/>
              <w:right w:val="nil"/>
            </w:tcBorders>
            <w:noWrap/>
            <w:vAlign w:val="center"/>
            <w:hideMark/>
          </w:tcPr>
          <w:p w14:paraId="5BA1FD81"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Grains</w:t>
            </w:r>
          </w:p>
        </w:tc>
        <w:tc>
          <w:tcPr>
            <w:tcW w:w="0" w:type="auto"/>
            <w:tcBorders>
              <w:top w:val="nil"/>
              <w:left w:val="nil"/>
              <w:bottom w:val="nil"/>
              <w:right w:val="nil"/>
            </w:tcBorders>
            <w:noWrap/>
            <w:vAlign w:val="center"/>
            <w:hideMark/>
          </w:tcPr>
          <w:p w14:paraId="708715E7"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0.57</w:t>
            </w:r>
          </w:p>
        </w:tc>
        <w:tc>
          <w:tcPr>
            <w:tcW w:w="0" w:type="auto"/>
            <w:tcBorders>
              <w:top w:val="nil"/>
              <w:left w:val="nil"/>
              <w:bottom w:val="nil"/>
              <w:right w:val="nil"/>
            </w:tcBorders>
            <w:noWrap/>
            <w:vAlign w:val="center"/>
            <w:hideMark/>
          </w:tcPr>
          <w:p w14:paraId="0960292C"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0.18</w:t>
            </w:r>
          </w:p>
        </w:tc>
      </w:tr>
      <w:tr w:rsidR="00AC0106" w:rsidRPr="00353AE1" w14:paraId="301A43DB" w14:textId="77777777" w:rsidTr="00E016A0">
        <w:trPr>
          <w:trHeight w:val="300"/>
          <w:jc w:val="center"/>
        </w:trPr>
        <w:tc>
          <w:tcPr>
            <w:tcW w:w="0" w:type="auto"/>
            <w:tcBorders>
              <w:top w:val="nil"/>
              <w:left w:val="nil"/>
              <w:bottom w:val="nil"/>
              <w:right w:val="nil"/>
            </w:tcBorders>
            <w:noWrap/>
            <w:vAlign w:val="bottom"/>
            <w:hideMark/>
          </w:tcPr>
          <w:p w14:paraId="3D8F8CFE" w14:textId="77777777" w:rsidR="00AC0106" w:rsidRPr="00353AE1" w:rsidRDefault="00AC0106" w:rsidP="00AC0106">
            <w:pPr>
              <w:widowControl/>
              <w:jc w:val="center"/>
              <w:rPr>
                <w:rFonts w:eastAsia="Times New Roman"/>
                <w:color w:val="000000"/>
                <w:kern w:val="0"/>
                <w:sz w:val="20"/>
                <w:szCs w:val="20"/>
                <w:lang w:val="en-GB"/>
              </w:rPr>
            </w:pPr>
          </w:p>
        </w:tc>
        <w:tc>
          <w:tcPr>
            <w:tcW w:w="0" w:type="auto"/>
            <w:tcBorders>
              <w:top w:val="nil"/>
              <w:left w:val="nil"/>
              <w:bottom w:val="nil"/>
              <w:right w:val="nil"/>
            </w:tcBorders>
            <w:noWrap/>
            <w:vAlign w:val="center"/>
            <w:hideMark/>
          </w:tcPr>
          <w:p w14:paraId="4720B794" w14:textId="77777777" w:rsidR="00AC0106" w:rsidRPr="00353AE1" w:rsidRDefault="00AC0106" w:rsidP="00AC0106">
            <w:pPr>
              <w:widowControl/>
              <w:jc w:val="left"/>
              <w:rPr>
                <w:rFonts w:eastAsia="Times New Roman"/>
                <w:kern w:val="0"/>
                <w:sz w:val="20"/>
                <w:szCs w:val="20"/>
                <w:lang w:val="en-GB"/>
              </w:rPr>
            </w:pPr>
          </w:p>
        </w:tc>
        <w:tc>
          <w:tcPr>
            <w:tcW w:w="0" w:type="auto"/>
            <w:tcBorders>
              <w:top w:val="nil"/>
              <w:left w:val="nil"/>
              <w:bottom w:val="nil"/>
              <w:right w:val="nil"/>
            </w:tcBorders>
            <w:noWrap/>
            <w:vAlign w:val="center"/>
            <w:hideMark/>
          </w:tcPr>
          <w:p w14:paraId="4D2F714C" w14:textId="77777777" w:rsidR="00AC0106" w:rsidRPr="00353AE1" w:rsidRDefault="00AC0106" w:rsidP="00AC0106">
            <w:pPr>
              <w:widowControl/>
              <w:jc w:val="center"/>
              <w:rPr>
                <w:rFonts w:eastAsia="Times New Roman"/>
                <w:kern w:val="0"/>
                <w:sz w:val="20"/>
                <w:szCs w:val="20"/>
                <w:lang w:val="en-GB"/>
              </w:rPr>
            </w:pPr>
          </w:p>
        </w:tc>
      </w:tr>
      <w:tr w:rsidR="00AC0106" w:rsidRPr="00353AE1" w14:paraId="025832FD" w14:textId="77777777" w:rsidTr="00E016A0">
        <w:trPr>
          <w:trHeight w:val="300"/>
          <w:jc w:val="center"/>
        </w:trPr>
        <w:tc>
          <w:tcPr>
            <w:tcW w:w="0" w:type="auto"/>
            <w:tcBorders>
              <w:top w:val="nil"/>
              <w:left w:val="nil"/>
              <w:bottom w:val="nil"/>
              <w:right w:val="nil"/>
            </w:tcBorders>
            <w:shd w:val="clear" w:color="auto" w:fill="F2F2F2" w:themeFill="background1" w:themeFillShade="F2"/>
            <w:noWrap/>
            <w:vAlign w:val="center"/>
            <w:hideMark/>
          </w:tcPr>
          <w:p w14:paraId="7AA9FAD4" w14:textId="77777777" w:rsidR="00AC0106" w:rsidRPr="00353AE1" w:rsidRDefault="00AC0106" w:rsidP="00AC0106">
            <w:pPr>
              <w:widowControl/>
              <w:jc w:val="left"/>
              <w:rPr>
                <w:rFonts w:eastAsia="Times New Roman"/>
                <w:b/>
                <w:bCs/>
                <w:color w:val="000000"/>
                <w:kern w:val="0"/>
                <w:lang w:val="en-GB"/>
              </w:rPr>
            </w:pPr>
            <w:r w:rsidRPr="00353AE1">
              <w:rPr>
                <w:rFonts w:eastAsia="Times New Roman"/>
                <w:b/>
                <w:bCs/>
                <w:color w:val="000000"/>
                <w:kern w:val="0"/>
                <w:lang w:val="en-GB"/>
              </w:rPr>
              <w:t>Bottom 3 performing industries</w:t>
            </w:r>
          </w:p>
        </w:tc>
        <w:tc>
          <w:tcPr>
            <w:tcW w:w="0" w:type="auto"/>
            <w:tcBorders>
              <w:top w:val="nil"/>
              <w:left w:val="nil"/>
              <w:bottom w:val="nil"/>
              <w:right w:val="nil"/>
            </w:tcBorders>
            <w:shd w:val="clear" w:color="auto" w:fill="F2F2F2" w:themeFill="background1" w:themeFillShade="F2"/>
            <w:noWrap/>
            <w:vAlign w:val="center"/>
            <w:hideMark/>
          </w:tcPr>
          <w:p w14:paraId="660881C9" w14:textId="77777777" w:rsidR="00AC0106" w:rsidRPr="00353AE1" w:rsidRDefault="00AC0106" w:rsidP="00AC0106">
            <w:pPr>
              <w:widowControl/>
              <w:jc w:val="left"/>
              <w:rPr>
                <w:rFonts w:eastAsia="Times New Roman"/>
                <w:b/>
                <w:bCs/>
                <w:color w:val="000000"/>
                <w:kern w:val="0"/>
                <w:lang w:val="en-GB"/>
              </w:rPr>
            </w:pPr>
          </w:p>
        </w:tc>
        <w:tc>
          <w:tcPr>
            <w:tcW w:w="0" w:type="auto"/>
            <w:tcBorders>
              <w:top w:val="nil"/>
              <w:left w:val="nil"/>
              <w:bottom w:val="nil"/>
              <w:right w:val="nil"/>
            </w:tcBorders>
            <w:shd w:val="clear" w:color="auto" w:fill="F2F2F2" w:themeFill="background1" w:themeFillShade="F2"/>
            <w:noWrap/>
            <w:vAlign w:val="center"/>
            <w:hideMark/>
          </w:tcPr>
          <w:p w14:paraId="6F67F613" w14:textId="77777777" w:rsidR="00AC0106" w:rsidRPr="00353AE1" w:rsidRDefault="00AC0106" w:rsidP="00AC0106">
            <w:pPr>
              <w:widowControl/>
              <w:jc w:val="center"/>
              <w:rPr>
                <w:rFonts w:eastAsia="Times New Roman"/>
                <w:kern w:val="0"/>
                <w:sz w:val="20"/>
                <w:szCs w:val="20"/>
                <w:lang w:val="en-GB"/>
              </w:rPr>
            </w:pPr>
          </w:p>
        </w:tc>
      </w:tr>
      <w:tr w:rsidR="00AC0106" w:rsidRPr="00353AE1" w14:paraId="1848FFBC" w14:textId="77777777" w:rsidTr="00E016A0">
        <w:trPr>
          <w:trHeight w:val="300"/>
          <w:jc w:val="center"/>
        </w:trPr>
        <w:tc>
          <w:tcPr>
            <w:tcW w:w="0" w:type="auto"/>
            <w:tcBorders>
              <w:top w:val="nil"/>
              <w:left w:val="nil"/>
              <w:bottom w:val="nil"/>
              <w:right w:val="nil"/>
            </w:tcBorders>
            <w:noWrap/>
            <w:vAlign w:val="center"/>
            <w:hideMark/>
          </w:tcPr>
          <w:p w14:paraId="0CA8BF99"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Railway Freight</w:t>
            </w:r>
          </w:p>
        </w:tc>
        <w:tc>
          <w:tcPr>
            <w:tcW w:w="0" w:type="auto"/>
            <w:tcBorders>
              <w:top w:val="nil"/>
              <w:left w:val="nil"/>
              <w:bottom w:val="nil"/>
              <w:right w:val="nil"/>
            </w:tcBorders>
            <w:noWrap/>
            <w:vAlign w:val="center"/>
            <w:hideMark/>
          </w:tcPr>
          <w:p w14:paraId="40CB0017"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-0.46</w:t>
            </w:r>
          </w:p>
        </w:tc>
        <w:tc>
          <w:tcPr>
            <w:tcW w:w="0" w:type="auto"/>
            <w:tcBorders>
              <w:top w:val="nil"/>
              <w:left w:val="nil"/>
              <w:bottom w:val="nil"/>
              <w:right w:val="nil"/>
            </w:tcBorders>
            <w:noWrap/>
            <w:vAlign w:val="center"/>
            <w:hideMark/>
          </w:tcPr>
          <w:p w14:paraId="46CF42F8"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-0.14</w:t>
            </w:r>
          </w:p>
        </w:tc>
      </w:tr>
      <w:tr w:rsidR="00AC0106" w:rsidRPr="00353AE1" w14:paraId="0E8AF8AE" w14:textId="77777777" w:rsidTr="00E016A0">
        <w:trPr>
          <w:trHeight w:val="300"/>
          <w:jc w:val="center"/>
        </w:trPr>
        <w:tc>
          <w:tcPr>
            <w:tcW w:w="0" w:type="auto"/>
            <w:tcBorders>
              <w:top w:val="nil"/>
              <w:left w:val="nil"/>
              <w:bottom w:val="nil"/>
              <w:right w:val="nil"/>
            </w:tcBorders>
            <w:noWrap/>
            <w:vAlign w:val="center"/>
            <w:hideMark/>
          </w:tcPr>
          <w:p w14:paraId="43878864"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Heavy Vehicle</w:t>
            </w:r>
          </w:p>
        </w:tc>
        <w:tc>
          <w:tcPr>
            <w:tcW w:w="0" w:type="auto"/>
            <w:tcBorders>
              <w:top w:val="nil"/>
              <w:left w:val="nil"/>
              <w:bottom w:val="nil"/>
              <w:right w:val="nil"/>
            </w:tcBorders>
            <w:noWrap/>
            <w:vAlign w:val="center"/>
            <w:hideMark/>
          </w:tcPr>
          <w:p w14:paraId="41884DE7"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-0.21</w:t>
            </w:r>
          </w:p>
        </w:tc>
        <w:tc>
          <w:tcPr>
            <w:tcW w:w="0" w:type="auto"/>
            <w:tcBorders>
              <w:top w:val="nil"/>
              <w:left w:val="nil"/>
              <w:bottom w:val="nil"/>
              <w:right w:val="nil"/>
            </w:tcBorders>
            <w:noWrap/>
            <w:vAlign w:val="center"/>
            <w:hideMark/>
          </w:tcPr>
          <w:p w14:paraId="25216E23"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-0.06</w:t>
            </w:r>
          </w:p>
        </w:tc>
      </w:tr>
      <w:tr w:rsidR="00AC0106" w:rsidRPr="00353AE1" w14:paraId="4C00AAE1" w14:textId="77777777" w:rsidTr="00E016A0">
        <w:trPr>
          <w:trHeight w:val="315"/>
          <w:jc w:val="center"/>
        </w:trPr>
        <w:tc>
          <w:tcPr>
            <w:tcW w:w="0" w:type="auto"/>
            <w:tcBorders>
              <w:top w:val="nil"/>
              <w:left w:val="nil"/>
              <w:bottom w:val="double" w:sz="6" w:space="0" w:color="auto"/>
              <w:right w:val="nil"/>
            </w:tcBorders>
            <w:noWrap/>
            <w:vAlign w:val="center"/>
            <w:hideMark/>
          </w:tcPr>
          <w:p w14:paraId="0472D506" w14:textId="77777777" w:rsidR="00AC0106" w:rsidRPr="00353AE1" w:rsidRDefault="00AC0106" w:rsidP="00AC010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LCV</w:t>
            </w:r>
          </w:p>
        </w:tc>
        <w:tc>
          <w:tcPr>
            <w:tcW w:w="0" w:type="auto"/>
            <w:tcBorders>
              <w:top w:val="nil"/>
              <w:left w:val="nil"/>
              <w:bottom w:val="double" w:sz="6" w:space="0" w:color="auto"/>
              <w:right w:val="nil"/>
            </w:tcBorders>
            <w:noWrap/>
            <w:vAlign w:val="center"/>
            <w:hideMark/>
          </w:tcPr>
          <w:p w14:paraId="4463084B"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-0.18</w:t>
            </w:r>
          </w:p>
        </w:tc>
        <w:tc>
          <w:tcPr>
            <w:tcW w:w="0" w:type="auto"/>
            <w:tcBorders>
              <w:top w:val="nil"/>
              <w:left w:val="nil"/>
              <w:bottom w:val="double" w:sz="6" w:space="0" w:color="auto"/>
              <w:right w:val="nil"/>
            </w:tcBorders>
            <w:noWrap/>
            <w:vAlign w:val="center"/>
            <w:hideMark/>
          </w:tcPr>
          <w:p w14:paraId="2641F92B" w14:textId="77777777" w:rsidR="00AC0106" w:rsidRPr="00353AE1" w:rsidRDefault="00AC0106" w:rsidP="00AC010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-0.05</w:t>
            </w:r>
          </w:p>
        </w:tc>
      </w:tr>
    </w:tbl>
    <w:p w14:paraId="4FED35B3" w14:textId="77777777" w:rsidR="00433FBD" w:rsidRPr="00353AE1" w:rsidRDefault="00433FBD" w:rsidP="00E016A0"/>
    <w:p w14:paraId="42C0A186" w14:textId="77777777" w:rsidR="004D133D" w:rsidRPr="00353AE1" w:rsidRDefault="004D133D" w:rsidP="006578B6">
      <w:pPr>
        <w:spacing w:after="120"/>
      </w:pPr>
    </w:p>
    <w:p w14:paraId="75D84348" w14:textId="39EEB89A" w:rsidR="00D276C1" w:rsidRPr="00353AE1" w:rsidRDefault="00D276C1" w:rsidP="006578B6">
      <w:pPr>
        <w:pStyle w:val="Caption"/>
        <w:keepNext/>
        <w:spacing w:after="120"/>
        <w:jc w:val="center"/>
        <w:rPr>
          <w:noProof/>
          <w:sz w:val="22"/>
          <w:szCs w:val="22"/>
        </w:rPr>
      </w:pPr>
      <w:bookmarkStart w:id="46" w:name="_Toc231905615"/>
      <w:r w:rsidRPr="00353AE1">
        <w:rPr>
          <w:sz w:val="22"/>
          <w:szCs w:val="22"/>
        </w:rPr>
        <w:lastRenderedPageBreak/>
        <w:t xml:space="preserve">Figure </w:t>
      </w:r>
      <w:r w:rsidR="00F31FC8" w:rsidRPr="00353AE1">
        <w:rPr>
          <w:sz w:val="22"/>
          <w:szCs w:val="22"/>
        </w:rPr>
        <w:fldChar w:fldCharType="begin"/>
      </w:r>
      <w:r w:rsidR="00F31FC8" w:rsidRPr="00353AE1">
        <w:rPr>
          <w:sz w:val="22"/>
          <w:szCs w:val="22"/>
        </w:rPr>
        <w:instrText xml:space="preserve"> SEQ Figure \* ARABIC </w:instrText>
      </w:r>
      <w:r w:rsidR="00F31FC8" w:rsidRPr="00353AE1">
        <w:rPr>
          <w:sz w:val="22"/>
          <w:szCs w:val="22"/>
        </w:rPr>
        <w:fldChar w:fldCharType="separate"/>
      </w:r>
      <w:r w:rsidR="00F31FC8" w:rsidRPr="00353AE1">
        <w:rPr>
          <w:noProof/>
          <w:sz w:val="22"/>
          <w:szCs w:val="22"/>
        </w:rPr>
        <w:t>1</w:t>
      </w:r>
      <w:r w:rsidR="00F31FC8" w:rsidRPr="00353AE1">
        <w:rPr>
          <w:sz w:val="22"/>
          <w:szCs w:val="22"/>
        </w:rPr>
        <w:fldChar w:fldCharType="end"/>
      </w:r>
      <w:r w:rsidRPr="00353AE1">
        <w:rPr>
          <w:sz w:val="22"/>
          <w:szCs w:val="22"/>
        </w:rPr>
        <w:t>. ANZSIC Industry Output</w:t>
      </w:r>
      <w:r w:rsidRPr="00353AE1">
        <w:rPr>
          <w:noProof/>
          <w:sz w:val="22"/>
          <w:szCs w:val="22"/>
        </w:rPr>
        <w:t xml:space="preserve"> (Scenario 1</w:t>
      </w:r>
      <w:r w:rsidR="008C0229" w:rsidRPr="00353AE1">
        <w:rPr>
          <w:noProof/>
          <w:sz w:val="22"/>
          <w:szCs w:val="22"/>
        </w:rPr>
        <w:t>A</w:t>
      </w:r>
      <w:r w:rsidRPr="00353AE1">
        <w:rPr>
          <w:noProof/>
          <w:sz w:val="22"/>
          <w:szCs w:val="22"/>
        </w:rPr>
        <w:t>)</w:t>
      </w:r>
      <w:bookmarkEnd w:id="46"/>
    </w:p>
    <w:p w14:paraId="44DD3CBE" w14:textId="5ED239F0" w:rsidR="008C74AC" w:rsidRPr="00353AE1" w:rsidRDefault="008C74AC" w:rsidP="00E016A0">
      <w:pPr>
        <w:jc w:val="center"/>
      </w:pPr>
      <w:r w:rsidRPr="00353AE1">
        <w:rPr>
          <w:noProof/>
        </w:rPr>
        <w:drawing>
          <wp:inline distT="0" distB="0" distL="0" distR="0" wp14:anchorId="4205868D" wp14:editId="1D0CB50B">
            <wp:extent cx="5177573" cy="2880000"/>
            <wp:effectExtent l="0" t="0" r="4445" b="0"/>
            <wp:docPr id="1826909989" name="Picture 7" descr="Grouped bar chart showing percentage deviations from baseline in broad ANZSIC industry output in 2026 and 2040 under Scenario 1A. Construction has the largest increase, at 0.25 per cent in 2026 and 0.26 per cent in 2040, followed by Agriculture, Forestry and Fishing, and Manufacturing. Other services has the largest decline, at minus 0.08 per cent in both years. A full text description is provided in the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09989" name="Picture 7" descr="Grouped bar chart showing percentage deviations from baseline in broad ANZSIC industry output in 2026 and 2040 under Scenario 1A. Construction has the largest increase, at 0.25 per cent in 2026 and 0.26 per cent in 2040, followed by Agriculture, Forestry and Fishing, and Manufacturing. Other services has the largest decline, at minus 0.08 per cent in both years. A full text description is provided in the appendi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7573" cy="2880000"/>
                    </a:xfrm>
                    <a:prstGeom prst="rect">
                      <a:avLst/>
                    </a:prstGeom>
                    <a:noFill/>
                    <a:ln>
                      <a:noFill/>
                    </a:ln>
                  </pic:spPr>
                </pic:pic>
              </a:graphicData>
            </a:graphic>
          </wp:inline>
        </w:drawing>
      </w:r>
    </w:p>
    <w:p w14:paraId="66DE81D7" w14:textId="76AF7693" w:rsidR="007A0E72" w:rsidRPr="00353AE1" w:rsidRDefault="007A0E72" w:rsidP="006578B6">
      <w:pPr>
        <w:spacing w:after="120"/>
        <w:jc w:val="center"/>
      </w:pPr>
    </w:p>
    <w:p w14:paraId="62537B78" w14:textId="2E93D181" w:rsidR="00816CC4" w:rsidRPr="00353AE1" w:rsidRDefault="00816CC4" w:rsidP="006578B6">
      <w:pPr>
        <w:spacing w:after="120"/>
        <w:jc w:val="center"/>
      </w:pPr>
    </w:p>
    <w:p w14:paraId="53482CEE" w14:textId="77777777" w:rsidR="00C43A0F" w:rsidRPr="00353AE1" w:rsidRDefault="00C43A0F" w:rsidP="006578B6">
      <w:pPr>
        <w:spacing w:after="120"/>
        <w:jc w:val="center"/>
      </w:pPr>
    </w:p>
    <w:p w14:paraId="7E433ED6" w14:textId="0248FB6B" w:rsidR="00E26CF0" w:rsidRPr="00E016A0" w:rsidRDefault="00E26CF0" w:rsidP="00E016A0">
      <w:pPr>
        <w:pStyle w:val="Caption"/>
        <w:keepNext/>
        <w:spacing w:after="120"/>
        <w:jc w:val="center"/>
        <w:rPr>
          <w:sz w:val="22"/>
          <w:szCs w:val="22"/>
        </w:rPr>
      </w:pPr>
      <w:bookmarkStart w:id="47" w:name="_Toc231905616"/>
      <w:r w:rsidRPr="00E016A0">
        <w:rPr>
          <w:sz w:val="22"/>
          <w:szCs w:val="22"/>
        </w:rPr>
        <w:t xml:space="preserve">Figure </w:t>
      </w:r>
      <w:r w:rsidR="00F31FC8" w:rsidRPr="00353AE1">
        <w:rPr>
          <w:sz w:val="22"/>
          <w:szCs w:val="22"/>
        </w:rPr>
        <w:fldChar w:fldCharType="begin"/>
      </w:r>
      <w:r w:rsidR="00F31FC8" w:rsidRPr="00353AE1">
        <w:rPr>
          <w:sz w:val="22"/>
          <w:szCs w:val="22"/>
        </w:rPr>
        <w:instrText xml:space="preserve"> SEQ Figure \* ARABIC </w:instrText>
      </w:r>
      <w:r w:rsidR="00F31FC8" w:rsidRPr="00353AE1">
        <w:rPr>
          <w:sz w:val="22"/>
          <w:szCs w:val="22"/>
        </w:rPr>
        <w:fldChar w:fldCharType="separate"/>
      </w:r>
      <w:r w:rsidR="00F31FC8" w:rsidRPr="00353AE1">
        <w:rPr>
          <w:noProof/>
          <w:sz w:val="22"/>
          <w:szCs w:val="22"/>
        </w:rPr>
        <w:t>2</w:t>
      </w:r>
      <w:r w:rsidR="00F31FC8" w:rsidRPr="00353AE1">
        <w:rPr>
          <w:sz w:val="22"/>
          <w:szCs w:val="22"/>
        </w:rPr>
        <w:fldChar w:fldCharType="end"/>
      </w:r>
      <w:r w:rsidRPr="00E016A0">
        <w:rPr>
          <w:sz w:val="22"/>
          <w:szCs w:val="22"/>
        </w:rPr>
        <w:t>. ANZSIC Industry Output (Scenario 1B)</w:t>
      </w:r>
      <w:bookmarkEnd w:id="47"/>
    </w:p>
    <w:p w14:paraId="45FB2205" w14:textId="2B14AEAA" w:rsidR="00312E63" w:rsidRPr="00353AE1" w:rsidRDefault="00E26CF0" w:rsidP="00BF4724">
      <w:pPr>
        <w:spacing w:after="120"/>
        <w:jc w:val="center"/>
      </w:pPr>
      <w:r w:rsidRPr="00353AE1">
        <w:rPr>
          <w:noProof/>
        </w:rPr>
        <w:drawing>
          <wp:inline distT="0" distB="0" distL="0" distR="0" wp14:anchorId="2D11F99D" wp14:editId="3042B669">
            <wp:extent cx="5170701" cy="2880000"/>
            <wp:effectExtent l="0" t="0" r="0" b="0"/>
            <wp:docPr id="178889901" name="Picture 8" descr="Grouped bar chart showing percentage deviations from baseline in ANZSIC industry output in 2026 and 2040 under Scenario 1B. The industry ranking and broad pattern are the same as in Figure 1A, but the effects are smaller. A full text description is provided in the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9901" name="Picture 8" descr="Grouped bar chart showing percentage deviations from baseline in ANZSIC industry output in 2026 and 2040 under Scenario 1B. The industry ranking and broad pattern are the same as in Figure 1A, but the effects are smaller. A full text description is provided in the appendix."/>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0701" cy="2880000"/>
                    </a:xfrm>
                    <a:prstGeom prst="rect">
                      <a:avLst/>
                    </a:prstGeom>
                    <a:noFill/>
                    <a:ln>
                      <a:noFill/>
                    </a:ln>
                  </pic:spPr>
                </pic:pic>
              </a:graphicData>
            </a:graphic>
          </wp:inline>
        </w:drawing>
      </w:r>
    </w:p>
    <w:p w14:paraId="2750BA49" w14:textId="4520FC4E" w:rsidR="00184045" w:rsidRPr="00353AE1" w:rsidRDefault="00097C0A" w:rsidP="006578B6">
      <w:pPr>
        <w:pStyle w:val="Heading2"/>
        <w:spacing w:before="0" w:after="120"/>
        <w:rPr>
          <w:rFonts w:cs="Calibri"/>
        </w:rPr>
      </w:pPr>
      <w:bookmarkStart w:id="48" w:name="_Toc234277236"/>
      <w:r w:rsidRPr="00353AE1">
        <w:rPr>
          <w:rStyle w:val="SubtleEmphasis"/>
          <w:rFonts w:cs="Calibri"/>
          <w:i w:val="0"/>
          <w:iCs w:val="0"/>
          <w:color w:val="auto"/>
        </w:rPr>
        <w:t>4.</w:t>
      </w:r>
      <w:r w:rsidR="00F01C5B" w:rsidRPr="00353AE1">
        <w:rPr>
          <w:rStyle w:val="SubtleEmphasis"/>
          <w:rFonts w:cs="Calibri"/>
          <w:i w:val="0"/>
          <w:iCs w:val="0"/>
          <w:color w:val="auto"/>
        </w:rPr>
        <w:t>4</w:t>
      </w:r>
      <w:r w:rsidRPr="00353AE1">
        <w:rPr>
          <w:rStyle w:val="SubtleEmphasis"/>
          <w:rFonts w:cs="Calibri"/>
          <w:i w:val="0"/>
          <w:iCs w:val="0"/>
          <w:color w:val="auto"/>
        </w:rPr>
        <w:t xml:space="preserve"> Regional results</w:t>
      </w:r>
      <w:bookmarkEnd w:id="48"/>
    </w:p>
    <w:p w14:paraId="3C0FD1F0" w14:textId="178A1B75" w:rsidR="003876EA" w:rsidRPr="00353AE1" w:rsidRDefault="008C178E" w:rsidP="004B5198">
      <w:pPr>
        <w:spacing w:after="120"/>
        <w:jc w:val="left"/>
      </w:pPr>
      <w:r w:rsidRPr="00353AE1">
        <w:t xml:space="preserve">Table </w:t>
      </w:r>
      <w:r w:rsidR="00492AFE" w:rsidRPr="00353AE1">
        <w:t xml:space="preserve">8 </w:t>
      </w:r>
      <w:r w:rsidR="001F04A3" w:rsidRPr="00353AE1">
        <w:t xml:space="preserve">reports the </w:t>
      </w:r>
      <w:r w:rsidRPr="00353AE1">
        <w:t xml:space="preserve">regional impact of Scenario 1. </w:t>
      </w:r>
      <w:r w:rsidR="00373961" w:rsidRPr="00353AE1">
        <w:t>The Road Freight MFP improvement in this scenario is applied to all states, including WA&amp;NT</w:t>
      </w:r>
      <w:r w:rsidR="00397BC5" w:rsidRPr="00353AE1">
        <w:t xml:space="preserve">, which </w:t>
      </w:r>
      <w:r w:rsidR="00373961" w:rsidRPr="00353AE1">
        <w:t>is excluded</w:t>
      </w:r>
      <w:r w:rsidR="00397BC5" w:rsidRPr="00353AE1">
        <w:t xml:space="preserve"> from the shock in Scenario 2</w:t>
      </w:r>
      <w:r w:rsidR="00373961" w:rsidRPr="00353AE1">
        <w:t>.</w:t>
      </w:r>
    </w:p>
    <w:p w14:paraId="1E549DB7" w14:textId="0E1BAB28" w:rsidR="00D43283" w:rsidRPr="00353AE1" w:rsidRDefault="00F8122F" w:rsidP="004B5198">
      <w:pPr>
        <w:spacing w:after="120"/>
        <w:jc w:val="left"/>
      </w:pPr>
      <w:r w:rsidRPr="00353AE1">
        <w:t xml:space="preserve">To help </w:t>
      </w:r>
      <w:r w:rsidR="00D4020C" w:rsidRPr="00353AE1">
        <w:t>with the explanation of</w:t>
      </w:r>
      <w:r w:rsidRPr="00353AE1">
        <w:t xml:space="preserve"> the regional pattern of results, we calculate a measure of </w:t>
      </w:r>
      <w:r w:rsidRPr="00353AE1">
        <w:lastRenderedPageBreak/>
        <w:t>Road Freight margin intensity by region, defined as the ratio of total Road Freight margin use to total basic flow value in each region. On this measure, Tasmania records the highest Road Freight margin intensity, followed by WA&amp;NT, SA and QLD. NSW&amp;ACT and VIC record the lowest Road Freight margin intensities.</w:t>
      </w:r>
    </w:p>
    <w:p w14:paraId="4B284353" w14:textId="77777777" w:rsidR="006342F9" w:rsidRPr="00353AE1" w:rsidRDefault="006342F9" w:rsidP="004B5198">
      <w:pPr>
        <w:spacing w:after="120"/>
        <w:jc w:val="left"/>
      </w:pPr>
    </w:p>
    <w:p w14:paraId="1AB301B5" w14:textId="284C1CD1" w:rsidR="00114E6F" w:rsidRPr="00353AE1" w:rsidRDefault="00114E6F" w:rsidP="004B5198">
      <w:pPr>
        <w:pStyle w:val="Caption"/>
        <w:keepNext/>
        <w:spacing w:after="120"/>
        <w:jc w:val="center"/>
        <w:rPr>
          <w:sz w:val="22"/>
          <w:szCs w:val="22"/>
        </w:rPr>
      </w:pPr>
      <w:bookmarkStart w:id="49" w:name="_Toc230696730"/>
      <w:bookmarkStart w:id="50" w:name="_Toc230710348"/>
      <w:bookmarkStart w:id="51" w:name="_Toc230710394"/>
      <w:bookmarkStart w:id="52" w:name="_Toc230711117"/>
      <w:bookmarkStart w:id="53" w:name="_Toc231907812"/>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8</w:t>
      </w:r>
      <w:r w:rsidR="00DF6059" w:rsidRPr="00353AE1">
        <w:rPr>
          <w:sz w:val="22"/>
          <w:szCs w:val="22"/>
        </w:rPr>
        <w:fldChar w:fldCharType="end"/>
      </w:r>
      <w:r w:rsidRPr="00353AE1">
        <w:rPr>
          <w:sz w:val="22"/>
          <w:szCs w:val="22"/>
        </w:rPr>
        <w:t>. Road Freight Margin Intensity</w:t>
      </w:r>
      <w:bookmarkEnd w:id="49"/>
      <w:bookmarkEnd w:id="50"/>
      <w:bookmarkEnd w:id="51"/>
      <w:bookmarkEnd w:id="52"/>
      <w:bookmarkEnd w:id="53"/>
    </w:p>
    <w:tbl>
      <w:tblPr>
        <w:tblW w:w="4217" w:type="dxa"/>
        <w:jc w:val="center"/>
        <w:tblLook w:val="04A0" w:firstRow="1" w:lastRow="0" w:firstColumn="1" w:lastColumn="0" w:noHBand="0" w:noVBand="1"/>
      </w:tblPr>
      <w:tblGrid>
        <w:gridCol w:w="1157"/>
        <w:gridCol w:w="3060"/>
      </w:tblGrid>
      <w:tr w:rsidR="00F474E0" w:rsidRPr="00353AE1" w14:paraId="08183E2B" w14:textId="77777777" w:rsidTr="00806B63">
        <w:trPr>
          <w:trHeight w:val="600"/>
          <w:jc w:val="center"/>
        </w:trPr>
        <w:tc>
          <w:tcPr>
            <w:tcW w:w="1157" w:type="dxa"/>
            <w:tcBorders>
              <w:top w:val="single" w:sz="4" w:space="0" w:color="auto"/>
              <w:left w:val="nil"/>
              <w:bottom w:val="nil"/>
              <w:right w:val="nil"/>
            </w:tcBorders>
            <w:noWrap/>
            <w:vAlign w:val="center"/>
            <w:hideMark/>
          </w:tcPr>
          <w:p w14:paraId="0BC89257" w14:textId="77777777" w:rsidR="00F474E0" w:rsidRPr="00353AE1" w:rsidRDefault="00F474E0" w:rsidP="00814F60">
            <w:pPr>
              <w:widowControl/>
              <w:jc w:val="center"/>
              <w:rPr>
                <w:rFonts w:eastAsia="Times New Roman"/>
                <w:b/>
                <w:bCs/>
                <w:color w:val="000000"/>
                <w:kern w:val="0"/>
                <w:lang w:val="en-GB"/>
              </w:rPr>
            </w:pPr>
            <w:r w:rsidRPr="00353AE1">
              <w:rPr>
                <w:rFonts w:eastAsia="Times New Roman"/>
                <w:b/>
                <w:bCs/>
                <w:color w:val="000000"/>
                <w:kern w:val="0"/>
                <w:lang w:val="en-GB"/>
              </w:rPr>
              <w:t>State</w:t>
            </w:r>
          </w:p>
        </w:tc>
        <w:tc>
          <w:tcPr>
            <w:tcW w:w="3060" w:type="dxa"/>
            <w:tcBorders>
              <w:top w:val="single" w:sz="4" w:space="0" w:color="auto"/>
              <w:left w:val="nil"/>
              <w:bottom w:val="nil"/>
              <w:right w:val="nil"/>
            </w:tcBorders>
            <w:vAlign w:val="center"/>
            <w:hideMark/>
          </w:tcPr>
          <w:p w14:paraId="2F30FEFA" w14:textId="0BDE40D6" w:rsidR="00B35C64" w:rsidRPr="00353AE1" w:rsidRDefault="00F474E0" w:rsidP="00814F60">
            <w:pPr>
              <w:widowControl/>
              <w:jc w:val="center"/>
              <w:rPr>
                <w:rFonts w:eastAsia="Times New Roman"/>
                <w:b/>
                <w:bCs/>
                <w:color w:val="000000"/>
                <w:kern w:val="0"/>
                <w:lang w:val="en-GB"/>
              </w:rPr>
            </w:pPr>
            <w:r w:rsidRPr="00353AE1">
              <w:rPr>
                <w:rFonts w:eastAsia="Times New Roman"/>
                <w:b/>
                <w:bCs/>
                <w:color w:val="000000"/>
                <w:kern w:val="0"/>
                <w:lang w:val="en-GB"/>
              </w:rPr>
              <w:t>Road Freight</w:t>
            </w:r>
            <w:r w:rsidRPr="00353AE1">
              <w:rPr>
                <w:rFonts w:eastAsia="Times New Roman"/>
                <w:b/>
                <w:bCs/>
                <w:color w:val="000000"/>
                <w:kern w:val="0"/>
                <w:lang w:val="en-GB"/>
              </w:rPr>
              <w:br/>
              <w:t>Margin Intensity</w:t>
            </w:r>
          </w:p>
          <w:p w14:paraId="28A2C97B" w14:textId="05F05117" w:rsidR="00F474E0" w:rsidRPr="00E016A0" w:rsidRDefault="00613241" w:rsidP="00814F60">
            <w:pPr>
              <w:widowControl/>
              <w:jc w:val="center"/>
              <w:rPr>
                <w:rFonts w:eastAsia="Times New Roman"/>
                <w:i/>
                <w:iCs/>
                <w:color w:val="000000"/>
                <w:kern w:val="0"/>
                <w:lang w:val="en-GB"/>
              </w:rPr>
            </w:pPr>
            <w:r w:rsidRPr="00353AE1">
              <w:rPr>
                <w:rFonts w:eastAsia="Times New Roman"/>
                <w:i/>
                <w:iCs/>
                <w:color w:val="000000"/>
                <w:kern w:val="0"/>
                <w:lang w:val="en-GB"/>
              </w:rPr>
              <w:t>(</w:t>
            </w:r>
            <w:r w:rsidR="00B35C64" w:rsidRPr="00E016A0">
              <w:rPr>
                <w:rFonts w:eastAsia="Times New Roman"/>
                <w:i/>
                <w:iCs/>
                <w:color w:val="000000"/>
                <w:kern w:val="0"/>
                <w:lang w:val="en-GB"/>
              </w:rPr>
              <w:t>Largest to Smallest</w:t>
            </w:r>
            <w:r w:rsidRPr="00353AE1">
              <w:rPr>
                <w:rFonts w:eastAsia="Times New Roman"/>
                <w:i/>
                <w:iCs/>
                <w:color w:val="000000"/>
                <w:kern w:val="0"/>
                <w:lang w:val="en-GB"/>
              </w:rPr>
              <w:t>)</w:t>
            </w:r>
          </w:p>
        </w:tc>
      </w:tr>
      <w:tr w:rsidR="00806B63" w:rsidRPr="00353AE1" w14:paraId="048D35A7" w14:textId="77777777" w:rsidTr="00806B63">
        <w:trPr>
          <w:trHeight w:val="300"/>
          <w:jc w:val="center"/>
        </w:trPr>
        <w:tc>
          <w:tcPr>
            <w:tcW w:w="1157" w:type="dxa"/>
            <w:tcBorders>
              <w:top w:val="single" w:sz="4" w:space="0" w:color="auto"/>
              <w:left w:val="nil"/>
              <w:bottom w:val="nil"/>
              <w:right w:val="nil"/>
            </w:tcBorders>
            <w:noWrap/>
            <w:vAlign w:val="center"/>
            <w:hideMark/>
          </w:tcPr>
          <w:p w14:paraId="251599DE" w14:textId="19FDC157" w:rsidR="00806B63" w:rsidRPr="00353AE1" w:rsidRDefault="00806B63" w:rsidP="00806B63">
            <w:pPr>
              <w:widowControl/>
              <w:jc w:val="center"/>
              <w:rPr>
                <w:rFonts w:eastAsia="Times New Roman"/>
                <w:color w:val="000000"/>
                <w:kern w:val="0"/>
                <w:lang w:val="en-GB"/>
              </w:rPr>
            </w:pPr>
            <w:r w:rsidRPr="00353AE1">
              <w:rPr>
                <w:color w:val="000000"/>
                <w:lang w:val="en-GB"/>
              </w:rPr>
              <w:t>TAS</w:t>
            </w:r>
          </w:p>
        </w:tc>
        <w:tc>
          <w:tcPr>
            <w:tcW w:w="3060" w:type="dxa"/>
            <w:tcBorders>
              <w:top w:val="single" w:sz="4" w:space="0" w:color="auto"/>
              <w:left w:val="nil"/>
              <w:bottom w:val="nil"/>
              <w:right w:val="nil"/>
            </w:tcBorders>
            <w:noWrap/>
            <w:vAlign w:val="center"/>
            <w:hideMark/>
          </w:tcPr>
          <w:p w14:paraId="48BC8D80" w14:textId="36EEDFB4" w:rsidR="00806B63" w:rsidRPr="00353AE1" w:rsidRDefault="00806B63" w:rsidP="00806B63">
            <w:pPr>
              <w:widowControl/>
              <w:jc w:val="center"/>
              <w:rPr>
                <w:rFonts w:eastAsia="Times New Roman"/>
                <w:color w:val="000000"/>
                <w:kern w:val="0"/>
                <w:lang w:val="en-GB"/>
              </w:rPr>
            </w:pPr>
            <w:r w:rsidRPr="00353AE1">
              <w:rPr>
                <w:color w:val="000000"/>
                <w:lang w:val="en-GB"/>
              </w:rPr>
              <w:t>1.61%</w:t>
            </w:r>
          </w:p>
        </w:tc>
      </w:tr>
      <w:tr w:rsidR="00806B63" w:rsidRPr="00353AE1" w14:paraId="342F9AAB" w14:textId="77777777" w:rsidTr="00806B63">
        <w:trPr>
          <w:trHeight w:val="300"/>
          <w:jc w:val="center"/>
        </w:trPr>
        <w:tc>
          <w:tcPr>
            <w:tcW w:w="1157" w:type="dxa"/>
            <w:tcBorders>
              <w:top w:val="nil"/>
              <w:left w:val="nil"/>
              <w:bottom w:val="nil"/>
              <w:right w:val="nil"/>
            </w:tcBorders>
            <w:noWrap/>
            <w:vAlign w:val="center"/>
            <w:hideMark/>
          </w:tcPr>
          <w:p w14:paraId="38500C74" w14:textId="0508BF9B" w:rsidR="00806B63" w:rsidRPr="00353AE1" w:rsidRDefault="00806B63" w:rsidP="00806B63">
            <w:pPr>
              <w:widowControl/>
              <w:jc w:val="center"/>
              <w:rPr>
                <w:rFonts w:eastAsia="Times New Roman"/>
                <w:color w:val="000000"/>
                <w:kern w:val="0"/>
                <w:lang w:val="en-GB"/>
              </w:rPr>
            </w:pPr>
            <w:r w:rsidRPr="00353AE1">
              <w:rPr>
                <w:color w:val="000000"/>
                <w:lang w:val="en-GB"/>
              </w:rPr>
              <w:t>WA&amp;NT</w:t>
            </w:r>
          </w:p>
        </w:tc>
        <w:tc>
          <w:tcPr>
            <w:tcW w:w="3060" w:type="dxa"/>
            <w:tcBorders>
              <w:top w:val="nil"/>
              <w:left w:val="nil"/>
              <w:bottom w:val="nil"/>
              <w:right w:val="nil"/>
            </w:tcBorders>
            <w:noWrap/>
            <w:vAlign w:val="center"/>
            <w:hideMark/>
          </w:tcPr>
          <w:p w14:paraId="71FA8E3C" w14:textId="3BAB4E2A" w:rsidR="00806B63" w:rsidRPr="00353AE1" w:rsidRDefault="00806B63" w:rsidP="00806B63">
            <w:pPr>
              <w:widowControl/>
              <w:jc w:val="center"/>
              <w:rPr>
                <w:rFonts w:eastAsia="Times New Roman"/>
                <w:color w:val="000000"/>
                <w:kern w:val="0"/>
                <w:lang w:val="en-GB"/>
              </w:rPr>
            </w:pPr>
            <w:r w:rsidRPr="00353AE1">
              <w:rPr>
                <w:color w:val="000000"/>
                <w:lang w:val="en-GB"/>
              </w:rPr>
              <w:t>1.46%</w:t>
            </w:r>
          </w:p>
        </w:tc>
      </w:tr>
      <w:tr w:rsidR="00806B63" w:rsidRPr="00353AE1" w14:paraId="284301A6" w14:textId="77777777" w:rsidTr="00806B63">
        <w:trPr>
          <w:trHeight w:val="300"/>
          <w:jc w:val="center"/>
        </w:trPr>
        <w:tc>
          <w:tcPr>
            <w:tcW w:w="1157" w:type="dxa"/>
            <w:tcBorders>
              <w:top w:val="nil"/>
              <w:left w:val="nil"/>
              <w:bottom w:val="nil"/>
              <w:right w:val="nil"/>
            </w:tcBorders>
            <w:noWrap/>
            <w:vAlign w:val="center"/>
            <w:hideMark/>
          </w:tcPr>
          <w:p w14:paraId="214D6A2A" w14:textId="35E26538" w:rsidR="00806B63" w:rsidRPr="00353AE1" w:rsidRDefault="00806B63" w:rsidP="00806B63">
            <w:pPr>
              <w:widowControl/>
              <w:jc w:val="center"/>
              <w:rPr>
                <w:rFonts w:eastAsia="Times New Roman"/>
                <w:color w:val="000000"/>
                <w:kern w:val="0"/>
                <w:lang w:val="en-GB"/>
              </w:rPr>
            </w:pPr>
            <w:r w:rsidRPr="00353AE1">
              <w:rPr>
                <w:color w:val="000000"/>
                <w:lang w:val="en-GB"/>
              </w:rPr>
              <w:t>SA</w:t>
            </w:r>
          </w:p>
        </w:tc>
        <w:tc>
          <w:tcPr>
            <w:tcW w:w="3060" w:type="dxa"/>
            <w:tcBorders>
              <w:top w:val="nil"/>
              <w:left w:val="nil"/>
              <w:bottom w:val="nil"/>
              <w:right w:val="nil"/>
            </w:tcBorders>
            <w:noWrap/>
            <w:vAlign w:val="center"/>
            <w:hideMark/>
          </w:tcPr>
          <w:p w14:paraId="31EE9125" w14:textId="4951E584" w:rsidR="00806B63" w:rsidRPr="00353AE1" w:rsidRDefault="00806B63" w:rsidP="00806B63">
            <w:pPr>
              <w:widowControl/>
              <w:jc w:val="center"/>
              <w:rPr>
                <w:rFonts w:eastAsia="Times New Roman"/>
                <w:color w:val="000000"/>
                <w:kern w:val="0"/>
                <w:lang w:val="en-GB"/>
              </w:rPr>
            </w:pPr>
            <w:r w:rsidRPr="00353AE1">
              <w:rPr>
                <w:color w:val="000000"/>
                <w:lang w:val="en-GB"/>
              </w:rPr>
              <w:t>1.34%</w:t>
            </w:r>
          </w:p>
        </w:tc>
      </w:tr>
      <w:tr w:rsidR="00806B63" w:rsidRPr="00353AE1" w14:paraId="1AEF49FF" w14:textId="77777777" w:rsidTr="00806B63">
        <w:trPr>
          <w:trHeight w:val="300"/>
          <w:jc w:val="center"/>
        </w:trPr>
        <w:tc>
          <w:tcPr>
            <w:tcW w:w="1157" w:type="dxa"/>
            <w:tcBorders>
              <w:top w:val="nil"/>
              <w:left w:val="nil"/>
              <w:bottom w:val="nil"/>
              <w:right w:val="nil"/>
            </w:tcBorders>
            <w:noWrap/>
            <w:vAlign w:val="center"/>
            <w:hideMark/>
          </w:tcPr>
          <w:p w14:paraId="2DA3028A" w14:textId="65DEE06D" w:rsidR="00806B63" w:rsidRPr="00353AE1" w:rsidRDefault="00806B63" w:rsidP="00806B63">
            <w:pPr>
              <w:widowControl/>
              <w:jc w:val="center"/>
              <w:rPr>
                <w:rFonts w:eastAsia="Times New Roman"/>
                <w:color w:val="000000"/>
                <w:kern w:val="0"/>
                <w:lang w:val="en-GB"/>
              </w:rPr>
            </w:pPr>
            <w:r w:rsidRPr="00353AE1">
              <w:rPr>
                <w:color w:val="000000"/>
                <w:lang w:val="en-GB"/>
              </w:rPr>
              <w:t>QLD</w:t>
            </w:r>
          </w:p>
        </w:tc>
        <w:tc>
          <w:tcPr>
            <w:tcW w:w="3060" w:type="dxa"/>
            <w:tcBorders>
              <w:top w:val="nil"/>
              <w:left w:val="nil"/>
              <w:bottom w:val="nil"/>
              <w:right w:val="nil"/>
            </w:tcBorders>
            <w:noWrap/>
            <w:vAlign w:val="center"/>
            <w:hideMark/>
          </w:tcPr>
          <w:p w14:paraId="61A53BAD" w14:textId="3254AFE2" w:rsidR="00806B63" w:rsidRPr="00353AE1" w:rsidRDefault="00806B63" w:rsidP="00806B63">
            <w:pPr>
              <w:widowControl/>
              <w:jc w:val="center"/>
              <w:rPr>
                <w:rFonts w:eastAsia="Times New Roman"/>
                <w:color w:val="000000"/>
                <w:kern w:val="0"/>
                <w:lang w:val="en-GB"/>
              </w:rPr>
            </w:pPr>
            <w:r w:rsidRPr="00353AE1">
              <w:rPr>
                <w:color w:val="000000"/>
                <w:lang w:val="en-GB"/>
              </w:rPr>
              <w:t>1.21%</w:t>
            </w:r>
          </w:p>
        </w:tc>
      </w:tr>
      <w:tr w:rsidR="00806B63" w:rsidRPr="00353AE1" w14:paraId="3CA3AEFD" w14:textId="77777777" w:rsidTr="00806B63">
        <w:trPr>
          <w:trHeight w:val="300"/>
          <w:jc w:val="center"/>
        </w:trPr>
        <w:tc>
          <w:tcPr>
            <w:tcW w:w="1157" w:type="dxa"/>
            <w:tcBorders>
              <w:top w:val="nil"/>
              <w:left w:val="nil"/>
              <w:bottom w:val="nil"/>
              <w:right w:val="nil"/>
            </w:tcBorders>
            <w:noWrap/>
            <w:vAlign w:val="center"/>
            <w:hideMark/>
          </w:tcPr>
          <w:p w14:paraId="68F66F8F" w14:textId="75EC355C" w:rsidR="00806B63" w:rsidRPr="00353AE1" w:rsidRDefault="00806B63" w:rsidP="00806B63">
            <w:pPr>
              <w:widowControl/>
              <w:jc w:val="center"/>
              <w:rPr>
                <w:rFonts w:eastAsia="Times New Roman"/>
                <w:color w:val="000000"/>
                <w:kern w:val="0"/>
                <w:lang w:val="en-GB"/>
              </w:rPr>
            </w:pPr>
            <w:r w:rsidRPr="00353AE1">
              <w:rPr>
                <w:color w:val="000000"/>
                <w:lang w:val="en-GB"/>
              </w:rPr>
              <w:t>VIC</w:t>
            </w:r>
          </w:p>
        </w:tc>
        <w:tc>
          <w:tcPr>
            <w:tcW w:w="3060" w:type="dxa"/>
            <w:tcBorders>
              <w:top w:val="nil"/>
              <w:left w:val="nil"/>
              <w:bottom w:val="nil"/>
              <w:right w:val="nil"/>
            </w:tcBorders>
            <w:noWrap/>
            <w:vAlign w:val="center"/>
            <w:hideMark/>
          </w:tcPr>
          <w:p w14:paraId="5122BC6E" w14:textId="01C7F679" w:rsidR="00806B63" w:rsidRPr="00353AE1" w:rsidRDefault="00806B63" w:rsidP="00806B63">
            <w:pPr>
              <w:widowControl/>
              <w:jc w:val="center"/>
              <w:rPr>
                <w:rFonts w:eastAsia="Times New Roman"/>
                <w:color w:val="000000"/>
                <w:kern w:val="0"/>
                <w:lang w:val="en-GB"/>
              </w:rPr>
            </w:pPr>
            <w:r w:rsidRPr="00353AE1">
              <w:rPr>
                <w:color w:val="000000"/>
                <w:lang w:val="en-GB"/>
              </w:rPr>
              <w:t>0.83%</w:t>
            </w:r>
          </w:p>
        </w:tc>
      </w:tr>
      <w:tr w:rsidR="00806B63" w:rsidRPr="00353AE1" w14:paraId="1835B05E" w14:textId="77777777" w:rsidTr="00806B63">
        <w:trPr>
          <w:trHeight w:val="315"/>
          <w:jc w:val="center"/>
        </w:trPr>
        <w:tc>
          <w:tcPr>
            <w:tcW w:w="1157" w:type="dxa"/>
            <w:tcBorders>
              <w:top w:val="nil"/>
              <w:left w:val="nil"/>
              <w:bottom w:val="double" w:sz="6" w:space="0" w:color="auto"/>
              <w:right w:val="nil"/>
            </w:tcBorders>
            <w:noWrap/>
            <w:vAlign w:val="center"/>
            <w:hideMark/>
          </w:tcPr>
          <w:p w14:paraId="6E7CF061" w14:textId="6F4730BC" w:rsidR="00806B63" w:rsidRPr="00353AE1" w:rsidRDefault="00806B63" w:rsidP="00806B63">
            <w:pPr>
              <w:widowControl/>
              <w:jc w:val="center"/>
              <w:rPr>
                <w:rFonts w:eastAsia="Times New Roman"/>
                <w:color w:val="000000"/>
                <w:kern w:val="0"/>
                <w:lang w:val="en-GB"/>
              </w:rPr>
            </w:pPr>
            <w:r w:rsidRPr="00353AE1">
              <w:rPr>
                <w:color w:val="000000"/>
                <w:lang w:val="en-GB"/>
              </w:rPr>
              <w:t>NSW&amp;ACT</w:t>
            </w:r>
          </w:p>
        </w:tc>
        <w:tc>
          <w:tcPr>
            <w:tcW w:w="3060" w:type="dxa"/>
            <w:tcBorders>
              <w:top w:val="nil"/>
              <w:left w:val="nil"/>
              <w:bottom w:val="double" w:sz="6" w:space="0" w:color="auto"/>
              <w:right w:val="nil"/>
            </w:tcBorders>
            <w:noWrap/>
            <w:vAlign w:val="center"/>
            <w:hideMark/>
          </w:tcPr>
          <w:p w14:paraId="4A1EBC96" w14:textId="19257FA8" w:rsidR="00806B63" w:rsidRPr="00353AE1" w:rsidRDefault="00806B63" w:rsidP="00806B63">
            <w:pPr>
              <w:widowControl/>
              <w:jc w:val="center"/>
              <w:rPr>
                <w:rFonts w:eastAsia="Times New Roman"/>
                <w:color w:val="000000"/>
                <w:kern w:val="0"/>
                <w:lang w:val="en-GB"/>
              </w:rPr>
            </w:pPr>
            <w:r w:rsidRPr="00353AE1">
              <w:rPr>
                <w:color w:val="000000"/>
                <w:lang w:val="en-GB"/>
              </w:rPr>
              <w:t>0.79%</w:t>
            </w:r>
          </w:p>
        </w:tc>
      </w:tr>
    </w:tbl>
    <w:p w14:paraId="04B18ACB" w14:textId="77777777" w:rsidR="00F64291" w:rsidRPr="00353AE1" w:rsidRDefault="00F64291" w:rsidP="004B5198">
      <w:pPr>
        <w:widowControl/>
        <w:spacing w:after="120"/>
        <w:jc w:val="left"/>
      </w:pPr>
    </w:p>
    <w:p w14:paraId="33FFB9BF" w14:textId="00B396EC" w:rsidR="009C174F" w:rsidRPr="00353AE1" w:rsidRDefault="009C174F" w:rsidP="004B5198">
      <w:pPr>
        <w:widowControl/>
        <w:spacing w:after="120"/>
        <w:jc w:val="left"/>
      </w:pPr>
      <w:r w:rsidRPr="00353AE1">
        <w:t xml:space="preserve">These differences reflect regional trade structure. </w:t>
      </w:r>
      <w:r w:rsidR="00625BE6" w:rsidRPr="00353AE1">
        <w:t>In constructing the VURMTAX regional database</w:t>
      </w:r>
      <w:r w:rsidR="00AE31CE" w:rsidRPr="00353AE1">
        <w:t xml:space="preserve">, </w:t>
      </w:r>
      <w:r w:rsidR="00625BE6" w:rsidRPr="00353AE1">
        <w:t xml:space="preserve">we assume that </w:t>
      </w:r>
      <w:r w:rsidR="00AE31CE" w:rsidRPr="00353AE1">
        <w:t>s</w:t>
      </w:r>
      <w:r w:rsidRPr="00353AE1">
        <w:t>tates that source a larger share of goods from other regions, and are more remote from those sources,</w:t>
      </w:r>
      <w:r w:rsidR="00C76984" w:rsidRPr="00353AE1">
        <w:t xml:space="preserve"> use</w:t>
      </w:r>
      <w:r w:rsidRPr="00353AE1">
        <w:t xml:space="preserve"> relatively more Road Freight margin</w:t>
      </w:r>
      <w:r w:rsidR="0073620F" w:rsidRPr="00353AE1">
        <w:t xml:space="preserve"> </w:t>
      </w:r>
      <w:r w:rsidR="000502F5" w:rsidRPr="00353AE1">
        <w:t>to facilitate sales</w:t>
      </w:r>
      <w:r w:rsidRPr="00353AE1">
        <w:t>.</w:t>
      </w:r>
      <w:r w:rsidR="005421F4" w:rsidRPr="00353AE1">
        <w:rPr>
          <w:rStyle w:val="FootnoteReference"/>
        </w:rPr>
        <w:footnoteReference w:id="8"/>
      </w:r>
      <w:r w:rsidRPr="00353AE1">
        <w:t xml:space="preserve"> As a result, </w:t>
      </w:r>
      <w:r w:rsidR="00371033" w:rsidRPr="00353AE1">
        <w:t xml:space="preserve">a </w:t>
      </w:r>
      <w:r w:rsidRPr="00353AE1">
        <w:t>reduction in Road Freight costs generate</w:t>
      </w:r>
      <w:r w:rsidR="00456BBF" w:rsidRPr="00353AE1">
        <w:t>s</w:t>
      </w:r>
      <w:r w:rsidRPr="00353AE1">
        <w:t xml:space="preserve"> larger </w:t>
      </w:r>
      <w:r w:rsidR="00136699" w:rsidRPr="00353AE1">
        <w:t>impact</w:t>
      </w:r>
      <w:r w:rsidR="00D43283" w:rsidRPr="00353AE1">
        <w:t>s</w:t>
      </w:r>
      <w:r w:rsidRPr="00353AE1">
        <w:t xml:space="preserve"> in those regions.</w:t>
      </w:r>
      <w:r w:rsidR="000B297C" w:rsidRPr="00353AE1">
        <w:t xml:space="preserve"> Tasmania is the strongest-performing region, reflecting its high Road Freight margin intensity, geographic remoteness, reliance on interstate trade, and relatively small economic base.</w:t>
      </w:r>
      <w:r w:rsidRPr="00353AE1">
        <w:t xml:space="preserve"> By contrast, NSW&amp;ACT and VIC are </w:t>
      </w:r>
      <w:r w:rsidR="008607FA" w:rsidRPr="00353AE1">
        <w:t xml:space="preserve">much </w:t>
      </w:r>
      <w:r w:rsidRPr="00353AE1">
        <w:t>less dependent on interstate trade</w:t>
      </w:r>
      <w:r w:rsidR="00B5098B" w:rsidRPr="00353AE1">
        <w:t xml:space="preserve"> than other states</w:t>
      </w:r>
      <w:r w:rsidRPr="00353AE1">
        <w:t xml:space="preserve"> and therefore have lower Road Freight margin intensity and smaller gains from the reform.</w:t>
      </w:r>
    </w:p>
    <w:p w14:paraId="61909A86" w14:textId="6AA0125B" w:rsidR="000468D2" w:rsidRPr="00353AE1" w:rsidRDefault="000468D2" w:rsidP="004B5198">
      <w:pPr>
        <w:widowControl/>
        <w:spacing w:after="120"/>
        <w:jc w:val="left"/>
      </w:pPr>
      <w:r w:rsidRPr="00353AE1">
        <w:t xml:space="preserve">The ranking of Road Freight output responses across regions broadly follows the margin-intensity ranking. In the shock year, the Road Freight sector in </w:t>
      </w:r>
      <w:r w:rsidR="00F60C70" w:rsidRPr="00353AE1">
        <w:t>TAS</w:t>
      </w:r>
      <w:r w:rsidRPr="00353AE1">
        <w:t xml:space="preserve"> expands by 0.</w:t>
      </w:r>
      <w:r w:rsidR="001B513E" w:rsidRPr="00353AE1">
        <w:t xml:space="preserve">94 </w:t>
      </w:r>
      <w:r w:rsidRPr="00353AE1">
        <w:t xml:space="preserve">per cent, the strongest result across all regions. </w:t>
      </w:r>
      <w:r w:rsidR="00F60C70" w:rsidRPr="00353AE1">
        <w:t>SA</w:t>
      </w:r>
      <w:r w:rsidRPr="00353AE1">
        <w:t xml:space="preserve"> and WA&amp;NT also perform strongly, with Road Freight output rising by 0.79 per cent </w:t>
      </w:r>
      <w:r w:rsidR="002A3D52" w:rsidRPr="00353AE1">
        <w:t>and 0.8 per cent respectively</w:t>
      </w:r>
      <w:r w:rsidRPr="00353AE1">
        <w:t>. NSW&amp;ACT records the smallest increase, at 0.5 per cent.</w:t>
      </w:r>
    </w:p>
    <w:p w14:paraId="6208F729" w14:textId="19ED2C97" w:rsidR="0049198E" w:rsidRPr="00353AE1" w:rsidRDefault="00191473" w:rsidP="004B5198">
      <w:pPr>
        <w:widowControl/>
        <w:spacing w:after="120"/>
        <w:jc w:val="left"/>
      </w:pPr>
      <w:r w:rsidRPr="00353AE1">
        <w:t>TAS</w:t>
      </w:r>
      <w:r w:rsidR="000C704E" w:rsidRPr="00353AE1">
        <w:t xml:space="preserve"> experiences a smaller fall in Heavy Vehicle demand than other regions. </w:t>
      </w:r>
      <w:r w:rsidR="003D7184" w:rsidRPr="00353AE1">
        <w:t xml:space="preserve">As shown in Table </w:t>
      </w:r>
      <w:r w:rsidR="004B3B41" w:rsidRPr="00353AE1">
        <w:t>9</w:t>
      </w:r>
      <w:r w:rsidR="003D7184" w:rsidRPr="00353AE1">
        <w:t xml:space="preserve">, </w:t>
      </w:r>
      <w:r w:rsidR="007E0D1A" w:rsidRPr="00353AE1">
        <w:t>TAS</w:t>
      </w:r>
      <w:r w:rsidR="003D7184" w:rsidRPr="00353AE1">
        <w:t xml:space="preserve"> has the lowest heavy vehicle input share</w:t>
      </w:r>
      <w:r w:rsidR="001E4D27" w:rsidRPr="00353AE1">
        <w:t xml:space="preserve"> </w:t>
      </w:r>
      <w:r w:rsidR="00D468F2" w:rsidRPr="00353AE1">
        <w:t>for</w:t>
      </w:r>
      <w:r w:rsidR="001E4D27" w:rsidRPr="00353AE1">
        <w:t xml:space="preserve"> Road Freight</w:t>
      </w:r>
      <w:r w:rsidR="00FB15B9" w:rsidRPr="00353AE1">
        <w:t xml:space="preserve"> across all regions</w:t>
      </w:r>
      <w:r w:rsidR="00D468F2" w:rsidRPr="00353AE1">
        <w:t>.</w:t>
      </w:r>
      <w:r w:rsidR="003D7184" w:rsidRPr="00353AE1">
        <w:t xml:space="preserve"> </w:t>
      </w:r>
      <w:r w:rsidR="000C704E" w:rsidRPr="00353AE1">
        <w:t>As a result, it records a relatively mild contraction in Heavy Vehicle activity</w:t>
      </w:r>
      <w:r w:rsidR="00C133F1" w:rsidRPr="00353AE1">
        <w:t>,</w:t>
      </w:r>
      <w:r w:rsidR="000C704E" w:rsidRPr="00353AE1">
        <w:t xml:space="preserve"> and a quicker rebound over time as the regional economy expands</w:t>
      </w:r>
      <w:r w:rsidR="0033784A" w:rsidRPr="00353AE1">
        <w:t xml:space="preserve"> with </w:t>
      </w:r>
      <w:r w:rsidR="00647FFB" w:rsidRPr="00353AE1">
        <w:t>inter-regional migration flowing in</w:t>
      </w:r>
      <w:r w:rsidR="000C704E" w:rsidRPr="00353AE1">
        <w:t>.</w:t>
      </w:r>
    </w:p>
    <w:p w14:paraId="716F8B02" w14:textId="462095D2" w:rsidR="004B55AA" w:rsidRPr="00353AE1" w:rsidRDefault="00635D90" w:rsidP="004B5198">
      <w:pPr>
        <w:widowControl/>
        <w:spacing w:after="120"/>
        <w:jc w:val="left"/>
      </w:pPr>
      <w:r w:rsidRPr="00353AE1">
        <w:t xml:space="preserve">Table </w:t>
      </w:r>
      <w:r w:rsidR="004B3B41" w:rsidRPr="00353AE1">
        <w:t xml:space="preserve">10 </w:t>
      </w:r>
      <w:r w:rsidRPr="00353AE1">
        <w:t>reports the regional macro</w:t>
      </w:r>
      <w:r w:rsidR="0030668F" w:rsidRPr="00353AE1">
        <w:t>economic</w:t>
      </w:r>
      <w:r w:rsidRPr="00353AE1">
        <w:t xml:space="preserve"> results </w:t>
      </w:r>
      <w:r w:rsidR="00DE7101" w:rsidRPr="00353AE1">
        <w:t>for</w:t>
      </w:r>
      <w:r w:rsidRPr="00353AE1">
        <w:t xml:space="preserve"> Scenario 1. </w:t>
      </w:r>
      <w:r w:rsidR="0049198E" w:rsidRPr="00353AE1">
        <w:t>TAS records the strongest gains, with real GSP rising by 0.</w:t>
      </w:r>
      <w:r w:rsidR="007501A1" w:rsidRPr="00353AE1">
        <w:t xml:space="preserve">15 </w:t>
      </w:r>
      <w:r w:rsidR="0049198E" w:rsidRPr="00353AE1">
        <w:t>per cent in 2026 and 0.</w:t>
      </w:r>
      <w:r w:rsidR="00786CA6" w:rsidRPr="00353AE1">
        <w:t xml:space="preserve">22 </w:t>
      </w:r>
      <w:r w:rsidR="0049198E" w:rsidRPr="00353AE1">
        <w:t xml:space="preserve">per cent in 2040. By contrast, VIC and NSW&amp;ACT gain less from the reform, with real GSP rising by only </w:t>
      </w:r>
      <w:r w:rsidR="00EC6F11" w:rsidRPr="00353AE1">
        <w:t>0.07</w:t>
      </w:r>
      <w:r w:rsidR="0049198E" w:rsidRPr="00353AE1">
        <w:t xml:space="preserve"> per cent relative to baseline</w:t>
      </w:r>
      <w:r w:rsidR="00136040" w:rsidRPr="00353AE1">
        <w:t xml:space="preserve"> in 2026</w:t>
      </w:r>
      <w:r w:rsidR="0049198E" w:rsidRPr="00353AE1">
        <w:t>. WA&amp;NT records a mid-range result in 2026, with real GSP 0.10 per cent above baseline, but rises to 0.</w:t>
      </w:r>
      <w:r w:rsidR="00762FE9" w:rsidRPr="00353AE1">
        <w:t xml:space="preserve">15 </w:t>
      </w:r>
      <w:r w:rsidR="0049198E" w:rsidRPr="00353AE1">
        <w:t xml:space="preserve">per cent by 2040 and becomes the second </w:t>
      </w:r>
      <w:r w:rsidR="0049198E" w:rsidRPr="00353AE1">
        <w:lastRenderedPageBreak/>
        <w:t>strongest-performing region after Tasmania. This is consistent with the sectoral pattern discussed in the section above, in which capital-intensive mining sectors, concentrated in WA&amp;NT, expand more strongly over time.</w:t>
      </w:r>
    </w:p>
    <w:p w14:paraId="34E039FA" w14:textId="77777777" w:rsidR="00BF4724" w:rsidRPr="00353AE1" w:rsidRDefault="00BF4724" w:rsidP="00BF4724">
      <w:pPr>
        <w:spacing w:after="120"/>
        <w:jc w:val="left"/>
      </w:pPr>
      <w:r w:rsidRPr="00353AE1">
        <w:t>As the largest winner across the regions, TAS records strong increases in household consumption, investment and employment over time. This is consistent with Tasmania’s high Road Freight margin intensity in the database, which means that lower freight costs generate larger delivered-cost savings there than in other regions. TAS also experiences the strongest increase in working-age population over time, reflecting inter-regional migration responses to stronger relative labour market outcomes. By contrast, VIC experiences population outflow, as labour moves towards regions with higher relative expected real wages, particularly TAS.</w:t>
      </w:r>
    </w:p>
    <w:p w14:paraId="191CE897" w14:textId="6B206C28" w:rsidR="00BF4724" w:rsidRPr="00353AE1" w:rsidRDefault="00BF4724" w:rsidP="00BF4724">
      <w:pPr>
        <w:spacing w:after="120"/>
        <w:jc w:val="left"/>
      </w:pPr>
      <w:r w:rsidRPr="00353AE1">
        <w:t>SA also performs strongly in export terms. Export volumes rise by 0.36 per cent in SA and 0.08 per cent in WA&amp;NT in 2026, with both effects strengthening over time. By contrast, NSW&amp;ACT export volumes fall slightly below baseline throughout the simulation horizon. This reflects differences in regional production and trade structure: NSW&amp;ACT gains primarily through stronger domestic activity and household consumption, while other regions benefit through expansion of margin-intensive, export-oriented industries.</w:t>
      </w:r>
    </w:p>
    <w:p w14:paraId="5F545F7E" w14:textId="77777777" w:rsidR="0049198E" w:rsidRPr="00353AE1" w:rsidRDefault="0049198E" w:rsidP="004B5198">
      <w:pPr>
        <w:widowControl/>
        <w:spacing w:after="120"/>
        <w:jc w:val="left"/>
      </w:pPr>
    </w:p>
    <w:p w14:paraId="7D84CA88" w14:textId="55E236B0" w:rsidR="00B23F61" w:rsidRPr="00353AE1" w:rsidRDefault="00B23F61" w:rsidP="004B5198">
      <w:pPr>
        <w:pStyle w:val="Caption"/>
        <w:keepNext/>
        <w:spacing w:after="120"/>
        <w:jc w:val="center"/>
        <w:rPr>
          <w:sz w:val="22"/>
          <w:szCs w:val="22"/>
        </w:rPr>
      </w:pPr>
      <w:bookmarkStart w:id="54" w:name="_Toc230696731"/>
      <w:bookmarkStart w:id="55" w:name="_Toc230710349"/>
      <w:bookmarkStart w:id="56" w:name="_Toc230710395"/>
      <w:bookmarkStart w:id="57" w:name="_Toc230711118"/>
      <w:bookmarkStart w:id="58" w:name="_Toc231907813"/>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9</w:t>
      </w:r>
      <w:r w:rsidR="00DF6059" w:rsidRPr="00353AE1">
        <w:rPr>
          <w:sz w:val="22"/>
          <w:szCs w:val="22"/>
        </w:rPr>
        <w:fldChar w:fldCharType="end"/>
      </w:r>
      <w:r w:rsidRPr="00353AE1">
        <w:rPr>
          <w:sz w:val="22"/>
          <w:szCs w:val="22"/>
        </w:rPr>
        <w:t xml:space="preserve">. </w:t>
      </w:r>
      <w:r w:rsidR="00741188" w:rsidRPr="00353AE1">
        <w:rPr>
          <w:sz w:val="22"/>
          <w:szCs w:val="22"/>
        </w:rPr>
        <w:t>Industry Activities</w:t>
      </w:r>
      <w:r w:rsidRPr="00353AE1">
        <w:rPr>
          <w:sz w:val="22"/>
          <w:szCs w:val="22"/>
        </w:rPr>
        <w:t>:</w:t>
      </w:r>
      <w:r w:rsidR="00741188" w:rsidRPr="00353AE1">
        <w:rPr>
          <w:sz w:val="22"/>
          <w:szCs w:val="22"/>
        </w:rPr>
        <w:t xml:space="preserve"> Road Freight and Heavy</w:t>
      </w:r>
      <w:r w:rsidRPr="00353AE1">
        <w:rPr>
          <w:sz w:val="22"/>
          <w:szCs w:val="22"/>
        </w:rPr>
        <w:t xml:space="preserve"> </w:t>
      </w:r>
      <w:r w:rsidR="00AD7B0F" w:rsidRPr="00353AE1">
        <w:rPr>
          <w:sz w:val="22"/>
          <w:szCs w:val="22"/>
        </w:rPr>
        <w:t>Vehicle</w:t>
      </w:r>
      <w:r w:rsidR="00E268FD" w:rsidRPr="00353AE1">
        <w:rPr>
          <w:sz w:val="22"/>
          <w:szCs w:val="22"/>
        </w:rPr>
        <w:t>,</w:t>
      </w:r>
      <w:r w:rsidRPr="00353AE1">
        <w:rPr>
          <w:sz w:val="22"/>
          <w:szCs w:val="22"/>
        </w:rPr>
        <w:t xml:space="preserve"> </w:t>
      </w:r>
      <w:r w:rsidR="00741188" w:rsidRPr="00353AE1">
        <w:rPr>
          <w:sz w:val="22"/>
          <w:szCs w:val="22"/>
        </w:rPr>
        <w:t>by State (Scenario 1)</w:t>
      </w:r>
      <w:bookmarkEnd w:id="54"/>
      <w:bookmarkEnd w:id="55"/>
      <w:bookmarkEnd w:id="56"/>
      <w:bookmarkEnd w:id="57"/>
      <w:bookmarkEnd w:id="58"/>
    </w:p>
    <w:tbl>
      <w:tblPr>
        <w:tblW w:w="0" w:type="auto"/>
        <w:jc w:val="center"/>
        <w:tblLook w:val="04A0" w:firstRow="1" w:lastRow="0" w:firstColumn="1" w:lastColumn="0" w:noHBand="0" w:noVBand="1"/>
      </w:tblPr>
      <w:tblGrid>
        <w:gridCol w:w="1356"/>
        <w:gridCol w:w="1072"/>
        <w:gridCol w:w="1172"/>
        <w:gridCol w:w="1172"/>
        <w:gridCol w:w="1172"/>
        <w:gridCol w:w="1172"/>
      </w:tblGrid>
      <w:tr w:rsidR="0076232D" w:rsidRPr="00353AE1" w14:paraId="75174494" w14:textId="77777777" w:rsidTr="00E016A0">
        <w:trPr>
          <w:trHeight w:val="300"/>
          <w:jc w:val="center"/>
        </w:trPr>
        <w:tc>
          <w:tcPr>
            <w:tcW w:w="0" w:type="auto"/>
            <w:tcBorders>
              <w:top w:val="single" w:sz="4" w:space="0" w:color="auto"/>
              <w:left w:val="nil"/>
              <w:bottom w:val="single" w:sz="4" w:space="0" w:color="auto"/>
              <w:right w:val="nil"/>
            </w:tcBorders>
            <w:noWrap/>
            <w:vAlign w:val="bottom"/>
            <w:hideMark/>
          </w:tcPr>
          <w:p w14:paraId="7F7F4B13" w14:textId="77777777" w:rsidR="0076232D" w:rsidRPr="00353AE1" w:rsidRDefault="0076232D" w:rsidP="0076232D">
            <w:pPr>
              <w:widowControl/>
              <w:jc w:val="left"/>
              <w:rPr>
                <w:rFonts w:eastAsia="Times New Roman"/>
                <w:b/>
                <w:bCs/>
                <w:color w:val="000000"/>
                <w:kern w:val="0"/>
                <w:sz w:val="20"/>
                <w:szCs w:val="20"/>
                <w:lang w:val="en-GB"/>
              </w:rPr>
            </w:pPr>
            <w:r w:rsidRPr="00353AE1">
              <w:rPr>
                <w:rFonts w:eastAsia="Times New Roman"/>
                <w:b/>
                <w:bCs/>
                <w:color w:val="000000"/>
                <w:kern w:val="0"/>
                <w:sz w:val="20"/>
                <w:szCs w:val="20"/>
                <w:lang w:val="en-GB"/>
              </w:rPr>
              <w:t>State Results</w:t>
            </w:r>
          </w:p>
        </w:tc>
        <w:tc>
          <w:tcPr>
            <w:tcW w:w="0" w:type="auto"/>
            <w:tcBorders>
              <w:top w:val="single" w:sz="4" w:space="0" w:color="auto"/>
              <w:left w:val="nil"/>
              <w:bottom w:val="single" w:sz="4" w:space="0" w:color="auto"/>
              <w:right w:val="nil"/>
            </w:tcBorders>
            <w:noWrap/>
            <w:vAlign w:val="bottom"/>
            <w:hideMark/>
          </w:tcPr>
          <w:p w14:paraId="517011A9" w14:textId="77777777" w:rsidR="0076232D" w:rsidRPr="00353AE1" w:rsidRDefault="0076232D" w:rsidP="0076232D">
            <w:pPr>
              <w:widowControl/>
              <w:jc w:val="left"/>
              <w:rPr>
                <w:rFonts w:eastAsia="Times New Roman"/>
                <w:b/>
                <w:bCs/>
                <w:color w:val="000000"/>
                <w:kern w:val="0"/>
                <w:sz w:val="20"/>
                <w:szCs w:val="20"/>
                <w:lang w:val="en-GB"/>
              </w:rPr>
            </w:pPr>
            <w:r w:rsidRPr="00353AE1">
              <w:rPr>
                <w:rFonts w:eastAsia="Times New Roman"/>
                <w:b/>
                <w:bCs/>
                <w:color w:val="000000"/>
                <w:kern w:val="0"/>
                <w:sz w:val="20"/>
                <w:szCs w:val="20"/>
                <w:lang w:val="en-GB"/>
              </w:rPr>
              <w:t> </w:t>
            </w:r>
          </w:p>
        </w:tc>
        <w:tc>
          <w:tcPr>
            <w:tcW w:w="0" w:type="auto"/>
            <w:gridSpan w:val="2"/>
            <w:tcBorders>
              <w:top w:val="single" w:sz="4" w:space="0" w:color="auto"/>
              <w:left w:val="nil"/>
              <w:bottom w:val="single" w:sz="4" w:space="0" w:color="auto"/>
              <w:right w:val="nil"/>
            </w:tcBorders>
            <w:noWrap/>
            <w:vAlign w:val="bottom"/>
            <w:hideMark/>
          </w:tcPr>
          <w:p w14:paraId="536260AD" w14:textId="77777777" w:rsidR="0076232D" w:rsidRPr="00353AE1" w:rsidRDefault="0076232D" w:rsidP="0076232D">
            <w:pPr>
              <w:widowControl/>
              <w:jc w:val="center"/>
              <w:rPr>
                <w:rFonts w:eastAsia="Times New Roman"/>
                <w:b/>
                <w:bCs/>
                <w:color w:val="000000"/>
                <w:kern w:val="0"/>
                <w:sz w:val="20"/>
                <w:szCs w:val="20"/>
                <w:lang w:val="en-GB"/>
              </w:rPr>
            </w:pPr>
            <w:r w:rsidRPr="00353AE1">
              <w:rPr>
                <w:rFonts w:eastAsia="Times New Roman"/>
                <w:b/>
                <w:bCs/>
                <w:color w:val="000000"/>
                <w:kern w:val="0"/>
                <w:sz w:val="20"/>
                <w:szCs w:val="20"/>
                <w:lang w:val="en-GB"/>
              </w:rPr>
              <w:t>Scenario 1A</w:t>
            </w:r>
          </w:p>
        </w:tc>
        <w:tc>
          <w:tcPr>
            <w:tcW w:w="0" w:type="auto"/>
            <w:gridSpan w:val="2"/>
            <w:tcBorders>
              <w:top w:val="single" w:sz="4" w:space="0" w:color="auto"/>
              <w:left w:val="nil"/>
              <w:bottom w:val="single" w:sz="4" w:space="0" w:color="auto"/>
              <w:right w:val="nil"/>
            </w:tcBorders>
            <w:noWrap/>
            <w:vAlign w:val="bottom"/>
            <w:hideMark/>
          </w:tcPr>
          <w:p w14:paraId="0023B65A" w14:textId="77777777" w:rsidR="0076232D" w:rsidRPr="00353AE1" w:rsidRDefault="0076232D" w:rsidP="0076232D">
            <w:pPr>
              <w:widowControl/>
              <w:jc w:val="center"/>
              <w:rPr>
                <w:rFonts w:eastAsia="Times New Roman"/>
                <w:b/>
                <w:bCs/>
                <w:color w:val="000000"/>
                <w:kern w:val="0"/>
                <w:sz w:val="20"/>
                <w:szCs w:val="20"/>
                <w:lang w:val="en-GB"/>
              </w:rPr>
            </w:pPr>
            <w:r w:rsidRPr="00353AE1">
              <w:rPr>
                <w:rFonts w:eastAsia="Times New Roman"/>
                <w:b/>
                <w:bCs/>
                <w:color w:val="000000"/>
                <w:kern w:val="0"/>
                <w:sz w:val="20"/>
                <w:szCs w:val="20"/>
                <w:lang w:val="en-GB"/>
              </w:rPr>
              <w:t>Scenario 1B</w:t>
            </w:r>
          </w:p>
        </w:tc>
      </w:tr>
      <w:tr w:rsidR="0076232D" w:rsidRPr="00353AE1" w14:paraId="0CDAA2B7" w14:textId="77777777" w:rsidTr="00E016A0">
        <w:trPr>
          <w:trHeight w:val="300"/>
          <w:jc w:val="center"/>
        </w:trPr>
        <w:tc>
          <w:tcPr>
            <w:tcW w:w="0" w:type="auto"/>
            <w:tcBorders>
              <w:top w:val="nil"/>
              <w:left w:val="nil"/>
              <w:bottom w:val="nil"/>
              <w:right w:val="nil"/>
            </w:tcBorders>
            <w:vAlign w:val="center"/>
            <w:hideMark/>
          </w:tcPr>
          <w:p w14:paraId="18AED037" w14:textId="77777777" w:rsidR="0076232D" w:rsidRPr="00353AE1" w:rsidRDefault="0076232D" w:rsidP="0076232D">
            <w:pPr>
              <w:widowControl/>
              <w:jc w:val="left"/>
              <w:rPr>
                <w:rFonts w:eastAsia="Times New Roman"/>
                <w:b/>
                <w:bCs/>
                <w:color w:val="000000"/>
                <w:kern w:val="0"/>
                <w:sz w:val="20"/>
                <w:szCs w:val="20"/>
                <w:lang w:val="en-GB"/>
              </w:rPr>
            </w:pPr>
            <w:r w:rsidRPr="00353AE1">
              <w:rPr>
                <w:rFonts w:eastAsia="Times New Roman"/>
                <w:b/>
                <w:bCs/>
                <w:color w:val="000000"/>
                <w:kern w:val="0"/>
                <w:sz w:val="20"/>
                <w:szCs w:val="20"/>
                <w:lang w:val="en-GB"/>
              </w:rPr>
              <w:t> </w:t>
            </w:r>
          </w:p>
        </w:tc>
        <w:tc>
          <w:tcPr>
            <w:tcW w:w="0" w:type="auto"/>
            <w:tcBorders>
              <w:top w:val="nil"/>
              <w:left w:val="nil"/>
              <w:bottom w:val="nil"/>
              <w:right w:val="nil"/>
            </w:tcBorders>
            <w:noWrap/>
            <w:vAlign w:val="bottom"/>
            <w:hideMark/>
          </w:tcPr>
          <w:p w14:paraId="057685CE" w14:textId="77777777" w:rsidR="0076232D" w:rsidRPr="00353AE1" w:rsidRDefault="0076232D" w:rsidP="0076232D">
            <w:pPr>
              <w:widowControl/>
              <w:jc w:val="left"/>
              <w:rPr>
                <w:rFonts w:eastAsia="Times New Roman"/>
                <w:i/>
                <w:iCs/>
                <w:color w:val="000000"/>
                <w:kern w:val="0"/>
                <w:sz w:val="20"/>
                <w:szCs w:val="20"/>
                <w:lang w:val="en-GB"/>
              </w:rPr>
            </w:pPr>
            <w:r w:rsidRPr="00353AE1">
              <w:rPr>
                <w:rFonts w:eastAsia="Times New Roman"/>
                <w:i/>
                <w:iCs/>
                <w:color w:val="000000"/>
                <w:kern w:val="0"/>
                <w:sz w:val="20"/>
                <w:szCs w:val="20"/>
                <w:lang w:val="en-GB"/>
              </w:rPr>
              <w:t> </w:t>
            </w:r>
          </w:p>
        </w:tc>
        <w:tc>
          <w:tcPr>
            <w:tcW w:w="0" w:type="auto"/>
            <w:tcBorders>
              <w:top w:val="nil"/>
              <w:left w:val="nil"/>
              <w:bottom w:val="nil"/>
              <w:right w:val="nil"/>
            </w:tcBorders>
            <w:noWrap/>
            <w:vAlign w:val="bottom"/>
            <w:hideMark/>
          </w:tcPr>
          <w:p w14:paraId="2EF7EFAD"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2026</w:t>
            </w:r>
          </w:p>
        </w:tc>
        <w:tc>
          <w:tcPr>
            <w:tcW w:w="0" w:type="auto"/>
            <w:tcBorders>
              <w:top w:val="nil"/>
              <w:left w:val="nil"/>
              <w:bottom w:val="nil"/>
              <w:right w:val="nil"/>
            </w:tcBorders>
            <w:noWrap/>
            <w:vAlign w:val="bottom"/>
            <w:hideMark/>
          </w:tcPr>
          <w:p w14:paraId="78B29064"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2040</w:t>
            </w:r>
          </w:p>
        </w:tc>
        <w:tc>
          <w:tcPr>
            <w:tcW w:w="0" w:type="auto"/>
            <w:tcBorders>
              <w:top w:val="nil"/>
              <w:left w:val="nil"/>
              <w:bottom w:val="nil"/>
              <w:right w:val="nil"/>
            </w:tcBorders>
            <w:noWrap/>
            <w:vAlign w:val="bottom"/>
            <w:hideMark/>
          </w:tcPr>
          <w:p w14:paraId="755A56A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2026</w:t>
            </w:r>
          </w:p>
        </w:tc>
        <w:tc>
          <w:tcPr>
            <w:tcW w:w="0" w:type="auto"/>
            <w:tcBorders>
              <w:top w:val="nil"/>
              <w:left w:val="nil"/>
              <w:bottom w:val="nil"/>
              <w:right w:val="nil"/>
            </w:tcBorders>
            <w:noWrap/>
            <w:vAlign w:val="bottom"/>
            <w:hideMark/>
          </w:tcPr>
          <w:p w14:paraId="25BADDC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2040</w:t>
            </w:r>
          </w:p>
        </w:tc>
      </w:tr>
      <w:tr w:rsidR="0076232D" w:rsidRPr="00353AE1" w14:paraId="37CA6066" w14:textId="77777777" w:rsidTr="00E016A0">
        <w:trPr>
          <w:trHeight w:val="300"/>
          <w:jc w:val="center"/>
        </w:trPr>
        <w:tc>
          <w:tcPr>
            <w:tcW w:w="0" w:type="auto"/>
            <w:tcBorders>
              <w:top w:val="nil"/>
              <w:left w:val="nil"/>
              <w:bottom w:val="single" w:sz="4" w:space="0" w:color="auto"/>
              <w:right w:val="nil"/>
            </w:tcBorders>
            <w:noWrap/>
            <w:vAlign w:val="bottom"/>
            <w:hideMark/>
          </w:tcPr>
          <w:p w14:paraId="3AA0F948" w14:textId="77777777" w:rsidR="0076232D" w:rsidRPr="00353AE1" w:rsidRDefault="0076232D" w:rsidP="0076232D">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 </w:t>
            </w:r>
          </w:p>
        </w:tc>
        <w:tc>
          <w:tcPr>
            <w:tcW w:w="0" w:type="auto"/>
            <w:tcBorders>
              <w:top w:val="nil"/>
              <w:left w:val="nil"/>
              <w:bottom w:val="single" w:sz="4" w:space="0" w:color="auto"/>
              <w:right w:val="nil"/>
            </w:tcBorders>
            <w:noWrap/>
            <w:vAlign w:val="bottom"/>
            <w:hideMark/>
          </w:tcPr>
          <w:p w14:paraId="4C881ED7" w14:textId="77777777" w:rsidR="0076232D" w:rsidRPr="00353AE1" w:rsidRDefault="0076232D" w:rsidP="0076232D">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 </w:t>
            </w:r>
          </w:p>
        </w:tc>
        <w:tc>
          <w:tcPr>
            <w:tcW w:w="0" w:type="auto"/>
            <w:gridSpan w:val="2"/>
            <w:tcBorders>
              <w:top w:val="nil"/>
              <w:left w:val="nil"/>
              <w:bottom w:val="single" w:sz="4" w:space="0" w:color="auto"/>
              <w:right w:val="nil"/>
            </w:tcBorders>
            <w:noWrap/>
            <w:vAlign w:val="bottom"/>
            <w:hideMark/>
          </w:tcPr>
          <w:p w14:paraId="1D13F63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 Deviation from baseline</w:t>
            </w:r>
          </w:p>
        </w:tc>
        <w:tc>
          <w:tcPr>
            <w:tcW w:w="0" w:type="auto"/>
            <w:gridSpan w:val="2"/>
            <w:tcBorders>
              <w:top w:val="nil"/>
              <w:left w:val="nil"/>
              <w:bottom w:val="single" w:sz="4" w:space="0" w:color="auto"/>
              <w:right w:val="nil"/>
            </w:tcBorders>
            <w:noWrap/>
            <w:vAlign w:val="bottom"/>
            <w:hideMark/>
          </w:tcPr>
          <w:p w14:paraId="21D9B390"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 Deviation from baseline</w:t>
            </w:r>
          </w:p>
        </w:tc>
      </w:tr>
      <w:tr w:rsidR="0076232D" w:rsidRPr="00353AE1" w14:paraId="0589071D" w14:textId="77777777" w:rsidTr="00E016A0">
        <w:trPr>
          <w:trHeight w:val="300"/>
          <w:jc w:val="center"/>
        </w:trPr>
        <w:tc>
          <w:tcPr>
            <w:tcW w:w="0" w:type="auto"/>
            <w:vMerge w:val="restart"/>
            <w:tcBorders>
              <w:top w:val="nil"/>
              <w:left w:val="nil"/>
              <w:bottom w:val="single" w:sz="4" w:space="0" w:color="000000"/>
              <w:right w:val="nil"/>
            </w:tcBorders>
            <w:noWrap/>
            <w:vAlign w:val="center"/>
            <w:hideMark/>
          </w:tcPr>
          <w:p w14:paraId="69E0EEA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Road Freight</w:t>
            </w:r>
          </w:p>
        </w:tc>
        <w:tc>
          <w:tcPr>
            <w:tcW w:w="0" w:type="auto"/>
            <w:tcBorders>
              <w:top w:val="nil"/>
              <w:left w:val="nil"/>
              <w:bottom w:val="nil"/>
              <w:right w:val="nil"/>
            </w:tcBorders>
            <w:noWrap/>
            <w:vAlign w:val="bottom"/>
            <w:hideMark/>
          </w:tcPr>
          <w:p w14:paraId="7530BFC7"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NSW&amp;ACT</w:t>
            </w:r>
          </w:p>
        </w:tc>
        <w:tc>
          <w:tcPr>
            <w:tcW w:w="0" w:type="auto"/>
            <w:tcBorders>
              <w:top w:val="nil"/>
              <w:left w:val="nil"/>
              <w:bottom w:val="nil"/>
              <w:right w:val="nil"/>
            </w:tcBorders>
            <w:noWrap/>
            <w:vAlign w:val="center"/>
            <w:hideMark/>
          </w:tcPr>
          <w:p w14:paraId="6A3A3531"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0.50</w:t>
            </w:r>
          </w:p>
        </w:tc>
        <w:tc>
          <w:tcPr>
            <w:tcW w:w="0" w:type="auto"/>
            <w:tcBorders>
              <w:top w:val="nil"/>
              <w:left w:val="nil"/>
              <w:bottom w:val="nil"/>
              <w:right w:val="nil"/>
            </w:tcBorders>
            <w:noWrap/>
            <w:vAlign w:val="center"/>
            <w:hideMark/>
          </w:tcPr>
          <w:p w14:paraId="56179B6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0.58</w:t>
            </w:r>
          </w:p>
        </w:tc>
        <w:tc>
          <w:tcPr>
            <w:tcW w:w="0" w:type="auto"/>
            <w:tcBorders>
              <w:top w:val="nil"/>
              <w:left w:val="nil"/>
              <w:bottom w:val="nil"/>
              <w:right w:val="nil"/>
            </w:tcBorders>
            <w:noWrap/>
            <w:vAlign w:val="center"/>
            <w:hideMark/>
          </w:tcPr>
          <w:p w14:paraId="62B188E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0.16</w:t>
            </w:r>
          </w:p>
        </w:tc>
        <w:tc>
          <w:tcPr>
            <w:tcW w:w="0" w:type="auto"/>
            <w:tcBorders>
              <w:top w:val="nil"/>
              <w:left w:val="nil"/>
              <w:bottom w:val="nil"/>
              <w:right w:val="nil"/>
            </w:tcBorders>
            <w:noWrap/>
            <w:vAlign w:val="center"/>
            <w:hideMark/>
          </w:tcPr>
          <w:p w14:paraId="4FDDA82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0.18</w:t>
            </w:r>
          </w:p>
        </w:tc>
      </w:tr>
      <w:tr w:rsidR="0076232D" w:rsidRPr="00353AE1" w14:paraId="725EA1F6" w14:textId="77777777" w:rsidTr="00E016A0">
        <w:trPr>
          <w:trHeight w:val="300"/>
          <w:jc w:val="center"/>
        </w:trPr>
        <w:tc>
          <w:tcPr>
            <w:tcW w:w="0" w:type="auto"/>
            <w:vMerge/>
            <w:tcBorders>
              <w:top w:val="nil"/>
              <w:left w:val="nil"/>
              <w:bottom w:val="single" w:sz="4" w:space="0" w:color="000000"/>
              <w:right w:val="nil"/>
            </w:tcBorders>
            <w:vAlign w:val="center"/>
            <w:hideMark/>
          </w:tcPr>
          <w:p w14:paraId="74E28B52"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3207B3F0"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VIC</w:t>
            </w:r>
          </w:p>
        </w:tc>
        <w:tc>
          <w:tcPr>
            <w:tcW w:w="0" w:type="auto"/>
            <w:tcBorders>
              <w:top w:val="nil"/>
              <w:left w:val="nil"/>
              <w:bottom w:val="nil"/>
              <w:right w:val="nil"/>
            </w:tcBorders>
            <w:noWrap/>
            <w:vAlign w:val="center"/>
            <w:hideMark/>
          </w:tcPr>
          <w:p w14:paraId="6C8ECE6F"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0.69</w:t>
            </w:r>
          </w:p>
        </w:tc>
        <w:tc>
          <w:tcPr>
            <w:tcW w:w="0" w:type="auto"/>
            <w:tcBorders>
              <w:top w:val="nil"/>
              <w:left w:val="nil"/>
              <w:bottom w:val="nil"/>
              <w:right w:val="nil"/>
            </w:tcBorders>
            <w:noWrap/>
            <w:vAlign w:val="center"/>
            <w:hideMark/>
          </w:tcPr>
          <w:p w14:paraId="3D9266C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0.74</w:t>
            </w:r>
          </w:p>
        </w:tc>
        <w:tc>
          <w:tcPr>
            <w:tcW w:w="0" w:type="auto"/>
            <w:tcBorders>
              <w:top w:val="nil"/>
              <w:left w:val="nil"/>
              <w:bottom w:val="nil"/>
              <w:right w:val="nil"/>
            </w:tcBorders>
            <w:noWrap/>
            <w:vAlign w:val="center"/>
            <w:hideMark/>
          </w:tcPr>
          <w:p w14:paraId="347D6384"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0.21</w:t>
            </w:r>
          </w:p>
        </w:tc>
        <w:tc>
          <w:tcPr>
            <w:tcW w:w="0" w:type="auto"/>
            <w:tcBorders>
              <w:top w:val="nil"/>
              <w:left w:val="nil"/>
              <w:bottom w:val="nil"/>
              <w:right w:val="nil"/>
            </w:tcBorders>
            <w:noWrap/>
            <w:vAlign w:val="center"/>
            <w:hideMark/>
          </w:tcPr>
          <w:p w14:paraId="495F918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0.23</w:t>
            </w:r>
          </w:p>
        </w:tc>
      </w:tr>
      <w:tr w:rsidR="0076232D" w:rsidRPr="00353AE1" w14:paraId="37EA69DF" w14:textId="77777777" w:rsidTr="00E016A0">
        <w:trPr>
          <w:trHeight w:val="300"/>
          <w:jc w:val="center"/>
        </w:trPr>
        <w:tc>
          <w:tcPr>
            <w:tcW w:w="0" w:type="auto"/>
            <w:vMerge/>
            <w:tcBorders>
              <w:top w:val="nil"/>
              <w:left w:val="nil"/>
              <w:bottom w:val="single" w:sz="4" w:space="0" w:color="000000"/>
              <w:right w:val="nil"/>
            </w:tcBorders>
            <w:vAlign w:val="center"/>
            <w:hideMark/>
          </w:tcPr>
          <w:p w14:paraId="337843DE"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27D06BE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QLD</w:t>
            </w:r>
          </w:p>
        </w:tc>
        <w:tc>
          <w:tcPr>
            <w:tcW w:w="0" w:type="auto"/>
            <w:tcBorders>
              <w:top w:val="nil"/>
              <w:left w:val="nil"/>
              <w:bottom w:val="nil"/>
              <w:right w:val="nil"/>
            </w:tcBorders>
            <w:noWrap/>
            <w:vAlign w:val="center"/>
            <w:hideMark/>
          </w:tcPr>
          <w:p w14:paraId="01C81EA4"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0.70</w:t>
            </w:r>
          </w:p>
        </w:tc>
        <w:tc>
          <w:tcPr>
            <w:tcW w:w="0" w:type="auto"/>
            <w:tcBorders>
              <w:top w:val="nil"/>
              <w:left w:val="nil"/>
              <w:bottom w:val="nil"/>
              <w:right w:val="nil"/>
            </w:tcBorders>
            <w:noWrap/>
            <w:vAlign w:val="center"/>
            <w:hideMark/>
          </w:tcPr>
          <w:p w14:paraId="754C2303"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0.79</w:t>
            </w:r>
          </w:p>
        </w:tc>
        <w:tc>
          <w:tcPr>
            <w:tcW w:w="0" w:type="auto"/>
            <w:tcBorders>
              <w:top w:val="nil"/>
              <w:left w:val="nil"/>
              <w:bottom w:val="nil"/>
              <w:right w:val="nil"/>
            </w:tcBorders>
            <w:noWrap/>
            <w:vAlign w:val="center"/>
            <w:hideMark/>
          </w:tcPr>
          <w:p w14:paraId="04E8151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0.22</w:t>
            </w:r>
          </w:p>
        </w:tc>
        <w:tc>
          <w:tcPr>
            <w:tcW w:w="0" w:type="auto"/>
            <w:tcBorders>
              <w:top w:val="nil"/>
              <w:left w:val="nil"/>
              <w:bottom w:val="nil"/>
              <w:right w:val="nil"/>
            </w:tcBorders>
            <w:noWrap/>
            <w:vAlign w:val="center"/>
            <w:hideMark/>
          </w:tcPr>
          <w:p w14:paraId="567DEC9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0.24</w:t>
            </w:r>
          </w:p>
        </w:tc>
      </w:tr>
      <w:tr w:rsidR="0076232D" w:rsidRPr="00353AE1" w14:paraId="54D9F27C" w14:textId="77777777" w:rsidTr="00E016A0">
        <w:trPr>
          <w:trHeight w:val="300"/>
          <w:jc w:val="center"/>
        </w:trPr>
        <w:tc>
          <w:tcPr>
            <w:tcW w:w="0" w:type="auto"/>
            <w:vMerge/>
            <w:tcBorders>
              <w:top w:val="nil"/>
              <w:left w:val="nil"/>
              <w:bottom w:val="single" w:sz="4" w:space="0" w:color="000000"/>
              <w:right w:val="nil"/>
            </w:tcBorders>
            <w:vAlign w:val="center"/>
            <w:hideMark/>
          </w:tcPr>
          <w:p w14:paraId="36EC6402"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25C56BF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SA</w:t>
            </w:r>
          </w:p>
        </w:tc>
        <w:tc>
          <w:tcPr>
            <w:tcW w:w="0" w:type="auto"/>
            <w:tcBorders>
              <w:top w:val="nil"/>
              <w:left w:val="nil"/>
              <w:bottom w:val="nil"/>
              <w:right w:val="nil"/>
            </w:tcBorders>
            <w:noWrap/>
            <w:vAlign w:val="center"/>
            <w:hideMark/>
          </w:tcPr>
          <w:p w14:paraId="21CB5791"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0.79</w:t>
            </w:r>
          </w:p>
        </w:tc>
        <w:tc>
          <w:tcPr>
            <w:tcW w:w="0" w:type="auto"/>
            <w:tcBorders>
              <w:top w:val="nil"/>
              <w:left w:val="nil"/>
              <w:bottom w:val="nil"/>
              <w:right w:val="nil"/>
            </w:tcBorders>
            <w:noWrap/>
            <w:vAlign w:val="center"/>
            <w:hideMark/>
          </w:tcPr>
          <w:p w14:paraId="10EB2D0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0.86</w:t>
            </w:r>
          </w:p>
        </w:tc>
        <w:tc>
          <w:tcPr>
            <w:tcW w:w="0" w:type="auto"/>
            <w:tcBorders>
              <w:top w:val="nil"/>
              <w:left w:val="nil"/>
              <w:bottom w:val="nil"/>
              <w:right w:val="nil"/>
            </w:tcBorders>
            <w:noWrap/>
            <w:vAlign w:val="center"/>
            <w:hideMark/>
          </w:tcPr>
          <w:p w14:paraId="292BD0E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0.25</w:t>
            </w:r>
          </w:p>
        </w:tc>
        <w:tc>
          <w:tcPr>
            <w:tcW w:w="0" w:type="auto"/>
            <w:tcBorders>
              <w:top w:val="nil"/>
              <w:left w:val="nil"/>
              <w:bottom w:val="nil"/>
              <w:right w:val="nil"/>
            </w:tcBorders>
            <w:noWrap/>
            <w:vAlign w:val="center"/>
            <w:hideMark/>
          </w:tcPr>
          <w:p w14:paraId="10F9A920"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0.27</w:t>
            </w:r>
          </w:p>
        </w:tc>
      </w:tr>
      <w:tr w:rsidR="0076232D" w:rsidRPr="00353AE1" w14:paraId="7E3C04A9" w14:textId="77777777" w:rsidTr="00E016A0">
        <w:trPr>
          <w:trHeight w:val="300"/>
          <w:jc w:val="center"/>
        </w:trPr>
        <w:tc>
          <w:tcPr>
            <w:tcW w:w="0" w:type="auto"/>
            <w:vMerge/>
            <w:tcBorders>
              <w:top w:val="nil"/>
              <w:left w:val="nil"/>
              <w:bottom w:val="single" w:sz="4" w:space="0" w:color="000000"/>
              <w:right w:val="nil"/>
            </w:tcBorders>
            <w:vAlign w:val="center"/>
            <w:hideMark/>
          </w:tcPr>
          <w:p w14:paraId="48387249"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3885424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TAS</w:t>
            </w:r>
          </w:p>
        </w:tc>
        <w:tc>
          <w:tcPr>
            <w:tcW w:w="0" w:type="auto"/>
            <w:tcBorders>
              <w:top w:val="nil"/>
              <w:left w:val="nil"/>
              <w:bottom w:val="nil"/>
              <w:right w:val="nil"/>
            </w:tcBorders>
            <w:noWrap/>
            <w:vAlign w:val="center"/>
            <w:hideMark/>
          </w:tcPr>
          <w:p w14:paraId="6B4D270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0.94</w:t>
            </w:r>
          </w:p>
        </w:tc>
        <w:tc>
          <w:tcPr>
            <w:tcW w:w="0" w:type="auto"/>
            <w:tcBorders>
              <w:top w:val="nil"/>
              <w:left w:val="nil"/>
              <w:bottom w:val="nil"/>
              <w:right w:val="nil"/>
            </w:tcBorders>
            <w:noWrap/>
            <w:vAlign w:val="center"/>
            <w:hideMark/>
          </w:tcPr>
          <w:p w14:paraId="09DF84C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1.03</w:t>
            </w:r>
          </w:p>
        </w:tc>
        <w:tc>
          <w:tcPr>
            <w:tcW w:w="0" w:type="auto"/>
            <w:tcBorders>
              <w:top w:val="nil"/>
              <w:left w:val="nil"/>
              <w:bottom w:val="nil"/>
              <w:right w:val="nil"/>
            </w:tcBorders>
            <w:noWrap/>
            <w:vAlign w:val="center"/>
            <w:hideMark/>
          </w:tcPr>
          <w:p w14:paraId="5EF5672F"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0.29</w:t>
            </w:r>
          </w:p>
        </w:tc>
        <w:tc>
          <w:tcPr>
            <w:tcW w:w="0" w:type="auto"/>
            <w:tcBorders>
              <w:top w:val="nil"/>
              <w:left w:val="nil"/>
              <w:bottom w:val="nil"/>
              <w:right w:val="nil"/>
            </w:tcBorders>
            <w:noWrap/>
            <w:vAlign w:val="center"/>
            <w:hideMark/>
          </w:tcPr>
          <w:p w14:paraId="07846C51"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0.32</w:t>
            </w:r>
          </w:p>
        </w:tc>
      </w:tr>
      <w:tr w:rsidR="0076232D" w:rsidRPr="00353AE1" w14:paraId="7B90ABF6" w14:textId="77777777" w:rsidTr="00E016A0">
        <w:trPr>
          <w:trHeight w:val="300"/>
          <w:jc w:val="center"/>
        </w:trPr>
        <w:tc>
          <w:tcPr>
            <w:tcW w:w="0" w:type="auto"/>
            <w:vMerge/>
            <w:tcBorders>
              <w:top w:val="nil"/>
              <w:left w:val="nil"/>
              <w:bottom w:val="single" w:sz="4" w:space="0" w:color="000000"/>
              <w:right w:val="nil"/>
            </w:tcBorders>
            <w:vAlign w:val="center"/>
            <w:hideMark/>
          </w:tcPr>
          <w:p w14:paraId="5F8BD229"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single" w:sz="4" w:space="0" w:color="auto"/>
              <w:right w:val="nil"/>
            </w:tcBorders>
            <w:noWrap/>
            <w:vAlign w:val="bottom"/>
            <w:hideMark/>
          </w:tcPr>
          <w:p w14:paraId="120A580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WA&amp;NT</w:t>
            </w:r>
          </w:p>
        </w:tc>
        <w:tc>
          <w:tcPr>
            <w:tcW w:w="0" w:type="auto"/>
            <w:tcBorders>
              <w:top w:val="nil"/>
              <w:left w:val="nil"/>
              <w:bottom w:val="single" w:sz="4" w:space="0" w:color="auto"/>
              <w:right w:val="nil"/>
            </w:tcBorders>
            <w:noWrap/>
            <w:vAlign w:val="center"/>
            <w:hideMark/>
          </w:tcPr>
          <w:p w14:paraId="31DF8B9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0.80</w:t>
            </w:r>
          </w:p>
        </w:tc>
        <w:tc>
          <w:tcPr>
            <w:tcW w:w="0" w:type="auto"/>
            <w:tcBorders>
              <w:top w:val="nil"/>
              <w:left w:val="nil"/>
              <w:bottom w:val="single" w:sz="4" w:space="0" w:color="auto"/>
              <w:right w:val="nil"/>
            </w:tcBorders>
            <w:noWrap/>
            <w:vAlign w:val="center"/>
            <w:hideMark/>
          </w:tcPr>
          <w:p w14:paraId="67FAD62D"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0.91</w:t>
            </w:r>
          </w:p>
        </w:tc>
        <w:tc>
          <w:tcPr>
            <w:tcW w:w="0" w:type="auto"/>
            <w:tcBorders>
              <w:top w:val="nil"/>
              <w:left w:val="nil"/>
              <w:bottom w:val="single" w:sz="4" w:space="0" w:color="auto"/>
              <w:right w:val="nil"/>
            </w:tcBorders>
            <w:noWrap/>
            <w:vAlign w:val="center"/>
            <w:hideMark/>
          </w:tcPr>
          <w:p w14:paraId="1CF770A4"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0.25</w:t>
            </w:r>
          </w:p>
        </w:tc>
        <w:tc>
          <w:tcPr>
            <w:tcW w:w="0" w:type="auto"/>
            <w:tcBorders>
              <w:top w:val="nil"/>
              <w:left w:val="nil"/>
              <w:bottom w:val="single" w:sz="4" w:space="0" w:color="auto"/>
              <w:right w:val="nil"/>
            </w:tcBorders>
            <w:noWrap/>
            <w:vAlign w:val="center"/>
            <w:hideMark/>
          </w:tcPr>
          <w:p w14:paraId="5BA8F37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0.28</w:t>
            </w:r>
          </w:p>
        </w:tc>
      </w:tr>
      <w:tr w:rsidR="0076232D" w:rsidRPr="00353AE1" w14:paraId="773BF835" w14:textId="77777777" w:rsidTr="00E016A0">
        <w:trPr>
          <w:trHeight w:val="300"/>
          <w:jc w:val="center"/>
        </w:trPr>
        <w:tc>
          <w:tcPr>
            <w:tcW w:w="0" w:type="auto"/>
            <w:vMerge w:val="restart"/>
            <w:tcBorders>
              <w:top w:val="nil"/>
              <w:left w:val="nil"/>
              <w:bottom w:val="double" w:sz="6" w:space="0" w:color="000000"/>
              <w:right w:val="nil"/>
            </w:tcBorders>
            <w:noWrap/>
            <w:vAlign w:val="center"/>
            <w:hideMark/>
          </w:tcPr>
          <w:p w14:paraId="7822021C" w14:textId="3586AE3C"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Heavy Vehicle</w:t>
            </w:r>
          </w:p>
        </w:tc>
        <w:tc>
          <w:tcPr>
            <w:tcW w:w="0" w:type="auto"/>
            <w:tcBorders>
              <w:top w:val="nil"/>
              <w:left w:val="nil"/>
              <w:bottom w:val="nil"/>
              <w:right w:val="nil"/>
            </w:tcBorders>
            <w:noWrap/>
            <w:vAlign w:val="bottom"/>
            <w:hideMark/>
          </w:tcPr>
          <w:p w14:paraId="4BB7F537"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NSW&amp;ACT</w:t>
            </w:r>
          </w:p>
        </w:tc>
        <w:tc>
          <w:tcPr>
            <w:tcW w:w="0" w:type="auto"/>
            <w:tcBorders>
              <w:top w:val="nil"/>
              <w:left w:val="nil"/>
              <w:bottom w:val="nil"/>
              <w:right w:val="nil"/>
            </w:tcBorders>
            <w:noWrap/>
            <w:vAlign w:val="center"/>
            <w:hideMark/>
          </w:tcPr>
          <w:p w14:paraId="6B47215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-0.19</w:t>
            </w:r>
          </w:p>
        </w:tc>
        <w:tc>
          <w:tcPr>
            <w:tcW w:w="0" w:type="auto"/>
            <w:tcBorders>
              <w:top w:val="nil"/>
              <w:left w:val="nil"/>
              <w:bottom w:val="nil"/>
              <w:right w:val="nil"/>
            </w:tcBorders>
            <w:noWrap/>
            <w:vAlign w:val="center"/>
            <w:hideMark/>
          </w:tcPr>
          <w:p w14:paraId="22D7B33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-0.20</w:t>
            </w:r>
          </w:p>
        </w:tc>
        <w:tc>
          <w:tcPr>
            <w:tcW w:w="0" w:type="auto"/>
            <w:tcBorders>
              <w:top w:val="nil"/>
              <w:left w:val="nil"/>
              <w:bottom w:val="nil"/>
              <w:right w:val="nil"/>
            </w:tcBorders>
            <w:noWrap/>
            <w:vAlign w:val="center"/>
            <w:hideMark/>
          </w:tcPr>
          <w:p w14:paraId="48033B4B"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-0.06</w:t>
            </w:r>
          </w:p>
        </w:tc>
        <w:tc>
          <w:tcPr>
            <w:tcW w:w="0" w:type="auto"/>
            <w:tcBorders>
              <w:top w:val="nil"/>
              <w:left w:val="nil"/>
              <w:bottom w:val="nil"/>
              <w:right w:val="nil"/>
            </w:tcBorders>
            <w:noWrap/>
            <w:vAlign w:val="center"/>
            <w:hideMark/>
          </w:tcPr>
          <w:p w14:paraId="3F067ED1"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-0.06</w:t>
            </w:r>
          </w:p>
        </w:tc>
      </w:tr>
      <w:tr w:rsidR="0076232D" w:rsidRPr="00353AE1" w14:paraId="25533647" w14:textId="77777777" w:rsidTr="00E016A0">
        <w:trPr>
          <w:trHeight w:val="300"/>
          <w:jc w:val="center"/>
        </w:trPr>
        <w:tc>
          <w:tcPr>
            <w:tcW w:w="0" w:type="auto"/>
            <w:vMerge/>
            <w:tcBorders>
              <w:top w:val="nil"/>
              <w:left w:val="nil"/>
              <w:bottom w:val="double" w:sz="6" w:space="0" w:color="000000"/>
              <w:right w:val="nil"/>
            </w:tcBorders>
            <w:vAlign w:val="center"/>
            <w:hideMark/>
          </w:tcPr>
          <w:p w14:paraId="52ADF2C1"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7646A65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VIC</w:t>
            </w:r>
          </w:p>
        </w:tc>
        <w:tc>
          <w:tcPr>
            <w:tcW w:w="0" w:type="auto"/>
            <w:tcBorders>
              <w:top w:val="nil"/>
              <w:left w:val="nil"/>
              <w:bottom w:val="nil"/>
              <w:right w:val="nil"/>
            </w:tcBorders>
            <w:noWrap/>
            <w:vAlign w:val="center"/>
            <w:hideMark/>
          </w:tcPr>
          <w:p w14:paraId="0F6905DF"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-0.14</w:t>
            </w:r>
          </w:p>
        </w:tc>
        <w:tc>
          <w:tcPr>
            <w:tcW w:w="0" w:type="auto"/>
            <w:tcBorders>
              <w:top w:val="nil"/>
              <w:left w:val="nil"/>
              <w:bottom w:val="nil"/>
              <w:right w:val="nil"/>
            </w:tcBorders>
            <w:noWrap/>
            <w:vAlign w:val="center"/>
            <w:hideMark/>
          </w:tcPr>
          <w:p w14:paraId="4B12E59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-0.16</w:t>
            </w:r>
          </w:p>
        </w:tc>
        <w:tc>
          <w:tcPr>
            <w:tcW w:w="0" w:type="auto"/>
            <w:tcBorders>
              <w:top w:val="nil"/>
              <w:left w:val="nil"/>
              <w:bottom w:val="nil"/>
              <w:right w:val="nil"/>
            </w:tcBorders>
            <w:noWrap/>
            <w:vAlign w:val="center"/>
            <w:hideMark/>
          </w:tcPr>
          <w:p w14:paraId="2EFEF12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-0.04</w:t>
            </w:r>
          </w:p>
        </w:tc>
        <w:tc>
          <w:tcPr>
            <w:tcW w:w="0" w:type="auto"/>
            <w:tcBorders>
              <w:top w:val="nil"/>
              <w:left w:val="nil"/>
              <w:bottom w:val="nil"/>
              <w:right w:val="nil"/>
            </w:tcBorders>
            <w:noWrap/>
            <w:vAlign w:val="center"/>
            <w:hideMark/>
          </w:tcPr>
          <w:p w14:paraId="05764574"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-0.05</w:t>
            </w:r>
          </w:p>
        </w:tc>
      </w:tr>
      <w:tr w:rsidR="0076232D" w:rsidRPr="00353AE1" w14:paraId="690C0163" w14:textId="77777777" w:rsidTr="00E016A0">
        <w:trPr>
          <w:trHeight w:val="300"/>
          <w:jc w:val="center"/>
        </w:trPr>
        <w:tc>
          <w:tcPr>
            <w:tcW w:w="0" w:type="auto"/>
            <w:vMerge/>
            <w:tcBorders>
              <w:top w:val="nil"/>
              <w:left w:val="nil"/>
              <w:bottom w:val="double" w:sz="6" w:space="0" w:color="000000"/>
              <w:right w:val="nil"/>
            </w:tcBorders>
            <w:vAlign w:val="center"/>
            <w:hideMark/>
          </w:tcPr>
          <w:p w14:paraId="0456120C"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74FEF813"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QLD</w:t>
            </w:r>
          </w:p>
        </w:tc>
        <w:tc>
          <w:tcPr>
            <w:tcW w:w="0" w:type="auto"/>
            <w:tcBorders>
              <w:top w:val="nil"/>
              <w:left w:val="nil"/>
              <w:bottom w:val="nil"/>
              <w:right w:val="nil"/>
            </w:tcBorders>
            <w:noWrap/>
            <w:vAlign w:val="center"/>
            <w:hideMark/>
          </w:tcPr>
          <w:p w14:paraId="747FE710"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-0.25</w:t>
            </w:r>
          </w:p>
        </w:tc>
        <w:tc>
          <w:tcPr>
            <w:tcW w:w="0" w:type="auto"/>
            <w:tcBorders>
              <w:top w:val="nil"/>
              <w:left w:val="nil"/>
              <w:bottom w:val="nil"/>
              <w:right w:val="nil"/>
            </w:tcBorders>
            <w:noWrap/>
            <w:vAlign w:val="center"/>
            <w:hideMark/>
          </w:tcPr>
          <w:p w14:paraId="69D03BE2"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-0.22</w:t>
            </w:r>
          </w:p>
        </w:tc>
        <w:tc>
          <w:tcPr>
            <w:tcW w:w="0" w:type="auto"/>
            <w:tcBorders>
              <w:top w:val="nil"/>
              <w:left w:val="nil"/>
              <w:bottom w:val="nil"/>
              <w:right w:val="nil"/>
            </w:tcBorders>
            <w:noWrap/>
            <w:vAlign w:val="center"/>
            <w:hideMark/>
          </w:tcPr>
          <w:p w14:paraId="74963CAB"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-0.08</w:t>
            </w:r>
          </w:p>
        </w:tc>
        <w:tc>
          <w:tcPr>
            <w:tcW w:w="0" w:type="auto"/>
            <w:tcBorders>
              <w:top w:val="nil"/>
              <w:left w:val="nil"/>
              <w:bottom w:val="nil"/>
              <w:right w:val="nil"/>
            </w:tcBorders>
            <w:noWrap/>
            <w:vAlign w:val="center"/>
            <w:hideMark/>
          </w:tcPr>
          <w:p w14:paraId="42A257B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-0.07</w:t>
            </w:r>
          </w:p>
        </w:tc>
      </w:tr>
      <w:tr w:rsidR="0076232D" w:rsidRPr="00353AE1" w14:paraId="6BA71238" w14:textId="77777777" w:rsidTr="00E016A0">
        <w:trPr>
          <w:trHeight w:val="300"/>
          <w:jc w:val="center"/>
        </w:trPr>
        <w:tc>
          <w:tcPr>
            <w:tcW w:w="0" w:type="auto"/>
            <w:vMerge/>
            <w:tcBorders>
              <w:top w:val="nil"/>
              <w:left w:val="nil"/>
              <w:bottom w:val="double" w:sz="6" w:space="0" w:color="000000"/>
              <w:right w:val="nil"/>
            </w:tcBorders>
            <w:vAlign w:val="center"/>
            <w:hideMark/>
          </w:tcPr>
          <w:p w14:paraId="0C9E211D"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29690976"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SA</w:t>
            </w:r>
          </w:p>
        </w:tc>
        <w:tc>
          <w:tcPr>
            <w:tcW w:w="0" w:type="auto"/>
            <w:tcBorders>
              <w:top w:val="nil"/>
              <w:left w:val="nil"/>
              <w:bottom w:val="nil"/>
              <w:right w:val="nil"/>
            </w:tcBorders>
            <w:noWrap/>
            <w:vAlign w:val="center"/>
            <w:hideMark/>
          </w:tcPr>
          <w:p w14:paraId="3D9CC8F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-0.27</w:t>
            </w:r>
          </w:p>
        </w:tc>
        <w:tc>
          <w:tcPr>
            <w:tcW w:w="0" w:type="auto"/>
            <w:tcBorders>
              <w:top w:val="nil"/>
              <w:left w:val="nil"/>
              <w:bottom w:val="nil"/>
              <w:right w:val="nil"/>
            </w:tcBorders>
            <w:noWrap/>
            <w:vAlign w:val="center"/>
            <w:hideMark/>
          </w:tcPr>
          <w:p w14:paraId="42D75293"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-0.28</w:t>
            </w:r>
          </w:p>
        </w:tc>
        <w:tc>
          <w:tcPr>
            <w:tcW w:w="0" w:type="auto"/>
            <w:tcBorders>
              <w:top w:val="nil"/>
              <w:left w:val="nil"/>
              <w:bottom w:val="nil"/>
              <w:right w:val="nil"/>
            </w:tcBorders>
            <w:noWrap/>
            <w:vAlign w:val="center"/>
            <w:hideMark/>
          </w:tcPr>
          <w:p w14:paraId="5987A1E0"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-0.08</w:t>
            </w:r>
          </w:p>
        </w:tc>
        <w:tc>
          <w:tcPr>
            <w:tcW w:w="0" w:type="auto"/>
            <w:tcBorders>
              <w:top w:val="nil"/>
              <w:left w:val="nil"/>
              <w:bottom w:val="nil"/>
              <w:right w:val="nil"/>
            </w:tcBorders>
            <w:noWrap/>
            <w:vAlign w:val="center"/>
            <w:hideMark/>
          </w:tcPr>
          <w:p w14:paraId="4359EB5C"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-0.09</w:t>
            </w:r>
          </w:p>
        </w:tc>
      </w:tr>
      <w:tr w:rsidR="0076232D" w:rsidRPr="00353AE1" w14:paraId="51472D81" w14:textId="77777777" w:rsidTr="00E016A0">
        <w:trPr>
          <w:trHeight w:val="300"/>
          <w:jc w:val="center"/>
        </w:trPr>
        <w:tc>
          <w:tcPr>
            <w:tcW w:w="0" w:type="auto"/>
            <w:vMerge/>
            <w:tcBorders>
              <w:top w:val="nil"/>
              <w:left w:val="nil"/>
              <w:bottom w:val="double" w:sz="6" w:space="0" w:color="000000"/>
              <w:right w:val="nil"/>
            </w:tcBorders>
            <w:vAlign w:val="center"/>
            <w:hideMark/>
          </w:tcPr>
          <w:p w14:paraId="0372DA78"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nil"/>
              <w:right w:val="nil"/>
            </w:tcBorders>
            <w:noWrap/>
            <w:vAlign w:val="bottom"/>
            <w:hideMark/>
          </w:tcPr>
          <w:p w14:paraId="6833E543"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TAS</w:t>
            </w:r>
          </w:p>
        </w:tc>
        <w:tc>
          <w:tcPr>
            <w:tcW w:w="0" w:type="auto"/>
            <w:tcBorders>
              <w:top w:val="nil"/>
              <w:left w:val="nil"/>
              <w:bottom w:val="nil"/>
              <w:right w:val="nil"/>
            </w:tcBorders>
            <w:noWrap/>
            <w:vAlign w:val="center"/>
            <w:hideMark/>
          </w:tcPr>
          <w:p w14:paraId="29EF39F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-0.11</w:t>
            </w:r>
          </w:p>
        </w:tc>
        <w:tc>
          <w:tcPr>
            <w:tcW w:w="0" w:type="auto"/>
            <w:tcBorders>
              <w:top w:val="nil"/>
              <w:left w:val="nil"/>
              <w:bottom w:val="nil"/>
              <w:right w:val="nil"/>
            </w:tcBorders>
            <w:noWrap/>
            <w:vAlign w:val="center"/>
            <w:hideMark/>
          </w:tcPr>
          <w:p w14:paraId="598FB7E2"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-0.03</w:t>
            </w:r>
          </w:p>
        </w:tc>
        <w:tc>
          <w:tcPr>
            <w:tcW w:w="0" w:type="auto"/>
            <w:tcBorders>
              <w:top w:val="nil"/>
              <w:left w:val="nil"/>
              <w:bottom w:val="nil"/>
              <w:right w:val="nil"/>
            </w:tcBorders>
            <w:noWrap/>
            <w:vAlign w:val="center"/>
            <w:hideMark/>
          </w:tcPr>
          <w:p w14:paraId="798E3C4E"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-0.03</w:t>
            </w:r>
          </w:p>
        </w:tc>
        <w:tc>
          <w:tcPr>
            <w:tcW w:w="0" w:type="auto"/>
            <w:tcBorders>
              <w:top w:val="nil"/>
              <w:left w:val="nil"/>
              <w:bottom w:val="nil"/>
              <w:right w:val="nil"/>
            </w:tcBorders>
            <w:noWrap/>
            <w:vAlign w:val="center"/>
            <w:hideMark/>
          </w:tcPr>
          <w:p w14:paraId="60AC690E"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-0.01</w:t>
            </w:r>
          </w:p>
        </w:tc>
      </w:tr>
      <w:tr w:rsidR="0076232D" w:rsidRPr="00353AE1" w14:paraId="54019CEA" w14:textId="77777777" w:rsidTr="00E016A0">
        <w:trPr>
          <w:trHeight w:val="315"/>
          <w:jc w:val="center"/>
        </w:trPr>
        <w:tc>
          <w:tcPr>
            <w:tcW w:w="0" w:type="auto"/>
            <w:vMerge/>
            <w:tcBorders>
              <w:top w:val="nil"/>
              <w:left w:val="nil"/>
              <w:bottom w:val="double" w:sz="6" w:space="0" w:color="000000"/>
              <w:right w:val="nil"/>
            </w:tcBorders>
            <w:vAlign w:val="center"/>
            <w:hideMark/>
          </w:tcPr>
          <w:p w14:paraId="32A98B86" w14:textId="77777777" w:rsidR="0076232D" w:rsidRPr="00353AE1" w:rsidRDefault="0076232D" w:rsidP="0076232D">
            <w:pPr>
              <w:widowControl/>
              <w:jc w:val="left"/>
              <w:rPr>
                <w:rFonts w:eastAsia="Times New Roman"/>
                <w:color w:val="000000"/>
                <w:kern w:val="0"/>
                <w:sz w:val="20"/>
                <w:szCs w:val="20"/>
                <w:lang w:val="en-GB"/>
              </w:rPr>
            </w:pPr>
          </w:p>
        </w:tc>
        <w:tc>
          <w:tcPr>
            <w:tcW w:w="0" w:type="auto"/>
            <w:tcBorders>
              <w:top w:val="nil"/>
              <w:left w:val="nil"/>
              <w:bottom w:val="double" w:sz="6" w:space="0" w:color="auto"/>
              <w:right w:val="nil"/>
            </w:tcBorders>
            <w:noWrap/>
            <w:vAlign w:val="bottom"/>
            <w:hideMark/>
          </w:tcPr>
          <w:p w14:paraId="2D5A6F78"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WA&amp;NT</w:t>
            </w:r>
          </w:p>
        </w:tc>
        <w:tc>
          <w:tcPr>
            <w:tcW w:w="0" w:type="auto"/>
            <w:tcBorders>
              <w:top w:val="nil"/>
              <w:left w:val="nil"/>
              <w:bottom w:val="double" w:sz="6" w:space="0" w:color="auto"/>
              <w:right w:val="nil"/>
            </w:tcBorders>
            <w:noWrap/>
            <w:vAlign w:val="center"/>
            <w:hideMark/>
          </w:tcPr>
          <w:p w14:paraId="017315A1"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-0.26</w:t>
            </w:r>
          </w:p>
        </w:tc>
        <w:tc>
          <w:tcPr>
            <w:tcW w:w="0" w:type="auto"/>
            <w:tcBorders>
              <w:top w:val="nil"/>
              <w:left w:val="nil"/>
              <w:bottom w:val="double" w:sz="6" w:space="0" w:color="auto"/>
              <w:right w:val="nil"/>
            </w:tcBorders>
            <w:noWrap/>
            <w:vAlign w:val="center"/>
            <w:hideMark/>
          </w:tcPr>
          <w:p w14:paraId="37117C75"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-0.19</w:t>
            </w:r>
          </w:p>
        </w:tc>
        <w:tc>
          <w:tcPr>
            <w:tcW w:w="0" w:type="auto"/>
            <w:tcBorders>
              <w:top w:val="nil"/>
              <w:left w:val="nil"/>
              <w:bottom w:val="double" w:sz="6" w:space="0" w:color="auto"/>
              <w:right w:val="nil"/>
            </w:tcBorders>
            <w:noWrap/>
            <w:vAlign w:val="center"/>
            <w:hideMark/>
          </w:tcPr>
          <w:p w14:paraId="34E06C79"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-0.08</w:t>
            </w:r>
          </w:p>
        </w:tc>
        <w:tc>
          <w:tcPr>
            <w:tcW w:w="0" w:type="auto"/>
            <w:tcBorders>
              <w:top w:val="nil"/>
              <w:left w:val="nil"/>
              <w:bottom w:val="double" w:sz="6" w:space="0" w:color="auto"/>
              <w:right w:val="nil"/>
            </w:tcBorders>
            <w:noWrap/>
            <w:vAlign w:val="center"/>
            <w:hideMark/>
          </w:tcPr>
          <w:p w14:paraId="20AE2657" w14:textId="77777777" w:rsidR="0076232D" w:rsidRPr="00353AE1" w:rsidRDefault="0076232D" w:rsidP="0076232D">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-0.06</w:t>
            </w:r>
          </w:p>
        </w:tc>
      </w:tr>
    </w:tbl>
    <w:p w14:paraId="4448CEFF" w14:textId="77777777" w:rsidR="0076232D" w:rsidRPr="00353AE1" w:rsidRDefault="0076232D" w:rsidP="00E016A0"/>
    <w:p w14:paraId="75EC32BF" w14:textId="77777777" w:rsidR="00D334C5" w:rsidRPr="00353AE1" w:rsidRDefault="00D334C5" w:rsidP="00E016A0"/>
    <w:p w14:paraId="0D5C6558" w14:textId="153C65A6" w:rsidR="007F7374" w:rsidRPr="00353AE1" w:rsidRDefault="007F7374">
      <w:pPr>
        <w:widowControl/>
        <w:jc w:val="left"/>
      </w:pPr>
      <w:r w:rsidRPr="00353AE1">
        <w:br w:type="page"/>
      </w:r>
    </w:p>
    <w:p w14:paraId="491441C8" w14:textId="77777777" w:rsidR="00DC5DC6" w:rsidRPr="00353AE1" w:rsidRDefault="00DC5DC6" w:rsidP="00E016A0">
      <w:pPr>
        <w:widowControl/>
        <w:jc w:val="left"/>
      </w:pPr>
    </w:p>
    <w:p w14:paraId="1228AA4D" w14:textId="349FE33C" w:rsidR="00B0445F" w:rsidRPr="00353AE1" w:rsidRDefault="00B0445F" w:rsidP="004B5198">
      <w:pPr>
        <w:pStyle w:val="Caption"/>
        <w:keepNext/>
        <w:spacing w:after="120"/>
        <w:jc w:val="center"/>
        <w:rPr>
          <w:sz w:val="22"/>
          <w:szCs w:val="22"/>
        </w:rPr>
      </w:pPr>
      <w:bookmarkStart w:id="59" w:name="_Toc230696732"/>
      <w:bookmarkStart w:id="60" w:name="_Toc230710350"/>
      <w:bookmarkStart w:id="61" w:name="_Toc230710396"/>
      <w:bookmarkStart w:id="62" w:name="_Toc230711119"/>
      <w:bookmarkStart w:id="63" w:name="_Toc231907814"/>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10</w:t>
      </w:r>
      <w:r w:rsidR="00DF6059" w:rsidRPr="00353AE1">
        <w:rPr>
          <w:sz w:val="22"/>
          <w:szCs w:val="22"/>
        </w:rPr>
        <w:fldChar w:fldCharType="end"/>
      </w:r>
      <w:r w:rsidR="00ED747E" w:rsidRPr="00353AE1">
        <w:rPr>
          <w:sz w:val="22"/>
          <w:szCs w:val="22"/>
        </w:rPr>
        <w:t>.</w:t>
      </w:r>
      <w:r w:rsidRPr="00353AE1">
        <w:rPr>
          <w:sz w:val="22"/>
          <w:szCs w:val="22"/>
        </w:rPr>
        <w:t xml:space="preserve"> State Macro</w:t>
      </w:r>
      <w:r w:rsidR="0030668F" w:rsidRPr="00353AE1">
        <w:rPr>
          <w:sz w:val="22"/>
          <w:szCs w:val="22"/>
        </w:rPr>
        <w:t>economic</w:t>
      </w:r>
      <w:r w:rsidRPr="00353AE1">
        <w:rPr>
          <w:sz w:val="22"/>
          <w:szCs w:val="22"/>
        </w:rPr>
        <w:t xml:space="preserve"> Results (Scenario 1)</w:t>
      </w:r>
      <w:bookmarkEnd w:id="59"/>
      <w:bookmarkEnd w:id="60"/>
      <w:bookmarkEnd w:id="61"/>
      <w:bookmarkEnd w:id="62"/>
      <w:bookmarkEnd w:id="63"/>
    </w:p>
    <w:tbl>
      <w:tblPr>
        <w:tblW w:w="0" w:type="auto"/>
        <w:jc w:val="center"/>
        <w:tblLook w:val="04A0" w:firstRow="1" w:lastRow="0" w:firstColumn="1" w:lastColumn="0" w:noHBand="0" w:noVBand="1"/>
      </w:tblPr>
      <w:tblGrid>
        <w:gridCol w:w="2342"/>
        <w:gridCol w:w="986"/>
        <w:gridCol w:w="1091"/>
        <w:gridCol w:w="1091"/>
        <w:gridCol w:w="1091"/>
        <w:gridCol w:w="1091"/>
      </w:tblGrid>
      <w:tr w:rsidR="000B2BAC" w:rsidRPr="00353AE1" w14:paraId="7DC945FB" w14:textId="77777777" w:rsidTr="00E016A0">
        <w:trPr>
          <w:trHeight w:val="227"/>
          <w:jc w:val="center"/>
        </w:trPr>
        <w:tc>
          <w:tcPr>
            <w:tcW w:w="0" w:type="auto"/>
            <w:tcBorders>
              <w:top w:val="single" w:sz="4" w:space="0" w:color="auto"/>
              <w:left w:val="nil"/>
              <w:bottom w:val="single" w:sz="4" w:space="0" w:color="auto"/>
              <w:right w:val="nil"/>
            </w:tcBorders>
            <w:noWrap/>
            <w:vAlign w:val="bottom"/>
            <w:hideMark/>
          </w:tcPr>
          <w:p w14:paraId="1448E86C" w14:textId="77777777" w:rsidR="000B2BAC" w:rsidRPr="00E016A0" w:rsidRDefault="000B2BAC" w:rsidP="00E016A0">
            <w:pPr>
              <w:widowControl/>
              <w:spacing w:line="18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State Macro Results</w:t>
            </w:r>
          </w:p>
        </w:tc>
        <w:tc>
          <w:tcPr>
            <w:tcW w:w="0" w:type="auto"/>
            <w:tcBorders>
              <w:top w:val="single" w:sz="4" w:space="0" w:color="auto"/>
              <w:left w:val="nil"/>
              <w:bottom w:val="single" w:sz="4" w:space="0" w:color="auto"/>
              <w:right w:val="nil"/>
            </w:tcBorders>
            <w:noWrap/>
            <w:vAlign w:val="bottom"/>
            <w:hideMark/>
          </w:tcPr>
          <w:p w14:paraId="4C0920AB" w14:textId="77777777" w:rsidR="000B2BAC" w:rsidRPr="00E016A0" w:rsidRDefault="000B2BAC" w:rsidP="00E016A0">
            <w:pPr>
              <w:widowControl/>
              <w:spacing w:line="18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 </w:t>
            </w:r>
          </w:p>
        </w:tc>
        <w:tc>
          <w:tcPr>
            <w:tcW w:w="0" w:type="auto"/>
            <w:gridSpan w:val="2"/>
            <w:tcBorders>
              <w:top w:val="single" w:sz="4" w:space="0" w:color="auto"/>
              <w:left w:val="nil"/>
              <w:bottom w:val="single" w:sz="4" w:space="0" w:color="auto"/>
              <w:right w:val="nil"/>
            </w:tcBorders>
            <w:noWrap/>
            <w:vAlign w:val="bottom"/>
            <w:hideMark/>
          </w:tcPr>
          <w:p w14:paraId="15372B1F" w14:textId="77777777" w:rsidR="000B2BAC" w:rsidRPr="00E016A0" w:rsidRDefault="000B2BAC" w:rsidP="00E016A0">
            <w:pPr>
              <w:widowControl/>
              <w:spacing w:line="180" w:lineRule="exact"/>
              <w:jc w:val="center"/>
              <w:rPr>
                <w:rFonts w:eastAsia="Times New Roman"/>
                <w:b/>
                <w:bCs/>
                <w:color w:val="000000"/>
                <w:kern w:val="0"/>
                <w:sz w:val="18"/>
                <w:szCs w:val="18"/>
                <w:lang w:val="en-GB"/>
              </w:rPr>
            </w:pPr>
            <w:r w:rsidRPr="00E016A0">
              <w:rPr>
                <w:rFonts w:eastAsia="Times New Roman"/>
                <w:b/>
                <w:bCs/>
                <w:color w:val="000000"/>
                <w:kern w:val="0"/>
                <w:sz w:val="18"/>
                <w:szCs w:val="18"/>
                <w:lang w:val="en-GB"/>
              </w:rPr>
              <w:t>Scenario 1A</w:t>
            </w:r>
          </w:p>
        </w:tc>
        <w:tc>
          <w:tcPr>
            <w:tcW w:w="0" w:type="auto"/>
            <w:gridSpan w:val="2"/>
            <w:tcBorders>
              <w:top w:val="single" w:sz="4" w:space="0" w:color="auto"/>
              <w:left w:val="nil"/>
              <w:bottom w:val="single" w:sz="4" w:space="0" w:color="auto"/>
              <w:right w:val="nil"/>
            </w:tcBorders>
            <w:noWrap/>
            <w:vAlign w:val="bottom"/>
            <w:hideMark/>
          </w:tcPr>
          <w:p w14:paraId="007E066D" w14:textId="77777777" w:rsidR="000B2BAC" w:rsidRPr="00E016A0" w:rsidRDefault="000B2BAC" w:rsidP="00E016A0">
            <w:pPr>
              <w:widowControl/>
              <w:spacing w:line="180" w:lineRule="exact"/>
              <w:jc w:val="center"/>
              <w:rPr>
                <w:rFonts w:eastAsia="Times New Roman"/>
                <w:b/>
                <w:bCs/>
                <w:color w:val="000000"/>
                <w:kern w:val="0"/>
                <w:sz w:val="18"/>
                <w:szCs w:val="18"/>
                <w:lang w:val="en-GB"/>
              </w:rPr>
            </w:pPr>
            <w:r w:rsidRPr="00E016A0">
              <w:rPr>
                <w:rFonts w:eastAsia="Times New Roman"/>
                <w:b/>
                <w:bCs/>
                <w:color w:val="000000"/>
                <w:kern w:val="0"/>
                <w:sz w:val="18"/>
                <w:szCs w:val="18"/>
                <w:lang w:val="en-GB"/>
              </w:rPr>
              <w:t>Scenario 1B</w:t>
            </w:r>
          </w:p>
        </w:tc>
      </w:tr>
      <w:tr w:rsidR="000B2BAC" w:rsidRPr="00353AE1" w14:paraId="070A7D2A" w14:textId="77777777" w:rsidTr="00E016A0">
        <w:trPr>
          <w:trHeight w:val="227"/>
          <w:jc w:val="center"/>
        </w:trPr>
        <w:tc>
          <w:tcPr>
            <w:tcW w:w="0" w:type="auto"/>
            <w:tcBorders>
              <w:top w:val="nil"/>
              <w:left w:val="nil"/>
              <w:bottom w:val="nil"/>
              <w:right w:val="nil"/>
            </w:tcBorders>
            <w:vAlign w:val="center"/>
            <w:hideMark/>
          </w:tcPr>
          <w:p w14:paraId="2D8EABD7" w14:textId="77777777" w:rsidR="000B2BAC" w:rsidRPr="00E016A0" w:rsidRDefault="000B2BAC" w:rsidP="00E016A0">
            <w:pPr>
              <w:widowControl/>
              <w:spacing w:line="18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 </w:t>
            </w:r>
          </w:p>
        </w:tc>
        <w:tc>
          <w:tcPr>
            <w:tcW w:w="0" w:type="auto"/>
            <w:tcBorders>
              <w:top w:val="nil"/>
              <w:left w:val="nil"/>
              <w:bottom w:val="nil"/>
              <w:right w:val="nil"/>
            </w:tcBorders>
            <w:noWrap/>
            <w:vAlign w:val="center"/>
            <w:hideMark/>
          </w:tcPr>
          <w:p w14:paraId="55632DA6" w14:textId="77777777" w:rsidR="000B2BAC" w:rsidRPr="00E016A0" w:rsidRDefault="000B2BAC" w:rsidP="00E016A0">
            <w:pPr>
              <w:widowControl/>
              <w:spacing w:line="180" w:lineRule="exact"/>
              <w:jc w:val="left"/>
              <w:rPr>
                <w:rFonts w:eastAsia="Times New Roman"/>
                <w:i/>
                <w:iCs/>
                <w:color w:val="000000"/>
                <w:kern w:val="0"/>
                <w:sz w:val="18"/>
                <w:szCs w:val="18"/>
                <w:lang w:val="en-GB"/>
              </w:rPr>
            </w:pPr>
            <w:r w:rsidRPr="00E016A0">
              <w:rPr>
                <w:rFonts w:eastAsia="Times New Roman"/>
                <w:i/>
                <w:iCs/>
                <w:color w:val="000000"/>
                <w:kern w:val="0"/>
                <w:sz w:val="18"/>
                <w:szCs w:val="18"/>
                <w:lang w:val="en-GB"/>
              </w:rPr>
              <w:t> </w:t>
            </w:r>
          </w:p>
        </w:tc>
        <w:tc>
          <w:tcPr>
            <w:tcW w:w="0" w:type="auto"/>
            <w:tcBorders>
              <w:top w:val="nil"/>
              <w:left w:val="nil"/>
              <w:bottom w:val="nil"/>
              <w:right w:val="nil"/>
            </w:tcBorders>
            <w:noWrap/>
            <w:vAlign w:val="center"/>
            <w:hideMark/>
          </w:tcPr>
          <w:p w14:paraId="58DB0B4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2026</w:t>
            </w:r>
          </w:p>
        </w:tc>
        <w:tc>
          <w:tcPr>
            <w:tcW w:w="0" w:type="auto"/>
            <w:tcBorders>
              <w:top w:val="nil"/>
              <w:left w:val="nil"/>
              <w:bottom w:val="nil"/>
              <w:right w:val="nil"/>
            </w:tcBorders>
            <w:noWrap/>
            <w:vAlign w:val="center"/>
            <w:hideMark/>
          </w:tcPr>
          <w:p w14:paraId="664C71B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2040</w:t>
            </w:r>
          </w:p>
        </w:tc>
        <w:tc>
          <w:tcPr>
            <w:tcW w:w="0" w:type="auto"/>
            <w:tcBorders>
              <w:top w:val="nil"/>
              <w:left w:val="nil"/>
              <w:bottom w:val="nil"/>
              <w:right w:val="nil"/>
            </w:tcBorders>
            <w:noWrap/>
            <w:vAlign w:val="center"/>
            <w:hideMark/>
          </w:tcPr>
          <w:p w14:paraId="1DB2776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2026</w:t>
            </w:r>
          </w:p>
        </w:tc>
        <w:tc>
          <w:tcPr>
            <w:tcW w:w="0" w:type="auto"/>
            <w:tcBorders>
              <w:top w:val="nil"/>
              <w:left w:val="nil"/>
              <w:bottom w:val="nil"/>
              <w:right w:val="nil"/>
            </w:tcBorders>
            <w:noWrap/>
            <w:vAlign w:val="center"/>
            <w:hideMark/>
          </w:tcPr>
          <w:p w14:paraId="629B9E0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2040</w:t>
            </w:r>
          </w:p>
        </w:tc>
      </w:tr>
      <w:tr w:rsidR="000B2BAC" w:rsidRPr="00353AE1" w14:paraId="5AA4C7F9" w14:textId="77777777" w:rsidTr="00E016A0">
        <w:trPr>
          <w:trHeight w:val="227"/>
          <w:jc w:val="center"/>
        </w:trPr>
        <w:tc>
          <w:tcPr>
            <w:tcW w:w="0" w:type="auto"/>
            <w:tcBorders>
              <w:top w:val="nil"/>
              <w:left w:val="nil"/>
              <w:bottom w:val="single" w:sz="4" w:space="0" w:color="auto"/>
              <w:right w:val="nil"/>
            </w:tcBorders>
            <w:noWrap/>
            <w:vAlign w:val="center"/>
            <w:hideMark/>
          </w:tcPr>
          <w:p w14:paraId="38706915" w14:textId="77777777" w:rsidR="000B2BAC" w:rsidRPr="00E016A0" w:rsidRDefault="000B2BAC" w:rsidP="00E016A0">
            <w:pPr>
              <w:widowControl/>
              <w:spacing w:line="180" w:lineRule="exact"/>
              <w:jc w:val="left"/>
              <w:rPr>
                <w:rFonts w:eastAsia="Times New Roman"/>
                <w:color w:val="000000"/>
                <w:kern w:val="0"/>
                <w:sz w:val="18"/>
                <w:szCs w:val="18"/>
                <w:lang w:val="en-GB"/>
              </w:rPr>
            </w:pPr>
            <w:r w:rsidRPr="00E016A0">
              <w:rPr>
                <w:rFonts w:eastAsia="Times New Roman"/>
                <w:color w:val="000000"/>
                <w:kern w:val="0"/>
                <w:sz w:val="18"/>
                <w:szCs w:val="18"/>
                <w:lang w:val="en-GB"/>
              </w:rPr>
              <w:t> </w:t>
            </w:r>
          </w:p>
        </w:tc>
        <w:tc>
          <w:tcPr>
            <w:tcW w:w="0" w:type="auto"/>
            <w:tcBorders>
              <w:top w:val="nil"/>
              <w:left w:val="nil"/>
              <w:bottom w:val="single" w:sz="4" w:space="0" w:color="auto"/>
              <w:right w:val="nil"/>
            </w:tcBorders>
            <w:noWrap/>
            <w:vAlign w:val="center"/>
            <w:hideMark/>
          </w:tcPr>
          <w:p w14:paraId="4B7C26A4" w14:textId="77777777" w:rsidR="000B2BAC" w:rsidRPr="00E016A0" w:rsidRDefault="000B2BAC" w:rsidP="00E016A0">
            <w:pPr>
              <w:widowControl/>
              <w:spacing w:line="180" w:lineRule="exact"/>
              <w:jc w:val="left"/>
              <w:rPr>
                <w:rFonts w:eastAsia="Times New Roman"/>
                <w:color w:val="000000"/>
                <w:kern w:val="0"/>
                <w:sz w:val="18"/>
                <w:szCs w:val="18"/>
                <w:lang w:val="en-GB"/>
              </w:rPr>
            </w:pPr>
            <w:r w:rsidRPr="00E016A0">
              <w:rPr>
                <w:rFonts w:eastAsia="Times New Roman"/>
                <w:color w:val="000000"/>
                <w:kern w:val="0"/>
                <w:sz w:val="18"/>
                <w:szCs w:val="18"/>
                <w:lang w:val="en-GB"/>
              </w:rPr>
              <w:t> </w:t>
            </w:r>
          </w:p>
        </w:tc>
        <w:tc>
          <w:tcPr>
            <w:tcW w:w="0" w:type="auto"/>
            <w:gridSpan w:val="2"/>
            <w:tcBorders>
              <w:top w:val="nil"/>
              <w:left w:val="nil"/>
              <w:bottom w:val="single" w:sz="4" w:space="0" w:color="auto"/>
              <w:right w:val="nil"/>
            </w:tcBorders>
            <w:noWrap/>
            <w:vAlign w:val="center"/>
            <w:hideMark/>
          </w:tcPr>
          <w:p w14:paraId="74E33D8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 Deviation from baseline</w:t>
            </w:r>
          </w:p>
        </w:tc>
        <w:tc>
          <w:tcPr>
            <w:tcW w:w="0" w:type="auto"/>
            <w:gridSpan w:val="2"/>
            <w:tcBorders>
              <w:top w:val="nil"/>
              <w:left w:val="nil"/>
              <w:bottom w:val="single" w:sz="4" w:space="0" w:color="auto"/>
              <w:right w:val="nil"/>
            </w:tcBorders>
            <w:noWrap/>
            <w:vAlign w:val="center"/>
            <w:hideMark/>
          </w:tcPr>
          <w:p w14:paraId="4CBBC5E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 Deviation from baseline</w:t>
            </w:r>
          </w:p>
        </w:tc>
      </w:tr>
      <w:tr w:rsidR="000B2BAC" w:rsidRPr="00353AE1" w14:paraId="25FD6E73"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7E98821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GSP</w:t>
            </w:r>
          </w:p>
        </w:tc>
        <w:tc>
          <w:tcPr>
            <w:tcW w:w="0" w:type="auto"/>
            <w:tcBorders>
              <w:top w:val="nil"/>
              <w:left w:val="nil"/>
              <w:bottom w:val="nil"/>
              <w:right w:val="nil"/>
            </w:tcBorders>
            <w:noWrap/>
            <w:vAlign w:val="center"/>
            <w:hideMark/>
          </w:tcPr>
          <w:p w14:paraId="3BC4402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72DE7CE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5C6B58A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1D33EBB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BE75D9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4FCC4E36" w14:textId="77777777" w:rsidTr="00E016A0">
        <w:trPr>
          <w:trHeight w:val="227"/>
          <w:jc w:val="center"/>
        </w:trPr>
        <w:tc>
          <w:tcPr>
            <w:tcW w:w="0" w:type="auto"/>
            <w:vMerge/>
            <w:tcBorders>
              <w:top w:val="nil"/>
              <w:left w:val="nil"/>
              <w:bottom w:val="single" w:sz="4" w:space="0" w:color="000000"/>
              <w:right w:val="nil"/>
            </w:tcBorders>
            <w:vAlign w:val="center"/>
            <w:hideMark/>
          </w:tcPr>
          <w:p w14:paraId="0683057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B75C8A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20A066E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4498352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1E3B404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21EB9D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28C8ED01" w14:textId="77777777" w:rsidTr="00E016A0">
        <w:trPr>
          <w:trHeight w:val="227"/>
          <w:jc w:val="center"/>
        </w:trPr>
        <w:tc>
          <w:tcPr>
            <w:tcW w:w="0" w:type="auto"/>
            <w:vMerge/>
            <w:tcBorders>
              <w:top w:val="nil"/>
              <w:left w:val="nil"/>
              <w:bottom w:val="single" w:sz="4" w:space="0" w:color="000000"/>
              <w:right w:val="nil"/>
            </w:tcBorders>
            <w:vAlign w:val="center"/>
            <w:hideMark/>
          </w:tcPr>
          <w:p w14:paraId="6BE1570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ED50A4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0DF8122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00DCF2C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0.12</w:t>
            </w:r>
          </w:p>
        </w:tc>
        <w:tc>
          <w:tcPr>
            <w:tcW w:w="0" w:type="auto"/>
            <w:tcBorders>
              <w:top w:val="nil"/>
              <w:left w:val="nil"/>
              <w:bottom w:val="nil"/>
              <w:right w:val="nil"/>
            </w:tcBorders>
            <w:noWrap/>
            <w:vAlign w:val="center"/>
            <w:hideMark/>
          </w:tcPr>
          <w:p w14:paraId="375B88C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4D9A054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0B2BAC" w:rsidRPr="00353AE1" w14:paraId="07EE77E5" w14:textId="77777777" w:rsidTr="00E016A0">
        <w:trPr>
          <w:trHeight w:val="227"/>
          <w:jc w:val="center"/>
        </w:trPr>
        <w:tc>
          <w:tcPr>
            <w:tcW w:w="0" w:type="auto"/>
            <w:vMerge/>
            <w:tcBorders>
              <w:top w:val="nil"/>
              <w:left w:val="nil"/>
              <w:bottom w:val="single" w:sz="4" w:space="0" w:color="000000"/>
              <w:right w:val="nil"/>
            </w:tcBorders>
            <w:vAlign w:val="center"/>
            <w:hideMark/>
          </w:tcPr>
          <w:p w14:paraId="3F38F709"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769EC8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05A41C9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nil"/>
              <w:right w:val="nil"/>
            </w:tcBorders>
            <w:noWrap/>
            <w:vAlign w:val="center"/>
            <w:hideMark/>
          </w:tcPr>
          <w:p w14:paraId="03E87D2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nil"/>
              <w:right w:val="nil"/>
            </w:tcBorders>
            <w:noWrap/>
            <w:vAlign w:val="center"/>
            <w:hideMark/>
          </w:tcPr>
          <w:p w14:paraId="09162DE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32EB4CC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0B2BAC" w:rsidRPr="00353AE1" w14:paraId="66E5FC74" w14:textId="77777777" w:rsidTr="00E016A0">
        <w:trPr>
          <w:trHeight w:val="227"/>
          <w:jc w:val="center"/>
        </w:trPr>
        <w:tc>
          <w:tcPr>
            <w:tcW w:w="0" w:type="auto"/>
            <w:vMerge/>
            <w:tcBorders>
              <w:top w:val="nil"/>
              <w:left w:val="nil"/>
              <w:bottom w:val="single" w:sz="4" w:space="0" w:color="000000"/>
              <w:right w:val="nil"/>
            </w:tcBorders>
            <w:vAlign w:val="center"/>
            <w:hideMark/>
          </w:tcPr>
          <w:p w14:paraId="627A45BC"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7D22A5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24AE4A4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nil"/>
              <w:right w:val="nil"/>
            </w:tcBorders>
            <w:noWrap/>
            <w:vAlign w:val="center"/>
            <w:hideMark/>
          </w:tcPr>
          <w:p w14:paraId="4D64725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0.22</w:t>
            </w:r>
          </w:p>
        </w:tc>
        <w:tc>
          <w:tcPr>
            <w:tcW w:w="0" w:type="auto"/>
            <w:tcBorders>
              <w:top w:val="nil"/>
              <w:left w:val="nil"/>
              <w:bottom w:val="nil"/>
              <w:right w:val="nil"/>
            </w:tcBorders>
            <w:noWrap/>
            <w:vAlign w:val="center"/>
            <w:hideMark/>
          </w:tcPr>
          <w:p w14:paraId="21843B3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68DFA5B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r>
      <w:tr w:rsidR="000B2BAC" w:rsidRPr="00353AE1" w14:paraId="3FEA35D1" w14:textId="77777777" w:rsidTr="00E016A0">
        <w:trPr>
          <w:trHeight w:val="227"/>
          <w:jc w:val="center"/>
        </w:trPr>
        <w:tc>
          <w:tcPr>
            <w:tcW w:w="0" w:type="auto"/>
            <w:vMerge/>
            <w:tcBorders>
              <w:top w:val="nil"/>
              <w:left w:val="nil"/>
              <w:bottom w:val="single" w:sz="4" w:space="0" w:color="000000"/>
              <w:right w:val="nil"/>
            </w:tcBorders>
            <w:vAlign w:val="center"/>
            <w:hideMark/>
          </w:tcPr>
          <w:p w14:paraId="2012E235"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0F7CCC9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41C1A5A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single" w:sz="4" w:space="0" w:color="auto"/>
              <w:right w:val="nil"/>
            </w:tcBorders>
            <w:noWrap/>
            <w:vAlign w:val="center"/>
            <w:hideMark/>
          </w:tcPr>
          <w:p w14:paraId="3CFDE27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single" w:sz="4" w:space="0" w:color="auto"/>
              <w:right w:val="nil"/>
            </w:tcBorders>
            <w:noWrap/>
            <w:vAlign w:val="center"/>
            <w:hideMark/>
          </w:tcPr>
          <w:p w14:paraId="72E602C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single" w:sz="4" w:space="0" w:color="auto"/>
              <w:right w:val="nil"/>
            </w:tcBorders>
            <w:noWrap/>
            <w:vAlign w:val="center"/>
            <w:hideMark/>
          </w:tcPr>
          <w:p w14:paraId="7D04E5A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r>
      <w:tr w:rsidR="000B2BAC" w:rsidRPr="00353AE1" w14:paraId="012BF8B1"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171F752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household consumption</w:t>
            </w:r>
          </w:p>
        </w:tc>
        <w:tc>
          <w:tcPr>
            <w:tcW w:w="0" w:type="auto"/>
            <w:tcBorders>
              <w:top w:val="nil"/>
              <w:left w:val="nil"/>
              <w:bottom w:val="nil"/>
              <w:right w:val="nil"/>
            </w:tcBorders>
            <w:noWrap/>
            <w:vAlign w:val="center"/>
            <w:hideMark/>
          </w:tcPr>
          <w:p w14:paraId="2CDE5E6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69D7FA8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1DB2922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669D300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3748DBF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49F36CBA" w14:textId="77777777" w:rsidTr="00E016A0">
        <w:trPr>
          <w:trHeight w:val="227"/>
          <w:jc w:val="center"/>
        </w:trPr>
        <w:tc>
          <w:tcPr>
            <w:tcW w:w="0" w:type="auto"/>
            <w:vMerge/>
            <w:tcBorders>
              <w:top w:val="nil"/>
              <w:left w:val="nil"/>
              <w:bottom w:val="single" w:sz="4" w:space="0" w:color="000000"/>
              <w:right w:val="nil"/>
            </w:tcBorders>
            <w:vAlign w:val="center"/>
            <w:hideMark/>
          </w:tcPr>
          <w:p w14:paraId="0EF03CE0"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15C150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34A0512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0555201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2DBBE96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1CF6FA7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43D18EDD" w14:textId="77777777" w:rsidTr="00E016A0">
        <w:trPr>
          <w:trHeight w:val="227"/>
          <w:jc w:val="center"/>
        </w:trPr>
        <w:tc>
          <w:tcPr>
            <w:tcW w:w="0" w:type="auto"/>
            <w:vMerge/>
            <w:tcBorders>
              <w:top w:val="nil"/>
              <w:left w:val="nil"/>
              <w:bottom w:val="single" w:sz="4" w:space="0" w:color="000000"/>
              <w:right w:val="nil"/>
            </w:tcBorders>
            <w:vAlign w:val="center"/>
            <w:hideMark/>
          </w:tcPr>
          <w:p w14:paraId="1A9EF453"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F0FE0B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7F2D31D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03DDB8A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6C01DDA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1EA1E4C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419421CD" w14:textId="77777777" w:rsidTr="00E016A0">
        <w:trPr>
          <w:trHeight w:val="227"/>
          <w:jc w:val="center"/>
        </w:trPr>
        <w:tc>
          <w:tcPr>
            <w:tcW w:w="0" w:type="auto"/>
            <w:vMerge/>
            <w:tcBorders>
              <w:top w:val="nil"/>
              <w:left w:val="nil"/>
              <w:bottom w:val="single" w:sz="4" w:space="0" w:color="000000"/>
              <w:right w:val="nil"/>
            </w:tcBorders>
            <w:vAlign w:val="center"/>
            <w:hideMark/>
          </w:tcPr>
          <w:p w14:paraId="59628A74"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46659A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55897F5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16E7A84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502FFDB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5C263A3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300021CD" w14:textId="77777777" w:rsidTr="00E016A0">
        <w:trPr>
          <w:trHeight w:val="227"/>
          <w:jc w:val="center"/>
        </w:trPr>
        <w:tc>
          <w:tcPr>
            <w:tcW w:w="0" w:type="auto"/>
            <w:vMerge/>
            <w:tcBorders>
              <w:top w:val="nil"/>
              <w:left w:val="nil"/>
              <w:bottom w:val="single" w:sz="4" w:space="0" w:color="000000"/>
              <w:right w:val="nil"/>
            </w:tcBorders>
            <w:vAlign w:val="center"/>
            <w:hideMark/>
          </w:tcPr>
          <w:p w14:paraId="6AE19CCC"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C492A7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DEE972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5529AC7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0.13</w:t>
            </w:r>
          </w:p>
        </w:tc>
        <w:tc>
          <w:tcPr>
            <w:tcW w:w="0" w:type="auto"/>
            <w:tcBorders>
              <w:top w:val="nil"/>
              <w:left w:val="nil"/>
              <w:bottom w:val="nil"/>
              <w:right w:val="nil"/>
            </w:tcBorders>
            <w:noWrap/>
            <w:vAlign w:val="center"/>
            <w:hideMark/>
          </w:tcPr>
          <w:p w14:paraId="3ACAA11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0A92778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0B2BAC" w:rsidRPr="00353AE1" w14:paraId="32F50D3D" w14:textId="77777777" w:rsidTr="00E016A0">
        <w:trPr>
          <w:trHeight w:val="227"/>
          <w:jc w:val="center"/>
        </w:trPr>
        <w:tc>
          <w:tcPr>
            <w:tcW w:w="0" w:type="auto"/>
            <w:vMerge/>
            <w:tcBorders>
              <w:top w:val="nil"/>
              <w:left w:val="nil"/>
              <w:bottom w:val="single" w:sz="4" w:space="0" w:color="000000"/>
              <w:right w:val="nil"/>
            </w:tcBorders>
            <w:vAlign w:val="center"/>
            <w:hideMark/>
          </w:tcPr>
          <w:p w14:paraId="101D9250"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5982BC8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0788AE5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single" w:sz="4" w:space="0" w:color="auto"/>
              <w:right w:val="nil"/>
            </w:tcBorders>
            <w:noWrap/>
            <w:vAlign w:val="center"/>
            <w:hideMark/>
          </w:tcPr>
          <w:p w14:paraId="2194104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single" w:sz="4" w:space="0" w:color="auto"/>
              <w:right w:val="nil"/>
            </w:tcBorders>
            <w:noWrap/>
            <w:vAlign w:val="center"/>
            <w:hideMark/>
          </w:tcPr>
          <w:p w14:paraId="484125C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0652D65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5F6E3719"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7E09A3E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investment</w:t>
            </w:r>
          </w:p>
        </w:tc>
        <w:tc>
          <w:tcPr>
            <w:tcW w:w="0" w:type="auto"/>
            <w:tcBorders>
              <w:top w:val="nil"/>
              <w:left w:val="nil"/>
              <w:bottom w:val="nil"/>
              <w:right w:val="nil"/>
            </w:tcBorders>
            <w:noWrap/>
            <w:vAlign w:val="center"/>
            <w:hideMark/>
          </w:tcPr>
          <w:p w14:paraId="52E14DA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286CC1D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F54CAC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22F3987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62E0B2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1D044EAF" w14:textId="77777777" w:rsidTr="00E016A0">
        <w:trPr>
          <w:trHeight w:val="227"/>
          <w:jc w:val="center"/>
        </w:trPr>
        <w:tc>
          <w:tcPr>
            <w:tcW w:w="0" w:type="auto"/>
            <w:vMerge/>
            <w:tcBorders>
              <w:top w:val="nil"/>
              <w:left w:val="nil"/>
              <w:bottom w:val="single" w:sz="4" w:space="0" w:color="000000"/>
              <w:right w:val="nil"/>
            </w:tcBorders>
            <w:vAlign w:val="center"/>
            <w:hideMark/>
          </w:tcPr>
          <w:p w14:paraId="22449DD0"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D67055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344486B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43F1D9F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3044131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3E9CB62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651C642F" w14:textId="77777777" w:rsidTr="00E016A0">
        <w:trPr>
          <w:trHeight w:val="227"/>
          <w:jc w:val="center"/>
        </w:trPr>
        <w:tc>
          <w:tcPr>
            <w:tcW w:w="0" w:type="auto"/>
            <w:vMerge/>
            <w:tcBorders>
              <w:top w:val="nil"/>
              <w:left w:val="nil"/>
              <w:bottom w:val="single" w:sz="4" w:space="0" w:color="000000"/>
              <w:right w:val="nil"/>
            </w:tcBorders>
            <w:vAlign w:val="center"/>
            <w:hideMark/>
          </w:tcPr>
          <w:p w14:paraId="494B4D9D"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8ED692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76E81DA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41C6DF7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0576E66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3D724DB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69EC034C" w14:textId="77777777" w:rsidTr="00E016A0">
        <w:trPr>
          <w:trHeight w:val="227"/>
          <w:jc w:val="center"/>
        </w:trPr>
        <w:tc>
          <w:tcPr>
            <w:tcW w:w="0" w:type="auto"/>
            <w:vMerge/>
            <w:tcBorders>
              <w:top w:val="nil"/>
              <w:left w:val="nil"/>
              <w:bottom w:val="single" w:sz="4" w:space="0" w:color="000000"/>
              <w:right w:val="nil"/>
            </w:tcBorders>
            <w:vAlign w:val="center"/>
            <w:hideMark/>
          </w:tcPr>
          <w:p w14:paraId="0D3C3ED6"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B43507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4072ABF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0A3BE83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374761E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4883233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2E1DE70D" w14:textId="77777777" w:rsidTr="00E016A0">
        <w:trPr>
          <w:trHeight w:val="227"/>
          <w:jc w:val="center"/>
        </w:trPr>
        <w:tc>
          <w:tcPr>
            <w:tcW w:w="0" w:type="auto"/>
            <w:vMerge/>
            <w:tcBorders>
              <w:top w:val="nil"/>
              <w:left w:val="nil"/>
              <w:bottom w:val="single" w:sz="4" w:space="0" w:color="000000"/>
              <w:right w:val="nil"/>
            </w:tcBorders>
            <w:vAlign w:val="center"/>
            <w:hideMark/>
          </w:tcPr>
          <w:p w14:paraId="1E476B87"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4F4E99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32B3287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1E25384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nil"/>
              <w:right w:val="nil"/>
            </w:tcBorders>
            <w:noWrap/>
            <w:vAlign w:val="center"/>
            <w:hideMark/>
          </w:tcPr>
          <w:p w14:paraId="14EDA33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7B9C16A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r>
      <w:tr w:rsidR="000B2BAC" w:rsidRPr="00353AE1" w14:paraId="31AA213E" w14:textId="77777777" w:rsidTr="00E016A0">
        <w:trPr>
          <w:trHeight w:val="227"/>
          <w:jc w:val="center"/>
        </w:trPr>
        <w:tc>
          <w:tcPr>
            <w:tcW w:w="0" w:type="auto"/>
            <w:vMerge/>
            <w:tcBorders>
              <w:top w:val="nil"/>
              <w:left w:val="nil"/>
              <w:bottom w:val="single" w:sz="4" w:space="0" w:color="000000"/>
              <w:right w:val="nil"/>
            </w:tcBorders>
            <w:vAlign w:val="center"/>
            <w:hideMark/>
          </w:tcPr>
          <w:p w14:paraId="4C35A43B"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40EA425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600452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0.09</w:t>
            </w:r>
          </w:p>
        </w:tc>
        <w:tc>
          <w:tcPr>
            <w:tcW w:w="0" w:type="auto"/>
            <w:tcBorders>
              <w:top w:val="nil"/>
              <w:left w:val="nil"/>
              <w:bottom w:val="single" w:sz="4" w:space="0" w:color="auto"/>
              <w:right w:val="nil"/>
            </w:tcBorders>
            <w:noWrap/>
            <w:vAlign w:val="center"/>
            <w:hideMark/>
          </w:tcPr>
          <w:p w14:paraId="03697D1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0.09</w:t>
            </w:r>
          </w:p>
        </w:tc>
        <w:tc>
          <w:tcPr>
            <w:tcW w:w="0" w:type="auto"/>
            <w:tcBorders>
              <w:top w:val="nil"/>
              <w:left w:val="nil"/>
              <w:bottom w:val="single" w:sz="4" w:space="0" w:color="auto"/>
              <w:right w:val="nil"/>
            </w:tcBorders>
            <w:noWrap/>
            <w:vAlign w:val="center"/>
            <w:hideMark/>
          </w:tcPr>
          <w:p w14:paraId="00F10E3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single" w:sz="4" w:space="0" w:color="auto"/>
              <w:right w:val="nil"/>
            </w:tcBorders>
            <w:noWrap/>
            <w:vAlign w:val="center"/>
            <w:hideMark/>
          </w:tcPr>
          <w:p w14:paraId="3ABAF73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0B2BAC" w:rsidRPr="00353AE1" w14:paraId="5A9C4A74"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66CA11ED" w14:textId="476DE7AC"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 xml:space="preserve">Export </w:t>
            </w:r>
            <w:r w:rsidR="00B455E2" w:rsidRPr="00353AE1">
              <w:rPr>
                <w:rFonts w:eastAsia="Times New Roman"/>
                <w:color w:val="000000"/>
                <w:kern w:val="0"/>
                <w:sz w:val="18"/>
                <w:szCs w:val="18"/>
                <w:lang w:val="en-GB"/>
              </w:rPr>
              <w:t>volume</w:t>
            </w:r>
          </w:p>
        </w:tc>
        <w:tc>
          <w:tcPr>
            <w:tcW w:w="0" w:type="auto"/>
            <w:tcBorders>
              <w:top w:val="nil"/>
              <w:left w:val="nil"/>
              <w:bottom w:val="nil"/>
              <w:right w:val="nil"/>
            </w:tcBorders>
            <w:noWrap/>
            <w:vAlign w:val="center"/>
            <w:hideMark/>
          </w:tcPr>
          <w:p w14:paraId="711E991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3DE4326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66F00B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1B7B887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D2FB76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261BEE69" w14:textId="77777777" w:rsidTr="00E016A0">
        <w:trPr>
          <w:trHeight w:val="227"/>
          <w:jc w:val="center"/>
        </w:trPr>
        <w:tc>
          <w:tcPr>
            <w:tcW w:w="0" w:type="auto"/>
            <w:vMerge/>
            <w:tcBorders>
              <w:top w:val="nil"/>
              <w:left w:val="nil"/>
              <w:bottom w:val="single" w:sz="4" w:space="0" w:color="000000"/>
              <w:right w:val="nil"/>
            </w:tcBorders>
            <w:vAlign w:val="center"/>
            <w:hideMark/>
          </w:tcPr>
          <w:p w14:paraId="38E1222D"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FE8F09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16638FD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0.14</w:t>
            </w:r>
          </w:p>
        </w:tc>
        <w:tc>
          <w:tcPr>
            <w:tcW w:w="0" w:type="auto"/>
            <w:tcBorders>
              <w:top w:val="nil"/>
              <w:left w:val="nil"/>
              <w:bottom w:val="nil"/>
              <w:right w:val="nil"/>
            </w:tcBorders>
            <w:noWrap/>
            <w:vAlign w:val="center"/>
            <w:hideMark/>
          </w:tcPr>
          <w:p w14:paraId="049174D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0.14</w:t>
            </w:r>
          </w:p>
        </w:tc>
        <w:tc>
          <w:tcPr>
            <w:tcW w:w="0" w:type="auto"/>
            <w:tcBorders>
              <w:top w:val="nil"/>
              <w:left w:val="nil"/>
              <w:bottom w:val="nil"/>
              <w:right w:val="nil"/>
            </w:tcBorders>
            <w:noWrap/>
            <w:vAlign w:val="center"/>
            <w:hideMark/>
          </w:tcPr>
          <w:p w14:paraId="5B3CE24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49C1AD2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0B2BAC" w:rsidRPr="00353AE1" w14:paraId="4E337149" w14:textId="77777777" w:rsidTr="00E016A0">
        <w:trPr>
          <w:trHeight w:val="227"/>
          <w:jc w:val="center"/>
        </w:trPr>
        <w:tc>
          <w:tcPr>
            <w:tcW w:w="0" w:type="auto"/>
            <w:vMerge/>
            <w:tcBorders>
              <w:top w:val="nil"/>
              <w:left w:val="nil"/>
              <w:bottom w:val="single" w:sz="4" w:space="0" w:color="000000"/>
              <w:right w:val="nil"/>
            </w:tcBorders>
            <w:vAlign w:val="center"/>
            <w:hideMark/>
          </w:tcPr>
          <w:p w14:paraId="1895EBB1"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A7FABF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1EF4BAD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2DB1502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065BE36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0E2F78A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0B2BAC" w:rsidRPr="00353AE1" w14:paraId="7E523734" w14:textId="77777777" w:rsidTr="00E016A0">
        <w:trPr>
          <w:trHeight w:val="227"/>
          <w:jc w:val="center"/>
        </w:trPr>
        <w:tc>
          <w:tcPr>
            <w:tcW w:w="0" w:type="auto"/>
            <w:vMerge/>
            <w:tcBorders>
              <w:top w:val="nil"/>
              <w:left w:val="nil"/>
              <w:bottom w:val="single" w:sz="4" w:space="0" w:color="000000"/>
              <w:right w:val="nil"/>
            </w:tcBorders>
            <w:vAlign w:val="center"/>
            <w:hideMark/>
          </w:tcPr>
          <w:p w14:paraId="268DCB39"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8BA0B0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04468DD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0.36</w:t>
            </w:r>
          </w:p>
        </w:tc>
        <w:tc>
          <w:tcPr>
            <w:tcW w:w="0" w:type="auto"/>
            <w:tcBorders>
              <w:top w:val="nil"/>
              <w:left w:val="nil"/>
              <w:bottom w:val="nil"/>
              <w:right w:val="nil"/>
            </w:tcBorders>
            <w:noWrap/>
            <w:vAlign w:val="center"/>
            <w:hideMark/>
          </w:tcPr>
          <w:p w14:paraId="21BB8F8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0.39</w:t>
            </w:r>
          </w:p>
        </w:tc>
        <w:tc>
          <w:tcPr>
            <w:tcW w:w="0" w:type="auto"/>
            <w:tcBorders>
              <w:top w:val="nil"/>
              <w:left w:val="nil"/>
              <w:bottom w:val="nil"/>
              <w:right w:val="nil"/>
            </w:tcBorders>
            <w:noWrap/>
            <w:vAlign w:val="center"/>
            <w:hideMark/>
          </w:tcPr>
          <w:p w14:paraId="337EDB0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24A58E5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0.12</w:t>
            </w:r>
          </w:p>
        </w:tc>
      </w:tr>
      <w:tr w:rsidR="000B2BAC" w:rsidRPr="00353AE1" w14:paraId="0A72636C" w14:textId="77777777" w:rsidTr="00E016A0">
        <w:trPr>
          <w:trHeight w:val="227"/>
          <w:jc w:val="center"/>
        </w:trPr>
        <w:tc>
          <w:tcPr>
            <w:tcW w:w="0" w:type="auto"/>
            <w:vMerge/>
            <w:tcBorders>
              <w:top w:val="nil"/>
              <w:left w:val="nil"/>
              <w:bottom w:val="single" w:sz="4" w:space="0" w:color="000000"/>
              <w:right w:val="nil"/>
            </w:tcBorders>
            <w:vAlign w:val="center"/>
            <w:hideMark/>
          </w:tcPr>
          <w:p w14:paraId="331CCE69"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73276A2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A21775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0.48</w:t>
            </w:r>
          </w:p>
        </w:tc>
        <w:tc>
          <w:tcPr>
            <w:tcW w:w="0" w:type="auto"/>
            <w:tcBorders>
              <w:top w:val="nil"/>
              <w:left w:val="nil"/>
              <w:bottom w:val="nil"/>
              <w:right w:val="nil"/>
            </w:tcBorders>
            <w:noWrap/>
            <w:vAlign w:val="center"/>
            <w:hideMark/>
          </w:tcPr>
          <w:p w14:paraId="00EB748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0.51</w:t>
            </w:r>
          </w:p>
        </w:tc>
        <w:tc>
          <w:tcPr>
            <w:tcW w:w="0" w:type="auto"/>
            <w:tcBorders>
              <w:top w:val="nil"/>
              <w:left w:val="nil"/>
              <w:bottom w:val="nil"/>
              <w:right w:val="nil"/>
            </w:tcBorders>
            <w:noWrap/>
            <w:vAlign w:val="center"/>
            <w:hideMark/>
          </w:tcPr>
          <w:p w14:paraId="63E1726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nil"/>
              <w:right w:val="nil"/>
            </w:tcBorders>
            <w:noWrap/>
            <w:vAlign w:val="center"/>
            <w:hideMark/>
          </w:tcPr>
          <w:p w14:paraId="5AEE7E5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0.16</w:t>
            </w:r>
          </w:p>
        </w:tc>
      </w:tr>
      <w:tr w:rsidR="000B2BAC" w:rsidRPr="00353AE1" w14:paraId="0187CCE7" w14:textId="77777777" w:rsidTr="00E016A0">
        <w:trPr>
          <w:trHeight w:val="227"/>
          <w:jc w:val="center"/>
        </w:trPr>
        <w:tc>
          <w:tcPr>
            <w:tcW w:w="0" w:type="auto"/>
            <w:vMerge/>
            <w:tcBorders>
              <w:top w:val="nil"/>
              <w:left w:val="nil"/>
              <w:bottom w:val="single" w:sz="4" w:space="0" w:color="000000"/>
              <w:right w:val="nil"/>
            </w:tcBorders>
            <w:vAlign w:val="center"/>
            <w:hideMark/>
          </w:tcPr>
          <w:p w14:paraId="615CCB19"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3FE8660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519E321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single" w:sz="4" w:space="0" w:color="auto"/>
              <w:right w:val="nil"/>
            </w:tcBorders>
            <w:noWrap/>
            <w:vAlign w:val="center"/>
            <w:hideMark/>
          </w:tcPr>
          <w:p w14:paraId="3CF4949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0.16</w:t>
            </w:r>
          </w:p>
        </w:tc>
        <w:tc>
          <w:tcPr>
            <w:tcW w:w="0" w:type="auto"/>
            <w:tcBorders>
              <w:top w:val="nil"/>
              <w:left w:val="nil"/>
              <w:bottom w:val="single" w:sz="4" w:space="0" w:color="auto"/>
              <w:right w:val="nil"/>
            </w:tcBorders>
            <w:noWrap/>
            <w:vAlign w:val="center"/>
            <w:hideMark/>
          </w:tcPr>
          <w:p w14:paraId="0DF6395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single" w:sz="4" w:space="0" w:color="auto"/>
              <w:right w:val="nil"/>
            </w:tcBorders>
            <w:noWrap/>
            <w:vAlign w:val="center"/>
            <w:hideMark/>
          </w:tcPr>
          <w:p w14:paraId="3A0233B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r>
      <w:tr w:rsidR="000B2BAC" w:rsidRPr="00353AE1" w14:paraId="765EDB08"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51CC7B5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Employment (person)</w:t>
            </w:r>
          </w:p>
        </w:tc>
        <w:tc>
          <w:tcPr>
            <w:tcW w:w="0" w:type="auto"/>
            <w:tcBorders>
              <w:top w:val="nil"/>
              <w:left w:val="nil"/>
              <w:bottom w:val="nil"/>
              <w:right w:val="nil"/>
            </w:tcBorders>
            <w:noWrap/>
            <w:vAlign w:val="center"/>
            <w:hideMark/>
          </w:tcPr>
          <w:p w14:paraId="2CA4355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329DFD4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720B587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384F050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4A81F34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0519879D" w14:textId="77777777" w:rsidTr="00E016A0">
        <w:trPr>
          <w:trHeight w:val="227"/>
          <w:jc w:val="center"/>
        </w:trPr>
        <w:tc>
          <w:tcPr>
            <w:tcW w:w="0" w:type="auto"/>
            <w:vMerge/>
            <w:tcBorders>
              <w:top w:val="nil"/>
              <w:left w:val="nil"/>
              <w:bottom w:val="single" w:sz="4" w:space="0" w:color="000000"/>
              <w:right w:val="nil"/>
            </w:tcBorders>
            <w:vAlign w:val="center"/>
            <w:hideMark/>
          </w:tcPr>
          <w:p w14:paraId="3005C5DB"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884377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33502F4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2631FA2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66576C3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42DF219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3A183F1A" w14:textId="77777777" w:rsidTr="00E016A0">
        <w:trPr>
          <w:trHeight w:val="227"/>
          <w:jc w:val="center"/>
        </w:trPr>
        <w:tc>
          <w:tcPr>
            <w:tcW w:w="0" w:type="auto"/>
            <w:vMerge/>
            <w:tcBorders>
              <w:top w:val="nil"/>
              <w:left w:val="nil"/>
              <w:bottom w:val="single" w:sz="4" w:space="0" w:color="000000"/>
              <w:right w:val="nil"/>
            </w:tcBorders>
            <w:vAlign w:val="center"/>
            <w:hideMark/>
          </w:tcPr>
          <w:p w14:paraId="3F744403"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A6206D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4DAD91E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16C3AB1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6B87F04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5919492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14834245" w14:textId="77777777" w:rsidTr="00E016A0">
        <w:trPr>
          <w:trHeight w:val="227"/>
          <w:jc w:val="center"/>
        </w:trPr>
        <w:tc>
          <w:tcPr>
            <w:tcW w:w="0" w:type="auto"/>
            <w:vMerge/>
            <w:tcBorders>
              <w:top w:val="nil"/>
              <w:left w:val="nil"/>
              <w:bottom w:val="single" w:sz="4" w:space="0" w:color="000000"/>
              <w:right w:val="nil"/>
            </w:tcBorders>
            <w:vAlign w:val="center"/>
            <w:hideMark/>
          </w:tcPr>
          <w:p w14:paraId="4F398B6E"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DA6E3A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3677B48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2955E12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5EAC93C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1DAD182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6DD45E14" w14:textId="77777777" w:rsidTr="00E016A0">
        <w:trPr>
          <w:trHeight w:val="227"/>
          <w:jc w:val="center"/>
        </w:trPr>
        <w:tc>
          <w:tcPr>
            <w:tcW w:w="0" w:type="auto"/>
            <w:vMerge/>
            <w:tcBorders>
              <w:top w:val="nil"/>
              <w:left w:val="nil"/>
              <w:bottom w:val="single" w:sz="4" w:space="0" w:color="000000"/>
              <w:right w:val="nil"/>
            </w:tcBorders>
            <w:vAlign w:val="center"/>
            <w:hideMark/>
          </w:tcPr>
          <w:p w14:paraId="0A91FED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1DEAA40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DA24D5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0.13</w:t>
            </w:r>
          </w:p>
        </w:tc>
        <w:tc>
          <w:tcPr>
            <w:tcW w:w="0" w:type="auto"/>
            <w:tcBorders>
              <w:top w:val="nil"/>
              <w:left w:val="nil"/>
              <w:bottom w:val="nil"/>
              <w:right w:val="nil"/>
            </w:tcBorders>
            <w:noWrap/>
            <w:vAlign w:val="center"/>
            <w:hideMark/>
          </w:tcPr>
          <w:p w14:paraId="667D1AE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0.19</w:t>
            </w:r>
          </w:p>
        </w:tc>
        <w:tc>
          <w:tcPr>
            <w:tcW w:w="0" w:type="auto"/>
            <w:tcBorders>
              <w:top w:val="nil"/>
              <w:left w:val="nil"/>
              <w:bottom w:val="nil"/>
              <w:right w:val="nil"/>
            </w:tcBorders>
            <w:noWrap/>
            <w:vAlign w:val="center"/>
            <w:hideMark/>
          </w:tcPr>
          <w:p w14:paraId="687E012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44FE60C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r>
      <w:tr w:rsidR="000B2BAC" w:rsidRPr="00353AE1" w14:paraId="2DFAE707" w14:textId="77777777" w:rsidTr="00E016A0">
        <w:trPr>
          <w:trHeight w:val="227"/>
          <w:jc w:val="center"/>
        </w:trPr>
        <w:tc>
          <w:tcPr>
            <w:tcW w:w="0" w:type="auto"/>
            <w:vMerge/>
            <w:tcBorders>
              <w:top w:val="nil"/>
              <w:left w:val="nil"/>
              <w:bottom w:val="single" w:sz="4" w:space="0" w:color="000000"/>
              <w:right w:val="nil"/>
            </w:tcBorders>
            <w:vAlign w:val="center"/>
            <w:hideMark/>
          </w:tcPr>
          <w:p w14:paraId="072A1BA8"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7573AF3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215606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single" w:sz="4" w:space="0" w:color="auto"/>
              <w:right w:val="nil"/>
            </w:tcBorders>
            <w:noWrap/>
            <w:vAlign w:val="center"/>
            <w:hideMark/>
          </w:tcPr>
          <w:p w14:paraId="3920AC8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single" w:sz="4" w:space="0" w:color="auto"/>
              <w:right w:val="nil"/>
            </w:tcBorders>
            <w:noWrap/>
            <w:vAlign w:val="center"/>
            <w:hideMark/>
          </w:tcPr>
          <w:p w14:paraId="3587B82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32B03C0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6A72CC24"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0D7DCA4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Capital</w:t>
            </w:r>
          </w:p>
        </w:tc>
        <w:tc>
          <w:tcPr>
            <w:tcW w:w="0" w:type="auto"/>
            <w:tcBorders>
              <w:top w:val="nil"/>
              <w:left w:val="nil"/>
              <w:bottom w:val="nil"/>
              <w:right w:val="nil"/>
            </w:tcBorders>
            <w:noWrap/>
            <w:vAlign w:val="center"/>
            <w:hideMark/>
          </w:tcPr>
          <w:p w14:paraId="2DC55A9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0730013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7AB1F4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5ADAC1A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543F09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2D7A7DF5" w14:textId="77777777" w:rsidTr="00E016A0">
        <w:trPr>
          <w:trHeight w:val="227"/>
          <w:jc w:val="center"/>
        </w:trPr>
        <w:tc>
          <w:tcPr>
            <w:tcW w:w="0" w:type="auto"/>
            <w:vMerge/>
            <w:tcBorders>
              <w:top w:val="nil"/>
              <w:left w:val="nil"/>
              <w:bottom w:val="single" w:sz="4" w:space="0" w:color="000000"/>
              <w:right w:val="nil"/>
            </w:tcBorders>
            <w:vAlign w:val="center"/>
            <w:hideMark/>
          </w:tcPr>
          <w:p w14:paraId="510E6CC0"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16EDC4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0504E05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7202A7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18094F6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836E84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368C1088" w14:textId="77777777" w:rsidTr="00E016A0">
        <w:trPr>
          <w:trHeight w:val="227"/>
          <w:jc w:val="center"/>
        </w:trPr>
        <w:tc>
          <w:tcPr>
            <w:tcW w:w="0" w:type="auto"/>
            <w:vMerge/>
            <w:tcBorders>
              <w:top w:val="nil"/>
              <w:left w:val="nil"/>
              <w:bottom w:val="single" w:sz="4" w:space="0" w:color="000000"/>
              <w:right w:val="nil"/>
            </w:tcBorders>
            <w:vAlign w:val="center"/>
            <w:hideMark/>
          </w:tcPr>
          <w:p w14:paraId="4F3EEB62"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BD8DE1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09CD5A9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61865B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1101D1D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DDB710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0B2BAC" w:rsidRPr="00353AE1" w14:paraId="755825AE" w14:textId="77777777" w:rsidTr="00E016A0">
        <w:trPr>
          <w:trHeight w:val="227"/>
          <w:jc w:val="center"/>
        </w:trPr>
        <w:tc>
          <w:tcPr>
            <w:tcW w:w="0" w:type="auto"/>
            <w:vMerge/>
            <w:tcBorders>
              <w:top w:val="nil"/>
              <w:left w:val="nil"/>
              <w:bottom w:val="single" w:sz="4" w:space="0" w:color="000000"/>
              <w:right w:val="nil"/>
            </w:tcBorders>
            <w:vAlign w:val="center"/>
            <w:hideMark/>
          </w:tcPr>
          <w:p w14:paraId="3662F5F7"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D82E64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71C96B6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729B23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75A7E95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5AF68E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3057BAE5" w14:textId="77777777" w:rsidTr="00E016A0">
        <w:trPr>
          <w:trHeight w:val="227"/>
          <w:jc w:val="center"/>
        </w:trPr>
        <w:tc>
          <w:tcPr>
            <w:tcW w:w="0" w:type="auto"/>
            <w:vMerge/>
            <w:tcBorders>
              <w:top w:val="nil"/>
              <w:left w:val="nil"/>
              <w:bottom w:val="single" w:sz="4" w:space="0" w:color="000000"/>
              <w:right w:val="nil"/>
            </w:tcBorders>
            <w:vAlign w:val="center"/>
            <w:hideMark/>
          </w:tcPr>
          <w:p w14:paraId="51AA7427"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1336E46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3BE4C39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22F797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0253209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A155B2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0B2BAC" w:rsidRPr="00353AE1" w14:paraId="5194D4D5" w14:textId="77777777" w:rsidTr="00E016A0">
        <w:trPr>
          <w:trHeight w:val="227"/>
          <w:jc w:val="center"/>
        </w:trPr>
        <w:tc>
          <w:tcPr>
            <w:tcW w:w="0" w:type="auto"/>
            <w:vMerge/>
            <w:tcBorders>
              <w:top w:val="nil"/>
              <w:left w:val="nil"/>
              <w:bottom w:val="single" w:sz="4" w:space="0" w:color="000000"/>
              <w:right w:val="nil"/>
            </w:tcBorders>
            <w:vAlign w:val="center"/>
            <w:hideMark/>
          </w:tcPr>
          <w:p w14:paraId="30A9C31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7BAE831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0E8614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1DE98D5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single" w:sz="4" w:space="0" w:color="auto"/>
              <w:right w:val="nil"/>
            </w:tcBorders>
            <w:noWrap/>
            <w:vAlign w:val="center"/>
            <w:hideMark/>
          </w:tcPr>
          <w:p w14:paraId="23DFBEF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59ACB47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0B2BAC" w:rsidRPr="00353AE1" w14:paraId="529780EB" w14:textId="77777777" w:rsidTr="00E016A0">
        <w:trPr>
          <w:trHeight w:val="227"/>
          <w:jc w:val="center"/>
        </w:trPr>
        <w:tc>
          <w:tcPr>
            <w:tcW w:w="0" w:type="auto"/>
            <w:vMerge w:val="restart"/>
            <w:tcBorders>
              <w:top w:val="nil"/>
              <w:left w:val="nil"/>
              <w:bottom w:val="single" w:sz="4" w:space="0" w:color="000000"/>
              <w:right w:val="nil"/>
            </w:tcBorders>
            <w:noWrap/>
            <w:vAlign w:val="center"/>
            <w:hideMark/>
          </w:tcPr>
          <w:p w14:paraId="55B5DCC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Working population</w:t>
            </w:r>
          </w:p>
        </w:tc>
        <w:tc>
          <w:tcPr>
            <w:tcW w:w="0" w:type="auto"/>
            <w:tcBorders>
              <w:top w:val="nil"/>
              <w:left w:val="nil"/>
              <w:bottom w:val="nil"/>
              <w:right w:val="nil"/>
            </w:tcBorders>
            <w:noWrap/>
            <w:vAlign w:val="center"/>
            <w:hideMark/>
          </w:tcPr>
          <w:p w14:paraId="3CE3794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7DAFD74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DE3AE9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02AEB0C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2C1744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16463348" w14:textId="77777777" w:rsidTr="00E016A0">
        <w:trPr>
          <w:trHeight w:val="227"/>
          <w:jc w:val="center"/>
        </w:trPr>
        <w:tc>
          <w:tcPr>
            <w:tcW w:w="0" w:type="auto"/>
            <w:vMerge/>
            <w:tcBorders>
              <w:top w:val="nil"/>
              <w:left w:val="nil"/>
              <w:bottom w:val="single" w:sz="4" w:space="0" w:color="000000"/>
              <w:right w:val="nil"/>
            </w:tcBorders>
            <w:vAlign w:val="center"/>
            <w:hideMark/>
          </w:tcPr>
          <w:p w14:paraId="1939AB22"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466FB8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0DCC9BD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D83AEF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3FDB4EF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B70ED2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1A687929" w14:textId="77777777" w:rsidTr="00E016A0">
        <w:trPr>
          <w:trHeight w:val="227"/>
          <w:jc w:val="center"/>
        </w:trPr>
        <w:tc>
          <w:tcPr>
            <w:tcW w:w="0" w:type="auto"/>
            <w:vMerge/>
            <w:tcBorders>
              <w:top w:val="nil"/>
              <w:left w:val="nil"/>
              <w:bottom w:val="single" w:sz="4" w:space="0" w:color="000000"/>
              <w:right w:val="nil"/>
            </w:tcBorders>
            <w:vAlign w:val="center"/>
            <w:hideMark/>
          </w:tcPr>
          <w:p w14:paraId="1E2A0349"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CCCCED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6828580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EC63F1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4670205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69482B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7E6147C1" w14:textId="77777777" w:rsidTr="00E016A0">
        <w:trPr>
          <w:trHeight w:val="227"/>
          <w:jc w:val="center"/>
        </w:trPr>
        <w:tc>
          <w:tcPr>
            <w:tcW w:w="0" w:type="auto"/>
            <w:vMerge/>
            <w:tcBorders>
              <w:top w:val="nil"/>
              <w:left w:val="nil"/>
              <w:bottom w:val="single" w:sz="4" w:space="0" w:color="000000"/>
              <w:right w:val="nil"/>
            </w:tcBorders>
            <w:vAlign w:val="center"/>
            <w:hideMark/>
          </w:tcPr>
          <w:p w14:paraId="34FCCDF8"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176862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1B053E9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33EF81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1BFED3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AFBF13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41636582" w14:textId="77777777" w:rsidTr="00E016A0">
        <w:trPr>
          <w:trHeight w:val="227"/>
          <w:jc w:val="center"/>
        </w:trPr>
        <w:tc>
          <w:tcPr>
            <w:tcW w:w="0" w:type="auto"/>
            <w:vMerge/>
            <w:tcBorders>
              <w:top w:val="nil"/>
              <w:left w:val="nil"/>
              <w:bottom w:val="single" w:sz="4" w:space="0" w:color="000000"/>
              <w:right w:val="nil"/>
            </w:tcBorders>
            <w:vAlign w:val="center"/>
            <w:hideMark/>
          </w:tcPr>
          <w:p w14:paraId="750ABE95"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83E438E"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7B267F1"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24A5BB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0.18</w:t>
            </w:r>
          </w:p>
        </w:tc>
        <w:tc>
          <w:tcPr>
            <w:tcW w:w="0" w:type="auto"/>
            <w:tcBorders>
              <w:top w:val="nil"/>
              <w:left w:val="nil"/>
              <w:bottom w:val="nil"/>
              <w:right w:val="nil"/>
            </w:tcBorders>
            <w:noWrap/>
            <w:vAlign w:val="center"/>
            <w:hideMark/>
          </w:tcPr>
          <w:p w14:paraId="19AD938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300D11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r>
      <w:tr w:rsidR="000B2BAC" w:rsidRPr="00353AE1" w14:paraId="3D570A32" w14:textId="77777777" w:rsidTr="00E016A0">
        <w:trPr>
          <w:trHeight w:val="227"/>
          <w:jc w:val="center"/>
        </w:trPr>
        <w:tc>
          <w:tcPr>
            <w:tcW w:w="0" w:type="auto"/>
            <w:vMerge/>
            <w:tcBorders>
              <w:top w:val="nil"/>
              <w:left w:val="nil"/>
              <w:bottom w:val="single" w:sz="4" w:space="0" w:color="000000"/>
              <w:right w:val="nil"/>
            </w:tcBorders>
            <w:vAlign w:val="center"/>
            <w:hideMark/>
          </w:tcPr>
          <w:p w14:paraId="1D39FE80"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54E538E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8C5164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3BF3FD7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single" w:sz="4" w:space="0" w:color="auto"/>
              <w:right w:val="nil"/>
            </w:tcBorders>
            <w:noWrap/>
            <w:vAlign w:val="center"/>
            <w:hideMark/>
          </w:tcPr>
          <w:p w14:paraId="1A4F2163"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68C0891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0B2BAC" w:rsidRPr="00353AE1" w14:paraId="0C673EB1" w14:textId="77777777" w:rsidTr="00E016A0">
        <w:trPr>
          <w:trHeight w:val="227"/>
          <w:jc w:val="center"/>
        </w:trPr>
        <w:tc>
          <w:tcPr>
            <w:tcW w:w="0" w:type="auto"/>
            <w:tcBorders>
              <w:top w:val="nil"/>
              <w:left w:val="nil"/>
              <w:bottom w:val="nil"/>
              <w:right w:val="nil"/>
            </w:tcBorders>
            <w:noWrap/>
            <w:vAlign w:val="center"/>
            <w:hideMark/>
          </w:tcPr>
          <w:p w14:paraId="4F2F02C5" w14:textId="77777777" w:rsidR="000B2BAC" w:rsidRPr="00E016A0" w:rsidRDefault="000B2BAC" w:rsidP="00E016A0">
            <w:pPr>
              <w:widowControl/>
              <w:spacing w:line="180" w:lineRule="exact"/>
              <w:jc w:val="center"/>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598A1AE7" w14:textId="77777777" w:rsidR="000B2BAC" w:rsidRPr="00E016A0" w:rsidRDefault="000B2BAC" w:rsidP="00E016A0">
            <w:pPr>
              <w:widowControl/>
              <w:spacing w:line="180" w:lineRule="exact"/>
              <w:jc w:val="left"/>
              <w:rPr>
                <w:rFonts w:eastAsia="Times New Roman"/>
                <w:i/>
                <w:iCs/>
                <w:color w:val="000000"/>
                <w:kern w:val="0"/>
                <w:sz w:val="18"/>
                <w:szCs w:val="18"/>
                <w:lang w:val="en-GB"/>
              </w:rPr>
            </w:pPr>
            <w:r w:rsidRPr="00E016A0">
              <w:rPr>
                <w:rFonts w:eastAsia="Times New Roman"/>
                <w:i/>
                <w:iCs/>
                <w:color w:val="000000"/>
                <w:kern w:val="0"/>
                <w:sz w:val="18"/>
                <w:szCs w:val="18"/>
                <w:lang w:val="en-GB"/>
              </w:rPr>
              <w:t> </w:t>
            </w:r>
          </w:p>
        </w:tc>
        <w:tc>
          <w:tcPr>
            <w:tcW w:w="0" w:type="auto"/>
            <w:gridSpan w:val="2"/>
            <w:tcBorders>
              <w:top w:val="single" w:sz="4" w:space="0" w:color="auto"/>
              <w:left w:val="nil"/>
              <w:bottom w:val="single" w:sz="4" w:space="0" w:color="auto"/>
              <w:right w:val="nil"/>
            </w:tcBorders>
            <w:vAlign w:val="center"/>
            <w:hideMark/>
          </w:tcPr>
          <w:p w14:paraId="2236F9DE" w14:textId="77777777" w:rsidR="000B2BAC" w:rsidRPr="00E016A0" w:rsidRDefault="000B2BAC" w:rsidP="00E016A0">
            <w:pPr>
              <w:widowControl/>
              <w:spacing w:line="180" w:lineRule="exact"/>
              <w:jc w:val="center"/>
              <w:rPr>
                <w:rFonts w:eastAsia="Times New Roman"/>
                <w:i/>
                <w:iCs/>
                <w:color w:val="000000"/>
                <w:kern w:val="0"/>
                <w:sz w:val="18"/>
                <w:szCs w:val="18"/>
                <w:lang w:val="en-GB"/>
              </w:rPr>
            </w:pPr>
            <w:r w:rsidRPr="00E016A0">
              <w:rPr>
                <w:rFonts w:eastAsia="Times New Roman"/>
                <w:i/>
                <w:iCs/>
                <w:color w:val="000000"/>
                <w:kern w:val="0"/>
                <w:sz w:val="18"/>
                <w:szCs w:val="18"/>
                <w:lang w:val="en-GB"/>
              </w:rPr>
              <w:t xml:space="preserve">Percentage point deviation </w:t>
            </w:r>
            <w:r w:rsidRPr="00E016A0">
              <w:rPr>
                <w:rFonts w:eastAsia="Times New Roman"/>
                <w:i/>
                <w:iCs/>
                <w:color w:val="000000"/>
                <w:kern w:val="0"/>
                <w:sz w:val="18"/>
                <w:szCs w:val="18"/>
                <w:lang w:val="en-GB"/>
              </w:rPr>
              <w:br/>
              <w:t>from baseline</w:t>
            </w:r>
          </w:p>
        </w:tc>
        <w:tc>
          <w:tcPr>
            <w:tcW w:w="0" w:type="auto"/>
            <w:gridSpan w:val="2"/>
            <w:tcBorders>
              <w:top w:val="single" w:sz="4" w:space="0" w:color="auto"/>
              <w:left w:val="nil"/>
              <w:bottom w:val="single" w:sz="4" w:space="0" w:color="auto"/>
              <w:right w:val="nil"/>
            </w:tcBorders>
            <w:vAlign w:val="center"/>
            <w:hideMark/>
          </w:tcPr>
          <w:p w14:paraId="321C8D58" w14:textId="77777777" w:rsidR="000B2BAC" w:rsidRPr="00E016A0" w:rsidRDefault="000B2BAC" w:rsidP="00E016A0">
            <w:pPr>
              <w:widowControl/>
              <w:spacing w:line="180" w:lineRule="exact"/>
              <w:jc w:val="center"/>
              <w:rPr>
                <w:rFonts w:eastAsia="Times New Roman"/>
                <w:i/>
                <w:iCs/>
                <w:color w:val="000000"/>
                <w:kern w:val="0"/>
                <w:sz w:val="18"/>
                <w:szCs w:val="18"/>
                <w:lang w:val="en-GB"/>
              </w:rPr>
            </w:pPr>
            <w:r w:rsidRPr="00E016A0">
              <w:rPr>
                <w:rFonts w:eastAsia="Times New Roman"/>
                <w:i/>
                <w:iCs/>
                <w:color w:val="000000"/>
                <w:kern w:val="0"/>
                <w:sz w:val="18"/>
                <w:szCs w:val="18"/>
                <w:lang w:val="en-GB"/>
              </w:rPr>
              <w:t xml:space="preserve">Percentage point deviation </w:t>
            </w:r>
            <w:r w:rsidRPr="00E016A0">
              <w:rPr>
                <w:rFonts w:eastAsia="Times New Roman"/>
                <w:i/>
                <w:iCs/>
                <w:color w:val="000000"/>
                <w:kern w:val="0"/>
                <w:sz w:val="18"/>
                <w:szCs w:val="18"/>
                <w:lang w:val="en-GB"/>
              </w:rPr>
              <w:br/>
              <w:t>from baseline</w:t>
            </w:r>
          </w:p>
        </w:tc>
      </w:tr>
      <w:tr w:rsidR="000B2BAC" w:rsidRPr="00353AE1" w14:paraId="1F7F5AB4" w14:textId="77777777" w:rsidTr="00E016A0">
        <w:trPr>
          <w:trHeight w:val="227"/>
          <w:jc w:val="center"/>
        </w:trPr>
        <w:tc>
          <w:tcPr>
            <w:tcW w:w="0" w:type="auto"/>
            <w:vMerge w:val="restart"/>
            <w:tcBorders>
              <w:top w:val="single" w:sz="4" w:space="0" w:color="auto"/>
              <w:left w:val="nil"/>
              <w:bottom w:val="double" w:sz="6" w:space="0" w:color="000000"/>
              <w:right w:val="nil"/>
            </w:tcBorders>
            <w:noWrap/>
            <w:vAlign w:val="center"/>
            <w:hideMark/>
          </w:tcPr>
          <w:p w14:paraId="6FDCB7F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Unemployment rate</w:t>
            </w:r>
          </w:p>
        </w:tc>
        <w:tc>
          <w:tcPr>
            <w:tcW w:w="0" w:type="auto"/>
            <w:tcBorders>
              <w:top w:val="nil"/>
              <w:left w:val="nil"/>
              <w:bottom w:val="nil"/>
              <w:right w:val="nil"/>
            </w:tcBorders>
            <w:noWrap/>
            <w:vAlign w:val="center"/>
            <w:hideMark/>
          </w:tcPr>
          <w:p w14:paraId="018B146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4F9B06A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095A9D2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44B520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0896E29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3E8652E5" w14:textId="77777777" w:rsidTr="00E016A0">
        <w:trPr>
          <w:trHeight w:val="227"/>
          <w:jc w:val="center"/>
        </w:trPr>
        <w:tc>
          <w:tcPr>
            <w:tcW w:w="0" w:type="auto"/>
            <w:vMerge/>
            <w:tcBorders>
              <w:top w:val="single" w:sz="4" w:space="0" w:color="auto"/>
              <w:left w:val="nil"/>
              <w:bottom w:val="double" w:sz="6" w:space="0" w:color="000000"/>
              <w:right w:val="nil"/>
            </w:tcBorders>
            <w:vAlign w:val="center"/>
            <w:hideMark/>
          </w:tcPr>
          <w:p w14:paraId="73C7666E"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3B18F4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0DD1B63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41480A49"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3BF761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63228648"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497EB367" w14:textId="77777777" w:rsidTr="00E016A0">
        <w:trPr>
          <w:trHeight w:val="227"/>
          <w:jc w:val="center"/>
        </w:trPr>
        <w:tc>
          <w:tcPr>
            <w:tcW w:w="0" w:type="auto"/>
            <w:vMerge/>
            <w:tcBorders>
              <w:top w:val="single" w:sz="4" w:space="0" w:color="auto"/>
              <w:left w:val="nil"/>
              <w:bottom w:val="double" w:sz="6" w:space="0" w:color="000000"/>
              <w:right w:val="nil"/>
            </w:tcBorders>
            <w:vAlign w:val="center"/>
            <w:hideMark/>
          </w:tcPr>
          <w:p w14:paraId="4226F3C2"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B6227C6"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2F9CD00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2DE4F15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30A44F5"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C043C0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6662B453" w14:textId="77777777" w:rsidTr="00E016A0">
        <w:trPr>
          <w:trHeight w:val="227"/>
          <w:jc w:val="center"/>
        </w:trPr>
        <w:tc>
          <w:tcPr>
            <w:tcW w:w="0" w:type="auto"/>
            <w:vMerge/>
            <w:tcBorders>
              <w:top w:val="single" w:sz="4" w:space="0" w:color="auto"/>
              <w:left w:val="nil"/>
              <w:bottom w:val="double" w:sz="6" w:space="0" w:color="000000"/>
              <w:right w:val="nil"/>
            </w:tcBorders>
            <w:vAlign w:val="center"/>
            <w:hideMark/>
          </w:tcPr>
          <w:p w14:paraId="1CB5435F"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70E65BE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50602580"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138B7A1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8D78EF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3095301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09AF1E96" w14:textId="77777777" w:rsidTr="00E016A0">
        <w:trPr>
          <w:trHeight w:val="227"/>
          <w:jc w:val="center"/>
        </w:trPr>
        <w:tc>
          <w:tcPr>
            <w:tcW w:w="0" w:type="auto"/>
            <w:vMerge/>
            <w:tcBorders>
              <w:top w:val="single" w:sz="4" w:space="0" w:color="auto"/>
              <w:left w:val="nil"/>
              <w:bottom w:val="double" w:sz="6" w:space="0" w:color="000000"/>
              <w:right w:val="nil"/>
            </w:tcBorders>
            <w:vAlign w:val="center"/>
            <w:hideMark/>
          </w:tcPr>
          <w:p w14:paraId="73ACC96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6B7CB9D"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140B134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-0.12</w:t>
            </w:r>
          </w:p>
        </w:tc>
        <w:tc>
          <w:tcPr>
            <w:tcW w:w="0" w:type="auto"/>
            <w:tcBorders>
              <w:top w:val="nil"/>
              <w:left w:val="nil"/>
              <w:bottom w:val="nil"/>
              <w:right w:val="nil"/>
            </w:tcBorders>
            <w:noWrap/>
            <w:vAlign w:val="center"/>
            <w:hideMark/>
          </w:tcPr>
          <w:p w14:paraId="07EFBBC7"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303761F"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06D738EA"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0B2BAC" w:rsidRPr="00353AE1" w14:paraId="6D151B50" w14:textId="77777777" w:rsidTr="00E016A0">
        <w:trPr>
          <w:trHeight w:val="227"/>
          <w:jc w:val="center"/>
        </w:trPr>
        <w:tc>
          <w:tcPr>
            <w:tcW w:w="0" w:type="auto"/>
            <w:vMerge/>
            <w:tcBorders>
              <w:top w:val="single" w:sz="4" w:space="0" w:color="auto"/>
              <w:left w:val="nil"/>
              <w:bottom w:val="double" w:sz="6" w:space="0" w:color="000000"/>
              <w:right w:val="nil"/>
            </w:tcBorders>
            <w:vAlign w:val="center"/>
            <w:hideMark/>
          </w:tcPr>
          <w:p w14:paraId="1E350F1A" w14:textId="77777777" w:rsidR="000B2BAC" w:rsidRPr="00E016A0" w:rsidRDefault="000B2BAC" w:rsidP="00E016A0">
            <w:pPr>
              <w:widowControl/>
              <w:spacing w:line="180" w:lineRule="exact"/>
              <w:jc w:val="left"/>
              <w:rPr>
                <w:rFonts w:eastAsia="Times New Roman"/>
                <w:color w:val="000000"/>
                <w:kern w:val="0"/>
                <w:sz w:val="18"/>
                <w:szCs w:val="18"/>
                <w:lang w:val="en-GB"/>
              </w:rPr>
            </w:pPr>
          </w:p>
        </w:tc>
        <w:tc>
          <w:tcPr>
            <w:tcW w:w="0" w:type="auto"/>
            <w:tcBorders>
              <w:top w:val="nil"/>
              <w:left w:val="nil"/>
              <w:bottom w:val="double" w:sz="6" w:space="0" w:color="auto"/>
              <w:right w:val="nil"/>
            </w:tcBorders>
            <w:noWrap/>
            <w:vAlign w:val="center"/>
            <w:hideMark/>
          </w:tcPr>
          <w:p w14:paraId="74910B2B"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double" w:sz="6" w:space="0" w:color="auto"/>
              <w:right w:val="nil"/>
            </w:tcBorders>
            <w:noWrap/>
            <w:vAlign w:val="center"/>
            <w:hideMark/>
          </w:tcPr>
          <w:p w14:paraId="7B666FB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double" w:sz="6" w:space="0" w:color="auto"/>
              <w:right w:val="nil"/>
            </w:tcBorders>
            <w:noWrap/>
            <w:vAlign w:val="center"/>
            <w:hideMark/>
          </w:tcPr>
          <w:p w14:paraId="23D80244"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double" w:sz="6" w:space="0" w:color="auto"/>
              <w:right w:val="nil"/>
            </w:tcBorders>
            <w:noWrap/>
            <w:vAlign w:val="center"/>
            <w:hideMark/>
          </w:tcPr>
          <w:p w14:paraId="30DBB542"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double" w:sz="6" w:space="0" w:color="auto"/>
              <w:right w:val="nil"/>
            </w:tcBorders>
            <w:noWrap/>
            <w:vAlign w:val="center"/>
            <w:hideMark/>
          </w:tcPr>
          <w:p w14:paraId="77C5748C" w14:textId="77777777" w:rsidR="000B2BAC" w:rsidRPr="00E016A0" w:rsidRDefault="000B2BAC" w:rsidP="00E016A0">
            <w:pPr>
              <w:widowControl/>
              <w:spacing w:line="18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bl>
    <w:p w14:paraId="274D15EA" w14:textId="50E1FE42" w:rsidR="00CD565F" w:rsidRPr="00353AE1" w:rsidRDefault="00CD565F" w:rsidP="00BC6C17">
      <w:pPr>
        <w:spacing w:after="120"/>
      </w:pPr>
    </w:p>
    <w:p w14:paraId="260591C2" w14:textId="34993B66" w:rsidR="004B0FD3" w:rsidRPr="00E016A0" w:rsidRDefault="007032DB" w:rsidP="00B87109">
      <w:pPr>
        <w:pStyle w:val="Heading2"/>
        <w:spacing w:before="0" w:after="120"/>
        <w:rPr>
          <w:rFonts w:cs="Calibri"/>
          <w:lang w:val="en-GB"/>
        </w:rPr>
      </w:pPr>
      <w:bookmarkStart w:id="64" w:name="_Toc234277237"/>
      <w:r w:rsidRPr="00353AE1">
        <w:rPr>
          <w:rStyle w:val="SubtleEmphasis"/>
          <w:rFonts w:cs="Calibri"/>
          <w:i w:val="0"/>
          <w:iCs w:val="0"/>
          <w:color w:val="auto"/>
        </w:rPr>
        <w:lastRenderedPageBreak/>
        <w:t>4.</w:t>
      </w:r>
      <w:r w:rsidR="006C0545" w:rsidRPr="00353AE1">
        <w:rPr>
          <w:rStyle w:val="SubtleEmphasis"/>
          <w:rFonts w:cs="Calibri"/>
          <w:i w:val="0"/>
          <w:iCs w:val="0"/>
          <w:color w:val="auto"/>
        </w:rPr>
        <w:t>5</w:t>
      </w:r>
      <w:r w:rsidRPr="00353AE1">
        <w:rPr>
          <w:rStyle w:val="SubtleEmphasis"/>
          <w:rFonts w:cs="Calibri"/>
          <w:i w:val="0"/>
          <w:iCs w:val="0"/>
          <w:color w:val="auto"/>
        </w:rPr>
        <w:t xml:space="preserve"> Government </w:t>
      </w:r>
      <w:r w:rsidR="00846DC1" w:rsidRPr="00353AE1">
        <w:rPr>
          <w:rStyle w:val="SubtleEmphasis"/>
          <w:rFonts w:cs="Calibri"/>
          <w:i w:val="0"/>
          <w:iCs w:val="0"/>
          <w:color w:val="auto"/>
        </w:rPr>
        <w:t xml:space="preserve">budget </w:t>
      </w:r>
      <w:r w:rsidR="000D06A7" w:rsidRPr="00353AE1">
        <w:rPr>
          <w:rStyle w:val="SubtleEmphasis"/>
          <w:rFonts w:cs="Calibri"/>
          <w:i w:val="0"/>
          <w:iCs w:val="0"/>
          <w:color w:val="auto"/>
        </w:rPr>
        <w:t>impacts</w:t>
      </w:r>
      <w:bookmarkEnd w:id="64"/>
    </w:p>
    <w:p w14:paraId="287F7EB7" w14:textId="77777777" w:rsidR="007B64AC" w:rsidRPr="00353AE1" w:rsidRDefault="007B64AC" w:rsidP="00E016A0">
      <w:pPr>
        <w:spacing w:after="120"/>
        <w:jc w:val="left"/>
      </w:pPr>
      <w:r w:rsidRPr="00353AE1">
        <w:t xml:space="preserve">Table 11 reports the net budget position by level of government in Scenario 1. As described in Section 3.1, under the modelling closure, each government’s budget constraint is maintained through an endogenous direct tax or transfer to households on a per capita basis. The government net budget position deviations reported in Table 11 measure the fiscal adjustment required to maintain budget neutrality in the given simulation year. A negative value represents a fiscal shortfall that is neutralised through higher direct taxes on households, while a positive value represents a fiscal improvement that is returned to households through direct transfers. </w:t>
      </w:r>
    </w:p>
    <w:p w14:paraId="3E2CF551" w14:textId="02DFBDA8" w:rsidR="007B64AC" w:rsidRPr="00353AE1" w:rsidRDefault="007B64AC" w:rsidP="00E016A0">
      <w:pPr>
        <w:spacing w:after="120"/>
        <w:jc w:val="left"/>
      </w:pPr>
      <w:r w:rsidRPr="00353AE1">
        <w:t xml:space="preserve">Table 12 separately reports the dollar value of additional road maintenance and repair expenditure by level of government in the shock year. As discussed in Section 3.2, the additional road-wear expenditure is split between the federal and state/local governments, with shares of 24.1 per cent and 75.9 per cent, respectively. In Scenario 1A, the direct road-related government expenditure increases total government expenditure by $1,118.7 million in 2026. Of this spending uplift, $269.6 million is </w:t>
      </w:r>
      <w:r w:rsidR="000047CD" w:rsidRPr="00353AE1">
        <w:t>attributed</w:t>
      </w:r>
      <w:r w:rsidRPr="00353AE1">
        <w:t xml:space="preserve"> </w:t>
      </w:r>
      <w:r w:rsidR="00240B71" w:rsidRPr="00353AE1">
        <w:t>to</w:t>
      </w:r>
      <w:r w:rsidRPr="00353AE1">
        <w:t xml:space="preserve"> federal government </w:t>
      </w:r>
      <w:r w:rsidR="00240B71" w:rsidRPr="00353AE1">
        <w:t xml:space="preserve">consumption </w:t>
      </w:r>
      <w:r w:rsidRPr="00353AE1">
        <w:t>and $849.1 million</w:t>
      </w:r>
      <w:r w:rsidR="00240B71" w:rsidRPr="00353AE1">
        <w:t xml:space="preserve"> to</w:t>
      </w:r>
      <w:r w:rsidRPr="00353AE1">
        <w:t xml:space="preserve"> state/local government</w:t>
      </w:r>
      <w:r w:rsidR="00240B71" w:rsidRPr="00353AE1">
        <w:t xml:space="preserve"> </w:t>
      </w:r>
      <w:r w:rsidR="00C75C88" w:rsidRPr="00353AE1">
        <w:t>consumption</w:t>
      </w:r>
      <w:r w:rsidRPr="00353AE1">
        <w:t>. The regional allocation follows the shares reported in Table 3.</w:t>
      </w:r>
    </w:p>
    <w:p w14:paraId="5DCBFF2A" w14:textId="77777777" w:rsidR="007B64AC" w:rsidRPr="00353AE1" w:rsidRDefault="007B64AC" w:rsidP="00E016A0">
      <w:pPr>
        <w:spacing w:after="120"/>
        <w:jc w:val="left"/>
      </w:pPr>
      <w:r w:rsidRPr="00353AE1">
        <w:t>Tables 11 and 12 are presented to allow comparison between the direct budget cost of the additional road-wear expenditure and the resulting net budget position, which also includes endogenous revenue effects generated by the broader economy-wide response to the reform. Detailed federal and state/local tax revenue results are reported in the spreadsheets “Summary_S1A” and “Summary_S1B”.</w:t>
      </w:r>
    </w:p>
    <w:p w14:paraId="7608C6D2" w14:textId="77777777" w:rsidR="007B64AC" w:rsidRPr="00353AE1" w:rsidRDefault="007B64AC" w:rsidP="00FA452F">
      <w:pPr>
        <w:spacing w:after="120"/>
        <w:jc w:val="left"/>
      </w:pPr>
      <w:r w:rsidRPr="00353AE1">
        <w:t xml:space="preserve">The net budget results in Table 11 show that the federal government budget position improves in Scenario 1A, despite the additional federal road-wear expenditure. The productivity improvement, and its impact on the tax bases that affect the revenue side of the federal government balance sheet, more than offset the impact of additional road-wear expenditure at the federal level. Key federal revenue lines, such as GST, personal income tax and corporate income tax revenues, all rise; the GST rise is however matched by an associated rise in GST distributions, and therefore has no overall impact on the federal budget position. In Scenario 1A, personal income tax rises by $146 million in 2026 and corporate income tax rises by $390 million. By contrast, excises and levies fall by $37 million in 2026, consistent with reduced fuel use associated with improved Road Freight productivity and lower commercial vehicle input requirements. </w:t>
      </w:r>
    </w:p>
    <w:p w14:paraId="49C05AF4" w14:textId="77777777" w:rsidR="007B64AC" w:rsidRPr="00353AE1" w:rsidRDefault="007B64AC" w:rsidP="007B64AC">
      <w:pPr>
        <w:spacing w:after="120"/>
        <w:jc w:val="left"/>
      </w:pPr>
      <w:r w:rsidRPr="00353AE1">
        <w:t xml:space="preserve">By contrast, the state/local government net budget position deteriorates in all regions. This reflects the larger state/local government share of the additional road-wear expenditure. In Scenario 1A, the aggregate state/local government net budget position falls by $791.4 million in 2026. The largest negative state/local budget effects are recorded in QLD, NSW&amp;ACT and VIC, reflecting the regional allocation of the additional road-wear expenditure in Table 3. </w:t>
      </w:r>
    </w:p>
    <w:p w14:paraId="01004572" w14:textId="30999F3B" w:rsidR="002B68EE" w:rsidRPr="00353AE1" w:rsidRDefault="007B64AC" w:rsidP="00056FF3">
      <w:pPr>
        <w:spacing w:after="120"/>
      </w:pPr>
      <w:r w:rsidRPr="00353AE1">
        <w:t xml:space="preserve">Across all levels of government, the combined net budget position is $412.89 million below baseline in 2026 and $940.76 million below baseline by 2040. These results indicate that, </w:t>
      </w:r>
      <w:r w:rsidRPr="00353AE1">
        <w:lastRenderedPageBreak/>
        <w:t xml:space="preserve">although the Road Freight productivity improvement generates positive tax revenue effects, these are not sufficient to fully offset the additional road maintenance and repair expenditure, particularly at the state/local government level. As discussed in Section 3.1, these shortfalls are fully funded via direct taxes on households. This fiscal adjustment partly offsets the positive income effect from the productivity gain, but does not completely offset this effect; national household consumption therefore remains above baseline, as shown in Table 6. </w:t>
      </w:r>
    </w:p>
    <w:p w14:paraId="37B02B57" w14:textId="77777777" w:rsidR="00237B1C" w:rsidRPr="00353AE1" w:rsidRDefault="00237B1C" w:rsidP="00056FF3">
      <w:pPr>
        <w:spacing w:after="120"/>
        <w:jc w:val="left"/>
      </w:pPr>
    </w:p>
    <w:p w14:paraId="2EE8A698" w14:textId="7270687B" w:rsidR="00C82D89" w:rsidRPr="00353AE1" w:rsidRDefault="00C82D89" w:rsidP="00056FF3">
      <w:pPr>
        <w:pStyle w:val="Caption"/>
        <w:keepNext/>
        <w:spacing w:after="120"/>
        <w:jc w:val="center"/>
        <w:rPr>
          <w:sz w:val="22"/>
          <w:szCs w:val="22"/>
        </w:rPr>
      </w:pPr>
      <w:bookmarkStart w:id="65" w:name="_Toc230696733"/>
      <w:bookmarkStart w:id="66" w:name="_Toc230710351"/>
      <w:bookmarkStart w:id="67" w:name="_Toc230710397"/>
      <w:bookmarkStart w:id="68" w:name="_Toc230711120"/>
      <w:bookmarkStart w:id="69" w:name="_Toc231907815"/>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11</w:t>
      </w:r>
      <w:r w:rsidR="00DF6059" w:rsidRPr="00353AE1">
        <w:rPr>
          <w:sz w:val="22"/>
          <w:szCs w:val="22"/>
        </w:rPr>
        <w:fldChar w:fldCharType="end"/>
      </w:r>
      <w:r w:rsidRPr="00353AE1">
        <w:rPr>
          <w:sz w:val="22"/>
          <w:szCs w:val="22"/>
        </w:rPr>
        <w:t>. Net Budget Position</w:t>
      </w:r>
      <w:r w:rsidR="006F225C" w:rsidRPr="00353AE1">
        <w:rPr>
          <w:sz w:val="22"/>
          <w:szCs w:val="22"/>
        </w:rPr>
        <w:t xml:space="preserve"> by</w:t>
      </w:r>
      <w:r w:rsidR="00224548" w:rsidRPr="00353AE1">
        <w:rPr>
          <w:sz w:val="22"/>
          <w:szCs w:val="22"/>
        </w:rPr>
        <w:t xml:space="preserve"> Level of</w:t>
      </w:r>
      <w:r w:rsidR="0093346D" w:rsidRPr="00353AE1">
        <w:rPr>
          <w:sz w:val="22"/>
          <w:szCs w:val="22"/>
        </w:rPr>
        <w:t xml:space="preserve"> Government</w:t>
      </w:r>
      <w:r w:rsidR="00E15D57" w:rsidRPr="00353AE1">
        <w:rPr>
          <w:sz w:val="22"/>
          <w:szCs w:val="22"/>
        </w:rPr>
        <w:t xml:space="preserve"> </w:t>
      </w:r>
      <w:r w:rsidRPr="00353AE1">
        <w:rPr>
          <w:sz w:val="22"/>
          <w:szCs w:val="22"/>
        </w:rPr>
        <w:t>(Scenario 1)</w:t>
      </w:r>
      <w:bookmarkEnd w:id="65"/>
      <w:bookmarkEnd w:id="66"/>
      <w:bookmarkEnd w:id="67"/>
      <w:bookmarkEnd w:id="68"/>
      <w:bookmarkEnd w:id="69"/>
    </w:p>
    <w:tbl>
      <w:tblPr>
        <w:tblW w:w="5000" w:type="pct"/>
        <w:tblLook w:val="04A0" w:firstRow="1" w:lastRow="0" w:firstColumn="1" w:lastColumn="0" w:noHBand="0" w:noVBand="1"/>
      </w:tblPr>
      <w:tblGrid>
        <w:gridCol w:w="2835"/>
        <w:gridCol w:w="1100"/>
        <w:gridCol w:w="1457"/>
        <w:gridCol w:w="1457"/>
        <w:gridCol w:w="1457"/>
      </w:tblGrid>
      <w:tr w:rsidR="00EE7F2A" w:rsidRPr="00353AE1" w14:paraId="6C9919CA" w14:textId="77777777" w:rsidTr="00E016A0">
        <w:trPr>
          <w:trHeight w:val="300"/>
        </w:trPr>
        <w:tc>
          <w:tcPr>
            <w:tcW w:w="1707" w:type="pct"/>
            <w:tcBorders>
              <w:top w:val="single" w:sz="4" w:space="0" w:color="auto"/>
              <w:left w:val="nil"/>
              <w:bottom w:val="single" w:sz="4" w:space="0" w:color="auto"/>
              <w:right w:val="nil"/>
            </w:tcBorders>
            <w:vAlign w:val="center"/>
            <w:hideMark/>
          </w:tcPr>
          <w:p w14:paraId="43B21F9F" w14:textId="77777777" w:rsidR="00EE7F2A" w:rsidRPr="00E016A0" w:rsidRDefault="00EE7F2A" w:rsidP="00EE7F2A">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Net budget position</w:t>
            </w:r>
          </w:p>
        </w:tc>
        <w:tc>
          <w:tcPr>
            <w:tcW w:w="1539" w:type="pct"/>
            <w:gridSpan w:val="2"/>
            <w:tcBorders>
              <w:top w:val="single" w:sz="4" w:space="0" w:color="auto"/>
              <w:left w:val="nil"/>
              <w:bottom w:val="single" w:sz="4" w:space="0" w:color="auto"/>
              <w:right w:val="nil"/>
            </w:tcBorders>
            <w:vAlign w:val="center"/>
            <w:hideMark/>
          </w:tcPr>
          <w:p w14:paraId="2373FA32"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1A</w:t>
            </w:r>
          </w:p>
        </w:tc>
        <w:tc>
          <w:tcPr>
            <w:tcW w:w="1754" w:type="pct"/>
            <w:gridSpan w:val="2"/>
            <w:tcBorders>
              <w:top w:val="single" w:sz="4" w:space="0" w:color="auto"/>
              <w:left w:val="nil"/>
              <w:bottom w:val="single" w:sz="4" w:space="0" w:color="auto"/>
              <w:right w:val="nil"/>
            </w:tcBorders>
            <w:vAlign w:val="center"/>
            <w:hideMark/>
          </w:tcPr>
          <w:p w14:paraId="33520511"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1B</w:t>
            </w:r>
          </w:p>
        </w:tc>
      </w:tr>
      <w:tr w:rsidR="00EE7F2A" w:rsidRPr="00353AE1" w14:paraId="06F3EB67" w14:textId="77777777" w:rsidTr="00E016A0">
        <w:trPr>
          <w:trHeight w:val="300"/>
        </w:trPr>
        <w:tc>
          <w:tcPr>
            <w:tcW w:w="1707" w:type="pct"/>
            <w:tcBorders>
              <w:top w:val="nil"/>
              <w:left w:val="nil"/>
              <w:bottom w:val="nil"/>
              <w:right w:val="nil"/>
            </w:tcBorders>
            <w:noWrap/>
            <w:vAlign w:val="bottom"/>
            <w:hideMark/>
          </w:tcPr>
          <w:p w14:paraId="487F5890" w14:textId="77777777" w:rsidR="00EE7F2A" w:rsidRPr="00E016A0" w:rsidRDefault="00EE7F2A" w:rsidP="00EE7F2A">
            <w:pPr>
              <w:widowControl/>
              <w:jc w:val="left"/>
              <w:rPr>
                <w:rFonts w:eastAsia="Times New Roman"/>
                <w:color w:val="000000"/>
                <w:kern w:val="0"/>
                <w:sz w:val="20"/>
                <w:szCs w:val="20"/>
                <w:lang w:val="en-GB"/>
              </w:rPr>
            </w:pPr>
            <w:r w:rsidRPr="00E016A0">
              <w:rPr>
                <w:rFonts w:eastAsia="Times New Roman"/>
                <w:color w:val="000000"/>
                <w:kern w:val="0"/>
                <w:sz w:val="20"/>
                <w:szCs w:val="20"/>
                <w:lang w:val="en-GB"/>
              </w:rPr>
              <w:t> </w:t>
            </w:r>
          </w:p>
        </w:tc>
        <w:tc>
          <w:tcPr>
            <w:tcW w:w="662" w:type="pct"/>
            <w:tcBorders>
              <w:top w:val="nil"/>
              <w:left w:val="nil"/>
              <w:bottom w:val="nil"/>
              <w:right w:val="nil"/>
            </w:tcBorders>
            <w:noWrap/>
            <w:vAlign w:val="bottom"/>
            <w:hideMark/>
          </w:tcPr>
          <w:p w14:paraId="587561A8"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2026</w:t>
            </w:r>
          </w:p>
        </w:tc>
        <w:tc>
          <w:tcPr>
            <w:tcW w:w="877" w:type="pct"/>
            <w:tcBorders>
              <w:top w:val="nil"/>
              <w:left w:val="nil"/>
              <w:bottom w:val="nil"/>
              <w:right w:val="nil"/>
            </w:tcBorders>
            <w:noWrap/>
            <w:vAlign w:val="bottom"/>
            <w:hideMark/>
          </w:tcPr>
          <w:p w14:paraId="2A303F9A"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2040</w:t>
            </w:r>
          </w:p>
        </w:tc>
        <w:tc>
          <w:tcPr>
            <w:tcW w:w="877" w:type="pct"/>
            <w:tcBorders>
              <w:top w:val="nil"/>
              <w:left w:val="nil"/>
              <w:bottom w:val="nil"/>
              <w:right w:val="nil"/>
            </w:tcBorders>
            <w:noWrap/>
            <w:vAlign w:val="bottom"/>
            <w:hideMark/>
          </w:tcPr>
          <w:p w14:paraId="1804BB0F"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2026</w:t>
            </w:r>
          </w:p>
        </w:tc>
        <w:tc>
          <w:tcPr>
            <w:tcW w:w="877" w:type="pct"/>
            <w:tcBorders>
              <w:top w:val="nil"/>
              <w:left w:val="nil"/>
              <w:bottom w:val="nil"/>
              <w:right w:val="nil"/>
            </w:tcBorders>
            <w:noWrap/>
            <w:vAlign w:val="bottom"/>
            <w:hideMark/>
          </w:tcPr>
          <w:p w14:paraId="0888E633" w14:textId="77777777" w:rsidR="00EE7F2A" w:rsidRPr="00E016A0" w:rsidRDefault="00EE7F2A" w:rsidP="00EE7F2A">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2040</w:t>
            </w:r>
          </w:p>
        </w:tc>
      </w:tr>
      <w:tr w:rsidR="00EE7F2A" w:rsidRPr="00353AE1" w14:paraId="24DA0F15" w14:textId="77777777" w:rsidTr="00E016A0">
        <w:trPr>
          <w:trHeight w:val="300"/>
        </w:trPr>
        <w:tc>
          <w:tcPr>
            <w:tcW w:w="1707" w:type="pct"/>
            <w:tcBorders>
              <w:top w:val="nil"/>
              <w:left w:val="nil"/>
              <w:bottom w:val="single" w:sz="4" w:space="0" w:color="auto"/>
              <w:right w:val="nil"/>
            </w:tcBorders>
            <w:vAlign w:val="center"/>
            <w:hideMark/>
          </w:tcPr>
          <w:p w14:paraId="569A7CB9" w14:textId="77777777" w:rsidR="00EE7F2A" w:rsidRPr="00E016A0" w:rsidRDefault="00EE7F2A" w:rsidP="00EE7F2A">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 </w:t>
            </w:r>
          </w:p>
        </w:tc>
        <w:tc>
          <w:tcPr>
            <w:tcW w:w="1539" w:type="pct"/>
            <w:gridSpan w:val="2"/>
            <w:tcBorders>
              <w:top w:val="nil"/>
              <w:left w:val="nil"/>
              <w:bottom w:val="single" w:sz="4" w:space="0" w:color="auto"/>
              <w:right w:val="nil"/>
            </w:tcBorders>
            <w:vAlign w:val="center"/>
            <w:hideMark/>
          </w:tcPr>
          <w:p w14:paraId="7FAFA8C8" w14:textId="77777777" w:rsidR="00EE7F2A" w:rsidRPr="00E016A0" w:rsidRDefault="00EE7F2A" w:rsidP="00EE7F2A">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Ordinary deviation from baseline (nominal, A$m)</w:t>
            </w:r>
          </w:p>
        </w:tc>
        <w:tc>
          <w:tcPr>
            <w:tcW w:w="1754" w:type="pct"/>
            <w:gridSpan w:val="2"/>
            <w:tcBorders>
              <w:top w:val="nil"/>
              <w:left w:val="nil"/>
              <w:bottom w:val="single" w:sz="4" w:space="0" w:color="auto"/>
              <w:right w:val="nil"/>
            </w:tcBorders>
            <w:vAlign w:val="center"/>
            <w:hideMark/>
          </w:tcPr>
          <w:p w14:paraId="10EB1039" w14:textId="77777777" w:rsidR="00EE7F2A" w:rsidRPr="00E016A0" w:rsidRDefault="00EE7F2A" w:rsidP="00EE7F2A">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Ordinary deviation from baseline (nominal, A$m)</w:t>
            </w:r>
          </w:p>
        </w:tc>
      </w:tr>
      <w:tr w:rsidR="00EE7F2A" w:rsidRPr="00353AE1" w14:paraId="080B7C90" w14:textId="77777777" w:rsidTr="00E016A0">
        <w:trPr>
          <w:trHeight w:val="300"/>
        </w:trPr>
        <w:tc>
          <w:tcPr>
            <w:tcW w:w="1707" w:type="pct"/>
            <w:tcBorders>
              <w:top w:val="nil"/>
              <w:left w:val="nil"/>
              <w:bottom w:val="single" w:sz="4" w:space="0" w:color="auto"/>
              <w:right w:val="nil"/>
            </w:tcBorders>
            <w:vAlign w:val="center"/>
            <w:hideMark/>
          </w:tcPr>
          <w:p w14:paraId="5C817131" w14:textId="77777777" w:rsidR="00EE7F2A" w:rsidRPr="00E016A0" w:rsidRDefault="00EE7F2A" w:rsidP="00EE7F2A">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Federal government</w:t>
            </w:r>
          </w:p>
        </w:tc>
        <w:tc>
          <w:tcPr>
            <w:tcW w:w="662" w:type="pct"/>
            <w:tcBorders>
              <w:top w:val="nil"/>
              <w:left w:val="nil"/>
              <w:bottom w:val="single" w:sz="4" w:space="0" w:color="auto"/>
              <w:right w:val="nil"/>
            </w:tcBorders>
            <w:vAlign w:val="center"/>
            <w:hideMark/>
          </w:tcPr>
          <w:p w14:paraId="6CE05976"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378.52</w:t>
            </w:r>
          </w:p>
        </w:tc>
        <w:tc>
          <w:tcPr>
            <w:tcW w:w="877" w:type="pct"/>
            <w:tcBorders>
              <w:top w:val="nil"/>
              <w:left w:val="nil"/>
              <w:bottom w:val="single" w:sz="4" w:space="0" w:color="auto"/>
              <w:right w:val="nil"/>
            </w:tcBorders>
            <w:vAlign w:val="center"/>
            <w:hideMark/>
          </w:tcPr>
          <w:p w14:paraId="75D4FCF3"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194.31</w:t>
            </w:r>
          </w:p>
        </w:tc>
        <w:tc>
          <w:tcPr>
            <w:tcW w:w="877" w:type="pct"/>
            <w:tcBorders>
              <w:top w:val="nil"/>
              <w:left w:val="nil"/>
              <w:bottom w:val="single" w:sz="4" w:space="0" w:color="auto"/>
              <w:right w:val="nil"/>
            </w:tcBorders>
            <w:vAlign w:val="center"/>
            <w:hideMark/>
          </w:tcPr>
          <w:p w14:paraId="06F8E480"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119.05</w:t>
            </w:r>
          </w:p>
        </w:tc>
        <w:tc>
          <w:tcPr>
            <w:tcW w:w="877" w:type="pct"/>
            <w:tcBorders>
              <w:top w:val="nil"/>
              <w:left w:val="nil"/>
              <w:bottom w:val="single" w:sz="4" w:space="0" w:color="auto"/>
              <w:right w:val="nil"/>
            </w:tcBorders>
            <w:vAlign w:val="center"/>
            <w:hideMark/>
          </w:tcPr>
          <w:p w14:paraId="1562BD79"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55.71</w:t>
            </w:r>
          </w:p>
        </w:tc>
      </w:tr>
      <w:tr w:rsidR="00EE7F2A" w:rsidRPr="00353AE1" w14:paraId="6A50CD39" w14:textId="77777777" w:rsidTr="00E016A0">
        <w:trPr>
          <w:trHeight w:val="300"/>
        </w:trPr>
        <w:tc>
          <w:tcPr>
            <w:tcW w:w="1707" w:type="pct"/>
            <w:tcBorders>
              <w:top w:val="single" w:sz="4" w:space="0" w:color="auto"/>
              <w:left w:val="nil"/>
              <w:bottom w:val="nil"/>
              <w:right w:val="nil"/>
            </w:tcBorders>
            <w:vAlign w:val="center"/>
            <w:hideMark/>
          </w:tcPr>
          <w:p w14:paraId="3BB65D3B" w14:textId="5D6527F9" w:rsidR="00EE7F2A" w:rsidRPr="00E016A0" w:rsidRDefault="00EE7F2A" w:rsidP="00EE7F2A">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State/local government</w:t>
            </w:r>
            <w:r w:rsidR="00913E4A" w:rsidRPr="00E016A0">
              <w:rPr>
                <w:rFonts w:eastAsia="Times New Roman"/>
                <w:b/>
                <w:bCs/>
                <w:color w:val="000000"/>
                <w:kern w:val="0"/>
                <w:sz w:val="20"/>
                <w:szCs w:val="20"/>
                <w:lang w:val="en-GB"/>
              </w:rPr>
              <w:t xml:space="preserve"> (total)</w:t>
            </w:r>
          </w:p>
        </w:tc>
        <w:tc>
          <w:tcPr>
            <w:tcW w:w="662" w:type="pct"/>
            <w:tcBorders>
              <w:top w:val="single" w:sz="4" w:space="0" w:color="auto"/>
              <w:left w:val="nil"/>
              <w:bottom w:val="nil"/>
              <w:right w:val="nil"/>
            </w:tcBorders>
            <w:vAlign w:val="center"/>
            <w:hideMark/>
          </w:tcPr>
          <w:p w14:paraId="5E236DC2"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-791.41</w:t>
            </w:r>
          </w:p>
        </w:tc>
        <w:tc>
          <w:tcPr>
            <w:tcW w:w="877" w:type="pct"/>
            <w:tcBorders>
              <w:top w:val="single" w:sz="4" w:space="0" w:color="auto"/>
              <w:left w:val="nil"/>
              <w:bottom w:val="nil"/>
              <w:right w:val="nil"/>
            </w:tcBorders>
            <w:vAlign w:val="center"/>
            <w:hideMark/>
          </w:tcPr>
          <w:p w14:paraId="103696B4"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-1135.07</w:t>
            </w:r>
          </w:p>
        </w:tc>
        <w:tc>
          <w:tcPr>
            <w:tcW w:w="877" w:type="pct"/>
            <w:tcBorders>
              <w:top w:val="single" w:sz="4" w:space="0" w:color="auto"/>
              <w:left w:val="nil"/>
              <w:bottom w:val="nil"/>
              <w:right w:val="nil"/>
            </w:tcBorders>
            <w:vAlign w:val="center"/>
            <w:hideMark/>
          </w:tcPr>
          <w:p w14:paraId="19402819"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-273.63</w:t>
            </w:r>
          </w:p>
        </w:tc>
        <w:tc>
          <w:tcPr>
            <w:tcW w:w="877" w:type="pct"/>
            <w:tcBorders>
              <w:top w:val="single" w:sz="4" w:space="0" w:color="auto"/>
              <w:left w:val="nil"/>
              <w:bottom w:val="nil"/>
              <w:right w:val="nil"/>
            </w:tcBorders>
            <w:vAlign w:val="center"/>
            <w:hideMark/>
          </w:tcPr>
          <w:p w14:paraId="4D4EFD1B"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-393.08</w:t>
            </w:r>
          </w:p>
        </w:tc>
      </w:tr>
      <w:tr w:rsidR="000C11B9" w:rsidRPr="00353AE1" w14:paraId="43D059F7" w14:textId="77777777" w:rsidTr="00E016A0">
        <w:trPr>
          <w:trHeight w:val="300"/>
        </w:trPr>
        <w:tc>
          <w:tcPr>
            <w:tcW w:w="1707" w:type="pct"/>
            <w:tcBorders>
              <w:top w:val="nil"/>
              <w:left w:val="nil"/>
              <w:bottom w:val="nil"/>
              <w:right w:val="nil"/>
            </w:tcBorders>
            <w:vAlign w:val="center"/>
          </w:tcPr>
          <w:p w14:paraId="725604F1" w14:textId="10D12361" w:rsidR="000C11B9" w:rsidRPr="00E016A0" w:rsidRDefault="007B6AEC" w:rsidP="00E016A0">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o</w:t>
            </w:r>
            <w:r w:rsidR="000C11B9" w:rsidRPr="00E016A0">
              <w:rPr>
                <w:rFonts w:eastAsia="Times New Roman"/>
                <w:i/>
                <w:iCs/>
                <w:color w:val="000000"/>
                <w:kern w:val="0"/>
                <w:sz w:val="20"/>
                <w:szCs w:val="20"/>
                <w:lang w:val="en-GB"/>
              </w:rPr>
              <w:t>f which</w:t>
            </w:r>
            <w:r w:rsidR="00F95952" w:rsidRPr="00E016A0">
              <w:rPr>
                <w:rFonts w:eastAsia="Times New Roman"/>
                <w:i/>
                <w:iCs/>
                <w:color w:val="000000"/>
                <w:kern w:val="0"/>
                <w:sz w:val="20"/>
                <w:szCs w:val="20"/>
                <w:lang w:val="en-GB"/>
              </w:rPr>
              <w:t>:</w:t>
            </w:r>
          </w:p>
        </w:tc>
        <w:tc>
          <w:tcPr>
            <w:tcW w:w="662" w:type="pct"/>
            <w:tcBorders>
              <w:top w:val="nil"/>
              <w:left w:val="nil"/>
              <w:bottom w:val="nil"/>
              <w:right w:val="nil"/>
            </w:tcBorders>
            <w:vAlign w:val="center"/>
          </w:tcPr>
          <w:p w14:paraId="690893EC" w14:textId="77777777" w:rsidR="000C11B9" w:rsidRPr="00E016A0" w:rsidRDefault="000C11B9" w:rsidP="00EE7F2A">
            <w:pPr>
              <w:widowControl/>
              <w:jc w:val="right"/>
              <w:rPr>
                <w:rFonts w:eastAsia="Times New Roman"/>
                <w:i/>
                <w:iCs/>
                <w:color w:val="000000"/>
                <w:kern w:val="0"/>
                <w:sz w:val="20"/>
                <w:szCs w:val="20"/>
                <w:lang w:val="en-GB"/>
              </w:rPr>
            </w:pPr>
          </w:p>
        </w:tc>
        <w:tc>
          <w:tcPr>
            <w:tcW w:w="877" w:type="pct"/>
            <w:tcBorders>
              <w:top w:val="nil"/>
              <w:left w:val="nil"/>
              <w:bottom w:val="nil"/>
              <w:right w:val="nil"/>
            </w:tcBorders>
            <w:vAlign w:val="center"/>
          </w:tcPr>
          <w:p w14:paraId="091FC70A" w14:textId="77777777" w:rsidR="000C11B9" w:rsidRPr="00E016A0" w:rsidRDefault="000C11B9" w:rsidP="00EE7F2A">
            <w:pPr>
              <w:widowControl/>
              <w:jc w:val="right"/>
              <w:rPr>
                <w:rFonts w:eastAsia="Times New Roman"/>
                <w:i/>
                <w:iCs/>
                <w:color w:val="000000"/>
                <w:kern w:val="0"/>
                <w:sz w:val="20"/>
                <w:szCs w:val="20"/>
                <w:lang w:val="en-GB"/>
              </w:rPr>
            </w:pPr>
          </w:p>
        </w:tc>
        <w:tc>
          <w:tcPr>
            <w:tcW w:w="877" w:type="pct"/>
            <w:tcBorders>
              <w:top w:val="nil"/>
              <w:left w:val="nil"/>
              <w:bottom w:val="nil"/>
              <w:right w:val="nil"/>
            </w:tcBorders>
            <w:vAlign w:val="center"/>
          </w:tcPr>
          <w:p w14:paraId="2323793E" w14:textId="77777777" w:rsidR="000C11B9" w:rsidRPr="00E016A0" w:rsidRDefault="000C11B9" w:rsidP="00EE7F2A">
            <w:pPr>
              <w:widowControl/>
              <w:jc w:val="right"/>
              <w:rPr>
                <w:rFonts w:eastAsia="Times New Roman"/>
                <w:i/>
                <w:iCs/>
                <w:color w:val="000000"/>
                <w:kern w:val="0"/>
                <w:sz w:val="20"/>
                <w:szCs w:val="20"/>
                <w:lang w:val="en-GB"/>
              </w:rPr>
            </w:pPr>
          </w:p>
        </w:tc>
        <w:tc>
          <w:tcPr>
            <w:tcW w:w="877" w:type="pct"/>
            <w:tcBorders>
              <w:top w:val="nil"/>
              <w:left w:val="nil"/>
              <w:bottom w:val="nil"/>
              <w:right w:val="nil"/>
            </w:tcBorders>
            <w:vAlign w:val="center"/>
          </w:tcPr>
          <w:p w14:paraId="22EEF241" w14:textId="77777777" w:rsidR="000C11B9" w:rsidRPr="00E016A0" w:rsidRDefault="000C11B9" w:rsidP="00EE7F2A">
            <w:pPr>
              <w:widowControl/>
              <w:jc w:val="right"/>
              <w:rPr>
                <w:rFonts w:eastAsia="Times New Roman"/>
                <w:i/>
                <w:iCs/>
                <w:color w:val="000000"/>
                <w:kern w:val="0"/>
                <w:sz w:val="20"/>
                <w:szCs w:val="20"/>
                <w:lang w:val="en-GB"/>
              </w:rPr>
            </w:pPr>
          </w:p>
        </w:tc>
      </w:tr>
      <w:tr w:rsidR="00EE7F2A" w:rsidRPr="00353AE1" w14:paraId="3751D386" w14:textId="77777777" w:rsidTr="00E016A0">
        <w:trPr>
          <w:trHeight w:val="300"/>
        </w:trPr>
        <w:tc>
          <w:tcPr>
            <w:tcW w:w="1707" w:type="pct"/>
            <w:tcBorders>
              <w:top w:val="nil"/>
              <w:left w:val="nil"/>
              <w:bottom w:val="nil"/>
              <w:right w:val="nil"/>
            </w:tcBorders>
            <w:vAlign w:val="center"/>
            <w:hideMark/>
          </w:tcPr>
          <w:p w14:paraId="38DDEA6F"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NSWACT</w:t>
            </w:r>
          </w:p>
        </w:tc>
        <w:tc>
          <w:tcPr>
            <w:tcW w:w="662" w:type="pct"/>
            <w:tcBorders>
              <w:top w:val="nil"/>
              <w:left w:val="nil"/>
              <w:bottom w:val="nil"/>
              <w:right w:val="nil"/>
            </w:tcBorders>
            <w:vAlign w:val="center"/>
            <w:hideMark/>
          </w:tcPr>
          <w:p w14:paraId="34777F4A"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-234.17</w:t>
            </w:r>
          </w:p>
        </w:tc>
        <w:tc>
          <w:tcPr>
            <w:tcW w:w="877" w:type="pct"/>
            <w:tcBorders>
              <w:top w:val="nil"/>
              <w:left w:val="nil"/>
              <w:bottom w:val="nil"/>
              <w:right w:val="nil"/>
            </w:tcBorders>
            <w:vAlign w:val="center"/>
            <w:hideMark/>
          </w:tcPr>
          <w:p w14:paraId="675B00FD"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-312.82</w:t>
            </w:r>
          </w:p>
        </w:tc>
        <w:tc>
          <w:tcPr>
            <w:tcW w:w="877" w:type="pct"/>
            <w:tcBorders>
              <w:top w:val="nil"/>
              <w:left w:val="nil"/>
              <w:bottom w:val="nil"/>
              <w:right w:val="nil"/>
            </w:tcBorders>
            <w:vAlign w:val="center"/>
            <w:hideMark/>
          </w:tcPr>
          <w:p w14:paraId="2941D236"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-80.57</w:t>
            </w:r>
          </w:p>
        </w:tc>
        <w:tc>
          <w:tcPr>
            <w:tcW w:w="877" w:type="pct"/>
            <w:tcBorders>
              <w:top w:val="nil"/>
              <w:left w:val="nil"/>
              <w:bottom w:val="nil"/>
              <w:right w:val="nil"/>
            </w:tcBorders>
            <w:vAlign w:val="center"/>
            <w:hideMark/>
          </w:tcPr>
          <w:p w14:paraId="5D2A3576"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-108.41</w:t>
            </w:r>
          </w:p>
        </w:tc>
      </w:tr>
      <w:tr w:rsidR="00EE7F2A" w:rsidRPr="00353AE1" w14:paraId="095A1F29" w14:textId="77777777" w:rsidTr="00E016A0">
        <w:trPr>
          <w:trHeight w:val="300"/>
        </w:trPr>
        <w:tc>
          <w:tcPr>
            <w:tcW w:w="1707" w:type="pct"/>
            <w:tcBorders>
              <w:top w:val="nil"/>
              <w:left w:val="nil"/>
              <w:bottom w:val="nil"/>
              <w:right w:val="nil"/>
            </w:tcBorders>
            <w:vAlign w:val="center"/>
            <w:hideMark/>
          </w:tcPr>
          <w:p w14:paraId="592C857C"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VIC</w:t>
            </w:r>
          </w:p>
        </w:tc>
        <w:tc>
          <w:tcPr>
            <w:tcW w:w="662" w:type="pct"/>
            <w:tcBorders>
              <w:top w:val="nil"/>
              <w:left w:val="nil"/>
              <w:bottom w:val="nil"/>
              <w:right w:val="nil"/>
            </w:tcBorders>
            <w:vAlign w:val="center"/>
            <w:hideMark/>
          </w:tcPr>
          <w:p w14:paraId="1C09BCAB"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-162.95</w:t>
            </w:r>
          </w:p>
        </w:tc>
        <w:tc>
          <w:tcPr>
            <w:tcW w:w="877" w:type="pct"/>
            <w:tcBorders>
              <w:top w:val="nil"/>
              <w:left w:val="nil"/>
              <w:bottom w:val="nil"/>
              <w:right w:val="nil"/>
            </w:tcBorders>
            <w:vAlign w:val="center"/>
            <w:hideMark/>
          </w:tcPr>
          <w:p w14:paraId="3C979EB3"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-215.08</w:t>
            </w:r>
          </w:p>
        </w:tc>
        <w:tc>
          <w:tcPr>
            <w:tcW w:w="877" w:type="pct"/>
            <w:tcBorders>
              <w:top w:val="nil"/>
              <w:left w:val="nil"/>
              <w:bottom w:val="nil"/>
              <w:right w:val="nil"/>
            </w:tcBorders>
            <w:vAlign w:val="center"/>
            <w:hideMark/>
          </w:tcPr>
          <w:p w14:paraId="1FB003CF"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-56.48</w:t>
            </w:r>
          </w:p>
        </w:tc>
        <w:tc>
          <w:tcPr>
            <w:tcW w:w="877" w:type="pct"/>
            <w:tcBorders>
              <w:top w:val="nil"/>
              <w:left w:val="nil"/>
              <w:bottom w:val="nil"/>
              <w:right w:val="nil"/>
            </w:tcBorders>
            <w:vAlign w:val="center"/>
            <w:hideMark/>
          </w:tcPr>
          <w:p w14:paraId="3E8EDA51"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-75.42</w:t>
            </w:r>
          </w:p>
        </w:tc>
      </w:tr>
      <w:tr w:rsidR="00EE7F2A" w:rsidRPr="00353AE1" w14:paraId="3BEF84AE" w14:textId="77777777" w:rsidTr="00E016A0">
        <w:trPr>
          <w:trHeight w:val="300"/>
        </w:trPr>
        <w:tc>
          <w:tcPr>
            <w:tcW w:w="1707" w:type="pct"/>
            <w:tcBorders>
              <w:top w:val="nil"/>
              <w:left w:val="nil"/>
              <w:bottom w:val="nil"/>
              <w:right w:val="nil"/>
            </w:tcBorders>
            <w:vAlign w:val="center"/>
            <w:hideMark/>
          </w:tcPr>
          <w:p w14:paraId="616A112E"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QLD</w:t>
            </w:r>
          </w:p>
        </w:tc>
        <w:tc>
          <w:tcPr>
            <w:tcW w:w="662" w:type="pct"/>
            <w:tcBorders>
              <w:top w:val="nil"/>
              <w:left w:val="nil"/>
              <w:bottom w:val="nil"/>
              <w:right w:val="nil"/>
            </w:tcBorders>
            <w:vAlign w:val="center"/>
            <w:hideMark/>
          </w:tcPr>
          <w:p w14:paraId="3D21EEC6"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-257.05</w:t>
            </w:r>
          </w:p>
        </w:tc>
        <w:tc>
          <w:tcPr>
            <w:tcW w:w="877" w:type="pct"/>
            <w:tcBorders>
              <w:top w:val="nil"/>
              <w:left w:val="nil"/>
              <w:bottom w:val="nil"/>
              <w:right w:val="nil"/>
            </w:tcBorders>
            <w:vAlign w:val="center"/>
            <w:hideMark/>
          </w:tcPr>
          <w:p w14:paraId="59D1EC55"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-379.24</w:t>
            </w:r>
          </w:p>
        </w:tc>
        <w:tc>
          <w:tcPr>
            <w:tcW w:w="877" w:type="pct"/>
            <w:tcBorders>
              <w:top w:val="nil"/>
              <w:left w:val="nil"/>
              <w:bottom w:val="nil"/>
              <w:right w:val="nil"/>
            </w:tcBorders>
            <w:vAlign w:val="center"/>
            <w:hideMark/>
          </w:tcPr>
          <w:p w14:paraId="656460E1"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-88.37</w:t>
            </w:r>
          </w:p>
        </w:tc>
        <w:tc>
          <w:tcPr>
            <w:tcW w:w="877" w:type="pct"/>
            <w:tcBorders>
              <w:top w:val="nil"/>
              <w:left w:val="nil"/>
              <w:bottom w:val="nil"/>
              <w:right w:val="nil"/>
            </w:tcBorders>
            <w:vAlign w:val="center"/>
            <w:hideMark/>
          </w:tcPr>
          <w:p w14:paraId="56E57612"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-130.12</w:t>
            </w:r>
          </w:p>
        </w:tc>
      </w:tr>
      <w:tr w:rsidR="00EE7F2A" w:rsidRPr="00353AE1" w14:paraId="5E7BB1EE" w14:textId="77777777" w:rsidTr="00E016A0">
        <w:trPr>
          <w:trHeight w:val="300"/>
        </w:trPr>
        <w:tc>
          <w:tcPr>
            <w:tcW w:w="1707" w:type="pct"/>
            <w:tcBorders>
              <w:top w:val="nil"/>
              <w:left w:val="nil"/>
              <w:bottom w:val="nil"/>
              <w:right w:val="nil"/>
            </w:tcBorders>
            <w:vAlign w:val="center"/>
            <w:hideMark/>
          </w:tcPr>
          <w:p w14:paraId="6EC1CF84"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SA</w:t>
            </w:r>
          </w:p>
        </w:tc>
        <w:tc>
          <w:tcPr>
            <w:tcW w:w="662" w:type="pct"/>
            <w:tcBorders>
              <w:top w:val="nil"/>
              <w:left w:val="nil"/>
              <w:bottom w:val="nil"/>
              <w:right w:val="nil"/>
            </w:tcBorders>
            <w:vAlign w:val="center"/>
            <w:hideMark/>
          </w:tcPr>
          <w:p w14:paraId="1C42DFA9"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-37.52</w:t>
            </w:r>
          </w:p>
        </w:tc>
        <w:tc>
          <w:tcPr>
            <w:tcW w:w="877" w:type="pct"/>
            <w:tcBorders>
              <w:top w:val="nil"/>
              <w:left w:val="nil"/>
              <w:bottom w:val="nil"/>
              <w:right w:val="nil"/>
            </w:tcBorders>
            <w:vAlign w:val="center"/>
            <w:hideMark/>
          </w:tcPr>
          <w:p w14:paraId="4C8B0EAA"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-55.31</w:t>
            </w:r>
          </w:p>
        </w:tc>
        <w:tc>
          <w:tcPr>
            <w:tcW w:w="877" w:type="pct"/>
            <w:tcBorders>
              <w:top w:val="nil"/>
              <w:left w:val="nil"/>
              <w:bottom w:val="nil"/>
              <w:right w:val="nil"/>
            </w:tcBorders>
            <w:vAlign w:val="center"/>
            <w:hideMark/>
          </w:tcPr>
          <w:p w14:paraId="0DBE7969"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-13.22</w:t>
            </w:r>
          </w:p>
        </w:tc>
        <w:tc>
          <w:tcPr>
            <w:tcW w:w="877" w:type="pct"/>
            <w:tcBorders>
              <w:top w:val="nil"/>
              <w:left w:val="nil"/>
              <w:bottom w:val="nil"/>
              <w:right w:val="nil"/>
            </w:tcBorders>
            <w:vAlign w:val="center"/>
            <w:hideMark/>
          </w:tcPr>
          <w:p w14:paraId="5F4468F7"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-19.50</w:t>
            </w:r>
          </w:p>
        </w:tc>
      </w:tr>
      <w:tr w:rsidR="00EE7F2A" w:rsidRPr="00353AE1" w14:paraId="0DA6AD11" w14:textId="77777777" w:rsidTr="00E016A0">
        <w:trPr>
          <w:trHeight w:val="300"/>
        </w:trPr>
        <w:tc>
          <w:tcPr>
            <w:tcW w:w="1707" w:type="pct"/>
            <w:tcBorders>
              <w:top w:val="nil"/>
              <w:left w:val="nil"/>
              <w:bottom w:val="nil"/>
              <w:right w:val="nil"/>
            </w:tcBorders>
            <w:vAlign w:val="center"/>
            <w:hideMark/>
          </w:tcPr>
          <w:p w14:paraId="4A65EE5F"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TAS</w:t>
            </w:r>
          </w:p>
        </w:tc>
        <w:tc>
          <w:tcPr>
            <w:tcW w:w="662" w:type="pct"/>
            <w:tcBorders>
              <w:top w:val="nil"/>
              <w:left w:val="nil"/>
              <w:bottom w:val="nil"/>
              <w:right w:val="nil"/>
            </w:tcBorders>
            <w:vAlign w:val="center"/>
            <w:hideMark/>
          </w:tcPr>
          <w:p w14:paraId="43769677"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-21.56</w:t>
            </w:r>
          </w:p>
        </w:tc>
        <w:tc>
          <w:tcPr>
            <w:tcW w:w="877" w:type="pct"/>
            <w:tcBorders>
              <w:top w:val="nil"/>
              <w:left w:val="nil"/>
              <w:bottom w:val="nil"/>
              <w:right w:val="nil"/>
            </w:tcBorders>
            <w:vAlign w:val="center"/>
            <w:hideMark/>
          </w:tcPr>
          <w:p w14:paraId="377738E9"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-41.98</w:t>
            </w:r>
          </w:p>
        </w:tc>
        <w:tc>
          <w:tcPr>
            <w:tcW w:w="877" w:type="pct"/>
            <w:tcBorders>
              <w:top w:val="nil"/>
              <w:left w:val="nil"/>
              <w:bottom w:val="nil"/>
              <w:right w:val="nil"/>
            </w:tcBorders>
            <w:vAlign w:val="center"/>
            <w:hideMark/>
          </w:tcPr>
          <w:p w14:paraId="73CF08C6"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-7.36</w:t>
            </w:r>
          </w:p>
        </w:tc>
        <w:tc>
          <w:tcPr>
            <w:tcW w:w="877" w:type="pct"/>
            <w:tcBorders>
              <w:top w:val="nil"/>
              <w:left w:val="nil"/>
              <w:bottom w:val="nil"/>
              <w:right w:val="nil"/>
            </w:tcBorders>
            <w:vAlign w:val="center"/>
            <w:hideMark/>
          </w:tcPr>
          <w:p w14:paraId="689094BB"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-14.03</w:t>
            </w:r>
          </w:p>
        </w:tc>
      </w:tr>
      <w:tr w:rsidR="00EE7F2A" w:rsidRPr="00353AE1" w14:paraId="6214F9E2" w14:textId="77777777" w:rsidTr="00E016A0">
        <w:trPr>
          <w:trHeight w:val="300"/>
        </w:trPr>
        <w:tc>
          <w:tcPr>
            <w:tcW w:w="1707" w:type="pct"/>
            <w:tcBorders>
              <w:top w:val="nil"/>
              <w:left w:val="nil"/>
              <w:bottom w:val="single" w:sz="4" w:space="0" w:color="auto"/>
              <w:right w:val="nil"/>
            </w:tcBorders>
            <w:vAlign w:val="center"/>
            <w:hideMark/>
          </w:tcPr>
          <w:p w14:paraId="4E4A2491" w14:textId="77777777" w:rsidR="00EE7F2A" w:rsidRPr="00E016A0" w:rsidRDefault="00EE7F2A" w:rsidP="00EE7F2A">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WANT</w:t>
            </w:r>
          </w:p>
        </w:tc>
        <w:tc>
          <w:tcPr>
            <w:tcW w:w="662" w:type="pct"/>
            <w:tcBorders>
              <w:top w:val="nil"/>
              <w:left w:val="nil"/>
              <w:bottom w:val="single" w:sz="4" w:space="0" w:color="auto"/>
              <w:right w:val="nil"/>
            </w:tcBorders>
            <w:vAlign w:val="center"/>
            <w:hideMark/>
          </w:tcPr>
          <w:p w14:paraId="0D699BC8"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-78.15</w:t>
            </w:r>
          </w:p>
        </w:tc>
        <w:tc>
          <w:tcPr>
            <w:tcW w:w="877" w:type="pct"/>
            <w:tcBorders>
              <w:top w:val="nil"/>
              <w:left w:val="nil"/>
              <w:bottom w:val="single" w:sz="4" w:space="0" w:color="auto"/>
              <w:right w:val="nil"/>
            </w:tcBorders>
            <w:vAlign w:val="center"/>
            <w:hideMark/>
          </w:tcPr>
          <w:p w14:paraId="2789F79D"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-130.63</w:t>
            </w:r>
          </w:p>
        </w:tc>
        <w:tc>
          <w:tcPr>
            <w:tcW w:w="877" w:type="pct"/>
            <w:tcBorders>
              <w:top w:val="nil"/>
              <w:left w:val="nil"/>
              <w:bottom w:val="single" w:sz="4" w:space="0" w:color="auto"/>
              <w:right w:val="nil"/>
            </w:tcBorders>
            <w:vAlign w:val="center"/>
            <w:hideMark/>
          </w:tcPr>
          <w:p w14:paraId="72ECFF19"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-27.63</w:t>
            </w:r>
          </w:p>
        </w:tc>
        <w:tc>
          <w:tcPr>
            <w:tcW w:w="877" w:type="pct"/>
            <w:tcBorders>
              <w:top w:val="nil"/>
              <w:left w:val="nil"/>
              <w:bottom w:val="single" w:sz="4" w:space="0" w:color="auto"/>
              <w:right w:val="nil"/>
            </w:tcBorders>
            <w:vAlign w:val="center"/>
            <w:hideMark/>
          </w:tcPr>
          <w:p w14:paraId="090363B6" w14:textId="77777777" w:rsidR="00EE7F2A" w:rsidRPr="00E016A0" w:rsidRDefault="00EE7F2A"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-45.59</w:t>
            </w:r>
          </w:p>
        </w:tc>
      </w:tr>
      <w:tr w:rsidR="00EE7F2A" w:rsidRPr="00353AE1" w14:paraId="005F1A65" w14:textId="77777777" w:rsidTr="00E016A0">
        <w:trPr>
          <w:trHeight w:val="315"/>
        </w:trPr>
        <w:tc>
          <w:tcPr>
            <w:tcW w:w="1707" w:type="pct"/>
            <w:tcBorders>
              <w:top w:val="nil"/>
              <w:left w:val="nil"/>
              <w:bottom w:val="double" w:sz="6" w:space="0" w:color="auto"/>
              <w:right w:val="nil"/>
            </w:tcBorders>
            <w:vAlign w:val="center"/>
            <w:hideMark/>
          </w:tcPr>
          <w:p w14:paraId="26B4A85E" w14:textId="77777777" w:rsidR="00913E4A" w:rsidRPr="00E016A0" w:rsidRDefault="00EE7F2A" w:rsidP="00EE7F2A">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 xml:space="preserve">Total </w:t>
            </w:r>
          </w:p>
          <w:p w14:paraId="59C338DA" w14:textId="0D72EBDE" w:rsidR="00EE7F2A" w:rsidRPr="00E016A0" w:rsidRDefault="00913E4A" w:rsidP="00EE7F2A">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A</w:t>
            </w:r>
            <w:r w:rsidR="00EE7F2A" w:rsidRPr="00E016A0">
              <w:rPr>
                <w:rFonts w:eastAsia="Times New Roman"/>
                <w:i/>
                <w:iCs/>
                <w:color w:val="000000"/>
                <w:kern w:val="0"/>
                <w:sz w:val="20"/>
                <w:szCs w:val="20"/>
                <w:lang w:val="en-GB"/>
              </w:rPr>
              <w:t>ll levels of government</w:t>
            </w:r>
          </w:p>
        </w:tc>
        <w:tc>
          <w:tcPr>
            <w:tcW w:w="662" w:type="pct"/>
            <w:tcBorders>
              <w:top w:val="nil"/>
              <w:left w:val="nil"/>
              <w:bottom w:val="double" w:sz="6" w:space="0" w:color="auto"/>
              <w:right w:val="nil"/>
            </w:tcBorders>
            <w:vAlign w:val="center"/>
            <w:hideMark/>
          </w:tcPr>
          <w:p w14:paraId="3168F6A9"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-412.89</w:t>
            </w:r>
          </w:p>
        </w:tc>
        <w:tc>
          <w:tcPr>
            <w:tcW w:w="877" w:type="pct"/>
            <w:tcBorders>
              <w:top w:val="nil"/>
              <w:left w:val="nil"/>
              <w:bottom w:val="double" w:sz="6" w:space="0" w:color="auto"/>
              <w:right w:val="nil"/>
            </w:tcBorders>
            <w:vAlign w:val="center"/>
            <w:hideMark/>
          </w:tcPr>
          <w:p w14:paraId="22CB87B7"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-940.76</w:t>
            </w:r>
          </w:p>
        </w:tc>
        <w:tc>
          <w:tcPr>
            <w:tcW w:w="877" w:type="pct"/>
            <w:tcBorders>
              <w:top w:val="nil"/>
              <w:left w:val="nil"/>
              <w:bottom w:val="double" w:sz="6" w:space="0" w:color="auto"/>
              <w:right w:val="nil"/>
            </w:tcBorders>
            <w:vAlign w:val="center"/>
            <w:hideMark/>
          </w:tcPr>
          <w:p w14:paraId="7522348B"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-154.58</w:t>
            </w:r>
          </w:p>
        </w:tc>
        <w:tc>
          <w:tcPr>
            <w:tcW w:w="877" w:type="pct"/>
            <w:tcBorders>
              <w:top w:val="nil"/>
              <w:left w:val="nil"/>
              <w:bottom w:val="double" w:sz="6" w:space="0" w:color="auto"/>
              <w:right w:val="nil"/>
            </w:tcBorders>
            <w:vAlign w:val="center"/>
            <w:hideMark/>
          </w:tcPr>
          <w:p w14:paraId="3C46BA1F" w14:textId="77777777" w:rsidR="00EE7F2A" w:rsidRPr="00E016A0" w:rsidRDefault="00EE7F2A" w:rsidP="00EE7F2A">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-337.37</w:t>
            </w:r>
          </w:p>
        </w:tc>
      </w:tr>
    </w:tbl>
    <w:p w14:paraId="64DB961A" w14:textId="77777777" w:rsidR="00EE7F2A" w:rsidRPr="00353AE1" w:rsidRDefault="00EE7F2A" w:rsidP="00E016A0"/>
    <w:p w14:paraId="1B734764" w14:textId="77777777" w:rsidR="00B867D2" w:rsidRPr="00353AE1" w:rsidRDefault="00B867D2" w:rsidP="00606B25">
      <w:pPr>
        <w:spacing w:after="120"/>
      </w:pPr>
    </w:p>
    <w:p w14:paraId="5A46D847" w14:textId="2AB5B6F3" w:rsidR="00DF6059" w:rsidRPr="00353AE1" w:rsidRDefault="00DF6059" w:rsidP="00E016A0">
      <w:pPr>
        <w:pStyle w:val="Caption"/>
        <w:keepNext/>
        <w:jc w:val="center"/>
      </w:pPr>
      <w:bookmarkStart w:id="70" w:name="_Toc231907816"/>
      <w:r w:rsidRPr="00E016A0">
        <w:rPr>
          <w:sz w:val="22"/>
          <w:szCs w:val="22"/>
        </w:rPr>
        <w:t xml:space="preserve">Table </w:t>
      </w:r>
      <w:r w:rsidRPr="00E016A0">
        <w:rPr>
          <w:sz w:val="22"/>
          <w:szCs w:val="22"/>
        </w:rPr>
        <w:fldChar w:fldCharType="begin"/>
      </w:r>
      <w:r w:rsidRPr="00E016A0">
        <w:rPr>
          <w:sz w:val="22"/>
          <w:szCs w:val="22"/>
        </w:rPr>
        <w:instrText xml:space="preserve"> SEQ Table \* ARABIC </w:instrText>
      </w:r>
      <w:r w:rsidRPr="00E016A0">
        <w:rPr>
          <w:sz w:val="22"/>
          <w:szCs w:val="22"/>
        </w:rPr>
        <w:fldChar w:fldCharType="separate"/>
      </w:r>
      <w:r w:rsidRPr="00E016A0">
        <w:rPr>
          <w:noProof/>
          <w:sz w:val="22"/>
          <w:szCs w:val="22"/>
        </w:rPr>
        <w:t>12</w:t>
      </w:r>
      <w:r w:rsidRPr="00E016A0">
        <w:rPr>
          <w:sz w:val="22"/>
          <w:szCs w:val="22"/>
        </w:rPr>
        <w:fldChar w:fldCharType="end"/>
      </w:r>
      <w:r w:rsidRPr="00E016A0">
        <w:rPr>
          <w:sz w:val="22"/>
          <w:szCs w:val="22"/>
        </w:rPr>
        <w:t xml:space="preserve">. </w:t>
      </w:r>
      <w:r w:rsidR="00436DB8" w:rsidRPr="00353AE1">
        <w:rPr>
          <w:sz w:val="22"/>
          <w:szCs w:val="22"/>
        </w:rPr>
        <w:t>Breakdown</w:t>
      </w:r>
      <w:r w:rsidR="00E8240B" w:rsidRPr="00353AE1">
        <w:rPr>
          <w:sz w:val="22"/>
          <w:szCs w:val="22"/>
        </w:rPr>
        <w:t xml:space="preserve">: </w:t>
      </w:r>
      <w:r w:rsidR="00B72A8D" w:rsidRPr="00353AE1">
        <w:rPr>
          <w:sz w:val="22"/>
          <w:szCs w:val="22"/>
        </w:rPr>
        <w:t>A</w:t>
      </w:r>
      <w:r w:rsidR="0016216D" w:rsidRPr="00353AE1">
        <w:rPr>
          <w:sz w:val="22"/>
          <w:szCs w:val="22"/>
        </w:rPr>
        <w:t>dditional</w:t>
      </w:r>
      <w:r w:rsidR="00A72363" w:rsidRPr="00353AE1">
        <w:rPr>
          <w:sz w:val="22"/>
          <w:szCs w:val="22"/>
        </w:rPr>
        <w:t xml:space="preserve"> </w:t>
      </w:r>
      <w:r w:rsidR="00CF5CE1" w:rsidRPr="00353AE1">
        <w:rPr>
          <w:sz w:val="22"/>
          <w:szCs w:val="22"/>
        </w:rPr>
        <w:t>Road Maintenance and Repair</w:t>
      </w:r>
      <w:r w:rsidR="00E8240B" w:rsidRPr="00353AE1">
        <w:rPr>
          <w:sz w:val="22"/>
          <w:szCs w:val="22"/>
        </w:rPr>
        <w:t xml:space="preserve"> Expenditure</w:t>
      </w:r>
      <w:r w:rsidRPr="00E016A0">
        <w:rPr>
          <w:sz w:val="22"/>
          <w:szCs w:val="22"/>
        </w:rPr>
        <w:t xml:space="preserve"> </w:t>
      </w:r>
      <w:r w:rsidR="00F315E2" w:rsidRPr="00353AE1">
        <w:rPr>
          <w:sz w:val="22"/>
          <w:szCs w:val="22"/>
        </w:rPr>
        <w:t xml:space="preserve">by Level of Government </w:t>
      </w:r>
      <w:r w:rsidRPr="00E016A0">
        <w:rPr>
          <w:sz w:val="22"/>
          <w:szCs w:val="22"/>
        </w:rPr>
        <w:t>in 2026</w:t>
      </w:r>
      <w:r w:rsidR="0016216D" w:rsidRPr="00353AE1">
        <w:rPr>
          <w:sz w:val="22"/>
          <w:szCs w:val="22"/>
        </w:rPr>
        <w:t xml:space="preserve"> (Scenario 1)</w:t>
      </w:r>
      <w:bookmarkEnd w:id="70"/>
    </w:p>
    <w:tbl>
      <w:tblPr>
        <w:tblW w:w="0" w:type="auto"/>
        <w:jc w:val="center"/>
        <w:tblLook w:val="04A0" w:firstRow="1" w:lastRow="0" w:firstColumn="1" w:lastColumn="0" w:noHBand="0" w:noVBand="1"/>
      </w:tblPr>
      <w:tblGrid>
        <w:gridCol w:w="2748"/>
        <w:gridCol w:w="2094"/>
        <w:gridCol w:w="2082"/>
      </w:tblGrid>
      <w:tr w:rsidR="002865DE" w:rsidRPr="00353AE1" w14:paraId="3361CC01" w14:textId="77777777" w:rsidTr="00E016A0">
        <w:trPr>
          <w:trHeight w:val="20"/>
          <w:jc w:val="center"/>
        </w:trPr>
        <w:tc>
          <w:tcPr>
            <w:tcW w:w="0" w:type="auto"/>
            <w:tcBorders>
              <w:top w:val="single" w:sz="4" w:space="0" w:color="auto"/>
              <w:left w:val="nil"/>
              <w:bottom w:val="nil"/>
              <w:right w:val="nil"/>
            </w:tcBorders>
            <w:vAlign w:val="center"/>
            <w:hideMark/>
          </w:tcPr>
          <w:p w14:paraId="6F285496" w14:textId="375BB45A" w:rsidR="002865DE" w:rsidRPr="00E016A0" w:rsidRDefault="002865DE" w:rsidP="002865DE">
            <w:pPr>
              <w:widowControl/>
              <w:jc w:val="left"/>
              <w:rPr>
                <w:rFonts w:eastAsia="Times New Roman"/>
                <w:color w:val="000000"/>
                <w:kern w:val="0"/>
                <w:sz w:val="20"/>
                <w:szCs w:val="20"/>
                <w:lang w:val="en-GB"/>
              </w:rPr>
            </w:pPr>
          </w:p>
        </w:tc>
        <w:tc>
          <w:tcPr>
            <w:tcW w:w="0" w:type="auto"/>
            <w:tcBorders>
              <w:top w:val="single" w:sz="4" w:space="0" w:color="auto"/>
              <w:left w:val="nil"/>
              <w:bottom w:val="nil"/>
              <w:right w:val="nil"/>
            </w:tcBorders>
            <w:vAlign w:val="center"/>
            <w:hideMark/>
          </w:tcPr>
          <w:p w14:paraId="7941E66A" w14:textId="77777777" w:rsidR="002865DE" w:rsidRPr="00E016A0" w:rsidRDefault="002865DE" w:rsidP="002865DE">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1A</w:t>
            </w:r>
          </w:p>
        </w:tc>
        <w:tc>
          <w:tcPr>
            <w:tcW w:w="0" w:type="auto"/>
            <w:tcBorders>
              <w:top w:val="single" w:sz="4" w:space="0" w:color="auto"/>
              <w:left w:val="nil"/>
              <w:bottom w:val="nil"/>
              <w:right w:val="nil"/>
            </w:tcBorders>
            <w:vAlign w:val="center"/>
            <w:hideMark/>
          </w:tcPr>
          <w:p w14:paraId="70316E4F" w14:textId="77777777" w:rsidR="002865DE" w:rsidRPr="00E016A0" w:rsidRDefault="002865DE" w:rsidP="002865DE">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1B</w:t>
            </w:r>
          </w:p>
        </w:tc>
      </w:tr>
      <w:tr w:rsidR="002865DE" w:rsidRPr="00353AE1" w14:paraId="3C425B92" w14:textId="77777777" w:rsidTr="00E016A0">
        <w:trPr>
          <w:trHeight w:val="20"/>
          <w:jc w:val="center"/>
        </w:trPr>
        <w:tc>
          <w:tcPr>
            <w:tcW w:w="0" w:type="auto"/>
            <w:tcBorders>
              <w:top w:val="nil"/>
              <w:left w:val="nil"/>
              <w:bottom w:val="single" w:sz="4" w:space="0" w:color="auto"/>
              <w:right w:val="nil"/>
            </w:tcBorders>
            <w:vAlign w:val="center"/>
            <w:hideMark/>
          </w:tcPr>
          <w:p w14:paraId="49DC0D37" w14:textId="77777777" w:rsidR="002865DE" w:rsidRPr="00E016A0" w:rsidRDefault="002865DE" w:rsidP="002865DE">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 </w:t>
            </w:r>
          </w:p>
        </w:tc>
        <w:tc>
          <w:tcPr>
            <w:tcW w:w="0" w:type="auto"/>
            <w:gridSpan w:val="2"/>
            <w:tcBorders>
              <w:top w:val="nil"/>
              <w:left w:val="nil"/>
              <w:bottom w:val="single" w:sz="4" w:space="0" w:color="auto"/>
              <w:right w:val="nil"/>
            </w:tcBorders>
            <w:vAlign w:val="center"/>
            <w:hideMark/>
          </w:tcPr>
          <w:p w14:paraId="19F3E26E" w14:textId="77777777" w:rsidR="002865DE" w:rsidRPr="00E016A0" w:rsidRDefault="002865DE" w:rsidP="002865DE">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Ordinary deviation from baseline (nominal, A$m)</w:t>
            </w:r>
          </w:p>
        </w:tc>
      </w:tr>
      <w:tr w:rsidR="002865DE" w:rsidRPr="00353AE1" w14:paraId="2809EA6F" w14:textId="77777777" w:rsidTr="00E016A0">
        <w:trPr>
          <w:trHeight w:val="20"/>
          <w:jc w:val="center"/>
        </w:trPr>
        <w:tc>
          <w:tcPr>
            <w:tcW w:w="0" w:type="auto"/>
            <w:tcBorders>
              <w:top w:val="nil"/>
              <w:left w:val="nil"/>
              <w:bottom w:val="single" w:sz="4" w:space="0" w:color="auto"/>
              <w:right w:val="nil"/>
            </w:tcBorders>
            <w:vAlign w:val="center"/>
            <w:hideMark/>
          </w:tcPr>
          <w:p w14:paraId="58BFC010" w14:textId="77777777" w:rsidR="002865DE" w:rsidRPr="00E016A0" w:rsidRDefault="002865DE" w:rsidP="002865DE">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Federal government</w:t>
            </w:r>
          </w:p>
        </w:tc>
        <w:tc>
          <w:tcPr>
            <w:tcW w:w="0" w:type="auto"/>
            <w:tcBorders>
              <w:top w:val="nil"/>
              <w:left w:val="nil"/>
              <w:bottom w:val="single" w:sz="4" w:space="0" w:color="auto"/>
              <w:right w:val="nil"/>
            </w:tcBorders>
            <w:vAlign w:val="center"/>
            <w:hideMark/>
          </w:tcPr>
          <w:p w14:paraId="4F37FF5A"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269.61</w:t>
            </w:r>
          </w:p>
        </w:tc>
        <w:tc>
          <w:tcPr>
            <w:tcW w:w="0" w:type="auto"/>
            <w:tcBorders>
              <w:top w:val="nil"/>
              <w:left w:val="nil"/>
              <w:bottom w:val="single" w:sz="4" w:space="0" w:color="auto"/>
              <w:right w:val="nil"/>
            </w:tcBorders>
            <w:vAlign w:val="center"/>
            <w:hideMark/>
          </w:tcPr>
          <w:p w14:paraId="324BFBDC"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91.05</w:t>
            </w:r>
          </w:p>
        </w:tc>
      </w:tr>
      <w:tr w:rsidR="002865DE" w:rsidRPr="00353AE1" w14:paraId="6172AEEF" w14:textId="77777777" w:rsidTr="00E016A0">
        <w:trPr>
          <w:trHeight w:val="20"/>
          <w:jc w:val="center"/>
        </w:trPr>
        <w:tc>
          <w:tcPr>
            <w:tcW w:w="0" w:type="auto"/>
            <w:tcBorders>
              <w:top w:val="single" w:sz="4" w:space="0" w:color="auto"/>
              <w:left w:val="nil"/>
              <w:bottom w:val="nil"/>
              <w:right w:val="nil"/>
            </w:tcBorders>
            <w:vAlign w:val="center"/>
            <w:hideMark/>
          </w:tcPr>
          <w:p w14:paraId="1F73710E" w14:textId="5DFC65C6" w:rsidR="002865DE" w:rsidRPr="00E016A0" w:rsidRDefault="00913E4A" w:rsidP="002865DE">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State/local government (total)</w:t>
            </w:r>
          </w:p>
        </w:tc>
        <w:tc>
          <w:tcPr>
            <w:tcW w:w="0" w:type="auto"/>
            <w:tcBorders>
              <w:top w:val="single" w:sz="4" w:space="0" w:color="auto"/>
              <w:left w:val="nil"/>
              <w:bottom w:val="nil"/>
              <w:right w:val="nil"/>
            </w:tcBorders>
            <w:vAlign w:val="center"/>
            <w:hideMark/>
          </w:tcPr>
          <w:p w14:paraId="2AC4D990"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849.09</w:t>
            </w:r>
          </w:p>
        </w:tc>
        <w:tc>
          <w:tcPr>
            <w:tcW w:w="0" w:type="auto"/>
            <w:tcBorders>
              <w:top w:val="single" w:sz="4" w:space="0" w:color="auto"/>
              <w:left w:val="nil"/>
              <w:bottom w:val="nil"/>
              <w:right w:val="nil"/>
            </w:tcBorders>
            <w:vAlign w:val="center"/>
            <w:hideMark/>
          </w:tcPr>
          <w:p w14:paraId="5CDB3AFC"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286.75</w:t>
            </w:r>
          </w:p>
        </w:tc>
      </w:tr>
      <w:tr w:rsidR="0075297E" w:rsidRPr="00353AE1" w14:paraId="282222DA" w14:textId="77777777" w:rsidTr="00E016A0">
        <w:trPr>
          <w:trHeight w:val="20"/>
          <w:jc w:val="center"/>
        </w:trPr>
        <w:tc>
          <w:tcPr>
            <w:tcW w:w="0" w:type="auto"/>
            <w:tcBorders>
              <w:top w:val="nil"/>
              <w:left w:val="nil"/>
              <w:bottom w:val="nil"/>
              <w:right w:val="nil"/>
            </w:tcBorders>
            <w:vAlign w:val="center"/>
          </w:tcPr>
          <w:p w14:paraId="6FE09B62" w14:textId="4A3EBB03" w:rsidR="0075297E" w:rsidRPr="00E016A0" w:rsidRDefault="00A72C46" w:rsidP="00E016A0">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of which:</w:t>
            </w:r>
          </w:p>
        </w:tc>
        <w:tc>
          <w:tcPr>
            <w:tcW w:w="0" w:type="auto"/>
            <w:tcBorders>
              <w:top w:val="nil"/>
              <w:left w:val="nil"/>
              <w:bottom w:val="nil"/>
              <w:right w:val="nil"/>
            </w:tcBorders>
            <w:vAlign w:val="center"/>
          </w:tcPr>
          <w:p w14:paraId="16B5E8A1" w14:textId="77777777" w:rsidR="0075297E" w:rsidRPr="00E016A0" w:rsidRDefault="0075297E" w:rsidP="002865DE">
            <w:pPr>
              <w:widowControl/>
              <w:jc w:val="right"/>
              <w:rPr>
                <w:rFonts w:eastAsia="Times New Roman"/>
                <w:i/>
                <w:iCs/>
                <w:color w:val="000000"/>
                <w:kern w:val="0"/>
                <w:sz w:val="20"/>
                <w:szCs w:val="20"/>
                <w:lang w:val="en-GB"/>
              </w:rPr>
            </w:pPr>
          </w:p>
        </w:tc>
        <w:tc>
          <w:tcPr>
            <w:tcW w:w="0" w:type="auto"/>
            <w:tcBorders>
              <w:top w:val="nil"/>
              <w:left w:val="nil"/>
              <w:bottom w:val="nil"/>
              <w:right w:val="nil"/>
            </w:tcBorders>
            <w:vAlign w:val="center"/>
          </w:tcPr>
          <w:p w14:paraId="5BAA1CDD" w14:textId="77777777" w:rsidR="0075297E" w:rsidRPr="00E016A0" w:rsidRDefault="0075297E" w:rsidP="002865DE">
            <w:pPr>
              <w:widowControl/>
              <w:jc w:val="right"/>
              <w:rPr>
                <w:rFonts w:eastAsia="Times New Roman"/>
                <w:i/>
                <w:iCs/>
                <w:color w:val="000000"/>
                <w:kern w:val="0"/>
                <w:sz w:val="20"/>
                <w:szCs w:val="20"/>
                <w:lang w:val="en-GB"/>
              </w:rPr>
            </w:pPr>
          </w:p>
        </w:tc>
      </w:tr>
      <w:tr w:rsidR="002865DE" w:rsidRPr="00353AE1" w14:paraId="11A14750" w14:textId="77777777" w:rsidTr="00E016A0">
        <w:trPr>
          <w:trHeight w:val="20"/>
          <w:jc w:val="center"/>
        </w:trPr>
        <w:tc>
          <w:tcPr>
            <w:tcW w:w="0" w:type="auto"/>
            <w:tcBorders>
              <w:top w:val="nil"/>
              <w:left w:val="nil"/>
              <w:bottom w:val="nil"/>
              <w:right w:val="nil"/>
            </w:tcBorders>
            <w:vAlign w:val="center"/>
            <w:hideMark/>
          </w:tcPr>
          <w:p w14:paraId="07ADFB6B"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NSWACT</w:t>
            </w:r>
          </w:p>
        </w:tc>
        <w:tc>
          <w:tcPr>
            <w:tcW w:w="0" w:type="auto"/>
            <w:tcBorders>
              <w:top w:val="nil"/>
              <w:left w:val="nil"/>
              <w:bottom w:val="nil"/>
              <w:right w:val="nil"/>
            </w:tcBorders>
            <w:vAlign w:val="center"/>
            <w:hideMark/>
          </w:tcPr>
          <w:p w14:paraId="3892DD43"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245.81</w:t>
            </w:r>
          </w:p>
        </w:tc>
        <w:tc>
          <w:tcPr>
            <w:tcW w:w="0" w:type="auto"/>
            <w:tcBorders>
              <w:top w:val="nil"/>
              <w:left w:val="nil"/>
              <w:bottom w:val="nil"/>
              <w:right w:val="nil"/>
            </w:tcBorders>
            <w:vAlign w:val="center"/>
            <w:hideMark/>
          </w:tcPr>
          <w:p w14:paraId="753F1F50"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83.01</w:t>
            </w:r>
          </w:p>
        </w:tc>
      </w:tr>
      <w:tr w:rsidR="002865DE" w:rsidRPr="00353AE1" w14:paraId="62B0872D" w14:textId="77777777" w:rsidTr="00E016A0">
        <w:trPr>
          <w:trHeight w:val="20"/>
          <w:jc w:val="center"/>
        </w:trPr>
        <w:tc>
          <w:tcPr>
            <w:tcW w:w="0" w:type="auto"/>
            <w:tcBorders>
              <w:top w:val="nil"/>
              <w:left w:val="nil"/>
              <w:bottom w:val="nil"/>
              <w:right w:val="nil"/>
            </w:tcBorders>
            <w:vAlign w:val="center"/>
            <w:hideMark/>
          </w:tcPr>
          <w:p w14:paraId="7339764A"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VIC</w:t>
            </w:r>
          </w:p>
        </w:tc>
        <w:tc>
          <w:tcPr>
            <w:tcW w:w="0" w:type="auto"/>
            <w:tcBorders>
              <w:top w:val="nil"/>
              <w:left w:val="nil"/>
              <w:bottom w:val="nil"/>
              <w:right w:val="nil"/>
            </w:tcBorders>
            <w:vAlign w:val="center"/>
            <w:hideMark/>
          </w:tcPr>
          <w:p w14:paraId="7E7BF7DB"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175.68</w:t>
            </w:r>
          </w:p>
        </w:tc>
        <w:tc>
          <w:tcPr>
            <w:tcW w:w="0" w:type="auto"/>
            <w:tcBorders>
              <w:top w:val="nil"/>
              <w:left w:val="nil"/>
              <w:bottom w:val="nil"/>
              <w:right w:val="nil"/>
            </w:tcBorders>
            <w:vAlign w:val="center"/>
            <w:hideMark/>
          </w:tcPr>
          <w:p w14:paraId="74E079E0"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59.33</w:t>
            </w:r>
          </w:p>
        </w:tc>
      </w:tr>
      <w:tr w:rsidR="002865DE" w:rsidRPr="00353AE1" w14:paraId="6D6AC4AE" w14:textId="77777777" w:rsidTr="00E016A0">
        <w:trPr>
          <w:trHeight w:val="20"/>
          <w:jc w:val="center"/>
        </w:trPr>
        <w:tc>
          <w:tcPr>
            <w:tcW w:w="0" w:type="auto"/>
            <w:tcBorders>
              <w:top w:val="nil"/>
              <w:left w:val="nil"/>
              <w:bottom w:val="nil"/>
              <w:right w:val="nil"/>
            </w:tcBorders>
            <w:vAlign w:val="center"/>
            <w:hideMark/>
          </w:tcPr>
          <w:p w14:paraId="293EAC7B"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QLD</w:t>
            </w:r>
          </w:p>
        </w:tc>
        <w:tc>
          <w:tcPr>
            <w:tcW w:w="0" w:type="auto"/>
            <w:tcBorders>
              <w:top w:val="nil"/>
              <w:left w:val="nil"/>
              <w:bottom w:val="nil"/>
              <w:right w:val="nil"/>
            </w:tcBorders>
            <w:vAlign w:val="center"/>
            <w:hideMark/>
          </w:tcPr>
          <w:p w14:paraId="646BAA12"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248.87</w:t>
            </w:r>
          </w:p>
        </w:tc>
        <w:tc>
          <w:tcPr>
            <w:tcW w:w="0" w:type="auto"/>
            <w:tcBorders>
              <w:top w:val="nil"/>
              <w:left w:val="nil"/>
              <w:bottom w:val="nil"/>
              <w:right w:val="nil"/>
            </w:tcBorders>
            <w:vAlign w:val="center"/>
            <w:hideMark/>
          </w:tcPr>
          <w:p w14:paraId="11686802"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84.05</w:t>
            </w:r>
          </w:p>
        </w:tc>
      </w:tr>
      <w:tr w:rsidR="002865DE" w:rsidRPr="00353AE1" w14:paraId="224D8CB3" w14:textId="77777777" w:rsidTr="00E016A0">
        <w:trPr>
          <w:trHeight w:val="20"/>
          <w:jc w:val="center"/>
        </w:trPr>
        <w:tc>
          <w:tcPr>
            <w:tcW w:w="0" w:type="auto"/>
            <w:tcBorders>
              <w:top w:val="nil"/>
              <w:left w:val="nil"/>
              <w:bottom w:val="nil"/>
              <w:right w:val="nil"/>
            </w:tcBorders>
            <w:vAlign w:val="center"/>
            <w:hideMark/>
          </w:tcPr>
          <w:p w14:paraId="34082AA4"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SA</w:t>
            </w:r>
          </w:p>
        </w:tc>
        <w:tc>
          <w:tcPr>
            <w:tcW w:w="0" w:type="auto"/>
            <w:tcBorders>
              <w:top w:val="nil"/>
              <w:left w:val="nil"/>
              <w:bottom w:val="nil"/>
              <w:right w:val="nil"/>
            </w:tcBorders>
            <w:vAlign w:val="center"/>
            <w:hideMark/>
          </w:tcPr>
          <w:p w14:paraId="3858B0EB"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44.58</w:t>
            </w:r>
          </w:p>
        </w:tc>
        <w:tc>
          <w:tcPr>
            <w:tcW w:w="0" w:type="auto"/>
            <w:tcBorders>
              <w:top w:val="nil"/>
              <w:left w:val="nil"/>
              <w:bottom w:val="nil"/>
              <w:right w:val="nil"/>
            </w:tcBorders>
            <w:vAlign w:val="center"/>
            <w:hideMark/>
          </w:tcPr>
          <w:p w14:paraId="3D87EAF5"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15.05</w:t>
            </w:r>
          </w:p>
        </w:tc>
      </w:tr>
      <w:tr w:rsidR="002865DE" w:rsidRPr="00353AE1" w14:paraId="3F391CEF" w14:textId="77777777" w:rsidTr="00E016A0">
        <w:trPr>
          <w:trHeight w:val="20"/>
          <w:jc w:val="center"/>
        </w:trPr>
        <w:tc>
          <w:tcPr>
            <w:tcW w:w="0" w:type="auto"/>
            <w:tcBorders>
              <w:top w:val="nil"/>
              <w:left w:val="nil"/>
              <w:bottom w:val="nil"/>
              <w:right w:val="nil"/>
            </w:tcBorders>
            <w:vAlign w:val="center"/>
            <w:hideMark/>
          </w:tcPr>
          <w:p w14:paraId="141B84C0"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TAS</w:t>
            </w:r>
          </w:p>
        </w:tc>
        <w:tc>
          <w:tcPr>
            <w:tcW w:w="0" w:type="auto"/>
            <w:tcBorders>
              <w:top w:val="nil"/>
              <w:left w:val="nil"/>
              <w:bottom w:val="nil"/>
              <w:right w:val="nil"/>
            </w:tcBorders>
            <w:vAlign w:val="center"/>
            <w:hideMark/>
          </w:tcPr>
          <w:p w14:paraId="7EC0656E"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20.29</w:t>
            </w:r>
          </w:p>
        </w:tc>
        <w:tc>
          <w:tcPr>
            <w:tcW w:w="0" w:type="auto"/>
            <w:tcBorders>
              <w:top w:val="nil"/>
              <w:left w:val="nil"/>
              <w:bottom w:val="nil"/>
              <w:right w:val="nil"/>
            </w:tcBorders>
            <w:vAlign w:val="center"/>
            <w:hideMark/>
          </w:tcPr>
          <w:p w14:paraId="36002931"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6.85</w:t>
            </w:r>
          </w:p>
        </w:tc>
      </w:tr>
      <w:tr w:rsidR="002865DE" w:rsidRPr="00353AE1" w14:paraId="69527195" w14:textId="77777777" w:rsidTr="00E016A0">
        <w:trPr>
          <w:trHeight w:val="20"/>
          <w:jc w:val="center"/>
        </w:trPr>
        <w:tc>
          <w:tcPr>
            <w:tcW w:w="0" w:type="auto"/>
            <w:tcBorders>
              <w:top w:val="nil"/>
              <w:left w:val="nil"/>
              <w:bottom w:val="single" w:sz="4" w:space="0" w:color="auto"/>
              <w:right w:val="nil"/>
            </w:tcBorders>
            <w:vAlign w:val="center"/>
            <w:hideMark/>
          </w:tcPr>
          <w:p w14:paraId="0D17D864" w14:textId="77777777" w:rsidR="002865DE" w:rsidRPr="00E016A0" w:rsidRDefault="002865DE" w:rsidP="002865DE">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WANT</w:t>
            </w:r>
          </w:p>
        </w:tc>
        <w:tc>
          <w:tcPr>
            <w:tcW w:w="0" w:type="auto"/>
            <w:tcBorders>
              <w:top w:val="nil"/>
              <w:left w:val="nil"/>
              <w:bottom w:val="single" w:sz="4" w:space="0" w:color="auto"/>
              <w:right w:val="nil"/>
            </w:tcBorders>
            <w:vAlign w:val="center"/>
            <w:hideMark/>
          </w:tcPr>
          <w:p w14:paraId="66D52674"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113.86</w:t>
            </w:r>
          </w:p>
        </w:tc>
        <w:tc>
          <w:tcPr>
            <w:tcW w:w="0" w:type="auto"/>
            <w:tcBorders>
              <w:top w:val="nil"/>
              <w:left w:val="nil"/>
              <w:bottom w:val="single" w:sz="4" w:space="0" w:color="auto"/>
              <w:right w:val="nil"/>
            </w:tcBorders>
            <w:vAlign w:val="center"/>
            <w:hideMark/>
          </w:tcPr>
          <w:p w14:paraId="1A311DD7" w14:textId="77777777" w:rsidR="002865DE" w:rsidRPr="00E016A0" w:rsidRDefault="002865DE"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38.45</w:t>
            </w:r>
          </w:p>
        </w:tc>
      </w:tr>
      <w:tr w:rsidR="002865DE" w:rsidRPr="00353AE1" w14:paraId="158BC896" w14:textId="77777777" w:rsidTr="00E016A0">
        <w:trPr>
          <w:trHeight w:val="20"/>
          <w:jc w:val="center"/>
        </w:trPr>
        <w:tc>
          <w:tcPr>
            <w:tcW w:w="0" w:type="auto"/>
            <w:tcBorders>
              <w:top w:val="nil"/>
              <w:left w:val="nil"/>
              <w:bottom w:val="double" w:sz="6" w:space="0" w:color="auto"/>
              <w:right w:val="nil"/>
            </w:tcBorders>
            <w:vAlign w:val="center"/>
            <w:hideMark/>
          </w:tcPr>
          <w:p w14:paraId="749356A3" w14:textId="5C20D46D" w:rsidR="00913E4A" w:rsidRPr="00E016A0" w:rsidRDefault="002865DE" w:rsidP="002865DE">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 xml:space="preserve">Total </w:t>
            </w:r>
          </w:p>
          <w:p w14:paraId="1ADC4EFA" w14:textId="64A1347E" w:rsidR="002865DE" w:rsidRPr="00E016A0" w:rsidRDefault="00913E4A" w:rsidP="002865DE">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A</w:t>
            </w:r>
            <w:r w:rsidR="002865DE" w:rsidRPr="00E016A0">
              <w:rPr>
                <w:rFonts w:eastAsia="Times New Roman"/>
                <w:i/>
                <w:iCs/>
                <w:color w:val="000000"/>
                <w:kern w:val="0"/>
                <w:sz w:val="20"/>
                <w:szCs w:val="20"/>
                <w:lang w:val="en-GB"/>
              </w:rPr>
              <w:t>ll levels of government</w:t>
            </w:r>
          </w:p>
        </w:tc>
        <w:tc>
          <w:tcPr>
            <w:tcW w:w="0" w:type="auto"/>
            <w:tcBorders>
              <w:top w:val="nil"/>
              <w:left w:val="nil"/>
              <w:bottom w:val="double" w:sz="6" w:space="0" w:color="auto"/>
              <w:right w:val="nil"/>
            </w:tcBorders>
            <w:vAlign w:val="center"/>
            <w:hideMark/>
          </w:tcPr>
          <w:p w14:paraId="10CE8B3D"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1118.70</w:t>
            </w:r>
          </w:p>
        </w:tc>
        <w:tc>
          <w:tcPr>
            <w:tcW w:w="0" w:type="auto"/>
            <w:tcBorders>
              <w:top w:val="nil"/>
              <w:left w:val="nil"/>
              <w:bottom w:val="double" w:sz="6" w:space="0" w:color="auto"/>
              <w:right w:val="nil"/>
            </w:tcBorders>
            <w:vAlign w:val="center"/>
            <w:hideMark/>
          </w:tcPr>
          <w:p w14:paraId="5EC06266" w14:textId="77777777" w:rsidR="002865DE" w:rsidRPr="00E016A0" w:rsidRDefault="002865DE" w:rsidP="002865DE">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377.80</w:t>
            </w:r>
          </w:p>
        </w:tc>
      </w:tr>
    </w:tbl>
    <w:p w14:paraId="04654428" w14:textId="77777777" w:rsidR="00077FFA" w:rsidRPr="00353AE1" w:rsidRDefault="00077FFA" w:rsidP="00606B25">
      <w:pPr>
        <w:spacing w:after="120"/>
      </w:pPr>
    </w:p>
    <w:p w14:paraId="22ACAB83" w14:textId="18535973" w:rsidR="005E056E" w:rsidRPr="00353AE1" w:rsidRDefault="005E056E" w:rsidP="00606B25">
      <w:pPr>
        <w:pStyle w:val="Heading1"/>
        <w:numPr>
          <w:ilvl w:val="0"/>
          <w:numId w:val="5"/>
        </w:numPr>
        <w:spacing w:before="0" w:after="120"/>
        <w:ind w:left="284"/>
        <w:rPr>
          <w:rFonts w:cs="Calibri"/>
        </w:rPr>
      </w:pPr>
      <w:bookmarkStart w:id="71" w:name="_Toc234277238"/>
      <w:r w:rsidRPr="00353AE1">
        <w:rPr>
          <w:rFonts w:cs="Calibri"/>
        </w:rPr>
        <w:lastRenderedPageBreak/>
        <w:t>Results: Scenario 2</w:t>
      </w:r>
      <w:bookmarkEnd w:id="71"/>
    </w:p>
    <w:p w14:paraId="1990EEED" w14:textId="172FA77B" w:rsidR="00AE2459" w:rsidRPr="00353AE1" w:rsidRDefault="005F4ECB" w:rsidP="00606B25">
      <w:pPr>
        <w:pStyle w:val="Heading2"/>
        <w:spacing w:before="0" w:after="120"/>
        <w:rPr>
          <w:rFonts w:cs="Calibri"/>
          <w:i/>
          <w:iCs/>
        </w:rPr>
      </w:pPr>
      <w:bookmarkStart w:id="72" w:name="_Toc234277239"/>
      <w:r w:rsidRPr="00353AE1">
        <w:rPr>
          <w:rStyle w:val="SubtleEmphasis"/>
          <w:rFonts w:cs="Calibri"/>
          <w:i w:val="0"/>
          <w:iCs w:val="0"/>
          <w:color w:val="auto"/>
        </w:rPr>
        <w:t>5</w:t>
      </w:r>
      <w:r w:rsidR="00A3526B" w:rsidRPr="00353AE1">
        <w:rPr>
          <w:rStyle w:val="SubtleEmphasis"/>
          <w:rFonts w:cs="Calibri"/>
          <w:i w:val="0"/>
          <w:iCs w:val="0"/>
          <w:color w:val="auto"/>
        </w:rPr>
        <w:t>.</w:t>
      </w:r>
      <w:r w:rsidRPr="00353AE1">
        <w:rPr>
          <w:rStyle w:val="SubtleEmphasis"/>
          <w:rFonts w:cs="Calibri"/>
          <w:i w:val="0"/>
          <w:iCs w:val="0"/>
          <w:color w:val="auto"/>
        </w:rPr>
        <w:t>1</w:t>
      </w:r>
      <w:r w:rsidR="00A3526B" w:rsidRPr="00353AE1">
        <w:rPr>
          <w:rStyle w:val="SubtleEmphasis"/>
          <w:rFonts w:cs="Calibri"/>
          <w:i w:val="0"/>
          <w:iCs w:val="0"/>
          <w:color w:val="auto"/>
        </w:rPr>
        <w:t xml:space="preserve"> </w:t>
      </w:r>
      <w:r w:rsidRPr="00353AE1">
        <w:rPr>
          <w:rStyle w:val="SubtleEmphasis"/>
          <w:rFonts w:cs="Calibri"/>
          <w:i w:val="0"/>
          <w:iCs w:val="0"/>
          <w:color w:val="auto"/>
        </w:rPr>
        <w:t>Impacts on Road Freight</w:t>
      </w:r>
      <w:bookmarkEnd w:id="72"/>
    </w:p>
    <w:p w14:paraId="64BAEAC7" w14:textId="0DEBF4BC" w:rsidR="00761B24" w:rsidRPr="00353AE1" w:rsidRDefault="00761B24" w:rsidP="00606B25">
      <w:pPr>
        <w:spacing w:after="120"/>
        <w:jc w:val="left"/>
      </w:pPr>
      <w:r w:rsidRPr="00353AE1">
        <w:t xml:space="preserve">Scenario 2 </w:t>
      </w:r>
      <w:r w:rsidR="00B00237" w:rsidRPr="00353AE1">
        <w:t>models</w:t>
      </w:r>
      <w:r w:rsidRPr="00353AE1">
        <w:t xml:space="preserve"> the establishment of the National Automated Access System</w:t>
      </w:r>
      <w:r w:rsidR="00674A4C" w:rsidRPr="00353AE1">
        <w:t xml:space="preserve"> (NAAS)</w:t>
      </w:r>
      <w:r w:rsidRPr="00353AE1">
        <w:t xml:space="preserve">. In the modelling, this is implemented as an MFP improvement in the Road Freight sector in the NAAS states only, namely NSW&amp;ACT, VIC, QLD, SA and TAS. </w:t>
      </w:r>
    </w:p>
    <w:p w14:paraId="71CDC07D" w14:textId="7E408CCC" w:rsidR="00761B24" w:rsidRPr="00353AE1" w:rsidRDefault="00761B24" w:rsidP="00606B25">
      <w:pPr>
        <w:spacing w:after="120"/>
        <w:jc w:val="left"/>
      </w:pPr>
      <w:r w:rsidRPr="00353AE1">
        <w:t xml:space="preserve">Table </w:t>
      </w:r>
      <w:r w:rsidR="00706B90" w:rsidRPr="00353AE1">
        <w:t xml:space="preserve">13 </w:t>
      </w:r>
      <w:r w:rsidRPr="00353AE1">
        <w:t>summarises the national Road Freight and Heavy Vehicle responses under Scenario 2. On impact, the Road Freight MFP improvement reduces the basic price of Road Freight output by 1.9 per cent and raises national Road Freight output by 0.34 per cent relative to baseline. By 2040, Road Freight output is 0.36 per cent above baseline, while its basic output price remains 1.8 per cent below baseline.</w:t>
      </w:r>
    </w:p>
    <w:p w14:paraId="4F54C645" w14:textId="05CBA417" w:rsidR="00664B20" w:rsidRPr="00353AE1" w:rsidRDefault="007F0CCE" w:rsidP="00606B25">
      <w:pPr>
        <w:spacing w:after="120"/>
        <w:jc w:val="left"/>
      </w:pPr>
      <w:r w:rsidRPr="00353AE1">
        <w:t>Like</w:t>
      </w:r>
      <w:r w:rsidR="0090473F" w:rsidRPr="00353AE1">
        <w:t xml:space="preserve"> Scenario 1, </w:t>
      </w:r>
      <w:r w:rsidR="007E1A66" w:rsidRPr="00353AE1">
        <w:t>as</w:t>
      </w:r>
      <w:r w:rsidR="00761B24" w:rsidRPr="00353AE1">
        <w:t xml:space="preserve"> Road Freight uses </w:t>
      </w:r>
      <w:r w:rsidR="00275E23" w:rsidRPr="00353AE1">
        <w:t>H</w:t>
      </w:r>
      <w:r w:rsidR="00761B24" w:rsidRPr="00353AE1">
        <w:t xml:space="preserve">eavy </w:t>
      </w:r>
      <w:r w:rsidR="00275E23" w:rsidRPr="00353AE1">
        <w:t>V</w:t>
      </w:r>
      <w:r w:rsidR="00761B24" w:rsidRPr="00353AE1">
        <w:t>ehicle as</w:t>
      </w:r>
      <w:r w:rsidRPr="00353AE1">
        <w:t xml:space="preserve"> an</w:t>
      </w:r>
      <w:r w:rsidR="00761B24" w:rsidRPr="00353AE1">
        <w:t xml:space="preserve"> intermediate input, the productivity improvement reduces the demand for heavy vehicle inputs per unit of </w:t>
      </w:r>
      <w:r w:rsidR="00424A57" w:rsidRPr="00353AE1">
        <w:t>Road Freight</w:t>
      </w:r>
      <w:r w:rsidR="00761B24" w:rsidRPr="00353AE1">
        <w:t xml:space="preserve"> output. National Heavy Vehicle output falls by 0.14 per cent in 2026 and remains 0.13 per cent below baseline by 2040. The basic price of Heavy Vehicle output falls by 0.12 per cent on impact and remains 0.07 per cent below baseline by 2040. </w:t>
      </w:r>
    </w:p>
    <w:p w14:paraId="4565DE98" w14:textId="77777777" w:rsidR="003E163C" w:rsidRPr="00353AE1" w:rsidRDefault="003E163C" w:rsidP="00606B25">
      <w:pPr>
        <w:spacing w:after="120"/>
        <w:jc w:val="left"/>
      </w:pPr>
    </w:p>
    <w:p w14:paraId="2A96C3CA" w14:textId="0D6656DD" w:rsidR="00D242D2" w:rsidRPr="00353AE1" w:rsidRDefault="00D242D2" w:rsidP="00606B25">
      <w:pPr>
        <w:pStyle w:val="Caption"/>
        <w:keepNext/>
        <w:spacing w:after="120"/>
        <w:jc w:val="center"/>
        <w:rPr>
          <w:sz w:val="22"/>
          <w:szCs w:val="22"/>
        </w:rPr>
      </w:pPr>
      <w:bookmarkStart w:id="73" w:name="_Toc230696734"/>
      <w:bookmarkStart w:id="74" w:name="_Toc230710352"/>
      <w:bookmarkStart w:id="75" w:name="_Toc230710398"/>
      <w:bookmarkStart w:id="76" w:name="_Toc230711121"/>
      <w:bookmarkStart w:id="77" w:name="_Toc231907817"/>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13</w:t>
      </w:r>
      <w:r w:rsidR="00DF6059" w:rsidRPr="00353AE1">
        <w:rPr>
          <w:sz w:val="22"/>
          <w:szCs w:val="22"/>
        </w:rPr>
        <w:fldChar w:fldCharType="end"/>
      </w:r>
      <w:r w:rsidRPr="00353AE1">
        <w:rPr>
          <w:sz w:val="22"/>
          <w:szCs w:val="22"/>
        </w:rPr>
        <w:t xml:space="preserve">. Road Freight and Heavy Vehicle Output and Price </w:t>
      </w:r>
      <w:r w:rsidR="00843223" w:rsidRPr="00353AE1">
        <w:rPr>
          <w:sz w:val="22"/>
          <w:szCs w:val="22"/>
        </w:rPr>
        <w:t>R</w:t>
      </w:r>
      <w:r w:rsidRPr="00353AE1">
        <w:rPr>
          <w:sz w:val="22"/>
          <w:szCs w:val="22"/>
        </w:rPr>
        <w:t xml:space="preserve">esponses </w:t>
      </w:r>
      <w:r w:rsidR="00514F77" w:rsidRPr="00353AE1">
        <w:rPr>
          <w:sz w:val="22"/>
          <w:szCs w:val="22"/>
        </w:rPr>
        <w:t>(</w:t>
      </w:r>
      <w:r w:rsidRPr="00353AE1">
        <w:rPr>
          <w:sz w:val="22"/>
          <w:szCs w:val="22"/>
        </w:rPr>
        <w:t>Scenario 2</w:t>
      </w:r>
      <w:bookmarkEnd w:id="73"/>
      <w:bookmarkEnd w:id="74"/>
      <w:r w:rsidR="00514F77" w:rsidRPr="00353AE1">
        <w:rPr>
          <w:sz w:val="22"/>
          <w:szCs w:val="22"/>
        </w:rPr>
        <w:t>)</w:t>
      </w:r>
      <w:bookmarkEnd w:id="75"/>
      <w:bookmarkEnd w:id="76"/>
      <w:bookmarkEnd w:id="77"/>
    </w:p>
    <w:tbl>
      <w:tblPr>
        <w:tblW w:w="0" w:type="auto"/>
        <w:jc w:val="center"/>
        <w:tblLook w:val="04A0" w:firstRow="1" w:lastRow="0" w:firstColumn="1" w:lastColumn="0" w:noHBand="0" w:noVBand="1"/>
      </w:tblPr>
      <w:tblGrid>
        <w:gridCol w:w="2842"/>
        <w:gridCol w:w="1165"/>
        <w:gridCol w:w="1165"/>
        <w:gridCol w:w="1165"/>
        <w:gridCol w:w="1165"/>
      </w:tblGrid>
      <w:tr w:rsidR="00CE1CD7" w:rsidRPr="00353AE1" w14:paraId="59BFFC03" w14:textId="77777777" w:rsidTr="00E016A0">
        <w:trPr>
          <w:trHeight w:val="300"/>
          <w:jc w:val="center"/>
        </w:trPr>
        <w:tc>
          <w:tcPr>
            <w:tcW w:w="0" w:type="auto"/>
            <w:tcBorders>
              <w:top w:val="single" w:sz="4" w:space="0" w:color="auto"/>
              <w:left w:val="nil"/>
              <w:bottom w:val="nil"/>
              <w:right w:val="nil"/>
            </w:tcBorders>
            <w:noWrap/>
            <w:vAlign w:val="bottom"/>
            <w:hideMark/>
          </w:tcPr>
          <w:p w14:paraId="64B3A41E" w14:textId="77777777" w:rsidR="00CE1CD7" w:rsidRPr="00E016A0" w:rsidRDefault="00CE1CD7" w:rsidP="00CE1CD7">
            <w:pPr>
              <w:widowControl/>
              <w:jc w:val="left"/>
              <w:rPr>
                <w:rFonts w:eastAsia="Times New Roman"/>
                <w:b/>
                <w:bCs/>
                <w:color w:val="000000"/>
                <w:kern w:val="0"/>
                <w:lang w:val="en-GB"/>
              </w:rPr>
            </w:pPr>
            <w:r w:rsidRPr="00E016A0">
              <w:rPr>
                <w:rFonts w:eastAsia="Times New Roman"/>
                <w:b/>
                <w:bCs/>
                <w:color w:val="000000"/>
                <w:kern w:val="0"/>
                <w:lang w:val="en-GB"/>
              </w:rPr>
              <w:t> </w:t>
            </w:r>
          </w:p>
        </w:tc>
        <w:tc>
          <w:tcPr>
            <w:tcW w:w="0" w:type="auto"/>
            <w:gridSpan w:val="2"/>
            <w:tcBorders>
              <w:top w:val="single" w:sz="4" w:space="0" w:color="auto"/>
              <w:left w:val="nil"/>
              <w:bottom w:val="single" w:sz="4" w:space="0" w:color="auto"/>
              <w:right w:val="nil"/>
            </w:tcBorders>
            <w:noWrap/>
            <w:vAlign w:val="bottom"/>
            <w:hideMark/>
          </w:tcPr>
          <w:p w14:paraId="5AAC02D7" w14:textId="77777777" w:rsidR="00CE1CD7" w:rsidRPr="00E016A0" w:rsidRDefault="00CE1CD7" w:rsidP="00CE1CD7">
            <w:pPr>
              <w:widowControl/>
              <w:jc w:val="center"/>
              <w:rPr>
                <w:rFonts w:eastAsia="Times New Roman"/>
                <w:b/>
                <w:bCs/>
                <w:color w:val="000000"/>
                <w:kern w:val="0"/>
                <w:lang w:val="en-GB"/>
              </w:rPr>
            </w:pPr>
            <w:r w:rsidRPr="00E016A0">
              <w:rPr>
                <w:rFonts w:eastAsia="Times New Roman"/>
                <w:b/>
                <w:bCs/>
                <w:color w:val="000000"/>
                <w:kern w:val="0"/>
                <w:lang w:val="en-GB"/>
              </w:rPr>
              <w:t>Scenario 2A</w:t>
            </w:r>
          </w:p>
        </w:tc>
        <w:tc>
          <w:tcPr>
            <w:tcW w:w="0" w:type="auto"/>
            <w:gridSpan w:val="2"/>
            <w:tcBorders>
              <w:top w:val="single" w:sz="4" w:space="0" w:color="auto"/>
              <w:left w:val="nil"/>
              <w:bottom w:val="single" w:sz="4" w:space="0" w:color="auto"/>
              <w:right w:val="nil"/>
            </w:tcBorders>
            <w:noWrap/>
            <w:vAlign w:val="bottom"/>
            <w:hideMark/>
          </w:tcPr>
          <w:p w14:paraId="13F5DA2F" w14:textId="77777777" w:rsidR="00CE1CD7" w:rsidRPr="00E016A0" w:rsidRDefault="00CE1CD7" w:rsidP="00CE1CD7">
            <w:pPr>
              <w:widowControl/>
              <w:jc w:val="center"/>
              <w:rPr>
                <w:rFonts w:eastAsia="Times New Roman"/>
                <w:b/>
                <w:bCs/>
                <w:color w:val="000000"/>
                <w:kern w:val="0"/>
                <w:lang w:val="en-GB"/>
              </w:rPr>
            </w:pPr>
            <w:r w:rsidRPr="00E016A0">
              <w:rPr>
                <w:rFonts w:eastAsia="Times New Roman"/>
                <w:b/>
                <w:bCs/>
                <w:color w:val="000000"/>
                <w:kern w:val="0"/>
                <w:lang w:val="en-GB"/>
              </w:rPr>
              <w:t>Scenario 2B</w:t>
            </w:r>
          </w:p>
        </w:tc>
      </w:tr>
      <w:tr w:rsidR="00CE1CD7" w:rsidRPr="00353AE1" w14:paraId="47ABEDA6" w14:textId="77777777" w:rsidTr="00E016A0">
        <w:trPr>
          <w:trHeight w:val="300"/>
          <w:jc w:val="center"/>
        </w:trPr>
        <w:tc>
          <w:tcPr>
            <w:tcW w:w="0" w:type="auto"/>
            <w:tcBorders>
              <w:top w:val="single" w:sz="4" w:space="0" w:color="auto"/>
              <w:left w:val="nil"/>
              <w:bottom w:val="nil"/>
              <w:right w:val="nil"/>
            </w:tcBorders>
            <w:noWrap/>
            <w:vAlign w:val="bottom"/>
            <w:hideMark/>
          </w:tcPr>
          <w:p w14:paraId="3533EF1C" w14:textId="77777777" w:rsidR="00CE1CD7" w:rsidRPr="00E016A0" w:rsidRDefault="00CE1CD7" w:rsidP="00CE1CD7">
            <w:pPr>
              <w:widowControl/>
              <w:jc w:val="left"/>
              <w:rPr>
                <w:rFonts w:eastAsia="Times New Roman"/>
                <w:b/>
                <w:bCs/>
                <w:color w:val="000000"/>
                <w:kern w:val="0"/>
                <w:lang w:val="en-GB"/>
              </w:rPr>
            </w:pPr>
            <w:r w:rsidRPr="00E016A0">
              <w:rPr>
                <w:rFonts w:eastAsia="Times New Roman"/>
                <w:b/>
                <w:bCs/>
                <w:color w:val="000000"/>
                <w:kern w:val="0"/>
                <w:lang w:val="en-GB"/>
              </w:rPr>
              <w:t>Road Freight</w:t>
            </w:r>
          </w:p>
        </w:tc>
        <w:tc>
          <w:tcPr>
            <w:tcW w:w="0" w:type="auto"/>
            <w:tcBorders>
              <w:top w:val="nil"/>
              <w:left w:val="nil"/>
              <w:bottom w:val="nil"/>
              <w:right w:val="nil"/>
            </w:tcBorders>
            <w:noWrap/>
            <w:vAlign w:val="bottom"/>
            <w:hideMark/>
          </w:tcPr>
          <w:p w14:paraId="2468CDDB"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2026</w:t>
            </w:r>
          </w:p>
        </w:tc>
        <w:tc>
          <w:tcPr>
            <w:tcW w:w="0" w:type="auto"/>
            <w:tcBorders>
              <w:top w:val="nil"/>
              <w:left w:val="nil"/>
              <w:bottom w:val="nil"/>
              <w:right w:val="nil"/>
            </w:tcBorders>
            <w:noWrap/>
            <w:vAlign w:val="bottom"/>
            <w:hideMark/>
          </w:tcPr>
          <w:p w14:paraId="63AE0560"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2040</w:t>
            </w:r>
          </w:p>
        </w:tc>
        <w:tc>
          <w:tcPr>
            <w:tcW w:w="0" w:type="auto"/>
            <w:tcBorders>
              <w:top w:val="nil"/>
              <w:left w:val="nil"/>
              <w:bottom w:val="nil"/>
              <w:right w:val="nil"/>
            </w:tcBorders>
            <w:noWrap/>
            <w:vAlign w:val="bottom"/>
            <w:hideMark/>
          </w:tcPr>
          <w:p w14:paraId="26112445"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2026</w:t>
            </w:r>
          </w:p>
        </w:tc>
        <w:tc>
          <w:tcPr>
            <w:tcW w:w="0" w:type="auto"/>
            <w:tcBorders>
              <w:top w:val="nil"/>
              <w:left w:val="nil"/>
              <w:bottom w:val="nil"/>
              <w:right w:val="nil"/>
            </w:tcBorders>
            <w:noWrap/>
            <w:vAlign w:val="bottom"/>
            <w:hideMark/>
          </w:tcPr>
          <w:p w14:paraId="7AA93039"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2040</w:t>
            </w:r>
          </w:p>
        </w:tc>
      </w:tr>
      <w:tr w:rsidR="00CE1CD7" w:rsidRPr="00353AE1" w14:paraId="70B39E03" w14:textId="77777777" w:rsidTr="00E016A0">
        <w:trPr>
          <w:trHeight w:val="300"/>
          <w:jc w:val="center"/>
        </w:trPr>
        <w:tc>
          <w:tcPr>
            <w:tcW w:w="0" w:type="auto"/>
            <w:tcBorders>
              <w:top w:val="nil"/>
              <w:left w:val="nil"/>
              <w:bottom w:val="single" w:sz="4" w:space="0" w:color="auto"/>
              <w:right w:val="nil"/>
            </w:tcBorders>
            <w:noWrap/>
            <w:vAlign w:val="bottom"/>
            <w:hideMark/>
          </w:tcPr>
          <w:p w14:paraId="29C8C55C"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 </w:t>
            </w:r>
          </w:p>
        </w:tc>
        <w:tc>
          <w:tcPr>
            <w:tcW w:w="0" w:type="auto"/>
            <w:gridSpan w:val="2"/>
            <w:tcBorders>
              <w:top w:val="nil"/>
              <w:left w:val="nil"/>
              <w:bottom w:val="single" w:sz="4" w:space="0" w:color="auto"/>
              <w:right w:val="nil"/>
            </w:tcBorders>
            <w:noWrap/>
            <w:vAlign w:val="bottom"/>
            <w:hideMark/>
          </w:tcPr>
          <w:p w14:paraId="16481BE9" w14:textId="77777777" w:rsidR="00CE1CD7" w:rsidRPr="00E016A0" w:rsidRDefault="00CE1CD7" w:rsidP="00CE1CD7">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c>
          <w:tcPr>
            <w:tcW w:w="0" w:type="auto"/>
            <w:gridSpan w:val="2"/>
            <w:tcBorders>
              <w:top w:val="nil"/>
              <w:left w:val="nil"/>
              <w:bottom w:val="single" w:sz="4" w:space="0" w:color="auto"/>
              <w:right w:val="nil"/>
            </w:tcBorders>
            <w:noWrap/>
            <w:vAlign w:val="bottom"/>
            <w:hideMark/>
          </w:tcPr>
          <w:p w14:paraId="67638A0A" w14:textId="77777777" w:rsidR="00CE1CD7" w:rsidRPr="00E016A0" w:rsidRDefault="00CE1CD7" w:rsidP="00CE1CD7">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r>
      <w:tr w:rsidR="00CE1CD7" w:rsidRPr="00353AE1" w14:paraId="3E8845A3" w14:textId="77777777" w:rsidTr="00E016A0">
        <w:trPr>
          <w:trHeight w:val="300"/>
          <w:jc w:val="center"/>
        </w:trPr>
        <w:tc>
          <w:tcPr>
            <w:tcW w:w="0" w:type="auto"/>
            <w:tcBorders>
              <w:top w:val="nil"/>
              <w:left w:val="nil"/>
              <w:bottom w:val="nil"/>
              <w:right w:val="nil"/>
            </w:tcBorders>
            <w:noWrap/>
            <w:vAlign w:val="center"/>
            <w:hideMark/>
          </w:tcPr>
          <w:p w14:paraId="35C1C703"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Sectoral output</w:t>
            </w:r>
          </w:p>
        </w:tc>
        <w:tc>
          <w:tcPr>
            <w:tcW w:w="0" w:type="auto"/>
            <w:tcBorders>
              <w:top w:val="nil"/>
              <w:left w:val="nil"/>
              <w:bottom w:val="nil"/>
              <w:right w:val="nil"/>
            </w:tcBorders>
            <w:noWrap/>
            <w:vAlign w:val="center"/>
            <w:hideMark/>
          </w:tcPr>
          <w:p w14:paraId="65FC838C"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0.34</w:t>
            </w:r>
          </w:p>
        </w:tc>
        <w:tc>
          <w:tcPr>
            <w:tcW w:w="0" w:type="auto"/>
            <w:tcBorders>
              <w:top w:val="nil"/>
              <w:left w:val="nil"/>
              <w:bottom w:val="nil"/>
              <w:right w:val="nil"/>
            </w:tcBorders>
            <w:noWrap/>
            <w:vAlign w:val="center"/>
            <w:hideMark/>
          </w:tcPr>
          <w:p w14:paraId="234F7A50"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0.36</w:t>
            </w:r>
          </w:p>
        </w:tc>
        <w:tc>
          <w:tcPr>
            <w:tcW w:w="0" w:type="auto"/>
            <w:tcBorders>
              <w:top w:val="nil"/>
              <w:left w:val="nil"/>
              <w:bottom w:val="nil"/>
              <w:right w:val="nil"/>
            </w:tcBorders>
            <w:noWrap/>
            <w:vAlign w:val="center"/>
            <w:hideMark/>
          </w:tcPr>
          <w:p w14:paraId="3B140A7B"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0.17</w:t>
            </w:r>
          </w:p>
        </w:tc>
        <w:tc>
          <w:tcPr>
            <w:tcW w:w="0" w:type="auto"/>
            <w:tcBorders>
              <w:top w:val="nil"/>
              <w:left w:val="nil"/>
              <w:bottom w:val="nil"/>
              <w:right w:val="nil"/>
            </w:tcBorders>
            <w:noWrap/>
            <w:vAlign w:val="center"/>
            <w:hideMark/>
          </w:tcPr>
          <w:p w14:paraId="0AE2EC1A"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0.18</w:t>
            </w:r>
          </w:p>
        </w:tc>
      </w:tr>
      <w:tr w:rsidR="00CE1CD7" w:rsidRPr="00353AE1" w14:paraId="2638D3BB" w14:textId="77777777" w:rsidTr="00E016A0">
        <w:trPr>
          <w:trHeight w:val="300"/>
          <w:jc w:val="center"/>
        </w:trPr>
        <w:tc>
          <w:tcPr>
            <w:tcW w:w="0" w:type="auto"/>
            <w:tcBorders>
              <w:top w:val="nil"/>
              <w:left w:val="nil"/>
              <w:bottom w:val="nil"/>
              <w:right w:val="nil"/>
            </w:tcBorders>
            <w:noWrap/>
            <w:vAlign w:val="center"/>
            <w:hideMark/>
          </w:tcPr>
          <w:p w14:paraId="0CE44DCB"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Basic price of industry output</w:t>
            </w:r>
          </w:p>
        </w:tc>
        <w:tc>
          <w:tcPr>
            <w:tcW w:w="0" w:type="auto"/>
            <w:tcBorders>
              <w:top w:val="nil"/>
              <w:left w:val="nil"/>
              <w:bottom w:val="nil"/>
              <w:right w:val="nil"/>
            </w:tcBorders>
            <w:noWrap/>
            <w:vAlign w:val="center"/>
            <w:hideMark/>
          </w:tcPr>
          <w:p w14:paraId="2D89147A"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-1.90</w:t>
            </w:r>
          </w:p>
        </w:tc>
        <w:tc>
          <w:tcPr>
            <w:tcW w:w="0" w:type="auto"/>
            <w:tcBorders>
              <w:top w:val="nil"/>
              <w:left w:val="nil"/>
              <w:bottom w:val="nil"/>
              <w:right w:val="nil"/>
            </w:tcBorders>
            <w:noWrap/>
            <w:vAlign w:val="center"/>
            <w:hideMark/>
          </w:tcPr>
          <w:p w14:paraId="7EE35AD7"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-1.80</w:t>
            </w:r>
          </w:p>
        </w:tc>
        <w:tc>
          <w:tcPr>
            <w:tcW w:w="0" w:type="auto"/>
            <w:tcBorders>
              <w:top w:val="nil"/>
              <w:left w:val="nil"/>
              <w:bottom w:val="nil"/>
              <w:right w:val="nil"/>
            </w:tcBorders>
            <w:noWrap/>
            <w:vAlign w:val="center"/>
            <w:hideMark/>
          </w:tcPr>
          <w:p w14:paraId="7320F817"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-0.95</w:t>
            </w:r>
          </w:p>
        </w:tc>
        <w:tc>
          <w:tcPr>
            <w:tcW w:w="0" w:type="auto"/>
            <w:tcBorders>
              <w:top w:val="nil"/>
              <w:left w:val="nil"/>
              <w:bottom w:val="nil"/>
              <w:right w:val="nil"/>
            </w:tcBorders>
            <w:noWrap/>
            <w:vAlign w:val="center"/>
            <w:hideMark/>
          </w:tcPr>
          <w:p w14:paraId="52DA92A6"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-0.90</w:t>
            </w:r>
          </w:p>
        </w:tc>
      </w:tr>
      <w:tr w:rsidR="00CE1CD7" w:rsidRPr="00353AE1" w14:paraId="681E4E8A" w14:textId="77777777" w:rsidTr="00E016A0">
        <w:trPr>
          <w:trHeight w:val="300"/>
          <w:jc w:val="center"/>
        </w:trPr>
        <w:tc>
          <w:tcPr>
            <w:tcW w:w="0" w:type="auto"/>
            <w:tcBorders>
              <w:top w:val="single" w:sz="4" w:space="0" w:color="auto"/>
              <w:left w:val="nil"/>
              <w:bottom w:val="nil"/>
              <w:right w:val="nil"/>
            </w:tcBorders>
            <w:noWrap/>
            <w:vAlign w:val="bottom"/>
            <w:hideMark/>
          </w:tcPr>
          <w:p w14:paraId="0ABBCF52" w14:textId="77777777" w:rsidR="00CE1CD7" w:rsidRPr="00E016A0" w:rsidRDefault="00CE1CD7" w:rsidP="00CE1CD7">
            <w:pPr>
              <w:widowControl/>
              <w:jc w:val="left"/>
              <w:rPr>
                <w:rFonts w:eastAsia="Times New Roman"/>
                <w:b/>
                <w:bCs/>
                <w:color w:val="000000"/>
                <w:kern w:val="0"/>
                <w:lang w:val="en-GB"/>
              </w:rPr>
            </w:pPr>
            <w:r w:rsidRPr="00E016A0">
              <w:rPr>
                <w:rFonts w:eastAsia="Times New Roman"/>
                <w:b/>
                <w:bCs/>
                <w:color w:val="000000"/>
                <w:kern w:val="0"/>
                <w:lang w:val="en-GB"/>
              </w:rPr>
              <w:t>Heavy Vehicle</w:t>
            </w:r>
          </w:p>
        </w:tc>
        <w:tc>
          <w:tcPr>
            <w:tcW w:w="0" w:type="auto"/>
            <w:tcBorders>
              <w:top w:val="single" w:sz="4" w:space="0" w:color="auto"/>
              <w:left w:val="nil"/>
              <w:bottom w:val="nil"/>
              <w:right w:val="nil"/>
            </w:tcBorders>
            <w:noWrap/>
            <w:vAlign w:val="bottom"/>
            <w:hideMark/>
          </w:tcPr>
          <w:p w14:paraId="620D2459"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2026</w:t>
            </w:r>
          </w:p>
        </w:tc>
        <w:tc>
          <w:tcPr>
            <w:tcW w:w="0" w:type="auto"/>
            <w:tcBorders>
              <w:top w:val="single" w:sz="4" w:space="0" w:color="auto"/>
              <w:left w:val="nil"/>
              <w:bottom w:val="nil"/>
              <w:right w:val="nil"/>
            </w:tcBorders>
            <w:noWrap/>
            <w:vAlign w:val="bottom"/>
            <w:hideMark/>
          </w:tcPr>
          <w:p w14:paraId="2D3866F0"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2040</w:t>
            </w:r>
          </w:p>
        </w:tc>
        <w:tc>
          <w:tcPr>
            <w:tcW w:w="0" w:type="auto"/>
            <w:tcBorders>
              <w:top w:val="single" w:sz="4" w:space="0" w:color="auto"/>
              <w:left w:val="nil"/>
              <w:bottom w:val="nil"/>
              <w:right w:val="nil"/>
            </w:tcBorders>
            <w:noWrap/>
            <w:vAlign w:val="bottom"/>
            <w:hideMark/>
          </w:tcPr>
          <w:p w14:paraId="67D1E1A6"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2026</w:t>
            </w:r>
          </w:p>
        </w:tc>
        <w:tc>
          <w:tcPr>
            <w:tcW w:w="0" w:type="auto"/>
            <w:tcBorders>
              <w:top w:val="single" w:sz="4" w:space="0" w:color="auto"/>
              <w:left w:val="nil"/>
              <w:bottom w:val="nil"/>
              <w:right w:val="nil"/>
            </w:tcBorders>
            <w:noWrap/>
            <w:vAlign w:val="bottom"/>
            <w:hideMark/>
          </w:tcPr>
          <w:p w14:paraId="79CA7CAF"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2040</w:t>
            </w:r>
          </w:p>
        </w:tc>
      </w:tr>
      <w:tr w:rsidR="00CE1CD7" w:rsidRPr="00353AE1" w14:paraId="1B068514" w14:textId="77777777" w:rsidTr="00E016A0">
        <w:trPr>
          <w:trHeight w:val="300"/>
          <w:jc w:val="center"/>
        </w:trPr>
        <w:tc>
          <w:tcPr>
            <w:tcW w:w="0" w:type="auto"/>
            <w:tcBorders>
              <w:top w:val="nil"/>
              <w:left w:val="nil"/>
              <w:bottom w:val="single" w:sz="4" w:space="0" w:color="auto"/>
              <w:right w:val="nil"/>
            </w:tcBorders>
            <w:noWrap/>
            <w:vAlign w:val="bottom"/>
            <w:hideMark/>
          </w:tcPr>
          <w:p w14:paraId="6DB805D5"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 </w:t>
            </w:r>
          </w:p>
        </w:tc>
        <w:tc>
          <w:tcPr>
            <w:tcW w:w="0" w:type="auto"/>
            <w:gridSpan w:val="2"/>
            <w:tcBorders>
              <w:top w:val="nil"/>
              <w:left w:val="nil"/>
              <w:bottom w:val="single" w:sz="4" w:space="0" w:color="auto"/>
              <w:right w:val="nil"/>
            </w:tcBorders>
            <w:noWrap/>
            <w:vAlign w:val="bottom"/>
            <w:hideMark/>
          </w:tcPr>
          <w:p w14:paraId="47C4A654" w14:textId="77777777" w:rsidR="00CE1CD7" w:rsidRPr="00E016A0" w:rsidRDefault="00CE1CD7" w:rsidP="00CE1CD7">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c>
          <w:tcPr>
            <w:tcW w:w="0" w:type="auto"/>
            <w:gridSpan w:val="2"/>
            <w:tcBorders>
              <w:top w:val="nil"/>
              <w:left w:val="nil"/>
              <w:bottom w:val="single" w:sz="4" w:space="0" w:color="auto"/>
              <w:right w:val="nil"/>
            </w:tcBorders>
            <w:noWrap/>
            <w:vAlign w:val="bottom"/>
            <w:hideMark/>
          </w:tcPr>
          <w:p w14:paraId="5E2DB85C" w14:textId="77777777" w:rsidR="00CE1CD7" w:rsidRPr="00E016A0" w:rsidRDefault="00CE1CD7" w:rsidP="00CE1CD7">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r>
      <w:tr w:rsidR="00CE1CD7" w:rsidRPr="00353AE1" w14:paraId="7D08D605" w14:textId="77777777" w:rsidTr="00E016A0">
        <w:trPr>
          <w:trHeight w:val="300"/>
          <w:jc w:val="center"/>
        </w:trPr>
        <w:tc>
          <w:tcPr>
            <w:tcW w:w="0" w:type="auto"/>
            <w:tcBorders>
              <w:top w:val="nil"/>
              <w:left w:val="nil"/>
              <w:bottom w:val="nil"/>
              <w:right w:val="nil"/>
            </w:tcBorders>
            <w:noWrap/>
            <w:vAlign w:val="center"/>
            <w:hideMark/>
          </w:tcPr>
          <w:p w14:paraId="642C1A11"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Sectoral output</w:t>
            </w:r>
          </w:p>
        </w:tc>
        <w:tc>
          <w:tcPr>
            <w:tcW w:w="0" w:type="auto"/>
            <w:tcBorders>
              <w:top w:val="nil"/>
              <w:left w:val="nil"/>
              <w:bottom w:val="nil"/>
              <w:right w:val="nil"/>
            </w:tcBorders>
            <w:noWrap/>
            <w:vAlign w:val="center"/>
            <w:hideMark/>
          </w:tcPr>
          <w:p w14:paraId="0AF0FB29"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-0.14</w:t>
            </w:r>
          </w:p>
        </w:tc>
        <w:tc>
          <w:tcPr>
            <w:tcW w:w="0" w:type="auto"/>
            <w:tcBorders>
              <w:top w:val="nil"/>
              <w:left w:val="nil"/>
              <w:bottom w:val="nil"/>
              <w:right w:val="nil"/>
            </w:tcBorders>
            <w:noWrap/>
            <w:vAlign w:val="center"/>
            <w:hideMark/>
          </w:tcPr>
          <w:p w14:paraId="59E00678"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-0.13</w:t>
            </w:r>
          </w:p>
        </w:tc>
        <w:tc>
          <w:tcPr>
            <w:tcW w:w="0" w:type="auto"/>
            <w:tcBorders>
              <w:top w:val="nil"/>
              <w:left w:val="nil"/>
              <w:bottom w:val="nil"/>
              <w:right w:val="nil"/>
            </w:tcBorders>
            <w:noWrap/>
            <w:vAlign w:val="center"/>
            <w:hideMark/>
          </w:tcPr>
          <w:p w14:paraId="02651ABD"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-0.07</w:t>
            </w:r>
          </w:p>
        </w:tc>
        <w:tc>
          <w:tcPr>
            <w:tcW w:w="0" w:type="auto"/>
            <w:tcBorders>
              <w:top w:val="nil"/>
              <w:left w:val="nil"/>
              <w:bottom w:val="nil"/>
              <w:right w:val="nil"/>
            </w:tcBorders>
            <w:noWrap/>
            <w:vAlign w:val="center"/>
            <w:hideMark/>
          </w:tcPr>
          <w:p w14:paraId="7BBF82C6"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-0.07</w:t>
            </w:r>
          </w:p>
        </w:tc>
      </w:tr>
      <w:tr w:rsidR="00CE1CD7" w:rsidRPr="00353AE1" w14:paraId="079316EA" w14:textId="77777777" w:rsidTr="00E016A0">
        <w:trPr>
          <w:trHeight w:val="315"/>
          <w:jc w:val="center"/>
        </w:trPr>
        <w:tc>
          <w:tcPr>
            <w:tcW w:w="0" w:type="auto"/>
            <w:tcBorders>
              <w:top w:val="nil"/>
              <w:left w:val="nil"/>
              <w:bottom w:val="double" w:sz="6" w:space="0" w:color="auto"/>
              <w:right w:val="nil"/>
            </w:tcBorders>
            <w:noWrap/>
            <w:vAlign w:val="center"/>
            <w:hideMark/>
          </w:tcPr>
          <w:p w14:paraId="57078AE8" w14:textId="77777777" w:rsidR="00CE1CD7" w:rsidRPr="00E016A0" w:rsidRDefault="00CE1CD7" w:rsidP="00CE1CD7">
            <w:pPr>
              <w:widowControl/>
              <w:jc w:val="left"/>
              <w:rPr>
                <w:rFonts w:eastAsia="Times New Roman"/>
                <w:color w:val="000000"/>
                <w:kern w:val="0"/>
                <w:lang w:val="en-GB"/>
              </w:rPr>
            </w:pPr>
            <w:r w:rsidRPr="00E016A0">
              <w:rPr>
                <w:rFonts w:eastAsia="Times New Roman"/>
                <w:color w:val="000000"/>
                <w:kern w:val="0"/>
                <w:lang w:val="en-GB"/>
              </w:rPr>
              <w:t>Basic price of industry output</w:t>
            </w:r>
          </w:p>
        </w:tc>
        <w:tc>
          <w:tcPr>
            <w:tcW w:w="0" w:type="auto"/>
            <w:tcBorders>
              <w:top w:val="nil"/>
              <w:left w:val="nil"/>
              <w:bottom w:val="double" w:sz="6" w:space="0" w:color="auto"/>
              <w:right w:val="nil"/>
            </w:tcBorders>
            <w:noWrap/>
            <w:vAlign w:val="center"/>
            <w:hideMark/>
          </w:tcPr>
          <w:p w14:paraId="5768C151"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-0.12</w:t>
            </w:r>
          </w:p>
        </w:tc>
        <w:tc>
          <w:tcPr>
            <w:tcW w:w="0" w:type="auto"/>
            <w:tcBorders>
              <w:top w:val="nil"/>
              <w:left w:val="nil"/>
              <w:bottom w:val="double" w:sz="6" w:space="0" w:color="auto"/>
              <w:right w:val="nil"/>
            </w:tcBorders>
            <w:noWrap/>
            <w:vAlign w:val="center"/>
            <w:hideMark/>
          </w:tcPr>
          <w:p w14:paraId="68CD34DD"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-0.07</w:t>
            </w:r>
          </w:p>
        </w:tc>
        <w:tc>
          <w:tcPr>
            <w:tcW w:w="0" w:type="auto"/>
            <w:tcBorders>
              <w:top w:val="nil"/>
              <w:left w:val="nil"/>
              <w:bottom w:val="double" w:sz="6" w:space="0" w:color="auto"/>
              <w:right w:val="nil"/>
            </w:tcBorders>
            <w:noWrap/>
            <w:vAlign w:val="center"/>
            <w:hideMark/>
          </w:tcPr>
          <w:p w14:paraId="2371E677"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-0.06</w:t>
            </w:r>
          </w:p>
        </w:tc>
        <w:tc>
          <w:tcPr>
            <w:tcW w:w="0" w:type="auto"/>
            <w:tcBorders>
              <w:top w:val="nil"/>
              <w:left w:val="nil"/>
              <w:bottom w:val="double" w:sz="6" w:space="0" w:color="auto"/>
              <w:right w:val="nil"/>
            </w:tcBorders>
            <w:noWrap/>
            <w:vAlign w:val="center"/>
            <w:hideMark/>
          </w:tcPr>
          <w:p w14:paraId="63A33773" w14:textId="77777777" w:rsidR="00CE1CD7" w:rsidRPr="00E016A0" w:rsidRDefault="00CE1CD7" w:rsidP="00CE1CD7">
            <w:pPr>
              <w:widowControl/>
              <w:jc w:val="center"/>
              <w:rPr>
                <w:rFonts w:eastAsia="Times New Roman"/>
                <w:color w:val="000000"/>
                <w:kern w:val="0"/>
                <w:lang w:val="en-GB"/>
              </w:rPr>
            </w:pPr>
            <w:r w:rsidRPr="00E016A0">
              <w:rPr>
                <w:rFonts w:eastAsia="Times New Roman"/>
                <w:color w:val="000000"/>
                <w:kern w:val="0"/>
                <w:lang w:val="en-GB"/>
              </w:rPr>
              <w:t>-0.03</w:t>
            </w:r>
          </w:p>
        </w:tc>
      </w:tr>
    </w:tbl>
    <w:p w14:paraId="2C9BEB8D" w14:textId="77777777" w:rsidR="00CE1CD7" w:rsidRPr="00353AE1" w:rsidRDefault="00CE1CD7" w:rsidP="00E016A0"/>
    <w:p w14:paraId="36B7A00D" w14:textId="77777777" w:rsidR="00A87630" w:rsidRPr="00353AE1" w:rsidRDefault="00A87630" w:rsidP="00606B25">
      <w:pPr>
        <w:spacing w:after="120"/>
        <w:jc w:val="left"/>
      </w:pPr>
    </w:p>
    <w:p w14:paraId="0737A084" w14:textId="14378F70" w:rsidR="00F12204" w:rsidRPr="00353AE1" w:rsidRDefault="00F12204" w:rsidP="00606B25">
      <w:pPr>
        <w:pStyle w:val="Heading2"/>
        <w:spacing w:before="0" w:after="120"/>
        <w:rPr>
          <w:rStyle w:val="SubtleEmphasis"/>
          <w:rFonts w:eastAsiaTheme="minorEastAsia" w:cs="Calibri"/>
          <w:i w:val="0"/>
          <w:iCs w:val="0"/>
          <w:color w:val="auto"/>
          <w:sz w:val="22"/>
          <w:szCs w:val="22"/>
        </w:rPr>
      </w:pPr>
      <w:bookmarkStart w:id="78" w:name="_Toc234277240"/>
      <w:r w:rsidRPr="00353AE1">
        <w:rPr>
          <w:rStyle w:val="SubtleEmphasis"/>
          <w:rFonts w:cs="Calibri"/>
          <w:i w:val="0"/>
          <w:iCs w:val="0"/>
          <w:color w:val="auto"/>
        </w:rPr>
        <w:t xml:space="preserve">5.2 </w:t>
      </w:r>
      <w:r w:rsidR="005E351F" w:rsidRPr="00353AE1">
        <w:rPr>
          <w:rStyle w:val="SubtleEmphasis"/>
          <w:rFonts w:cs="Calibri"/>
          <w:i w:val="0"/>
          <w:iCs w:val="0"/>
          <w:color w:val="auto"/>
        </w:rPr>
        <w:t>National Macroeconomic Impacts</w:t>
      </w:r>
      <w:bookmarkEnd w:id="78"/>
    </w:p>
    <w:p w14:paraId="24BAF4FB" w14:textId="736C4194" w:rsidR="005C112A" w:rsidRPr="00353AE1" w:rsidRDefault="0040619D" w:rsidP="00606B25">
      <w:pPr>
        <w:spacing w:after="120"/>
        <w:jc w:val="left"/>
      </w:pPr>
      <w:r w:rsidRPr="00353AE1">
        <w:t xml:space="preserve">The national macroeconomic effects of Scenario 2 are positive but smaller than those in Scenario 1. </w:t>
      </w:r>
      <w:r w:rsidR="00472745" w:rsidRPr="00353AE1">
        <w:t>This reflects the smaller Australia-wide Road Freight productivity effect in Scenario 2, as well as the fact that the productivity improvement is applied only to the NAAS states, excluding WA&amp;NT.</w:t>
      </w:r>
    </w:p>
    <w:p w14:paraId="1B2C982D" w14:textId="36D209D0" w:rsidR="00BD079B" w:rsidRPr="00353AE1" w:rsidRDefault="00871DAB" w:rsidP="00606B25">
      <w:pPr>
        <w:spacing w:after="120"/>
        <w:jc w:val="left"/>
      </w:pPr>
      <w:r w:rsidRPr="00353AE1">
        <w:t xml:space="preserve">Table </w:t>
      </w:r>
      <w:r w:rsidR="00706B90" w:rsidRPr="00353AE1">
        <w:t xml:space="preserve">14 </w:t>
      </w:r>
      <w:r w:rsidRPr="00353AE1">
        <w:t>summarises the national macroeconomic results for Scenario 2. Real GDP rises by 0.04 per cent in 2026 and 0.05 per cent by 2040. Real household consumption rises by 0.04 per cent in 2026 and 0.06 per cent by 2040, while real investment rises by 0.02 per cent in 2026 and 0.03 per cent by 2040. Real export volumes rise by 0.05 per cent</w:t>
      </w:r>
      <w:r w:rsidR="00BF5135" w:rsidRPr="00353AE1">
        <w:t xml:space="preserve"> in 2026 and </w:t>
      </w:r>
      <w:r w:rsidR="00BE5C1F" w:rsidRPr="00353AE1">
        <w:lastRenderedPageBreak/>
        <w:t>remain</w:t>
      </w:r>
      <w:r w:rsidR="00BF5135" w:rsidRPr="00353AE1">
        <w:t xml:space="preserve"> 0.05 per cent above baseline in 2040</w:t>
      </w:r>
      <w:r w:rsidR="00604AB0" w:rsidRPr="00353AE1">
        <w:t>, while</w:t>
      </w:r>
      <w:r w:rsidRPr="00353AE1">
        <w:t xml:space="preserve"> </w:t>
      </w:r>
      <w:r w:rsidR="00604AB0" w:rsidRPr="00353AE1">
        <w:t>r</w:t>
      </w:r>
      <w:r w:rsidRPr="00353AE1">
        <w:t>eal import volumes are broadly unchanged on impact and rise slightly over time</w:t>
      </w:r>
      <w:r w:rsidR="00BF5135" w:rsidRPr="00353AE1">
        <w:t xml:space="preserve"> in response to the rise in general economic activity</w:t>
      </w:r>
      <w:r w:rsidRPr="00353AE1">
        <w:t>.</w:t>
      </w:r>
      <w:r w:rsidR="001820FD" w:rsidRPr="00353AE1">
        <w:t xml:space="preserve"> </w:t>
      </w:r>
      <w:r w:rsidR="007A5296" w:rsidRPr="00353AE1">
        <w:t>F</w:t>
      </w:r>
      <w:r w:rsidR="00BD079B" w:rsidRPr="00353AE1">
        <w:t>ederal and state government consumption at the national level remains fixed at baseline</w:t>
      </w:r>
      <w:r w:rsidR="00702EE1" w:rsidRPr="00353AE1">
        <w:t xml:space="preserve">, </w:t>
      </w:r>
      <w:r w:rsidR="00BF5135" w:rsidRPr="00353AE1">
        <w:t xml:space="preserve">by assumption </w:t>
      </w:r>
      <w:r w:rsidR="00EE2BFF" w:rsidRPr="00353AE1">
        <w:t>in</w:t>
      </w:r>
      <w:r w:rsidR="005D7F23" w:rsidRPr="00353AE1">
        <w:t xml:space="preserve"> Scenario 2</w:t>
      </w:r>
      <w:r w:rsidR="00E04816" w:rsidRPr="00353AE1">
        <w:t>.</w:t>
      </w:r>
    </w:p>
    <w:p w14:paraId="71AE4504" w14:textId="77777777" w:rsidR="00E66FCC" w:rsidRPr="00353AE1" w:rsidRDefault="00E66FCC" w:rsidP="00606B25">
      <w:pPr>
        <w:spacing w:after="120"/>
        <w:jc w:val="left"/>
      </w:pPr>
      <w:r w:rsidRPr="00353AE1">
        <w:t>Labour market effects are modest. Employment in persons rises by 0.005 per cent in 2026 and remains slightly above baseline throughout the simulation horizon. Wage-bill-weighted employment is approximately unchanged on impact but turns slightly negative over time, reaching -0.003 per cent by 2040. This difference between the two employment measures reflects the reallocation of labour across industries with different wage-bill weights. The unemployment rate falls by 0.010 percentage points in 2026 and gradually returns toward baseline.</w:t>
      </w:r>
    </w:p>
    <w:p w14:paraId="4DF4E594" w14:textId="77777777" w:rsidR="00474001" w:rsidRPr="00353AE1" w:rsidRDefault="00474001" w:rsidP="00606B25">
      <w:pPr>
        <w:spacing w:after="120"/>
        <w:jc w:val="left"/>
      </w:pPr>
    </w:p>
    <w:p w14:paraId="39B3E045" w14:textId="6D3C7C26" w:rsidR="009D33C8" w:rsidRPr="00353AE1" w:rsidRDefault="009D33C8" w:rsidP="00606B25">
      <w:pPr>
        <w:pStyle w:val="Caption"/>
        <w:keepNext/>
        <w:spacing w:after="120"/>
        <w:jc w:val="center"/>
        <w:rPr>
          <w:sz w:val="22"/>
          <w:szCs w:val="22"/>
        </w:rPr>
      </w:pPr>
      <w:bookmarkStart w:id="79" w:name="_Toc230696735"/>
      <w:bookmarkStart w:id="80" w:name="_Toc230710353"/>
      <w:bookmarkStart w:id="81" w:name="_Toc230710399"/>
      <w:bookmarkStart w:id="82" w:name="_Toc230711122"/>
      <w:bookmarkStart w:id="83" w:name="_Toc231907818"/>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14</w:t>
      </w:r>
      <w:r w:rsidR="00DF6059" w:rsidRPr="00353AE1">
        <w:rPr>
          <w:sz w:val="22"/>
          <w:szCs w:val="22"/>
        </w:rPr>
        <w:fldChar w:fldCharType="end"/>
      </w:r>
      <w:r w:rsidRPr="00353AE1">
        <w:rPr>
          <w:sz w:val="22"/>
          <w:szCs w:val="22"/>
        </w:rPr>
        <w:t>. National Macro</w:t>
      </w:r>
      <w:r w:rsidR="00C025BE" w:rsidRPr="00353AE1">
        <w:rPr>
          <w:sz w:val="22"/>
          <w:szCs w:val="22"/>
        </w:rPr>
        <w:t>economic</w:t>
      </w:r>
      <w:r w:rsidRPr="00353AE1">
        <w:rPr>
          <w:sz w:val="22"/>
          <w:szCs w:val="22"/>
        </w:rPr>
        <w:t xml:space="preserve"> Variables</w:t>
      </w:r>
      <w:r w:rsidR="009C7EB5" w:rsidRPr="00353AE1">
        <w:rPr>
          <w:sz w:val="22"/>
          <w:szCs w:val="22"/>
        </w:rPr>
        <w:t xml:space="preserve"> (</w:t>
      </w:r>
      <w:r w:rsidRPr="00353AE1">
        <w:rPr>
          <w:sz w:val="22"/>
          <w:szCs w:val="22"/>
        </w:rPr>
        <w:t>Scenario 2</w:t>
      </w:r>
      <w:bookmarkEnd w:id="79"/>
      <w:r w:rsidR="009C7EB5" w:rsidRPr="00353AE1">
        <w:rPr>
          <w:sz w:val="22"/>
          <w:szCs w:val="22"/>
        </w:rPr>
        <w:t>)</w:t>
      </w:r>
      <w:bookmarkEnd w:id="80"/>
      <w:bookmarkEnd w:id="81"/>
      <w:bookmarkEnd w:id="82"/>
      <w:bookmarkEnd w:id="83"/>
    </w:p>
    <w:tbl>
      <w:tblPr>
        <w:tblW w:w="8789" w:type="dxa"/>
        <w:jc w:val="center"/>
        <w:tblLook w:val="04A0" w:firstRow="1" w:lastRow="0" w:firstColumn="1" w:lastColumn="0" w:noHBand="0" w:noVBand="1"/>
      </w:tblPr>
      <w:tblGrid>
        <w:gridCol w:w="3914"/>
        <w:gridCol w:w="827"/>
        <w:gridCol w:w="1573"/>
        <w:gridCol w:w="1483"/>
        <w:gridCol w:w="992"/>
      </w:tblGrid>
      <w:tr w:rsidR="00A44383" w:rsidRPr="00353AE1" w14:paraId="530ACF25" w14:textId="77777777" w:rsidTr="00E016A0">
        <w:trPr>
          <w:trHeight w:val="300"/>
          <w:jc w:val="center"/>
        </w:trPr>
        <w:tc>
          <w:tcPr>
            <w:tcW w:w="0" w:type="auto"/>
            <w:tcBorders>
              <w:top w:val="single" w:sz="4" w:space="0" w:color="auto"/>
              <w:left w:val="nil"/>
              <w:bottom w:val="single" w:sz="4" w:space="0" w:color="auto"/>
              <w:right w:val="nil"/>
            </w:tcBorders>
            <w:noWrap/>
            <w:vAlign w:val="center"/>
            <w:hideMark/>
          </w:tcPr>
          <w:p w14:paraId="238ED0AF" w14:textId="1F26FA72" w:rsidR="00A44383" w:rsidRPr="00E016A0" w:rsidRDefault="00A44383" w:rsidP="002E32ED">
            <w:pPr>
              <w:widowControl/>
              <w:jc w:val="left"/>
              <w:rPr>
                <w:rFonts w:eastAsia="Times New Roman"/>
                <w:b/>
                <w:bCs/>
                <w:color w:val="000000"/>
                <w:kern w:val="0"/>
                <w:lang w:val="en-GB"/>
              </w:rPr>
            </w:pPr>
          </w:p>
        </w:tc>
        <w:tc>
          <w:tcPr>
            <w:tcW w:w="2400" w:type="dxa"/>
            <w:gridSpan w:val="2"/>
            <w:tcBorders>
              <w:top w:val="single" w:sz="4" w:space="0" w:color="auto"/>
              <w:left w:val="nil"/>
              <w:bottom w:val="single" w:sz="4" w:space="0" w:color="auto"/>
              <w:right w:val="nil"/>
            </w:tcBorders>
            <w:noWrap/>
            <w:vAlign w:val="center"/>
            <w:hideMark/>
          </w:tcPr>
          <w:p w14:paraId="38E8A0A4" w14:textId="77777777" w:rsidR="00A44383" w:rsidRPr="00E016A0" w:rsidRDefault="00A44383" w:rsidP="00D10F9C">
            <w:pPr>
              <w:widowControl/>
              <w:jc w:val="center"/>
              <w:rPr>
                <w:rFonts w:eastAsia="Times New Roman"/>
                <w:b/>
                <w:bCs/>
                <w:color w:val="000000"/>
                <w:kern w:val="0"/>
                <w:lang w:val="en-GB"/>
              </w:rPr>
            </w:pPr>
            <w:r w:rsidRPr="00E016A0">
              <w:rPr>
                <w:rFonts w:eastAsia="Times New Roman"/>
                <w:b/>
                <w:bCs/>
                <w:color w:val="000000"/>
                <w:kern w:val="0"/>
                <w:lang w:val="en-GB"/>
              </w:rPr>
              <w:t>Scenario 2A</w:t>
            </w:r>
          </w:p>
        </w:tc>
        <w:tc>
          <w:tcPr>
            <w:tcW w:w="2475" w:type="dxa"/>
            <w:gridSpan w:val="2"/>
            <w:tcBorders>
              <w:top w:val="single" w:sz="4" w:space="0" w:color="auto"/>
              <w:left w:val="nil"/>
              <w:bottom w:val="single" w:sz="4" w:space="0" w:color="auto"/>
              <w:right w:val="nil"/>
            </w:tcBorders>
            <w:noWrap/>
            <w:vAlign w:val="center"/>
            <w:hideMark/>
          </w:tcPr>
          <w:p w14:paraId="4F678FF7" w14:textId="77777777" w:rsidR="00A44383" w:rsidRPr="00E016A0" w:rsidRDefault="00A44383" w:rsidP="00D10F9C">
            <w:pPr>
              <w:widowControl/>
              <w:jc w:val="center"/>
              <w:rPr>
                <w:rFonts w:eastAsia="Times New Roman"/>
                <w:b/>
                <w:bCs/>
                <w:color w:val="000000"/>
                <w:kern w:val="0"/>
                <w:lang w:val="en-GB"/>
              </w:rPr>
            </w:pPr>
            <w:r w:rsidRPr="00E016A0">
              <w:rPr>
                <w:rFonts w:eastAsia="Times New Roman"/>
                <w:b/>
                <w:bCs/>
                <w:color w:val="000000"/>
                <w:kern w:val="0"/>
                <w:lang w:val="en-GB"/>
              </w:rPr>
              <w:t>Scenario 2B</w:t>
            </w:r>
          </w:p>
        </w:tc>
      </w:tr>
      <w:tr w:rsidR="00A44383" w:rsidRPr="00353AE1" w14:paraId="22A7C392" w14:textId="77777777" w:rsidTr="00E016A0">
        <w:trPr>
          <w:trHeight w:val="300"/>
          <w:jc w:val="center"/>
        </w:trPr>
        <w:tc>
          <w:tcPr>
            <w:tcW w:w="0" w:type="auto"/>
            <w:tcBorders>
              <w:top w:val="nil"/>
              <w:left w:val="nil"/>
              <w:bottom w:val="nil"/>
              <w:right w:val="nil"/>
            </w:tcBorders>
            <w:noWrap/>
            <w:vAlign w:val="center"/>
            <w:hideMark/>
          </w:tcPr>
          <w:p w14:paraId="60B9A52B" w14:textId="77777777" w:rsidR="00A44383" w:rsidRPr="00E016A0" w:rsidRDefault="00A44383" w:rsidP="002E32ED">
            <w:pPr>
              <w:widowControl/>
              <w:jc w:val="left"/>
              <w:rPr>
                <w:rFonts w:eastAsia="Times New Roman"/>
                <w:b/>
                <w:bCs/>
                <w:color w:val="000000"/>
                <w:kern w:val="0"/>
                <w:lang w:val="en-GB"/>
              </w:rPr>
            </w:pPr>
            <w:r w:rsidRPr="00E016A0">
              <w:rPr>
                <w:rFonts w:eastAsia="Times New Roman"/>
                <w:b/>
                <w:bCs/>
                <w:color w:val="000000"/>
                <w:kern w:val="0"/>
                <w:lang w:val="en-GB"/>
              </w:rPr>
              <w:t>National macro variable</w:t>
            </w:r>
          </w:p>
        </w:tc>
        <w:tc>
          <w:tcPr>
            <w:tcW w:w="0" w:type="auto"/>
            <w:tcBorders>
              <w:top w:val="nil"/>
              <w:left w:val="nil"/>
              <w:bottom w:val="nil"/>
              <w:right w:val="nil"/>
            </w:tcBorders>
            <w:noWrap/>
            <w:vAlign w:val="center"/>
            <w:hideMark/>
          </w:tcPr>
          <w:p w14:paraId="4D023D95"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2026</w:t>
            </w:r>
          </w:p>
        </w:tc>
        <w:tc>
          <w:tcPr>
            <w:tcW w:w="1494" w:type="dxa"/>
            <w:tcBorders>
              <w:top w:val="nil"/>
              <w:left w:val="nil"/>
              <w:bottom w:val="nil"/>
              <w:right w:val="nil"/>
            </w:tcBorders>
            <w:noWrap/>
            <w:vAlign w:val="center"/>
            <w:hideMark/>
          </w:tcPr>
          <w:p w14:paraId="6A016A9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2040</w:t>
            </w:r>
          </w:p>
        </w:tc>
        <w:tc>
          <w:tcPr>
            <w:tcW w:w="1483" w:type="dxa"/>
            <w:tcBorders>
              <w:top w:val="nil"/>
              <w:left w:val="nil"/>
              <w:bottom w:val="nil"/>
              <w:right w:val="nil"/>
            </w:tcBorders>
            <w:noWrap/>
            <w:vAlign w:val="center"/>
            <w:hideMark/>
          </w:tcPr>
          <w:p w14:paraId="536357E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2026</w:t>
            </w:r>
          </w:p>
        </w:tc>
        <w:tc>
          <w:tcPr>
            <w:tcW w:w="992" w:type="dxa"/>
            <w:tcBorders>
              <w:top w:val="nil"/>
              <w:left w:val="nil"/>
              <w:bottom w:val="nil"/>
              <w:right w:val="nil"/>
            </w:tcBorders>
            <w:noWrap/>
            <w:vAlign w:val="center"/>
            <w:hideMark/>
          </w:tcPr>
          <w:p w14:paraId="252F4CF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2040</w:t>
            </w:r>
          </w:p>
        </w:tc>
      </w:tr>
      <w:tr w:rsidR="00A44383" w:rsidRPr="00353AE1" w14:paraId="7BEDD199" w14:textId="77777777" w:rsidTr="00E016A0">
        <w:trPr>
          <w:trHeight w:val="300"/>
          <w:jc w:val="center"/>
        </w:trPr>
        <w:tc>
          <w:tcPr>
            <w:tcW w:w="0" w:type="auto"/>
            <w:tcBorders>
              <w:top w:val="nil"/>
              <w:left w:val="nil"/>
              <w:bottom w:val="single" w:sz="4" w:space="0" w:color="auto"/>
              <w:right w:val="nil"/>
            </w:tcBorders>
            <w:noWrap/>
            <w:vAlign w:val="center"/>
            <w:hideMark/>
          </w:tcPr>
          <w:p w14:paraId="190681D9" w14:textId="3562A5D5" w:rsidR="00A44383" w:rsidRPr="00E016A0" w:rsidRDefault="00A44383" w:rsidP="002E32ED">
            <w:pPr>
              <w:widowControl/>
              <w:jc w:val="left"/>
              <w:rPr>
                <w:rFonts w:eastAsia="Times New Roman"/>
                <w:i/>
                <w:iCs/>
                <w:color w:val="000000"/>
                <w:kern w:val="0"/>
                <w:sz w:val="20"/>
                <w:szCs w:val="20"/>
                <w:lang w:val="en-GB"/>
              </w:rPr>
            </w:pPr>
          </w:p>
        </w:tc>
        <w:tc>
          <w:tcPr>
            <w:tcW w:w="2400" w:type="dxa"/>
            <w:gridSpan w:val="2"/>
            <w:tcBorders>
              <w:top w:val="nil"/>
              <w:left w:val="nil"/>
              <w:bottom w:val="single" w:sz="4" w:space="0" w:color="auto"/>
              <w:right w:val="nil"/>
            </w:tcBorders>
            <w:noWrap/>
            <w:vAlign w:val="center"/>
            <w:hideMark/>
          </w:tcPr>
          <w:p w14:paraId="29B01216" w14:textId="77777777" w:rsidR="00A44383" w:rsidRPr="00E016A0" w:rsidRDefault="00A44383" w:rsidP="00D10F9C">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c>
          <w:tcPr>
            <w:tcW w:w="2475" w:type="dxa"/>
            <w:gridSpan w:val="2"/>
            <w:tcBorders>
              <w:top w:val="nil"/>
              <w:left w:val="nil"/>
              <w:bottom w:val="single" w:sz="4" w:space="0" w:color="auto"/>
              <w:right w:val="nil"/>
            </w:tcBorders>
            <w:noWrap/>
            <w:vAlign w:val="center"/>
            <w:hideMark/>
          </w:tcPr>
          <w:p w14:paraId="62B2AEEE" w14:textId="77777777" w:rsidR="00A44383" w:rsidRPr="00E016A0" w:rsidRDefault="00A44383" w:rsidP="00D10F9C">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Deviation from baseline</w:t>
            </w:r>
          </w:p>
        </w:tc>
      </w:tr>
      <w:tr w:rsidR="00A44383" w:rsidRPr="00353AE1" w14:paraId="238C6160" w14:textId="77777777" w:rsidTr="00E016A0">
        <w:trPr>
          <w:trHeight w:val="300"/>
          <w:jc w:val="center"/>
        </w:trPr>
        <w:tc>
          <w:tcPr>
            <w:tcW w:w="0" w:type="auto"/>
            <w:tcBorders>
              <w:top w:val="nil"/>
              <w:left w:val="nil"/>
              <w:bottom w:val="nil"/>
              <w:right w:val="nil"/>
            </w:tcBorders>
            <w:noWrap/>
            <w:vAlign w:val="center"/>
            <w:hideMark/>
          </w:tcPr>
          <w:p w14:paraId="6D8EE56C"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GDP</w:t>
            </w:r>
          </w:p>
        </w:tc>
        <w:tc>
          <w:tcPr>
            <w:tcW w:w="0" w:type="auto"/>
            <w:tcBorders>
              <w:top w:val="nil"/>
              <w:left w:val="nil"/>
              <w:bottom w:val="nil"/>
              <w:right w:val="nil"/>
            </w:tcBorders>
            <w:noWrap/>
            <w:vAlign w:val="center"/>
            <w:hideMark/>
          </w:tcPr>
          <w:p w14:paraId="1E04506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0.04</w:t>
            </w:r>
          </w:p>
        </w:tc>
        <w:tc>
          <w:tcPr>
            <w:tcW w:w="1494" w:type="dxa"/>
            <w:tcBorders>
              <w:top w:val="nil"/>
              <w:left w:val="nil"/>
              <w:bottom w:val="nil"/>
              <w:right w:val="nil"/>
            </w:tcBorders>
            <w:noWrap/>
            <w:vAlign w:val="center"/>
            <w:hideMark/>
          </w:tcPr>
          <w:p w14:paraId="268D561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0.05</w:t>
            </w:r>
          </w:p>
        </w:tc>
        <w:tc>
          <w:tcPr>
            <w:tcW w:w="1483" w:type="dxa"/>
            <w:tcBorders>
              <w:top w:val="nil"/>
              <w:left w:val="nil"/>
              <w:bottom w:val="nil"/>
              <w:right w:val="nil"/>
            </w:tcBorders>
            <w:noWrap/>
            <w:vAlign w:val="center"/>
            <w:hideMark/>
          </w:tcPr>
          <w:p w14:paraId="172D5015"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992" w:type="dxa"/>
            <w:tcBorders>
              <w:top w:val="nil"/>
              <w:left w:val="nil"/>
              <w:bottom w:val="nil"/>
              <w:right w:val="nil"/>
            </w:tcBorders>
            <w:noWrap/>
            <w:vAlign w:val="center"/>
            <w:hideMark/>
          </w:tcPr>
          <w:p w14:paraId="4065FC4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r>
      <w:tr w:rsidR="00A44383" w:rsidRPr="00353AE1" w14:paraId="05688DF0" w14:textId="77777777" w:rsidTr="00E016A0">
        <w:trPr>
          <w:trHeight w:val="300"/>
          <w:jc w:val="center"/>
        </w:trPr>
        <w:tc>
          <w:tcPr>
            <w:tcW w:w="0" w:type="auto"/>
            <w:tcBorders>
              <w:top w:val="nil"/>
              <w:left w:val="nil"/>
              <w:bottom w:val="nil"/>
              <w:right w:val="nil"/>
            </w:tcBorders>
            <w:noWrap/>
            <w:vAlign w:val="center"/>
            <w:hideMark/>
          </w:tcPr>
          <w:p w14:paraId="5B806615"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investment</w:t>
            </w:r>
          </w:p>
        </w:tc>
        <w:tc>
          <w:tcPr>
            <w:tcW w:w="0" w:type="auto"/>
            <w:tcBorders>
              <w:top w:val="nil"/>
              <w:left w:val="nil"/>
              <w:bottom w:val="nil"/>
              <w:right w:val="nil"/>
            </w:tcBorders>
            <w:noWrap/>
            <w:vAlign w:val="center"/>
            <w:hideMark/>
          </w:tcPr>
          <w:p w14:paraId="67D9150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1494" w:type="dxa"/>
            <w:tcBorders>
              <w:top w:val="nil"/>
              <w:left w:val="nil"/>
              <w:bottom w:val="nil"/>
              <w:right w:val="nil"/>
            </w:tcBorders>
            <w:noWrap/>
            <w:vAlign w:val="center"/>
            <w:hideMark/>
          </w:tcPr>
          <w:p w14:paraId="0E08D935"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0.03</w:t>
            </w:r>
          </w:p>
        </w:tc>
        <w:tc>
          <w:tcPr>
            <w:tcW w:w="1483" w:type="dxa"/>
            <w:tcBorders>
              <w:top w:val="nil"/>
              <w:left w:val="nil"/>
              <w:bottom w:val="nil"/>
              <w:right w:val="nil"/>
            </w:tcBorders>
            <w:noWrap/>
            <w:vAlign w:val="center"/>
            <w:hideMark/>
          </w:tcPr>
          <w:p w14:paraId="04817F0E"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992" w:type="dxa"/>
            <w:tcBorders>
              <w:top w:val="nil"/>
              <w:left w:val="nil"/>
              <w:bottom w:val="nil"/>
              <w:right w:val="nil"/>
            </w:tcBorders>
            <w:noWrap/>
            <w:vAlign w:val="center"/>
            <w:hideMark/>
          </w:tcPr>
          <w:p w14:paraId="76F3E36C"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3AF4D6AD" w14:textId="77777777" w:rsidTr="00E016A0">
        <w:trPr>
          <w:trHeight w:val="300"/>
          <w:jc w:val="center"/>
        </w:trPr>
        <w:tc>
          <w:tcPr>
            <w:tcW w:w="0" w:type="auto"/>
            <w:tcBorders>
              <w:top w:val="nil"/>
              <w:left w:val="nil"/>
              <w:bottom w:val="nil"/>
              <w:right w:val="nil"/>
            </w:tcBorders>
            <w:noWrap/>
            <w:vAlign w:val="center"/>
            <w:hideMark/>
          </w:tcPr>
          <w:p w14:paraId="1719F2A7"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household consumption</w:t>
            </w:r>
          </w:p>
        </w:tc>
        <w:tc>
          <w:tcPr>
            <w:tcW w:w="0" w:type="auto"/>
            <w:tcBorders>
              <w:top w:val="nil"/>
              <w:left w:val="nil"/>
              <w:bottom w:val="nil"/>
              <w:right w:val="nil"/>
            </w:tcBorders>
            <w:noWrap/>
            <w:vAlign w:val="center"/>
            <w:hideMark/>
          </w:tcPr>
          <w:p w14:paraId="597EA890"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0.04</w:t>
            </w:r>
          </w:p>
        </w:tc>
        <w:tc>
          <w:tcPr>
            <w:tcW w:w="1494" w:type="dxa"/>
            <w:tcBorders>
              <w:top w:val="nil"/>
              <w:left w:val="nil"/>
              <w:bottom w:val="nil"/>
              <w:right w:val="nil"/>
            </w:tcBorders>
            <w:noWrap/>
            <w:vAlign w:val="center"/>
            <w:hideMark/>
          </w:tcPr>
          <w:p w14:paraId="6B15897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0.06</w:t>
            </w:r>
          </w:p>
        </w:tc>
        <w:tc>
          <w:tcPr>
            <w:tcW w:w="1483" w:type="dxa"/>
            <w:tcBorders>
              <w:top w:val="nil"/>
              <w:left w:val="nil"/>
              <w:bottom w:val="nil"/>
              <w:right w:val="nil"/>
            </w:tcBorders>
            <w:noWrap/>
            <w:vAlign w:val="center"/>
            <w:hideMark/>
          </w:tcPr>
          <w:p w14:paraId="3448267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992" w:type="dxa"/>
            <w:tcBorders>
              <w:top w:val="nil"/>
              <w:left w:val="nil"/>
              <w:bottom w:val="nil"/>
              <w:right w:val="nil"/>
            </w:tcBorders>
            <w:noWrap/>
            <w:vAlign w:val="center"/>
            <w:hideMark/>
          </w:tcPr>
          <w:p w14:paraId="4EF8D44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0.03</w:t>
            </w:r>
          </w:p>
        </w:tc>
      </w:tr>
      <w:tr w:rsidR="00A44383" w:rsidRPr="00353AE1" w14:paraId="2777AA44" w14:textId="77777777" w:rsidTr="00E016A0">
        <w:trPr>
          <w:trHeight w:val="300"/>
          <w:jc w:val="center"/>
        </w:trPr>
        <w:tc>
          <w:tcPr>
            <w:tcW w:w="0" w:type="auto"/>
            <w:tcBorders>
              <w:top w:val="nil"/>
              <w:left w:val="nil"/>
              <w:bottom w:val="nil"/>
              <w:right w:val="nil"/>
            </w:tcBorders>
            <w:noWrap/>
            <w:vAlign w:val="center"/>
            <w:hideMark/>
          </w:tcPr>
          <w:p w14:paraId="5DDC82BD"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export volumes</w:t>
            </w:r>
          </w:p>
        </w:tc>
        <w:tc>
          <w:tcPr>
            <w:tcW w:w="0" w:type="auto"/>
            <w:tcBorders>
              <w:top w:val="nil"/>
              <w:left w:val="nil"/>
              <w:bottom w:val="nil"/>
              <w:right w:val="nil"/>
            </w:tcBorders>
            <w:noWrap/>
            <w:vAlign w:val="center"/>
            <w:hideMark/>
          </w:tcPr>
          <w:p w14:paraId="6F9068F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0.05</w:t>
            </w:r>
          </w:p>
        </w:tc>
        <w:tc>
          <w:tcPr>
            <w:tcW w:w="1494" w:type="dxa"/>
            <w:tcBorders>
              <w:top w:val="nil"/>
              <w:left w:val="nil"/>
              <w:bottom w:val="nil"/>
              <w:right w:val="nil"/>
            </w:tcBorders>
            <w:noWrap/>
            <w:vAlign w:val="center"/>
            <w:hideMark/>
          </w:tcPr>
          <w:p w14:paraId="1217E9E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0.05</w:t>
            </w:r>
          </w:p>
        </w:tc>
        <w:tc>
          <w:tcPr>
            <w:tcW w:w="1483" w:type="dxa"/>
            <w:tcBorders>
              <w:top w:val="nil"/>
              <w:left w:val="nil"/>
              <w:bottom w:val="nil"/>
              <w:right w:val="nil"/>
            </w:tcBorders>
            <w:noWrap/>
            <w:vAlign w:val="center"/>
            <w:hideMark/>
          </w:tcPr>
          <w:p w14:paraId="3A752DD7"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0.03</w:t>
            </w:r>
          </w:p>
        </w:tc>
        <w:tc>
          <w:tcPr>
            <w:tcW w:w="992" w:type="dxa"/>
            <w:tcBorders>
              <w:top w:val="nil"/>
              <w:left w:val="nil"/>
              <w:bottom w:val="nil"/>
              <w:right w:val="nil"/>
            </w:tcBorders>
            <w:noWrap/>
            <w:vAlign w:val="center"/>
            <w:hideMark/>
          </w:tcPr>
          <w:p w14:paraId="3C6C72A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r>
      <w:tr w:rsidR="00A44383" w:rsidRPr="00353AE1" w14:paraId="32243457" w14:textId="77777777" w:rsidTr="00E016A0">
        <w:trPr>
          <w:trHeight w:val="300"/>
          <w:jc w:val="center"/>
        </w:trPr>
        <w:tc>
          <w:tcPr>
            <w:tcW w:w="0" w:type="auto"/>
            <w:tcBorders>
              <w:top w:val="nil"/>
              <w:left w:val="nil"/>
              <w:bottom w:val="nil"/>
              <w:right w:val="nil"/>
            </w:tcBorders>
            <w:noWrap/>
            <w:vAlign w:val="center"/>
            <w:hideMark/>
          </w:tcPr>
          <w:p w14:paraId="34CBC99F"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state/local gov. consumption</w:t>
            </w:r>
          </w:p>
        </w:tc>
        <w:tc>
          <w:tcPr>
            <w:tcW w:w="0" w:type="auto"/>
            <w:tcBorders>
              <w:top w:val="nil"/>
              <w:left w:val="nil"/>
              <w:bottom w:val="nil"/>
              <w:right w:val="nil"/>
            </w:tcBorders>
            <w:noWrap/>
            <w:vAlign w:val="center"/>
            <w:hideMark/>
          </w:tcPr>
          <w:p w14:paraId="0902A737"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45D5A346"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83" w:type="dxa"/>
            <w:tcBorders>
              <w:top w:val="nil"/>
              <w:left w:val="nil"/>
              <w:bottom w:val="nil"/>
              <w:right w:val="nil"/>
            </w:tcBorders>
            <w:noWrap/>
            <w:vAlign w:val="center"/>
            <w:hideMark/>
          </w:tcPr>
          <w:p w14:paraId="2FE59A6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166169C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r>
      <w:tr w:rsidR="00A44383" w:rsidRPr="00353AE1" w14:paraId="7939E110" w14:textId="77777777" w:rsidTr="00E016A0">
        <w:trPr>
          <w:trHeight w:val="300"/>
          <w:jc w:val="center"/>
        </w:trPr>
        <w:tc>
          <w:tcPr>
            <w:tcW w:w="0" w:type="auto"/>
            <w:tcBorders>
              <w:top w:val="nil"/>
              <w:left w:val="nil"/>
              <w:bottom w:val="nil"/>
              <w:right w:val="nil"/>
            </w:tcBorders>
            <w:noWrap/>
            <w:vAlign w:val="center"/>
            <w:hideMark/>
          </w:tcPr>
          <w:p w14:paraId="31F8ABCC"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federal gov. consumption</w:t>
            </w:r>
          </w:p>
        </w:tc>
        <w:tc>
          <w:tcPr>
            <w:tcW w:w="0" w:type="auto"/>
            <w:tcBorders>
              <w:top w:val="nil"/>
              <w:left w:val="nil"/>
              <w:bottom w:val="nil"/>
              <w:right w:val="nil"/>
            </w:tcBorders>
            <w:noWrap/>
            <w:vAlign w:val="center"/>
            <w:hideMark/>
          </w:tcPr>
          <w:p w14:paraId="2BE381CF"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51F7ADB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83" w:type="dxa"/>
            <w:tcBorders>
              <w:top w:val="nil"/>
              <w:left w:val="nil"/>
              <w:bottom w:val="nil"/>
              <w:right w:val="nil"/>
            </w:tcBorders>
            <w:noWrap/>
            <w:vAlign w:val="center"/>
            <w:hideMark/>
          </w:tcPr>
          <w:p w14:paraId="25D0960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4E17919C"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r>
      <w:tr w:rsidR="00A44383" w:rsidRPr="00353AE1" w14:paraId="641DFF0D" w14:textId="77777777" w:rsidTr="00E016A0">
        <w:trPr>
          <w:trHeight w:val="300"/>
          <w:jc w:val="center"/>
        </w:trPr>
        <w:tc>
          <w:tcPr>
            <w:tcW w:w="0" w:type="auto"/>
            <w:tcBorders>
              <w:top w:val="nil"/>
              <w:left w:val="nil"/>
              <w:bottom w:val="nil"/>
              <w:right w:val="nil"/>
            </w:tcBorders>
            <w:noWrap/>
            <w:vAlign w:val="center"/>
            <w:hideMark/>
          </w:tcPr>
          <w:p w14:paraId="3C7C2962"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government consumption (all levels)</w:t>
            </w:r>
          </w:p>
        </w:tc>
        <w:tc>
          <w:tcPr>
            <w:tcW w:w="0" w:type="auto"/>
            <w:tcBorders>
              <w:top w:val="nil"/>
              <w:left w:val="nil"/>
              <w:bottom w:val="nil"/>
              <w:right w:val="nil"/>
            </w:tcBorders>
            <w:noWrap/>
            <w:vAlign w:val="center"/>
            <w:hideMark/>
          </w:tcPr>
          <w:p w14:paraId="024C772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4A8327B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83" w:type="dxa"/>
            <w:tcBorders>
              <w:top w:val="nil"/>
              <w:left w:val="nil"/>
              <w:bottom w:val="nil"/>
              <w:right w:val="nil"/>
            </w:tcBorders>
            <w:noWrap/>
            <w:vAlign w:val="center"/>
            <w:hideMark/>
          </w:tcPr>
          <w:p w14:paraId="2497ABE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69AB1A54"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r>
      <w:tr w:rsidR="00A44383" w:rsidRPr="00353AE1" w14:paraId="7BFA8E49" w14:textId="77777777" w:rsidTr="00E016A0">
        <w:trPr>
          <w:trHeight w:val="300"/>
          <w:jc w:val="center"/>
        </w:trPr>
        <w:tc>
          <w:tcPr>
            <w:tcW w:w="0" w:type="auto"/>
            <w:tcBorders>
              <w:top w:val="nil"/>
              <w:left w:val="nil"/>
              <w:bottom w:val="nil"/>
              <w:right w:val="nil"/>
            </w:tcBorders>
            <w:noWrap/>
            <w:vAlign w:val="center"/>
            <w:hideMark/>
          </w:tcPr>
          <w:p w14:paraId="6DCE7D32"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import volumes</w:t>
            </w:r>
          </w:p>
        </w:tc>
        <w:tc>
          <w:tcPr>
            <w:tcW w:w="0" w:type="auto"/>
            <w:tcBorders>
              <w:top w:val="nil"/>
              <w:left w:val="nil"/>
              <w:bottom w:val="nil"/>
              <w:right w:val="nil"/>
            </w:tcBorders>
            <w:noWrap/>
            <w:vAlign w:val="center"/>
            <w:hideMark/>
          </w:tcPr>
          <w:p w14:paraId="25A5E17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67C6BD0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83" w:type="dxa"/>
            <w:tcBorders>
              <w:top w:val="nil"/>
              <w:left w:val="nil"/>
              <w:bottom w:val="nil"/>
              <w:right w:val="nil"/>
            </w:tcBorders>
            <w:noWrap/>
            <w:vAlign w:val="center"/>
            <w:hideMark/>
          </w:tcPr>
          <w:p w14:paraId="4E4EEE51"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4519706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47E5CA46" w14:textId="77777777" w:rsidTr="00E016A0">
        <w:trPr>
          <w:trHeight w:val="300"/>
          <w:jc w:val="center"/>
        </w:trPr>
        <w:tc>
          <w:tcPr>
            <w:tcW w:w="0" w:type="auto"/>
            <w:tcBorders>
              <w:top w:val="nil"/>
              <w:left w:val="nil"/>
              <w:bottom w:val="nil"/>
              <w:right w:val="nil"/>
            </w:tcBorders>
            <w:noWrap/>
            <w:vAlign w:val="center"/>
            <w:hideMark/>
          </w:tcPr>
          <w:p w14:paraId="5631896B"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Capital stock</w:t>
            </w:r>
          </w:p>
        </w:tc>
        <w:tc>
          <w:tcPr>
            <w:tcW w:w="0" w:type="auto"/>
            <w:tcBorders>
              <w:top w:val="nil"/>
              <w:left w:val="nil"/>
              <w:bottom w:val="nil"/>
              <w:right w:val="nil"/>
            </w:tcBorders>
            <w:noWrap/>
            <w:vAlign w:val="center"/>
            <w:hideMark/>
          </w:tcPr>
          <w:p w14:paraId="4571B44C"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361EAD10"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1483" w:type="dxa"/>
            <w:tcBorders>
              <w:top w:val="nil"/>
              <w:left w:val="nil"/>
              <w:bottom w:val="nil"/>
              <w:right w:val="nil"/>
            </w:tcBorders>
            <w:noWrap/>
            <w:vAlign w:val="center"/>
            <w:hideMark/>
          </w:tcPr>
          <w:p w14:paraId="51E21667"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6982543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22353F85" w14:textId="77777777" w:rsidTr="00E016A0">
        <w:trPr>
          <w:trHeight w:val="300"/>
          <w:jc w:val="center"/>
        </w:trPr>
        <w:tc>
          <w:tcPr>
            <w:tcW w:w="0" w:type="auto"/>
            <w:tcBorders>
              <w:top w:val="nil"/>
              <w:left w:val="nil"/>
              <w:bottom w:val="nil"/>
              <w:right w:val="nil"/>
            </w:tcBorders>
            <w:noWrap/>
            <w:vAlign w:val="center"/>
            <w:hideMark/>
          </w:tcPr>
          <w:p w14:paraId="558DC8C7"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Employment (wage-bill weighted)</w:t>
            </w:r>
          </w:p>
        </w:tc>
        <w:tc>
          <w:tcPr>
            <w:tcW w:w="0" w:type="auto"/>
            <w:tcBorders>
              <w:top w:val="nil"/>
              <w:left w:val="nil"/>
              <w:bottom w:val="nil"/>
              <w:right w:val="nil"/>
            </w:tcBorders>
            <w:noWrap/>
            <w:vAlign w:val="center"/>
            <w:hideMark/>
          </w:tcPr>
          <w:p w14:paraId="3B5C62F8"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0.000</w:t>
            </w:r>
          </w:p>
        </w:tc>
        <w:tc>
          <w:tcPr>
            <w:tcW w:w="1494" w:type="dxa"/>
            <w:tcBorders>
              <w:top w:val="nil"/>
              <w:left w:val="nil"/>
              <w:bottom w:val="nil"/>
              <w:right w:val="nil"/>
            </w:tcBorders>
            <w:noWrap/>
            <w:vAlign w:val="center"/>
            <w:hideMark/>
          </w:tcPr>
          <w:p w14:paraId="624D946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-0.003</w:t>
            </w:r>
          </w:p>
        </w:tc>
        <w:tc>
          <w:tcPr>
            <w:tcW w:w="1483" w:type="dxa"/>
            <w:tcBorders>
              <w:top w:val="nil"/>
              <w:left w:val="nil"/>
              <w:bottom w:val="nil"/>
              <w:right w:val="nil"/>
            </w:tcBorders>
            <w:noWrap/>
            <w:vAlign w:val="center"/>
            <w:hideMark/>
          </w:tcPr>
          <w:p w14:paraId="55439BE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0.000</w:t>
            </w:r>
          </w:p>
        </w:tc>
        <w:tc>
          <w:tcPr>
            <w:tcW w:w="992" w:type="dxa"/>
            <w:tcBorders>
              <w:top w:val="nil"/>
              <w:left w:val="nil"/>
              <w:bottom w:val="nil"/>
              <w:right w:val="nil"/>
            </w:tcBorders>
            <w:noWrap/>
            <w:vAlign w:val="center"/>
            <w:hideMark/>
          </w:tcPr>
          <w:p w14:paraId="1DC1786A"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-0.001</w:t>
            </w:r>
          </w:p>
        </w:tc>
      </w:tr>
      <w:tr w:rsidR="00A44383" w:rsidRPr="00353AE1" w14:paraId="5ED7A417" w14:textId="77777777" w:rsidTr="00E016A0">
        <w:trPr>
          <w:trHeight w:val="300"/>
          <w:jc w:val="center"/>
        </w:trPr>
        <w:tc>
          <w:tcPr>
            <w:tcW w:w="0" w:type="auto"/>
            <w:tcBorders>
              <w:top w:val="nil"/>
              <w:left w:val="nil"/>
              <w:bottom w:val="nil"/>
              <w:right w:val="nil"/>
            </w:tcBorders>
            <w:noWrap/>
            <w:vAlign w:val="center"/>
            <w:hideMark/>
          </w:tcPr>
          <w:p w14:paraId="6FD28FF4"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Employment (persons)</w:t>
            </w:r>
          </w:p>
        </w:tc>
        <w:tc>
          <w:tcPr>
            <w:tcW w:w="0" w:type="auto"/>
            <w:tcBorders>
              <w:top w:val="nil"/>
              <w:left w:val="nil"/>
              <w:bottom w:val="nil"/>
              <w:right w:val="nil"/>
            </w:tcBorders>
            <w:noWrap/>
            <w:vAlign w:val="center"/>
            <w:hideMark/>
          </w:tcPr>
          <w:p w14:paraId="7BE97E25"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0.005</w:t>
            </w:r>
          </w:p>
        </w:tc>
        <w:tc>
          <w:tcPr>
            <w:tcW w:w="1494" w:type="dxa"/>
            <w:tcBorders>
              <w:top w:val="nil"/>
              <w:left w:val="nil"/>
              <w:bottom w:val="nil"/>
              <w:right w:val="nil"/>
            </w:tcBorders>
            <w:noWrap/>
            <w:vAlign w:val="center"/>
            <w:hideMark/>
          </w:tcPr>
          <w:p w14:paraId="4799510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0.003</w:t>
            </w:r>
          </w:p>
        </w:tc>
        <w:tc>
          <w:tcPr>
            <w:tcW w:w="1483" w:type="dxa"/>
            <w:tcBorders>
              <w:top w:val="nil"/>
              <w:left w:val="nil"/>
              <w:bottom w:val="nil"/>
              <w:right w:val="nil"/>
            </w:tcBorders>
            <w:noWrap/>
            <w:vAlign w:val="center"/>
            <w:hideMark/>
          </w:tcPr>
          <w:p w14:paraId="5FC6F9B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0.003</w:t>
            </w:r>
          </w:p>
        </w:tc>
        <w:tc>
          <w:tcPr>
            <w:tcW w:w="992" w:type="dxa"/>
            <w:tcBorders>
              <w:top w:val="nil"/>
              <w:left w:val="nil"/>
              <w:bottom w:val="nil"/>
              <w:right w:val="nil"/>
            </w:tcBorders>
            <w:noWrap/>
            <w:vAlign w:val="center"/>
            <w:hideMark/>
          </w:tcPr>
          <w:p w14:paraId="6F67092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0.002</w:t>
            </w:r>
          </w:p>
        </w:tc>
      </w:tr>
      <w:tr w:rsidR="00A44383" w:rsidRPr="00353AE1" w14:paraId="6930FAC1" w14:textId="77777777" w:rsidTr="00E016A0">
        <w:trPr>
          <w:trHeight w:val="300"/>
          <w:jc w:val="center"/>
        </w:trPr>
        <w:tc>
          <w:tcPr>
            <w:tcW w:w="0" w:type="auto"/>
            <w:tcBorders>
              <w:top w:val="nil"/>
              <w:left w:val="nil"/>
              <w:bottom w:val="nil"/>
              <w:right w:val="nil"/>
            </w:tcBorders>
            <w:noWrap/>
            <w:vAlign w:val="center"/>
            <w:hideMark/>
          </w:tcPr>
          <w:p w14:paraId="11BEEEBC"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National population</w:t>
            </w:r>
          </w:p>
        </w:tc>
        <w:tc>
          <w:tcPr>
            <w:tcW w:w="0" w:type="auto"/>
            <w:tcBorders>
              <w:top w:val="nil"/>
              <w:left w:val="nil"/>
              <w:bottom w:val="nil"/>
              <w:right w:val="nil"/>
            </w:tcBorders>
            <w:noWrap/>
            <w:vAlign w:val="center"/>
            <w:hideMark/>
          </w:tcPr>
          <w:p w14:paraId="64D956BF"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00E1BCE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83" w:type="dxa"/>
            <w:tcBorders>
              <w:top w:val="nil"/>
              <w:left w:val="nil"/>
              <w:bottom w:val="nil"/>
              <w:right w:val="nil"/>
            </w:tcBorders>
            <w:noWrap/>
            <w:vAlign w:val="center"/>
            <w:hideMark/>
          </w:tcPr>
          <w:p w14:paraId="6F1973E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3E80AB1B"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r>
      <w:tr w:rsidR="00A44383" w:rsidRPr="00353AE1" w14:paraId="00EE4813" w14:textId="77777777" w:rsidTr="00E016A0">
        <w:trPr>
          <w:trHeight w:val="300"/>
          <w:jc w:val="center"/>
        </w:trPr>
        <w:tc>
          <w:tcPr>
            <w:tcW w:w="0" w:type="auto"/>
            <w:tcBorders>
              <w:top w:val="nil"/>
              <w:left w:val="nil"/>
              <w:bottom w:val="nil"/>
              <w:right w:val="nil"/>
            </w:tcBorders>
            <w:noWrap/>
            <w:vAlign w:val="center"/>
            <w:hideMark/>
          </w:tcPr>
          <w:p w14:paraId="1710B70D"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consumer wage</w:t>
            </w:r>
          </w:p>
        </w:tc>
        <w:tc>
          <w:tcPr>
            <w:tcW w:w="0" w:type="auto"/>
            <w:tcBorders>
              <w:top w:val="nil"/>
              <w:left w:val="nil"/>
              <w:bottom w:val="nil"/>
              <w:right w:val="nil"/>
            </w:tcBorders>
            <w:noWrap/>
            <w:vAlign w:val="center"/>
            <w:hideMark/>
          </w:tcPr>
          <w:p w14:paraId="774B27A4"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193CA814"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0.03</w:t>
            </w:r>
          </w:p>
        </w:tc>
        <w:tc>
          <w:tcPr>
            <w:tcW w:w="1483" w:type="dxa"/>
            <w:tcBorders>
              <w:top w:val="nil"/>
              <w:left w:val="nil"/>
              <w:bottom w:val="nil"/>
              <w:right w:val="nil"/>
            </w:tcBorders>
            <w:noWrap/>
            <w:vAlign w:val="center"/>
            <w:hideMark/>
          </w:tcPr>
          <w:p w14:paraId="4708D784"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3940AB0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r>
      <w:tr w:rsidR="00A44383" w:rsidRPr="00353AE1" w14:paraId="6A1B274E" w14:textId="77777777" w:rsidTr="00E016A0">
        <w:trPr>
          <w:trHeight w:val="300"/>
          <w:jc w:val="center"/>
        </w:trPr>
        <w:tc>
          <w:tcPr>
            <w:tcW w:w="0" w:type="auto"/>
            <w:tcBorders>
              <w:top w:val="nil"/>
              <w:left w:val="nil"/>
              <w:bottom w:val="nil"/>
              <w:right w:val="nil"/>
            </w:tcBorders>
            <w:noWrap/>
            <w:vAlign w:val="center"/>
            <w:hideMark/>
          </w:tcPr>
          <w:p w14:paraId="504F9F2C"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cost of labour</w:t>
            </w:r>
          </w:p>
        </w:tc>
        <w:tc>
          <w:tcPr>
            <w:tcW w:w="0" w:type="auto"/>
            <w:tcBorders>
              <w:top w:val="nil"/>
              <w:left w:val="nil"/>
              <w:bottom w:val="nil"/>
              <w:right w:val="nil"/>
            </w:tcBorders>
            <w:noWrap/>
            <w:vAlign w:val="center"/>
            <w:hideMark/>
          </w:tcPr>
          <w:p w14:paraId="199A438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94" w:type="dxa"/>
            <w:tcBorders>
              <w:top w:val="nil"/>
              <w:left w:val="nil"/>
              <w:bottom w:val="nil"/>
              <w:right w:val="nil"/>
            </w:tcBorders>
            <w:noWrap/>
            <w:vAlign w:val="center"/>
            <w:hideMark/>
          </w:tcPr>
          <w:p w14:paraId="4E1CC671"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0.04</w:t>
            </w:r>
          </w:p>
        </w:tc>
        <w:tc>
          <w:tcPr>
            <w:tcW w:w="1483" w:type="dxa"/>
            <w:tcBorders>
              <w:top w:val="nil"/>
              <w:left w:val="nil"/>
              <w:bottom w:val="nil"/>
              <w:right w:val="nil"/>
            </w:tcBorders>
            <w:noWrap/>
            <w:vAlign w:val="center"/>
            <w:hideMark/>
          </w:tcPr>
          <w:p w14:paraId="40F5AC5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992" w:type="dxa"/>
            <w:tcBorders>
              <w:top w:val="nil"/>
              <w:left w:val="nil"/>
              <w:bottom w:val="nil"/>
              <w:right w:val="nil"/>
            </w:tcBorders>
            <w:noWrap/>
            <w:vAlign w:val="center"/>
            <w:hideMark/>
          </w:tcPr>
          <w:p w14:paraId="2BE0CCB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r>
      <w:tr w:rsidR="00A44383" w:rsidRPr="00353AE1" w14:paraId="60FC9852" w14:textId="77777777" w:rsidTr="00E016A0">
        <w:trPr>
          <w:trHeight w:val="300"/>
          <w:jc w:val="center"/>
        </w:trPr>
        <w:tc>
          <w:tcPr>
            <w:tcW w:w="0" w:type="auto"/>
            <w:tcBorders>
              <w:top w:val="nil"/>
              <w:left w:val="nil"/>
              <w:bottom w:val="nil"/>
              <w:right w:val="nil"/>
            </w:tcBorders>
            <w:noWrap/>
            <w:vAlign w:val="center"/>
            <w:hideMark/>
          </w:tcPr>
          <w:p w14:paraId="2EBFC177"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GDP deflator</w:t>
            </w:r>
          </w:p>
        </w:tc>
        <w:tc>
          <w:tcPr>
            <w:tcW w:w="0" w:type="auto"/>
            <w:tcBorders>
              <w:top w:val="nil"/>
              <w:left w:val="nil"/>
              <w:bottom w:val="nil"/>
              <w:right w:val="nil"/>
            </w:tcBorders>
            <w:noWrap/>
            <w:vAlign w:val="center"/>
            <w:hideMark/>
          </w:tcPr>
          <w:p w14:paraId="0D6DBBD0"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1494" w:type="dxa"/>
            <w:tcBorders>
              <w:top w:val="nil"/>
              <w:left w:val="nil"/>
              <w:bottom w:val="nil"/>
              <w:right w:val="nil"/>
            </w:tcBorders>
            <w:noWrap/>
            <w:vAlign w:val="center"/>
            <w:hideMark/>
          </w:tcPr>
          <w:p w14:paraId="45CADC46"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83" w:type="dxa"/>
            <w:tcBorders>
              <w:top w:val="nil"/>
              <w:left w:val="nil"/>
              <w:bottom w:val="nil"/>
              <w:right w:val="nil"/>
            </w:tcBorders>
            <w:noWrap/>
            <w:vAlign w:val="center"/>
            <w:hideMark/>
          </w:tcPr>
          <w:p w14:paraId="12714EBC"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992" w:type="dxa"/>
            <w:tcBorders>
              <w:top w:val="nil"/>
              <w:left w:val="nil"/>
              <w:bottom w:val="nil"/>
              <w:right w:val="nil"/>
            </w:tcBorders>
            <w:noWrap/>
            <w:vAlign w:val="center"/>
            <w:hideMark/>
          </w:tcPr>
          <w:p w14:paraId="1FE64BF4"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658AA1F6" w14:textId="77777777" w:rsidTr="00E016A0">
        <w:trPr>
          <w:trHeight w:val="300"/>
          <w:jc w:val="center"/>
        </w:trPr>
        <w:tc>
          <w:tcPr>
            <w:tcW w:w="0" w:type="auto"/>
            <w:tcBorders>
              <w:top w:val="nil"/>
              <w:left w:val="nil"/>
              <w:bottom w:val="nil"/>
              <w:right w:val="nil"/>
            </w:tcBorders>
            <w:noWrap/>
            <w:vAlign w:val="center"/>
            <w:hideMark/>
          </w:tcPr>
          <w:p w14:paraId="556C62F8"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CPI (numeraire)</w:t>
            </w:r>
          </w:p>
        </w:tc>
        <w:tc>
          <w:tcPr>
            <w:tcW w:w="0" w:type="auto"/>
            <w:tcBorders>
              <w:top w:val="nil"/>
              <w:left w:val="nil"/>
              <w:bottom w:val="nil"/>
              <w:right w:val="nil"/>
            </w:tcBorders>
            <w:noWrap/>
            <w:vAlign w:val="center"/>
            <w:hideMark/>
          </w:tcPr>
          <w:p w14:paraId="3A1DB47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20A1E49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83" w:type="dxa"/>
            <w:tcBorders>
              <w:top w:val="nil"/>
              <w:left w:val="nil"/>
              <w:bottom w:val="nil"/>
              <w:right w:val="nil"/>
            </w:tcBorders>
            <w:noWrap/>
            <w:vAlign w:val="center"/>
            <w:hideMark/>
          </w:tcPr>
          <w:p w14:paraId="7DCA819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5CDB564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r>
      <w:tr w:rsidR="00A44383" w:rsidRPr="00353AE1" w14:paraId="010F55DF" w14:textId="77777777" w:rsidTr="00E016A0">
        <w:trPr>
          <w:trHeight w:val="300"/>
          <w:jc w:val="center"/>
        </w:trPr>
        <w:tc>
          <w:tcPr>
            <w:tcW w:w="0" w:type="auto"/>
            <w:tcBorders>
              <w:top w:val="nil"/>
              <w:left w:val="nil"/>
              <w:bottom w:val="nil"/>
              <w:right w:val="nil"/>
            </w:tcBorders>
            <w:noWrap/>
            <w:vAlign w:val="center"/>
            <w:hideMark/>
          </w:tcPr>
          <w:p w14:paraId="127439FB"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National terms of trade</w:t>
            </w:r>
          </w:p>
        </w:tc>
        <w:tc>
          <w:tcPr>
            <w:tcW w:w="0" w:type="auto"/>
            <w:tcBorders>
              <w:top w:val="nil"/>
              <w:left w:val="nil"/>
              <w:bottom w:val="nil"/>
              <w:right w:val="nil"/>
            </w:tcBorders>
            <w:noWrap/>
            <w:vAlign w:val="center"/>
            <w:hideMark/>
          </w:tcPr>
          <w:p w14:paraId="0FE0FCF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94" w:type="dxa"/>
            <w:tcBorders>
              <w:top w:val="nil"/>
              <w:left w:val="nil"/>
              <w:bottom w:val="nil"/>
              <w:right w:val="nil"/>
            </w:tcBorders>
            <w:noWrap/>
            <w:vAlign w:val="center"/>
            <w:hideMark/>
          </w:tcPr>
          <w:p w14:paraId="45558511"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83" w:type="dxa"/>
            <w:tcBorders>
              <w:top w:val="nil"/>
              <w:left w:val="nil"/>
              <w:bottom w:val="nil"/>
              <w:right w:val="nil"/>
            </w:tcBorders>
            <w:noWrap/>
            <w:vAlign w:val="center"/>
            <w:hideMark/>
          </w:tcPr>
          <w:p w14:paraId="7CDEC83F"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992" w:type="dxa"/>
            <w:tcBorders>
              <w:top w:val="nil"/>
              <w:left w:val="nil"/>
              <w:bottom w:val="nil"/>
              <w:right w:val="nil"/>
            </w:tcBorders>
            <w:noWrap/>
            <w:vAlign w:val="center"/>
            <w:hideMark/>
          </w:tcPr>
          <w:p w14:paraId="09B5086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58FDA276" w14:textId="77777777" w:rsidTr="00E016A0">
        <w:trPr>
          <w:trHeight w:val="300"/>
          <w:jc w:val="center"/>
        </w:trPr>
        <w:tc>
          <w:tcPr>
            <w:tcW w:w="0" w:type="auto"/>
            <w:tcBorders>
              <w:top w:val="nil"/>
              <w:left w:val="nil"/>
              <w:bottom w:val="nil"/>
              <w:right w:val="nil"/>
            </w:tcBorders>
            <w:noWrap/>
            <w:vAlign w:val="center"/>
            <w:hideMark/>
          </w:tcPr>
          <w:p w14:paraId="445DFD51"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Real devaluation</w:t>
            </w:r>
          </w:p>
        </w:tc>
        <w:tc>
          <w:tcPr>
            <w:tcW w:w="0" w:type="auto"/>
            <w:tcBorders>
              <w:top w:val="nil"/>
              <w:left w:val="nil"/>
              <w:bottom w:val="nil"/>
              <w:right w:val="nil"/>
            </w:tcBorders>
            <w:noWrap/>
            <w:vAlign w:val="center"/>
            <w:hideMark/>
          </w:tcPr>
          <w:p w14:paraId="64CBD3D5"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1494" w:type="dxa"/>
            <w:tcBorders>
              <w:top w:val="nil"/>
              <w:left w:val="nil"/>
              <w:bottom w:val="nil"/>
              <w:right w:val="nil"/>
            </w:tcBorders>
            <w:noWrap/>
            <w:vAlign w:val="center"/>
            <w:hideMark/>
          </w:tcPr>
          <w:p w14:paraId="7A8A7BA6"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1483" w:type="dxa"/>
            <w:tcBorders>
              <w:top w:val="nil"/>
              <w:left w:val="nil"/>
              <w:bottom w:val="nil"/>
              <w:right w:val="nil"/>
            </w:tcBorders>
            <w:noWrap/>
            <w:vAlign w:val="center"/>
            <w:hideMark/>
          </w:tcPr>
          <w:p w14:paraId="2DB69760"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w:t>
            </w:r>
          </w:p>
        </w:tc>
        <w:tc>
          <w:tcPr>
            <w:tcW w:w="992" w:type="dxa"/>
            <w:tcBorders>
              <w:top w:val="nil"/>
              <w:left w:val="nil"/>
              <w:bottom w:val="nil"/>
              <w:right w:val="nil"/>
            </w:tcBorders>
            <w:noWrap/>
            <w:vAlign w:val="center"/>
            <w:hideMark/>
          </w:tcPr>
          <w:p w14:paraId="50DA125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A44383" w:rsidRPr="00353AE1" w14:paraId="45863FB7" w14:textId="77777777" w:rsidTr="00E016A0">
        <w:trPr>
          <w:trHeight w:val="300"/>
          <w:jc w:val="center"/>
        </w:trPr>
        <w:tc>
          <w:tcPr>
            <w:tcW w:w="0" w:type="auto"/>
            <w:tcBorders>
              <w:top w:val="nil"/>
              <w:left w:val="nil"/>
              <w:bottom w:val="nil"/>
              <w:right w:val="nil"/>
            </w:tcBorders>
            <w:noWrap/>
            <w:vAlign w:val="center"/>
            <w:hideMark/>
          </w:tcPr>
          <w:p w14:paraId="154E7E6F"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Nominal exchange rate</w:t>
            </w:r>
          </w:p>
        </w:tc>
        <w:tc>
          <w:tcPr>
            <w:tcW w:w="0" w:type="auto"/>
            <w:tcBorders>
              <w:top w:val="nil"/>
              <w:left w:val="nil"/>
              <w:bottom w:val="nil"/>
              <w:right w:val="nil"/>
            </w:tcBorders>
            <w:noWrap/>
            <w:vAlign w:val="center"/>
            <w:hideMark/>
          </w:tcPr>
          <w:p w14:paraId="7F551B9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1494" w:type="dxa"/>
            <w:tcBorders>
              <w:top w:val="nil"/>
              <w:left w:val="nil"/>
              <w:bottom w:val="nil"/>
              <w:right w:val="nil"/>
            </w:tcBorders>
            <w:noWrap/>
            <w:vAlign w:val="center"/>
            <w:hideMark/>
          </w:tcPr>
          <w:p w14:paraId="7F0FB987"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-0.02</w:t>
            </w:r>
          </w:p>
        </w:tc>
        <w:tc>
          <w:tcPr>
            <w:tcW w:w="1483" w:type="dxa"/>
            <w:tcBorders>
              <w:top w:val="nil"/>
              <w:left w:val="nil"/>
              <w:bottom w:val="nil"/>
              <w:right w:val="nil"/>
            </w:tcBorders>
            <w:noWrap/>
            <w:vAlign w:val="center"/>
            <w:hideMark/>
          </w:tcPr>
          <w:p w14:paraId="194D7C3D"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c>
          <w:tcPr>
            <w:tcW w:w="992" w:type="dxa"/>
            <w:tcBorders>
              <w:top w:val="nil"/>
              <w:left w:val="nil"/>
              <w:bottom w:val="nil"/>
              <w:right w:val="nil"/>
            </w:tcBorders>
            <w:noWrap/>
            <w:vAlign w:val="center"/>
            <w:hideMark/>
          </w:tcPr>
          <w:p w14:paraId="4CA3DDF1"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w:t>
            </w:r>
          </w:p>
        </w:tc>
      </w:tr>
      <w:tr w:rsidR="00D10F9C" w:rsidRPr="00353AE1" w14:paraId="5A79D09F" w14:textId="77777777" w:rsidTr="00D10F9C">
        <w:trPr>
          <w:trHeight w:val="780"/>
          <w:jc w:val="center"/>
        </w:trPr>
        <w:tc>
          <w:tcPr>
            <w:tcW w:w="0" w:type="auto"/>
            <w:tcBorders>
              <w:top w:val="single" w:sz="4" w:space="0" w:color="auto"/>
              <w:left w:val="nil"/>
              <w:bottom w:val="single" w:sz="4" w:space="0" w:color="auto"/>
              <w:right w:val="nil"/>
            </w:tcBorders>
            <w:noWrap/>
            <w:vAlign w:val="center"/>
            <w:hideMark/>
          </w:tcPr>
          <w:p w14:paraId="4A472F2A" w14:textId="150EA735" w:rsidR="00D10F9C" w:rsidRPr="00E016A0" w:rsidRDefault="00D10F9C" w:rsidP="002E32ED">
            <w:pPr>
              <w:widowControl/>
              <w:jc w:val="left"/>
              <w:rPr>
                <w:rFonts w:eastAsia="Times New Roman"/>
                <w:i/>
                <w:iCs/>
                <w:color w:val="000000"/>
                <w:kern w:val="0"/>
                <w:sz w:val="20"/>
                <w:szCs w:val="20"/>
                <w:lang w:val="en-GB"/>
              </w:rPr>
            </w:pPr>
          </w:p>
        </w:tc>
        <w:tc>
          <w:tcPr>
            <w:tcW w:w="2400" w:type="dxa"/>
            <w:gridSpan w:val="2"/>
            <w:tcBorders>
              <w:top w:val="single" w:sz="4" w:space="0" w:color="auto"/>
              <w:left w:val="nil"/>
              <w:bottom w:val="single" w:sz="4" w:space="0" w:color="auto"/>
              <w:right w:val="nil"/>
            </w:tcBorders>
            <w:vAlign w:val="center"/>
            <w:hideMark/>
          </w:tcPr>
          <w:p w14:paraId="38D7CBBB" w14:textId="4423B012" w:rsidR="00D10F9C" w:rsidRPr="00E016A0" w:rsidRDefault="00D10F9C" w:rsidP="00D10F9C">
            <w:pPr>
              <w:widowControl/>
              <w:spacing w:line="240" w:lineRule="exact"/>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xml:space="preserve">Percentage point deviation </w:t>
            </w:r>
            <w:r w:rsidRPr="00E016A0">
              <w:rPr>
                <w:rFonts w:eastAsia="Times New Roman"/>
                <w:i/>
                <w:iCs/>
                <w:color w:val="000000"/>
                <w:kern w:val="0"/>
                <w:sz w:val="20"/>
                <w:szCs w:val="20"/>
                <w:lang w:val="en-GB"/>
              </w:rPr>
              <w:br/>
              <w:t>from baseline</w:t>
            </w:r>
          </w:p>
        </w:tc>
        <w:tc>
          <w:tcPr>
            <w:tcW w:w="2475" w:type="dxa"/>
            <w:gridSpan w:val="2"/>
            <w:tcBorders>
              <w:top w:val="single" w:sz="4" w:space="0" w:color="auto"/>
              <w:left w:val="nil"/>
              <w:bottom w:val="single" w:sz="4" w:space="0" w:color="auto"/>
            </w:tcBorders>
            <w:vAlign w:val="center"/>
            <w:hideMark/>
          </w:tcPr>
          <w:p w14:paraId="6E4EA76C" w14:textId="5EEBD3F3" w:rsidR="00D10F9C" w:rsidRPr="00E016A0" w:rsidRDefault="00D10F9C" w:rsidP="0046321D">
            <w:pPr>
              <w:widowControl/>
              <w:spacing w:line="240" w:lineRule="exact"/>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 xml:space="preserve">Percentage point deviation </w:t>
            </w:r>
            <w:r w:rsidRPr="00E016A0">
              <w:rPr>
                <w:rFonts w:eastAsia="Times New Roman"/>
                <w:i/>
                <w:iCs/>
                <w:color w:val="000000"/>
                <w:kern w:val="0"/>
                <w:sz w:val="20"/>
                <w:szCs w:val="20"/>
                <w:lang w:val="en-GB"/>
              </w:rPr>
              <w:br/>
              <w:t>from baseline</w:t>
            </w:r>
          </w:p>
        </w:tc>
      </w:tr>
      <w:tr w:rsidR="00A44383" w:rsidRPr="00353AE1" w14:paraId="43C608F3" w14:textId="77777777" w:rsidTr="00E016A0">
        <w:trPr>
          <w:trHeight w:val="315"/>
          <w:jc w:val="center"/>
        </w:trPr>
        <w:tc>
          <w:tcPr>
            <w:tcW w:w="0" w:type="auto"/>
            <w:tcBorders>
              <w:top w:val="nil"/>
              <w:left w:val="nil"/>
              <w:bottom w:val="double" w:sz="6" w:space="0" w:color="auto"/>
              <w:right w:val="nil"/>
            </w:tcBorders>
            <w:noWrap/>
            <w:vAlign w:val="center"/>
            <w:hideMark/>
          </w:tcPr>
          <w:p w14:paraId="0E453D4E" w14:textId="77777777" w:rsidR="00A44383" w:rsidRPr="00E016A0" w:rsidRDefault="00A44383" w:rsidP="002E32ED">
            <w:pPr>
              <w:widowControl/>
              <w:jc w:val="left"/>
              <w:rPr>
                <w:rFonts w:eastAsia="Times New Roman"/>
                <w:color w:val="000000"/>
                <w:kern w:val="0"/>
                <w:lang w:val="en-GB"/>
              </w:rPr>
            </w:pPr>
            <w:r w:rsidRPr="00E016A0">
              <w:rPr>
                <w:rFonts w:eastAsia="Times New Roman"/>
                <w:color w:val="000000"/>
                <w:kern w:val="0"/>
                <w:lang w:val="en-GB"/>
              </w:rPr>
              <w:t>Unemployment rate</w:t>
            </w:r>
          </w:p>
        </w:tc>
        <w:tc>
          <w:tcPr>
            <w:tcW w:w="0" w:type="auto"/>
            <w:tcBorders>
              <w:top w:val="nil"/>
              <w:left w:val="nil"/>
              <w:bottom w:val="double" w:sz="6" w:space="0" w:color="auto"/>
              <w:right w:val="nil"/>
            </w:tcBorders>
            <w:noWrap/>
            <w:vAlign w:val="center"/>
            <w:hideMark/>
          </w:tcPr>
          <w:p w14:paraId="114D8F23"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-0.010</w:t>
            </w:r>
          </w:p>
        </w:tc>
        <w:tc>
          <w:tcPr>
            <w:tcW w:w="1494" w:type="dxa"/>
            <w:tcBorders>
              <w:top w:val="nil"/>
              <w:left w:val="nil"/>
              <w:bottom w:val="double" w:sz="6" w:space="0" w:color="auto"/>
              <w:right w:val="nil"/>
            </w:tcBorders>
            <w:noWrap/>
            <w:vAlign w:val="center"/>
            <w:hideMark/>
          </w:tcPr>
          <w:p w14:paraId="6778F539"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-0.003</w:t>
            </w:r>
          </w:p>
        </w:tc>
        <w:tc>
          <w:tcPr>
            <w:tcW w:w="1483" w:type="dxa"/>
            <w:tcBorders>
              <w:top w:val="nil"/>
              <w:left w:val="nil"/>
              <w:bottom w:val="double" w:sz="6" w:space="0" w:color="auto"/>
              <w:right w:val="nil"/>
            </w:tcBorders>
            <w:noWrap/>
            <w:vAlign w:val="center"/>
            <w:hideMark/>
          </w:tcPr>
          <w:p w14:paraId="26647ECC"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-0.005</w:t>
            </w:r>
          </w:p>
        </w:tc>
        <w:tc>
          <w:tcPr>
            <w:tcW w:w="992" w:type="dxa"/>
            <w:tcBorders>
              <w:top w:val="nil"/>
              <w:left w:val="nil"/>
              <w:bottom w:val="double" w:sz="6" w:space="0" w:color="auto"/>
              <w:right w:val="nil"/>
            </w:tcBorders>
            <w:noWrap/>
            <w:vAlign w:val="center"/>
            <w:hideMark/>
          </w:tcPr>
          <w:p w14:paraId="786131F2" w14:textId="77777777" w:rsidR="00A44383" w:rsidRPr="00E016A0" w:rsidRDefault="00A44383" w:rsidP="00D10F9C">
            <w:pPr>
              <w:widowControl/>
              <w:jc w:val="center"/>
              <w:rPr>
                <w:rFonts w:eastAsia="Times New Roman"/>
                <w:color w:val="000000"/>
                <w:kern w:val="0"/>
                <w:lang w:val="en-GB"/>
              </w:rPr>
            </w:pPr>
            <w:r w:rsidRPr="00E016A0">
              <w:rPr>
                <w:rFonts w:eastAsia="Times New Roman"/>
                <w:color w:val="000000"/>
                <w:kern w:val="0"/>
                <w:lang w:val="en-GB"/>
              </w:rPr>
              <w:t>-0.001</w:t>
            </w:r>
          </w:p>
        </w:tc>
      </w:tr>
    </w:tbl>
    <w:p w14:paraId="5A881D72" w14:textId="77777777" w:rsidR="00B87830" w:rsidRPr="00353AE1" w:rsidRDefault="00B87830" w:rsidP="00E016A0"/>
    <w:p w14:paraId="45AED4AA" w14:textId="77777777" w:rsidR="00693CD6" w:rsidRPr="00353AE1" w:rsidRDefault="00693CD6" w:rsidP="00693CD6">
      <w:pPr>
        <w:spacing w:after="120"/>
        <w:jc w:val="left"/>
      </w:pPr>
      <w:r w:rsidRPr="00353AE1">
        <w:t xml:space="preserve">Real consumer wages rise gradually and reach 0.03 per cent above baseline by 2040. The real cost of labour also rises, reaching 0.04 per cent above baseline by 2040, as stronger economic activity and lower output prices relative to the CPI raise the cost of labour to </w:t>
      </w:r>
      <w:r w:rsidRPr="00353AE1">
        <w:lastRenderedPageBreak/>
        <w:t>producers. With CPI used as the numeraire, CPI remains fixed at baseline. The GDP deflator falls by 0.016 per cent on impact and remains slightly below baseline thereafter. The national terms of trade fall by around 0.01 per cent, while the nominal exchange rate falls by around 0.02 per cent, indicating a small nominal appreciation. These price effects are modest and smaller than in Scenario 1.</w:t>
      </w:r>
    </w:p>
    <w:p w14:paraId="5F0DF868" w14:textId="77777777" w:rsidR="009D33C8" w:rsidRPr="00353AE1" w:rsidRDefault="009D33C8" w:rsidP="00606B25">
      <w:pPr>
        <w:spacing w:after="120"/>
        <w:jc w:val="left"/>
      </w:pPr>
    </w:p>
    <w:p w14:paraId="7299CD83" w14:textId="3C50C8A7" w:rsidR="002C484E" w:rsidRPr="00353AE1" w:rsidRDefault="002C484E" w:rsidP="00606B25">
      <w:pPr>
        <w:pStyle w:val="Heading2"/>
        <w:spacing w:before="0" w:after="120"/>
        <w:rPr>
          <w:rStyle w:val="SubtleEmphasis"/>
          <w:rFonts w:eastAsiaTheme="minorEastAsia" w:cs="Calibri"/>
          <w:i w:val="0"/>
          <w:iCs w:val="0"/>
          <w:color w:val="auto"/>
          <w:sz w:val="22"/>
          <w:szCs w:val="22"/>
        </w:rPr>
      </w:pPr>
      <w:bookmarkStart w:id="84" w:name="_Toc234277241"/>
      <w:r w:rsidRPr="00353AE1">
        <w:rPr>
          <w:rStyle w:val="SubtleEmphasis"/>
          <w:rFonts w:cs="Calibri"/>
          <w:i w:val="0"/>
          <w:iCs w:val="0"/>
          <w:color w:val="auto"/>
        </w:rPr>
        <w:t>5.</w:t>
      </w:r>
      <w:r w:rsidR="00632348" w:rsidRPr="00353AE1">
        <w:rPr>
          <w:rStyle w:val="SubtleEmphasis"/>
          <w:rFonts w:cs="Calibri"/>
          <w:i w:val="0"/>
          <w:iCs w:val="0"/>
          <w:color w:val="auto"/>
        </w:rPr>
        <w:t>3</w:t>
      </w:r>
      <w:r w:rsidRPr="00353AE1">
        <w:rPr>
          <w:rStyle w:val="SubtleEmphasis"/>
          <w:rFonts w:cs="Calibri"/>
          <w:i w:val="0"/>
          <w:iCs w:val="0"/>
          <w:color w:val="auto"/>
        </w:rPr>
        <w:t xml:space="preserve"> Sectoral Impacts</w:t>
      </w:r>
      <w:bookmarkEnd w:id="84"/>
    </w:p>
    <w:p w14:paraId="4D3B6E2F" w14:textId="30047322" w:rsidR="00D276C1" w:rsidRPr="00353AE1" w:rsidRDefault="000E3ED9" w:rsidP="006B3B15">
      <w:pPr>
        <w:spacing w:after="120"/>
        <w:jc w:val="left"/>
      </w:pPr>
      <w:r w:rsidRPr="00353AE1">
        <w:t>The sectoral pattern in Scenario 2 reflects the same Road Freight productivity mechanism as Scenario 1, but without the additional public demand shock for civil engineering construction</w:t>
      </w:r>
      <w:r w:rsidR="00B01CEF" w:rsidRPr="00353AE1">
        <w:t xml:space="preserve">, and </w:t>
      </w:r>
      <w:r w:rsidR="00373961" w:rsidRPr="00353AE1">
        <w:t>a regional reallocation away from mining- and export-intensive states like WA&amp;NT</w:t>
      </w:r>
      <w:r w:rsidRPr="00353AE1">
        <w:t xml:space="preserve">. As a result, the industries that benefit most are those that either receive the direct </w:t>
      </w:r>
      <w:r w:rsidR="00424A57" w:rsidRPr="00353AE1">
        <w:t>Road Freight</w:t>
      </w:r>
      <w:r w:rsidR="007F1DF9" w:rsidRPr="00353AE1">
        <w:t xml:space="preserve"> MFP</w:t>
      </w:r>
      <w:r w:rsidRPr="00353AE1">
        <w:t xml:space="preserve"> improvement or use road freight services relatively intensively.</w:t>
      </w:r>
    </w:p>
    <w:p w14:paraId="631A7DCC" w14:textId="4FB91D1C" w:rsidR="00F70958" w:rsidRPr="00353AE1" w:rsidRDefault="00F70958" w:rsidP="006B3B15">
      <w:pPr>
        <w:spacing w:after="120"/>
      </w:pPr>
      <w:r w:rsidRPr="00353AE1">
        <w:t>At the disaggregated industry level, Road Freight is the strongest-performing industry on impact, with output 0.34 per cent above baseline in 2026. Wood Products and Forestry are the next strongest-performing industries, rising by 0.22 per cent and 0.21 per cent respectively. These</w:t>
      </w:r>
      <w:r w:rsidR="00186101" w:rsidRPr="00353AE1">
        <w:t xml:space="preserve"> two</w:t>
      </w:r>
      <w:r w:rsidRPr="00353AE1">
        <w:t xml:space="preserve"> industries benefit </w:t>
      </w:r>
      <w:r w:rsidR="00076C32" w:rsidRPr="00353AE1">
        <w:t xml:space="preserve">the most </w:t>
      </w:r>
      <w:r w:rsidRPr="00353AE1">
        <w:t xml:space="preserve">from lower </w:t>
      </w:r>
      <w:r w:rsidR="00424A57" w:rsidRPr="00353AE1">
        <w:t>Road Freight</w:t>
      </w:r>
      <w:r w:rsidRPr="00353AE1">
        <w:t xml:space="preserve"> costs, reflecting </w:t>
      </w:r>
      <w:r w:rsidR="002717BD" w:rsidRPr="00353AE1">
        <w:t>the</w:t>
      </w:r>
      <w:r w:rsidRPr="00353AE1">
        <w:t xml:space="preserve"> relatively high dependence</w:t>
      </w:r>
      <w:r w:rsidR="002717BD" w:rsidRPr="00353AE1">
        <w:t xml:space="preserve"> of </w:t>
      </w:r>
      <w:r w:rsidR="001F09B8" w:rsidRPr="00353AE1">
        <w:t>agriculture</w:t>
      </w:r>
      <w:r w:rsidR="009734A2" w:rsidRPr="00353AE1">
        <w:t xml:space="preserve"> and manufacturing</w:t>
      </w:r>
      <w:r w:rsidR="002717BD" w:rsidRPr="00353AE1">
        <w:t xml:space="preserve"> sectors</w:t>
      </w:r>
      <w:r w:rsidRPr="00353AE1">
        <w:t xml:space="preserve"> on freight services in production and distribution.</w:t>
      </w:r>
    </w:p>
    <w:p w14:paraId="62F276CF" w14:textId="77777777" w:rsidR="00474001" w:rsidRPr="00353AE1" w:rsidRDefault="00474001" w:rsidP="00474001">
      <w:pPr>
        <w:spacing w:after="120"/>
        <w:jc w:val="left"/>
      </w:pPr>
      <w:r w:rsidRPr="00353AE1">
        <w:t xml:space="preserve">At the ANZSIC level, Agriculture, Forestry and Fishing rises by 0.10 per cent in 2026 and 0.11 per cent by 2040. Manufacturing rises by 0.08 per cent in 2026 and 0.09 per cent by 2040. Retail trade and wholesale trade also expand, reflecting lower delivered costs and stronger household demand. </w:t>
      </w:r>
    </w:p>
    <w:p w14:paraId="167AF3E3" w14:textId="66541520" w:rsidR="00920235" w:rsidRPr="00353AE1" w:rsidRDefault="00920235" w:rsidP="00920235">
      <w:pPr>
        <w:spacing w:after="120"/>
        <w:jc w:val="left"/>
      </w:pPr>
      <w:r w:rsidRPr="00353AE1">
        <w:t xml:space="preserve">The weakest-performing industries are again those adversely affected by lower input requirements in Road Freight or by substitution away from competing freight modes, as shown in Table </w:t>
      </w:r>
      <w:r w:rsidR="00F32C4F" w:rsidRPr="00353AE1">
        <w:t>15</w:t>
      </w:r>
      <w:r w:rsidRPr="00353AE1">
        <w:t xml:space="preserve">. Railway Freight contracts by 0.17 per cent in 2026, reflecting competition with Road Freight. Heavy Vehicle contracts by 0.14 per cent, as the productivity improvement reduces heavy vehicle input demand per unit of Road Freight output. </w:t>
      </w:r>
    </w:p>
    <w:p w14:paraId="05EAFC79" w14:textId="37A685C6" w:rsidR="00920235" w:rsidRPr="00353AE1" w:rsidRDefault="00920235" w:rsidP="00920235">
      <w:pPr>
        <w:spacing w:after="120"/>
        <w:jc w:val="left"/>
      </w:pPr>
      <w:r w:rsidRPr="00353AE1">
        <w:t xml:space="preserve">Non-metallic Mineral Mining contracts by 0.13 per cent on impact, which is a notable difference from Scenario 1. This reflects the sector’s regional concentration and pattern of Road Freight margin use. The industry has low Road Freight margin intensity in domestic sales, while much of its Road Freight margin use is associated with exporting. A large share of national production and exports </w:t>
      </w:r>
      <w:r w:rsidR="004936C1" w:rsidRPr="00353AE1">
        <w:t>is</w:t>
      </w:r>
      <w:r w:rsidRPr="00353AE1">
        <w:t xml:space="preserve"> concentrated in WA&amp;NT. As WA&amp;NT is excluded from the direct NAAS productivity shock, this sector in WA&amp;NT does not receive direct Road Freight MFP improvement. Nevertheless, it is still indirectly affected through price and resource reallocation effects. Within the NAAS states, resources shift toward industries that benefit more strongly from the Road Freight MFP improvement, causing Non-metallic Mineral Mining in the NAAS states to contract.</w:t>
      </w:r>
    </w:p>
    <w:p w14:paraId="22E4597E" w14:textId="77777777" w:rsidR="00920235" w:rsidRPr="00353AE1" w:rsidRDefault="00920235" w:rsidP="00920235">
      <w:pPr>
        <w:spacing w:after="120"/>
        <w:jc w:val="left"/>
      </w:pPr>
      <w:r w:rsidRPr="00353AE1">
        <w:t>At the ANZSIC level, Other Services falls by 0.05 per cent in 2026, consistent with lower commercial vehicle use directly reducing demand for vehicle repair services within this broad sector.</w:t>
      </w:r>
    </w:p>
    <w:p w14:paraId="10289B59" w14:textId="7131D77E" w:rsidR="00474001" w:rsidRPr="00353AE1" w:rsidRDefault="00920235" w:rsidP="00374217">
      <w:pPr>
        <w:spacing w:after="120"/>
        <w:jc w:val="left"/>
      </w:pPr>
      <w:r w:rsidRPr="00353AE1">
        <w:lastRenderedPageBreak/>
        <w:t>Two notable qualitative differences in the sectoral impacts relative to Scenario 1 are: (1) a smaller effect on Construction, as Scenario 2 does not include a public demand shock; and (2) a more modest expansion of the Mining sector over time, as WA&amp;NT are excluded from the Road Freight MFP shock in Scenario 2.</w:t>
      </w:r>
    </w:p>
    <w:p w14:paraId="45B67864" w14:textId="77777777" w:rsidR="00374217" w:rsidRPr="00353AE1" w:rsidRDefault="00374217" w:rsidP="00374217">
      <w:pPr>
        <w:spacing w:after="120"/>
        <w:jc w:val="left"/>
      </w:pPr>
    </w:p>
    <w:p w14:paraId="1103A70F" w14:textId="42BB69D5" w:rsidR="00D276C1" w:rsidRPr="00353AE1" w:rsidRDefault="00D276C1" w:rsidP="006B3B15">
      <w:pPr>
        <w:pStyle w:val="Caption"/>
        <w:keepNext/>
        <w:spacing w:after="120"/>
        <w:jc w:val="center"/>
        <w:rPr>
          <w:sz w:val="22"/>
          <w:szCs w:val="22"/>
        </w:rPr>
      </w:pPr>
      <w:bookmarkStart w:id="85" w:name="_Toc230696736"/>
      <w:bookmarkStart w:id="86" w:name="_Toc230710354"/>
      <w:bookmarkStart w:id="87" w:name="_Toc230710400"/>
      <w:bookmarkStart w:id="88" w:name="_Toc230711123"/>
      <w:bookmarkStart w:id="89" w:name="_Toc231907819"/>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15</w:t>
      </w:r>
      <w:r w:rsidR="00DF6059" w:rsidRPr="00353AE1">
        <w:rPr>
          <w:sz w:val="22"/>
          <w:szCs w:val="22"/>
        </w:rPr>
        <w:fldChar w:fldCharType="end"/>
      </w:r>
      <w:r w:rsidRPr="00353AE1">
        <w:rPr>
          <w:sz w:val="22"/>
          <w:szCs w:val="22"/>
        </w:rPr>
        <w:t xml:space="preserve">. Top and Bottom Three Performing Industries in the </w:t>
      </w:r>
      <w:r w:rsidR="007E1068" w:rsidRPr="00353AE1">
        <w:rPr>
          <w:sz w:val="22"/>
          <w:szCs w:val="22"/>
        </w:rPr>
        <w:t>S</w:t>
      </w:r>
      <w:r w:rsidRPr="00353AE1">
        <w:rPr>
          <w:sz w:val="22"/>
          <w:szCs w:val="22"/>
        </w:rPr>
        <w:t>hock</w:t>
      </w:r>
      <w:r w:rsidR="007E1068" w:rsidRPr="00353AE1">
        <w:rPr>
          <w:sz w:val="22"/>
          <w:szCs w:val="22"/>
        </w:rPr>
        <w:t xml:space="preserve"> Y</w:t>
      </w:r>
      <w:r w:rsidRPr="00353AE1">
        <w:rPr>
          <w:sz w:val="22"/>
          <w:szCs w:val="22"/>
        </w:rPr>
        <w:t xml:space="preserve">ear </w:t>
      </w:r>
      <w:r w:rsidR="007E1068" w:rsidRPr="00353AE1">
        <w:rPr>
          <w:sz w:val="22"/>
          <w:szCs w:val="22"/>
        </w:rPr>
        <w:t>(</w:t>
      </w:r>
      <w:r w:rsidRPr="00353AE1">
        <w:rPr>
          <w:sz w:val="22"/>
          <w:szCs w:val="22"/>
        </w:rPr>
        <w:t>Scenario 2</w:t>
      </w:r>
      <w:bookmarkEnd w:id="85"/>
      <w:r w:rsidR="007E1068" w:rsidRPr="00353AE1">
        <w:rPr>
          <w:sz w:val="22"/>
          <w:szCs w:val="22"/>
        </w:rPr>
        <w:t>)</w:t>
      </w:r>
      <w:bookmarkEnd w:id="86"/>
      <w:bookmarkEnd w:id="87"/>
      <w:bookmarkEnd w:id="88"/>
      <w:bookmarkEnd w:id="89"/>
    </w:p>
    <w:tbl>
      <w:tblPr>
        <w:tblW w:w="0" w:type="auto"/>
        <w:jc w:val="center"/>
        <w:tblLook w:val="04A0" w:firstRow="1" w:lastRow="0" w:firstColumn="1" w:lastColumn="0" w:noHBand="0" w:noVBand="1"/>
      </w:tblPr>
      <w:tblGrid>
        <w:gridCol w:w="2552"/>
        <w:gridCol w:w="1295"/>
        <w:gridCol w:w="1285"/>
      </w:tblGrid>
      <w:tr w:rsidR="00147CF6" w:rsidRPr="00353AE1" w14:paraId="23D48FA7" w14:textId="77777777" w:rsidTr="00E016A0">
        <w:trPr>
          <w:trHeight w:val="300"/>
          <w:tblHeader/>
          <w:jc w:val="center"/>
        </w:trPr>
        <w:tc>
          <w:tcPr>
            <w:tcW w:w="0" w:type="auto"/>
            <w:tcBorders>
              <w:top w:val="single" w:sz="8" w:space="0" w:color="auto"/>
              <w:left w:val="nil"/>
              <w:bottom w:val="nil"/>
              <w:right w:val="nil"/>
            </w:tcBorders>
            <w:noWrap/>
            <w:vAlign w:val="center"/>
            <w:hideMark/>
          </w:tcPr>
          <w:p w14:paraId="4E379123" w14:textId="77777777" w:rsidR="00147CF6" w:rsidRPr="00353AE1" w:rsidRDefault="00147CF6" w:rsidP="00147CF6">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0" w:type="auto"/>
            <w:tcBorders>
              <w:top w:val="single" w:sz="8" w:space="0" w:color="auto"/>
              <w:left w:val="nil"/>
              <w:bottom w:val="nil"/>
              <w:right w:val="nil"/>
            </w:tcBorders>
            <w:noWrap/>
            <w:vAlign w:val="center"/>
            <w:hideMark/>
          </w:tcPr>
          <w:p w14:paraId="44C7C81A" w14:textId="3C70284A" w:rsidR="00147CF6" w:rsidRPr="00353AE1" w:rsidRDefault="00147CF6" w:rsidP="00147CF6">
            <w:pPr>
              <w:widowControl/>
              <w:jc w:val="center"/>
              <w:rPr>
                <w:rFonts w:eastAsia="Times New Roman"/>
                <w:b/>
                <w:bCs/>
                <w:color w:val="000000"/>
                <w:kern w:val="0"/>
                <w:lang w:val="en-GB"/>
              </w:rPr>
            </w:pPr>
            <w:r w:rsidRPr="00353AE1">
              <w:rPr>
                <w:rFonts w:eastAsia="Times New Roman"/>
                <w:b/>
                <w:bCs/>
                <w:color w:val="000000"/>
                <w:kern w:val="0"/>
                <w:lang w:val="en-GB"/>
              </w:rPr>
              <w:t>Scenario 2A</w:t>
            </w:r>
          </w:p>
        </w:tc>
        <w:tc>
          <w:tcPr>
            <w:tcW w:w="0" w:type="auto"/>
            <w:tcBorders>
              <w:top w:val="single" w:sz="8" w:space="0" w:color="auto"/>
              <w:left w:val="nil"/>
              <w:bottom w:val="nil"/>
              <w:right w:val="nil"/>
            </w:tcBorders>
            <w:noWrap/>
            <w:vAlign w:val="center"/>
            <w:hideMark/>
          </w:tcPr>
          <w:p w14:paraId="3F5465DC" w14:textId="2096547D" w:rsidR="00147CF6" w:rsidRPr="00353AE1" w:rsidRDefault="00147CF6" w:rsidP="00147CF6">
            <w:pPr>
              <w:widowControl/>
              <w:jc w:val="center"/>
              <w:rPr>
                <w:rFonts w:eastAsia="Times New Roman"/>
                <w:b/>
                <w:bCs/>
                <w:color w:val="000000"/>
                <w:kern w:val="0"/>
                <w:lang w:val="en-GB"/>
              </w:rPr>
            </w:pPr>
            <w:r w:rsidRPr="00353AE1">
              <w:rPr>
                <w:rFonts w:eastAsia="Times New Roman"/>
                <w:b/>
                <w:bCs/>
                <w:color w:val="000000"/>
                <w:kern w:val="0"/>
                <w:lang w:val="en-GB"/>
              </w:rPr>
              <w:t>Scenario 2B</w:t>
            </w:r>
          </w:p>
        </w:tc>
      </w:tr>
      <w:tr w:rsidR="00147CF6" w:rsidRPr="00353AE1" w14:paraId="317B0449" w14:textId="77777777" w:rsidTr="00E016A0">
        <w:trPr>
          <w:trHeight w:val="300"/>
          <w:tblHeader/>
          <w:jc w:val="center"/>
        </w:trPr>
        <w:tc>
          <w:tcPr>
            <w:tcW w:w="0" w:type="auto"/>
            <w:tcBorders>
              <w:top w:val="nil"/>
              <w:left w:val="nil"/>
              <w:bottom w:val="nil"/>
              <w:right w:val="nil"/>
            </w:tcBorders>
            <w:noWrap/>
            <w:vAlign w:val="center"/>
            <w:hideMark/>
          </w:tcPr>
          <w:p w14:paraId="2C97AE45" w14:textId="77777777" w:rsidR="00147CF6" w:rsidRPr="00353AE1" w:rsidRDefault="00147CF6" w:rsidP="00147CF6">
            <w:pPr>
              <w:widowControl/>
              <w:jc w:val="center"/>
              <w:rPr>
                <w:rFonts w:eastAsia="Times New Roman"/>
                <w:b/>
                <w:bCs/>
                <w:color w:val="000000"/>
                <w:kern w:val="0"/>
                <w:lang w:val="en-GB"/>
              </w:rPr>
            </w:pPr>
          </w:p>
        </w:tc>
        <w:tc>
          <w:tcPr>
            <w:tcW w:w="0" w:type="auto"/>
            <w:gridSpan w:val="2"/>
            <w:tcBorders>
              <w:top w:val="nil"/>
              <w:left w:val="nil"/>
              <w:bottom w:val="nil"/>
              <w:right w:val="nil"/>
            </w:tcBorders>
            <w:vAlign w:val="center"/>
            <w:hideMark/>
          </w:tcPr>
          <w:p w14:paraId="5205542C" w14:textId="77777777" w:rsidR="00147CF6" w:rsidRPr="00353AE1" w:rsidRDefault="00147CF6" w:rsidP="00147CF6">
            <w:pPr>
              <w:widowControl/>
              <w:jc w:val="center"/>
              <w:rPr>
                <w:rFonts w:eastAsia="Times New Roman"/>
                <w:color w:val="000000"/>
                <w:kern w:val="0"/>
                <w:lang w:val="en-GB"/>
              </w:rPr>
            </w:pPr>
            <w:r w:rsidRPr="00353AE1">
              <w:rPr>
                <w:rFonts w:eastAsia="Times New Roman"/>
                <w:color w:val="000000"/>
                <w:kern w:val="0"/>
                <w:lang w:val="en-GB"/>
              </w:rPr>
              <w:t>% Deviation from baseline</w:t>
            </w:r>
          </w:p>
        </w:tc>
      </w:tr>
      <w:tr w:rsidR="00147CF6" w:rsidRPr="00353AE1" w14:paraId="5B1257DB" w14:textId="77777777" w:rsidTr="00E016A0">
        <w:trPr>
          <w:trHeight w:val="300"/>
          <w:jc w:val="center"/>
        </w:trPr>
        <w:tc>
          <w:tcPr>
            <w:tcW w:w="0" w:type="auto"/>
            <w:gridSpan w:val="2"/>
            <w:tcBorders>
              <w:top w:val="nil"/>
              <w:left w:val="nil"/>
              <w:bottom w:val="nil"/>
              <w:right w:val="nil"/>
            </w:tcBorders>
            <w:shd w:val="clear" w:color="auto" w:fill="F2F2F2" w:themeFill="background1" w:themeFillShade="F2"/>
            <w:noWrap/>
            <w:vAlign w:val="center"/>
            <w:hideMark/>
          </w:tcPr>
          <w:p w14:paraId="5760385D" w14:textId="77777777" w:rsidR="00147CF6" w:rsidRPr="00E016A0" w:rsidRDefault="00147CF6" w:rsidP="00147CF6">
            <w:pPr>
              <w:widowControl/>
              <w:jc w:val="left"/>
              <w:rPr>
                <w:rFonts w:eastAsia="Times New Roman"/>
                <w:b/>
                <w:bCs/>
                <w:color w:val="000000"/>
                <w:kern w:val="0"/>
                <w:lang w:val="en-GB"/>
              </w:rPr>
            </w:pPr>
            <w:r w:rsidRPr="00E016A0">
              <w:rPr>
                <w:rFonts w:eastAsia="Times New Roman"/>
                <w:b/>
                <w:bCs/>
                <w:color w:val="000000"/>
                <w:kern w:val="0"/>
                <w:lang w:val="en-GB"/>
              </w:rPr>
              <w:t>Top 3 performing industries</w:t>
            </w:r>
          </w:p>
        </w:tc>
        <w:tc>
          <w:tcPr>
            <w:tcW w:w="0" w:type="auto"/>
            <w:tcBorders>
              <w:top w:val="nil"/>
              <w:left w:val="nil"/>
              <w:bottom w:val="nil"/>
              <w:right w:val="nil"/>
            </w:tcBorders>
            <w:shd w:val="clear" w:color="auto" w:fill="F2F2F2" w:themeFill="background1" w:themeFillShade="F2"/>
            <w:noWrap/>
            <w:vAlign w:val="bottom"/>
            <w:hideMark/>
          </w:tcPr>
          <w:p w14:paraId="215F2B71" w14:textId="77777777" w:rsidR="00147CF6" w:rsidRPr="00E016A0" w:rsidRDefault="00147CF6" w:rsidP="00147CF6">
            <w:pPr>
              <w:widowControl/>
              <w:jc w:val="left"/>
              <w:rPr>
                <w:rFonts w:eastAsia="Times New Roman"/>
                <w:b/>
                <w:bCs/>
                <w:color w:val="000000"/>
                <w:kern w:val="0"/>
                <w:lang w:val="en-GB"/>
              </w:rPr>
            </w:pPr>
          </w:p>
        </w:tc>
      </w:tr>
      <w:tr w:rsidR="00E82136" w:rsidRPr="00353AE1" w14:paraId="2633D2E0" w14:textId="77777777" w:rsidTr="00E016A0">
        <w:trPr>
          <w:trHeight w:val="300"/>
          <w:jc w:val="center"/>
        </w:trPr>
        <w:tc>
          <w:tcPr>
            <w:tcW w:w="0" w:type="auto"/>
            <w:tcBorders>
              <w:top w:val="nil"/>
              <w:left w:val="nil"/>
              <w:bottom w:val="nil"/>
              <w:right w:val="nil"/>
            </w:tcBorders>
            <w:noWrap/>
            <w:vAlign w:val="bottom"/>
            <w:hideMark/>
          </w:tcPr>
          <w:p w14:paraId="69C1432C" w14:textId="7B9BD388" w:rsidR="00E82136" w:rsidRPr="00353AE1" w:rsidRDefault="00E82136" w:rsidP="00E82136">
            <w:pPr>
              <w:widowControl/>
              <w:jc w:val="left"/>
              <w:rPr>
                <w:rFonts w:eastAsia="Times New Roman"/>
                <w:color w:val="000000"/>
                <w:kern w:val="0"/>
                <w:sz w:val="20"/>
                <w:szCs w:val="20"/>
                <w:lang w:val="en-GB"/>
              </w:rPr>
            </w:pPr>
            <w:r w:rsidRPr="00E016A0">
              <w:rPr>
                <w:color w:val="000000"/>
                <w:sz w:val="20"/>
                <w:szCs w:val="20"/>
              </w:rPr>
              <w:t>Road Freight</w:t>
            </w:r>
          </w:p>
        </w:tc>
        <w:tc>
          <w:tcPr>
            <w:tcW w:w="0" w:type="auto"/>
            <w:tcBorders>
              <w:top w:val="nil"/>
              <w:left w:val="nil"/>
              <w:bottom w:val="nil"/>
              <w:right w:val="nil"/>
            </w:tcBorders>
            <w:noWrap/>
            <w:vAlign w:val="center"/>
            <w:hideMark/>
          </w:tcPr>
          <w:p w14:paraId="363AEE4A"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rPr>
              <w:t>0.34</w:t>
            </w:r>
          </w:p>
        </w:tc>
        <w:tc>
          <w:tcPr>
            <w:tcW w:w="0" w:type="auto"/>
            <w:tcBorders>
              <w:top w:val="nil"/>
              <w:left w:val="nil"/>
              <w:bottom w:val="nil"/>
              <w:right w:val="nil"/>
            </w:tcBorders>
            <w:noWrap/>
            <w:vAlign w:val="center"/>
            <w:hideMark/>
          </w:tcPr>
          <w:p w14:paraId="0DD457AA"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0.17</w:t>
            </w:r>
          </w:p>
        </w:tc>
      </w:tr>
      <w:tr w:rsidR="00E82136" w:rsidRPr="00353AE1" w14:paraId="18E26215" w14:textId="77777777" w:rsidTr="00E016A0">
        <w:trPr>
          <w:trHeight w:val="300"/>
          <w:jc w:val="center"/>
        </w:trPr>
        <w:tc>
          <w:tcPr>
            <w:tcW w:w="0" w:type="auto"/>
            <w:tcBorders>
              <w:top w:val="nil"/>
              <w:left w:val="nil"/>
              <w:bottom w:val="nil"/>
              <w:right w:val="nil"/>
            </w:tcBorders>
            <w:noWrap/>
            <w:vAlign w:val="bottom"/>
            <w:hideMark/>
          </w:tcPr>
          <w:p w14:paraId="2D2DA51B" w14:textId="40A0FA58" w:rsidR="00E82136" w:rsidRPr="00353AE1" w:rsidRDefault="00E82136" w:rsidP="00E82136">
            <w:pPr>
              <w:widowControl/>
              <w:jc w:val="left"/>
              <w:rPr>
                <w:rFonts w:eastAsia="Times New Roman"/>
                <w:color w:val="000000"/>
                <w:kern w:val="0"/>
                <w:sz w:val="20"/>
                <w:szCs w:val="20"/>
                <w:lang w:val="en-GB"/>
              </w:rPr>
            </w:pPr>
            <w:r w:rsidRPr="00E016A0">
              <w:rPr>
                <w:color w:val="000000"/>
                <w:sz w:val="20"/>
                <w:szCs w:val="20"/>
              </w:rPr>
              <w:t>Wood Products</w:t>
            </w:r>
          </w:p>
        </w:tc>
        <w:tc>
          <w:tcPr>
            <w:tcW w:w="0" w:type="auto"/>
            <w:tcBorders>
              <w:top w:val="nil"/>
              <w:left w:val="nil"/>
              <w:bottom w:val="nil"/>
              <w:right w:val="nil"/>
            </w:tcBorders>
            <w:noWrap/>
            <w:vAlign w:val="center"/>
            <w:hideMark/>
          </w:tcPr>
          <w:p w14:paraId="4B23CC75"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rPr>
              <w:t>0.22</w:t>
            </w:r>
          </w:p>
        </w:tc>
        <w:tc>
          <w:tcPr>
            <w:tcW w:w="0" w:type="auto"/>
            <w:tcBorders>
              <w:top w:val="nil"/>
              <w:left w:val="nil"/>
              <w:bottom w:val="nil"/>
              <w:right w:val="nil"/>
            </w:tcBorders>
            <w:noWrap/>
            <w:vAlign w:val="center"/>
            <w:hideMark/>
          </w:tcPr>
          <w:p w14:paraId="37678191"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0.11</w:t>
            </w:r>
          </w:p>
        </w:tc>
      </w:tr>
      <w:tr w:rsidR="00E82136" w:rsidRPr="00353AE1" w14:paraId="09F1C974" w14:textId="77777777" w:rsidTr="00E016A0">
        <w:trPr>
          <w:trHeight w:val="300"/>
          <w:jc w:val="center"/>
        </w:trPr>
        <w:tc>
          <w:tcPr>
            <w:tcW w:w="0" w:type="auto"/>
            <w:tcBorders>
              <w:top w:val="nil"/>
              <w:left w:val="nil"/>
              <w:bottom w:val="nil"/>
              <w:right w:val="nil"/>
            </w:tcBorders>
            <w:noWrap/>
            <w:vAlign w:val="bottom"/>
            <w:hideMark/>
          </w:tcPr>
          <w:p w14:paraId="3FD98144" w14:textId="021E7D2A" w:rsidR="00E82136" w:rsidRPr="00353AE1" w:rsidRDefault="00E82136" w:rsidP="00E82136">
            <w:pPr>
              <w:widowControl/>
              <w:jc w:val="left"/>
              <w:rPr>
                <w:rFonts w:eastAsia="Times New Roman"/>
                <w:color w:val="000000"/>
                <w:kern w:val="0"/>
                <w:sz w:val="20"/>
                <w:szCs w:val="20"/>
                <w:lang w:val="en-GB"/>
              </w:rPr>
            </w:pPr>
            <w:r w:rsidRPr="00E016A0">
              <w:rPr>
                <w:color w:val="000000"/>
                <w:sz w:val="20"/>
                <w:szCs w:val="20"/>
              </w:rPr>
              <w:t>Forestry</w:t>
            </w:r>
          </w:p>
        </w:tc>
        <w:tc>
          <w:tcPr>
            <w:tcW w:w="0" w:type="auto"/>
            <w:tcBorders>
              <w:top w:val="nil"/>
              <w:left w:val="nil"/>
              <w:bottom w:val="nil"/>
              <w:right w:val="nil"/>
            </w:tcBorders>
            <w:noWrap/>
            <w:vAlign w:val="center"/>
            <w:hideMark/>
          </w:tcPr>
          <w:p w14:paraId="1640EC0A"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rPr>
              <w:t>0.21</w:t>
            </w:r>
          </w:p>
        </w:tc>
        <w:tc>
          <w:tcPr>
            <w:tcW w:w="0" w:type="auto"/>
            <w:tcBorders>
              <w:top w:val="nil"/>
              <w:left w:val="nil"/>
              <w:bottom w:val="nil"/>
              <w:right w:val="nil"/>
            </w:tcBorders>
            <w:noWrap/>
            <w:vAlign w:val="center"/>
            <w:hideMark/>
          </w:tcPr>
          <w:p w14:paraId="53AC0968" w14:textId="77777777" w:rsidR="00E82136" w:rsidRPr="00353AE1" w:rsidRDefault="00E82136" w:rsidP="00E8213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0.10</w:t>
            </w:r>
          </w:p>
        </w:tc>
      </w:tr>
      <w:tr w:rsidR="00147CF6" w:rsidRPr="00353AE1" w14:paraId="7C5E9E15" w14:textId="77777777" w:rsidTr="00E016A0">
        <w:trPr>
          <w:trHeight w:val="300"/>
          <w:jc w:val="center"/>
        </w:trPr>
        <w:tc>
          <w:tcPr>
            <w:tcW w:w="0" w:type="auto"/>
            <w:tcBorders>
              <w:top w:val="nil"/>
              <w:left w:val="nil"/>
              <w:bottom w:val="nil"/>
              <w:right w:val="nil"/>
            </w:tcBorders>
            <w:noWrap/>
            <w:vAlign w:val="bottom"/>
            <w:hideMark/>
          </w:tcPr>
          <w:p w14:paraId="1BCA257C" w14:textId="77777777" w:rsidR="00147CF6" w:rsidRPr="00353AE1" w:rsidRDefault="00147CF6" w:rsidP="00147CF6">
            <w:pPr>
              <w:widowControl/>
              <w:jc w:val="center"/>
              <w:rPr>
                <w:rFonts w:eastAsia="Times New Roman"/>
                <w:color w:val="000000"/>
                <w:kern w:val="0"/>
                <w:sz w:val="20"/>
                <w:szCs w:val="20"/>
                <w:lang w:val="en-GB"/>
              </w:rPr>
            </w:pPr>
          </w:p>
        </w:tc>
        <w:tc>
          <w:tcPr>
            <w:tcW w:w="0" w:type="auto"/>
            <w:tcBorders>
              <w:top w:val="nil"/>
              <w:left w:val="nil"/>
              <w:bottom w:val="nil"/>
              <w:right w:val="nil"/>
            </w:tcBorders>
            <w:noWrap/>
            <w:vAlign w:val="center"/>
            <w:hideMark/>
          </w:tcPr>
          <w:p w14:paraId="350CBE52" w14:textId="77777777" w:rsidR="00147CF6" w:rsidRPr="00E016A0" w:rsidRDefault="00147CF6" w:rsidP="00147CF6">
            <w:pPr>
              <w:widowControl/>
              <w:jc w:val="left"/>
              <w:rPr>
                <w:rFonts w:eastAsia="Times New Roman"/>
                <w:kern w:val="0"/>
                <w:sz w:val="20"/>
                <w:szCs w:val="20"/>
                <w:lang w:val="en-GB"/>
              </w:rPr>
            </w:pPr>
          </w:p>
        </w:tc>
        <w:tc>
          <w:tcPr>
            <w:tcW w:w="0" w:type="auto"/>
            <w:tcBorders>
              <w:top w:val="nil"/>
              <w:left w:val="nil"/>
              <w:bottom w:val="nil"/>
              <w:right w:val="nil"/>
            </w:tcBorders>
            <w:noWrap/>
            <w:vAlign w:val="center"/>
            <w:hideMark/>
          </w:tcPr>
          <w:p w14:paraId="44EE1313" w14:textId="77777777" w:rsidR="00147CF6" w:rsidRPr="00E016A0" w:rsidRDefault="00147CF6" w:rsidP="00147CF6">
            <w:pPr>
              <w:widowControl/>
              <w:jc w:val="left"/>
              <w:rPr>
                <w:rFonts w:eastAsia="Times New Roman"/>
                <w:kern w:val="0"/>
                <w:sz w:val="20"/>
                <w:szCs w:val="20"/>
                <w:lang w:val="en-GB"/>
              </w:rPr>
            </w:pPr>
          </w:p>
        </w:tc>
      </w:tr>
      <w:tr w:rsidR="00147CF6" w:rsidRPr="00353AE1" w14:paraId="0B06D813" w14:textId="77777777" w:rsidTr="00E016A0">
        <w:trPr>
          <w:trHeight w:val="300"/>
          <w:jc w:val="center"/>
        </w:trPr>
        <w:tc>
          <w:tcPr>
            <w:tcW w:w="0" w:type="auto"/>
            <w:gridSpan w:val="2"/>
            <w:tcBorders>
              <w:top w:val="nil"/>
              <w:left w:val="nil"/>
              <w:bottom w:val="nil"/>
              <w:right w:val="nil"/>
            </w:tcBorders>
            <w:shd w:val="clear" w:color="auto" w:fill="F2F2F2" w:themeFill="background1" w:themeFillShade="F2"/>
            <w:noWrap/>
            <w:vAlign w:val="center"/>
            <w:hideMark/>
          </w:tcPr>
          <w:p w14:paraId="54E39832" w14:textId="77777777" w:rsidR="00147CF6" w:rsidRPr="00353AE1" w:rsidRDefault="00147CF6" w:rsidP="00147CF6">
            <w:pPr>
              <w:widowControl/>
              <w:jc w:val="left"/>
              <w:rPr>
                <w:rFonts w:eastAsia="Times New Roman"/>
                <w:b/>
                <w:bCs/>
                <w:color w:val="000000"/>
                <w:kern w:val="0"/>
                <w:lang w:val="en-GB"/>
              </w:rPr>
            </w:pPr>
            <w:r w:rsidRPr="00353AE1">
              <w:rPr>
                <w:rFonts w:eastAsia="Times New Roman"/>
                <w:b/>
                <w:bCs/>
                <w:color w:val="000000"/>
                <w:kern w:val="0"/>
                <w:lang w:val="en-GB"/>
              </w:rPr>
              <w:t>Bottom 3 performing industries</w:t>
            </w:r>
          </w:p>
        </w:tc>
        <w:tc>
          <w:tcPr>
            <w:tcW w:w="0" w:type="auto"/>
            <w:tcBorders>
              <w:top w:val="nil"/>
              <w:left w:val="nil"/>
              <w:bottom w:val="nil"/>
              <w:right w:val="nil"/>
            </w:tcBorders>
            <w:shd w:val="clear" w:color="auto" w:fill="F2F2F2" w:themeFill="background1" w:themeFillShade="F2"/>
            <w:noWrap/>
            <w:vAlign w:val="center"/>
            <w:hideMark/>
          </w:tcPr>
          <w:p w14:paraId="3A5286B6" w14:textId="77777777" w:rsidR="00147CF6" w:rsidRPr="00353AE1" w:rsidRDefault="00147CF6" w:rsidP="00147CF6">
            <w:pPr>
              <w:widowControl/>
              <w:jc w:val="left"/>
              <w:rPr>
                <w:rFonts w:eastAsia="Times New Roman"/>
                <w:b/>
                <w:bCs/>
                <w:color w:val="000000"/>
                <w:kern w:val="0"/>
                <w:lang w:val="en-GB"/>
              </w:rPr>
            </w:pPr>
          </w:p>
        </w:tc>
      </w:tr>
      <w:tr w:rsidR="00147CF6" w:rsidRPr="00353AE1" w14:paraId="0DB19989" w14:textId="77777777" w:rsidTr="00E016A0">
        <w:trPr>
          <w:trHeight w:val="300"/>
          <w:jc w:val="center"/>
        </w:trPr>
        <w:tc>
          <w:tcPr>
            <w:tcW w:w="0" w:type="auto"/>
            <w:tcBorders>
              <w:top w:val="nil"/>
              <w:left w:val="nil"/>
              <w:bottom w:val="nil"/>
              <w:right w:val="nil"/>
            </w:tcBorders>
            <w:noWrap/>
            <w:vAlign w:val="center"/>
            <w:hideMark/>
          </w:tcPr>
          <w:p w14:paraId="209C1038" w14:textId="77777777" w:rsidR="00147CF6" w:rsidRPr="00353AE1" w:rsidRDefault="00147CF6" w:rsidP="00147CF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Railway Freight</w:t>
            </w:r>
          </w:p>
        </w:tc>
        <w:tc>
          <w:tcPr>
            <w:tcW w:w="0" w:type="auto"/>
            <w:tcBorders>
              <w:top w:val="nil"/>
              <w:left w:val="nil"/>
              <w:bottom w:val="nil"/>
              <w:right w:val="nil"/>
            </w:tcBorders>
            <w:noWrap/>
            <w:vAlign w:val="center"/>
            <w:hideMark/>
          </w:tcPr>
          <w:p w14:paraId="1E26FA7B"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rPr>
              <w:t>-0.17</w:t>
            </w:r>
          </w:p>
        </w:tc>
        <w:tc>
          <w:tcPr>
            <w:tcW w:w="0" w:type="auto"/>
            <w:tcBorders>
              <w:top w:val="nil"/>
              <w:left w:val="nil"/>
              <w:bottom w:val="nil"/>
              <w:right w:val="nil"/>
            </w:tcBorders>
            <w:noWrap/>
            <w:vAlign w:val="center"/>
            <w:hideMark/>
          </w:tcPr>
          <w:p w14:paraId="5863F4C2"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-0.09</w:t>
            </w:r>
          </w:p>
        </w:tc>
      </w:tr>
      <w:tr w:rsidR="00147CF6" w:rsidRPr="00353AE1" w14:paraId="3943324A" w14:textId="77777777" w:rsidTr="00E016A0">
        <w:trPr>
          <w:trHeight w:val="300"/>
          <w:jc w:val="center"/>
        </w:trPr>
        <w:tc>
          <w:tcPr>
            <w:tcW w:w="0" w:type="auto"/>
            <w:tcBorders>
              <w:top w:val="nil"/>
              <w:left w:val="nil"/>
              <w:bottom w:val="nil"/>
              <w:right w:val="nil"/>
            </w:tcBorders>
            <w:noWrap/>
            <w:vAlign w:val="center"/>
            <w:hideMark/>
          </w:tcPr>
          <w:p w14:paraId="715BD530" w14:textId="77777777" w:rsidR="00147CF6" w:rsidRPr="00353AE1" w:rsidRDefault="00147CF6" w:rsidP="00147CF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Heavy Vehicle</w:t>
            </w:r>
          </w:p>
        </w:tc>
        <w:tc>
          <w:tcPr>
            <w:tcW w:w="0" w:type="auto"/>
            <w:tcBorders>
              <w:top w:val="nil"/>
              <w:left w:val="nil"/>
              <w:bottom w:val="nil"/>
              <w:right w:val="nil"/>
            </w:tcBorders>
            <w:noWrap/>
            <w:vAlign w:val="center"/>
            <w:hideMark/>
          </w:tcPr>
          <w:p w14:paraId="6B0E8A05"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rPr>
              <w:t>-0.14</w:t>
            </w:r>
          </w:p>
        </w:tc>
        <w:tc>
          <w:tcPr>
            <w:tcW w:w="0" w:type="auto"/>
            <w:tcBorders>
              <w:top w:val="nil"/>
              <w:left w:val="nil"/>
              <w:bottom w:val="nil"/>
              <w:right w:val="nil"/>
            </w:tcBorders>
            <w:noWrap/>
            <w:vAlign w:val="center"/>
            <w:hideMark/>
          </w:tcPr>
          <w:p w14:paraId="27D1DE20"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-0.07</w:t>
            </w:r>
          </w:p>
        </w:tc>
      </w:tr>
      <w:tr w:rsidR="00147CF6" w:rsidRPr="00353AE1" w14:paraId="12E71FDF" w14:textId="77777777" w:rsidTr="00E016A0">
        <w:trPr>
          <w:trHeight w:val="315"/>
          <w:jc w:val="center"/>
        </w:trPr>
        <w:tc>
          <w:tcPr>
            <w:tcW w:w="0" w:type="auto"/>
            <w:tcBorders>
              <w:top w:val="nil"/>
              <w:left w:val="nil"/>
              <w:bottom w:val="double" w:sz="6" w:space="0" w:color="auto"/>
              <w:right w:val="nil"/>
            </w:tcBorders>
            <w:noWrap/>
            <w:vAlign w:val="center"/>
            <w:hideMark/>
          </w:tcPr>
          <w:p w14:paraId="61ED115B" w14:textId="3D73DD10" w:rsidR="00147CF6" w:rsidRPr="00353AE1" w:rsidRDefault="00E86816" w:rsidP="00147CF6">
            <w:pPr>
              <w:widowControl/>
              <w:jc w:val="left"/>
              <w:rPr>
                <w:rFonts w:eastAsia="Times New Roman"/>
                <w:color w:val="000000"/>
                <w:kern w:val="0"/>
                <w:sz w:val="20"/>
                <w:szCs w:val="20"/>
                <w:lang w:val="en-GB"/>
              </w:rPr>
            </w:pPr>
            <w:r w:rsidRPr="00353AE1">
              <w:rPr>
                <w:rFonts w:eastAsia="Times New Roman"/>
                <w:color w:val="000000"/>
                <w:kern w:val="0"/>
                <w:sz w:val="20"/>
                <w:szCs w:val="20"/>
                <w:lang w:val="en-GB"/>
              </w:rPr>
              <w:t>Non-metallic Mineral Mining</w:t>
            </w:r>
          </w:p>
        </w:tc>
        <w:tc>
          <w:tcPr>
            <w:tcW w:w="0" w:type="auto"/>
            <w:tcBorders>
              <w:top w:val="nil"/>
              <w:left w:val="nil"/>
              <w:bottom w:val="double" w:sz="6" w:space="0" w:color="auto"/>
              <w:right w:val="nil"/>
            </w:tcBorders>
            <w:noWrap/>
            <w:vAlign w:val="center"/>
            <w:hideMark/>
          </w:tcPr>
          <w:p w14:paraId="5EBFAD0B"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rPr>
              <w:t>-0.13</w:t>
            </w:r>
          </w:p>
        </w:tc>
        <w:tc>
          <w:tcPr>
            <w:tcW w:w="0" w:type="auto"/>
            <w:tcBorders>
              <w:top w:val="nil"/>
              <w:left w:val="nil"/>
              <w:bottom w:val="double" w:sz="6" w:space="0" w:color="auto"/>
              <w:right w:val="nil"/>
            </w:tcBorders>
            <w:noWrap/>
            <w:vAlign w:val="center"/>
            <w:hideMark/>
          </w:tcPr>
          <w:p w14:paraId="7A5E68CB" w14:textId="77777777" w:rsidR="00147CF6" w:rsidRPr="00353AE1" w:rsidRDefault="00147CF6" w:rsidP="00147CF6">
            <w:pPr>
              <w:widowControl/>
              <w:jc w:val="center"/>
              <w:rPr>
                <w:rFonts w:eastAsia="Times New Roman"/>
                <w:color w:val="000000"/>
                <w:kern w:val="0"/>
                <w:sz w:val="20"/>
                <w:szCs w:val="20"/>
                <w:lang w:val="en-GB"/>
              </w:rPr>
            </w:pPr>
            <w:r w:rsidRPr="00353AE1">
              <w:rPr>
                <w:rFonts w:eastAsia="Times New Roman"/>
                <w:color w:val="000000"/>
                <w:kern w:val="0"/>
                <w:sz w:val="20"/>
                <w:szCs w:val="20"/>
                <w:lang w:val="en-GB"/>
              </w:rPr>
              <w:t>-0.07</w:t>
            </w:r>
          </w:p>
        </w:tc>
      </w:tr>
    </w:tbl>
    <w:p w14:paraId="1DB9C760" w14:textId="77777777" w:rsidR="00147CF6" w:rsidRPr="00353AE1" w:rsidRDefault="00147CF6" w:rsidP="00E016A0"/>
    <w:p w14:paraId="6FB2BC58" w14:textId="77777777" w:rsidR="00D31DD9" w:rsidRPr="00353AE1" w:rsidRDefault="00D31DD9" w:rsidP="006B3B15">
      <w:pPr>
        <w:spacing w:after="120"/>
        <w:jc w:val="left"/>
      </w:pPr>
    </w:p>
    <w:p w14:paraId="1E9179F5" w14:textId="5FAA4AF1" w:rsidR="004F646E" w:rsidRPr="00353AE1" w:rsidRDefault="004F646E" w:rsidP="004F646E">
      <w:pPr>
        <w:pStyle w:val="Caption"/>
        <w:keepNext/>
        <w:spacing w:after="120"/>
        <w:jc w:val="center"/>
        <w:rPr>
          <w:sz w:val="22"/>
          <w:szCs w:val="22"/>
        </w:rPr>
      </w:pPr>
      <w:bookmarkStart w:id="90" w:name="_Toc231905617"/>
      <w:r w:rsidRPr="00353AE1">
        <w:rPr>
          <w:sz w:val="22"/>
          <w:szCs w:val="22"/>
        </w:rPr>
        <w:t xml:space="preserve">Figure </w:t>
      </w:r>
      <w:r w:rsidR="00F31FC8" w:rsidRPr="00353AE1">
        <w:rPr>
          <w:sz w:val="22"/>
          <w:szCs w:val="22"/>
        </w:rPr>
        <w:fldChar w:fldCharType="begin"/>
      </w:r>
      <w:r w:rsidR="00F31FC8" w:rsidRPr="00353AE1">
        <w:rPr>
          <w:sz w:val="22"/>
          <w:szCs w:val="22"/>
        </w:rPr>
        <w:instrText xml:space="preserve"> SEQ Figure \* ARABIC </w:instrText>
      </w:r>
      <w:r w:rsidR="00F31FC8" w:rsidRPr="00353AE1">
        <w:rPr>
          <w:sz w:val="22"/>
          <w:szCs w:val="22"/>
        </w:rPr>
        <w:fldChar w:fldCharType="separate"/>
      </w:r>
      <w:r w:rsidR="00F31FC8" w:rsidRPr="00353AE1">
        <w:rPr>
          <w:noProof/>
          <w:sz w:val="22"/>
          <w:szCs w:val="22"/>
        </w:rPr>
        <w:t>3</w:t>
      </w:r>
      <w:r w:rsidR="00F31FC8" w:rsidRPr="00353AE1">
        <w:rPr>
          <w:sz w:val="22"/>
          <w:szCs w:val="22"/>
        </w:rPr>
        <w:fldChar w:fldCharType="end"/>
      </w:r>
      <w:r w:rsidRPr="00353AE1">
        <w:rPr>
          <w:sz w:val="22"/>
          <w:szCs w:val="22"/>
        </w:rPr>
        <w:t>. ANZSIC Industry Output (Scenario 2</w:t>
      </w:r>
      <w:r w:rsidR="009545E2" w:rsidRPr="00353AE1">
        <w:rPr>
          <w:sz w:val="22"/>
          <w:szCs w:val="22"/>
        </w:rPr>
        <w:t>A</w:t>
      </w:r>
      <w:r w:rsidRPr="00353AE1">
        <w:rPr>
          <w:sz w:val="22"/>
          <w:szCs w:val="22"/>
        </w:rPr>
        <w:t>)</w:t>
      </w:r>
      <w:bookmarkEnd w:id="90"/>
    </w:p>
    <w:p w14:paraId="4E005D9B" w14:textId="77777777" w:rsidR="004F646E" w:rsidRPr="00353AE1" w:rsidRDefault="004F646E" w:rsidP="004F646E">
      <w:pPr>
        <w:pStyle w:val="Caption"/>
        <w:keepNext/>
        <w:spacing w:after="120"/>
        <w:jc w:val="center"/>
        <w:rPr>
          <w:sz w:val="22"/>
          <w:szCs w:val="22"/>
        </w:rPr>
      </w:pPr>
      <w:r w:rsidRPr="00353AE1">
        <w:rPr>
          <w:noProof/>
          <w:sz w:val="22"/>
          <w:szCs w:val="22"/>
        </w:rPr>
        <w:drawing>
          <wp:inline distT="0" distB="0" distL="0" distR="0" wp14:anchorId="7F13E696" wp14:editId="36D81674">
            <wp:extent cx="5173164" cy="2880000"/>
            <wp:effectExtent l="0" t="0" r="8890" b="0"/>
            <wp:docPr id="1397152928" name="Picture 2" descr="Figure 3 is a grouped bar chart showing percentage deviations from baseline in output for broad ANZSIC industry categories in 2026 and 2040 under Scenario 2A. The vertical axis shows percentage deviations from baseline. The horizontal axis lists industry categories in descending order of their 2026 percentage deviation from baseline. Each industry category has one bar for 2026 and one bar for 2040. The format is the same as Figures 1 and 2 but the industry ordering in the horizontal axis differs. A full text description is provided in the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52928" name="Picture 2" descr="Figure 3 is a grouped bar chart showing percentage deviations from baseline in output for broad ANZSIC industry categories in 2026 and 2040 under Scenario 2A. The vertical axis shows percentage deviations from baseline. The horizontal axis lists industry categories in descending order of their 2026 percentage deviation from baseline. Each industry category has one bar for 2026 and one bar for 2040. The format is the same as Figures 1 and 2 but the industry ordering in the horizontal axis differs. A full text description is provided in the appendix."/>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3164" cy="2880000"/>
                    </a:xfrm>
                    <a:prstGeom prst="rect">
                      <a:avLst/>
                    </a:prstGeom>
                    <a:noFill/>
                  </pic:spPr>
                </pic:pic>
              </a:graphicData>
            </a:graphic>
          </wp:inline>
        </w:drawing>
      </w:r>
    </w:p>
    <w:p w14:paraId="4A43BE6A" w14:textId="77777777" w:rsidR="00F31FC8" w:rsidRPr="00353AE1" w:rsidRDefault="00F31FC8" w:rsidP="00E016A0"/>
    <w:p w14:paraId="56792A72" w14:textId="6EF4D1DA" w:rsidR="00F31FC8" w:rsidRPr="00E016A0" w:rsidRDefault="00F31FC8" w:rsidP="00E016A0">
      <w:pPr>
        <w:pStyle w:val="Caption"/>
        <w:keepNext/>
        <w:jc w:val="center"/>
        <w:rPr>
          <w:sz w:val="22"/>
          <w:szCs w:val="22"/>
        </w:rPr>
      </w:pPr>
      <w:bookmarkStart w:id="91" w:name="_Toc231905618"/>
      <w:r w:rsidRPr="00E016A0">
        <w:rPr>
          <w:sz w:val="22"/>
          <w:szCs w:val="22"/>
        </w:rPr>
        <w:lastRenderedPageBreak/>
        <w:t xml:space="preserve">Figure </w:t>
      </w:r>
      <w:r w:rsidRPr="00E016A0">
        <w:rPr>
          <w:sz w:val="22"/>
          <w:szCs w:val="22"/>
        </w:rPr>
        <w:fldChar w:fldCharType="begin"/>
      </w:r>
      <w:r w:rsidRPr="00E016A0">
        <w:rPr>
          <w:sz w:val="22"/>
          <w:szCs w:val="22"/>
        </w:rPr>
        <w:instrText xml:space="preserve"> SEQ Figure \* ARABIC </w:instrText>
      </w:r>
      <w:r w:rsidRPr="00E016A0">
        <w:rPr>
          <w:sz w:val="22"/>
          <w:szCs w:val="22"/>
        </w:rPr>
        <w:fldChar w:fldCharType="separate"/>
      </w:r>
      <w:r w:rsidRPr="00E016A0">
        <w:rPr>
          <w:noProof/>
          <w:sz w:val="22"/>
          <w:szCs w:val="22"/>
        </w:rPr>
        <w:t>4</w:t>
      </w:r>
      <w:r w:rsidRPr="00E016A0">
        <w:rPr>
          <w:sz w:val="22"/>
          <w:szCs w:val="22"/>
        </w:rPr>
        <w:fldChar w:fldCharType="end"/>
      </w:r>
      <w:r w:rsidRPr="00E016A0">
        <w:rPr>
          <w:sz w:val="22"/>
          <w:szCs w:val="22"/>
        </w:rPr>
        <w:t>. ANZSIC Industry Output (Scenario 2B)</w:t>
      </w:r>
      <w:bookmarkEnd w:id="91"/>
    </w:p>
    <w:p w14:paraId="6B250A25" w14:textId="12511B7A" w:rsidR="00690D78" w:rsidRPr="00353AE1" w:rsidRDefault="00F31FC8" w:rsidP="00E016A0">
      <w:r w:rsidRPr="00353AE1">
        <w:rPr>
          <w:noProof/>
        </w:rPr>
        <w:drawing>
          <wp:inline distT="0" distB="0" distL="0" distR="0" wp14:anchorId="35180A17" wp14:editId="54671164">
            <wp:extent cx="5727700" cy="3190240"/>
            <wp:effectExtent l="0" t="0" r="6350" b="0"/>
            <wp:docPr id="1700682561" name="Picture 8" descr="Figure 4 shows the same ANZSIC industry categories, in the same order, for 2026 and 2040 as Figure 3. It is effectively a lower-magnitude version of Figure 3: the pattern of industry gains and losses is broadly unchanged, but the deviations are generally half as large. A full text description is provided in the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82561" name="Picture 8" descr="Figure 4 shows the same ANZSIC industry categories, in the same order, for 2026 and 2040 as Figure 3. It is effectively a lower-magnitude version of Figure 3: the pattern of industry gains and losses is broadly unchanged, but the deviations are generally half as large. A full text description is provided in the appendix."/>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700" cy="3190240"/>
                    </a:xfrm>
                    <a:prstGeom prst="rect">
                      <a:avLst/>
                    </a:prstGeom>
                    <a:noFill/>
                    <a:ln>
                      <a:noFill/>
                    </a:ln>
                  </pic:spPr>
                </pic:pic>
              </a:graphicData>
            </a:graphic>
          </wp:inline>
        </w:drawing>
      </w:r>
    </w:p>
    <w:p w14:paraId="198AC0EE" w14:textId="77777777" w:rsidR="004F646E" w:rsidRPr="00353AE1" w:rsidRDefault="004F646E" w:rsidP="006B3B15">
      <w:pPr>
        <w:spacing w:after="120"/>
        <w:jc w:val="left"/>
      </w:pPr>
    </w:p>
    <w:p w14:paraId="5AC6D7D2" w14:textId="270BD526" w:rsidR="004E5CCB" w:rsidRPr="00353AE1" w:rsidRDefault="004E5CCB" w:rsidP="006B3B15">
      <w:pPr>
        <w:pStyle w:val="Heading2"/>
        <w:spacing w:before="0" w:after="120"/>
        <w:rPr>
          <w:rStyle w:val="SubtleEmphasis"/>
          <w:rFonts w:eastAsiaTheme="minorEastAsia" w:cs="Calibri"/>
          <w:i w:val="0"/>
          <w:iCs w:val="0"/>
          <w:color w:val="auto"/>
          <w:sz w:val="18"/>
          <w:szCs w:val="18"/>
        </w:rPr>
      </w:pPr>
      <w:bookmarkStart w:id="92" w:name="_Toc234277242"/>
      <w:r w:rsidRPr="00353AE1">
        <w:rPr>
          <w:rStyle w:val="SubtleEmphasis"/>
          <w:rFonts w:cs="Calibri"/>
          <w:i w:val="0"/>
          <w:iCs w:val="0"/>
          <w:color w:val="auto"/>
        </w:rPr>
        <w:t>5.4 Regional Impacts</w:t>
      </w:r>
      <w:bookmarkEnd w:id="92"/>
    </w:p>
    <w:p w14:paraId="259D743F" w14:textId="46538E64" w:rsidR="00675FB0" w:rsidRPr="00353AE1" w:rsidRDefault="00102FF6" w:rsidP="006B3B15">
      <w:pPr>
        <w:spacing w:after="120"/>
        <w:jc w:val="left"/>
      </w:pPr>
      <w:r w:rsidRPr="00353AE1">
        <w:t xml:space="preserve">The regional pattern in Scenario 2 is shaped by the geographic coverage of the NAAS productivity shock. The </w:t>
      </w:r>
      <w:r w:rsidR="006E2C20" w:rsidRPr="00353AE1">
        <w:t>Road Freight MFP</w:t>
      </w:r>
      <w:r w:rsidRPr="00353AE1">
        <w:t xml:space="preserve"> improvement is applied to NSW&amp;ACT, VIC, QLD, SA and TAS, while WA&amp;NT is excluded. As a result, the positive effects</w:t>
      </w:r>
      <w:r w:rsidR="006E21B8" w:rsidRPr="00353AE1">
        <w:t xml:space="preserve"> are</w:t>
      </w:r>
      <w:r w:rsidRPr="00353AE1">
        <w:t xml:space="preserve"> concentrate</w:t>
      </w:r>
      <w:r w:rsidR="006E21B8" w:rsidRPr="00353AE1">
        <w:t>d</w:t>
      </w:r>
      <w:r w:rsidRPr="00353AE1">
        <w:t xml:space="preserve"> in the NAAS states, while WA&amp;NT records little gain on impact and a small decline over time.</w:t>
      </w:r>
    </w:p>
    <w:p w14:paraId="14D84830" w14:textId="77777777" w:rsidR="00910DA7" w:rsidRPr="00353AE1" w:rsidRDefault="00910DA7" w:rsidP="00910DA7">
      <w:pPr>
        <w:widowControl/>
        <w:spacing w:after="120"/>
        <w:jc w:val="left"/>
      </w:pPr>
      <w:r w:rsidRPr="00353AE1">
        <w:t>As Table 16 reports, the Road Freight outcomes in the NAAS states are qualitatively similar to Scenario 1, except that Road Freight activities in WA&amp;NT remain at baseline on impact. Road Freight output rises in all NAAS states, with the largest effects in Tasmania and South Australia. The lower demand for heavy vehicle inputs by the Road Freight sector in the NAAS states puts downward pressure on the price of heavy vehicle use, leading to slightly higher demand for Heavy Vehicle in WA&amp;NT in the shock year. By 2040, both Road Freight and Heavy Vehicle output in WA&amp;NT fall below baseline, reflecting its loss of relative competitiveness compared with the NAAS states.</w:t>
      </w:r>
    </w:p>
    <w:p w14:paraId="543AA9D1" w14:textId="77777777" w:rsidR="00910DA7" w:rsidRPr="00353AE1" w:rsidRDefault="00910DA7" w:rsidP="00910DA7">
      <w:pPr>
        <w:spacing w:after="120"/>
        <w:jc w:val="left"/>
      </w:pPr>
      <w:r w:rsidRPr="00353AE1">
        <w:t>Table 17 reports the regional macroeconomic results for Scenario 2. Among the NAAS states, TAS records the strongest macroeconomic response. Real GSP in TAS rises by 0.09 per cent in 2026 and 0.16 per cent by 2040 relative to baseline. TAS also records strong increases in household consumption, investment, exports, capital, employment and working population over time. This is consistent with the regional mechanism discussed in Scenario 1 and illustrated in Table 8: TAS has relatively high Road Freight margin intensity, so lower Road Freight costs generate larger cost savings. Stronger relative labour market outcomes also attract interstate migration into TAS, supporting population and household demand.</w:t>
      </w:r>
    </w:p>
    <w:p w14:paraId="01F7CE9D" w14:textId="77777777" w:rsidR="00D819AD" w:rsidRPr="00353AE1" w:rsidRDefault="00D819AD" w:rsidP="00910DA7">
      <w:pPr>
        <w:spacing w:after="120"/>
        <w:jc w:val="left"/>
      </w:pPr>
    </w:p>
    <w:p w14:paraId="22B67EBB" w14:textId="77777777" w:rsidR="00910DA7" w:rsidRPr="00353AE1" w:rsidRDefault="00910DA7" w:rsidP="00910DA7">
      <w:pPr>
        <w:widowControl/>
        <w:spacing w:after="120"/>
        <w:jc w:val="left"/>
      </w:pPr>
    </w:p>
    <w:p w14:paraId="6675AD6C" w14:textId="77777777" w:rsidR="00981143" w:rsidRPr="00353AE1" w:rsidRDefault="00981143" w:rsidP="006B3B15">
      <w:pPr>
        <w:spacing w:after="120"/>
        <w:jc w:val="left"/>
      </w:pPr>
    </w:p>
    <w:p w14:paraId="49EF0C26" w14:textId="64BEF4F0" w:rsidR="007C7829" w:rsidRPr="00353AE1" w:rsidRDefault="007C7829" w:rsidP="006B3B15">
      <w:pPr>
        <w:pStyle w:val="Caption"/>
        <w:keepNext/>
        <w:spacing w:after="120"/>
        <w:jc w:val="center"/>
        <w:rPr>
          <w:sz w:val="22"/>
          <w:szCs w:val="22"/>
        </w:rPr>
      </w:pPr>
      <w:bookmarkStart w:id="93" w:name="_Toc230696737"/>
      <w:bookmarkStart w:id="94" w:name="_Toc230710355"/>
      <w:bookmarkStart w:id="95" w:name="_Toc230710401"/>
      <w:bookmarkStart w:id="96" w:name="_Toc230711124"/>
      <w:bookmarkStart w:id="97" w:name="_Toc231907820"/>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16</w:t>
      </w:r>
      <w:r w:rsidR="00DF6059" w:rsidRPr="00353AE1">
        <w:rPr>
          <w:sz w:val="22"/>
          <w:szCs w:val="22"/>
        </w:rPr>
        <w:fldChar w:fldCharType="end"/>
      </w:r>
      <w:r w:rsidRPr="00353AE1">
        <w:rPr>
          <w:sz w:val="22"/>
          <w:szCs w:val="22"/>
        </w:rPr>
        <w:t xml:space="preserve">. Industry Activities: Road Freight and Heavy </w:t>
      </w:r>
      <w:r w:rsidR="002C189F" w:rsidRPr="00353AE1">
        <w:rPr>
          <w:sz w:val="22"/>
          <w:szCs w:val="22"/>
        </w:rPr>
        <w:t>Vehicle</w:t>
      </w:r>
      <w:r w:rsidR="00674C3B" w:rsidRPr="00353AE1">
        <w:rPr>
          <w:sz w:val="22"/>
          <w:szCs w:val="22"/>
        </w:rPr>
        <w:t>,</w:t>
      </w:r>
      <w:r w:rsidRPr="00353AE1">
        <w:rPr>
          <w:sz w:val="22"/>
          <w:szCs w:val="22"/>
        </w:rPr>
        <w:t xml:space="preserve"> by State (Scenario 2)</w:t>
      </w:r>
      <w:bookmarkEnd w:id="93"/>
      <w:bookmarkEnd w:id="94"/>
      <w:bookmarkEnd w:id="95"/>
      <w:bookmarkEnd w:id="96"/>
      <w:bookmarkEnd w:id="97"/>
    </w:p>
    <w:tbl>
      <w:tblPr>
        <w:tblW w:w="0" w:type="auto"/>
        <w:jc w:val="center"/>
        <w:tblLook w:val="04A0" w:firstRow="1" w:lastRow="0" w:firstColumn="1" w:lastColumn="0" w:noHBand="0" w:noVBand="1"/>
      </w:tblPr>
      <w:tblGrid>
        <w:gridCol w:w="1470"/>
        <w:gridCol w:w="1157"/>
        <w:gridCol w:w="1279"/>
        <w:gridCol w:w="1279"/>
        <w:gridCol w:w="1279"/>
        <w:gridCol w:w="1279"/>
      </w:tblGrid>
      <w:tr w:rsidR="004543D0" w:rsidRPr="00353AE1" w14:paraId="0CD13AEC" w14:textId="77777777" w:rsidTr="00E016A0">
        <w:trPr>
          <w:trHeight w:val="300"/>
          <w:jc w:val="center"/>
        </w:trPr>
        <w:tc>
          <w:tcPr>
            <w:tcW w:w="0" w:type="auto"/>
            <w:tcBorders>
              <w:top w:val="single" w:sz="4" w:space="0" w:color="auto"/>
              <w:left w:val="nil"/>
              <w:bottom w:val="single" w:sz="4" w:space="0" w:color="auto"/>
              <w:right w:val="nil"/>
            </w:tcBorders>
            <w:noWrap/>
            <w:vAlign w:val="bottom"/>
            <w:hideMark/>
          </w:tcPr>
          <w:p w14:paraId="154CE816" w14:textId="77777777" w:rsidR="004543D0" w:rsidRPr="00353AE1" w:rsidRDefault="004543D0" w:rsidP="004543D0">
            <w:pPr>
              <w:widowControl/>
              <w:jc w:val="left"/>
              <w:rPr>
                <w:rFonts w:eastAsia="Times New Roman"/>
                <w:b/>
                <w:bCs/>
                <w:color w:val="000000"/>
                <w:kern w:val="0"/>
                <w:lang w:val="en-GB"/>
              </w:rPr>
            </w:pPr>
            <w:r w:rsidRPr="00353AE1">
              <w:rPr>
                <w:rFonts w:eastAsia="Times New Roman"/>
                <w:b/>
                <w:bCs/>
                <w:color w:val="000000"/>
                <w:kern w:val="0"/>
                <w:lang w:val="en-GB"/>
              </w:rPr>
              <w:t>State Results</w:t>
            </w:r>
          </w:p>
        </w:tc>
        <w:tc>
          <w:tcPr>
            <w:tcW w:w="0" w:type="auto"/>
            <w:tcBorders>
              <w:top w:val="single" w:sz="4" w:space="0" w:color="auto"/>
              <w:left w:val="nil"/>
              <w:bottom w:val="single" w:sz="4" w:space="0" w:color="auto"/>
              <w:right w:val="nil"/>
            </w:tcBorders>
            <w:noWrap/>
            <w:vAlign w:val="bottom"/>
            <w:hideMark/>
          </w:tcPr>
          <w:p w14:paraId="427056FA" w14:textId="77777777" w:rsidR="004543D0" w:rsidRPr="00353AE1" w:rsidRDefault="004543D0" w:rsidP="004543D0">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0" w:type="auto"/>
            <w:gridSpan w:val="2"/>
            <w:tcBorders>
              <w:top w:val="single" w:sz="4" w:space="0" w:color="auto"/>
              <w:left w:val="nil"/>
              <w:bottom w:val="single" w:sz="4" w:space="0" w:color="auto"/>
              <w:right w:val="nil"/>
            </w:tcBorders>
            <w:noWrap/>
            <w:vAlign w:val="bottom"/>
            <w:hideMark/>
          </w:tcPr>
          <w:p w14:paraId="6AC59D7E" w14:textId="77777777" w:rsidR="004543D0" w:rsidRPr="00353AE1" w:rsidRDefault="004543D0" w:rsidP="004543D0">
            <w:pPr>
              <w:widowControl/>
              <w:jc w:val="center"/>
              <w:rPr>
                <w:rFonts w:eastAsia="Times New Roman"/>
                <w:b/>
                <w:bCs/>
                <w:color w:val="000000"/>
                <w:kern w:val="0"/>
                <w:lang w:val="en-GB"/>
              </w:rPr>
            </w:pPr>
            <w:r w:rsidRPr="00353AE1">
              <w:rPr>
                <w:rFonts w:eastAsia="Times New Roman"/>
                <w:b/>
                <w:bCs/>
                <w:color w:val="000000"/>
                <w:kern w:val="0"/>
                <w:lang w:val="en-GB"/>
              </w:rPr>
              <w:t>Scenario 2A</w:t>
            </w:r>
          </w:p>
        </w:tc>
        <w:tc>
          <w:tcPr>
            <w:tcW w:w="0" w:type="auto"/>
            <w:gridSpan w:val="2"/>
            <w:tcBorders>
              <w:top w:val="single" w:sz="4" w:space="0" w:color="auto"/>
              <w:left w:val="nil"/>
              <w:bottom w:val="single" w:sz="4" w:space="0" w:color="auto"/>
              <w:right w:val="nil"/>
            </w:tcBorders>
            <w:noWrap/>
            <w:vAlign w:val="bottom"/>
            <w:hideMark/>
          </w:tcPr>
          <w:p w14:paraId="3A37E176" w14:textId="77777777" w:rsidR="004543D0" w:rsidRPr="00353AE1" w:rsidRDefault="004543D0" w:rsidP="004543D0">
            <w:pPr>
              <w:widowControl/>
              <w:jc w:val="center"/>
              <w:rPr>
                <w:rFonts w:eastAsia="Times New Roman"/>
                <w:b/>
                <w:bCs/>
                <w:color w:val="000000"/>
                <w:kern w:val="0"/>
                <w:lang w:val="en-GB"/>
              </w:rPr>
            </w:pPr>
            <w:r w:rsidRPr="00353AE1">
              <w:rPr>
                <w:rFonts w:eastAsia="Times New Roman"/>
                <w:b/>
                <w:bCs/>
                <w:color w:val="000000"/>
                <w:kern w:val="0"/>
                <w:lang w:val="en-GB"/>
              </w:rPr>
              <w:t>Scenario 2B</w:t>
            </w:r>
          </w:p>
        </w:tc>
      </w:tr>
      <w:tr w:rsidR="004543D0" w:rsidRPr="00353AE1" w14:paraId="1A4C7B54" w14:textId="77777777" w:rsidTr="00E016A0">
        <w:trPr>
          <w:trHeight w:val="300"/>
          <w:jc w:val="center"/>
        </w:trPr>
        <w:tc>
          <w:tcPr>
            <w:tcW w:w="0" w:type="auto"/>
            <w:tcBorders>
              <w:top w:val="nil"/>
              <w:left w:val="nil"/>
              <w:bottom w:val="nil"/>
              <w:right w:val="nil"/>
            </w:tcBorders>
            <w:vAlign w:val="center"/>
            <w:hideMark/>
          </w:tcPr>
          <w:p w14:paraId="51CE150C" w14:textId="77777777" w:rsidR="004543D0" w:rsidRPr="00353AE1" w:rsidRDefault="004543D0" w:rsidP="004543D0">
            <w:pPr>
              <w:widowControl/>
              <w:jc w:val="left"/>
              <w:rPr>
                <w:rFonts w:eastAsia="Times New Roman"/>
                <w:b/>
                <w:bCs/>
                <w:color w:val="000000"/>
                <w:kern w:val="0"/>
                <w:lang w:val="en-GB"/>
              </w:rPr>
            </w:pPr>
            <w:r w:rsidRPr="00353AE1">
              <w:rPr>
                <w:rFonts w:eastAsia="Times New Roman"/>
                <w:b/>
                <w:bCs/>
                <w:color w:val="000000"/>
                <w:kern w:val="0"/>
                <w:lang w:val="en-GB"/>
              </w:rPr>
              <w:t> </w:t>
            </w:r>
          </w:p>
        </w:tc>
        <w:tc>
          <w:tcPr>
            <w:tcW w:w="0" w:type="auto"/>
            <w:tcBorders>
              <w:top w:val="nil"/>
              <w:left w:val="nil"/>
              <w:bottom w:val="nil"/>
              <w:right w:val="nil"/>
            </w:tcBorders>
            <w:noWrap/>
            <w:vAlign w:val="bottom"/>
            <w:hideMark/>
          </w:tcPr>
          <w:p w14:paraId="6A0A58BB" w14:textId="77777777" w:rsidR="004543D0" w:rsidRPr="00353AE1" w:rsidRDefault="004543D0" w:rsidP="004543D0">
            <w:pPr>
              <w:widowControl/>
              <w:jc w:val="left"/>
              <w:rPr>
                <w:rFonts w:eastAsia="Times New Roman"/>
                <w:i/>
                <w:iCs/>
                <w:color w:val="000000"/>
                <w:kern w:val="0"/>
                <w:lang w:val="en-GB"/>
              </w:rPr>
            </w:pPr>
            <w:r w:rsidRPr="00353AE1">
              <w:rPr>
                <w:rFonts w:eastAsia="Times New Roman"/>
                <w:i/>
                <w:iCs/>
                <w:color w:val="000000"/>
                <w:kern w:val="0"/>
                <w:lang w:val="en-GB"/>
              </w:rPr>
              <w:t> </w:t>
            </w:r>
          </w:p>
        </w:tc>
        <w:tc>
          <w:tcPr>
            <w:tcW w:w="0" w:type="auto"/>
            <w:tcBorders>
              <w:top w:val="nil"/>
              <w:left w:val="nil"/>
              <w:bottom w:val="nil"/>
              <w:right w:val="nil"/>
            </w:tcBorders>
            <w:noWrap/>
            <w:vAlign w:val="bottom"/>
            <w:hideMark/>
          </w:tcPr>
          <w:p w14:paraId="29FAE2F0"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nil"/>
              <w:left w:val="nil"/>
              <w:bottom w:val="nil"/>
              <w:right w:val="nil"/>
            </w:tcBorders>
            <w:noWrap/>
            <w:vAlign w:val="bottom"/>
            <w:hideMark/>
          </w:tcPr>
          <w:p w14:paraId="18E0E556"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2040</w:t>
            </w:r>
          </w:p>
        </w:tc>
        <w:tc>
          <w:tcPr>
            <w:tcW w:w="0" w:type="auto"/>
            <w:tcBorders>
              <w:top w:val="nil"/>
              <w:left w:val="nil"/>
              <w:bottom w:val="nil"/>
              <w:right w:val="nil"/>
            </w:tcBorders>
            <w:noWrap/>
            <w:vAlign w:val="bottom"/>
            <w:hideMark/>
          </w:tcPr>
          <w:p w14:paraId="06CAC70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2026</w:t>
            </w:r>
          </w:p>
        </w:tc>
        <w:tc>
          <w:tcPr>
            <w:tcW w:w="0" w:type="auto"/>
            <w:tcBorders>
              <w:top w:val="nil"/>
              <w:left w:val="nil"/>
              <w:bottom w:val="nil"/>
              <w:right w:val="nil"/>
            </w:tcBorders>
            <w:noWrap/>
            <w:vAlign w:val="bottom"/>
            <w:hideMark/>
          </w:tcPr>
          <w:p w14:paraId="2C42D0AE"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2040</w:t>
            </w:r>
          </w:p>
        </w:tc>
      </w:tr>
      <w:tr w:rsidR="004543D0" w:rsidRPr="00353AE1" w14:paraId="3019BB91" w14:textId="77777777" w:rsidTr="00E016A0">
        <w:trPr>
          <w:trHeight w:val="300"/>
          <w:jc w:val="center"/>
        </w:trPr>
        <w:tc>
          <w:tcPr>
            <w:tcW w:w="0" w:type="auto"/>
            <w:tcBorders>
              <w:top w:val="nil"/>
              <w:left w:val="nil"/>
              <w:bottom w:val="single" w:sz="4" w:space="0" w:color="auto"/>
              <w:right w:val="nil"/>
            </w:tcBorders>
            <w:noWrap/>
            <w:vAlign w:val="bottom"/>
            <w:hideMark/>
          </w:tcPr>
          <w:p w14:paraId="0324105F" w14:textId="77777777" w:rsidR="004543D0" w:rsidRPr="00353AE1" w:rsidRDefault="004543D0" w:rsidP="004543D0">
            <w:pPr>
              <w:widowControl/>
              <w:jc w:val="left"/>
              <w:rPr>
                <w:rFonts w:eastAsia="Times New Roman"/>
                <w:color w:val="000000"/>
                <w:kern w:val="0"/>
                <w:lang w:val="en-GB"/>
              </w:rPr>
            </w:pPr>
            <w:r w:rsidRPr="00353AE1">
              <w:rPr>
                <w:rFonts w:eastAsia="Times New Roman"/>
                <w:color w:val="000000"/>
                <w:kern w:val="0"/>
                <w:lang w:val="en-GB"/>
              </w:rPr>
              <w:t> </w:t>
            </w:r>
          </w:p>
        </w:tc>
        <w:tc>
          <w:tcPr>
            <w:tcW w:w="0" w:type="auto"/>
            <w:tcBorders>
              <w:top w:val="nil"/>
              <w:left w:val="nil"/>
              <w:bottom w:val="single" w:sz="4" w:space="0" w:color="auto"/>
              <w:right w:val="nil"/>
            </w:tcBorders>
            <w:noWrap/>
            <w:vAlign w:val="bottom"/>
            <w:hideMark/>
          </w:tcPr>
          <w:p w14:paraId="1994D199" w14:textId="77777777" w:rsidR="004543D0" w:rsidRPr="00353AE1" w:rsidRDefault="004543D0" w:rsidP="004543D0">
            <w:pPr>
              <w:widowControl/>
              <w:jc w:val="left"/>
              <w:rPr>
                <w:rFonts w:eastAsia="Times New Roman"/>
                <w:color w:val="000000"/>
                <w:kern w:val="0"/>
                <w:lang w:val="en-GB"/>
              </w:rPr>
            </w:pPr>
            <w:r w:rsidRPr="00353AE1">
              <w:rPr>
                <w:rFonts w:eastAsia="Times New Roman"/>
                <w:color w:val="000000"/>
                <w:kern w:val="0"/>
                <w:lang w:val="en-GB"/>
              </w:rPr>
              <w:t> </w:t>
            </w:r>
          </w:p>
        </w:tc>
        <w:tc>
          <w:tcPr>
            <w:tcW w:w="0" w:type="auto"/>
            <w:gridSpan w:val="2"/>
            <w:tcBorders>
              <w:top w:val="nil"/>
              <w:left w:val="nil"/>
              <w:bottom w:val="single" w:sz="4" w:space="0" w:color="auto"/>
              <w:right w:val="nil"/>
            </w:tcBorders>
            <w:noWrap/>
            <w:vAlign w:val="bottom"/>
            <w:hideMark/>
          </w:tcPr>
          <w:p w14:paraId="7D39A030"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 Deviation from baseline</w:t>
            </w:r>
          </w:p>
        </w:tc>
        <w:tc>
          <w:tcPr>
            <w:tcW w:w="0" w:type="auto"/>
            <w:gridSpan w:val="2"/>
            <w:tcBorders>
              <w:top w:val="nil"/>
              <w:left w:val="nil"/>
              <w:bottom w:val="single" w:sz="4" w:space="0" w:color="auto"/>
              <w:right w:val="nil"/>
            </w:tcBorders>
            <w:noWrap/>
            <w:vAlign w:val="bottom"/>
            <w:hideMark/>
          </w:tcPr>
          <w:p w14:paraId="26C35ED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 Deviation from baseline</w:t>
            </w:r>
          </w:p>
        </w:tc>
      </w:tr>
      <w:tr w:rsidR="004543D0" w:rsidRPr="00353AE1" w14:paraId="64B525E7" w14:textId="77777777" w:rsidTr="00E016A0">
        <w:trPr>
          <w:trHeight w:val="300"/>
          <w:jc w:val="center"/>
        </w:trPr>
        <w:tc>
          <w:tcPr>
            <w:tcW w:w="0" w:type="auto"/>
            <w:vMerge w:val="restart"/>
            <w:tcBorders>
              <w:top w:val="nil"/>
              <w:left w:val="nil"/>
              <w:bottom w:val="single" w:sz="4" w:space="0" w:color="000000"/>
              <w:right w:val="nil"/>
            </w:tcBorders>
            <w:noWrap/>
            <w:vAlign w:val="center"/>
            <w:hideMark/>
          </w:tcPr>
          <w:p w14:paraId="663D674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Road Freight</w:t>
            </w:r>
          </w:p>
        </w:tc>
        <w:tc>
          <w:tcPr>
            <w:tcW w:w="0" w:type="auto"/>
            <w:tcBorders>
              <w:top w:val="nil"/>
              <w:left w:val="nil"/>
              <w:bottom w:val="nil"/>
              <w:right w:val="nil"/>
            </w:tcBorders>
            <w:noWrap/>
            <w:vAlign w:val="bottom"/>
            <w:hideMark/>
          </w:tcPr>
          <w:p w14:paraId="5CAF8161"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NSW&amp;ACT</w:t>
            </w:r>
          </w:p>
        </w:tc>
        <w:tc>
          <w:tcPr>
            <w:tcW w:w="0" w:type="auto"/>
            <w:tcBorders>
              <w:top w:val="nil"/>
              <w:left w:val="nil"/>
              <w:bottom w:val="nil"/>
              <w:right w:val="nil"/>
            </w:tcBorders>
            <w:noWrap/>
            <w:vAlign w:val="center"/>
            <w:hideMark/>
          </w:tcPr>
          <w:p w14:paraId="540352B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0.36</w:t>
            </w:r>
          </w:p>
        </w:tc>
        <w:tc>
          <w:tcPr>
            <w:tcW w:w="0" w:type="auto"/>
            <w:tcBorders>
              <w:top w:val="nil"/>
              <w:left w:val="nil"/>
              <w:bottom w:val="nil"/>
              <w:right w:val="nil"/>
            </w:tcBorders>
            <w:noWrap/>
            <w:vAlign w:val="center"/>
            <w:hideMark/>
          </w:tcPr>
          <w:p w14:paraId="1E89D0BD"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0.42</w:t>
            </w:r>
          </w:p>
        </w:tc>
        <w:tc>
          <w:tcPr>
            <w:tcW w:w="0" w:type="auto"/>
            <w:tcBorders>
              <w:top w:val="nil"/>
              <w:left w:val="nil"/>
              <w:bottom w:val="nil"/>
              <w:right w:val="nil"/>
            </w:tcBorders>
            <w:noWrap/>
            <w:vAlign w:val="center"/>
            <w:hideMark/>
          </w:tcPr>
          <w:p w14:paraId="28199F5B"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0.18</w:t>
            </w:r>
          </w:p>
        </w:tc>
        <w:tc>
          <w:tcPr>
            <w:tcW w:w="0" w:type="auto"/>
            <w:tcBorders>
              <w:top w:val="nil"/>
              <w:left w:val="nil"/>
              <w:bottom w:val="nil"/>
              <w:right w:val="nil"/>
            </w:tcBorders>
            <w:noWrap/>
            <w:vAlign w:val="center"/>
            <w:hideMark/>
          </w:tcPr>
          <w:p w14:paraId="7A031E7A"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0.21</w:t>
            </w:r>
          </w:p>
        </w:tc>
      </w:tr>
      <w:tr w:rsidR="004543D0" w:rsidRPr="00353AE1" w14:paraId="78B06455" w14:textId="77777777" w:rsidTr="00E016A0">
        <w:trPr>
          <w:trHeight w:val="300"/>
          <w:jc w:val="center"/>
        </w:trPr>
        <w:tc>
          <w:tcPr>
            <w:tcW w:w="0" w:type="auto"/>
            <w:vMerge/>
            <w:tcBorders>
              <w:top w:val="nil"/>
              <w:left w:val="nil"/>
              <w:bottom w:val="single" w:sz="4" w:space="0" w:color="000000"/>
              <w:right w:val="nil"/>
            </w:tcBorders>
            <w:vAlign w:val="center"/>
            <w:hideMark/>
          </w:tcPr>
          <w:p w14:paraId="147C0B3A"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75C770A8"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VIC</w:t>
            </w:r>
          </w:p>
        </w:tc>
        <w:tc>
          <w:tcPr>
            <w:tcW w:w="0" w:type="auto"/>
            <w:tcBorders>
              <w:top w:val="nil"/>
              <w:left w:val="nil"/>
              <w:bottom w:val="nil"/>
              <w:right w:val="nil"/>
            </w:tcBorders>
            <w:noWrap/>
            <w:vAlign w:val="center"/>
            <w:hideMark/>
          </w:tcPr>
          <w:p w14:paraId="7F39CCE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0.50</w:t>
            </w:r>
          </w:p>
        </w:tc>
        <w:tc>
          <w:tcPr>
            <w:tcW w:w="0" w:type="auto"/>
            <w:tcBorders>
              <w:top w:val="nil"/>
              <w:left w:val="nil"/>
              <w:bottom w:val="nil"/>
              <w:right w:val="nil"/>
            </w:tcBorders>
            <w:noWrap/>
            <w:vAlign w:val="center"/>
            <w:hideMark/>
          </w:tcPr>
          <w:p w14:paraId="677674B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0.54</w:t>
            </w:r>
          </w:p>
        </w:tc>
        <w:tc>
          <w:tcPr>
            <w:tcW w:w="0" w:type="auto"/>
            <w:tcBorders>
              <w:top w:val="nil"/>
              <w:left w:val="nil"/>
              <w:bottom w:val="nil"/>
              <w:right w:val="nil"/>
            </w:tcBorders>
            <w:noWrap/>
            <w:vAlign w:val="center"/>
            <w:hideMark/>
          </w:tcPr>
          <w:p w14:paraId="466940C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0.25</w:t>
            </w:r>
          </w:p>
        </w:tc>
        <w:tc>
          <w:tcPr>
            <w:tcW w:w="0" w:type="auto"/>
            <w:tcBorders>
              <w:top w:val="nil"/>
              <w:left w:val="nil"/>
              <w:bottom w:val="nil"/>
              <w:right w:val="nil"/>
            </w:tcBorders>
            <w:noWrap/>
            <w:vAlign w:val="center"/>
            <w:hideMark/>
          </w:tcPr>
          <w:p w14:paraId="4EE66B5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0.27</w:t>
            </w:r>
          </w:p>
        </w:tc>
      </w:tr>
      <w:tr w:rsidR="004543D0" w:rsidRPr="00353AE1" w14:paraId="13556D28" w14:textId="77777777" w:rsidTr="00E016A0">
        <w:trPr>
          <w:trHeight w:val="300"/>
          <w:jc w:val="center"/>
        </w:trPr>
        <w:tc>
          <w:tcPr>
            <w:tcW w:w="0" w:type="auto"/>
            <w:vMerge/>
            <w:tcBorders>
              <w:top w:val="nil"/>
              <w:left w:val="nil"/>
              <w:bottom w:val="single" w:sz="4" w:space="0" w:color="000000"/>
              <w:right w:val="nil"/>
            </w:tcBorders>
            <w:vAlign w:val="center"/>
            <w:hideMark/>
          </w:tcPr>
          <w:p w14:paraId="22060385"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5BC1DBDB"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QLD</w:t>
            </w:r>
          </w:p>
        </w:tc>
        <w:tc>
          <w:tcPr>
            <w:tcW w:w="0" w:type="auto"/>
            <w:tcBorders>
              <w:top w:val="nil"/>
              <w:left w:val="nil"/>
              <w:bottom w:val="nil"/>
              <w:right w:val="nil"/>
            </w:tcBorders>
            <w:noWrap/>
            <w:vAlign w:val="center"/>
            <w:hideMark/>
          </w:tcPr>
          <w:p w14:paraId="371C58E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0.47</w:t>
            </w:r>
          </w:p>
        </w:tc>
        <w:tc>
          <w:tcPr>
            <w:tcW w:w="0" w:type="auto"/>
            <w:tcBorders>
              <w:top w:val="nil"/>
              <w:left w:val="nil"/>
              <w:bottom w:val="nil"/>
              <w:right w:val="nil"/>
            </w:tcBorders>
            <w:noWrap/>
            <w:vAlign w:val="center"/>
            <w:hideMark/>
          </w:tcPr>
          <w:p w14:paraId="558B1817"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0.55</w:t>
            </w:r>
          </w:p>
        </w:tc>
        <w:tc>
          <w:tcPr>
            <w:tcW w:w="0" w:type="auto"/>
            <w:tcBorders>
              <w:top w:val="nil"/>
              <w:left w:val="nil"/>
              <w:bottom w:val="nil"/>
              <w:right w:val="nil"/>
            </w:tcBorders>
            <w:noWrap/>
            <w:vAlign w:val="center"/>
            <w:hideMark/>
          </w:tcPr>
          <w:p w14:paraId="54280E7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0.24</w:t>
            </w:r>
          </w:p>
        </w:tc>
        <w:tc>
          <w:tcPr>
            <w:tcW w:w="0" w:type="auto"/>
            <w:tcBorders>
              <w:top w:val="nil"/>
              <w:left w:val="nil"/>
              <w:bottom w:val="nil"/>
              <w:right w:val="nil"/>
            </w:tcBorders>
            <w:noWrap/>
            <w:vAlign w:val="center"/>
            <w:hideMark/>
          </w:tcPr>
          <w:p w14:paraId="1FBF921F"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0.28</w:t>
            </w:r>
          </w:p>
        </w:tc>
      </w:tr>
      <w:tr w:rsidR="004543D0" w:rsidRPr="00353AE1" w14:paraId="0AF95202" w14:textId="77777777" w:rsidTr="00E016A0">
        <w:trPr>
          <w:trHeight w:val="300"/>
          <w:jc w:val="center"/>
        </w:trPr>
        <w:tc>
          <w:tcPr>
            <w:tcW w:w="0" w:type="auto"/>
            <w:vMerge/>
            <w:tcBorders>
              <w:top w:val="nil"/>
              <w:left w:val="nil"/>
              <w:bottom w:val="single" w:sz="4" w:space="0" w:color="000000"/>
              <w:right w:val="nil"/>
            </w:tcBorders>
            <w:vAlign w:val="center"/>
            <w:hideMark/>
          </w:tcPr>
          <w:p w14:paraId="4F494C5B"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4A031B12"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SA</w:t>
            </w:r>
          </w:p>
        </w:tc>
        <w:tc>
          <w:tcPr>
            <w:tcW w:w="0" w:type="auto"/>
            <w:tcBorders>
              <w:top w:val="nil"/>
              <w:left w:val="nil"/>
              <w:bottom w:val="nil"/>
              <w:right w:val="nil"/>
            </w:tcBorders>
            <w:noWrap/>
            <w:vAlign w:val="center"/>
            <w:hideMark/>
          </w:tcPr>
          <w:p w14:paraId="74325D79"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0.57</w:t>
            </w:r>
          </w:p>
        </w:tc>
        <w:tc>
          <w:tcPr>
            <w:tcW w:w="0" w:type="auto"/>
            <w:tcBorders>
              <w:top w:val="nil"/>
              <w:left w:val="nil"/>
              <w:bottom w:val="nil"/>
              <w:right w:val="nil"/>
            </w:tcBorders>
            <w:noWrap/>
            <w:vAlign w:val="center"/>
            <w:hideMark/>
          </w:tcPr>
          <w:p w14:paraId="4B38E64A"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0.63</w:t>
            </w:r>
          </w:p>
        </w:tc>
        <w:tc>
          <w:tcPr>
            <w:tcW w:w="0" w:type="auto"/>
            <w:tcBorders>
              <w:top w:val="nil"/>
              <w:left w:val="nil"/>
              <w:bottom w:val="nil"/>
              <w:right w:val="nil"/>
            </w:tcBorders>
            <w:noWrap/>
            <w:vAlign w:val="center"/>
            <w:hideMark/>
          </w:tcPr>
          <w:p w14:paraId="60E77E1F"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0.28</w:t>
            </w:r>
          </w:p>
        </w:tc>
        <w:tc>
          <w:tcPr>
            <w:tcW w:w="0" w:type="auto"/>
            <w:tcBorders>
              <w:top w:val="nil"/>
              <w:left w:val="nil"/>
              <w:bottom w:val="nil"/>
              <w:right w:val="nil"/>
            </w:tcBorders>
            <w:noWrap/>
            <w:vAlign w:val="center"/>
            <w:hideMark/>
          </w:tcPr>
          <w:p w14:paraId="2BDE51EA"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0.31</w:t>
            </w:r>
          </w:p>
        </w:tc>
      </w:tr>
      <w:tr w:rsidR="004543D0" w:rsidRPr="00353AE1" w14:paraId="6F801318" w14:textId="77777777" w:rsidTr="00E016A0">
        <w:trPr>
          <w:trHeight w:val="300"/>
          <w:jc w:val="center"/>
        </w:trPr>
        <w:tc>
          <w:tcPr>
            <w:tcW w:w="0" w:type="auto"/>
            <w:vMerge/>
            <w:tcBorders>
              <w:top w:val="nil"/>
              <w:left w:val="nil"/>
              <w:bottom w:val="single" w:sz="4" w:space="0" w:color="000000"/>
              <w:right w:val="nil"/>
            </w:tcBorders>
            <w:vAlign w:val="center"/>
            <w:hideMark/>
          </w:tcPr>
          <w:p w14:paraId="19CBBB98"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37E877C8"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TAS</w:t>
            </w:r>
          </w:p>
        </w:tc>
        <w:tc>
          <w:tcPr>
            <w:tcW w:w="0" w:type="auto"/>
            <w:tcBorders>
              <w:top w:val="nil"/>
              <w:left w:val="nil"/>
              <w:bottom w:val="nil"/>
              <w:right w:val="nil"/>
            </w:tcBorders>
            <w:noWrap/>
            <w:vAlign w:val="center"/>
            <w:hideMark/>
          </w:tcPr>
          <w:p w14:paraId="6C480B0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0.67</w:t>
            </w:r>
          </w:p>
        </w:tc>
        <w:tc>
          <w:tcPr>
            <w:tcW w:w="0" w:type="auto"/>
            <w:tcBorders>
              <w:top w:val="nil"/>
              <w:left w:val="nil"/>
              <w:bottom w:val="nil"/>
              <w:right w:val="nil"/>
            </w:tcBorders>
            <w:noWrap/>
            <w:vAlign w:val="center"/>
            <w:hideMark/>
          </w:tcPr>
          <w:p w14:paraId="22DBB71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0.75</w:t>
            </w:r>
          </w:p>
        </w:tc>
        <w:tc>
          <w:tcPr>
            <w:tcW w:w="0" w:type="auto"/>
            <w:tcBorders>
              <w:top w:val="nil"/>
              <w:left w:val="nil"/>
              <w:bottom w:val="nil"/>
              <w:right w:val="nil"/>
            </w:tcBorders>
            <w:noWrap/>
            <w:vAlign w:val="center"/>
            <w:hideMark/>
          </w:tcPr>
          <w:p w14:paraId="620B424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0.34</w:t>
            </w:r>
          </w:p>
        </w:tc>
        <w:tc>
          <w:tcPr>
            <w:tcW w:w="0" w:type="auto"/>
            <w:tcBorders>
              <w:top w:val="nil"/>
              <w:left w:val="nil"/>
              <w:bottom w:val="nil"/>
              <w:right w:val="nil"/>
            </w:tcBorders>
            <w:noWrap/>
            <w:vAlign w:val="center"/>
            <w:hideMark/>
          </w:tcPr>
          <w:p w14:paraId="64FA4042"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0.37</w:t>
            </w:r>
          </w:p>
        </w:tc>
      </w:tr>
      <w:tr w:rsidR="004543D0" w:rsidRPr="00353AE1" w14:paraId="3673DA87" w14:textId="77777777" w:rsidTr="00E016A0">
        <w:trPr>
          <w:trHeight w:val="300"/>
          <w:jc w:val="center"/>
        </w:trPr>
        <w:tc>
          <w:tcPr>
            <w:tcW w:w="0" w:type="auto"/>
            <w:vMerge/>
            <w:tcBorders>
              <w:top w:val="nil"/>
              <w:left w:val="nil"/>
              <w:bottom w:val="single" w:sz="4" w:space="0" w:color="000000"/>
              <w:right w:val="nil"/>
            </w:tcBorders>
            <w:vAlign w:val="center"/>
            <w:hideMark/>
          </w:tcPr>
          <w:p w14:paraId="1F6967DF"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single" w:sz="4" w:space="0" w:color="auto"/>
              <w:right w:val="nil"/>
            </w:tcBorders>
            <w:noWrap/>
            <w:vAlign w:val="bottom"/>
            <w:hideMark/>
          </w:tcPr>
          <w:p w14:paraId="29C29C12"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WA&amp;NT</w:t>
            </w:r>
          </w:p>
        </w:tc>
        <w:tc>
          <w:tcPr>
            <w:tcW w:w="0" w:type="auto"/>
            <w:tcBorders>
              <w:top w:val="nil"/>
              <w:left w:val="nil"/>
              <w:bottom w:val="single" w:sz="4" w:space="0" w:color="auto"/>
              <w:right w:val="nil"/>
            </w:tcBorders>
            <w:noWrap/>
            <w:vAlign w:val="center"/>
            <w:hideMark/>
          </w:tcPr>
          <w:p w14:paraId="29EA3203"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0.00</w:t>
            </w:r>
          </w:p>
        </w:tc>
        <w:tc>
          <w:tcPr>
            <w:tcW w:w="0" w:type="auto"/>
            <w:tcBorders>
              <w:top w:val="nil"/>
              <w:left w:val="nil"/>
              <w:bottom w:val="single" w:sz="4" w:space="0" w:color="auto"/>
              <w:right w:val="nil"/>
            </w:tcBorders>
            <w:noWrap/>
            <w:vAlign w:val="center"/>
            <w:hideMark/>
          </w:tcPr>
          <w:p w14:paraId="188D5DE8"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-0.02</w:t>
            </w:r>
          </w:p>
        </w:tc>
        <w:tc>
          <w:tcPr>
            <w:tcW w:w="0" w:type="auto"/>
            <w:tcBorders>
              <w:top w:val="nil"/>
              <w:left w:val="nil"/>
              <w:bottom w:val="single" w:sz="4" w:space="0" w:color="auto"/>
              <w:right w:val="nil"/>
            </w:tcBorders>
            <w:noWrap/>
            <w:vAlign w:val="center"/>
            <w:hideMark/>
          </w:tcPr>
          <w:p w14:paraId="02584555"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0.00</w:t>
            </w:r>
          </w:p>
        </w:tc>
        <w:tc>
          <w:tcPr>
            <w:tcW w:w="0" w:type="auto"/>
            <w:tcBorders>
              <w:top w:val="nil"/>
              <w:left w:val="nil"/>
              <w:bottom w:val="single" w:sz="4" w:space="0" w:color="auto"/>
              <w:right w:val="nil"/>
            </w:tcBorders>
            <w:noWrap/>
            <w:vAlign w:val="center"/>
            <w:hideMark/>
          </w:tcPr>
          <w:p w14:paraId="0F687C43"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-0.01</w:t>
            </w:r>
          </w:p>
        </w:tc>
      </w:tr>
      <w:tr w:rsidR="004543D0" w:rsidRPr="00353AE1" w14:paraId="6AC14BD2" w14:textId="77777777" w:rsidTr="00E016A0">
        <w:trPr>
          <w:trHeight w:val="300"/>
          <w:jc w:val="center"/>
        </w:trPr>
        <w:tc>
          <w:tcPr>
            <w:tcW w:w="0" w:type="auto"/>
            <w:vMerge w:val="restart"/>
            <w:tcBorders>
              <w:top w:val="nil"/>
              <w:left w:val="nil"/>
              <w:bottom w:val="double" w:sz="6" w:space="0" w:color="000000"/>
              <w:right w:val="nil"/>
            </w:tcBorders>
            <w:noWrap/>
            <w:vAlign w:val="center"/>
            <w:hideMark/>
          </w:tcPr>
          <w:p w14:paraId="159342C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Heavy Vehicle</w:t>
            </w:r>
          </w:p>
        </w:tc>
        <w:tc>
          <w:tcPr>
            <w:tcW w:w="0" w:type="auto"/>
            <w:tcBorders>
              <w:top w:val="nil"/>
              <w:left w:val="nil"/>
              <w:bottom w:val="nil"/>
              <w:right w:val="nil"/>
            </w:tcBorders>
            <w:noWrap/>
            <w:vAlign w:val="bottom"/>
            <w:hideMark/>
          </w:tcPr>
          <w:p w14:paraId="4D7504E3"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NSW&amp;ACT</w:t>
            </w:r>
          </w:p>
        </w:tc>
        <w:tc>
          <w:tcPr>
            <w:tcW w:w="0" w:type="auto"/>
            <w:tcBorders>
              <w:top w:val="nil"/>
              <w:left w:val="nil"/>
              <w:bottom w:val="nil"/>
              <w:right w:val="nil"/>
            </w:tcBorders>
            <w:noWrap/>
            <w:vAlign w:val="center"/>
            <w:hideMark/>
          </w:tcPr>
          <w:p w14:paraId="1D494E56"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-0.17</w:t>
            </w:r>
          </w:p>
        </w:tc>
        <w:tc>
          <w:tcPr>
            <w:tcW w:w="0" w:type="auto"/>
            <w:tcBorders>
              <w:top w:val="nil"/>
              <w:left w:val="nil"/>
              <w:bottom w:val="nil"/>
              <w:right w:val="nil"/>
            </w:tcBorders>
            <w:noWrap/>
            <w:vAlign w:val="center"/>
            <w:hideMark/>
          </w:tcPr>
          <w:p w14:paraId="204EF2DD"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-0.16</w:t>
            </w:r>
          </w:p>
        </w:tc>
        <w:tc>
          <w:tcPr>
            <w:tcW w:w="0" w:type="auto"/>
            <w:tcBorders>
              <w:top w:val="nil"/>
              <w:left w:val="nil"/>
              <w:bottom w:val="nil"/>
              <w:right w:val="nil"/>
            </w:tcBorders>
            <w:noWrap/>
            <w:vAlign w:val="center"/>
            <w:hideMark/>
          </w:tcPr>
          <w:p w14:paraId="0FC7D5EA"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-0.08</w:t>
            </w:r>
          </w:p>
        </w:tc>
        <w:tc>
          <w:tcPr>
            <w:tcW w:w="0" w:type="auto"/>
            <w:tcBorders>
              <w:top w:val="nil"/>
              <w:left w:val="nil"/>
              <w:bottom w:val="nil"/>
              <w:right w:val="nil"/>
            </w:tcBorders>
            <w:noWrap/>
            <w:vAlign w:val="center"/>
            <w:hideMark/>
          </w:tcPr>
          <w:p w14:paraId="00662C62"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-0.08</w:t>
            </w:r>
          </w:p>
        </w:tc>
      </w:tr>
      <w:tr w:rsidR="004543D0" w:rsidRPr="00353AE1" w14:paraId="54A96E7F" w14:textId="77777777" w:rsidTr="00E016A0">
        <w:trPr>
          <w:trHeight w:val="300"/>
          <w:jc w:val="center"/>
        </w:trPr>
        <w:tc>
          <w:tcPr>
            <w:tcW w:w="0" w:type="auto"/>
            <w:vMerge/>
            <w:tcBorders>
              <w:top w:val="nil"/>
              <w:left w:val="nil"/>
              <w:bottom w:val="double" w:sz="6" w:space="0" w:color="000000"/>
              <w:right w:val="nil"/>
            </w:tcBorders>
            <w:vAlign w:val="center"/>
            <w:hideMark/>
          </w:tcPr>
          <w:p w14:paraId="1486952E"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0A15B811"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VIC</w:t>
            </w:r>
          </w:p>
        </w:tc>
        <w:tc>
          <w:tcPr>
            <w:tcW w:w="0" w:type="auto"/>
            <w:tcBorders>
              <w:top w:val="nil"/>
              <w:left w:val="nil"/>
              <w:bottom w:val="nil"/>
              <w:right w:val="nil"/>
            </w:tcBorders>
            <w:noWrap/>
            <w:vAlign w:val="center"/>
            <w:hideMark/>
          </w:tcPr>
          <w:p w14:paraId="7E431A0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-0.13</w:t>
            </w:r>
          </w:p>
        </w:tc>
        <w:tc>
          <w:tcPr>
            <w:tcW w:w="0" w:type="auto"/>
            <w:tcBorders>
              <w:top w:val="nil"/>
              <w:left w:val="nil"/>
              <w:bottom w:val="nil"/>
              <w:right w:val="nil"/>
            </w:tcBorders>
            <w:noWrap/>
            <w:vAlign w:val="center"/>
            <w:hideMark/>
          </w:tcPr>
          <w:p w14:paraId="6F4B2F33"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-0.13</w:t>
            </w:r>
          </w:p>
        </w:tc>
        <w:tc>
          <w:tcPr>
            <w:tcW w:w="0" w:type="auto"/>
            <w:tcBorders>
              <w:top w:val="nil"/>
              <w:left w:val="nil"/>
              <w:bottom w:val="nil"/>
              <w:right w:val="nil"/>
            </w:tcBorders>
            <w:noWrap/>
            <w:vAlign w:val="center"/>
            <w:hideMark/>
          </w:tcPr>
          <w:p w14:paraId="325EA6A6"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-0.06</w:t>
            </w:r>
          </w:p>
        </w:tc>
        <w:tc>
          <w:tcPr>
            <w:tcW w:w="0" w:type="auto"/>
            <w:tcBorders>
              <w:top w:val="nil"/>
              <w:left w:val="nil"/>
              <w:bottom w:val="nil"/>
              <w:right w:val="nil"/>
            </w:tcBorders>
            <w:noWrap/>
            <w:vAlign w:val="center"/>
            <w:hideMark/>
          </w:tcPr>
          <w:p w14:paraId="742BF02A"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-0.07</w:t>
            </w:r>
          </w:p>
        </w:tc>
      </w:tr>
      <w:tr w:rsidR="004543D0" w:rsidRPr="00353AE1" w14:paraId="6B068AF2" w14:textId="77777777" w:rsidTr="00E016A0">
        <w:trPr>
          <w:trHeight w:val="300"/>
          <w:jc w:val="center"/>
        </w:trPr>
        <w:tc>
          <w:tcPr>
            <w:tcW w:w="0" w:type="auto"/>
            <w:vMerge/>
            <w:tcBorders>
              <w:top w:val="nil"/>
              <w:left w:val="nil"/>
              <w:bottom w:val="double" w:sz="6" w:space="0" w:color="000000"/>
              <w:right w:val="nil"/>
            </w:tcBorders>
            <w:vAlign w:val="center"/>
            <w:hideMark/>
          </w:tcPr>
          <w:p w14:paraId="0300E611"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5486CB2E"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QLD</w:t>
            </w:r>
          </w:p>
        </w:tc>
        <w:tc>
          <w:tcPr>
            <w:tcW w:w="0" w:type="auto"/>
            <w:tcBorders>
              <w:top w:val="nil"/>
              <w:left w:val="nil"/>
              <w:bottom w:val="nil"/>
              <w:right w:val="nil"/>
            </w:tcBorders>
            <w:noWrap/>
            <w:vAlign w:val="center"/>
            <w:hideMark/>
          </w:tcPr>
          <w:p w14:paraId="522D759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-0.22</w:t>
            </w:r>
          </w:p>
        </w:tc>
        <w:tc>
          <w:tcPr>
            <w:tcW w:w="0" w:type="auto"/>
            <w:tcBorders>
              <w:top w:val="nil"/>
              <w:left w:val="nil"/>
              <w:bottom w:val="nil"/>
              <w:right w:val="nil"/>
            </w:tcBorders>
            <w:noWrap/>
            <w:vAlign w:val="center"/>
            <w:hideMark/>
          </w:tcPr>
          <w:p w14:paraId="3505C09B"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-0.19</w:t>
            </w:r>
          </w:p>
        </w:tc>
        <w:tc>
          <w:tcPr>
            <w:tcW w:w="0" w:type="auto"/>
            <w:tcBorders>
              <w:top w:val="nil"/>
              <w:left w:val="nil"/>
              <w:bottom w:val="nil"/>
              <w:right w:val="nil"/>
            </w:tcBorders>
            <w:noWrap/>
            <w:vAlign w:val="center"/>
            <w:hideMark/>
          </w:tcPr>
          <w:p w14:paraId="38BAD978"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-0.11</w:t>
            </w:r>
          </w:p>
        </w:tc>
        <w:tc>
          <w:tcPr>
            <w:tcW w:w="0" w:type="auto"/>
            <w:tcBorders>
              <w:top w:val="nil"/>
              <w:left w:val="nil"/>
              <w:bottom w:val="nil"/>
              <w:right w:val="nil"/>
            </w:tcBorders>
            <w:noWrap/>
            <w:vAlign w:val="center"/>
            <w:hideMark/>
          </w:tcPr>
          <w:p w14:paraId="73359E4B"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-0.10</w:t>
            </w:r>
          </w:p>
        </w:tc>
      </w:tr>
      <w:tr w:rsidR="004543D0" w:rsidRPr="00353AE1" w14:paraId="43DFC38F" w14:textId="77777777" w:rsidTr="00E016A0">
        <w:trPr>
          <w:trHeight w:val="300"/>
          <w:jc w:val="center"/>
        </w:trPr>
        <w:tc>
          <w:tcPr>
            <w:tcW w:w="0" w:type="auto"/>
            <w:vMerge/>
            <w:tcBorders>
              <w:top w:val="nil"/>
              <w:left w:val="nil"/>
              <w:bottom w:val="double" w:sz="6" w:space="0" w:color="000000"/>
              <w:right w:val="nil"/>
            </w:tcBorders>
            <w:vAlign w:val="center"/>
            <w:hideMark/>
          </w:tcPr>
          <w:p w14:paraId="750D4EBC"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1A9286FF"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SA</w:t>
            </w:r>
          </w:p>
        </w:tc>
        <w:tc>
          <w:tcPr>
            <w:tcW w:w="0" w:type="auto"/>
            <w:tcBorders>
              <w:top w:val="nil"/>
              <w:left w:val="nil"/>
              <w:bottom w:val="nil"/>
              <w:right w:val="nil"/>
            </w:tcBorders>
            <w:noWrap/>
            <w:vAlign w:val="center"/>
            <w:hideMark/>
          </w:tcPr>
          <w:p w14:paraId="0251B27E"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-0.21</w:t>
            </w:r>
          </w:p>
        </w:tc>
        <w:tc>
          <w:tcPr>
            <w:tcW w:w="0" w:type="auto"/>
            <w:tcBorders>
              <w:top w:val="nil"/>
              <w:left w:val="nil"/>
              <w:bottom w:val="nil"/>
              <w:right w:val="nil"/>
            </w:tcBorders>
            <w:noWrap/>
            <w:vAlign w:val="center"/>
            <w:hideMark/>
          </w:tcPr>
          <w:p w14:paraId="133934B0"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-0.21</w:t>
            </w:r>
          </w:p>
        </w:tc>
        <w:tc>
          <w:tcPr>
            <w:tcW w:w="0" w:type="auto"/>
            <w:tcBorders>
              <w:top w:val="nil"/>
              <w:left w:val="nil"/>
              <w:bottom w:val="nil"/>
              <w:right w:val="nil"/>
            </w:tcBorders>
            <w:noWrap/>
            <w:vAlign w:val="center"/>
            <w:hideMark/>
          </w:tcPr>
          <w:p w14:paraId="14A6FE29"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-0.11</w:t>
            </w:r>
          </w:p>
        </w:tc>
        <w:tc>
          <w:tcPr>
            <w:tcW w:w="0" w:type="auto"/>
            <w:tcBorders>
              <w:top w:val="nil"/>
              <w:left w:val="nil"/>
              <w:bottom w:val="nil"/>
              <w:right w:val="nil"/>
            </w:tcBorders>
            <w:noWrap/>
            <w:vAlign w:val="center"/>
            <w:hideMark/>
          </w:tcPr>
          <w:p w14:paraId="65713A8B"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-0.10</w:t>
            </w:r>
          </w:p>
        </w:tc>
      </w:tr>
      <w:tr w:rsidR="004543D0" w:rsidRPr="00353AE1" w14:paraId="044A6A07" w14:textId="77777777" w:rsidTr="00E016A0">
        <w:trPr>
          <w:trHeight w:val="300"/>
          <w:jc w:val="center"/>
        </w:trPr>
        <w:tc>
          <w:tcPr>
            <w:tcW w:w="0" w:type="auto"/>
            <w:vMerge/>
            <w:tcBorders>
              <w:top w:val="nil"/>
              <w:left w:val="nil"/>
              <w:bottom w:val="double" w:sz="6" w:space="0" w:color="000000"/>
              <w:right w:val="nil"/>
            </w:tcBorders>
            <w:vAlign w:val="center"/>
            <w:hideMark/>
          </w:tcPr>
          <w:p w14:paraId="7A5E0F5A"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nil"/>
              <w:right w:val="nil"/>
            </w:tcBorders>
            <w:noWrap/>
            <w:vAlign w:val="bottom"/>
            <w:hideMark/>
          </w:tcPr>
          <w:p w14:paraId="057FD7B3"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TAS</w:t>
            </w:r>
          </w:p>
        </w:tc>
        <w:tc>
          <w:tcPr>
            <w:tcW w:w="0" w:type="auto"/>
            <w:tcBorders>
              <w:top w:val="nil"/>
              <w:left w:val="nil"/>
              <w:bottom w:val="nil"/>
              <w:right w:val="nil"/>
            </w:tcBorders>
            <w:noWrap/>
            <w:vAlign w:val="center"/>
            <w:hideMark/>
          </w:tcPr>
          <w:p w14:paraId="1482A600"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-0.11</w:t>
            </w:r>
          </w:p>
        </w:tc>
        <w:tc>
          <w:tcPr>
            <w:tcW w:w="0" w:type="auto"/>
            <w:tcBorders>
              <w:top w:val="nil"/>
              <w:left w:val="nil"/>
              <w:bottom w:val="nil"/>
              <w:right w:val="nil"/>
            </w:tcBorders>
            <w:noWrap/>
            <w:vAlign w:val="center"/>
            <w:hideMark/>
          </w:tcPr>
          <w:p w14:paraId="73271BC6"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-0.04</w:t>
            </w:r>
          </w:p>
        </w:tc>
        <w:tc>
          <w:tcPr>
            <w:tcW w:w="0" w:type="auto"/>
            <w:tcBorders>
              <w:top w:val="nil"/>
              <w:left w:val="nil"/>
              <w:bottom w:val="nil"/>
              <w:right w:val="nil"/>
            </w:tcBorders>
            <w:noWrap/>
            <w:vAlign w:val="center"/>
            <w:hideMark/>
          </w:tcPr>
          <w:p w14:paraId="3E616999"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-0.06</w:t>
            </w:r>
          </w:p>
        </w:tc>
        <w:tc>
          <w:tcPr>
            <w:tcW w:w="0" w:type="auto"/>
            <w:tcBorders>
              <w:top w:val="nil"/>
              <w:left w:val="nil"/>
              <w:bottom w:val="nil"/>
              <w:right w:val="nil"/>
            </w:tcBorders>
            <w:noWrap/>
            <w:vAlign w:val="center"/>
            <w:hideMark/>
          </w:tcPr>
          <w:p w14:paraId="3A1CF75C"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-0.02</w:t>
            </w:r>
          </w:p>
        </w:tc>
      </w:tr>
      <w:tr w:rsidR="004543D0" w:rsidRPr="00353AE1" w14:paraId="0C3DA2FC" w14:textId="77777777" w:rsidTr="00E016A0">
        <w:trPr>
          <w:trHeight w:val="315"/>
          <w:jc w:val="center"/>
        </w:trPr>
        <w:tc>
          <w:tcPr>
            <w:tcW w:w="0" w:type="auto"/>
            <w:vMerge/>
            <w:tcBorders>
              <w:top w:val="nil"/>
              <w:left w:val="nil"/>
              <w:bottom w:val="double" w:sz="6" w:space="0" w:color="000000"/>
              <w:right w:val="nil"/>
            </w:tcBorders>
            <w:vAlign w:val="center"/>
            <w:hideMark/>
          </w:tcPr>
          <w:p w14:paraId="35D24DB5" w14:textId="77777777" w:rsidR="004543D0" w:rsidRPr="00353AE1" w:rsidRDefault="004543D0" w:rsidP="004543D0">
            <w:pPr>
              <w:widowControl/>
              <w:jc w:val="left"/>
              <w:rPr>
                <w:rFonts w:eastAsia="Times New Roman"/>
                <w:color w:val="000000"/>
                <w:kern w:val="0"/>
                <w:lang w:val="en-GB"/>
              </w:rPr>
            </w:pPr>
          </w:p>
        </w:tc>
        <w:tc>
          <w:tcPr>
            <w:tcW w:w="0" w:type="auto"/>
            <w:tcBorders>
              <w:top w:val="nil"/>
              <w:left w:val="nil"/>
              <w:bottom w:val="double" w:sz="6" w:space="0" w:color="auto"/>
              <w:right w:val="nil"/>
            </w:tcBorders>
            <w:noWrap/>
            <w:vAlign w:val="bottom"/>
            <w:hideMark/>
          </w:tcPr>
          <w:p w14:paraId="5FFBF750"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WA&amp;NT</w:t>
            </w:r>
          </w:p>
        </w:tc>
        <w:tc>
          <w:tcPr>
            <w:tcW w:w="0" w:type="auto"/>
            <w:tcBorders>
              <w:top w:val="nil"/>
              <w:left w:val="nil"/>
              <w:bottom w:val="double" w:sz="6" w:space="0" w:color="auto"/>
              <w:right w:val="nil"/>
            </w:tcBorders>
            <w:noWrap/>
            <w:vAlign w:val="center"/>
            <w:hideMark/>
          </w:tcPr>
          <w:p w14:paraId="604B9ABE"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0.01</w:t>
            </w:r>
          </w:p>
        </w:tc>
        <w:tc>
          <w:tcPr>
            <w:tcW w:w="0" w:type="auto"/>
            <w:tcBorders>
              <w:top w:val="nil"/>
              <w:left w:val="nil"/>
              <w:bottom w:val="double" w:sz="6" w:space="0" w:color="auto"/>
              <w:right w:val="nil"/>
            </w:tcBorders>
            <w:noWrap/>
            <w:vAlign w:val="center"/>
            <w:hideMark/>
          </w:tcPr>
          <w:p w14:paraId="4F7C4D54"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-0.01</w:t>
            </w:r>
          </w:p>
        </w:tc>
        <w:tc>
          <w:tcPr>
            <w:tcW w:w="0" w:type="auto"/>
            <w:tcBorders>
              <w:top w:val="nil"/>
              <w:left w:val="nil"/>
              <w:bottom w:val="double" w:sz="6" w:space="0" w:color="auto"/>
              <w:right w:val="nil"/>
            </w:tcBorders>
            <w:noWrap/>
            <w:vAlign w:val="center"/>
            <w:hideMark/>
          </w:tcPr>
          <w:p w14:paraId="6EAF7557"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0.00</w:t>
            </w:r>
          </w:p>
        </w:tc>
        <w:tc>
          <w:tcPr>
            <w:tcW w:w="0" w:type="auto"/>
            <w:tcBorders>
              <w:top w:val="nil"/>
              <w:left w:val="nil"/>
              <w:bottom w:val="double" w:sz="6" w:space="0" w:color="auto"/>
              <w:right w:val="nil"/>
            </w:tcBorders>
            <w:noWrap/>
            <w:vAlign w:val="center"/>
            <w:hideMark/>
          </w:tcPr>
          <w:p w14:paraId="5C358509" w14:textId="77777777" w:rsidR="004543D0" w:rsidRPr="00353AE1" w:rsidRDefault="004543D0" w:rsidP="004543D0">
            <w:pPr>
              <w:widowControl/>
              <w:jc w:val="center"/>
              <w:rPr>
                <w:rFonts w:eastAsia="Times New Roman"/>
                <w:color w:val="000000"/>
                <w:kern w:val="0"/>
                <w:lang w:val="en-GB"/>
              </w:rPr>
            </w:pPr>
            <w:r w:rsidRPr="00353AE1">
              <w:rPr>
                <w:rFonts w:eastAsia="Times New Roman"/>
                <w:color w:val="000000"/>
                <w:kern w:val="0"/>
                <w:lang w:val="en-GB"/>
              </w:rPr>
              <w:t>0.00</w:t>
            </w:r>
          </w:p>
        </w:tc>
      </w:tr>
    </w:tbl>
    <w:p w14:paraId="5505A6ED" w14:textId="77777777" w:rsidR="004543D0" w:rsidRPr="00353AE1" w:rsidRDefault="004543D0" w:rsidP="00E016A0"/>
    <w:p w14:paraId="02F22883" w14:textId="77777777" w:rsidR="00187C37" w:rsidRPr="00353AE1" w:rsidRDefault="00187C37" w:rsidP="006B3B15">
      <w:pPr>
        <w:widowControl/>
        <w:spacing w:after="120"/>
        <w:jc w:val="left"/>
      </w:pPr>
    </w:p>
    <w:p w14:paraId="2230F9C8" w14:textId="7EB0703F" w:rsidR="00787B52" w:rsidRPr="00353AE1" w:rsidRDefault="003E14CE" w:rsidP="006B3B15">
      <w:pPr>
        <w:spacing w:after="120"/>
        <w:jc w:val="left"/>
      </w:pPr>
      <w:r w:rsidRPr="00353AE1">
        <w:t xml:space="preserve">All other NAAS states also </w:t>
      </w:r>
      <w:r w:rsidR="009C7484" w:rsidRPr="00353AE1">
        <w:t>record</w:t>
      </w:r>
      <w:r w:rsidRPr="00353AE1">
        <w:t xml:space="preserve"> </w:t>
      </w:r>
      <w:r w:rsidR="00137BD1" w:rsidRPr="00353AE1">
        <w:t xml:space="preserve">positive </w:t>
      </w:r>
      <w:r w:rsidR="00C41397" w:rsidRPr="00353AE1">
        <w:t>economic outcomes</w:t>
      </w:r>
      <w:r w:rsidR="00137BD1" w:rsidRPr="00353AE1">
        <w:t xml:space="preserve">. Real GSP rises by 0.07 per cent </w:t>
      </w:r>
      <w:r w:rsidR="00772E59" w:rsidRPr="00353AE1">
        <w:t xml:space="preserve">above baseline </w:t>
      </w:r>
      <w:r w:rsidR="00137BD1" w:rsidRPr="00353AE1">
        <w:t xml:space="preserve">in </w:t>
      </w:r>
      <w:r w:rsidR="0088759D" w:rsidRPr="00353AE1">
        <w:t>SA</w:t>
      </w:r>
      <w:r w:rsidR="00137BD1" w:rsidRPr="00353AE1">
        <w:t xml:space="preserve"> in 2026 and remains </w:t>
      </w:r>
      <w:r w:rsidR="00772E59" w:rsidRPr="00353AE1">
        <w:t xml:space="preserve">at this level </w:t>
      </w:r>
      <w:r w:rsidR="00137BD1" w:rsidRPr="00353AE1">
        <w:t xml:space="preserve">by 2040. </w:t>
      </w:r>
      <w:r w:rsidR="00EA3D08" w:rsidRPr="00353AE1">
        <w:t>QLD</w:t>
      </w:r>
      <w:r w:rsidR="00137BD1" w:rsidRPr="00353AE1">
        <w:t xml:space="preserve"> real GSP rises by 0.06 per cent in 2026 and 0.08 per cent by 2040. NSW&amp;ACT and </w:t>
      </w:r>
      <w:r w:rsidR="005F3963" w:rsidRPr="00353AE1">
        <w:t xml:space="preserve">VIC </w:t>
      </w:r>
      <w:r w:rsidR="00137BD1" w:rsidRPr="00353AE1">
        <w:t xml:space="preserve">record smaller but positive gains, with real GSP rising by around 0.04 per cent on impact. </w:t>
      </w:r>
      <w:r w:rsidR="00397BC5" w:rsidRPr="00353AE1">
        <w:t>Like</w:t>
      </w:r>
      <w:r w:rsidR="00CB3CD2" w:rsidRPr="00353AE1">
        <w:t xml:space="preserve"> the discussion in Scenario 1, t</w:t>
      </w:r>
      <w:r w:rsidR="00137BD1" w:rsidRPr="00353AE1">
        <w:t>hese differences reflect variation in regional freight intensity, industry structure and trade exposure</w:t>
      </w:r>
      <w:r w:rsidR="00CB3CD2" w:rsidRPr="00353AE1">
        <w:t xml:space="preserve"> of the NAAS states</w:t>
      </w:r>
      <w:r w:rsidR="00137BD1" w:rsidRPr="00353AE1">
        <w:t>.</w:t>
      </w:r>
    </w:p>
    <w:p w14:paraId="5ABB25FC" w14:textId="77777777" w:rsidR="003D70D9" w:rsidRPr="00353AE1" w:rsidRDefault="003D70D9" w:rsidP="003D70D9">
      <w:pPr>
        <w:spacing w:after="120"/>
        <w:jc w:val="left"/>
      </w:pPr>
      <w:r w:rsidRPr="00353AE1">
        <w:t>In WA&amp;NT, real GSP remains at baseline in 2026 and falls to 0.02 per cent below baseline by 2040. Household consumption rises slightly above baseline, benefiting from lower output prices in the NAAS states. By contrast, WA&amp;NT export volumes fall by 0.05 per cent in 2026 and 0.10 per cent by 2040. This reflects a loss of relative competitiveness compared with NAAS states, where Road Freight costs fall directly. In other words, WA&amp;NT is affected indirectly through relative cost changes and resource reallocation elsewhere in the national economy. This negative spillover effect is also reflected in the reduced size of the working-age population, as labour moves to other states for higher relative wages.</w:t>
      </w:r>
    </w:p>
    <w:p w14:paraId="6F73DD13" w14:textId="77777777" w:rsidR="007934D5" w:rsidRPr="00353AE1" w:rsidRDefault="007934D5" w:rsidP="003D70D9">
      <w:pPr>
        <w:spacing w:after="120"/>
        <w:jc w:val="left"/>
      </w:pPr>
    </w:p>
    <w:p w14:paraId="42940A52" w14:textId="77777777" w:rsidR="007934D5" w:rsidRPr="00353AE1" w:rsidRDefault="007934D5" w:rsidP="003D70D9">
      <w:pPr>
        <w:spacing w:after="120"/>
        <w:jc w:val="left"/>
      </w:pPr>
    </w:p>
    <w:p w14:paraId="2AAA1A2E" w14:textId="77777777" w:rsidR="003D70D9" w:rsidRPr="00353AE1" w:rsidRDefault="003D70D9" w:rsidP="006B3B15">
      <w:pPr>
        <w:spacing w:after="120"/>
        <w:jc w:val="left"/>
      </w:pPr>
    </w:p>
    <w:p w14:paraId="37A9F1E0" w14:textId="306BDD5D" w:rsidR="00D55680" w:rsidRPr="00353AE1" w:rsidRDefault="00D55680" w:rsidP="006B3B15">
      <w:pPr>
        <w:pStyle w:val="Caption"/>
        <w:keepNext/>
        <w:spacing w:after="120"/>
        <w:jc w:val="center"/>
        <w:rPr>
          <w:sz w:val="22"/>
          <w:szCs w:val="22"/>
        </w:rPr>
      </w:pPr>
      <w:bookmarkStart w:id="98" w:name="_Toc230696738"/>
      <w:bookmarkStart w:id="99" w:name="_Toc230710356"/>
      <w:bookmarkStart w:id="100" w:name="_Toc230710402"/>
      <w:bookmarkStart w:id="101" w:name="_Toc230711125"/>
      <w:bookmarkStart w:id="102" w:name="_Toc231907821"/>
      <w:r w:rsidRPr="00353AE1">
        <w:rPr>
          <w:sz w:val="22"/>
          <w:szCs w:val="22"/>
        </w:rPr>
        <w:lastRenderedPageBreak/>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17</w:t>
      </w:r>
      <w:r w:rsidR="00DF6059" w:rsidRPr="00353AE1">
        <w:rPr>
          <w:sz w:val="22"/>
          <w:szCs w:val="22"/>
        </w:rPr>
        <w:fldChar w:fldCharType="end"/>
      </w:r>
      <w:r w:rsidRPr="00353AE1">
        <w:rPr>
          <w:sz w:val="22"/>
          <w:szCs w:val="22"/>
        </w:rPr>
        <w:t>. State Macro</w:t>
      </w:r>
      <w:r w:rsidR="0030668F" w:rsidRPr="00353AE1">
        <w:rPr>
          <w:sz w:val="22"/>
          <w:szCs w:val="22"/>
        </w:rPr>
        <w:t>economic</w:t>
      </w:r>
      <w:r w:rsidRPr="00353AE1">
        <w:rPr>
          <w:sz w:val="22"/>
          <w:szCs w:val="22"/>
        </w:rPr>
        <w:t xml:space="preserve"> Results (Scenario 2)</w:t>
      </w:r>
      <w:bookmarkEnd w:id="98"/>
      <w:bookmarkEnd w:id="99"/>
      <w:bookmarkEnd w:id="100"/>
      <w:bookmarkEnd w:id="101"/>
      <w:bookmarkEnd w:id="102"/>
    </w:p>
    <w:tbl>
      <w:tblPr>
        <w:tblW w:w="0" w:type="auto"/>
        <w:jc w:val="center"/>
        <w:tblLook w:val="04A0" w:firstRow="1" w:lastRow="0" w:firstColumn="1" w:lastColumn="0" w:noHBand="0" w:noVBand="1"/>
      </w:tblPr>
      <w:tblGrid>
        <w:gridCol w:w="2342"/>
        <w:gridCol w:w="986"/>
        <w:gridCol w:w="1091"/>
        <w:gridCol w:w="1091"/>
        <w:gridCol w:w="1091"/>
        <w:gridCol w:w="1091"/>
      </w:tblGrid>
      <w:tr w:rsidR="00452091" w:rsidRPr="00353AE1" w14:paraId="475F5B32" w14:textId="77777777" w:rsidTr="00E016A0">
        <w:trPr>
          <w:trHeight w:val="232"/>
          <w:jc w:val="center"/>
        </w:trPr>
        <w:tc>
          <w:tcPr>
            <w:tcW w:w="0" w:type="auto"/>
            <w:tcBorders>
              <w:top w:val="single" w:sz="4" w:space="0" w:color="auto"/>
              <w:left w:val="nil"/>
              <w:bottom w:val="single" w:sz="4" w:space="0" w:color="auto"/>
              <w:right w:val="nil"/>
            </w:tcBorders>
            <w:noWrap/>
            <w:vAlign w:val="bottom"/>
            <w:hideMark/>
          </w:tcPr>
          <w:p w14:paraId="00B3874F" w14:textId="77777777" w:rsidR="00452091" w:rsidRPr="00E016A0" w:rsidRDefault="00452091" w:rsidP="00E016A0">
            <w:pPr>
              <w:widowControl/>
              <w:spacing w:line="20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State Macro Results</w:t>
            </w:r>
          </w:p>
        </w:tc>
        <w:tc>
          <w:tcPr>
            <w:tcW w:w="0" w:type="auto"/>
            <w:tcBorders>
              <w:top w:val="single" w:sz="4" w:space="0" w:color="auto"/>
              <w:left w:val="nil"/>
              <w:bottom w:val="single" w:sz="4" w:space="0" w:color="auto"/>
              <w:right w:val="nil"/>
            </w:tcBorders>
            <w:noWrap/>
            <w:vAlign w:val="bottom"/>
            <w:hideMark/>
          </w:tcPr>
          <w:p w14:paraId="025A9E3F" w14:textId="77777777" w:rsidR="00452091" w:rsidRPr="00E016A0" w:rsidRDefault="00452091" w:rsidP="00E016A0">
            <w:pPr>
              <w:widowControl/>
              <w:spacing w:line="20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 </w:t>
            </w:r>
          </w:p>
        </w:tc>
        <w:tc>
          <w:tcPr>
            <w:tcW w:w="0" w:type="auto"/>
            <w:gridSpan w:val="2"/>
            <w:tcBorders>
              <w:top w:val="single" w:sz="4" w:space="0" w:color="auto"/>
              <w:left w:val="nil"/>
              <w:bottom w:val="single" w:sz="4" w:space="0" w:color="auto"/>
              <w:right w:val="nil"/>
            </w:tcBorders>
            <w:noWrap/>
            <w:vAlign w:val="bottom"/>
            <w:hideMark/>
          </w:tcPr>
          <w:p w14:paraId="6975815F" w14:textId="77777777" w:rsidR="00452091" w:rsidRPr="00E016A0" w:rsidRDefault="00452091" w:rsidP="00E016A0">
            <w:pPr>
              <w:widowControl/>
              <w:spacing w:line="200" w:lineRule="exact"/>
              <w:jc w:val="center"/>
              <w:rPr>
                <w:rFonts w:eastAsia="Times New Roman"/>
                <w:b/>
                <w:bCs/>
                <w:color w:val="000000"/>
                <w:kern w:val="0"/>
                <w:sz w:val="18"/>
                <w:szCs w:val="18"/>
                <w:lang w:val="en-GB"/>
              </w:rPr>
            </w:pPr>
            <w:r w:rsidRPr="00E016A0">
              <w:rPr>
                <w:rFonts w:eastAsia="Times New Roman"/>
                <w:b/>
                <w:bCs/>
                <w:color w:val="000000"/>
                <w:kern w:val="0"/>
                <w:sz w:val="18"/>
                <w:szCs w:val="18"/>
                <w:lang w:val="en-GB"/>
              </w:rPr>
              <w:t>Scenario 2A</w:t>
            </w:r>
          </w:p>
        </w:tc>
        <w:tc>
          <w:tcPr>
            <w:tcW w:w="0" w:type="auto"/>
            <w:gridSpan w:val="2"/>
            <w:tcBorders>
              <w:top w:val="single" w:sz="4" w:space="0" w:color="auto"/>
              <w:left w:val="nil"/>
              <w:bottom w:val="single" w:sz="4" w:space="0" w:color="auto"/>
              <w:right w:val="nil"/>
            </w:tcBorders>
            <w:noWrap/>
            <w:vAlign w:val="bottom"/>
            <w:hideMark/>
          </w:tcPr>
          <w:p w14:paraId="5BF0FE79" w14:textId="77777777" w:rsidR="00452091" w:rsidRPr="00E016A0" w:rsidRDefault="00452091" w:rsidP="00E016A0">
            <w:pPr>
              <w:widowControl/>
              <w:spacing w:line="200" w:lineRule="exact"/>
              <w:jc w:val="center"/>
              <w:rPr>
                <w:rFonts w:eastAsia="Times New Roman"/>
                <w:b/>
                <w:bCs/>
                <w:color w:val="000000"/>
                <w:kern w:val="0"/>
                <w:sz w:val="18"/>
                <w:szCs w:val="18"/>
                <w:lang w:val="en-GB"/>
              </w:rPr>
            </w:pPr>
            <w:r w:rsidRPr="00E016A0">
              <w:rPr>
                <w:rFonts w:eastAsia="Times New Roman"/>
                <w:b/>
                <w:bCs/>
                <w:color w:val="000000"/>
                <w:kern w:val="0"/>
                <w:sz w:val="18"/>
                <w:szCs w:val="18"/>
                <w:lang w:val="en-GB"/>
              </w:rPr>
              <w:t>Scenario 2B</w:t>
            </w:r>
          </w:p>
        </w:tc>
      </w:tr>
      <w:tr w:rsidR="00452091" w:rsidRPr="00353AE1" w14:paraId="11D08413" w14:textId="77777777" w:rsidTr="00E016A0">
        <w:trPr>
          <w:trHeight w:val="232"/>
          <w:jc w:val="center"/>
        </w:trPr>
        <w:tc>
          <w:tcPr>
            <w:tcW w:w="0" w:type="auto"/>
            <w:tcBorders>
              <w:top w:val="nil"/>
              <w:left w:val="nil"/>
              <w:bottom w:val="nil"/>
              <w:right w:val="nil"/>
            </w:tcBorders>
            <w:vAlign w:val="center"/>
            <w:hideMark/>
          </w:tcPr>
          <w:p w14:paraId="303A74F1" w14:textId="77777777" w:rsidR="00452091" w:rsidRPr="00E016A0" w:rsidRDefault="00452091" w:rsidP="00E016A0">
            <w:pPr>
              <w:widowControl/>
              <w:spacing w:line="200" w:lineRule="exact"/>
              <w:jc w:val="left"/>
              <w:rPr>
                <w:rFonts w:eastAsia="Times New Roman"/>
                <w:b/>
                <w:bCs/>
                <w:color w:val="000000"/>
                <w:kern w:val="0"/>
                <w:sz w:val="18"/>
                <w:szCs w:val="18"/>
                <w:lang w:val="en-GB"/>
              </w:rPr>
            </w:pPr>
            <w:r w:rsidRPr="00E016A0">
              <w:rPr>
                <w:rFonts w:eastAsia="Times New Roman"/>
                <w:b/>
                <w:bCs/>
                <w:color w:val="000000"/>
                <w:kern w:val="0"/>
                <w:sz w:val="18"/>
                <w:szCs w:val="18"/>
                <w:lang w:val="en-GB"/>
              </w:rPr>
              <w:t> </w:t>
            </w:r>
          </w:p>
        </w:tc>
        <w:tc>
          <w:tcPr>
            <w:tcW w:w="0" w:type="auto"/>
            <w:tcBorders>
              <w:top w:val="nil"/>
              <w:left w:val="nil"/>
              <w:bottom w:val="nil"/>
              <w:right w:val="nil"/>
            </w:tcBorders>
            <w:noWrap/>
            <w:vAlign w:val="center"/>
            <w:hideMark/>
          </w:tcPr>
          <w:p w14:paraId="4DA50AFB" w14:textId="77777777" w:rsidR="00452091" w:rsidRPr="00E016A0" w:rsidRDefault="00452091" w:rsidP="00E016A0">
            <w:pPr>
              <w:widowControl/>
              <w:spacing w:line="200" w:lineRule="exact"/>
              <w:jc w:val="left"/>
              <w:rPr>
                <w:rFonts w:eastAsia="Times New Roman"/>
                <w:i/>
                <w:iCs/>
                <w:color w:val="000000"/>
                <w:kern w:val="0"/>
                <w:sz w:val="18"/>
                <w:szCs w:val="18"/>
                <w:lang w:val="en-GB"/>
              </w:rPr>
            </w:pPr>
            <w:r w:rsidRPr="00E016A0">
              <w:rPr>
                <w:rFonts w:eastAsia="Times New Roman"/>
                <w:i/>
                <w:iCs/>
                <w:color w:val="000000"/>
                <w:kern w:val="0"/>
                <w:sz w:val="18"/>
                <w:szCs w:val="18"/>
                <w:lang w:val="en-GB"/>
              </w:rPr>
              <w:t> </w:t>
            </w:r>
          </w:p>
        </w:tc>
        <w:tc>
          <w:tcPr>
            <w:tcW w:w="0" w:type="auto"/>
            <w:tcBorders>
              <w:top w:val="nil"/>
              <w:left w:val="nil"/>
              <w:bottom w:val="nil"/>
              <w:right w:val="nil"/>
            </w:tcBorders>
            <w:noWrap/>
            <w:vAlign w:val="center"/>
            <w:hideMark/>
          </w:tcPr>
          <w:p w14:paraId="4FA3195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2026</w:t>
            </w:r>
          </w:p>
        </w:tc>
        <w:tc>
          <w:tcPr>
            <w:tcW w:w="0" w:type="auto"/>
            <w:tcBorders>
              <w:top w:val="nil"/>
              <w:left w:val="nil"/>
              <w:bottom w:val="nil"/>
              <w:right w:val="nil"/>
            </w:tcBorders>
            <w:noWrap/>
            <w:vAlign w:val="center"/>
            <w:hideMark/>
          </w:tcPr>
          <w:p w14:paraId="3F0F4C5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2040</w:t>
            </w:r>
          </w:p>
        </w:tc>
        <w:tc>
          <w:tcPr>
            <w:tcW w:w="0" w:type="auto"/>
            <w:tcBorders>
              <w:top w:val="nil"/>
              <w:left w:val="nil"/>
              <w:bottom w:val="nil"/>
              <w:right w:val="nil"/>
            </w:tcBorders>
            <w:noWrap/>
            <w:vAlign w:val="center"/>
            <w:hideMark/>
          </w:tcPr>
          <w:p w14:paraId="48F0482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2026</w:t>
            </w:r>
          </w:p>
        </w:tc>
        <w:tc>
          <w:tcPr>
            <w:tcW w:w="0" w:type="auto"/>
            <w:tcBorders>
              <w:top w:val="nil"/>
              <w:left w:val="nil"/>
              <w:bottom w:val="nil"/>
              <w:right w:val="nil"/>
            </w:tcBorders>
            <w:noWrap/>
            <w:vAlign w:val="center"/>
            <w:hideMark/>
          </w:tcPr>
          <w:p w14:paraId="450CA98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2040</w:t>
            </w:r>
          </w:p>
        </w:tc>
      </w:tr>
      <w:tr w:rsidR="00452091" w:rsidRPr="00353AE1" w14:paraId="24CE4E82" w14:textId="77777777" w:rsidTr="00E016A0">
        <w:trPr>
          <w:trHeight w:val="232"/>
          <w:jc w:val="center"/>
        </w:trPr>
        <w:tc>
          <w:tcPr>
            <w:tcW w:w="0" w:type="auto"/>
            <w:tcBorders>
              <w:top w:val="nil"/>
              <w:left w:val="nil"/>
              <w:bottom w:val="single" w:sz="4" w:space="0" w:color="auto"/>
              <w:right w:val="nil"/>
            </w:tcBorders>
            <w:noWrap/>
            <w:vAlign w:val="center"/>
            <w:hideMark/>
          </w:tcPr>
          <w:p w14:paraId="07679330" w14:textId="77777777" w:rsidR="00452091" w:rsidRPr="00E016A0" w:rsidRDefault="00452091" w:rsidP="00E016A0">
            <w:pPr>
              <w:widowControl/>
              <w:spacing w:line="200" w:lineRule="exact"/>
              <w:jc w:val="left"/>
              <w:rPr>
                <w:rFonts w:eastAsia="Times New Roman"/>
                <w:color w:val="000000"/>
                <w:kern w:val="0"/>
                <w:sz w:val="18"/>
                <w:szCs w:val="18"/>
                <w:lang w:val="en-GB"/>
              </w:rPr>
            </w:pPr>
            <w:r w:rsidRPr="00E016A0">
              <w:rPr>
                <w:rFonts w:eastAsia="Times New Roman"/>
                <w:color w:val="000000"/>
                <w:kern w:val="0"/>
                <w:sz w:val="18"/>
                <w:szCs w:val="18"/>
                <w:lang w:val="en-GB"/>
              </w:rPr>
              <w:t> </w:t>
            </w:r>
          </w:p>
        </w:tc>
        <w:tc>
          <w:tcPr>
            <w:tcW w:w="0" w:type="auto"/>
            <w:tcBorders>
              <w:top w:val="nil"/>
              <w:left w:val="nil"/>
              <w:bottom w:val="single" w:sz="4" w:space="0" w:color="auto"/>
              <w:right w:val="nil"/>
            </w:tcBorders>
            <w:noWrap/>
            <w:vAlign w:val="center"/>
            <w:hideMark/>
          </w:tcPr>
          <w:p w14:paraId="2B865A73" w14:textId="77777777" w:rsidR="00452091" w:rsidRPr="00E016A0" w:rsidRDefault="00452091" w:rsidP="00E016A0">
            <w:pPr>
              <w:widowControl/>
              <w:spacing w:line="200" w:lineRule="exact"/>
              <w:jc w:val="left"/>
              <w:rPr>
                <w:rFonts w:eastAsia="Times New Roman"/>
                <w:color w:val="000000"/>
                <w:kern w:val="0"/>
                <w:sz w:val="18"/>
                <w:szCs w:val="18"/>
                <w:lang w:val="en-GB"/>
              </w:rPr>
            </w:pPr>
            <w:r w:rsidRPr="00E016A0">
              <w:rPr>
                <w:rFonts w:eastAsia="Times New Roman"/>
                <w:color w:val="000000"/>
                <w:kern w:val="0"/>
                <w:sz w:val="18"/>
                <w:szCs w:val="18"/>
                <w:lang w:val="en-GB"/>
              </w:rPr>
              <w:t> </w:t>
            </w:r>
          </w:p>
        </w:tc>
        <w:tc>
          <w:tcPr>
            <w:tcW w:w="0" w:type="auto"/>
            <w:gridSpan w:val="2"/>
            <w:tcBorders>
              <w:top w:val="nil"/>
              <w:left w:val="nil"/>
              <w:bottom w:val="single" w:sz="4" w:space="0" w:color="auto"/>
              <w:right w:val="nil"/>
            </w:tcBorders>
            <w:noWrap/>
            <w:vAlign w:val="center"/>
            <w:hideMark/>
          </w:tcPr>
          <w:p w14:paraId="5C48C89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 Deviation from baseline</w:t>
            </w:r>
          </w:p>
        </w:tc>
        <w:tc>
          <w:tcPr>
            <w:tcW w:w="0" w:type="auto"/>
            <w:gridSpan w:val="2"/>
            <w:tcBorders>
              <w:top w:val="nil"/>
              <w:left w:val="nil"/>
              <w:bottom w:val="single" w:sz="4" w:space="0" w:color="auto"/>
              <w:right w:val="nil"/>
            </w:tcBorders>
            <w:noWrap/>
            <w:vAlign w:val="center"/>
            <w:hideMark/>
          </w:tcPr>
          <w:p w14:paraId="6F44286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 Deviation from baseline</w:t>
            </w:r>
          </w:p>
        </w:tc>
      </w:tr>
      <w:tr w:rsidR="00452091" w:rsidRPr="00353AE1" w14:paraId="34CA7F51"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19A6A47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GSP</w:t>
            </w:r>
          </w:p>
        </w:tc>
        <w:tc>
          <w:tcPr>
            <w:tcW w:w="0" w:type="auto"/>
            <w:tcBorders>
              <w:top w:val="nil"/>
              <w:left w:val="nil"/>
              <w:bottom w:val="nil"/>
              <w:right w:val="nil"/>
            </w:tcBorders>
            <w:noWrap/>
            <w:vAlign w:val="center"/>
            <w:hideMark/>
          </w:tcPr>
          <w:p w14:paraId="2900883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147703D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34DB491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5B8FC61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35AFCFF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452091" w:rsidRPr="00353AE1" w14:paraId="1120F3CF" w14:textId="77777777" w:rsidTr="00E016A0">
        <w:trPr>
          <w:trHeight w:val="232"/>
          <w:jc w:val="center"/>
        </w:trPr>
        <w:tc>
          <w:tcPr>
            <w:tcW w:w="0" w:type="auto"/>
            <w:vMerge/>
            <w:tcBorders>
              <w:top w:val="nil"/>
              <w:left w:val="nil"/>
              <w:bottom w:val="single" w:sz="4" w:space="0" w:color="000000"/>
              <w:right w:val="nil"/>
            </w:tcBorders>
            <w:vAlign w:val="center"/>
            <w:hideMark/>
          </w:tcPr>
          <w:p w14:paraId="57830391"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82CB3E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45FEAA2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55D1FF4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743ACBE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0EACAAC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452091" w:rsidRPr="00353AE1" w14:paraId="5BD2C303" w14:textId="77777777" w:rsidTr="00E016A0">
        <w:trPr>
          <w:trHeight w:val="232"/>
          <w:jc w:val="center"/>
        </w:trPr>
        <w:tc>
          <w:tcPr>
            <w:tcW w:w="0" w:type="auto"/>
            <w:vMerge/>
            <w:tcBorders>
              <w:top w:val="nil"/>
              <w:left w:val="nil"/>
              <w:bottom w:val="single" w:sz="4" w:space="0" w:color="000000"/>
              <w:right w:val="nil"/>
            </w:tcBorders>
            <w:vAlign w:val="center"/>
            <w:hideMark/>
          </w:tcPr>
          <w:p w14:paraId="3835F94F"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9AA0C8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5BAEDC0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5E3AC0B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nil"/>
              <w:right w:val="nil"/>
            </w:tcBorders>
            <w:noWrap/>
            <w:vAlign w:val="center"/>
            <w:hideMark/>
          </w:tcPr>
          <w:p w14:paraId="0F01239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39BE7D1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452091" w:rsidRPr="00353AE1" w14:paraId="0B8DE09B" w14:textId="77777777" w:rsidTr="00E016A0">
        <w:trPr>
          <w:trHeight w:val="232"/>
          <w:jc w:val="center"/>
        </w:trPr>
        <w:tc>
          <w:tcPr>
            <w:tcW w:w="0" w:type="auto"/>
            <w:vMerge/>
            <w:tcBorders>
              <w:top w:val="nil"/>
              <w:left w:val="nil"/>
              <w:bottom w:val="single" w:sz="4" w:space="0" w:color="000000"/>
              <w:right w:val="nil"/>
            </w:tcBorders>
            <w:vAlign w:val="center"/>
            <w:hideMark/>
          </w:tcPr>
          <w:p w14:paraId="3F901F22"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17073B6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0B7EFFB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2225D24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20008E6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5063465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452091" w:rsidRPr="00353AE1" w14:paraId="2087C3A4" w14:textId="77777777" w:rsidTr="00E016A0">
        <w:trPr>
          <w:trHeight w:val="232"/>
          <w:jc w:val="center"/>
        </w:trPr>
        <w:tc>
          <w:tcPr>
            <w:tcW w:w="0" w:type="auto"/>
            <w:vMerge/>
            <w:tcBorders>
              <w:top w:val="nil"/>
              <w:left w:val="nil"/>
              <w:bottom w:val="single" w:sz="4" w:space="0" w:color="000000"/>
              <w:right w:val="nil"/>
            </w:tcBorders>
            <w:vAlign w:val="center"/>
            <w:hideMark/>
          </w:tcPr>
          <w:p w14:paraId="5CEE56D9"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E86BA0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519C117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0.09</w:t>
            </w:r>
          </w:p>
        </w:tc>
        <w:tc>
          <w:tcPr>
            <w:tcW w:w="0" w:type="auto"/>
            <w:tcBorders>
              <w:top w:val="nil"/>
              <w:left w:val="nil"/>
              <w:bottom w:val="nil"/>
              <w:right w:val="nil"/>
            </w:tcBorders>
            <w:noWrap/>
            <w:vAlign w:val="center"/>
            <w:hideMark/>
          </w:tcPr>
          <w:p w14:paraId="6B56B10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0.16</w:t>
            </w:r>
          </w:p>
        </w:tc>
        <w:tc>
          <w:tcPr>
            <w:tcW w:w="0" w:type="auto"/>
            <w:tcBorders>
              <w:top w:val="nil"/>
              <w:left w:val="nil"/>
              <w:bottom w:val="nil"/>
              <w:right w:val="nil"/>
            </w:tcBorders>
            <w:noWrap/>
            <w:vAlign w:val="center"/>
            <w:hideMark/>
          </w:tcPr>
          <w:p w14:paraId="77D37A7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070D33C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r>
      <w:tr w:rsidR="00452091" w:rsidRPr="00353AE1" w14:paraId="330D2982" w14:textId="77777777" w:rsidTr="00E016A0">
        <w:trPr>
          <w:trHeight w:val="232"/>
          <w:jc w:val="center"/>
        </w:trPr>
        <w:tc>
          <w:tcPr>
            <w:tcW w:w="0" w:type="auto"/>
            <w:vMerge/>
            <w:tcBorders>
              <w:top w:val="nil"/>
              <w:left w:val="nil"/>
              <w:bottom w:val="single" w:sz="4" w:space="0" w:color="000000"/>
              <w:right w:val="nil"/>
            </w:tcBorders>
            <w:vAlign w:val="center"/>
            <w:hideMark/>
          </w:tcPr>
          <w:p w14:paraId="13693177"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459B4F4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23C9D8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1A74E66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single" w:sz="4" w:space="0" w:color="auto"/>
              <w:right w:val="nil"/>
            </w:tcBorders>
            <w:noWrap/>
            <w:vAlign w:val="center"/>
            <w:hideMark/>
          </w:tcPr>
          <w:p w14:paraId="11B75EC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42BBA09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236B4372"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1AFE39D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household consumption</w:t>
            </w:r>
          </w:p>
        </w:tc>
        <w:tc>
          <w:tcPr>
            <w:tcW w:w="0" w:type="auto"/>
            <w:tcBorders>
              <w:top w:val="nil"/>
              <w:left w:val="nil"/>
              <w:bottom w:val="nil"/>
              <w:right w:val="nil"/>
            </w:tcBorders>
            <w:noWrap/>
            <w:vAlign w:val="center"/>
            <w:hideMark/>
          </w:tcPr>
          <w:p w14:paraId="25FDD03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152A738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189FB55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41FC077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7CB76A0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452091" w:rsidRPr="00353AE1" w14:paraId="32F2589C" w14:textId="77777777" w:rsidTr="00E016A0">
        <w:trPr>
          <w:trHeight w:val="232"/>
          <w:jc w:val="center"/>
        </w:trPr>
        <w:tc>
          <w:tcPr>
            <w:tcW w:w="0" w:type="auto"/>
            <w:vMerge/>
            <w:tcBorders>
              <w:top w:val="nil"/>
              <w:left w:val="nil"/>
              <w:bottom w:val="single" w:sz="4" w:space="0" w:color="000000"/>
              <w:right w:val="nil"/>
            </w:tcBorders>
            <w:vAlign w:val="center"/>
            <w:hideMark/>
          </w:tcPr>
          <w:p w14:paraId="6507292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EC3AF7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142F355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721DD43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7D62659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42E0538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452091" w:rsidRPr="00353AE1" w14:paraId="4CE3A8D0" w14:textId="77777777" w:rsidTr="00E016A0">
        <w:trPr>
          <w:trHeight w:val="232"/>
          <w:jc w:val="center"/>
        </w:trPr>
        <w:tc>
          <w:tcPr>
            <w:tcW w:w="0" w:type="auto"/>
            <w:vMerge/>
            <w:tcBorders>
              <w:top w:val="nil"/>
              <w:left w:val="nil"/>
              <w:bottom w:val="single" w:sz="4" w:space="0" w:color="000000"/>
              <w:right w:val="nil"/>
            </w:tcBorders>
            <w:vAlign w:val="center"/>
            <w:hideMark/>
          </w:tcPr>
          <w:p w14:paraId="163E3357"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B443BD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33B8798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471B026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nil"/>
              <w:right w:val="nil"/>
            </w:tcBorders>
            <w:noWrap/>
            <w:vAlign w:val="center"/>
            <w:hideMark/>
          </w:tcPr>
          <w:p w14:paraId="723781B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5677CC4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452091" w:rsidRPr="00353AE1" w14:paraId="184CC6D8" w14:textId="77777777" w:rsidTr="00E016A0">
        <w:trPr>
          <w:trHeight w:val="232"/>
          <w:jc w:val="center"/>
        </w:trPr>
        <w:tc>
          <w:tcPr>
            <w:tcW w:w="0" w:type="auto"/>
            <w:vMerge/>
            <w:tcBorders>
              <w:top w:val="nil"/>
              <w:left w:val="nil"/>
              <w:bottom w:val="single" w:sz="4" w:space="0" w:color="000000"/>
              <w:right w:val="nil"/>
            </w:tcBorders>
            <w:vAlign w:val="center"/>
            <w:hideMark/>
          </w:tcPr>
          <w:p w14:paraId="54D00D2D"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C965A7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3F19E01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5EB6060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nil"/>
              <w:right w:val="nil"/>
            </w:tcBorders>
            <w:noWrap/>
            <w:vAlign w:val="center"/>
            <w:hideMark/>
          </w:tcPr>
          <w:p w14:paraId="08112AA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159F38A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452091" w:rsidRPr="00353AE1" w14:paraId="73D239B8" w14:textId="77777777" w:rsidTr="00E016A0">
        <w:trPr>
          <w:trHeight w:val="232"/>
          <w:jc w:val="center"/>
        </w:trPr>
        <w:tc>
          <w:tcPr>
            <w:tcW w:w="0" w:type="auto"/>
            <w:vMerge/>
            <w:tcBorders>
              <w:top w:val="nil"/>
              <w:left w:val="nil"/>
              <w:bottom w:val="single" w:sz="4" w:space="0" w:color="000000"/>
              <w:right w:val="nil"/>
            </w:tcBorders>
            <w:vAlign w:val="center"/>
            <w:hideMark/>
          </w:tcPr>
          <w:p w14:paraId="54750916"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8EA68C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3C3A28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433F841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0.14</w:t>
            </w:r>
          </w:p>
        </w:tc>
        <w:tc>
          <w:tcPr>
            <w:tcW w:w="0" w:type="auto"/>
            <w:tcBorders>
              <w:top w:val="nil"/>
              <w:left w:val="nil"/>
              <w:bottom w:val="nil"/>
              <w:right w:val="nil"/>
            </w:tcBorders>
            <w:noWrap/>
            <w:vAlign w:val="center"/>
            <w:hideMark/>
          </w:tcPr>
          <w:p w14:paraId="76BA444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2DA82A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r>
      <w:tr w:rsidR="00452091" w:rsidRPr="00353AE1" w14:paraId="03898C94" w14:textId="77777777" w:rsidTr="00E016A0">
        <w:trPr>
          <w:trHeight w:val="232"/>
          <w:jc w:val="center"/>
        </w:trPr>
        <w:tc>
          <w:tcPr>
            <w:tcW w:w="0" w:type="auto"/>
            <w:vMerge/>
            <w:tcBorders>
              <w:top w:val="nil"/>
              <w:left w:val="nil"/>
              <w:bottom w:val="single" w:sz="4" w:space="0" w:color="000000"/>
              <w:right w:val="nil"/>
            </w:tcBorders>
            <w:vAlign w:val="center"/>
            <w:hideMark/>
          </w:tcPr>
          <w:p w14:paraId="62FD42E0"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28FB6F1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50E22F9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104839A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3DD7887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109A1E5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798C25E5"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4EE2AF0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Real investment</w:t>
            </w:r>
          </w:p>
        </w:tc>
        <w:tc>
          <w:tcPr>
            <w:tcW w:w="0" w:type="auto"/>
            <w:tcBorders>
              <w:top w:val="nil"/>
              <w:left w:val="nil"/>
              <w:bottom w:val="nil"/>
              <w:right w:val="nil"/>
            </w:tcBorders>
            <w:noWrap/>
            <w:vAlign w:val="center"/>
            <w:hideMark/>
          </w:tcPr>
          <w:p w14:paraId="69609DC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3A91515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73E9D74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6CF4E83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0A7D074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5BE1DF62" w14:textId="77777777" w:rsidTr="00E016A0">
        <w:trPr>
          <w:trHeight w:val="232"/>
          <w:jc w:val="center"/>
        </w:trPr>
        <w:tc>
          <w:tcPr>
            <w:tcW w:w="0" w:type="auto"/>
            <w:vMerge/>
            <w:tcBorders>
              <w:top w:val="nil"/>
              <w:left w:val="nil"/>
              <w:bottom w:val="single" w:sz="4" w:space="0" w:color="000000"/>
              <w:right w:val="nil"/>
            </w:tcBorders>
            <w:vAlign w:val="center"/>
            <w:hideMark/>
          </w:tcPr>
          <w:p w14:paraId="1096C7D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37E44E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1E26F13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56FFCE6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2E9D101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5A7F2CA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578159A4" w14:textId="77777777" w:rsidTr="00E016A0">
        <w:trPr>
          <w:trHeight w:val="232"/>
          <w:jc w:val="center"/>
        </w:trPr>
        <w:tc>
          <w:tcPr>
            <w:tcW w:w="0" w:type="auto"/>
            <w:vMerge/>
            <w:tcBorders>
              <w:top w:val="nil"/>
              <w:left w:val="nil"/>
              <w:bottom w:val="single" w:sz="4" w:space="0" w:color="000000"/>
              <w:right w:val="nil"/>
            </w:tcBorders>
            <w:vAlign w:val="center"/>
            <w:hideMark/>
          </w:tcPr>
          <w:p w14:paraId="03439A15"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37AC52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27EB86B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119B5DB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nil"/>
              <w:right w:val="nil"/>
            </w:tcBorders>
            <w:noWrap/>
            <w:vAlign w:val="center"/>
            <w:hideMark/>
          </w:tcPr>
          <w:p w14:paraId="1067036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5AFA830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452091" w:rsidRPr="00353AE1" w14:paraId="0633674C" w14:textId="77777777" w:rsidTr="00E016A0">
        <w:trPr>
          <w:trHeight w:val="232"/>
          <w:jc w:val="center"/>
        </w:trPr>
        <w:tc>
          <w:tcPr>
            <w:tcW w:w="0" w:type="auto"/>
            <w:vMerge/>
            <w:tcBorders>
              <w:top w:val="nil"/>
              <w:left w:val="nil"/>
              <w:bottom w:val="single" w:sz="4" w:space="0" w:color="000000"/>
              <w:right w:val="nil"/>
            </w:tcBorders>
            <w:vAlign w:val="center"/>
            <w:hideMark/>
          </w:tcPr>
          <w:p w14:paraId="1858C7F7"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0FC0AF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003DCDC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5E0CCEB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2C62565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5397EB8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452091" w:rsidRPr="00353AE1" w14:paraId="2442C962" w14:textId="77777777" w:rsidTr="00E016A0">
        <w:trPr>
          <w:trHeight w:val="232"/>
          <w:jc w:val="center"/>
        </w:trPr>
        <w:tc>
          <w:tcPr>
            <w:tcW w:w="0" w:type="auto"/>
            <w:vMerge/>
            <w:tcBorders>
              <w:top w:val="nil"/>
              <w:left w:val="nil"/>
              <w:bottom w:val="single" w:sz="4" w:space="0" w:color="000000"/>
              <w:right w:val="nil"/>
            </w:tcBorders>
            <w:vAlign w:val="center"/>
            <w:hideMark/>
          </w:tcPr>
          <w:p w14:paraId="7D0E8C7F"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230E5B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18E86D0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27AB621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0.12</w:t>
            </w:r>
          </w:p>
        </w:tc>
        <w:tc>
          <w:tcPr>
            <w:tcW w:w="0" w:type="auto"/>
            <w:tcBorders>
              <w:top w:val="nil"/>
              <w:left w:val="nil"/>
              <w:bottom w:val="nil"/>
              <w:right w:val="nil"/>
            </w:tcBorders>
            <w:noWrap/>
            <w:vAlign w:val="center"/>
            <w:hideMark/>
          </w:tcPr>
          <w:p w14:paraId="74DEB6D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1F192F9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r>
      <w:tr w:rsidR="00452091" w:rsidRPr="00353AE1" w14:paraId="52C6F87A" w14:textId="77777777" w:rsidTr="00E016A0">
        <w:trPr>
          <w:trHeight w:val="232"/>
          <w:jc w:val="center"/>
        </w:trPr>
        <w:tc>
          <w:tcPr>
            <w:tcW w:w="0" w:type="auto"/>
            <w:vMerge/>
            <w:tcBorders>
              <w:top w:val="nil"/>
              <w:left w:val="nil"/>
              <w:bottom w:val="single" w:sz="4" w:space="0" w:color="000000"/>
              <w:right w:val="nil"/>
            </w:tcBorders>
            <w:vAlign w:val="center"/>
            <w:hideMark/>
          </w:tcPr>
          <w:p w14:paraId="31348A2C"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47A57E1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32E33CD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52A1704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single" w:sz="4" w:space="0" w:color="auto"/>
              <w:right w:val="nil"/>
            </w:tcBorders>
            <w:noWrap/>
            <w:vAlign w:val="center"/>
            <w:hideMark/>
          </w:tcPr>
          <w:p w14:paraId="165C1BE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66A7E9F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020B584F"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36373B0F" w14:textId="2FA872C0"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Export volume</w:t>
            </w:r>
          </w:p>
        </w:tc>
        <w:tc>
          <w:tcPr>
            <w:tcW w:w="0" w:type="auto"/>
            <w:tcBorders>
              <w:top w:val="nil"/>
              <w:left w:val="nil"/>
              <w:bottom w:val="nil"/>
              <w:right w:val="nil"/>
            </w:tcBorders>
            <w:noWrap/>
            <w:vAlign w:val="center"/>
            <w:hideMark/>
          </w:tcPr>
          <w:p w14:paraId="7FE1870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0A0572C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0E1028E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1CFE417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nil"/>
              <w:right w:val="nil"/>
            </w:tcBorders>
            <w:noWrap/>
            <w:vAlign w:val="center"/>
            <w:hideMark/>
          </w:tcPr>
          <w:p w14:paraId="612275B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r>
      <w:tr w:rsidR="00452091" w:rsidRPr="00353AE1" w14:paraId="1FA287A1" w14:textId="77777777" w:rsidTr="00E016A0">
        <w:trPr>
          <w:trHeight w:val="232"/>
          <w:jc w:val="center"/>
        </w:trPr>
        <w:tc>
          <w:tcPr>
            <w:tcW w:w="0" w:type="auto"/>
            <w:vMerge/>
            <w:tcBorders>
              <w:top w:val="nil"/>
              <w:left w:val="nil"/>
              <w:bottom w:val="single" w:sz="4" w:space="0" w:color="000000"/>
              <w:right w:val="nil"/>
            </w:tcBorders>
            <w:vAlign w:val="center"/>
            <w:hideMark/>
          </w:tcPr>
          <w:p w14:paraId="08478C38"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BDAF8B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5A837F8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0.19</w:t>
            </w:r>
          </w:p>
        </w:tc>
        <w:tc>
          <w:tcPr>
            <w:tcW w:w="0" w:type="auto"/>
            <w:tcBorders>
              <w:top w:val="nil"/>
              <w:left w:val="nil"/>
              <w:bottom w:val="nil"/>
              <w:right w:val="nil"/>
            </w:tcBorders>
            <w:noWrap/>
            <w:vAlign w:val="center"/>
            <w:hideMark/>
          </w:tcPr>
          <w:p w14:paraId="01C105F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0.16</w:t>
            </w:r>
          </w:p>
        </w:tc>
        <w:tc>
          <w:tcPr>
            <w:tcW w:w="0" w:type="auto"/>
            <w:tcBorders>
              <w:top w:val="nil"/>
              <w:left w:val="nil"/>
              <w:bottom w:val="nil"/>
              <w:right w:val="nil"/>
            </w:tcBorders>
            <w:noWrap/>
            <w:vAlign w:val="center"/>
            <w:hideMark/>
          </w:tcPr>
          <w:p w14:paraId="650D872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nil"/>
              <w:right w:val="nil"/>
            </w:tcBorders>
            <w:noWrap/>
            <w:vAlign w:val="center"/>
            <w:hideMark/>
          </w:tcPr>
          <w:p w14:paraId="5305C6A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r>
      <w:tr w:rsidR="00452091" w:rsidRPr="00353AE1" w14:paraId="69B0DB38" w14:textId="77777777" w:rsidTr="00E016A0">
        <w:trPr>
          <w:trHeight w:val="232"/>
          <w:jc w:val="center"/>
        </w:trPr>
        <w:tc>
          <w:tcPr>
            <w:tcW w:w="0" w:type="auto"/>
            <w:vMerge/>
            <w:tcBorders>
              <w:top w:val="nil"/>
              <w:left w:val="nil"/>
              <w:bottom w:val="single" w:sz="4" w:space="0" w:color="000000"/>
              <w:right w:val="nil"/>
            </w:tcBorders>
            <w:vAlign w:val="center"/>
            <w:hideMark/>
          </w:tcPr>
          <w:p w14:paraId="3939DD3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7BE95E6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42D674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0.11</w:t>
            </w:r>
          </w:p>
        </w:tc>
        <w:tc>
          <w:tcPr>
            <w:tcW w:w="0" w:type="auto"/>
            <w:tcBorders>
              <w:top w:val="nil"/>
              <w:left w:val="nil"/>
              <w:bottom w:val="nil"/>
              <w:right w:val="nil"/>
            </w:tcBorders>
            <w:noWrap/>
            <w:vAlign w:val="center"/>
            <w:hideMark/>
          </w:tcPr>
          <w:p w14:paraId="383959E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nil"/>
              <w:right w:val="nil"/>
            </w:tcBorders>
            <w:noWrap/>
            <w:vAlign w:val="center"/>
            <w:hideMark/>
          </w:tcPr>
          <w:p w14:paraId="0B3B1D9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0.06</w:t>
            </w:r>
          </w:p>
        </w:tc>
        <w:tc>
          <w:tcPr>
            <w:tcW w:w="0" w:type="auto"/>
            <w:tcBorders>
              <w:top w:val="nil"/>
              <w:left w:val="nil"/>
              <w:bottom w:val="nil"/>
              <w:right w:val="nil"/>
            </w:tcBorders>
            <w:noWrap/>
            <w:vAlign w:val="center"/>
            <w:hideMark/>
          </w:tcPr>
          <w:p w14:paraId="75EB949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r>
      <w:tr w:rsidR="00452091" w:rsidRPr="00353AE1" w14:paraId="46A8545F" w14:textId="77777777" w:rsidTr="00E016A0">
        <w:trPr>
          <w:trHeight w:val="232"/>
          <w:jc w:val="center"/>
        </w:trPr>
        <w:tc>
          <w:tcPr>
            <w:tcW w:w="0" w:type="auto"/>
            <w:vMerge/>
            <w:tcBorders>
              <w:top w:val="nil"/>
              <w:left w:val="nil"/>
              <w:bottom w:val="single" w:sz="4" w:space="0" w:color="000000"/>
              <w:right w:val="nil"/>
            </w:tcBorders>
            <w:vAlign w:val="center"/>
            <w:hideMark/>
          </w:tcPr>
          <w:p w14:paraId="40D6D62D"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CE3463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0609FCA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0.34</w:t>
            </w:r>
          </w:p>
        </w:tc>
        <w:tc>
          <w:tcPr>
            <w:tcW w:w="0" w:type="auto"/>
            <w:tcBorders>
              <w:top w:val="nil"/>
              <w:left w:val="nil"/>
              <w:bottom w:val="nil"/>
              <w:right w:val="nil"/>
            </w:tcBorders>
            <w:noWrap/>
            <w:vAlign w:val="center"/>
            <w:hideMark/>
          </w:tcPr>
          <w:p w14:paraId="482E8DD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0.34</w:t>
            </w:r>
          </w:p>
        </w:tc>
        <w:tc>
          <w:tcPr>
            <w:tcW w:w="0" w:type="auto"/>
            <w:tcBorders>
              <w:top w:val="nil"/>
              <w:left w:val="nil"/>
              <w:bottom w:val="nil"/>
              <w:right w:val="nil"/>
            </w:tcBorders>
            <w:noWrap/>
            <w:vAlign w:val="center"/>
            <w:hideMark/>
          </w:tcPr>
          <w:p w14:paraId="3D04AF5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0.17</w:t>
            </w:r>
          </w:p>
        </w:tc>
        <w:tc>
          <w:tcPr>
            <w:tcW w:w="0" w:type="auto"/>
            <w:tcBorders>
              <w:top w:val="nil"/>
              <w:left w:val="nil"/>
              <w:bottom w:val="nil"/>
              <w:right w:val="nil"/>
            </w:tcBorders>
            <w:noWrap/>
            <w:vAlign w:val="center"/>
            <w:hideMark/>
          </w:tcPr>
          <w:p w14:paraId="77C7CA4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0.17</w:t>
            </w:r>
          </w:p>
        </w:tc>
      </w:tr>
      <w:tr w:rsidR="00452091" w:rsidRPr="00353AE1" w14:paraId="0333AA0C" w14:textId="77777777" w:rsidTr="00E016A0">
        <w:trPr>
          <w:trHeight w:val="232"/>
          <w:jc w:val="center"/>
        </w:trPr>
        <w:tc>
          <w:tcPr>
            <w:tcW w:w="0" w:type="auto"/>
            <w:vMerge/>
            <w:tcBorders>
              <w:top w:val="nil"/>
              <w:left w:val="nil"/>
              <w:bottom w:val="single" w:sz="4" w:space="0" w:color="000000"/>
              <w:right w:val="nil"/>
            </w:tcBorders>
            <w:vAlign w:val="center"/>
            <w:hideMark/>
          </w:tcPr>
          <w:p w14:paraId="42B9921C"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4270E9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4967AF9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0.43</w:t>
            </w:r>
          </w:p>
        </w:tc>
        <w:tc>
          <w:tcPr>
            <w:tcW w:w="0" w:type="auto"/>
            <w:tcBorders>
              <w:top w:val="nil"/>
              <w:left w:val="nil"/>
              <w:bottom w:val="nil"/>
              <w:right w:val="nil"/>
            </w:tcBorders>
            <w:noWrap/>
            <w:vAlign w:val="center"/>
            <w:hideMark/>
          </w:tcPr>
          <w:p w14:paraId="29C7190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0.46</w:t>
            </w:r>
          </w:p>
        </w:tc>
        <w:tc>
          <w:tcPr>
            <w:tcW w:w="0" w:type="auto"/>
            <w:tcBorders>
              <w:top w:val="nil"/>
              <w:left w:val="nil"/>
              <w:bottom w:val="nil"/>
              <w:right w:val="nil"/>
            </w:tcBorders>
            <w:noWrap/>
            <w:vAlign w:val="center"/>
            <w:hideMark/>
          </w:tcPr>
          <w:p w14:paraId="5618FD9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0.22</w:t>
            </w:r>
          </w:p>
        </w:tc>
        <w:tc>
          <w:tcPr>
            <w:tcW w:w="0" w:type="auto"/>
            <w:tcBorders>
              <w:top w:val="nil"/>
              <w:left w:val="nil"/>
              <w:bottom w:val="nil"/>
              <w:right w:val="nil"/>
            </w:tcBorders>
            <w:noWrap/>
            <w:vAlign w:val="center"/>
            <w:hideMark/>
          </w:tcPr>
          <w:p w14:paraId="17C5329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0.23</w:t>
            </w:r>
          </w:p>
        </w:tc>
      </w:tr>
      <w:tr w:rsidR="00452091" w:rsidRPr="00353AE1" w14:paraId="1DEDCBDB" w14:textId="77777777" w:rsidTr="00E016A0">
        <w:trPr>
          <w:trHeight w:val="232"/>
          <w:jc w:val="center"/>
        </w:trPr>
        <w:tc>
          <w:tcPr>
            <w:tcW w:w="0" w:type="auto"/>
            <w:vMerge/>
            <w:tcBorders>
              <w:top w:val="nil"/>
              <w:left w:val="nil"/>
              <w:bottom w:val="single" w:sz="4" w:space="0" w:color="000000"/>
              <w:right w:val="nil"/>
            </w:tcBorders>
            <w:vAlign w:val="center"/>
            <w:hideMark/>
          </w:tcPr>
          <w:p w14:paraId="700F4F3F"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1660094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7D505D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c>
          <w:tcPr>
            <w:tcW w:w="0" w:type="auto"/>
            <w:tcBorders>
              <w:top w:val="nil"/>
              <w:left w:val="nil"/>
              <w:bottom w:val="single" w:sz="4" w:space="0" w:color="auto"/>
              <w:right w:val="nil"/>
            </w:tcBorders>
            <w:noWrap/>
            <w:vAlign w:val="center"/>
            <w:hideMark/>
          </w:tcPr>
          <w:p w14:paraId="0F19416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-0.10</w:t>
            </w:r>
          </w:p>
        </w:tc>
        <w:tc>
          <w:tcPr>
            <w:tcW w:w="0" w:type="auto"/>
            <w:tcBorders>
              <w:top w:val="nil"/>
              <w:left w:val="nil"/>
              <w:bottom w:val="single" w:sz="4" w:space="0" w:color="auto"/>
              <w:right w:val="nil"/>
            </w:tcBorders>
            <w:noWrap/>
            <w:vAlign w:val="center"/>
            <w:hideMark/>
          </w:tcPr>
          <w:p w14:paraId="56EDBC0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single" w:sz="4" w:space="0" w:color="auto"/>
              <w:right w:val="nil"/>
            </w:tcBorders>
            <w:noWrap/>
            <w:vAlign w:val="center"/>
            <w:hideMark/>
          </w:tcPr>
          <w:p w14:paraId="7953C65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-0.05</w:t>
            </w:r>
          </w:p>
        </w:tc>
      </w:tr>
      <w:tr w:rsidR="00452091" w:rsidRPr="00353AE1" w14:paraId="3FBA9EDE"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46B263F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Employment (person)</w:t>
            </w:r>
          </w:p>
        </w:tc>
        <w:tc>
          <w:tcPr>
            <w:tcW w:w="0" w:type="auto"/>
            <w:tcBorders>
              <w:top w:val="nil"/>
              <w:left w:val="nil"/>
              <w:bottom w:val="nil"/>
              <w:right w:val="nil"/>
            </w:tcBorders>
            <w:noWrap/>
            <w:vAlign w:val="center"/>
            <w:hideMark/>
          </w:tcPr>
          <w:p w14:paraId="44B167D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64E9D25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9380E2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683DC3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BA4E38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12B0200D" w14:textId="77777777" w:rsidTr="00E016A0">
        <w:trPr>
          <w:trHeight w:val="232"/>
          <w:jc w:val="center"/>
        </w:trPr>
        <w:tc>
          <w:tcPr>
            <w:tcW w:w="0" w:type="auto"/>
            <w:vMerge/>
            <w:tcBorders>
              <w:top w:val="nil"/>
              <w:left w:val="nil"/>
              <w:bottom w:val="single" w:sz="4" w:space="0" w:color="000000"/>
              <w:right w:val="nil"/>
            </w:tcBorders>
            <w:vAlign w:val="center"/>
            <w:hideMark/>
          </w:tcPr>
          <w:p w14:paraId="756D9425"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7D9460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35614F3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129D44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6CC201C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9CA587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74A53873" w14:textId="77777777" w:rsidTr="00E016A0">
        <w:trPr>
          <w:trHeight w:val="232"/>
          <w:jc w:val="center"/>
        </w:trPr>
        <w:tc>
          <w:tcPr>
            <w:tcW w:w="0" w:type="auto"/>
            <w:vMerge/>
            <w:tcBorders>
              <w:top w:val="nil"/>
              <w:left w:val="nil"/>
              <w:bottom w:val="single" w:sz="4" w:space="0" w:color="000000"/>
              <w:right w:val="nil"/>
            </w:tcBorders>
            <w:vAlign w:val="center"/>
            <w:hideMark/>
          </w:tcPr>
          <w:p w14:paraId="09CA5842"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2A8A50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0AD0019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68D8F37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600E34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B1B62A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4977E211" w14:textId="77777777" w:rsidTr="00E016A0">
        <w:trPr>
          <w:trHeight w:val="232"/>
          <w:jc w:val="center"/>
        </w:trPr>
        <w:tc>
          <w:tcPr>
            <w:tcW w:w="0" w:type="auto"/>
            <w:vMerge/>
            <w:tcBorders>
              <w:top w:val="nil"/>
              <w:left w:val="nil"/>
              <w:bottom w:val="single" w:sz="4" w:space="0" w:color="000000"/>
              <w:right w:val="nil"/>
            </w:tcBorders>
            <w:vAlign w:val="center"/>
            <w:hideMark/>
          </w:tcPr>
          <w:p w14:paraId="01737710"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5AB47D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56F0420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5A21BE9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5B997B9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2A27872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353F8B43" w14:textId="77777777" w:rsidTr="00E016A0">
        <w:trPr>
          <w:trHeight w:val="232"/>
          <w:jc w:val="center"/>
        </w:trPr>
        <w:tc>
          <w:tcPr>
            <w:tcW w:w="0" w:type="auto"/>
            <w:vMerge/>
            <w:tcBorders>
              <w:top w:val="nil"/>
              <w:left w:val="nil"/>
              <w:bottom w:val="single" w:sz="4" w:space="0" w:color="000000"/>
              <w:right w:val="nil"/>
            </w:tcBorders>
            <w:vAlign w:val="center"/>
            <w:hideMark/>
          </w:tcPr>
          <w:p w14:paraId="1728814B"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7F4C8E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54CD0C2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59582F2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0.15</w:t>
            </w:r>
          </w:p>
        </w:tc>
        <w:tc>
          <w:tcPr>
            <w:tcW w:w="0" w:type="auto"/>
            <w:tcBorders>
              <w:top w:val="nil"/>
              <w:left w:val="nil"/>
              <w:bottom w:val="nil"/>
              <w:right w:val="nil"/>
            </w:tcBorders>
            <w:noWrap/>
            <w:vAlign w:val="center"/>
            <w:hideMark/>
          </w:tcPr>
          <w:p w14:paraId="2714BB3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615FDA1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r>
      <w:tr w:rsidR="00452091" w:rsidRPr="00353AE1" w14:paraId="04E49C60" w14:textId="77777777" w:rsidTr="00E016A0">
        <w:trPr>
          <w:trHeight w:val="232"/>
          <w:jc w:val="center"/>
        </w:trPr>
        <w:tc>
          <w:tcPr>
            <w:tcW w:w="0" w:type="auto"/>
            <w:vMerge/>
            <w:tcBorders>
              <w:top w:val="nil"/>
              <w:left w:val="nil"/>
              <w:bottom w:val="single" w:sz="4" w:space="0" w:color="000000"/>
              <w:right w:val="nil"/>
            </w:tcBorders>
            <w:vAlign w:val="center"/>
            <w:hideMark/>
          </w:tcPr>
          <w:p w14:paraId="61CE656D"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4615E98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51ABCAB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468C819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single" w:sz="4" w:space="0" w:color="auto"/>
              <w:right w:val="nil"/>
            </w:tcBorders>
            <w:noWrap/>
            <w:vAlign w:val="center"/>
            <w:hideMark/>
          </w:tcPr>
          <w:p w14:paraId="175406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0D8365C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34176A4C"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514FC5D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Capital</w:t>
            </w:r>
          </w:p>
        </w:tc>
        <w:tc>
          <w:tcPr>
            <w:tcW w:w="0" w:type="auto"/>
            <w:tcBorders>
              <w:top w:val="nil"/>
              <w:left w:val="nil"/>
              <w:bottom w:val="nil"/>
              <w:right w:val="nil"/>
            </w:tcBorders>
            <w:noWrap/>
            <w:vAlign w:val="center"/>
            <w:hideMark/>
          </w:tcPr>
          <w:p w14:paraId="7C66E24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1204086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FC310E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396BBA8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4DF42E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78E04B2A" w14:textId="77777777" w:rsidTr="00E016A0">
        <w:trPr>
          <w:trHeight w:val="232"/>
          <w:jc w:val="center"/>
        </w:trPr>
        <w:tc>
          <w:tcPr>
            <w:tcW w:w="0" w:type="auto"/>
            <w:vMerge/>
            <w:tcBorders>
              <w:top w:val="nil"/>
              <w:left w:val="nil"/>
              <w:bottom w:val="single" w:sz="4" w:space="0" w:color="000000"/>
              <w:right w:val="nil"/>
            </w:tcBorders>
            <w:vAlign w:val="center"/>
            <w:hideMark/>
          </w:tcPr>
          <w:p w14:paraId="0155A42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D881F8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7A2E34F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9B2D28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3C42728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C31ADA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715F2B78" w14:textId="77777777" w:rsidTr="00E016A0">
        <w:trPr>
          <w:trHeight w:val="232"/>
          <w:jc w:val="center"/>
        </w:trPr>
        <w:tc>
          <w:tcPr>
            <w:tcW w:w="0" w:type="auto"/>
            <w:vMerge/>
            <w:tcBorders>
              <w:top w:val="nil"/>
              <w:left w:val="nil"/>
              <w:bottom w:val="single" w:sz="4" w:space="0" w:color="000000"/>
              <w:right w:val="nil"/>
            </w:tcBorders>
            <w:vAlign w:val="center"/>
            <w:hideMark/>
          </w:tcPr>
          <w:p w14:paraId="4FB0867D"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4224498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0526351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5CE58F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7836DCE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BC4A0F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r>
      <w:tr w:rsidR="00452091" w:rsidRPr="00353AE1" w14:paraId="1379D66F" w14:textId="77777777" w:rsidTr="00E016A0">
        <w:trPr>
          <w:trHeight w:val="232"/>
          <w:jc w:val="center"/>
        </w:trPr>
        <w:tc>
          <w:tcPr>
            <w:tcW w:w="0" w:type="auto"/>
            <w:vMerge/>
            <w:tcBorders>
              <w:top w:val="nil"/>
              <w:left w:val="nil"/>
              <w:bottom w:val="single" w:sz="4" w:space="0" w:color="000000"/>
              <w:right w:val="nil"/>
            </w:tcBorders>
            <w:vAlign w:val="center"/>
            <w:hideMark/>
          </w:tcPr>
          <w:p w14:paraId="6B13866A"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718790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30E810B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1D6B43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34CBA8F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41E24E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26EFD869" w14:textId="77777777" w:rsidTr="00E016A0">
        <w:trPr>
          <w:trHeight w:val="232"/>
          <w:jc w:val="center"/>
        </w:trPr>
        <w:tc>
          <w:tcPr>
            <w:tcW w:w="0" w:type="auto"/>
            <w:vMerge/>
            <w:tcBorders>
              <w:top w:val="nil"/>
              <w:left w:val="nil"/>
              <w:bottom w:val="single" w:sz="4" w:space="0" w:color="000000"/>
              <w:right w:val="nil"/>
            </w:tcBorders>
            <w:vAlign w:val="center"/>
            <w:hideMark/>
          </w:tcPr>
          <w:p w14:paraId="44241C1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85782C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10415BB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36678D1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0.08</w:t>
            </w:r>
          </w:p>
        </w:tc>
        <w:tc>
          <w:tcPr>
            <w:tcW w:w="0" w:type="auto"/>
            <w:tcBorders>
              <w:top w:val="nil"/>
              <w:left w:val="nil"/>
              <w:bottom w:val="nil"/>
              <w:right w:val="nil"/>
            </w:tcBorders>
            <w:noWrap/>
            <w:vAlign w:val="center"/>
            <w:hideMark/>
          </w:tcPr>
          <w:p w14:paraId="3D9D560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57F9D86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r>
      <w:tr w:rsidR="00452091" w:rsidRPr="00353AE1" w14:paraId="58766F56" w14:textId="77777777" w:rsidTr="00E016A0">
        <w:trPr>
          <w:trHeight w:val="232"/>
          <w:jc w:val="center"/>
        </w:trPr>
        <w:tc>
          <w:tcPr>
            <w:tcW w:w="0" w:type="auto"/>
            <w:vMerge/>
            <w:tcBorders>
              <w:top w:val="nil"/>
              <w:left w:val="nil"/>
              <w:bottom w:val="single" w:sz="4" w:space="0" w:color="000000"/>
              <w:right w:val="nil"/>
            </w:tcBorders>
            <w:vAlign w:val="center"/>
            <w:hideMark/>
          </w:tcPr>
          <w:p w14:paraId="5A4E0AAF"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7EFCD3E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445A608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5A3698A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single" w:sz="4" w:space="0" w:color="auto"/>
              <w:right w:val="nil"/>
            </w:tcBorders>
            <w:noWrap/>
            <w:vAlign w:val="center"/>
            <w:hideMark/>
          </w:tcPr>
          <w:p w14:paraId="7B8BF91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43DEE14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0FECF5E3" w14:textId="77777777" w:rsidTr="00E016A0">
        <w:trPr>
          <w:trHeight w:val="232"/>
          <w:jc w:val="center"/>
        </w:trPr>
        <w:tc>
          <w:tcPr>
            <w:tcW w:w="0" w:type="auto"/>
            <w:vMerge w:val="restart"/>
            <w:tcBorders>
              <w:top w:val="nil"/>
              <w:left w:val="nil"/>
              <w:bottom w:val="single" w:sz="4" w:space="0" w:color="000000"/>
              <w:right w:val="nil"/>
            </w:tcBorders>
            <w:noWrap/>
            <w:vAlign w:val="center"/>
            <w:hideMark/>
          </w:tcPr>
          <w:p w14:paraId="529A15B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Working population</w:t>
            </w:r>
          </w:p>
        </w:tc>
        <w:tc>
          <w:tcPr>
            <w:tcW w:w="0" w:type="auto"/>
            <w:tcBorders>
              <w:top w:val="nil"/>
              <w:left w:val="nil"/>
              <w:bottom w:val="nil"/>
              <w:right w:val="nil"/>
            </w:tcBorders>
            <w:noWrap/>
            <w:vAlign w:val="center"/>
            <w:hideMark/>
          </w:tcPr>
          <w:p w14:paraId="7C3F5D9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25F6B42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46A733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2D2FB8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307DE6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70B8CAD0" w14:textId="77777777" w:rsidTr="00E016A0">
        <w:trPr>
          <w:trHeight w:val="232"/>
          <w:jc w:val="center"/>
        </w:trPr>
        <w:tc>
          <w:tcPr>
            <w:tcW w:w="0" w:type="auto"/>
            <w:vMerge/>
            <w:tcBorders>
              <w:top w:val="nil"/>
              <w:left w:val="nil"/>
              <w:bottom w:val="single" w:sz="4" w:space="0" w:color="000000"/>
              <w:right w:val="nil"/>
            </w:tcBorders>
            <w:vAlign w:val="center"/>
            <w:hideMark/>
          </w:tcPr>
          <w:p w14:paraId="10A1BA71"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77A44A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18A7F4E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E6B645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8F615D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3B062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43DD950C" w14:textId="77777777" w:rsidTr="00E016A0">
        <w:trPr>
          <w:trHeight w:val="232"/>
          <w:jc w:val="center"/>
        </w:trPr>
        <w:tc>
          <w:tcPr>
            <w:tcW w:w="0" w:type="auto"/>
            <w:vMerge/>
            <w:tcBorders>
              <w:top w:val="nil"/>
              <w:left w:val="nil"/>
              <w:bottom w:val="single" w:sz="4" w:space="0" w:color="000000"/>
              <w:right w:val="nil"/>
            </w:tcBorders>
            <w:vAlign w:val="center"/>
            <w:hideMark/>
          </w:tcPr>
          <w:p w14:paraId="7C498465"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B691A3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7A1E9B3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336AAB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6340C90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76D36D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4C6FCB03" w14:textId="77777777" w:rsidTr="00E016A0">
        <w:trPr>
          <w:trHeight w:val="232"/>
          <w:jc w:val="center"/>
        </w:trPr>
        <w:tc>
          <w:tcPr>
            <w:tcW w:w="0" w:type="auto"/>
            <w:vMerge/>
            <w:tcBorders>
              <w:top w:val="nil"/>
              <w:left w:val="nil"/>
              <w:bottom w:val="single" w:sz="4" w:space="0" w:color="000000"/>
              <w:right w:val="nil"/>
            </w:tcBorders>
            <w:vAlign w:val="center"/>
            <w:hideMark/>
          </w:tcPr>
          <w:p w14:paraId="26ABB704"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2498DD2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1768428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5CD4BC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FE1BCA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120E5F6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752D16F1" w14:textId="77777777" w:rsidTr="00E016A0">
        <w:trPr>
          <w:trHeight w:val="232"/>
          <w:jc w:val="center"/>
        </w:trPr>
        <w:tc>
          <w:tcPr>
            <w:tcW w:w="0" w:type="auto"/>
            <w:vMerge/>
            <w:tcBorders>
              <w:top w:val="nil"/>
              <w:left w:val="nil"/>
              <w:bottom w:val="single" w:sz="4" w:space="0" w:color="000000"/>
              <w:right w:val="nil"/>
            </w:tcBorders>
            <w:vAlign w:val="center"/>
            <w:hideMark/>
          </w:tcPr>
          <w:p w14:paraId="77CC19F0"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C0C02F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23D9FA5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C66DD1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0.14</w:t>
            </w:r>
          </w:p>
        </w:tc>
        <w:tc>
          <w:tcPr>
            <w:tcW w:w="0" w:type="auto"/>
            <w:tcBorders>
              <w:top w:val="nil"/>
              <w:left w:val="nil"/>
              <w:bottom w:val="nil"/>
              <w:right w:val="nil"/>
            </w:tcBorders>
            <w:noWrap/>
            <w:vAlign w:val="center"/>
            <w:hideMark/>
          </w:tcPr>
          <w:p w14:paraId="113D69C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7C0F61EF"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r>
      <w:tr w:rsidR="00452091" w:rsidRPr="00353AE1" w14:paraId="29E84287" w14:textId="77777777" w:rsidTr="00E016A0">
        <w:trPr>
          <w:trHeight w:val="232"/>
          <w:jc w:val="center"/>
        </w:trPr>
        <w:tc>
          <w:tcPr>
            <w:tcW w:w="0" w:type="auto"/>
            <w:vMerge/>
            <w:tcBorders>
              <w:top w:val="nil"/>
              <w:left w:val="nil"/>
              <w:bottom w:val="single" w:sz="4" w:space="0" w:color="000000"/>
              <w:right w:val="nil"/>
            </w:tcBorders>
            <w:vAlign w:val="center"/>
            <w:hideMark/>
          </w:tcPr>
          <w:p w14:paraId="5DD604F9"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7689B42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single" w:sz="4" w:space="0" w:color="auto"/>
              <w:right w:val="nil"/>
            </w:tcBorders>
            <w:noWrap/>
            <w:vAlign w:val="center"/>
            <w:hideMark/>
          </w:tcPr>
          <w:p w14:paraId="1BD1F58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60C4BAC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-0.03</w:t>
            </w:r>
          </w:p>
        </w:tc>
        <w:tc>
          <w:tcPr>
            <w:tcW w:w="0" w:type="auto"/>
            <w:tcBorders>
              <w:top w:val="nil"/>
              <w:left w:val="nil"/>
              <w:bottom w:val="single" w:sz="4" w:space="0" w:color="auto"/>
              <w:right w:val="nil"/>
            </w:tcBorders>
            <w:noWrap/>
            <w:vAlign w:val="center"/>
            <w:hideMark/>
          </w:tcPr>
          <w:p w14:paraId="763DEE0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single" w:sz="4" w:space="0" w:color="auto"/>
              <w:right w:val="nil"/>
            </w:tcBorders>
            <w:noWrap/>
            <w:vAlign w:val="center"/>
            <w:hideMark/>
          </w:tcPr>
          <w:p w14:paraId="40E19A4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r>
      <w:tr w:rsidR="00452091" w:rsidRPr="00353AE1" w14:paraId="1D2EB00C" w14:textId="77777777" w:rsidTr="00E016A0">
        <w:trPr>
          <w:trHeight w:val="232"/>
          <w:jc w:val="center"/>
        </w:trPr>
        <w:tc>
          <w:tcPr>
            <w:tcW w:w="0" w:type="auto"/>
            <w:tcBorders>
              <w:top w:val="nil"/>
              <w:left w:val="nil"/>
              <w:bottom w:val="nil"/>
              <w:right w:val="nil"/>
            </w:tcBorders>
            <w:noWrap/>
            <w:vAlign w:val="center"/>
            <w:hideMark/>
          </w:tcPr>
          <w:p w14:paraId="4E4CF961" w14:textId="77777777" w:rsidR="00452091" w:rsidRPr="00E016A0" w:rsidRDefault="00452091" w:rsidP="00E016A0">
            <w:pPr>
              <w:widowControl/>
              <w:spacing w:line="200" w:lineRule="exact"/>
              <w:jc w:val="center"/>
              <w:rPr>
                <w:rFonts w:eastAsia="Times New Roman"/>
                <w:color w:val="000000"/>
                <w:kern w:val="0"/>
                <w:sz w:val="18"/>
                <w:szCs w:val="18"/>
                <w:lang w:val="en-GB"/>
              </w:rPr>
            </w:pPr>
          </w:p>
        </w:tc>
        <w:tc>
          <w:tcPr>
            <w:tcW w:w="0" w:type="auto"/>
            <w:tcBorders>
              <w:top w:val="nil"/>
              <w:left w:val="nil"/>
              <w:bottom w:val="single" w:sz="4" w:space="0" w:color="auto"/>
              <w:right w:val="nil"/>
            </w:tcBorders>
            <w:noWrap/>
            <w:vAlign w:val="center"/>
            <w:hideMark/>
          </w:tcPr>
          <w:p w14:paraId="7A07CAE3" w14:textId="77777777" w:rsidR="00452091" w:rsidRPr="00E016A0" w:rsidRDefault="00452091" w:rsidP="00E016A0">
            <w:pPr>
              <w:widowControl/>
              <w:spacing w:line="200" w:lineRule="exact"/>
              <w:jc w:val="left"/>
              <w:rPr>
                <w:rFonts w:eastAsia="Times New Roman"/>
                <w:i/>
                <w:iCs/>
                <w:color w:val="000000"/>
                <w:kern w:val="0"/>
                <w:sz w:val="18"/>
                <w:szCs w:val="18"/>
                <w:lang w:val="en-GB"/>
              </w:rPr>
            </w:pPr>
            <w:r w:rsidRPr="00E016A0">
              <w:rPr>
                <w:rFonts w:eastAsia="Times New Roman"/>
                <w:i/>
                <w:iCs/>
                <w:color w:val="000000"/>
                <w:kern w:val="0"/>
                <w:sz w:val="18"/>
                <w:szCs w:val="18"/>
                <w:lang w:val="en-GB"/>
              </w:rPr>
              <w:t> </w:t>
            </w:r>
          </w:p>
        </w:tc>
        <w:tc>
          <w:tcPr>
            <w:tcW w:w="0" w:type="auto"/>
            <w:gridSpan w:val="2"/>
            <w:tcBorders>
              <w:top w:val="single" w:sz="4" w:space="0" w:color="auto"/>
              <w:left w:val="nil"/>
              <w:bottom w:val="single" w:sz="4" w:space="0" w:color="auto"/>
              <w:right w:val="nil"/>
            </w:tcBorders>
            <w:vAlign w:val="center"/>
            <w:hideMark/>
          </w:tcPr>
          <w:p w14:paraId="17FF5FB4" w14:textId="77777777" w:rsidR="00452091" w:rsidRPr="00E016A0" w:rsidRDefault="00452091" w:rsidP="00E016A0">
            <w:pPr>
              <w:widowControl/>
              <w:spacing w:line="200" w:lineRule="exact"/>
              <w:jc w:val="center"/>
              <w:rPr>
                <w:rFonts w:eastAsia="Times New Roman"/>
                <w:i/>
                <w:iCs/>
                <w:color w:val="000000"/>
                <w:kern w:val="0"/>
                <w:sz w:val="18"/>
                <w:szCs w:val="18"/>
                <w:lang w:val="en-GB"/>
              </w:rPr>
            </w:pPr>
            <w:r w:rsidRPr="00E016A0">
              <w:rPr>
                <w:rFonts w:eastAsia="Times New Roman"/>
                <w:i/>
                <w:iCs/>
                <w:color w:val="000000"/>
                <w:kern w:val="0"/>
                <w:sz w:val="18"/>
                <w:szCs w:val="18"/>
                <w:lang w:val="en-GB"/>
              </w:rPr>
              <w:t xml:space="preserve">Percentage point deviation </w:t>
            </w:r>
            <w:r w:rsidRPr="00E016A0">
              <w:rPr>
                <w:rFonts w:eastAsia="Times New Roman"/>
                <w:i/>
                <w:iCs/>
                <w:color w:val="000000"/>
                <w:kern w:val="0"/>
                <w:sz w:val="18"/>
                <w:szCs w:val="18"/>
                <w:lang w:val="en-GB"/>
              </w:rPr>
              <w:br/>
              <w:t>from baseline</w:t>
            </w:r>
          </w:p>
        </w:tc>
        <w:tc>
          <w:tcPr>
            <w:tcW w:w="0" w:type="auto"/>
            <w:gridSpan w:val="2"/>
            <w:tcBorders>
              <w:top w:val="single" w:sz="4" w:space="0" w:color="auto"/>
              <w:left w:val="nil"/>
              <w:bottom w:val="single" w:sz="4" w:space="0" w:color="auto"/>
              <w:right w:val="nil"/>
            </w:tcBorders>
            <w:vAlign w:val="center"/>
            <w:hideMark/>
          </w:tcPr>
          <w:p w14:paraId="3B072BF9" w14:textId="77777777" w:rsidR="00452091" w:rsidRPr="00E016A0" w:rsidRDefault="00452091" w:rsidP="00E016A0">
            <w:pPr>
              <w:widowControl/>
              <w:spacing w:line="200" w:lineRule="exact"/>
              <w:jc w:val="center"/>
              <w:rPr>
                <w:rFonts w:eastAsia="Times New Roman"/>
                <w:i/>
                <w:iCs/>
                <w:color w:val="000000"/>
                <w:kern w:val="0"/>
                <w:sz w:val="18"/>
                <w:szCs w:val="18"/>
                <w:lang w:val="en-GB"/>
              </w:rPr>
            </w:pPr>
            <w:r w:rsidRPr="00E016A0">
              <w:rPr>
                <w:rFonts w:eastAsia="Times New Roman"/>
                <w:i/>
                <w:iCs/>
                <w:color w:val="000000"/>
                <w:kern w:val="0"/>
                <w:sz w:val="18"/>
                <w:szCs w:val="18"/>
                <w:lang w:val="en-GB"/>
              </w:rPr>
              <w:t xml:space="preserve">Percentage point deviation </w:t>
            </w:r>
            <w:r w:rsidRPr="00E016A0">
              <w:rPr>
                <w:rFonts w:eastAsia="Times New Roman"/>
                <w:i/>
                <w:iCs/>
                <w:color w:val="000000"/>
                <w:kern w:val="0"/>
                <w:sz w:val="18"/>
                <w:szCs w:val="18"/>
                <w:lang w:val="en-GB"/>
              </w:rPr>
              <w:br/>
              <w:t>from baseline</w:t>
            </w:r>
          </w:p>
        </w:tc>
      </w:tr>
      <w:tr w:rsidR="00452091" w:rsidRPr="00353AE1" w14:paraId="3145616D" w14:textId="77777777" w:rsidTr="00E016A0">
        <w:trPr>
          <w:trHeight w:val="232"/>
          <w:jc w:val="center"/>
        </w:trPr>
        <w:tc>
          <w:tcPr>
            <w:tcW w:w="0" w:type="auto"/>
            <w:vMerge w:val="restart"/>
            <w:tcBorders>
              <w:top w:val="single" w:sz="4" w:space="0" w:color="auto"/>
              <w:left w:val="nil"/>
              <w:bottom w:val="double" w:sz="6" w:space="0" w:color="000000"/>
              <w:right w:val="nil"/>
            </w:tcBorders>
            <w:noWrap/>
            <w:vAlign w:val="center"/>
            <w:hideMark/>
          </w:tcPr>
          <w:p w14:paraId="232485DE"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Unemployment rate</w:t>
            </w:r>
          </w:p>
        </w:tc>
        <w:tc>
          <w:tcPr>
            <w:tcW w:w="0" w:type="auto"/>
            <w:tcBorders>
              <w:top w:val="nil"/>
              <w:left w:val="nil"/>
              <w:bottom w:val="nil"/>
              <w:right w:val="nil"/>
            </w:tcBorders>
            <w:noWrap/>
            <w:vAlign w:val="center"/>
            <w:hideMark/>
          </w:tcPr>
          <w:p w14:paraId="4B30506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NSW&amp;ACT</w:t>
            </w:r>
          </w:p>
        </w:tc>
        <w:tc>
          <w:tcPr>
            <w:tcW w:w="0" w:type="auto"/>
            <w:tcBorders>
              <w:top w:val="nil"/>
              <w:left w:val="nil"/>
              <w:bottom w:val="nil"/>
              <w:right w:val="nil"/>
            </w:tcBorders>
            <w:noWrap/>
            <w:vAlign w:val="center"/>
            <w:hideMark/>
          </w:tcPr>
          <w:p w14:paraId="1788F5C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7C48B66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C8A0CE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71D7CB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3CB1ACAE" w14:textId="77777777" w:rsidTr="00E016A0">
        <w:trPr>
          <w:trHeight w:val="232"/>
          <w:jc w:val="center"/>
        </w:trPr>
        <w:tc>
          <w:tcPr>
            <w:tcW w:w="0" w:type="auto"/>
            <w:vMerge/>
            <w:tcBorders>
              <w:top w:val="single" w:sz="4" w:space="0" w:color="auto"/>
              <w:left w:val="nil"/>
              <w:bottom w:val="double" w:sz="6" w:space="0" w:color="000000"/>
              <w:right w:val="nil"/>
            </w:tcBorders>
            <w:vAlign w:val="center"/>
            <w:hideMark/>
          </w:tcPr>
          <w:p w14:paraId="4DB7653E"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0FB3E2C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VIC</w:t>
            </w:r>
          </w:p>
        </w:tc>
        <w:tc>
          <w:tcPr>
            <w:tcW w:w="0" w:type="auto"/>
            <w:tcBorders>
              <w:top w:val="nil"/>
              <w:left w:val="nil"/>
              <w:bottom w:val="nil"/>
              <w:right w:val="nil"/>
            </w:tcBorders>
            <w:noWrap/>
            <w:vAlign w:val="center"/>
            <w:hideMark/>
          </w:tcPr>
          <w:p w14:paraId="030FAB5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B2BC6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96422B7"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019498AC"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08EEAFA6" w14:textId="77777777" w:rsidTr="00E016A0">
        <w:trPr>
          <w:trHeight w:val="232"/>
          <w:jc w:val="center"/>
        </w:trPr>
        <w:tc>
          <w:tcPr>
            <w:tcW w:w="0" w:type="auto"/>
            <w:vMerge/>
            <w:tcBorders>
              <w:top w:val="single" w:sz="4" w:space="0" w:color="auto"/>
              <w:left w:val="nil"/>
              <w:bottom w:val="double" w:sz="6" w:space="0" w:color="000000"/>
              <w:right w:val="nil"/>
            </w:tcBorders>
            <w:vAlign w:val="center"/>
            <w:hideMark/>
          </w:tcPr>
          <w:p w14:paraId="073A5529"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63E1C73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QLD</w:t>
            </w:r>
          </w:p>
        </w:tc>
        <w:tc>
          <w:tcPr>
            <w:tcW w:w="0" w:type="auto"/>
            <w:tcBorders>
              <w:top w:val="nil"/>
              <w:left w:val="nil"/>
              <w:bottom w:val="nil"/>
              <w:right w:val="nil"/>
            </w:tcBorders>
            <w:noWrap/>
            <w:vAlign w:val="center"/>
            <w:hideMark/>
          </w:tcPr>
          <w:p w14:paraId="67A50B4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41ADC13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41DB07F8"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0ACD818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430DA2EC" w14:textId="77777777" w:rsidTr="00E016A0">
        <w:trPr>
          <w:trHeight w:val="232"/>
          <w:jc w:val="center"/>
        </w:trPr>
        <w:tc>
          <w:tcPr>
            <w:tcW w:w="0" w:type="auto"/>
            <w:vMerge/>
            <w:tcBorders>
              <w:top w:val="single" w:sz="4" w:space="0" w:color="auto"/>
              <w:left w:val="nil"/>
              <w:bottom w:val="double" w:sz="6" w:space="0" w:color="000000"/>
              <w:right w:val="nil"/>
            </w:tcBorders>
            <w:vAlign w:val="center"/>
            <w:hideMark/>
          </w:tcPr>
          <w:p w14:paraId="47D52F19"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587CA9F9"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SA</w:t>
            </w:r>
          </w:p>
        </w:tc>
        <w:tc>
          <w:tcPr>
            <w:tcW w:w="0" w:type="auto"/>
            <w:tcBorders>
              <w:top w:val="nil"/>
              <w:left w:val="nil"/>
              <w:bottom w:val="nil"/>
              <w:right w:val="nil"/>
            </w:tcBorders>
            <w:noWrap/>
            <w:vAlign w:val="center"/>
            <w:hideMark/>
          </w:tcPr>
          <w:p w14:paraId="419191C5"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-0.02</w:t>
            </w:r>
          </w:p>
        </w:tc>
        <w:tc>
          <w:tcPr>
            <w:tcW w:w="0" w:type="auto"/>
            <w:tcBorders>
              <w:top w:val="nil"/>
              <w:left w:val="nil"/>
              <w:bottom w:val="nil"/>
              <w:right w:val="nil"/>
            </w:tcBorders>
            <w:noWrap/>
            <w:vAlign w:val="center"/>
            <w:hideMark/>
          </w:tcPr>
          <w:p w14:paraId="0892040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64B0D1F0"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nil"/>
              <w:right w:val="nil"/>
            </w:tcBorders>
            <w:noWrap/>
            <w:vAlign w:val="center"/>
            <w:hideMark/>
          </w:tcPr>
          <w:p w14:paraId="6E72BEC6"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1EDBD78C" w14:textId="77777777" w:rsidTr="00E016A0">
        <w:trPr>
          <w:trHeight w:val="232"/>
          <w:jc w:val="center"/>
        </w:trPr>
        <w:tc>
          <w:tcPr>
            <w:tcW w:w="0" w:type="auto"/>
            <w:vMerge/>
            <w:tcBorders>
              <w:top w:val="single" w:sz="4" w:space="0" w:color="auto"/>
              <w:left w:val="nil"/>
              <w:bottom w:val="double" w:sz="6" w:space="0" w:color="000000"/>
              <w:right w:val="nil"/>
            </w:tcBorders>
            <w:vAlign w:val="center"/>
            <w:hideMark/>
          </w:tcPr>
          <w:p w14:paraId="7D300E46"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nil"/>
              <w:right w:val="nil"/>
            </w:tcBorders>
            <w:noWrap/>
            <w:vAlign w:val="center"/>
            <w:hideMark/>
          </w:tcPr>
          <w:p w14:paraId="37A08BC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TAS</w:t>
            </w:r>
          </w:p>
        </w:tc>
        <w:tc>
          <w:tcPr>
            <w:tcW w:w="0" w:type="auto"/>
            <w:tcBorders>
              <w:top w:val="nil"/>
              <w:left w:val="nil"/>
              <w:bottom w:val="nil"/>
              <w:right w:val="nil"/>
            </w:tcBorders>
            <w:noWrap/>
            <w:vAlign w:val="center"/>
            <w:hideMark/>
          </w:tcPr>
          <w:p w14:paraId="251EAD41"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-0.07</w:t>
            </w:r>
          </w:p>
        </w:tc>
        <w:tc>
          <w:tcPr>
            <w:tcW w:w="0" w:type="auto"/>
            <w:tcBorders>
              <w:top w:val="nil"/>
              <w:left w:val="nil"/>
              <w:bottom w:val="nil"/>
              <w:right w:val="nil"/>
            </w:tcBorders>
            <w:noWrap/>
            <w:vAlign w:val="center"/>
            <w:hideMark/>
          </w:tcPr>
          <w:p w14:paraId="24E9624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nil"/>
              <w:right w:val="nil"/>
            </w:tcBorders>
            <w:noWrap/>
            <w:vAlign w:val="center"/>
            <w:hideMark/>
          </w:tcPr>
          <w:p w14:paraId="286C9C42"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-0.04</w:t>
            </w:r>
          </w:p>
        </w:tc>
        <w:tc>
          <w:tcPr>
            <w:tcW w:w="0" w:type="auto"/>
            <w:tcBorders>
              <w:top w:val="nil"/>
              <w:left w:val="nil"/>
              <w:bottom w:val="nil"/>
              <w:right w:val="nil"/>
            </w:tcBorders>
            <w:noWrap/>
            <w:vAlign w:val="center"/>
            <w:hideMark/>
          </w:tcPr>
          <w:p w14:paraId="69B34E9D"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r w:rsidR="00452091" w:rsidRPr="00353AE1" w14:paraId="5CB8A79F" w14:textId="77777777" w:rsidTr="00E016A0">
        <w:trPr>
          <w:trHeight w:val="232"/>
          <w:jc w:val="center"/>
        </w:trPr>
        <w:tc>
          <w:tcPr>
            <w:tcW w:w="0" w:type="auto"/>
            <w:vMerge/>
            <w:tcBorders>
              <w:top w:val="single" w:sz="4" w:space="0" w:color="auto"/>
              <w:left w:val="nil"/>
              <w:bottom w:val="double" w:sz="6" w:space="0" w:color="000000"/>
              <w:right w:val="nil"/>
            </w:tcBorders>
            <w:vAlign w:val="center"/>
            <w:hideMark/>
          </w:tcPr>
          <w:p w14:paraId="72E8C8A8" w14:textId="77777777" w:rsidR="00452091" w:rsidRPr="00E016A0" w:rsidRDefault="00452091" w:rsidP="00E016A0">
            <w:pPr>
              <w:widowControl/>
              <w:spacing w:line="200" w:lineRule="exact"/>
              <w:jc w:val="left"/>
              <w:rPr>
                <w:rFonts w:eastAsia="Times New Roman"/>
                <w:color w:val="000000"/>
                <w:kern w:val="0"/>
                <w:sz w:val="18"/>
                <w:szCs w:val="18"/>
                <w:lang w:val="en-GB"/>
              </w:rPr>
            </w:pPr>
          </w:p>
        </w:tc>
        <w:tc>
          <w:tcPr>
            <w:tcW w:w="0" w:type="auto"/>
            <w:tcBorders>
              <w:top w:val="nil"/>
              <w:left w:val="nil"/>
              <w:bottom w:val="double" w:sz="6" w:space="0" w:color="auto"/>
              <w:right w:val="nil"/>
            </w:tcBorders>
            <w:noWrap/>
            <w:vAlign w:val="center"/>
            <w:hideMark/>
          </w:tcPr>
          <w:p w14:paraId="6766DB1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WA&amp;NT</w:t>
            </w:r>
          </w:p>
        </w:tc>
        <w:tc>
          <w:tcPr>
            <w:tcW w:w="0" w:type="auto"/>
            <w:tcBorders>
              <w:top w:val="nil"/>
              <w:left w:val="nil"/>
              <w:bottom w:val="double" w:sz="6" w:space="0" w:color="auto"/>
              <w:right w:val="nil"/>
            </w:tcBorders>
            <w:noWrap/>
            <w:vAlign w:val="center"/>
            <w:hideMark/>
          </w:tcPr>
          <w:p w14:paraId="6FEF6674"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-0.01</w:t>
            </w:r>
          </w:p>
        </w:tc>
        <w:tc>
          <w:tcPr>
            <w:tcW w:w="0" w:type="auto"/>
            <w:tcBorders>
              <w:top w:val="nil"/>
              <w:left w:val="nil"/>
              <w:bottom w:val="double" w:sz="6" w:space="0" w:color="auto"/>
              <w:right w:val="nil"/>
            </w:tcBorders>
            <w:noWrap/>
            <w:vAlign w:val="center"/>
            <w:hideMark/>
          </w:tcPr>
          <w:p w14:paraId="4E3A6853"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double" w:sz="6" w:space="0" w:color="auto"/>
              <w:right w:val="nil"/>
            </w:tcBorders>
            <w:noWrap/>
            <w:vAlign w:val="center"/>
            <w:hideMark/>
          </w:tcPr>
          <w:p w14:paraId="31C11F7B"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c>
          <w:tcPr>
            <w:tcW w:w="0" w:type="auto"/>
            <w:tcBorders>
              <w:top w:val="nil"/>
              <w:left w:val="nil"/>
              <w:bottom w:val="double" w:sz="6" w:space="0" w:color="auto"/>
              <w:right w:val="nil"/>
            </w:tcBorders>
            <w:noWrap/>
            <w:vAlign w:val="center"/>
            <w:hideMark/>
          </w:tcPr>
          <w:p w14:paraId="58E177AA" w14:textId="77777777" w:rsidR="00452091" w:rsidRPr="00E016A0" w:rsidRDefault="00452091" w:rsidP="00E016A0">
            <w:pPr>
              <w:widowControl/>
              <w:spacing w:line="200" w:lineRule="exact"/>
              <w:jc w:val="center"/>
              <w:rPr>
                <w:rFonts w:eastAsia="Times New Roman"/>
                <w:color w:val="000000"/>
                <w:kern w:val="0"/>
                <w:sz w:val="18"/>
                <w:szCs w:val="18"/>
                <w:lang w:val="en-GB"/>
              </w:rPr>
            </w:pPr>
            <w:r w:rsidRPr="00E016A0">
              <w:rPr>
                <w:rFonts w:eastAsia="Times New Roman"/>
                <w:color w:val="000000"/>
                <w:kern w:val="0"/>
                <w:sz w:val="18"/>
                <w:szCs w:val="18"/>
                <w:lang w:val="en-GB"/>
              </w:rPr>
              <w:t>0.00</w:t>
            </w:r>
          </w:p>
        </w:tc>
      </w:tr>
    </w:tbl>
    <w:p w14:paraId="0DB0E45D" w14:textId="7E2B580A" w:rsidR="00D55680" w:rsidRPr="00353AE1" w:rsidRDefault="00D55680" w:rsidP="00E016A0">
      <w:pPr>
        <w:spacing w:after="120"/>
      </w:pPr>
    </w:p>
    <w:p w14:paraId="6B258B12" w14:textId="3938DDDD" w:rsidR="004C7953" w:rsidRPr="00353AE1" w:rsidRDefault="004C7953" w:rsidP="00B34CF5">
      <w:pPr>
        <w:pStyle w:val="Heading2"/>
        <w:spacing w:before="0" w:after="120"/>
        <w:jc w:val="left"/>
        <w:rPr>
          <w:rStyle w:val="SubtleEmphasis"/>
          <w:rFonts w:eastAsiaTheme="minorEastAsia" w:cs="Calibri"/>
          <w:i w:val="0"/>
          <w:iCs w:val="0"/>
          <w:color w:val="auto"/>
          <w:sz w:val="22"/>
          <w:szCs w:val="22"/>
        </w:rPr>
      </w:pPr>
      <w:bookmarkStart w:id="103" w:name="_Toc234277243"/>
      <w:r w:rsidRPr="00353AE1">
        <w:rPr>
          <w:rStyle w:val="SubtleEmphasis"/>
          <w:rFonts w:cs="Calibri"/>
          <w:i w:val="0"/>
          <w:iCs w:val="0"/>
          <w:color w:val="auto"/>
        </w:rPr>
        <w:lastRenderedPageBreak/>
        <w:t>5.</w:t>
      </w:r>
      <w:r w:rsidR="006575EA" w:rsidRPr="00353AE1">
        <w:rPr>
          <w:rStyle w:val="SubtleEmphasis"/>
          <w:rFonts w:cs="Calibri"/>
          <w:i w:val="0"/>
          <w:iCs w:val="0"/>
          <w:color w:val="auto"/>
        </w:rPr>
        <w:t>5</w:t>
      </w:r>
      <w:r w:rsidRPr="00353AE1">
        <w:rPr>
          <w:rStyle w:val="SubtleEmphasis"/>
          <w:rFonts w:cs="Calibri"/>
          <w:i w:val="0"/>
          <w:iCs w:val="0"/>
          <w:color w:val="auto"/>
        </w:rPr>
        <w:t xml:space="preserve"> Government </w:t>
      </w:r>
      <w:r w:rsidR="00215683" w:rsidRPr="00353AE1">
        <w:rPr>
          <w:rStyle w:val="SubtleEmphasis"/>
          <w:rFonts w:cs="Calibri"/>
          <w:i w:val="0"/>
          <w:iCs w:val="0"/>
          <w:color w:val="auto"/>
        </w:rPr>
        <w:t xml:space="preserve">Budget </w:t>
      </w:r>
      <w:r w:rsidRPr="00353AE1">
        <w:rPr>
          <w:rStyle w:val="SubtleEmphasis"/>
          <w:rFonts w:cs="Calibri"/>
          <w:i w:val="0"/>
          <w:iCs w:val="0"/>
          <w:color w:val="auto"/>
        </w:rPr>
        <w:t>Impacts</w:t>
      </w:r>
      <w:bookmarkEnd w:id="103"/>
    </w:p>
    <w:p w14:paraId="12783419" w14:textId="4F7C3A9A" w:rsidR="00AF4FA2" w:rsidRPr="00353AE1" w:rsidRDefault="00AF4FA2" w:rsidP="00B34CF5">
      <w:pPr>
        <w:spacing w:after="120"/>
        <w:jc w:val="left"/>
      </w:pPr>
      <w:r w:rsidRPr="00353AE1">
        <w:t xml:space="preserve">Table </w:t>
      </w:r>
      <w:r w:rsidR="00D162FE" w:rsidRPr="00353AE1">
        <w:t xml:space="preserve">18 </w:t>
      </w:r>
      <w:r w:rsidR="004670CF" w:rsidRPr="00353AE1">
        <w:t>reports the net budget position by level of government in Scenario 2.</w:t>
      </w:r>
      <w:r w:rsidR="0001347A" w:rsidRPr="00353AE1">
        <w:t xml:space="preserve"> </w:t>
      </w:r>
      <w:r w:rsidR="005A466F" w:rsidRPr="00353AE1">
        <w:t>M</w:t>
      </w:r>
      <w:r w:rsidR="0001347A" w:rsidRPr="00353AE1">
        <w:t xml:space="preserve">ore detailed </w:t>
      </w:r>
      <w:r w:rsidR="00DD47A8" w:rsidRPr="00353AE1">
        <w:t xml:space="preserve">federal and state </w:t>
      </w:r>
      <w:r w:rsidR="00891B80" w:rsidRPr="00353AE1">
        <w:t xml:space="preserve">taxation outcomes </w:t>
      </w:r>
      <w:r w:rsidR="00DD47A8" w:rsidRPr="00353AE1">
        <w:t>are reported in the</w:t>
      </w:r>
      <w:r w:rsidR="00891B80" w:rsidRPr="00353AE1">
        <w:t xml:space="preserve"> accompanying </w:t>
      </w:r>
      <w:r w:rsidR="006A3196" w:rsidRPr="00353AE1">
        <w:t>spreadsheet</w:t>
      </w:r>
      <w:r w:rsidR="00891B80" w:rsidRPr="00353AE1">
        <w:t>; see</w:t>
      </w:r>
      <w:r w:rsidR="006A3196" w:rsidRPr="00353AE1">
        <w:t xml:space="preserve"> “Summary_S2A”</w:t>
      </w:r>
      <w:r w:rsidR="00C43C6E" w:rsidRPr="00353AE1">
        <w:t xml:space="preserve"> and “Summary_S2B”</w:t>
      </w:r>
      <w:r w:rsidR="001723F2" w:rsidRPr="00353AE1">
        <w:t>.</w:t>
      </w:r>
    </w:p>
    <w:p w14:paraId="59D234E0" w14:textId="35AAD0D2" w:rsidR="00710144" w:rsidRPr="00353AE1" w:rsidRDefault="001341F2" w:rsidP="00B34CF5">
      <w:pPr>
        <w:spacing w:after="120"/>
        <w:jc w:val="left"/>
      </w:pPr>
      <w:r w:rsidRPr="00353AE1">
        <w:t>Like</w:t>
      </w:r>
      <w:r w:rsidR="00BF4B89" w:rsidRPr="00353AE1">
        <w:t xml:space="preserve"> Scenario 1, GST, personal income tax and corporate income tax revenues all rise relative to baseline, reflecting overall stronger economic activity and incomes.</w:t>
      </w:r>
      <w:r w:rsidR="00891B80" w:rsidRPr="00353AE1">
        <w:t xml:space="preserve"> GST revenue rises gradually over time, from $0.5 million in 2026 to $22.9 million by 2040. The rise in GST is however accompanied by a rise in GST distributions from the federal government to the states, and thus has no net impact on the federal budget position relative to baseline.</w:t>
      </w:r>
      <w:r w:rsidR="00BF4B89" w:rsidRPr="00353AE1">
        <w:t xml:space="preserve"> </w:t>
      </w:r>
    </w:p>
    <w:p w14:paraId="51D72EEA" w14:textId="12A84051" w:rsidR="00C75174" w:rsidRPr="00353AE1" w:rsidRDefault="00E607D6" w:rsidP="00B34CF5">
      <w:pPr>
        <w:spacing w:after="120"/>
        <w:jc w:val="left"/>
      </w:pPr>
      <w:r w:rsidRPr="00353AE1">
        <w:t>P</w:t>
      </w:r>
      <w:r w:rsidR="00C75174" w:rsidRPr="00353AE1">
        <w:t xml:space="preserve">ersonal income tax </w:t>
      </w:r>
      <w:r w:rsidR="001341F2" w:rsidRPr="00353AE1">
        <w:t xml:space="preserve">receipts rise </w:t>
      </w:r>
      <w:r w:rsidR="00C75174" w:rsidRPr="00353AE1">
        <w:t xml:space="preserve">by $6.8 million in 2026 and $137.9 million by 2040. Corporate income tax rises by $110.9 million in 2026 and remains $75.4 million above baseline by 2040. </w:t>
      </w:r>
    </w:p>
    <w:p w14:paraId="2E098338" w14:textId="77777777" w:rsidR="000E2966" w:rsidRPr="00353AE1" w:rsidRDefault="00A0243D" w:rsidP="00B34CF5">
      <w:pPr>
        <w:spacing w:after="120"/>
        <w:jc w:val="left"/>
      </w:pPr>
      <w:r w:rsidRPr="00353AE1">
        <w:t>By contrast, e</w:t>
      </w:r>
      <w:r w:rsidR="00C75174" w:rsidRPr="00353AE1">
        <w:t>xcises and levies fall by $25.8 million in 2026 and remain below baseline throughout the simulation horizon. This reflects reduced fuel use associated with improved Road Freight productivity and lower commercial vehicle input requirements per unit of freight output</w:t>
      </w:r>
      <w:r w:rsidR="00A25E10" w:rsidRPr="00353AE1">
        <w:t xml:space="preserve"> at the national level</w:t>
      </w:r>
      <w:r w:rsidR="00C75174" w:rsidRPr="00353AE1">
        <w:t xml:space="preserve">. </w:t>
      </w:r>
    </w:p>
    <w:p w14:paraId="54D03BD8" w14:textId="40A5C89F" w:rsidR="00986231" w:rsidRPr="00353AE1" w:rsidRDefault="00CF7202" w:rsidP="00B34CF5">
      <w:pPr>
        <w:spacing w:after="120"/>
        <w:jc w:val="left"/>
      </w:pPr>
      <w:r w:rsidRPr="00353AE1">
        <w:t>Overall, the net budget position improves at both the federal and aggregate state/local government levels</w:t>
      </w:r>
      <w:r w:rsidR="00140CB7" w:rsidRPr="00353AE1">
        <w:t xml:space="preserve"> in the shock year. </w:t>
      </w:r>
      <w:r w:rsidR="00986231" w:rsidRPr="00353AE1">
        <w:t>As discussed in Section 4.5, this represents a fiscal improvement that is returned to households through direct transfers</w:t>
      </w:r>
      <w:r w:rsidR="00676C42" w:rsidRPr="00353AE1">
        <w:t xml:space="preserve">, </w:t>
      </w:r>
      <w:r w:rsidR="009E4CB2" w:rsidRPr="00353AE1">
        <w:t xml:space="preserve">providing </w:t>
      </w:r>
      <w:r w:rsidR="00676C42" w:rsidRPr="00353AE1">
        <w:t xml:space="preserve">a small positive income effect </w:t>
      </w:r>
      <w:r w:rsidR="00AB17B6" w:rsidRPr="00353AE1">
        <w:t xml:space="preserve">that </w:t>
      </w:r>
      <w:r w:rsidR="00373BD7" w:rsidRPr="00353AE1">
        <w:t>contributes to the positive</w:t>
      </w:r>
      <w:r w:rsidR="00AB17B6" w:rsidRPr="00353AE1">
        <w:t xml:space="preserve"> household consumption</w:t>
      </w:r>
      <w:r w:rsidR="00CB3AF0" w:rsidRPr="00353AE1">
        <w:t xml:space="preserve"> </w:t>
      </w:r>
      <w:r w:rsidR="00373BD7" w:rsidRPr="00353AE1">
        <w:t>deviation, reinforcing the direct</w:t>
      </w:r>
      <w:r w:rsidR="00E07294" w:rsidRPr="00353AE1">
        <w:t xml:space="preserve"> effect </w:t>
      </w:r>
      <w:r w:rsidR="00373BD7" w:rsidRPr="00353AE1">
        <w:t xml:space="preserve">of </w:t>
      </w:r>
      <w:r w:rsidR="00E07294" w:rsidRPr="00353AE1">
        <w:t>the Road Freight MFP improvement</w:t>
      </w:r>
      <w:r w:rsidR="00986231" w:rsidRPr="00353AE1">
        <w:t xml:space="preserve">. </w:t>
      </w:r>
    </w:p>
    <w:p w14:paraId="6046E24C" w14:textId="330E6171" w:rsidR="004D58DE" w:rsidRPr="00353AE1" w:rsidRDefault="00373BD7" w:rsidP="00714695">
      <w:pPr>
        <w:spacing w:after="120"/>
        <w:jc w:val="left"/>
      </w:pPr>
      <w:r w:rsidRPr="00353AE1">
        <w:t xml:space="preserve">TAS </w:t>
      </w:r>
      <w:r w:rsidR="00010033" w:rsidRPr="00353AE1">
        <w:t>experiences strong population inflow that raises public expenditure obligations</w:t>
      </w:r>
      <w:r w:rsidR="00CD0F87" w:rsidRPr="00353AE1">
        <w:t xml:space="preserve">, </w:t>
      </w:r>
      <w:r w:rsidR="00833522" w:rsidRPr="00353AE1">
        <w:t>offset</w:t>
      </w:r>
      <w:r w:rsidR="00A8770C" w:rsidRPr="00353AE1">
        <w:t>ting</w:t>
      </w:r>
      <w:r w:rsidR="00D97058" w:rsidRPr="00353AE1">
        <w:t xml:space="preserve"> </w:t>
      </w:r>
      <w:r w:rsidR="008969DA" w:rsidRPr="00353AE1">
        <w:t>a larger part of revenue gains from the productivity improvement</w:t>
      </w:r>
      <w:r w:rsidR="00644916" w:rsidRPr="00353AE1">
        <w:t xml:space="preserve"> over time</w:t>
      </w:r>
      <w:r w:rsidR="004A41A9" w:rsidRPr="00353AE1">
        <w:t>.</w:t>
      </w:r>
      <w:r w:rsidR="001E4582" w:rsidRPr="00353AE1">
        <w:t xml:space="preserve"> </w:t>
      </w:r>
      <w:r w:rsidR="00331CD4" w:rsidRPr="00353AE1">
        <w:t>By 2040, this effect dominates the revenue gains at the state/local government level, leading to a shortfall in state government budgets</w:t>
      </w:r>
      <w:r w:rsidR="00DE008B" w:rsidRPr="00353AE1">
        <w:t xml:space="preserve"> for TAS</w:t>
      </w:r>
      <w:r w:rsidR="00331CD4" w:rsidRPr="00353AE1">
        <w:t>.</w:t>
      </w:r>
      <w:r w:rsidR="00E620C2" w:rsidRPr="00353AE1">
        <w:t xml:space="preserve"> </w:t>
      </w:r>
      <w:r w:rsidR="00A9629D" w:rsidRPr="00353AE1">
        <w:t>WA&amp;NT also records a modest improvement in its fiscal position, despite not being part of the NAAS states where the Road Freight MFP shock is applied in Scenario 2. This indicates that WA&amp;NT still benefits fiscally from the broader national expansion.</w:t>
      </w:r>
    </w:p>
    <w:p w14:paraId="50A1E59A" w14:textId="4CB88972" w:rsidR="008E77B7" w:rsidRPr="00353AE1" w:rsidRDefault="008E77B7" w:rsidP="00714695">
      <w:pPr>
        <w:widowControl/>
        <w:jc w:val="left"/>
      </w:pPr>
      <w:r w:rsidRPr="00353AE1">
        <w:br w:type="page"/>
      </w:r>
    </w:p>
    <w:p w14:paraId="35FD29F4" w14:textId="77777777" w:rsidR="001341F2" w:rsidRPr="00353AE1" w:rsidRDefault="001341F2" w:rsidP="00B34CF5">
      <w:pPr>
        <w:spacing w:after="120"/>
        <w:jc w:val="left"/>
      </w:pPr>
    </w:p>
    <w:p w14:paraId="32FE3871" w14:textId="204D5789" w:rsidR="00591E68" w:rsidRPr="00353AE1" w:rsidRDefault="00591E68" w:rsidP="00B34CF5">
      <w:pPr>
        <w:pStyle w:val="Caption"/>
        <w:keepNext/>
        <w:spacing w:after="120"/>
        <w:jc w:val="center"/>
        <w:rPr>
          <w:sz w:val="22"/>
          <w:szCs w:val="22"/>
        </w:rPr>
      </w:pPr>
      <w:bookmarkStart w:id="104" w:name="_Toc230696739"/>
      <w:bookmarkStart w:id="105" w:name="_Toc230710357"/>
      <w:bookmarkStart w:id="106" w:name="_Toc230710403"/>
      <w:bookmarkStart w:id="107" w:name="_Toc230711126"/>
      <w:bookmarkStart w:id="108" w:name="_Toc231907822"/>
      <w:r w:rsidRPr="00353AE1">
        <w:rPr>
          <w:sz w:val="22"/>
          <w:szCs w:val="22"/>
        </w:rPr>
        <w:t xml:space="preserve">Table </w:t>
      </w:r>
      <w:r w:rsidR="00DF6059" w:rsidRPr="00353AE1">
        <w:rPr>
          <w:sz w:val="22"/>
          <w:szCs w:val="22"/>
        </w:rPr>
        <w:fldChar w:fldCharType="begin"/>
      </w:r>
      <w:r w:rsidR="00DF6059" w:rsidRPr="00353AE1">
        <w:rPr>
          <w:sz w:val="22"/>
          <w:szCs w:val="22"/>
        </w:rPr>
        <w:instrText xml:space="preserve"> SEQ Table \* ARABIC </w:instrText>
      </w:r>
      <w:r w:rsidR="00DF6059" w:rsidRPr="00353AE1">
        <w:rPr>
          <w:sz w:val="22"/>
          <w:szCs w:val="22"/>
        </w:rPr>
        <w:fldChar w:fldCharType="separate"/>
      </w:r>
      <w:r w:rsidR="00DF6059" w:rsidRPr="00353AE1">
        <w:rPr>
          <w:noProof/>
          <w:sz w:val="22"/>
          <w:szCs w:val="22"/>
        </w:rPr>
        <w:t>18</w:t>
      </w:r>
      <w:r w:rsidR="00DF6059" w:rsidRPr="00353AE1">
        <w:rPr>
          <w:sz w:val="22"/>
          <w:szCs w:val="22"/>
        </w:rPr>
        <w:fldChar w:fldCharType="end"/>
      </w:r>
      <w:r w:rsidRPr="00353AE1">
        <w:rPr>
          <w:sz w:val="22"/>
          <w:szCs w:val="22"/>
        </w:rPr>
        <w:t>. Net Budget Position</w:t>
      </w:r>
      <w:r w:rsidR="007229C5" w:rsidRPr="00353AE1">
        <w:rPr>
          <w:sz w:val="22"/>
          <w:szCs w:val="22"/>
        </w:rPr>
        <w:t xml:space="preserve"> by Level of Government</w:t>
      </w:r>
      <w:r w:rsidRPr="00353AE1">
        <w:rPr>
          <w:sz w:val="22"/>
          <w:szCs w:val="22"/>
        </w:rPr>
        <w:t xml:space="preserve"> (Scenario 2)</w:t>
      </w:r>
      <w:bookmarkEnd w:id="104"/>
      <w:bookmarkEnd w:id="105"/>
      <w:bookmarkEnd w:id="106"/>
      <w:bookmarkEnd w:id="107"/>
      <w:bookmarkEnd w:id="108"/>
    </w:p>
    <w:tbl>
      <w:tblPr>
        <w:tblW w:w="8959" w:type="dxa"/>
        <w:jc w:val="center"/>
        <w:tblLook w:val="04A0" w:firstRow="1" w:lastRow="0" w:firstColumn="1" w:lastColumn="0" w:noHBand="0" w:noVBand="1"/>
      </w:tblPr>
      <w:tblGrid>
        <w:gridCol w:w="2835"/>
        <w:gridCol w:w="1531"/>
        <w:gridCol w:w="1531"/>
        <w:gridCol w:w="1531"/>
        <w:gridCol w:w="1531"/>
      </w:tblGrid>
      <w:tr w:rsidR="001D08E1" w:rsidRPr="00353AE1" w14:paraId="11371E77" w14:textId="77777777" w:rsidTr="00E016A0">
        <w:trPr>
          <w:trHeight w:val="315"/>
          <w:jc w:val="center"/>
        </w:trPr>
        <w:tc>
          <w:tcPr>
            <w:tcW w:w="2835" w:type="dxa"/>
            <w:tcBorders>
              <w:top w:val="single" w:sz="8" w:space="0" w:color="auto"/>
              <w:left w:val="nil"/>
              <w:bottom w:val="single" w:sz="8" w:space="0" w:color="auto"/>
              <w:right w:val="nil"/>
            </w:tcBorders>
            <w:vAlign w:val="center"/>
            <w:hideMark/>
          </w:tcPr>
          <w:p w14:paraId="37B958F2" w14:textId="77777777" w:rsidR="001D08E1" w:rsidRPr="00E016A0" w:rsidRDefault="001D08E1" w:rsidP="001D08E1">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Net budget position</w:t>
            </w:r>
          </w:p>
        </w:tc>
        <w:tc>
          <w:tcPr>
            <w:tcW w:w="0" w:type="auto"/>
            <w:gridSpan w:val="2"/>
            <w:tcBorders>
              <w:top w:val="single" w:sz="8" w:space="0" w:color="auto"/>
              <w:left w:val="nil"/>
              <w:bottom w:val="single" w:sz="8" w:space="0" w:color="auto"/>
              <w:right w:val="nil"/>
            </w:tcBorders>
            <w:vAlign w:val="center"/>
            <w:hideMark/>
          </w:tcPr>
          <w:p w14:paraId="5C960544"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2A</w:t>
            </w:r>
          </w:p>
        </w:tc>
        <w:tc>
          <w:tcPr>
            <w:tcW w:w="0" w:type="auto"/>
            <w:gridSpan w:val="2"/>
            <w:tcBorders>
              <w:top w:val="single" w:sz="8" w:space="0" w:color="auto"/>
              <w:left w:val="nil"/>
              <w:bottom w:val="single" w:sz="8" w:space="0" w:color="auto"/>
              <w:right w:val="nil"/>
            </w:tcBorders>
            <w:vAlign w:val="center"/>
            <w:hideMark/>
          </w:tcPr>
          <w:p w14:paraId="0254FB3E"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Scenario 2B</w:t>
            </w:r>
          </w:p>
        </w:tc>
      </w:tr>
      <w:tr w:rsidR="001D08E1" w:rsidRPr="00353AE1" w14:paraId="3CEF1590" w14:textId="77777777" w:rsidTr="00E016A0">
        <w:trPr>
          <w:trHeight w:val="300"/>
          <w:jc w:val="center"/>
        </w:trPr>
        <w:tc>
          <w:tcPr>
            <w:tcW w:w="2835" w:type="dxa"/>
            <w:tcBorders>
              <w:top w:val="nil"/>
              <w:left w:val="nil"/>
              <w:bottom w:val="nil"/>
              <w:right w:val="nil"/>
            </w:tcBorders>
            <w:noWrap/>
            <w:vAlign w:val="center"/>
            <w:hideMark/>
          </w:tcPr>
          <w:p w14:paraId="0A9883C4" w14:textId="77777777" w:rsidR="001D08E1" w:rsidRPr="00E016A0" w:rsidRDefault="001D08E1" w:rsidP="001D08E1">
            <w:pPr>
              <w:widowControl/>
              <w:jc w:val="center"/>
              <w:rPr>
                <w:rFonts w:eastAsia="Times New Roman"/>
                <w:color w:val="000000"/>
                <w:kern w:val="0"/>
                <w:sz w:val="20"/>
                <w:szCs w:val="20"/>
                <w:lang w:val="en-GB"/>
              </w:rPr>
            </w:pPr>
          </w:p>
        </w:tc>
        <w:tc>
          <w:tcPr>
            <w:tcW w:w="0" w:type="auto"/>
            <w:tcBorders>
              <w:top w:val="nil"/>
              <w:left w:val="nil"/>
              <w:bottom w:val="nil"/>
              <w:right w:val="nil"/>
            </w:tcBorders>
            <w:noWrap/>
            <w:vAlign w:val="center"/>
            <w:hideMark/>
          </w:tcPr>
          <w:p w14:paraId="1803BA17"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2026</w:t>
            </w:r>
          </w:p>
        </w:tc>
        <w:tc>
          <w:tcPr>
            <w:tcW w:w="0" w:type="auto"/>
            <w:tcBorders>
              <w:top w:val="nil"/>
              <w:left w:val="nil"/>
              <w:bottom w:val="nil"/>
              <w:right w:val="nil"/>
            </w:tcBorders>
            <w:noWrap/>
            <w:vAlign w:val="center"/>
            <w:hideMark/>
          </w:tcPr>
          <w:p w14:paraId="6206CD8F"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2040</w:t>
            </w:r>
          </w:p>
        </w:tc>
        <w:tc>
          <w:tcPr>
            <w:tcW w:w="0" w:type="auto"/>
            <w:tcBorders>
              <w:top w:val="nil"/>
              <w:left w:val="nil"/>
              <w:bottom w:val="nil"/>
              <w:right w:val="nil"/>
            </w:tcBorders>
            <w:noWrap/>
            <w:vAlign w:val="center"/>
            <w:hideMark/>
          </w:tcPr>
          <w:p w14:paraId="3A08D28C"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2026</w:t>
            </w:r>
          </w:p>
        </w:tc>
        <w:tc>
          <w:tcPr>
            <w:tcW w:w="0" w:type="auto"/>
            <w:tcBorders>
              <w:top w:val="nil"/>
              <w:left w:val="nil"/>
              <w:bottom w:val="nil"/>
              <w:right w:val="nil"/>
            </w:tcBorders>
            <w:noWrap/>
            <w:vAlign w:val="center"/>
            <w:hideMark/>
          </w:tcPr>
          <w:p w14:paraId="7F821867" w14:textId="77777777" w:rsidR="001D08E1" w:rsidRPr="00E016A0" w:rsidRDefault="001D08E1" w:rsidP="001D08E1">
            <w:pPr>
              <w:widowControl/>
              <w:jc w:val="center"/>
              <w:rPr>
                <w:rFonts w:eastAsia="Times New Roman"/>
                <w:color w:val="000000"/>
                <w:kern w:val="0"/>
                <w:sz w:val="20"/>
                <w:szCs w:val="20"/>
                <w:lang w:val="en-GB"/>
              </w:rPr>
            </w:pPr>
            <w:r w:rsidRPr="00E016A0">
              <w:rPr>
                <w:rFonts w:eastAsia="Times New Roman"/>
                <w:color w:val="000000"/>
                <w:kern w:val="0"/>
                <w:sz w:val="20"/>
                <w:szCs w:val="20"/>
                <w:lang w:val="en-GB"/>
              </w:rPr>
              <w:t>2040</w:t>
            </w:r>
          </w:p>
        </w:tc>
      </w:tr>
      <w:tr w:rsidR="001D08E1" w:rsidRPr="00353AE1" w14:paraId="0D1280FD" w14:textId="77777777" w:rsidTr="00E016A0">
        <w:trPr>
          <w:trHeight w:val="315"/>
          <w:jc w:val="center"/>
        </w:trPr>
        <w:tc>
          <w:tcPr>
            <w:tcW w:w="2835" w:type="dxa"/>
            <w:tcBorders>
              <w:top w:val="nil"/>
              <w:left w:val="nil"/>
              <w:bottom w:val="single" w:sz="8" w:space="0" w:color="auto"/>
              <w:right w:val="nil"/>
            </w:tcBorders>
            <w:vAlign w:val="center"/>
            <w:hideMark/>
          </w:tcPr>
          <w:p w14:paraId="3B1B0FC0" w14:textId="77777777" w:rsidR="001D08E1" w:rsidRPr="00E016A0" w:rsidRDefault="001D08E1" w:rsidP="001D08E1">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 </w:t>
            </w:r>
          </w:p>
        </w:tc>
        <w:tc>
          <w:tcPr>
            <w:tcW w:w="0" w:type="auto"/>
            <w:gridSpan w:val="2"/>
            <w:tcBorders>
              <w:top w:val="nil"/>
              <w:left w:val="nil"/>
              <w:bottom w:val="single" w:sz="8" w:space="0" w:color="auto"/>
              <w:right w:val="nil"/>
            </w:tcBorders>
            <w:vAlign w:val="center"/>
            <w:hideMark/>
          </w:tcPr>
          <w:p w14:paraId="18381BCF" w14:textId="77777777" w:rsidR="001D08E1" w:rsidRPr="00E016A0" w:rsidRDefault="001D08E1" w:rsidP="001D08E1">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Ordinary deviation from baseline (nominal, A$m)</w:t>
            </w:r>
          </w:p>
        </w:tc>
        <w:tc>
          <w:tcPr>
            <w:tcW w:w="0" w:type="auto"/>
            <w:gridSpan w:val="2"/>
            <w:tcBorders>
              <w:top w:val="nil"/>
              <w:left w:val="nil"/>
              <w:bottom w:val="single" w:sz="8" w:space="0" w:color="auto"/>
              <w:right w:val="nil"/>
            </w:tcBorders>
            <w:vAlign w:val="center"/>
            <w:hideMark/>
          </w:tcPr>
          <w:p w14:paraId="3B8F8C9F" w14:textId="77777777" w:rsidR="001D08E1" w:rsidRPr="00E016A0" w:rsidRDefault="001D08E1" w:rsidP="001D08E1">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Ordinary deviation from baseline (nominal, A$m)</w:t>
            </w:r>
          </w:p>
        </w:tc>
      </w:tr>
      <w:tr w:rsidR="001D08E1" w:rsidRPr="00353AE1" w14:paraId="5B65B069" w14:textId="77777777" w:rsidTr="00E016A0">
        <w:trPr>
          <w:trHeight w:val="315"/>
          <w:jc w:val="center"/>
        </w:trPr>
        <w:tc>
          <w:tcPr>
            <w:tcW w:w="2835" w:type="dxa"/>
            <w:tcBorders>
              <w:top w:val="nil"/>
              <w:left w:val="nil"/>
              <w:bottom w:val="single" w:sz="8" w:space="0" w:color="auto"/>
              <w:right w:val="nil"/>
            </w:tcBorders>
            <w:vAlign w:val="center"/>
            <w:hideMark/>
          </w:tcPr>
          <w:p w14:paraId="19EB197E" w14:textId="77777777" w:rsidR="001D08E1" w:rsidRPr="00E016A0" w:rsidRDefault="001D08E1" w:rsidP="001D08E1">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Federal government</w:t>
            </w:r>
          </w:p>
        </w:tc>
        <w:tc>
          <w:tcPr>
            <w:tcW w:w="0" w:type="auto"/>
            <w:tcBorders>
              <w:top w:val="nil"/>
              <w:left w:val="nil"/>
              <w:bottom w:val="single" w:sz="8" w:space="0" w:color="auto"/>
              <w:right w:val="nil"/>
            </w:tcBorders>
            <w:vAlign w:val="center"/>
            <w:hideMark/>
          </w:tcPr>
          <w:p w14:paraId="6B3DB75C"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185.17</w:t>
            </w:r>
          </w:p>
        </w:tc>
        <w:tc>
          <w:tcPr>
            <w:tcW w:w="0" w:type="auto"/>
            <w:tcBorders>
              <w:top w:val="nil"/>
              <w:left w:val="nil"/>
              <w:bottom w:val="single" w:sz="8" w:space="0" w:color="auto"/>
              <w:right w:val="nil"/>
            </w:tcBorders>
            <w:vAlign w:val="center"/>
            <w:hideMark/>
          </w:tcPr>
          <w:p w14:paraId="39B0344A"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189.38</w:t>
            </w:r>
          </w:p>
        </w:tc>
        <w:tc>
          <w:tcPr>
            <w:tcW w:w="0" w:type="auto"/>
            <w:tcBorders>
              <w:top w:val="nil"/>
              <w:left w:val="nil"/>
              <w:bottom w:val="single" w:sz="8" w:space="0" w:color="auto"/>
              <w:right w:val="nil"/>
            </w:tcBorders>
            <w:vAlign w:val="center"/>
            <w:hideMark/>
          </w:tcPr>
          <w:p w14:paraId="37D2DC11"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92.56</w:t>
            </w:r>
          </w:p>
        </w:tc>
        <w:tc>
          <w:tcPr>
            <w:tcW w:w="0" w:type="auto"/>
            <w:tcBorders>
              <w:top w:val="nil"/>
              <w:left w:val="nil"/>
              <w:bottom w:val="single" w:sz="8" w:space="0" w:color="auto"/>
              <w:right w:val="nil"/>
            </w:tcBorders>
            <w:vAlign w:val="center"/>
            <w:hideMark/>
          </w:tcPr>
          <w:p w14:paraId="2F514235"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94.85</w:t>
            </w:r>
          </w:p>
        </w:tc>
      </w:tr>
      <w:tr w:rsidR="001D08E1" w:rsidRPr="00353AE1" w14:paraId="1BFF9D1D" w14:textId="77777777" w:rsidTr="00E016A0">
        <w:trPr>
          <w:trHeight w:val="300"/>
          <w:jc w:val="center"/>
        </w:trPr>
        <w:tc>
          <w:tcPr>
            <w:tcW w:w="2835" w:type="dxa"/>
            <w:tcBorders>
              <w:top w:val="nil"/>
              <w:left w:val="nil"/>
              <w:bottom w:val="nil"/>
              <w:right w:val="nil"/>
            </w:tcBorders>
            <w:vAlign w:val="center"/>
            <w:hideMark/>
          </w:tcPr>
          <w:p w14:paraId="672D9F15" w14:textId="7956BE38" w:rsidR="001D08E1" w:rsidRPr="00E016A0" w:rsidRDefault="001D08E1" w:rsidP="001D08E1">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State/local governments</w:t>
            </w:r>
            <w:r w:rsidR="00EE2BFF" w:rsidRPr="00E016A0">
              <w:rPr>
                <w:rFonts w:eastAsia="Times New Roman"/>
                <w:b/>
                <w:bCs/>
                <w:color w:val="000000"/>
                <w:kern w:val="0"/>
                <w:sz w:val="20"/>
                <w:szCs w:val="20"/>
                <w:lang w:val="en-GB"/>
              </w:rPr>
              <w:t xml:space="preserve"> (total)</w:t>
            </w:r>
          </w:p>
        </w:tc>
        <w:tc>
          <w:tcPr>
            <w:tcW w:w="0" w:type="auto"/>
            <w:tcBorders>
              <w:top w:val="nil"/>
              <w:left w:val="nil"/>
              <w:bottom w:val="nil"/>
              <w:right w:val="nil"/>
            </w:tcBorders>
            <w:vAlign w:val="center"/>
            <w:hideMark/>
          </w:tcPr>
          <w:p w14:paraId="5C3CDAE5"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136.77</w:t>
            </w:r>
          </w:p>
        </w:tc>
        <w:tc>
          <w:tcPr>
            <w:tcW w:w="0" w:type="auto"/>
            <w:tcBorders>
              <w:top w:val="nil"/>
              <w:left w:val="nil"/>
              <w:bottom w:val="nil"/>
              <w:right w:val="nil"/>
            </w:tcBorders>
            <w:vAlign w:val="center"/>
            <w:hideMark/>
          </w:tcPr>
          <w:p w14:paraId="25A65D1B"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181.99</w:t>
            </w:r>
          </w:p>
        </w:tc>
        <w:tc>
          <w:tcPr>
            <w:tcW w:w="0" w:type="auto"/>
            <w:tcBorders>
              <w:top w:val="nil"/>
              <w:left w:val="nil"/>
              <w:bottom w:val="nil"/>
              <w:right w:val="nil"/>
            </w:tcBorders>
            <w:vAlign w:val="center"/>
            <w:hideMark/>
          </w:tcPr>
          <w:p w14:paraId="7A4EAD72"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68.37</w:t>
            </w:r>
          </w:p>
        </w:tc>
        <w:tc>
          <w:tcPr>
            <w:tcW w:w="0" w:type="auto"/>
            <w:tcBorders>
              <w:top w:val="nil"/>
              <w:left w:val="nil"/>
              <w:bottom w:val="nil"/>
              <w:right w:val="nil"/>
            </w:tcBorders>
            <w:vAlign w:val="center"/>
            <w:hideMark/>
          </w:tcPr>
          <w:p w14:paraId="3760EA0C" w14:textId="77777777" w:rsidR="001D08E1" w:rsidRPr="00E016A0" w:rsidRDefault="001D08E1" w:rsidP="001D08E1">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91.02</w:t>
            </w:r>
          </w:p>
        </w:tc>
      </w:tr>
      <w:tr w:rsidR="001D08E1" w:rsidRPr="00353AE1" w14:paraId="7EF3CE83" w14:textId="77777777" w:rsidTr="00E016A0">
        <w:trPr>
          <w:trHeight w:val="300"/>
          <w:jc w:val="center"/>
        </w:trPr>
        <w:tc>
          <w:tcPr>
            <w:tcW w:w="2835" w:type="dxa"/>
            <w:tcBorders>
              <w:top w:val="nil"/>
              <w:left w:val="nil"/>
              <w:bottom w:val="nil"/>
              <w:right w:val="nil"/>
            </w:tcBorders>
            <w:vAlign w:val="center"/>
            <w:hideMark/>
          </w:tcPr>
          <w:p w14:paraId="383B1157" w14:textId="77777777" w:rsidR="001D08E1" w:rsidRPr="00E016A0" w:rsidRDefault="001D08E1" w:rsidP="001D08E1">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of which:</w:t>
            </w:r>
          </w:p>
        </w:tc>
        <w:tc>
          <w:tcPr>
            <w:tcW w:w="0" w:type="auto"/>
            <w:tcBorders>
              <w:top w:val="nil"/>
              <w:left w:val="nil"/>
              <w:bottom w:val="nil"/>
              <w:right w:val="nil"/>
            </w:tcBorders>
            <w:vAlign w:val="center"/>
            <w:hideMark/>
          </w:tcPr>
          <w:p w14:paraId="4D150C19" w14:textId="77777777" w:rsidR="001D08E1" w:rsidRPr="00E016A0" w:rsidRDefault="001D08E1" w:rsidP="001D08E1">
            <w:pPr>
              <w:widowControl/>
              <w:jc w:val="left"/>
              <w:rPr>
                <w:rFonts w:eastAsia="Times New Roman"/>
                <w:i/>
                <w:iCs/>
                <w:color w:val="000000"/>
                <w:kern w:val="0"/>
                <w:sz w:val="20"/>
                <w:szCs w:val="20"/>
                <w:lang w:val="en-GB"/>
              </w:rPr>
            </w:pPr>
          </w:p>
        </w:tc>
        <w:tc>
          <w:tcPr>
            <w:tcW w:w="0" w:type="auto"/>
            <w:tcBorders>
              <w:top w:val="nil"/>
              <w:left w:val="nil"/>
              <w:bottom w:val="nil"/>
              <w:right w:val="nil"/>
            </w:tcBorders>
            <w:vAlign w:val="center"/>
            <w:hideMark/>
          </w:tcPr>
          <w:p w14:paraId="3B7DFE96" w14:textId="77777777" w:rsidR="001D08E1" w:rsidRPr="00E016A0" w:rsidRDefault="001D08E1" w:rsidP="001D08E1">
            <w:pPr>
              <w:widowControl/>
              <w:jc w:val="right"/>
              <w:rPr>
                <w:rFonts w:eastAsia="Times New Roman"/>
                <w:kern w:val="0"/>
                <w:sz w:val="20"/>
                <w:szCs w:val="20"/>
                <w:lang w:val="en-GB"/>
              </w:rPr>
            </w:pPr>
          </w:p>
        </w:tc>
        <w:tc>
          <w:tcPr>
            <w:tcW w:w="0" w:type="auto"/>
            <w:tcBorders>
              <w:top w:val="nil"/>
              <w:left w:val="nil"/>
              <w:bottom w:val="nil"/>
              <w:right w:val="nil"/>
            </w:tcBorders>
            <w:vAlign w:val="center"/>
            <w:hideMark/>
          </w:tcPr>
          <w:p w14:paraId="6B9CA2B9" w14:textId="77777777" w:rsidR="001D08E1" w:rsidRPr="00E016A0" w:rsidRDefault="001D08E1" w:rsidP="001D08E1">
            <w:pPr>
              <w:widowControl/>
              <w:jc w:val="right"/>
              <w:rPr>
                <w:rFonts w:eastAsia="Times New Roman"/>
                <w:kern w:val="0"/>
                <w:sz w:val="20"/>
                <w:szCs w:val="20"/>
                <w:lang w:val="en-GB"/>
              </w:rPr>
            </w:pPr>
          </w:p>
        </w:tc>
        <w:tc>
          <w:tcPr>
            <w:tcW w:w="0" w:type="auto"/>
            <w:tcBorders>
              <w:top w:val="nil"/>
              <w:left w:val="nil"/>
              <w:bottom w:val="nil"/>
              <w:right w:val="nil"/>
            </w:tcBorders>
            <w:vAlign w:val="center"/>
            <w:hideMark/>
          </w:tcPr>
          <w:p w14:paraId="731B7210" w14:textId="77777777" w:rsidR="001D08E1" w:rsidRPr="00E016A0" w:rsidRDefault="001D08E1" w:rsidP="001D08E1">
            <w:pPr>
              <w:widowControl/>
              <w:jc w:val="right"/>
              <w:rPr>
                <w:rFonts w:eastAsia="Times New Roman"/>
                <w:kern w:val="0"/>
                <w:sz w:val="20"/>
                <w:szCs w:val="20"/>
                <w:lang w:val="en-GB"/>
              </w:rPr>
            </w:pPr>
          </w:p>
        </w:tc>
      </w:tr>
      <w:tr w:rsidR="001D08E1" w:rsidRPr="00353AE1" w14:paraId="1E21AFD3" w14:textId="77777777" w:rsidTr="00E016A0">
        <w:trPr>
          <w:trHeight w:val="300"/>
          <w:jc w:val="center"/>
        </w:trPr>
        <w:tc>
          <w:tcPr>
            <w:tcW w:w="2835" w:type="dxa"/>
            <w:tcBorders>
              <w:top w:val="nil"/>
              <w:left w:val="nil"/>
              <w:bottom w:val="nil"/>
              <w:right w:val="nil"/>
            </w:tcBorders>
            <w:vAlign w:val="center"/>
            <w:hideMark/>
          </w:tcPr>
          <w:p w14:paraId="6A467DC9"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NSWACT</w:t>
            </w:r>
          </w:p>
        </w:tc>
        <w:tc>
          <w:tcPr>
            <w:tcW w:w="0" w:type="auto"/>
            <w:tcBorders>
              <w:top w:val="nil"/>
              <w:left w:val="nil"/>
              <w:bottom w:val="nil"/>
              <w:right w:val="nil"/>
            </w:tcBorders>
            <w:vAlign w:val="center"/>
            <w:hideMark/>
          </w:tcPr>
          <w:p w14:paraId="2D546E26"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38.03</w:t>
            </w:r>
          </w:p>
        </w:tc>
        <w:tc>
          <w:tcPr>
            <w:tcW w:w="0" w:type="auto"/>
            <w:tcBorders>
              <w:top w:val="nil"/>
              <w:left w:val="nil"/>
              <w:bottom w:val="nil"/>
              <w:right w:val="nil"/>
            </w:tcBorders>
            <w:vAlign w:val="center"/>
            <w:hideMark/>
          </w:tcPr>
          <w:p w14:paraId="1B127163"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59.71</w:t>
            </w:r>
          </w:p>
        </w:tc>
        <w:tc>
          <w:tcPr>
            <w:tcW w:w="0" w:type="auto"/>
            <w:tcBorders>
              <w:top w:val="nil"/>
              <w:left w:val="nil"/>
              <w:bottom w:val="nil"/>
              <w:right w:val="nil"/>
            </w:tcBorders>
            <w:vAlign w:val="center"/>
            <w:hideMark/>
          </w:tcPr>
          <w:p w14:paraId="2D94A4AE"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19.01</w:t>
            </w:r>
          </w:p>
        </w:tc>
        <w:tc>
          <w:tcPr>
            <w:tcW w:w="0" w:type="auto"/>
            <w:tcBorders>
              <w:top w:val="nil"/>
              <w:left w:val="nil"/>
              <w:bottom w:val="nil"/>
              <w:right w:val="nil"/>
            </w:tcBorders>
            <w:vAlign w:val="center"/>
            <w:hideMark/>
          </w:tcPr>
          <w:p w14:paraId="3A7E6627"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29.83</w:t>
            </w:r>
          </w:p>
        </w:tc>
      </w:tr>
      <w:tr w:rsidR="001D08E1" w:rsidRPr="00353AE1" w14:paraId="08A84715" w14:textId="77777777" w:rsidTr="00E016A0">
        <w:trPr>
          <w:trHeight w:val="300"/>
          <w:jc w:val="center"/>
        </w:trPr>
        <w:tc>
          <w:tcPr>
            <w:tcW w:w="2835" w:type="dxa"/>
            <w:tcBorders>
              <w:top w:val="nil"/>
              <w:left w:val="nil"/>
              <w:bottom w:val="nil"/>
              <w:right w:val="nil"/>
            </w:tcBorders>
            <w:vAlign w:val="center"/>
            <w:hideMark/>
          </w:tcPr>
          <w:p w14:paraId="0D62FA56"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VIC</w:t>
            </w:r>
          </w:p>
        </w:tc>
        <w:tc>
          <w:tcPr>
            <w:tcW w:w="0" w:type="auto"/>
            <w:tcBorders>
              <w:top w:val="nil"/>
              <w:left w:val="nil"/>
              <w:bottom w:val="nil"/>
              <w:right w:val="nil"/>
            </w:tcBorders>
            <w:vAlign w:val="center"/>
            <w:hideMark/>
          </w:tcPr>
          <w:p w14:paraId="292A7010"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36.11</w:t>
            </w:r>
          </w:p>
        </w:tc>
        <w:tc>
          <w:tcPr>
            <w:tcW w:w="0" w:type="auto"/>
            <w:tcBorders>
              <w:top w:val="nil"/>
              <w:left w:val="nil"/>
              <w:bottom w:val="nil"/>
              <w:right w:val="nil"/>
            </w:tcBorders>
            <w:vAlign w:val="center"/>
            <w:hideMark/>
          </w:tcPr>
          <w:p w14:paraId="5C19DFD7"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58.55</w:t>
            </w:r>
          </w:p>
        </w:tc>
        <w:tc>
          <w:tcPr>
            <w:tcW w:w="0" w:type="auto"/>
            <w:tcBorders>
              <w:top w:val="nil"/>
              <w:left w:val="nil"/>
              <w:bottom w:val="nil"/>
              <w:right w:val="nil"/>
            </w:tcBorders>
            <w:vAlign w:val="center"/>
            <w:hideMark/>
          </w:tcPr>
          <w:p w14:paraId="67AD26A0"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18.04</w:t>
            </w:r>
          </w:p>
        </w:tc>
        <w:tc>
          <w:tcPr>
            <w:tcW w:w="0" w:type="auto"/>
            <w:tcBorders>
              <w:top w:val="nil"/>
              <w:left w:val="nil"/>
              <w:bottom w:val="nil"/>
              <w:right w:val="nil"/>
            </w:tcBorders>
            <w:vAlign w:val="center"/>
            <w:hideMark/>
          </w:tcPr>
          <w:p w14:paraId="78AFBB10"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29.23</w:t>
            </w:r>
          </w:p>
        </w:tc>
      </w:tr>
      <w:tr w:rsidR="001D08E1" w:rsidRPr="00353AE1" w14:paraId="7FBD3BCF" w14:textId="77777777" w:rsidTr="00E016A0">
        <w:trPr>
          <w:trHeight w:val="300"/>
          <w:jc w:val="center"/>
        </w:trPr>
        <w:tc>
          <w:tcPr>
            <w:tcW w:w="2835" w:type="dxa"/>
            <w:tcBorders>
              <w:top w:val="nil"/>
              <w:left w:val="nil"/>
              <w:bottom w:val="nil"/>
              <w:right w:val="nil"/>
            </w:tcBorders>
            <w:vAlign w:val="center"/>
            <w:hideMark/>
          </w:tcPr>
          <w:p w14:paraId="3ABBA441"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QLD</w:t>
            </w:r>
          </w:p>
        </w:tc>
        <w:tc>
          <w:tcPr>
            <w:tcW w:w="0" w:type="auto"/>
            <w:tcBorders>
              <w:top w:val="nil"/>
              <w:left w:val="nil"/>
              <w:bottom w:val="nil"/>
              <w:right w:val="nil"/>
            </w:tcBorders>
            <w:vAlign w:val="center"/>
            <w:hideMark/>
          </w:tcPr>
          <w:p w14:paraId="4B993139"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45.13</w:t>
            </w:r>
          </w:p>
        </w:tc>
        <w:tc>
          <w:tcPr>
            <w:tcW w:w="0" w:type="auto"/>
            <w:tcBorders>
              <w:top w:val="nil"/>
              <w:left w:val="nil"/>
              <w:bottom w:val="nil"/>
              <w:right w:val="nil"/>
            </w:tcBorders>
            <w:vAlign w:val="center"/>
            <w:hideMark/>
          </w:tcPr>
          <w:p w14:paraId="4F0228DB"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48.50</w:t>
            </w:r>
          </w:p>
        </w:tc>
        <w:tc>
          <w:tcPr>
            <w:tcW w:w="0" w:type="auto"/>
            <w:tcBorders>
              <w:top w:val="nil"/>
              <w:left w:val="nil"/>
              <w:bottom w:val="nil"/>
              <w:right w:val="nil"/>
            </w:tcBorders>
            <w:vAlign w:val="center"/>
            <w:hideMark/>
          </w:tcPr>
          <w:p w14:paraId="20E62889"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22.57</w:t>
            </w:r>
          </w:p>
        </w:tc>
        <w:tc>
          <w:tcPr>
            <w:tcW w:w="0" w:type="auto"/>
            <w:tcBorders>
              <w:top w:val="nil"/>
              <w:left w:val="nil"/>
              <w:bottom w:val="nil"/>
              <w:right w:val="nil"/>
            </w:tcBorders>
            <w:vAlign w:val="center"/>
            <w:hideMark/>
          </w:tcPr>
          <w:p w14:paraId="38ADD47B"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24.37</w:t>
            </w:r>
          </w:p>
        </w:tc>
      </w:tr>
      <w:tr w:rsidR="001D08E1" w:rsidRPr="00353AE1" w14:paraId="4CA7D642" w14:textId="77777777" w:rsidTr="00E016A0">
        <w:trPr>
          <w:trHeight w:val="300"/>
          <w:jc w:val="center"/>
        </w:trPr>
        <w:tc>
          <w:tcPr>
            <w:tcW w:w="2835" w:type="dxa"/>
            <w:tcBorders>
              <w:top w:val="nil"/>
              <w:left w:val="nil"/>
              <w:bottom w:val="nil"/>
              <w:right w:val="nil"/>
            </w:tcBorders>
            <w:vAlign w:val="center"/>
            <w:hideMark/>
          </w:tcPr>
          <w:p w14:paraId="19AC7F32"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SA</w:t>
            </w:r>
          </w:p>
        </w:tc>
        <w:tc>
          <w:tcPr>
            <w:tcW w:w="0" w:type="auto"/>
            <w:tcBorders>
              <w:top w:val="nil"/>
              <w:left w:val="nil"/>
              <w:bottom w:val="nil"/>
              <w:right w:val="nil"/>
            </w:tcBorders>
            <w:vAlign w:val="center"/>
            <w:hideMark/>
          </w:tcPr>
          <w:p w14:paraId="0998528C"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14.78</w:t>
            </w:r>
          </w:p>
        </w:tc>
        <w:tc>
          <w:tcPr>
            <w:tcW w:w="0" w:type="auto"/>
            <w:tcBorders>
              <w:top w:val="nil"/>
              <w:left w:val="nil"/>
              <w:bottom w:val="nil"/>
              <w:right w:val="nil"/>
            </w:tcBorders>
            <w:vAlign w:val="center"/>
            <w:hideMark/>
          </w:tcPr>
          <w:p w14:paraId="33A36CDF"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18.79</w:t>
            </w:r>
          </w:p>
        </w:tc>
        <w:tc>
          <w:tcPr>
            <w:tcW w:w="0" w:type="auto"/>
            <w:tcBorders>
              <w:top w:val="nil"/>
              <w:left w:val="nil"/>
              <w:bottom w:val="nil"/>
              <w:right w:val="nil"/>
            </w:tcBorders>
            <w:vAlign w:val="center"/>
            <w:hideMark/>
          </w:tcPr>
          <w:p w14:paraId="1F9480B4"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7.39</w:t>
            </w:r>
          </w:p>
        </w:tc>
        <w:tc>
          <w:tcPr>
            <w:tcW w:w="0" w:type="auto"/>
            <w:tcBorders>
              <w:top w:val="nil"/>
              <w:left w:val="nil"/>
              <w:bottom w:val="nil"/>
              <w:right w:val="nil"/>
            </w:tcBorders>
            <w:vAlign w:val="center"/>
            <w:hideMark/>
          </w:tcPr>
          <w:p w14:paraId="1F1A3D21"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9.36</w:t>
            </w:r>
          </w:p>
        </w:tc>
      </w:tr>
      <w:tr w:rsidR="001D08E1" w:rsidRPr="00353AE1" w14:paraId="1837F1EF" w14:textId="77777777" w:rsidTr="00E016A0">
        <w:trPr>
          <w:trHeight w:val="300"/>
          <w:jc w:val="center"/>
        </w:trPr>
        <w:tc>
          <w:tcPr>
            <w:tcW w:w="2835" w:type="dxa"/>
            <w:tcBorders>
              <w:top w:val="nil"/>
              <w:left w:val="nil"/>
              <w:bottom w:val="nil"/>
              <w:right w:val="nil"/>
            </w:tcBorders>
            <w:vAlign w:val="center"/>
            <w:hideMark/>
          </w:tcPr>
          <w:p w14:paraId="5DD36F73"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TAS</w:t>
            </w:r>
          </w:p>
        </w:tc>
        <w:tc>
          <w:tcPr>
            <w:tcW w:w="0" w:type="auto"/>
            <w:tcBorders>
              <w:top w:val="nil"/>
              <w:left w:val="nil"/>
              <w:bottom w:val="nil"/>
              <w:right w:val="nil"/>
            </w:tcBorders>
            <w:vAlign w:val="center"/>
            <w:hideMark/>
          </w:tcPr>
          <w:p w14:paraId="136787F0"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2.21</w:t>
            </w:r>
          </w:p>
        </w:tc>
        <w:tc>
          <w:tcPr>
            <w:tcW w:w="0" w:type="auto"/>
            <w:tcBorders>
              <w:top w:val="nil"/>
              <w:left w:val="nil"/>
              <w:bottom w:val="nil"/>
              <w:right w:val="nil"/>
            </w:tcBorders>
            <w:vAlign w:val="center"/>
            <w:hideMark/>
          </w:tcPr>
          <w:p w14:paraId="05D6D104"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-4.68</w:t>
            </w:r>
          </w:p>
        </w:tc>
        <w:tc>
          <w:tcPr>
            <w:tcW w:w="0" w:type="auto"/>
            <w:tcBorders>
              <w:top w:val="nil"/>
              <w:left w:val="nil"/>
              <w:bottom w:val="nil"/>
              <w:right w:val="nil"/>
            </w:tcBorders>
            <w:vAlign w:val="center"/>
            <w:hideMark/>
          </w:tcPr>
          <w:p w14:paraId="1D1D3D3A"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1.10</w:t>
            </w:r>
          </w:p>
        </w:tc>
        <w:tc>
          <w:tcPr>
            <w:tcW w:w="0" w:type="auto"/>
            <w:tcBorders>
              <w:top w:val="nil"/>
              <w:left w:val="nil"/>
              <w:bottom w:val="nil"/>
              <w:right w:val="nil"/>
            </w:tcBorders>
            <w:vAlign w:val="center"/>
            <w:hideMark/>
          </w:tcPr>
          <w:p w14:paraId="05C2AB72"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-2.34</w:t>
            </w:r>
          </w:p>
        </w:tc>
      </w:tr>
      <w:tr w:rsidR="001D08E1" w:rsidRPr="00353AE1" w14:paraId="0C028236" w14:textId="77777777" w:rsidTr="00E016A0">
        <w:trPr>
          <w:trHeight w:val="315"/>
          <w:jc w:val="center"/>
        </w:trPr>
        <w:tc>
          <w:tcPr>
            <w:tcW w:w="2835" w:type="dxa"/>
            <w:tcBorders>
              <w:top w:val="nil"/>
              <w:left w:val="nil"/>
              <w:bottom w:val="single" w:sz="8" w:space="0" w:color="auto"/>
              <w:right w:val="nil"/>
            </w:tcBorders>
            <w:vAlign w:val="center"/>
            <w:hideMark/>
          </w:tcPr>
          <w:p w14:paraId="3549162C" w14:textId="77777777" w:rsidR="001D08E1" w:rsidRPr="00E016A0" w:rsidRDefault="001D08E1" w:rsidP="001D08E1">
            <w:pPr>
              <w:widowControl/>
              <w:jc w:val="right"/>
              <w:rPr>
                <w:rFonts w:eastAsia="Times New Roman"/>
                <w:i/>
                <w:iCs/>
                <w:color w:val="000000"/>
                <w:kern w:val="0"/>
                <w:sz w:val="20"/>
                <w:szCs w:val="20"/>
                <w:lang w:val="en-GB"/>
              </w:rPr>
            </w:pPr>
            <w:r w:rsidRPr="00E016A0">
              <w:rPr>
                <w:rFonts w:eastAsia="Times New Roman"/>
                <w:i/>
                <w:iCs/>
                <w:color w:val="000000"/>
                <w:kern w:val="0"/>
                <w:sz w:val="20"/>
                <w:szCs w:val="20"/>
                <w:lang w:val="en-GB"/>
              </w:rPr>
              <w:t>WANT</w:t>
            </w:r>
          </w:p>
        </w:tc>
        <w:tc>
          <w:tcPr>
            <w:tcW w:w="0" w:type="auto"/>
            <w:tcBorders>
              <w:top w:val="nil"/>
              <w:left w:val="nil"/>
              <w:bottom w:val="single" w:sz="8" w:space="0" w:color="auto"/>
              <w:right w:val="nil"/>
            </w:tcBorders>
            <w:vAlign w:val="center"/>
            <w:hideMark/>
          </w:tcPr>
          <w:p w14:paraId="4FE4603D"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0.51</w:t>
            </w:r>
          </w:p>
        </w:tc>
        <w:tc>
          <w:tcPr>
            <w:tcW w:w="0" w:type="auto"/>
            <w:tcBorders>
              <w:top w:val="nil"/>
              <w:left w:val="nil"/>
              <w:bottom w:val="single" w:sz="8" w:space="0" w:color="auto"/>
              <w:right w:val="nil"/>
            </w:tcBorders>
            <w:vAlign w:val="center"/>
            <w:hideMark/>
          </w:tcPr>
          <w:p w14:paraId="074CDE3A"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1.11</w:t>
            </w:r>
          </w:p>
        </w:tc>
        <w:tc>
          <w:tcPr>
            <w:tcW w:w="0" w:type="auto"/>
            <w:tcBorders>
              <w:top w:val="nil"/>
              <w:left w:val="nil"/>
              <w:bottom w:val="single" w:sz="8" w:space="0" w:color="auto"/>
              <w:right w:val="nil"/>
            </w:tcBorders>
            <w:vAlign w:val="center"/>
            <w:hideMark/>
          </w:tcPr>
          <w:p w14:paraId="2AF61749"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0.26</w:t>
            </w:r>
          </w:p>
        </w:tc>
        <w:tc>
          <w:tcPr>
            <w:tcW w:w="0" w:type="auto"/>
            <w:tcBorders>
              <w:top w:val="nil"/>
              <w:left w:val="nil"/>
              <w:bottom w:val="single" w:sz="8" w:space="0" w:color="auto"/>
              <w:right w:val="nil"/>
            </w:tcBorders>
            <w:vAlign w:val="center"/>
            <w:hideMark/>
          </w:tcPr>
          <w:p w14:paraId="3DE8188C" w14:textId="77777777" w:rsidR="001D08E1" w:rsidRPr="00E016A0" w:rsidRDefault="001D08E1" w:rsidP="00E016A0">
            <w:pPr>
              <w:widowControl/>
              <w:jc w:val="center"/>
              <w:rPr>
                <w:rFonts w:eastAsia="Times New Roman"/>
                <w:i/>
                <w:iCs/>
                <w:color w:val="000000"/>
                <w:kern w:val="0"/>
                <w:sz w:val="20"/>
                <w:szCs w:val="20"/>
                <w:lang w:val="en-GB"/>
              </w:rPr>
            </w:pPr>
            <w:r w:rsidRPr="00E016A0">
              <w:rPr>
                <w:rFonts w:eastAsia="Times New Roman"/>
                <w:i/>
                <w:iCs/>
                <w:color w:val="000000"/>
                <w:kern w:val="0"/>
                <w:sz w:val="20"/>
                <w:szCs w:val="20"/>
                <w:lang w:val="en-GB"/>
              </w:rPr>
              <w:t>0.57</w:t>
            </w:r>
          </w:p>
        </w:tc>
      </w:tr>
      <w:tr w:rsidR="001D08E1" w:rsidRPr="00353AE1" w14:paraId="580A201A" w14:textId="77777777" w:rsidTr="00E016A0">
        <w:trPr>
          <w:trHeight w:val="615"/>
          <w:jc w:val="center"/>
        </w:trPr>
        <w:tc>
          <w:tcPr>
            <w:tcW w:w="2835" w:type="dxa"/>
            <w:tcBorders>
              <w:top w:val="nil"/>
              <w:left w:val="nil"/>
              <w:bottom w:val="double" w:sz="6" w:space="0" w:color="auto"/>
              <w:right w:val="nil"/>
            </w:tcBorders>
            <w:vAlign w:val="center"/>
            <w:hideMark/>
          </w:tcPr>
          <w:p w14:paraId="6D8953AF" w14:textId="77777777" w:rsidR="00EE2BFF" w:rsidRPr="00E016A0" w:rsidRDefault="001D08E1" w:rsidP="001D08E1">
            <w:pPr>
              <w:widowControl/>
              <w:jc w:val="left"/>
              <w:rPr>
                <w:rFonts w:eastAsia="Times New Roman"/>
                <w:b/>
                <w:bCs/>
                <w:color w:val="000000"/>
                <w:kern w:val="0"/>
                <w:sz w:val="20"/>
                <w:szCs w:val="20"/>
                <w:lang w:val="en-GB"/>
              </w:rPr>
            </w:pPr>
            <w:r w:rsidRPr="00E016A0">
              <w:rPr>
                <w:rFonts w:eastAsia="Times New Roman"/>
                <w:b/>
                <w:bCs/>
                <w:color w:val="000000"/>
                <w:kern w:val="0"/>
                <w:sz w:val="20"/>
                <w:szCs w:val="20"/>
                <w:lang w:val="en-GB"/>
              </w:rPr>
              <w:t xml:space="preserve">Total </w:t>
            </w:r>
          </w:p>
          <w:p w14:paraId="574A12CE" w14:textId="15FAAFB2" w:rsidR="001D08E1" w:rsidRPr="00E016A0" w:rsidRDefault="00EE2BFF" w:rsidP="001D08E1">
            <w:pPr>
              <w:widowControl/>
              <w:jc w:val="left"/>
              <w:rPr>
                <w:rFonts w:eastAsia="Times New Roman"/>
                <w:i/>
                <w:iCs/>
                <w:color w:val="000000"/>
                <w:kern w:val="0"/>
                <w:sz w:val="20"/>
                <w:szCs w:val="20"/>
                <w:lang w:val="en-GB"/>
              </w:rPr>
            </w:pPr>
            <w:r w:rsidRPr="00E016A0">
              <w:rPr>
                <w:rFonts w:eastAsia="Times New Roman"/>
                <w:i/>
                <w:iCs/>
                <w:color w:val="000000"/>
                <w:kern w:val="0"/>
                <w:sz w:val="20"/>
                <w:szCs w:val="20"/>
                <w:lang w:val="en-GB"/>
              </w:rPr>
              <w:t>A</w:t>
            </w:r>
            <w:r w:rsidR="001D08E1" w:rsidRPr="00E016A0">
              <w:rPr>
                <w:rFonts w:eastAsia="Times New Roman"/>
                <w:i/>
                <w:iCs/>
                <w:color w:val="000000"/>
                <w:kern w:val="0"/>
                <w:sz w:val="20"/>
                <w:szCs w:val="20"/>
                <w:lang w:val="en-GB"/>
              </w:rPr>
              <w:t>ll levels of government</w:t>
            </w:r>
          </w:p>
        </w:tc>
        <w:tc>
          <w:tcPr>
            <w:tcW w:w="0" w:type="auto"/>
            <w:tcBorders>
              <w:top w:val="nil"/>
              <w:left w:val="nil"/>
              <w:bottom w:val="double" w:sz="6" w:space="0" w:color="auto"/>
              <w:right w:val="nil"/>
            </w:tcBorders>
            <w:vAlign w:val="center"/>
            <w:hideMark/>
          </w:tcPr>
          <w:p w14:paraId="4FC043B9" w14:textId="77777777" w:rsidR="001D08E1" w:rsidRPr="00E016A0" w:rsidRDefault="001D08E1" w:rsidP="00EE2BFF">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321.94</w:t>
            </w:r>
          </w:p>
        </w:tc>
        <w:tc>
          <w:tcPr>
            <w:tcW w:w="0" w:type="auto"/>
            <w:tcBorders>
              <w:top w:val="nil"/>
              <w:left w:val="nil"/>
              <w:bottom w:val="double" w:sz="6" w:space="0" w:color="auto"/>
              <w:right w:val="nil"/>
            </w:tcBorders>
            <w:vAlign w:val="center"/>
            <w:hideMark/>
          </w:tcPr>
          <w:p w14:paraId="1DF2F6B6" w14:textId="77777777" w:rsidR="001D08E1" w:rsidRPr="00E016A0" w:rsidRDefault="001D08E1" w:rsidP="00EE2BFF">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371.37</w:t>
            </w:r>
          </w:p>
        </w:tc>
        <w:tc>
          <w:tcPr>
            <w:tcW w:w="0" w:type="auto"/>
            <w:tcBorders>
              <w:top w:val="nil"/>
              <w:left w:val="nil"/>
              <w:bottom w:val="double" w:sz="6" w:space="0" w:color="auto"/>
              <w:right w:val="nil"/>
            </w:tcBorders>
            <w:vAlign w:val="center"/>
            <w:hideMark/>
          </w:tcPr>
          <w:p w14:paraId="0CEF6A2E" w14:textId="77777777" w:rsidR="001D08E1" w:rsidRPr="00E016A0" w:rsidRDefault="001D08E1" w:rsidP="00EE2BFF">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160.93</w:t>
            </w:r>
          </w:p>
        </w:tc>
        <w:tc>
          <w:tcPr>
            <w:tcW w:w="0" w:type="auto"/>
            <w:tcBorders>
              <w:top w:val="nil"/>
              <w:left w:val="nil"/>
              <w:bottom w:val="double" w:sz="6" w:space="0" w:color="auto"/>
              <w:right w:val="nil"/>
            </w:tcBorders>
            <w:vAlign w:val="center"/>
            <w:hideMark/>
          </w:tcPr>
          <w:p w14:paraId="57C913D1" w14:textId="77777777" w:rsidR="001D08E1" w:rsidRPr="00E016A0" w:rsidRDefault="001D08E1" w:rsidP="00EE2BFF">
            <w:pPr>
              <w:widowControl/>
              <w:jc w:val="center"/>
              <w:rPr>
                <w:rFonts w:eastAsia="Times New Roman"/>
                <w:b/>
                <w:bCs/>
                <w:color w:val="000000"/>
                <w:kern w:val="0"/>
                <w:sz w:val="20"/>
                <w:szCs w:val="20"/>
                <w:lang w:val="en-GB"/>
              </w:rPr>
            </w:pPr>
            <w:r w:rsidRPr="00E016A0">
              <w:rPr>
                <w:rFonts w:eastAsia="Times New Roman"/>
                <w:b/>
                <w:bCs/>
                <w:color w:val="000000"/>
                <w:kern w:val="0"/>
                <w:sz w:val="20"/>
                <w:szCs w:val="20"/>
                <w:lang w:val="en-GB"/>
              </w:rPr>
              <w:t>185.87</w:t>
            </w:r>
          </w:p>
        </w:tc>
      </w:tr>
    </w:tbl>
    <w:p w14:paraId="4BE33365" w14:textId="77777777" w:rsidR="001D08E1" w:rsidRPr="00353AE1" w:rsidRDefault="001D08E1" w:rsidP="00E016A0"/>
    <w:p w14:paraId="714A611E" w14:textId="77777777" w:rsidR="006C2C5E" w:rsidRPr="00353AE1" w:rsidRDefault="006C2C5E" w:rsidP="00646904">
      <w:pPr>
        <w:spacing w:after="120"/>
        <w:jc w:val="left"/>
      </w:pPr>
    </w:p>
    <w:p w14:paraId="66B4B346" w14:textId="710BCF18" w:rsidR="001320D2" w:rsidRPr="00353AE1" w:rsidRDefault="001320D2" w:rsidP="00B34CF5">
      <w:pPr>
        <w:pStyle w:val="Heading1"/>
        <w:numPr>
          <w:ilvl w:val="0"/>
          <w:numId w:val="5"/>
        </w:numPr>
        <w:spacing w:before="0" w:after="120"/>
        <w:ind w:left="284"/>
        <w:rPr>
          <w:rFonts w:cs="Calibri"/>
        </w:rPr>
      </w:pPr>
      <w:bookmarkStart w:id="109" w:name="_Toc234277244"/>
      <w:r w:rsidRPr="00353AE1">
        <w:rPr>
          <w:rFonts w:cs="Calibri"/>
        </w:rPr>
        <w:t>Conclusion</w:t>
      </w:r>
      <w:bookmarkEnd w:id="109"/>
    </w:p>
    <w:p w14:paraId="1E3E977E" w14:textId="187A41B7" w:rsidR="00656EDB" w:rsidRPr="00353AE1" w:rsidRDefault="00656EDB" w:rsidP="007A2724">
      <w:pPr>
        <w:spacing w:after="120"/>
        <w:jc w:val="left"/>
        <w:rPr>
          <w:lang w:val="en-GB"/>
        </w:rPr>
      </w:pPr>
      <w:r w:rsidRPr="00353AE1">
        <w:rPr>
          <w:lang w:val="en-GB"/>
        </w:rPr>
        <w:t>This report uses VURMTAX to assess the economy-wide effects of two heavy vehicle reforms</w:t>
      </w:r>
      <w:r w:rsidR="00940399" w:rsidRPr="00353AE1">
        <w:rPr>
          <w:lang w:val="en-GB"/>
        </w:rPr>
        <w:t xml:space="preserve"> in Australia</w:t>
      </w:r>
      <w:r w:rsidRPr="00353AE1">
        <w:rPr>
          <w:lang w:val="en-GB"/>
        </w:rPr>
        <w:t>: increasing heavy vehicle road access</w:t>
      </w:r>
      <w:r w:rsidR="005260AD" w:rsidRPr="00353AE1">
        <w:rPr>
          <w:lang w:val="en-GB"/>
        </w:rPr>
        <w:t xml:space="preserve"> (Scenario 1)</w:t>
      </w:r>
      <w:r w:rsidRPr="00353AE1">
        <w:rPr>
          <w:lang w:val="en-GB"/>
        </w:rPr>
        <w:t xml:space="preserve"> and establishing a National Automated Access System</w:t>
      </w:r>
      <w:r w:rsidR="0076219A" w:rsidRPr="00353AE1">
        <w:rPr>
          <w:lang w:val="en-GB"/>
        </w:rPr>
        <w:t xml:space="preserve"> (Scenario 2)</w:t>
      </w:r>
      <w:r w:rsidRPr="00353AE1">
        <w:rPr>
          <w:lang w:val="en-GB"/>
        </w:rPr>
        <w:t xml:space="preserve">. The modelling incorporates database development work that improves the representation of commercial vehicle use in </w:t>
      </w:r>
      <w:r w:rsidR="00B34A00" w:rsidRPr="00353AE1">
        <w:rPr>
          <w:lang w:val="en-GB"/>
        </w:rPr>
        <w:t>the economy</w:t>
      </w:r>
      <w:r w:rsidR="001341F2" w:rsidRPr="00353AE1">
        <w:rPr>
          <w:lang w:val="en-GB"/>
        </w:rPr>
        <w:t xml:space="preserve">, with shocks informed </w:t>
      </w:r>
      <w:r w:rsidR="00B56A53" w:rsidRPr="00353AE1">
        <w:rPr>
          <w:lang w:val="en-GB"/>
        </w:rPr>
        <w:t xml:space="preserve">by </w:t>
      </w:r>
      <w:r w:rsidR="00DB50D9" w:rsidRPr="00353AE1">
        <w:rPr>
          <w:lang w:val="en-GB"/>
        </w:rPr>
        <w:t>BITRE (</w:t>
      </w:r>
      <w:r w:rsidR="00503714" w:rsidRPr="00353AE1">
        <w:rPr>
          <w:lang w:val="en-GB"/>
        </w:rPr>
        <w:t>forthcoming</w:t>
      </w:r>
      <w:r w:rsidR="00DB50D9" w:rsidRPr="00353AE1">
        <w:rPr>
          <w:lang w:val="en-GB"/>
        </w:rPr>
        <w:t>) and discussions with the Productivity Commission</w:t>
      </w:r>
      <w:r w:rsidRPr="00353AE1">
        <w:rPr>
          <w:lang w:val="en-GB"/>
        </w:rPr>
        <w:t>.</w:t>
      </w:r>
    </w:p>
    <w:p w14:paraId="0A4C7766" w14:textId="5B34D8C3" w:rsidR="00CE7773" w:rsidRPr="00353AE1" w:rsidRDefault="00CE7773" w:rsidP="00393F8C">
      <w:pPr>
        <w:spacing w:after="120"/>
        <w:jc w:val="left"/>
        <w:rPr>
          <w:lang w:val="en-GB"/>
        </w:rPr>
      </w:pPr>
      <w:r w:rsidRPr="00353AE1">
        <w:rPr>
          <w:lang w:val="en-GB"/>
        </w:rPr>
        <w:t>The results suggest that both reforms generate positive national economic effects overall. In Scenario 1, the national Road Freight MFP shock, together with higher public road-wear expenditure, raises GDP, household consumption, investment and exports. Scenario 2 also raises national activity, although the economic gains are concentrated in the NAAS states where the productivity shock is applied.</w:t>
      </w:r>
    </w:p>
    <w:p w14:paraId="18E3F848" w14:textId="2EFEA05A" w:rsidR="00656EDB" w:rsidRPr="00353AE1" w:rsidRDefault="00656EDB" w:rsidP="00393F8C">
      <w:pPr>
        <w:spacing w:after="120"/>
        <w:jc w:val="left"/>
        <w:rPr>
          <w:lang w:val="en-GB"/>
        </w:rPr>
      </w:pPr>
      <w:r w:rsidRPr="00353AE1">
        <w:rPr>
          <w:lang w:val="en-GB"/>
        </w:rPr>
        <w:t xml:space="preserve">Across both scenarios, the main beneficiaries are Road Freight and road-freight-using industries, including agriculture, manufacturing, wholesale trade and retail trade. Some sectors contract, including Railway Freight, which </w:t>
      </w:r>
      <w:r w:rsidR="00561F95" w:rsidRPr="00353AE1">
        <w:rPr>
          <w:lang w:val="en-GB"/>
        </w:rPr>
        <w:t xml:space="preserve">directly </w:t>
      </w:r>
      <w:r w:rsidRPr="00353AE1">
        <w:rPr>
          <w:lang w:val="en-GB"/>
        </w:rPr>
        <w:t>competes with Road Freight, and Heavy Vehicle, where higher Road Freight productivity reduces vehicle input requirements per unit of freight output.</w:t>
      </w:r>
    </w:p>
    <w:p w14:paraId="531A1973" w14:textId="44D52EC0" w:rsidR="00656EDB" w:rsidRPr="00353AE1" w:rsidRDefault="00656EDB" w:rsidP="00393F8C">
      <w:pPr>
        <w:spacing w:after="120"/>
        <w:jc w:val="left"/>
        <w:rPr>
          <w:lang w:val="en-GB"/>
        </w:rPr>
      </w:pPr>
      <w:r w:rsidRPr="00353AE1">
        <w:rPr>
          <w:lang w:val="en-GB"/>
        </w:rPr>
        <w:t>The regional results show that gains are unevenly distributed</w:t>
      </w:r>
      <w:r w:rsidR="00822D88" w:rsidRPr="00353AE1">
        <w:rPr>
          <w:lang w:val="en-GB"/>
        </w:rPr>
        <w:t xml:space="preserve"> across states</w:t>
      </w:r>
      <w:r w:rsidRPr="00353AE1">
        <w:rPr>
          <w:lang w:val="en-GB"/>
        </w:rPr>
        <w:t xml:space="preserve">. Tasmania records the strongest gains, reflecting its relatively high Road Freight margin intensity and </w:t>
      </w:r>
      <w:r w:rsidR="004E074D" w:rsidRPr="00353AE1">
        <w:rPr>
          <w:lang w:val="en-GB"/>
        </w:rPr>
        <w:t xml:space="preserve">the </w:t>
      </w:r>
      <w:r w:rsidR="004861A1" w:rsidRPr="00353AE1">
        <w:rPr>
          <w:lang w:val="en-GB"/>
        </w:rPr>
        <w:t>interstate migration</w:t>
      </w:r>
      <w:r w:rsidRPr="00353AE1">
        <w:rPr>
          <w:lang w:val="en-GB"/>
        </w:rPr>
        <w:t xml:space="preserve"> response</w:t>
      </w:r>
      <w:r w:rsidR="004861A1" w:rsidRPr="00353AE1">
        <w:rPr>
          <w:lang w:val="en-GB"/>
        </w:rPr>
        <w:t xml:space="preserve"> to its </w:t>
      </w:r>
      <w:r w:rsidR="00BF4186" w:rsidRPr="00353AE1">
        <w:rPr>
          <w:lang w:val="en-GB"/>
        </w:rPr>
        <w:t>higher relative wages</w:t>
      </w:r>
      <w:r w:rsidR="006E1729" w:rsidRPr="00353AE1">
        <w:rPr>
          <w:lang w:val="en-GB"/>
        </w:rPr>
        <w:t xml:space="preserve"> in both scenarios</w:t>
      </w:r>
      <w:r w:rsidRPr="00353AE1">
        <w:rPr>
          <w:lang w:val="en-GB"/>
        </w:rPr>
        <w:t xml:space="preserve">. </w:t>
      </w:r>
    </w:p>
    <w:p w14:paraId="52EA3051" w14:textId="4FAE2687" w:rsidR="009034FB" w:rsidRPr="00353AE1" w:rsidRDefault="00656EDB" w:rsidP="00393F8C">
      <w:pPr>
        <w:spacing w:after="120"/>
        <w:jc w:val="left"/>
        <w:rPr>
          <w:lang w:val="en-GB"/>
        </w:rPr>
      </w:pPr>
      <w:r w:rsidRPr="00353AE1">
        <w:rPr>
          <w:lang w:val="en-GB"/>
        </w:rPr>
        <w:t xml:space="preserve">Overall, the modelling indicates that heavy vehicle reform can improve economy-wide </w:t>
      </w:r>
      <w:r w:rsidRPr="00353AE1">
        <w:rPr>
          <w:lang w:val="en-GB"/>
        </w:rPr>
        <w:lastRenderedPageBreak/>
        <w:t xml:space="preserve">performance, but the size and distribution of gains depend on reform design, </w:t>
      </w:r>
      <w:r w:rsidR="00625E63" w:rsidRPr="00353AE1">
        <w:rPr>
          <w:lang w:val="en-GB"/>
        </w:rPr>
        <w:t xml:space="preserve">regional </w:t>
      </w:r>
      <w:r w:rsidRPr="00353AE1">
        <w:rPr>
          <w:lang w:val="en-GB"/>
        </w:rPr>
        <w:t xml:space="preserve">coverage, </w:t>
      </w:r>
      <w:r w:rsidR="00C37B3F" w:rsidRPr="00353AE1">
        <w:rPr>
          <w:lang w:val="en-GB"/>
        </w:rPr>
        <w:t xml:space="preserve">regional </w:t>
      </w:r>
      <w:r w:rsidR="00247067" w:rsidRPr="00353AE1">
        <w:rPr>
          <w:lang w:val="en-GB"/>
        </w:rPr>
        <w:t>and sectoral</w:t>
      </w:r>
      <w:r w:rsidRPr="00353AE1">
        <w:rPr>
          <w:lang w:val="en-GB"/>
        </w:rPr>
        <w:t xml:space="preserve"> structures and associated</w:t>
      </w:r>
      <w:r w:rsidR="002A2401" w:rsidRPr="00353AE1">
        <w:rPr>
          <w:lang w:val="en-GB"/>
        </w:rPr>
        <w:t xml:space="preserve"> </w:t>
      </w:r>
      <w:r w:rsidR="0074765D" w:rsidRPr="00353AE1">
        <w:rPr>
          <w:lang w:val="en-GB"/>
        </w:rPr>
        <w:t>infrastructure</w:t>
      </w:r>
      <w:r w:rsidRPr="00353AE1">
        <w:rPr>
          <w:lang w:val="en-GB"/>
        </w:rPr>
        <w:t xml:space="preserve"> costs.</w:t>
      </w:r>
    </w:p>
    <w:p w14:paraId="78E8D149" w14:textId="77777777" w:rsidR="009034FB" w:rsidRPr="00353AE1" w:rsidRDefault="009034FB" w:rsidP="00393F8C">
      <w:pPr>
        <w:spacing w:after="120"/>
        <w:jc w:val="left"/>
      </w:pPr>
    </w:p>
    <w:p w14:paraId="6BEA5103" w14:textId="27437738" w:rsidR="00A0362B" w:rsidRPr="00353AE1" w:rsidRDefault="00A0362B" w:rsidP="00393F8C">
      <w:pPr>
        <w:widowControl/>
        <w:spacing w:after="120"/>
        <w:jc w:val="left"/>
        <w:rPr>
          <w:lang w:val="en-GB"/>
        </w:rPr>
      </w:pPr>
      <w:r w:rsidRPr="00353AE1">
        <w:rPr>
          <w:lang w:val="en-GB"/>
        </w:rPr>
        <w:br w:type="page"/>
      </w:r>
    </w:p>
    <w:p w14:paraId="62416999" w14:textId="4B7F0B12" w:rsidR="00AA14A5" w:rsidRPr="00353AE1" w:rsidRDefault="00A0362B" w:rsidP="00393F8C">
      <w:pPr>
        <w:pStyle w:val="Heading1"/>
        <w:spacing w:before="0" w:after="120"/>
        <w:rPr>
          <w:rFonts w:cs="Calibri"/>
        </w:rPr>
      </w:pPr>
      <w:bookmarkStart w:id="110" w:name="_Toc234277245"/>
      <w:r w:rsidRPr="00353AE1">
        <w:rPr>
          <w:rFonts w:cs="Calibri"/>
        </w:rPr>
        <w:lastRenderedPageBreak/>
        <w:t>Reference</w:t>
      </w:r>
      <w:r w:rsidR="00814F60" w:rsidRPr="00353AE1">
        <w:rPr>
          <w:rFonts w:cs="Calibri"/>
        </w:rPr>
        <w:t>s</w:t>
      </w:r>
      <w:bookmarkEnd w:id="110"/>
    </w:p>
    <w:p w14:paraId="3E7D2F2B" w14:textId="3A294C79" w:rsidR="00F96DA7" w:rsidRPr="00353AE1" w:rsidRDefault="00F96DA7" w:rsidP="00CE2C9D">
      <w:pPr>
        <w:spacing w:after="120"/>
        <w:jc w:val="left"/>
      </w:pPr>
      <w:r w:rsidRPr="00353AE1">
        <w:t xml:space="preserve">Adams, P. D., J. M. Dixon and J. M. Horridge (2015). The Victoria University Regional Model (VURM): Technical Documentation, Version 1.0. CoPS/IMPACT Working Paper no. G-254. Available at </w:t>
      </w:r>
      <w:hyperlink r:id="rId21" w:history="1">
        <w:r w:rsidRPr="00353AE1">
          <w:rPr>
            <w:rStyle w:val="Hyperlink"/>
          </w:rPr>
          <w:t>https://www.copsmodels.com/elecpapr/g-254.htm</w:t>
        </w:r>
      </w:hyperlink>
      <w:r w:rsidRPr="00353AE1">
        <w:t>.</w:t>
      </w:r>
    </w:p>
    <w:p w14:paraId="3CE64DE8" w14:textId="14AB30D0" w:rsidR="00461C24" w:rsidRPr="00353AE1" w:rsidRDefault="00461C24" w:rsidP="00CE2C9D">
      <w:pPr>
        <w:spacing w:after="120"/>
        <w:jc w:val="left"/>
      </w:pPr>
      <w:r w:rsidRPr="00353AE1">
        <w:t xml:space="preserve">Australian Bureau of Statistics. (2019). Survey of Motor Vehicle Use, Australia, 12 months ended 30 June 2018. </w:t>
      </w:r>
      <w:r w:rsidR="00CE2C9D" w:rsidRPr="00353AE1">
        <w:t xml:space="preserve">Australian Bureau of Statistics.  </w:t>
      </w:r>
      <w:hyperlink r:id="rId22" w:history="1">
        <w:r w:rsidR="00A17001" w:rsidRPr="00353AE1">
          <w:rPr>
            <w:rStyle w:val="Hyperlink"/>
          </w:rPr>
          <w:t>https://www.abs.gov.au/statistics/industry/tourism-and-transport/survey-motor-vehicle-use-australia/12-months-ended-30-june-2018</w:t>
        </w:r>
      </w:hyperlink>
      <w:r w:rsidR="0042632A" w:rsidRPr="00353AE1">
        <w:rPr>
          <w:rStyle w:val="Hyperlink"/>
        </w:rPr>
        <w:t>.</w:t>
      </w:r>
    </w:p>
    <w:p w14:paraId="039FD001" w14:textId="00D55F07" w:rsidR="00FF6BFF" w:rsidRPr="00353AE1" w:rsidRDefault="00252D37" w:rsidP="00CE2C9D">
      <w:pPr>
        <w:spacing w:after="120"/>
        <w:jc w:val="left"/>
      </w:pPr>
      <w:r w:rsidRPr="00353AE1">
        <w:t xml:space="preserve">Australian Bureau of Statistics. (2025). </w:t>
      </w:r>
      <w:r w:rsidR="00341391" w:rsidRPr="00353AE1">
        <w:t>Australian National Accounts: Input-Output Tables. 2022-23 financial year</w:t>
      </w:r>
      <w:r w:rsidR="00AC4593" w:rsidRPr="00353AE1">
        <w:t>.</w:t>
      </w:r>
      <w:r w:rsidRPr="00353AE1">
        <w:t xml:space="preserve"> Australian Bureau of Statistics.  </w:t>
      </w:r>
      <w:hyperlink r:id="rId23" w:history="1">
        <w:r w:rsidR="00FF6BFF" w:rsidRPr="00353AE1">
          <w:rPr>
            <w:rStyle w:val="Hyperlink"/>
          </w:rPr>
          <w:t>https://www.abs.gov.au/statistics/economy/national-accounts/australian-national-accounts-input-output-tables/2022-23</w:t>
        </w:r>
      </w:hyperlink>
      <w:r w:rsidR="0042632A" w:rsidRPr="00353AE1">
        <w:t>.</w:t>
      </w:r>
    </w:p>
    <w:p w14:paraId="081236AC" w14:textId="285A3E23" w:rsidR="00A17001" w:rsidRPr="00353AE1" w:rsidRDefault="00A17001" w:rsidP="00CE2C9D">
      <w:pPr>
        <w:spacing w:after="120"/>
        <w:jc w:val="left"/>
      </w:pPr>
      <w:r w:rsidRPr="00353AE1">
        <w:t xml:space="preserve">Bureau of Infrastructure and Transport Research Economics. (2024). </w:t>
      </w:r>
      <w:r w:rsidRPr="00353AE1">
        <w:rPr>
          <w:i/>
          <w:iCs/>
        </w:rPr>
        <w:t>Road vehicles, Australia: January 2024</w:t>
      </w:r>
      <w:r w:rsidRPr="00353AE1">
        <w:t>. BITRE.</w:t>
      </w:r>
      <w:r w:rsidR="005B6853" w:rsidRPr="00353AE1">
        <w:t xml:space="preserve"> Department of Infrastructure, Transport, Regional Development, Communications, Sport and the Arts.</w:t>
      </w:r>
    </w:p>
    <w:p w14:paraId="0B6B786B" w14:textId="50F03251" w:rsidR="000D1DDE" w:rsidRPr="00353AE1" w:rsidRDefault="000D1DDE" w:rsidP="00CE2C9D">
      <w:pPr>
        <w:spacing w:after="120"/>
        <w:jc w:val="left"/>
      </w:pPr>
      <w:r w:rsidRPr="00353AE1">
        <w:t xml:space="preserve">Bureau of Infrastructure and Transport Research Economics. (2025). </w:t>
      </w:r>
      <w:r w:rsidRPr="00353AE1">
        <w:rPr>
          <w:rStyle w:val="Emphasis"/>
        </w:rPr>
        <w:t>Australian infrastructure and transport statistics—Yearbook 2025</w:t>
      </w:r>
      <w:r w:rsidRPr="00353AE1">
        <w:t>.</w:t>
      </w:r>
      <w:r w:rsidR="004E3B87" w:rsidRPr="00353AE1">
        <w:t xml:space="preserve"> BITRE.</w:t>
      </w:r>
      <w:r w:rsidRPr="00353AE1">
        <w:t xml:space="preserve"> Department of Infrastructure, Transport, Regional Development, Communications, Sport and the Arts.</w:t>
      </w:r>
    </w:p>
    <w:p w14:paraId="762538B5" w14:textId="156C9C24" w:rsidR="00F273C6" w:rsidRPr="00353AE1" w:rsidRDefault="002C536C" w:rsidP="00CE2C9D">
      <w:pPr>
        <w:spacing w:after="120"/>
        <w:jc w:val="left"/>
      </w:pPr>
      <w:r w:rsidRPr="00353AE1">
        <w:t>Bureau of Infrastructure and Transport Research Economics. (</w:t>
      </w:r>
      <w:r w:rsidR="00011895" w:rsidRPr="00353AE1">
        <w:t>forthcoming</w:t>
      </w:r>
      <w:r w:rsidRPr="00353AE1">
        <w:t xml:space="preserve">). </w:t>
      </w:r>
      <w:r w:rsidRPr="00353AE1">
        <w:rPr>
          <w:rStyle w:val="Emphasis"/>
        </w:rPr>
        <w:t>Estimated productivity impact of selected heavy vehicle-related measures: Quantifying the potential impacts on industry productivity</w:t>
      </w:r>
      <w:r w:rsidRPr="00353AE1">
        <w:t xml:space="preserve"> (BITRE reference No. 2026-016). Department of Infrastructure, Transport, Regional Development, Communications, Sport and the Arts.</w:t>
      </w:r>
    </w:p>
    <w:p w14:paraId="2F18310B" w14:textId="1A4937A1" w:rsidR="00F96DA7" w:rsidRPr="00353AE1" w:rsidRDefault="00F96DA7" w:rsidP="00F96DA7">
      <w:pPr>
        <w:spacing w:after="120"/>
        <w:jc w:val="left"/>
        <w:rPr>
          <w:lang w:val="en-US"/>
        </w:rPr>
      </w:pPr>
      <w:r w:rsidRPr="00353AE1">
        <w:rPr>
          <w:lang w:val="en-US"/>
        </w:rPr>
        <w:t xml:space="preserve">Dixon, J. M., and J. Nassios (2018). A dynamic economy-wide analysis of company tax cuts in Australia. CoPS/IMPACT Working Paper no. G-287. Available at </w:t>
      </w:r>
      <w:hyperlink r:id="rId24" w:history="1">
        <w:r w:rsidR="00476B43" w:rsidRPr="00353AE1">
          <w:rPr>
            <w:rStyle w:val="Hyperlink"/>
            <w:lang w:val="en-US"/>
          </w:rPr>
          <w:t>https://www.copsmodels.com/elecpapr/g-287.htm</w:t>
        </w:r>
      </w:hyperlink>
      <w:r w:rsidR="00476B43" w:rsidRPr="00353AE1">
        <w:rPr>
          <w:lang w:val="en-US"/>
        </w:rPr>
        <w:t>.</w:t>
      </w:r>
    </w:p>
    <w:p w14:paraId="4E1E41BF" w14:textId="2E660E6F" w:rsidR="00F96DA7" w:rsidRPr="00353AE1" w:rsidRDefault="00F96DA7" w:rsidP="00F96DA7">
      <w:pPr>
        <w:spacing w:after="120"/>
        <w:jc w:val="left"/>
        <w:rPr>
          <w:lang w:val="en-US"/>
        </w:rPr>
      </w:pPr>
      <w:r w:rsidRPr="00353AE1">
        <w:rPr>
          <w:lang w:val="en-US"/>
        </w:rPr>
        <w:t>Giesecke, J.</w:t>
      </w:r>
      <w:r w:rsidR="002360BF">
        <w:rPr>
          <w:lang w:val="en-US"/>
        </w:rPr>
        <w:t xml:space="preserve"> </w:t>
      </w:r>
      <w:r w:rsidRPr="00353AE1">
        <w:rPr>
          <w:lang w:val="en-US"/>
        </w:rPr>
        <w:t>A. and J.</w:t>
      </w:r>
      <w:r w:rsidR="002360BF">
        <w:rPr>
          <w:lang w:val="en-US"/>
        </w:rPr>
        <w:t xml:space="preserve"> </w:t>
      </w:r>
      <w:r w:rsidRPr="00353AE1">
        <w:rPr>
          <w:lang w:val="en-US"/>
        </w:rPr>
        <w:t xml:space="preserve">R. Madden (2013). Regional computable general equilibrium modeling. In PB Dixon and DW Jorgenson (eds). </w:t>
      </w:r>
      <w:r w:rsidRPr="00353AE1">
        <w:rPr>
          <w:i/>
          <w:iCs/>
          <w:lang w:val="en-US"/>
        </w:rPr>
        <w:t xml:space="preserve">Handbook of Computable General Equilibrium Modeling </w:t>
      </w:r>
      <w:r w:rsidRPr="00353AE1">
        <w:rPr>
          <w:lang w:val="en-US"/>
        </w:rPr>
        <w:t>(pp. 379-475). Amsterdam: Elsevier.</w:t>
      </w:r>
    </w:p>
    <w:p w14:paraId="79CD128D" w14:textId="77777777" w:rsidR="00F96DA7" w:rsidRPr="00353AE1" w:rsidRDefault="00F96DA7" w:rsidP="00F96DA7">
      <w:pPr>
        <w:spacing w:after="120"/>
        <w:jc w:val="left"/>
        <w:rPr>
          <w:lang w:val="en-US"/>
        </w:rPr>
      </w:pPr>
      <w:r w:rsidRPr="00353AE1">
        <w:rPr>
          <w:lang w:val="en-US"/>
        </w:rPr>
        <w:t>Giesecke, J. A., and N. H. Tran (2018). The national and regional consequences of Australia’s Goods and Services Tax. Economic Record 94 (306), pp. 255 – 275.</w:t>
      </w:r>
    </w:p>
    <w:p w14:paraId="4B4DA714" w14:textId="77777777" w:rsidR="00F96DA7" w:rsidRPr="00353AE1" w:rsidRDefault="00F96DA7" w:rsidP="00F96DA7">
      <w:pPr>
        <w:spacing w:after="120"/>
        <w:jc w:val="left"/>
        <w:rPr>
          <w:lang w:val="en-US"/>
        </w:rPr>
      </w:pPr>
      <w:r w:rsidRPr="00353AE1">
        <w:rPr>
          <w:lang w:val="en-US"/>
        </w:rPr>
        <w:t>Giesecke, J. A., C. King, J. Nassios and N. H. Tran (2021). The impact of GST reform on Australia’s state and territory economies. Applied Economics 53 (51), pp. 5929–5947.</w:t>
      </w:r>
    </w:p>
    <w:p w14:paraId="7D0F8DD8" w14:textId="77777777" w:rsidR="00F96DA7" w:rsidRPr="00353AE1" w:rsidRDefault="00F96DA7" w:rsidP="00F96DA7">
      <w:pPr>
        <w:spacing w:after="120"/>
        <w:jc w:val="left"/>
      </w:pPr>
      <w:r w:rsidRPr="00353AE1">
        <w:t xml:space="preserve">Harrison, W. J., and K. R. Pearson (1996). </w:t>
      </w:r>
      <w:r w:rsidRPr="00353AE1">
        <w:rPr>
          <w:i/>
        </w:rPr>
        <w:t>Computing solutions for large general equilibrium models using GEMPACK</w:t>
      </w:r>
      <w:r w:rsidRPr="00353AE1">
        <w:t>. Computational Economics 9, pp. 83–127.</w:t>
      </w:r>
    </w:p>
    <w:p w14:paraId="58C180AB" w14:textId="77777777" w:rsidR="00F96DA7" w:rsidRPr="00353AE1" w:rsidRDefault="00F96DA7" w:rsidP="00F96DA7">
      <w:pPr>
        <w:spacing w:after="120"/>
        <w:jc w:val="left"/>
      </w:pPr>
      <w:r w:rsidRPr="00353AE1">
        <w:t xml:space="preserve">Horridge J. M., M. Jerie, D. Mustakinov, and F. Schiffmann (2018). </w:t>
      </w:r>
      <w:r w:rsidRPr="00353AE1">
        <w:rPr>
          <w:i/>
        </w:rPr>
        <w:t>GEMPACK manual</w:t>
      </w:r>
      <w:r w:rsidRPr="00353AE1">
        <w:t>. GEMPACK Software, Centre of Policy Studies, Victoria University, Melbourne, ISBN 978-1-921654-34-3.</w:t>
      </w:r>
    </w:p>
    <w:p w14:paraId="799087B7" w14:textId="017677A4" w:rsidR="0063654F" w:rsidRPr="00353AE1" w:rsidRDefault="0063654F" w:rsidP="00F96DA7">
      <w:pPr>
        <w:spacing w:after="120"/>
        <w:jc w:val="left"/>
        <w:rPr>
          <w:lang w:val="en-US"/>
        </w:rPr>
      </w:pPr>
      <w:r w:rsidRPr="00013474">
        <w:rPr>
          <w:lang w:val="pt-BR"/>
        </w:rPr>
        <w:t xml:space="preserve">Liu, X. L., Nassios, J., &amp; Giesecke, J. (2024). </w:t>
      </w:r>
      <w:r w:rsidRPr="00353AE1">
        <w:rPr>
          <w:lang w:val="en-US"/>
        </w:rPr>
        <w:t xml:space="preserve">To Tax or to Spend? Modelling Tax Policy </w:t>
      </w:r>
      <w:r w:rsidRPr="00353AE1">
        <w:rPr>
          <w:lang w:val="en-US"/>
        </w:rPr>
        <w:lastRenderedPageBreak/>
        <w:t>Responses to Oil Price Shocks. Energy Policy, 185, 113929.</w:t>
      </w:r>
    </w:p>
    <w:p w14:paraId="1B252A01" w14:textId="02AEC8C1" w:rsidR="003421B2" w:rsidRPr="00353AE1" w:rsidRDefault="003421B2" w:rsidP="00F96DA7">
      <w:pPr>
        <w:spacing w:after="120"/>
        <w:jc w:val="left"/>
        <w:rPr>
          <w:lang w:val="en-US"/>
        </w:rPr>
      </w:pPr>
      <w:r w:rsidRPr="00013474">
        <w:rPr>
          <w:lang w:val="pt-BR"/>
        </w:rPr>
        <w:t>Liu, X. L., Giesecke, J., &amp; Nassios, J. (2025</w:t>
      </w:r>
      <w:r w:rsidR="00373BD7" w:rsidRPr="00013474">
        <w:rPr>
          <w:lang w:val="pt-BR"/>
        </w:rPr>
        <w:t xml:space="preserve">). </w:t>
      </w:r>
      <w:hyperlink r:id="rId25" w:tgtFrame="_blank" w:history="1">
        <w:r w:rsidRPr="00353AE1">
          <w:rPr>
            <w:lang w:val="en-US"/>
          </w:rPr>
          <w:t>Cashing in on export education: evaluating the implications of taxing international students</w:t>
        </w:r>
      </w:hyperlink>
      <w:r w:rsidR="004E01FC" w:rsidRPr="00353AE1">
        <w:rPr>
          <w:lang w:val="en-US"/>
        </w:rPr>
        <w:t>,</w:t>
      </w:r>
      <w:r w:rsidRPr="00353AE1">
        <w:rPr>
          <w:lang w:val="en-US"/>
        </w:rPr>
        <w:t> Applied Economics, 1-21.</w:t>
      </w:r>
    </w:p>
    <w:p w14:paraId="1271FADD" w14:textId="06584605" w:rsidR="00F96DA7" w:rsidRPr="00353AE1" w:rsidRDefault="00F96DA7" w:rsidP="00F96DA7">
      <w:pPr>
        <w:spacing w:after="120"/>
        <w:jc w:val="left"/>
      </w:pPr>
      <w:r w:rsidRPr="00353AE1">
        <w:t>Nassios, J. and J. Giesecke (2022</w:t>
      </w:r>
      <w:r w:rsidR="00373BD7" w:rsidRPr="00353AE1">
        <w:t xml:space="preserve">). </w:t>
      </w:r>
      <w:r w:rsidRPr="00353AE1">
        <w:t xml:space="preserve">Property Tax Reform: Implications for Housing Prices and Economic Productivity, CoPS Working Paper No. G-330, June 2022, </w:t>
      </w:r>
      <w:hyperlink r:id="rId26" w:history="1">
        <w:r w:rsidRPr="00353AE1">
          <w:rPr>
            <w:rStyle w:val="Hyperlink"/>
          </w:rPr>
          <w:t>https://www.copsmodels.com/ftp/workpapr/g-330.pdf</w:t>
        </w:r>
      </w:hyperlink>
      <w:r w:rsidRPr="00353AE1">
        <w:t>.</w:t>
      </w:r>
    </w:p>
    <w:p w14:paraId="39B1A27D" w14:textId="1FCABAC6" w:rsidR="00F96DA7" w:rsidRPr="00353AE1" w:rsidRDefault="00F96DA7" w:rsidP="00F96DA7">
      <w:pPr>
        <w:spacing w:after="120"/>
        <w:jc w:val="left"/>
      </w:pPr>
      <w:bookmarkStart w:id="111" w:name="_Hlk207894821"/>
      <w:r w:rsidRPr="00353AE1">
        <w:t>Nassios, J. and J.</w:t>
      </w:r>
      <w:r w:rsidR="002360BF">
        <w:t xml:space="preserve"> </w:t>
      </w:r>
      <w:r w:rsidRPr="00353AE1">
        <w:t>A. Giesecke (2025</w:t>
      </w:r>
      <w:r w:rsidR="00373BD7" w:rsidRPr="00353AE1">
        <w:t xml:space="preserve">). </w:t>
      </w:r>
      <w:r w:rsidRPr="00353AE1">
        <w:t xml:space="preserve">Inefficient at any level: A comparative efficiency argument for elimination of property transfer duties and insurance taxes, Applied Economics, July 2025, </w:t>
      </w:r>
      <w:hyperlink r:id="rId27" w:history="1">
        <w:r w:rsidR="00847002" w:rsidRPr="00353AE1">
          <w:rPr>
            <w:rStyle w:val="Hyperlink"/>
          </w:rPr>
          <w:t>https://doi.org/10.1080/00036846.2025.2507977</w:t>
        </w:r>
      </w:hyperlink>
      <w:bookmarkEnd w:id="111"/>
      <w:r w:rsidR="00847002" w:rsidRPr="00353AE1">
        <w:t>.</w:t>
      </w:r>
    </w:p>
    <w:p w14:paraId="4A473C73" w14:textId="6AE939B9" w:rsidR="00E8538B" w:rsidRPr="00353AE1" w:rsidRDefault="00F96DA7" w:rsidP="00F96DA7">
      <w:pPr>
        <w:spacing w:after="120"/>
        <w:jc w:val="left"/>
      </w:pPr>
      <w:r w:rsidRPr="00353AE1">
        <w:t xml:space="preserve">Nassios, J., J. R. Madden, J. A. Giesecke, J. M. Dixon, N. H. Tran, P. B. Dixon, M. T. Rimmer, P. D. Adams and J. W. Freebairn (2019a). The economic impact and efficiency of state and federal taxes in Australia. CoPS/IMPACT Working Paper no. G-289. Available at </w:t>
      </w:r>
      <w:hyperlink r:id="rId28" w:history="1">
        <w:r w:rsidR="00E8538B" w:rsidRPr="00353AE1">
          <w:rPr>
            <w:rStyle w:val="Hyperlink"/>
          </w:rPr>
          <w:t>https://www.copsmodels.com/elecpapr/g-289.htm</w:t>
        </w:r>
      </w:hyperlink>
      <w:r w:rsidRPr="00353AE1">
        <w:t>.</w:t>
      </w:r>
    </w:p>
    <w:p w14:paraId="10C35AC7" w14:textId="66ECD014" w:rsidR="00F9675A" w:rsidRPr="00353AE1" w:rsidRDefault="00F9675A" w:rsidP="00F96DA7">
      <w:pPr>
        <w:spacing w:after="120"/>
        <w:jc w:val="left"/>
        <w:rPr>
          <w:lang w:val="en-US"/>
        </w:rPr>
      </w:pPr>
      <w:r w:rsidRPr="00353AE1">
        <w:t xml:space="preserve">Nassios, J., J. A. Giesecke, P. B. Dixon and M. T. Rimmer (2019b). </w:t>
      </w:r>
      <w:r w:rsidRPr="00353AE1">
        <w:rPr>
          <w:i/>
          <w:iCs/>
        </w:rPr>
        <w:t>Modelling the allocative efficiency of landowner taxation</w:t>
      </w:r>
      <w:r w:rsidRPr="00353AE1">
        <w:t xml:space="preserve">. Economic Modelling 81, pp. 111 - 123. </w:t>
      </w:r>
    </w:p>
    <w:p w14:paraId="1BD72436" w14:textId="14F12CE3" w:rsidR="00F34471" w:rsidRDefault="008758AA" w:rsidP="00CE2C9D">
      <w:pPr>
        <w:spacing w:after="120"/>
        <w:jc w:val="left"/>
      </w:pPr>
      <w:r w:rsidRPr="00353AE1">
        <w:t>Wittwer, G. (Ed.). (2012). Economic modeling of water: the Australian CGE experience (Vol. 3). Springer Science &amp; Busines</w:t>
      </w:r>
      <w:r w:rsidR="00BC4DD0" w:rsidRPr="00353AE1">
        <w:t>s media</w:t>
      </w:r>
    </w:p>
    <w:p w14:paraId="0353C661" w14:textId="77777777" w:rsidR="00F34471" w:rsidRDefault="00F34471">
      <w:pPr>
        <w:widowControl/>
        <w:jc w:val="left"/>
      </w:pPr>
      <w:r>
        <w:br w:type="page"/>
      </w:r>
    </w:p>
    <w:p w14:paraId="70DE22FD" w14:textId="034F99BF" w:rsidR="00F96DA7" w:rsidRDefault="00DD1E85" w:rsidP="00696206">
      <w:pPr>
        <w:pStyle w:val="Heading1"/>
        <w:spacing w:before="0" w:after="120"/>
        <w:rPr>
          <w:rFonts w:cs="Calibri"/>
        </w:rPr>
      </w:pPr>
      <w:bookmarkStart w:id="112" w:name="_Toc234277246"/>
      <w:r>
        <w:rPr>
          <w:rFonts w:cs="Calibri"/>
        </w:rPr>
        <w:lastRenderedPageBreak/>
        <w:t>Appendix</w:t>
      </w:r>
      <w:r w:rsidR="003D3FCC">
        <w:rPr>
          <w:rFonts w:cs="Calibri"/>
        </w:rPr>
        <w:t xml:space="preserve">: </w:t>
      </w:r>
      <w:r w:rsidR="003D3FCC" w:rsidRPr="003D3FCC">
        <w:rPr>
          <w:rFonts w:cs="Calibri"/>
        </w:rPr>
        <w:t>Accessible descriptions of figures</w:t>
      </w:r>
      <w:bookmarkEnd w:id="112"/>
    </w:p>
    <w:p w14:paraId="7954D65A" w14:textId="0D433307" w:rsidR="00D92496" w:rsidRDefault="008A32A6" w:rsidP="00A61010">
      <w:pPr>
        <w:spacing w:after="120"/>
        <w:jc w:val="left"/>
      </w:pPr>
      <w:r w:rsidRPr="008A32A6">
        <w:t>The descriptions in this appendix support accessibility. They present the key information shown in each figure in text form.</w:t>
      </w:r>
      <w:r w:rsidR="005525E8">
        <w:t xml:space="preserve"> </w:t>
      </w:r>
    </w:p>
    <w:p w14:paraId="3F4A712D" w14:textId="77777777" w:rsidR="004F0B8A" w:rsidRDefault="004F0B8A" w:rsidP="00A61010">
      <w:pPr>
        <w:spacing w:after="120"/>
        <w:jc w:val="left"/>
      </w:pPr>
    </w:p>
    <w:p w14:paraId="62FBFCBD" w14:textId="127A43CA" w:rsidR="0039796F" w:rsidRPr="00A61010" w:rsidRDefault="0039796F" w:rsidP="00A61010">
      <w:pPr>
        <w:spacing w:after="120"/>
        <w:jc w:val="left"/>
        <w:rPr>
          <w:b/>
          <w:bCs/>
        </w:rPr>
      </w:pPr>
      <w:r w:rsidRPr="00A61010">
        <w:rPr>
          <w:b/>
          <w:bCs/>
        </w:rPr>
        <w:t xml:space="preserve">Figure </w:t>
      </w:r>
      <w:r w:rsidRPr="00A61010">
        <w:rPr>
          <w:b/>
          <w:bCs/>
        </w:rPr>
        <w:fldChar w:fldCharType="begin"/>
      </w:r>
      <w:r w:rsidRPr="00A61010">
        <w:rPr>
          <w:b/>
          <w:bCs/>
        </w:rPr>
        <w:instrText xml:space="preserve"> SEQ Figure \* ARABIC </w:instrText>
      </w:r>
      <w:r w:rsidRPr="00A61010">
        <w:rPr>
          <w:b/>
          <w:bCs/>
        </w:rPr>
        <w:fldChar w:fldCharType="separate"/>
      </w:r>
      <w:r w:rsidRPr="00A61010">
        <w:rPr>
          <w:b/>
          <w:bCs/>
        </w:rPr>
        <w:t>1</w:t>
      </w:r>
      <w:r w:rsidRPr="00A61010">
        <w:rPr>
          <w:b/>
          <w:bCs/>
        </w:rPr>
        <w:fldChar w:fldCharType="end"/>
      </w:r>
      <w:r w:rsidRPr="00A61010">
        <w:rPr>
          <w:b/>
          <w:bCs/>
        </w:rPr>
        <w:t>. ANZSIC Industry Output (Scenario 1A)</w:t>
      </w:r>
    </w:p>
    <w:p w14:paraId="1ED5DDB2" w14:textId="19AF6E2F" w:rsidR="004B2BE7" w:rsidRDefault="004B2BE7" w:rsidP="004B2BE7">
      <w:pPr>
        <w:spacing w:after="120"/>
        <w:jc w:val="left"/>
      </w:pPr>
      <w:r>
        <w:t>Figure 1 is a grouped bar chart showing percentage deviations from baseline in output for</w:t>
      </w:r>
      <w:r w:rsidR="009D521B">
        <w:t xml:space="preserve"> </w:t>
      </w:r>
      <w:r w:rsidR="00254DF0">
        <w:t xml:space="preserve">broad </w:t>
      </w:r>
      <w:r>
        <w:t xml:space="preserve">industry </w:t>
      </w:r>
      <w:r w:rsidR="00EA3910">
        <w:t>groups</w:t>
      </w:r>
      <w:r w:rsidR="00F71BFA">
        <w:t xml:space="preserve"> </w:t>
      </w:r>
      <w:r w:rsidR="00254DF0">
        <w:t xml:space="preserve">aligned closely with ANZSIC level 1 </w:t>
      </w:r>
      <w:r>
        <w:t xml:space="preserve">in 2026 and 2040 under Scenario 1A. </w:t>
      </w:r>
      <w:r w:rsidR="007A6AB8">
        <w:t xml:space="preserve">The vertical axis shows percentage deviations from baseline. </w:t>
      </w:r>
      <w:r w:rsidR="00BB4E05" w:rsidRPr="00BB4E05">
        <w:t xml:space="preserve">The horizontal axis lists industry </w:t>
      </w:r>
      <w:r w:rsidR="00443A55">
        <w:t>groups</w:t>
      </w:r>
      <w:r w:rsidR="009932AD">
        <w:t xml:space="preserve"> </w:t>
      </w:r>
      <w:r w:rsidR="00BB4E05" w:rsidRPr="00BB4E05">
        <w:t>in descending order of their 2026 percentage deviation from baseline.</w:t>
      </w:r>
      <w:r>
        <w:t xml:space="preserve"> Each industry </w:t>
      </w:r>
      <w:r w:rsidR="00443A55">
        <w:t>group</w:t>
      </w:r>
      <w:r>
        <w:t xml:space="preserve"> has one bar for 2026 and one bar for 2040.</w:t>
      </w:r>
    </w:p>
    <w:p w14:paraId="4EC4AF77" w14:textId="5AA764E2" w:rsidR="004B2BE7" w:rsidRDefault="004B2BE7" w:rsidP="004B2BE7">
      <w:pPr>
        <w:spacing w:after="120"/>
        <w:jc w:val="left"/>
      </w:pPr>
      <w:r>
        <w:t xml:space="preserve">Overall, most industry </w:t>
      </w:r>
      <w:r w:rsidR="00B704D8">
        <w:t>groups</w:t>
      </w:r>
      <w:r w:rsidR="009932AD">
        <w:t xml:space="preserve"> </w:t>
      </w:r>
      <w:r>
        <w:t xml:space="preserve">record output above baseline in both years. Construction records the largest increase, followed by Agriculture, </w:t>
      </w:r>
      <w:r w:rsidR="00820F3D">
        <w:t>F</w:t>
      </w:r>
      <w:r>
        <w:t xml:space="preserve">orestry and </w:t>
      </w:r>
      <w:r w:rsidR="00820F3D">
        <w:t>F</w:t>
      </w:r>
      <w:r>
        <w:t>ishing, and Manufacturing. Other Services records the largest decline in both years. Mining shows a relatively small increase in 2026 but a larger increase by 2040.</w:t>
      </w:r>
    </w:p>
    <w:p w14:paraId="3C027DC8" w14:textId="46CC76F2" w:rsidR="00DF352F" w:rsidRPr="00DF352F" w:rsidRDefault="009512A7" w:rsidP="00DF352F">
      <w:pPr>
        <w:spacing w:after="120"/>
        <w:jc w:val="left"/>
      </w:pPr>
      <w:r>
        <w:t>More specifically, t</w:t>
      </w:r>
      <w:r w:rsidR="00DF352F" w:rsidRPr="00DF352F">
        <w:t>he strongest output gains occur in Construction, up 0.25 per cent in 2026 and 0.26 per cent in 2040; Agriculture, Forestry and Fishing, up 0.20 and 0.21 per cent; and Manufacturing, up 0.11 and 0.14 per cent. Wholesale Trade and Retail Trade also expand, by 0.07 and 0.06 per cent respectively in 2026, increasing to 0.08 and 0.07 per cent by 2040. Gas, Electricity and Water rises from 0.04 per cent to 0.07 per cent.</w:t>
      </w:r>
    </w:p>
    <w:p w14:paraId="46A039C6" w14:textId="77777777" w:rsidR="00DF352F" w:rsidRPr="00DF352F" w:rsidRDefault="00DF352F" w:rsidP="00DF352F">
      <w:pPr>
        <w:spacing w:after="120"/>
        <w:jc w:val="left"/>
      </w:pPr>
      <w:r w:rsidRPr="00DF352F">
        <w:t>Several industries record smaller positive deviations. Accommodation and Food rises by 0.04 per cent in 2026, easing to 0.02 per cent in 2040. Rental and Hiring Services increases from 0.03 per cent to 0.04 per cent, while Arts and Recreation increases by 0.03 per cent in 2026 and 0.02 per cent in 2040. Professional Services rises by about 0.03 per cent in both years, and Transport increases from 0.03 per cent to 0.04 per cent. Mining shows the largest longer-run increase among these industries, rising from 0.02 per cent in 2026 to 0.09 per cent in 2040. Administrative Services, Finance and Insurance, Communications, and Health Services all record small positive deviations, generally between zero and 0.02 per cent.</w:t>
      </w:r>
    </w:p>
    <w:p w14:paraId="7E7DC7B4" w14:textId="2237B6E1" w:rsidR="00DF352F" w:rsidRDefault="00DF352F" w:rsidP="004B2BE7">
      <w:pPr>
        <w:spacing w:after="120"/>
        <w:jc w:val="left"/>
      </w:pPr>
      <w:r w:rsidRPr="00DF352F">
        <w:t>At the lower end, Education rises by 0.02 per cent in 2026 but falls slightly below baseline in 2040. Dwelling Services is unchanged in 2026 and rises by less than 0.01 per cent in 2040. Public Administration and Defence is slightly below baseline in both years. Other Services records the only material decline, falling by about 0.08 per cent in both 2026 and 2040.</w:t>
      </w:r>
    </w:p>
    <w:p w14:paraId="2D39B7BE" w14:textId="77777777" w:rsidR="004F0B8A" w:rsidRDefault="004F0B8A" w:rsidP="004B2BE7">
      <w:pPr>
        <w:spacing w:after="120"/>
        <w:jc w:val="left"/>
      </w:pPr>
    </w:p>
    <w:p w14:paraId="28D3CBC5" w14:textId="64A89C33" w:rsidR="00C71D2F" w:rsidRPr="00C71D2F" w:rsidRDefault="00C71D2F" w:rsidP="00C71D2F">
      <w:pPr>
        <w:spacing w:after="120"/>
        <w:jc w:val="left"/>
        <w:rPr>
          <w:b/>
          <w:bCs/>
        </w:rPr>
      </w:pPr>
      <w:r w:rsidRPr="00A61010">
        <w:rPr>
          <w:b/>
          <w:bCs/>
        </w:rPr>
        <w:t xml:space="preserve">Figure </w:t>
      </w:r>
      <w:r>
        <w:rPr>
          <w:b/>
          <w:bCs/>
        </w:rPr>
        <w:t>2</w:t>
      </w:r>
      <w:r w:rsidRPr="00A61010">
        <w:rPr>
          <w:b/>
          <w:bCs/>
        </w:rPr>
        <w:t>. ANZSIC Industry Output (Scenario 1</w:t>
      </w:r>
      <w:r>
        <w:rPr>
          <w:b/>
          <w:bCs/>
        </w:rPr>
        <w:t>B</w:t>
      </w:r>
      <w:r w:rsidRPr="00A61010">
        <w:rPr>
          <w:b/>
          <w:bCs/>
        </w:rPr>
        <w:t>)</w:t>
      </w:r>
    </w:p>
    <w:p w14:paraId="6AE69A0E" w14:textId="158CA301" w:rsidR="00F66B40" w:rsidRDefault="00F66B40" w:rsidP="00F66B40">
      <w:pPr>
        <w:spacing w:after="120"/>
        <w:jc w:val="left"/>
      </w:pPr>
      <w:r>
        <w:t xml:space="preserve">Figure 2 shows the same industry </w:t>
      </w:r>
      <w:r w:rsidR="001D49F7">
        <w:t>groups</w:t>
      </w:r>
      <w:r>
        <w:t xml:space="preserve">, in the same order, for 2026 and 2040 as Figure 1. It is </w:t>
      </w:r>
      <w:r w:rsidR="00EA0AD4">
        <w:t>effectively</w:t>
      </w:r>
      <w:r>
        <w:t xml:space="preserve"> a lower-magnitude version of Figure 1: the pattern of industry gains and losses is broadly unchanged, but the deviations are generally around one-third as large.</w:t>
      </w:r>
    </w:p>
    <w:p w14:paraId="088F881B" w14:textId="5219A9BC" w:rsidR="00F66B40" w:rsidRDefault="00F66B40" w:rsidP="00F66B40">
      <w:pPr>
        <w:spacing w:after="120"/>
        <w:jc w:val="left"/>
      </w:pPr>
      <w:r>
        <w:t xml:space="preserve">Construction again records the largest increase, rising by 0.08 per cent in 2026 and 0.09 per cent in 2040. Agriculture, Forestry and Fishing follows, rising by 0.06 per cent in 2026 and </w:t>
      </w:r>
      <w:r>
        <w:lastRenderedPageBreak/>
        <w:t>0.07 per cent in 2040, while Manufacturing rises by about 0.04 per cent in both years. Wholesale Trade, Retail Trade, and Gas, Electricity and Water also record small positive deviations.</w:t>
      </w:r>
      <w:r w:rsidR="004F0B8A">
        <w:t xml:space="preserve"> </w:t>
      </w:r>
      <w:r>
        <w:t>Mining again shows a stronger longer-run response, increasing from about 0.01 per cent in 2026 to 0.03 per cent in 2040. Most remaining industries are close to baseline or record only very small positive changes. Other Services remains the main declining industry, falling by 0.03 per cent in 2026 and 0.02 per cent in 2040.</w:t>
      </w:r>
    </w:p>
    <w:p w14:paraId="51E979DB" w14:textId="77777777" w:rsidR="004F0B8A" w:rsidRDefault="004F0B8A" w:rsidP="00F66B40">
      <w:pPr>
        <w:spacing w:after="120"/>
        <w:jc w:val="left"/>
      </w:pPr>
    </w:p>
    <w:p w14:paraId="410346E3" w14:textId="65C55E45" w:rsidR="00100855" w:rsidRPr="00A61010" w:rsidRDefault="00100855" w:rsidP="00100855">
      <w:pPr>
        <w:spacing w:after="120"/>
        <w:jc w:val="left"/>
        <w:rPr>
          <w:b/>
          <w:bCs/>
        </w:rPr>
      </w:pPr>
      <w:r w:rsidRPr="00A61010">
        <w:rPr>
          <w:b/>
          <w:bCs/>
        </w:rPr>
        <w:t xml:space="preserve">Figure </w:t>
      </w:r>
      <w:r w:rsidR="00235D8E">
        <w:rPr>
          <w:b/>
          <w:bCs/>
        </w:rPr>
        <w:t>3</w:t>
      </w:r>
      <w:r w:rsidRPr="00A61010">
        <w:rPr>
          <w:b/>
          <w:bCs/>
        </w:rPr>
        <w:t xml:space="preserve">. ANZSIC Industry Output (Scenario </w:t>
      </w:r>
      <w:r w:rsidR="00273754">
        <w:rPr>
          <w:b/>
          <w:bCs/>
        </w:rPr>
        <w:t>2</w:t>
      </w:r>
      <w:r w:rsidRPr="00A61010">
        <w:rPr>
          <w:b/>
          <w:bCs/>
        </w:rPr>
        <w:t>A)</w:t>
      </w:r>
    </w:p>
    <w:p w14:paraId="3FF8026A" w14:textId="36B28FA7" w:rsidR="00C71D2F" w:rsidRDefault="00EB75B4" w:rsidP="00C71D2F">
      <w:pPr>
        <w:spacing w:after="120"/>
        <w:jc w:val="left"/>
      </w:pPr>
      <w:r w:rsidRPr="00EB75B4">
        <w:t xml:space="preserve">Figure 3 </w:t>
      </w:r>
      <w:r w:rsidR="00D50928">
        <w:t xml:space="preserve">is a grouped bar chart showing percentage deviations from baseline in output for broad industry </w:t>
      </w:r>
      <w:r w:rsidR="00CF4410">
        <w:t>group aligned with ANZSIC level 1</w:t>
      </w:r>
      <w:r w:rsidR="009932AD">
        <w:t xml:space="preserve"> </w:t>
      </w:r>
      <w:r w:rsidR="00D50928">
        <w:t>in 2026 and 2040 under Scenario 2A.</w:t>
      </w:r>
      <w:r w:rsidR="00364844">
        <w:t xml:space="preserve"> </w:t>
      </w:r>
      <w:r w:rsidR="0087600C">
        <w:t xml:space="preserve">The vertical axis shows percentage deviations from baseline. </w:t>
      </w:r>
      <w:r w:rsidR="0087600C" w:rsidRPr="00BB4E05">
        <w:t xml:space="preserve">The horizontal axis lists industry </w:t>
      </w:r>
      <w:r w:rsidR="00461352">
        <w:t>groups</w:t>
      </w:r>
      <w:r w:rsidR="0087600C">
        <w:t xml:space="preserve"> </w:t>
      </w:r>
      <w:r w:rsidR="0087600C" w:rsidRPr="00BB4E05">
        <w:t>in descending order of their 2026 percentage deviation from baseline.</w:t>
      </w:r>
      <w:r w:rsidR="0087600C">
        <w:t xml:space="preserve"> Each industry </w:t>
      </w:r>
      <w:r w:rsidR="00403B53">
        <w:t>group</w:t>
      </w:r>
      <w:r w:rsidR="0087600C">
        <w:t xml:space="preserve"> has one bar for 2026 and one bar for 2040.</w:t>
      </w:r>
      <w:r w:rsidR="00364844">
        <w:t xml:space="preserve"> The format is the same as Figures 1 and 2 but t</w:t>
      </w:r>
      <w:r w:rsidRPr="00EB75B4">
        <w:t xml:space="preserve">he industry ordering </w:t>
      </w:r>
      <w:r w:rsidR="004F0B8A">
        <w:t xml:space="preserve">in the horizontal axis </w:t>
      </w:r>
      <w:r w:rsidRPr="00EB75B4">
        <w:t>differs</w:t>
      </w:r>
      <w:r w:rsidR="00364844">
        <w:t>.</w:t>
      </w:r>
    </w:p>
    <w:p w14:paraId="382C46F2" w14:textId="7EDC4A37" w:rsidR="00813D01" w:rsidRDefault="00813D01" w:rsidP="00813D01">
      <w:pPr>
        <w:spacing w:after="120"/>
        <w:jc w:val="left"/>
      </w:pPr>
      <w:r>
        <w:t>Specifically, Agriculture, Forestry and Fishing records the largest increase, at about 0.11 per cent in both years. Manufacturing rises from 0.08 per cent in 2026 to 0.09 per cent in 2040. Retail Trade and Wholesale Trade also expand, from 0.05 and 0.04 per cent in 2026 to 0.06 per cent by 2040. Accommodation and Food rises by about 0.04 per cent in both years.</w:t>
      </w:r>
    </w:p>
    <w:p w14:paraId="5EB51773" w14:textId="46887EB2" w:rsidR="00813D01" w:rsidRDefault="00813D01" w:rsidP="00813D01">
      <w:pPr>
        <w:spacing w:after="120"/>
        <w:jc w:val="left"/>
      </w:pPr>
      <w:r>
        <w:t>Arts and Recreation, Construction, Education, Gas, Electricity and Water, Health Services, and Finance and Insurance record smaller positive deviations. Communications, Administrative Services, Transport, Rental and Hiring Services, Professional Services, Mining and Dwelling Services are close to baseline in 2026, with small positive movements by 2040.</w:t>
      </w:r>
      <w:r w:rsidR="004F0B8A">
        <w:t xml:space="preserve"> </w:t>
      </w:r>
      <w:r>
        <w:t>Public Administration and Defence is slightly below baseline in both years. Other Services records the largest decline, falling by 0.05 per cent in 2026 and 0.04 per cent in 2040.</w:t>
      </w:r>
    </w:p>
    <w:p w14:paraId="38C58EB3" w14:textId="77777777" w:rsidR="004F0B8A" w:rsidRDefault="004F0B8A" w:rsidP="00813D01">
      <w:pPr>
        <w:spacing w:after="120"/>
        <w:jc w:val="left"/>
      </w:pPr>
    </w:p>
    <w:p w14:paraId="6A5FAD2B" w14:textId="47D46C45" w:rsidR="00EC535E" w:rsidRPr="00A61010" w:rsidRDefault="00EC535E" w:rsidP="00EC535E">
      <w:pPr>
        <w:spacing w:after="120"/>
        <w:jc w:val="left"/>
        <w:rPr>
          <w:b/>
          <w:bCs/>
        </w:rPr>
      </w:pPr>
      <w:r w:rsidRPr="00A61010">
        <w:rPr>
          <w:b/>
          <w:bCs/>
        </w:rPr>
        <w:t xml:space="preserve">Figure </w:t>
      </w:r>
      <w:r>
        <w:rPr>
          <w:b/>
          <w:bCs/>
        </w:rPr>
        <w:t>4</w:t>
      </w:r>
      <w:r w:rsidRPr="00A61010">
        <w:rPr>
          <w:b/>
          <w:bCs/>
        </w:rPr>
        <w:t xml:space="preserve">. ANZSIC Industry Output (Scenario </w:t>
      </w:r>
      <w:r>
        <w:rPr>
          <w:b/>
          <w:bCs/>
        </w:rPr>
        <w:t>2</w:t>
      </w:r>
      <w:r w:rsidR="00AE18BE">
        <w:rPr>
          <w:b/>
          <w:bCs/>
        </w:rPr>
        <w:t>B</w:t>
      </w:r>
      <w:r w:rsidRPr="00A61010">
        <w:rPr>
          <w:b/>
          <w:bCs/>
        </w:rPr>
        <w:t>)</w:t>
      </w:r>
    </w:p>
    <w:p w14:paraId="51522D26" w14:textId="0EBC7D08" w:rsidR="007B01F4" w:rsidRDefault="007B01F4" w:rsidP="007B01F4">
      <w:pPr>
        <w:spacing w:after="120"/>
        <w:jc w:val="left"/>
      </w:pPr>
      <w:r>
        <w:t xml:space="preserve">Figure 4 shows the same industry </w:t>
      </w:r>
      <w:r w:rsidR="00BF62C5">
        <w:t>group</w:t>
      </w:r>
      <w:r w:rsidR="00DC0697">
        <w:t>s</w:t>
      </w:r>
      <w:r>
        <w:t>, in the same order, for 2026 and 2040 as Figure 3. It is</w:t>
      </w:r>
      <w:r w:rsidR="0036463D">
        <w:t xml:space="preserve"> effectively</w:t>
      </w:r>
      <w:r>
        <w:t xml:space="preserve"> a lower-magnitude version of Figure 3: the pattern of industry gains and losses is broadly unchanged, but the deviations are generally half as large.</w:t>
      </w:r>
    </w:p>
    <w:p w14:paraId="49312064" w14:textId="52F0CA3A" w:rsidR="007B01F4" w:rsidRDefault="007B01F4" w:rsidP="007B01F4">
      <w:pPr>
        <w:spacing w:after="120"/>
        <w:jc w:val="left"/>
      </w:pPr>
      <w:r>
        <w:t>Agriculture, Forestry and Fishing again records the largest increase, rising by about 0.05 per cent in both years. Manufacturing follows, rising from 0.04 per cent in 2026 to 0.05 per cent in 2040. Retail Trade and Wholesale Trade increase from about 0.02 per cent in 2026 to 0.03 per cent in 2040, while Accommodation and Food rises by about 0.02 per cent in both years.</w:t>
      </w:r>
    </w:p>
    <w:p w14:paraId="3009B99C" w14:textId="7E22F0C8" w:rsidR="007B01F4" w:rsidRDefault="007B01F4" w:rsidP="007B01F4">
      <w:pPr>
        <w:spacing w:after="120"/>
        <w:jc w:val="left"/>
      </w:pPr>
      <w:r>
        <w:t>Arts and Recreation, Construction, Education, Gas, Electricity and Water, Health Services, and Finance and Insurance record smaller positive deviations. Communications, Administrative Services, Transport, Rental and Hiring Services, Professional Services, Mining and Dwelling Services remain close to baseline, with generally small positive movements by 2040.</w:t>
      </w:r>
    </w:p>
    <w:p w14:paraId="0BA4B138" w14:textId="00225058" w:rsidR="00D50928" w:rsidRPr="00E67E37" w:rsidRDefault="007B01F4" w:rsidP="007B01F4">
      <w:pPr>
        <w:spacing w:after="120"/>
        <w:jc w:val="left"/>
      </w:pPr>
      <w:r>
        <w:t>Public Administration and Defence is slightly below baseline in both years. Other Services again records the largest decline, falling by about 0.03 per cent in 2026 and 0.02 per cent in 2040.</w:t>
      </w:r>
    </w:p>
    <w:sectPr w:rsidR="00D50928" w:rsidRPr="00E67E37" w:rsidSect="00E92B3D">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9DC14" w14:textId="77777777" w:rsidR="005D5634" w:rsidRDefault="005D5634" w:rsidP="00003D90">
      <w:r>
        <w:separator/>
      </w:r>
    </w:p>
  </w:endnote>
  <w:endnote w:type="continuationSeparator" w:id="0">
    <w:p w14:paraId="022D1A91" w14:textId="77777777" w:rsidR="005D5634" w:rsidRDefault="005D5634" w:rsidP="0000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203673"/>
      <w:docPartObj>
        <w:docPartGallery w:val="Page Numbers (Bottom of Page)"/>
        <w:docPartUnique/>
      </w:docPartObj>
    </w:sdtPr>
    <w:sdtEndPr>
      <w:rPr>
        <w:noProof/>
      </w:rPr>
    </w:sdtEndPr>
    <w:sdtContent>
      <w:p w14:paraId="1380A030" w14:textId="2E7F25D3" w:rsidR="00B314AA" w:rsidRDefault="00B314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3114F6" w14:textId="77777777" w:rsidR="00B314AA" w:rsidRDefault="00B31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72D3" w14:textId="77777777" w:rsidR="005D5634" w:rsidRDefault="005D5634" w:rsidP="00003D90">
      <w:r>
        <w:separator/>
      </w:r>
    </w:p>
  </w:footnote>
  <w:footnote w:type="continuationSeparator" w:id="0">
    <w:p w14:paraId="1EE81F4B" w14:textId="77777777" w:rsidR="005D5634" w:rsidRDefault="005D5634" w:rsidP="00003D90">
      <w:r>
        <w:continuationSeparator/>
      </w:r>
    </w:p>
  </w:footnote>
  <w:footnote w:id="1">
    <w:p w14:paraId="16BECD27" w14:textId="70D6A67A" w:rsidR="00003D90" w:rsidRPr="00E016A0" w:rsidRDefault="00003D90" w:rsidP="00003D90">
      <w:pPr>
        <w:pStyle w:val="FootnoteText"/>
        <w:rPr>
          <w:rFonts w:ascii="Calibri" w:hAnsi="Calibri" w:cs="Calibri"/>
          <w:sz w:val="18"/>
          <w:szCs w:val="18"/>
          <w:lang w:val="en-US"/>
        </w:rPr>
      </w:pPr>
      <w:r w:rsidRPr="00E016A0">
        <w:rPr>
          <w:rStyle w:val="FootnoteReference"/>
          <w:rFonts w:ascii="Calibri" w:hAnsi="Calibri" w:cs="Calibri"/>
          <w:sz w:val="18"/>
          <w:szCs w:val="18"/>
        </w:rPr>
        <w:footnoteRef/>
      </w:r>
      <w:r w:rsidRPr="00E016A0">
        <w:rPr>
          <w:rFonts w:ascii="Calibri" w:hAnsi="Calibri" w:cs="Calibri"/>
          <w:sz w:val="18"/>
          <w:szCs w:val="18"/>
        </w:rPr>
        <w:t xml:space="preserve"> Research Fellow, Centre of Policy Studies, Victoria University</w:t>
      </w:r>
      <w:r w:rsidR="006B256B">
        <w:rPr>
          <w:rFonts w:ascii="Calibri" w:hAnsi="Calibri" w:cs="Calibri"/>
          <w:sz w:val="18"/>
          <w:szCs w:val="18"/>
        </w:rPr>
        <w:t xml:space="preserve">. Corresponding author: </w:t>
      </w:r>
    </w:p>
  </w:footnote>
  <w:footnote w:id="2">
    <w:p w14:paraId="30D104CB" w14:textId="77777777" w:rsidR="00003D90" w:rsidRPr="00E016A0" w:rsidRDefault="00003D90" w:rsidP="00003D90">
      <w:pPr>
        <w:pStyle w:val="FootnoteText"/>
        <w:rPr>
          <w:rFonts w:ascii="Calibri" w:hAnsi="Calibri" w:cs="Calibri"/>
          <w:sz w:val="18"/>
          <w:szCs w:val="18"/>
          <w:lang w:val="en-US"/>
        </w:rPr>
      </w:pPr>
      <w:r w:rsidRPr="00E016A0">
        <w:rPr>
          <w:rStyle w:val="FootnoteReference"/>
          <w:rFonts w:ascii="Calibri" w:hAnsi="Calibri" w:cs="Calibri"/>
          <w:sz w:val="18"/>
          <w:szCs w:val="18"/>
        </w:rPr>
        <w:footnoteRef/>
      </w:r>
      <w:r w:rsidRPr="00E016A0">
        <w:rPr>
          <w:rFonts w:ascii="Calibri" w:hAnsi="Calibri" w:cs="Calibri"/>
          <w:sz w:val="18"/>
          <w:szCs w:val="18"/>
        </w:rPr>
        <w:t xml:space="preserve"> Associate Professor and Deputy Director, Centre of Policy Studies, Victoria University</w:t>
      </w:r>
    </w:p>
  </w:footnote>
  <w:footnote w:id="3">
    <w:p w14:paraId="60FFD126" w14:textId="4DD301BD" w:rsidR="00003D90" w:rsidRPr="00E016A0" w:rsidRDefault="00003D90" w:rsidP="00003D90">
      <w:pPr>
        <w:pStyle w:val="FootnoteText"/>
        <w:rPr>
          <w:rFonts w:ascii="Calibri" w:hAnsi="Calibri" w:cs="Calibri"/>
          <w:sz w:val="18"/>
          <w:szCs w:val="18"/>
          <w:lang w:val="en-US"/>
        </w:rPr>
      </w:pPr>
      <w:r w:rsidRPr="00E016A0">
        <w:rPr>
          <w:rStyle w:val="FootnoteReference"/>
          <w:rFonts w:ascii="Calibri" w:hAnsi="Calibri" w:cs="Calibri"/>
          <w:sz w:val="18"/>
          <w:szCs w:val="18"/>
        </w:rPr>
        <w:footnoteRef/>
      </w:r>
      <w:r w:rsidRPr="00E016A0">
        <w:rPr>
          <w:rFonts w:ascii="Calibri" w:hAnsi="Calibri" w:cs="Calibri"/>
          <w:sz w:val="18"/>
          <w:szCs w:val="18"/>
        </w:rPr>
        <w:t xml:space="preserve"> Professor and Director, Centre of Policy Studies, Victoria University</w:t>
      </w:r>
    </w:p>
  </w:footnote>
  <w:footnote w:id="4">
    <w:p w14:paraId="0016A31E" w14:textId="77777777" w:rsidR="00763D5A" w:rsidRPr="00D42D59" w:rsidRDefault="00763D5A" w:rsidP="00763D5A">
      <w:pPr>
        <w:pStyle w:val="FootnoteText"/>
        <w:rPr>
          <w:lang w:val="en-US"/>
        </w:rPr>
      </w:pPr>
      <w:r w:rsidRPr="00E016A0">
        <w:rPr>
          <w:rStyle w:val="FootnoteReference"/>
          <w:rFonts w:ascii="Calibri" w:hAnsi="Calibri" w:cs="Calibri"/>
          <w:sz w:val="18"/>
          <w:szCs w:val="18"/>
        </w:rPr>
        <w:footnoteRef/>
      </w:r>
      <w:r w:rsidRPr="00E016A0">
        <w:rPr>
          <w:rFonts w:ascii="Calibri" w:hAnsi="Calibri" w:cs="Calibri"/>
          <w:sz w:val="18"/>
          <w:szCs w:val="18"/>
        </w:rPr>
        <w:t xml:space="preserve"> 300 Queen Street, Melbourne, Victoria, Australia 3000.</w:t>
      </w:r>
    </w:p>
  </w:footnote>
  <w:footnote w:id="5">
    <w:p w14:paraId="1C8335D4" w14:textId="7456D58F" w:rsidR="006A2B2A" w:rsidRPr="00B15A60" w:rsidRDefault="006A2B2A">
      <w:pPr>
        <w:pStyle w:val="FootnoteText"/>
        <w:rPr>
          <w:rFonts w:ascii="Calibri" w:hAnsi="Calibri" w:cs="Calibri"/>
          <w:sz w:val="18"/>
          <w:szCs w:val="18"/>
        </w:rPr>
      </w:pPr>
      <w:r w:rsidRPr="00B15A60">
        <w:rPr>
          <w:rStyle w:val="FootnoteReference"/>
          <w:rFonts w:ascii="Calibri" w:hAnsi="Calibri" w:cs="Calibri"/>
          <w:sz w:val="18"/>
          <w:szCs w:val="18"/>
        </w:rPr>
        <w:footnoteRef/>
      </w:r>
      <w:r w:rsidRPr="00B15A60">
        <w:rPr>
          <w:rFonts w:ascii="Calibri" w:hAnsi="Calibri" w:cs="Calibri"/>
          <w:sz w:val="18"/>
          <w:szCs w:val="18"/>
        </w:rPr>
        <w:t xml:space="preserve"> These four industries operate in addition to </w:t>
      </w:r>
      <w:r w:rsidRPr="00B15A60">
        <w:rPr>
          <w:rFonts w:ascii="Calibri" w:hAnsi="Calibri" w:cs="Calibri"/>
          <w:i/>
          <w:iCs/>
          <w:sz w:val="18"/>
          <w:szCs w:val="18"/>
        </w:rPr>
        <w:t>Private Transport</w:t>
      </w:r>
      <w:r w:rsidRPr="00B15A60">
        <w:rPr>
          <w:rFonts w:ascii="Calibri" w:hAnsi="Calibri" w:cs="Calibri"/>
          <w:sz w:val="18"/>
          <w:szCs w:val="18"/>
        </w:rPr>
        <w:t>, which is an existing mixing or “dummy” transport sector that supplies entirely to households, and is substitutable against road passenger and rail passenger transport services by households. For further details, see Nassios et al. (2019a).</w:t>
      </w:r>
    </w:p>
  </w:footnote>
  <w:footnote w:id="6">
    <w:p w14:paraId="6FA6774C" w14:textId="028C3A3B" w:rsidR="009405AD" w:rsidRPr="00B15A60" w:rsidRDefault="009405AD">
      <w:pPr>
        <w:pStyle w:val="FootnoteText"/>
        <w:rPr>
          <w:rFonts w:ascii="Calibri" w:hAnsi="Calibri" w:cs="Calibri"/>
          <w:sz w:val="18"/>
          <w:szCs w:val="18"/>
        </w:rPr>
      </w:pPr>
      <w:r w:rsidRPr="00B15A60">
        <w:rPr>
          <w:rStyle w:val="FootnoteReference"/>
          <w:rFonts w:ascii="Calibri" w:hAnsi="Calibri" w:cs="Calibri"/>
          <w:sz w:val="18"/>
          <w:szCs w:val="18"/>
        </w:rPr>
        <w:footnoteRef/>
      </w:r>
      <w:r w:rsidRPr="00B15A60">
        <w:rPr>
          <w:rFonts w:ascii="Calibri" w:hAnsi="Calibri" w:cs="Calibri"/>
          <w:sz w:val="18"/>
          <w:szCs w:val="18"/>
        </w:rPr>
        <w:t xml:space="preserve"> </w:t>
      </w:r>
      <w:r w:rsidR="00760895" w:rsidRPr="00B15A60">
        <w:rPr>
          <w:rFonts w:ascii="Calibri" w:hAnsi="Calibri" w:cs="Calibri"/>
          <w:sz w:val="18"/>
          <w:szCs w:val="18"/>
        </w:rPr>
        <w:t xml:space="preserve">The 2022–23 ABS Input-Output Table records road-related repair and maintenance activities as intermediate use by industries under “IOPC 31010020 Repair and maintenance - roads and bridges” and “IOPC 31090020 Repair and maintenance - non-building construction n.e.c.”, which includes tunnels. The data do not distinguish between publicly and privately funded activities. </w:t>
      </w:r>
      <w:r w:rsidR="00EF7DA8" w:rsidRPr="00B15A60">
        <w:rPr>
          <w:rFonts w:ascii="Calibri" w:hAnsi="Calibri" w:cs="Calibri"/>
          <w:sz w:val="18"/>
          <w:szCs w:val="18"/>
        </w:rPr>
        <w:t>Our calculation excludes road-related repair and maintenance activities in sectors such as mining and electricity generation, where</w:t>
      </w:r>
      <w:r w:rsidR="005555A8" w:rsidRPr="00B15A60">
        <w:rPr>
          <w:rFonts w:ascii="Calibri" w:hAnsi="Calibri" w:cs="Calibri"/>
          <w:sz w:val="18"/>
          <w:szCs w:val="18"/>
        </w:rPr>
        <w:t xml:space="preserve"> such</w:t>
      </w:r>
      <w:r w:rsidR="00EF7DA8" w:rsidRPr="00B15A60">
        <w:rPr>
          <w:rFonts w:ascii="Calibri" w:hAnsi="Calibri" w:cs="Calibri"/>
          <w:sz w:val="18"/>
          <w:szCs w:val="18"/>
        </w:rPr>
        <w:t xml:space="preserve"> expenditure is ma</w:t>
      </w:r>
      <w:r w:rsidR="005555A8" w:rsidRPr="00B15A60">
        <w:rPr>
          <w:rFonts w:ascii="Calibri" w:hAnsi="Calibri" w:cs="Calibri"/>
          <w:sz w:val="18"/>
          <w:szCs w:val="18"/>
        </w:rPr>
        <w:t>inly</w:t>
      </w:r>
      <w:r w:rsidR="00EF7DA8" w:rsidRPr="00B15A60">
        <w:rPr>
          <w:rFonts w:ascii="Calibri" w:hAnsi="Calibri" w:cs="Calibri"/>
          <w:sz w:val="18"/>
          <w:szCs w:val="18"/>
        </w:rPr>
        <w:t xml:space="preserve"> associated with private roads and off-road vehicle use and is therefore assumed to be privately funded.</w:t>
      </w:r>
      <w:r w:rsidR="00197A22" w:rsidRPr="00B15A60">
        <w:rPr>
          <w:rFonts w:ascii="Calibri" w:hAnsi="Calibri" w:cs="Calibri"/>
          <w:sz w:val="18"/>
          <w:szCs w:val="18"/>
        </w:rPr>
        <w:t xml:space="preserve"> </w:t>
      </w:r>
      <w:r w:rsidR="00760895" w:rsidRPr="00B15A60">
        <w:rPr>
          <w:rFonts w:ascii="Calibri" w:hAnsi="Calibri" w:cs="Calibri"/>
          <w:sz w:val="18"/>
          <w:szCs w:val="18"/>
        </w:rPr>
        <w:t>We represent this expenditure as government consumption of civil engineering</w:t>
      </w:r>
      <w:r w:rsidR="00BE0920" w:rsidRPr="00B15A60">
        <w:rPr>
          <w:rFonts w:ascii="Calibri" w:hAnsi="Calibri" w:cs="Calibri"/>
          <w:sz w:val="18"/>
          <w:szCs w:val="18"/>
        </w:rPr>
        <w:t xml:space="preserve"> and</w:t>
      </w:r>
      <w:r w:rsidR="00760895" w:rsidRPr="00B15A60">
        <w:rPr>
          <w:rFonts w:ascii="Calibri" w:hAnsi="Calibri" w:cs="Calibri"/>
          <w:sz w:val="18"/>
          <w:szCs w:val="18"/>
        </w:rPr>
        <w:t xml:space="preserve"> construction in the database.</w:t>
      </w:r>
      <w:r w:rsidR="00825299" w:rsidRPr="00B15A60">
        <w:rPr>
          <w:rFonts w:ascii="Calibri" w:hAnsi="Calibri" w:cs="Calibri"/>
          <w:sz w:val="18"/>
          <w:szCs w:val="18"/>
        </w:rPr>
        <w:t xml:space="preserve"> </w:t>
      </w:r>
      <w:r w:rsidR="00EE5219" w:rsidRPr="00E016A0">
        <w:rPr>
          <w:rFonts w:ascii="Calibri" w:hAnsi="Calibri" w:cs="Calibri"/>
          <w:sz w:val="18"/>
          <w:szCs w:val="18"/>
        </w:rPr>
        <w:t xml:space="preserve">The federal/state-local government split and regional allocation of this expenditure follow the shares </w:t>
      </w:r>
      <w:r w:rsidR="00517C53" w:rsidRPr="00B15A60">
        <w:rPr>
          <w:rFonts w:ascii="Calibri" w:hAnsi="Calibri" w:cs="Calibri"/>
          <w:sz w:val="18"/>
          <w:szCs w:val="18"/>
        </w:rPr>
        <w:t>advised</w:t>
      </w:r>
      <w:r w:rsidR="00EE5219" w:rsidRPr="00E016A0">
        <w:rPr>
          <w:rFonts w:ascii="Calibri" w:hAnsi="Calibri" w:cs="Calibri"/>
          <w:sz w:val="18"/>
          <w:szCs w:val="18"/>
        </w:rPr>
        <w:t xml:space="preserve"> by the </w:t>
      </w:r>
      <w:r w:rsidR="00517C53" w:rsidRPr="00B15A60">
        <w:rPr>
          <w:rFonts w:ascii="Calibri" w:hAnsi="Calibri" w:cs="Calibri"/>
          <w:sz w:val="18"/>
          <w:szCs w:val="18"/>
        </w:rPr>
        <w:t>PC</w:t>
      </w:r>
      <w:r w:rsidR="00EE5219" w:rsidRPr="00E016A0">
        <w:rPr>
          <w:rFonts w:ascii="Calibri" w:hAnsi="Calibri" w:cs="Calibri"/>
          <w:sz w:val="18"/>
          <w:szCs w:val="18"/>
        </w:rPr>
        <w:t xml:space="preserve"> for the additional road-wear expenditure shock.</w:t>
      </w:r>
    </w:p>
  </w:footnote>
  <w:footnote w:id="7">
    <w:p w14:paraId="4527C1D6" w14:textId="02D14A9D" w:rsidR="009D31CB" w:rsidRPr="00E016A0" w:rsidRDefault="009D31CB" w:rsidP="00FA6E99">
      <w:pPr>
        <w:pStyle w:val="FootnoteText"/>
        <w:rPr>
          <w:rFonts w:ascii="Calibri" w:hAnsi="Calibri" w:cs="Calibri"/>
          <w:sz w:val="18"/>
          <w:szCs w:val="18"/>
        </w:rPr>
      </w:pPr>
      <w:r w:rsidRPr="00E016A0">
        <w:rPr>
          <w:rStyle w:val="FootnoteReference"/>
          <w:rFonts w:ascii="Calibri" w:hAnsi="Calibri" w:cs="Calibri"/>
          <w:sz w:val="18"/>
          <w:szCs w:val="18"/>
        </w:rPr>
        <w:footnoteRef/>
      </w:r>
      <w:r w:rsidRPr="00E016A0">
        <w:rPr>
          <w:rFonts w:ascii="Calibri" w:hAnsi="Calibri" w:cs="Calibri"/>
          <w:sz w:val="18"/>
          <w:szCs w:val="18"/>
        </w:rPr>
        <w:t xml:space="preserve"> </w:t>
      </w:r>
      <w:r w:rsidR="00B4489D" w:rsidRPr="00FA6E99">
        <w:rPr>
          <w:rFonts w:ascii="Calibri" w:hAnsi="Calibri" w:cs="Calibri"/>
          <w:sz w:val="18"/>
          <w:szCs w:val="18"/>
        </w:rPr>
        <w:t>Informed by the PC, t</w:t>
      </w:r>
      <w:r w:rsidR="00577311" w:rsidRPr="00E016A0">
        <w:rPr>
          <w:rFonts w:ascii="Calibri" w:hAnsi="Calibri" w:cs="Calibri"/>
          <w:sz w:val="18"/>
          <w:szCs w:val="18"/>
        </w:rPr>
        <w:t>his distribution is based on heavy-vehicle-related maintenance expenditure plus 10 per cent of heavy-vehicle-related construction expenditure from 2018–19 and 2019–20.</w:t>
      </w:r>
      <w:r w:rsidR="007C7F64" w:rsidRPr="00FA6E99">
        <w:rPr>
          <w:rFonts w:ascii="Calibri" w:hAnsi="Calibri" w:cs="Calibri"/>
          <w:sz w:val="18"/>
          <w:szCs w:val="18"/>
        </w:rPr>
        <w:t xml:space="preserve"> </w:t>
      </w:r>
      <w:r w:rsidR="001042E0" w:rsidRPr="00FA6E99">
        <w:rPr>
          <w:rFonts w:ascii="Calibri" w:hAnsi="Calibri" w:cs="Calibri"/>
          <w:sz w:val="18"/>
          <w:szCs w:val="18"/>
        </w:rPr>
        <w:t>The regional</w:t>
      </w:r>
      <w:r w:rsidR="001D0EA6" w:rsidRPr="00FA6E99">
        <w:rPr>
          <w:rFonts w:ascii="Calibri" w:hAnsi="Calibri" w:cs="Calibri"/>
          <w:sz w:val="18"/>
          <w:szCs w:val="18"/>
        </w:rPr>
        <w:t xml:space="preserve"> allocation</w:t>
      </w:r>
      <w:r w:rsidR="001042E0" w:rsidRPr="00FA6E99">
        <w:rPr>
          <w:rFonts w:ascii="Calibri" w:hAnsi="Calibri" w:cs="Calibri"/>
          <w:sz w:val="18"/>
          <w:szCs w:val="18"/>
        </w:rPr>
        <w:t xml:space="preserve"> share</w:t>
      </w:r>
      <w:r w:rsidR="001D0EA6" w:rsidRPr="00FA6E99">
        <w:rPr>
          <w:rFonts w:ascii="Calibri" w:hAnsi="Calibri" w:cs="Calibri"/>
          <w:sz w:val="18"/>
          <w:szCs w:val="18"/>
        </w:rPr>
        <w:t>s</w:t>
      </w:r>
      <w:r w:rsidR="001042E0" w:rsidRPr="00FA6E99">
        <w:rPr>
          <w:rFonts w:ascii="Calibri" w:hAnsi="Calibri" w:cs="Calibri"/>
          <w:sz w:val="18"/>
          <w:szCs w:val="18"/>
        </w:rPr>
        <w:t xml:space="preserve"> for the eight states</w:t>
      </w:r>
      <w:r w:rsidR="001D0EA6" w:rsidRPr="00FA6E99">
        <w:rPr>
          <w:rFonts w:ascii="Calibri" w:hAnsi="Calibri" w:cs="Calibri"/>
          <w:sz w:val="18"/>
          <w:szCs w:val="18"/>
        </w:rPr>
        <w:t xml:space="preserve"> are</w:t>
      </w:r>
      <w:r w:rsidR="001A74F6" w:rsidRPr="00FA6E99">
        <w:rPr>
          <w:rFonts w:ascii="Calibri" w:hAnsi="Calibri" w:cs="Calibri"/>
          <w:sz w:val="18"/>
          <w:szCs w:val="18"/>
        </w:rPr>
        <w:t>:</w:t>
      </w:r>
      <w:r w:rsidR="001D0EA6" w:rsidRPr="00FA6E99">
        <w:rPr>
          <w:rFonts w:ascii="Calibri" w:hAnsi="Calibri" w:cs="Calibri"/>
          <w:sz w:val="18"/>
          <w:szCs w:val="18"/>
        </w:rPr>
        <w:t xml:space="preserve"> </w:t>
      </w:r>
      <w:r w:rsidR="001A74F6" w:rsidRPr="00E016A0">
        <w:rPr>
          <w:rFonts w:ascii="Calibri" w:hAnsi="Calibri" w:cs="Calibri"/>
          <w:sz w:val="18"/>
          <w:szCs w:val="18"/>
        </w:rPr>
        <w:t>NSW, 28.67 per cent; VIC, 20.69 per cent; QLD, 29.31 per cent; SA, 5.25 per cent; WA, 12.80 percent; TAS, 2.39 per cent; NT 0.61 per cent</w:t>
      </w:r>
      <w:r w:rsidR="003D1781" w:rsidRPr="00E016A0">
        <w:rPr>
          <w:rFonts w:ascii="Calibri" w:hAnsi="Calibri" w:cs="Calibri"/>
          <w:sz w:val="18"/>
          <w:szCs w:val="18"/>
        </w:rPr>
        <w:t xml:space="preserve"> </w:t>
      </w:r>
      <w:r w:rsidR="001A74F6" w:rsidRPr="00E016A0">
        <w:rPr>
          <w:rFonts w:ascii="Calibri" w:hAnsi="Calibri" w:cs="Calibri"/>
          <w:sz w:val="18"/>
          <w:szCs w:val="18"/>
        </w:rPr>
        <w:t xml:space="preserve">and </w:t>
      </w:r>
      <w:r w:rsidR="003D1781" w:rsidRPr="00E016A0">
        <w:rPr>
          <w:rFonts w:ascii="Calibri" w:hAnsi="Calibri" w:cs="Calibri"/>
          <w:sz w:val="18"/>
          <w:szCs w:val="18"/>
        </w:rPr>
        <w:t>ACT</w:t>
      </w:r>
      <w:r w:rsidR="001A74F6" w:rsidRPr="00E016A0">
        <w:rPr>
          <w:rFonts w:ascii="Calibri" w:hAnsi="Calibri" w:cs="Calibri"/>
          <w:sz w:val="18"/>
          <w:szCs w:val="18"/>
        </w:rPr>
        <w:t xml:space="preserve">, </w:t>
      </w:r>
      <w:r w:rsidR="003D1781" w:rsidRPr="00E016A0">
        <w:rPr>
          <w:rFonts w:ascii="Calibri" w:hAnsi="Calibri" w:cs="Calibri"/>
          <w:sz w:val="18"/>
          <w:szCs w:val="18"/>
        </w:rPr>
        <w:t>0.28</w:t>
      </w:r>
      <w:r w:rsidR="001A74F6" w:rsidRPr="00E016A0">
        <w:rPr>
          <w:rFonts w:ascii="Calibri" w:hAnsi="Calibri" w:cs="Calibri"/>
          <w:sz w:val="18"/>
          <w:szCs w:val="18"/>
        </w:rPr>
        <w:t xml:space="preserve"> per cent.</w:t>
      </w:r>
      <w:r w:rsidR="00EF478A" w:rsidRPr="00FA6E99">
        <w:rPr>
          <w:rFonts w:ascii="Calibri" w:hAnsi="Calibri" w:cs="Calibri"/>
          <w:sz w:val="18"/>
          <w:szCs w:val="18"/>
        </w:rPr>
        <w:t xml:space="preserve"> In the six-region VURMTAX aggregation, the NSW and ACT shares are combined into NSW&amp;ACT, while the WA and NT shares are combined into WA&amp;NT, as reported in Table 3.</w:t>
      </w:r>
    </w:p>
  </w:footnote>
  <w:footnote w:id="8">
    <w:p w14:paraId="6B70D3EA" w14:textId="71C274C3" w:rsidR="005421F4" w:rsidRPr="00A5778C" w:rsidRDefault="005421F4">
      <w:pPr>
        <w:pStyle w:val="FootnoteText"/>
        <w:rPr>
          <w:rFonts w:ascii="Calibri" w:hAnsi="Calibri" w:cs="Calibri"/>
        </w:rPr>
      </w:pPr>
      <w:r w:rsidRPr="00A5778C">
        <w:rPr>
          <w:rStyle w:val="FootnoteReference"/>
          <w:rFonts w:ascii="Calibri" w:hAnsi="Calibri" w:cs="Calibri"/>
        </w:rPr>
        <w:footnoteRef/>
      </w:r>
      <w:r w:rsidRPr="00A5778C">
        <w:rPr>
          <w:rFonts w:ascii="Calibri" w:hAnsi="Calibri" w:cs="Calibri"/>
        </w:rPr>
        <w:t xml:space="preserve"> The </w:t>
      </w:r>
      <w:r w:rsidR="0078011A" w:rsidRPr="00A5778C">
        <w:rPr>
          <w:rFonts w:ascii="Calibri" w:hAnsi="Calibri" w:cs="Calibri"/>
        </w:rPr>
        <w:t xml:space="preserve">specific margin construction process of the database </w:t>
      </w:r>
      <w:r w:rsidR="0065614A" w:rsidRPr="00A5778C">
        <w:rPr>
          <w:rFonts w:ascii="Calibri" w:hAnsi="Calibri" w:cs="Calibri"/>
        </w:rPr>
        <w:t>is detailed in Wittwer (20</w:t>
      </w:r>
      <w:r w:rsidR="005006D3">
        <w:rPr>
          <w:rFonts w:ascii="Calibri" w:hAnsi="Calibri" w:cs="Calibri"/>
        </w:rPr>
        <w:t>12</w:t>
      </w:r>
      <w:r w:rsidR="0065614A" w:rsidRPr="00A5778C">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C5FB" w14:textId="2F31E7CC" w:rsidR="00D03646" w:rsidRDefault="00D03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AE27" w14:textId="27C0EC31" w:rsidR="00D03646" w:rsidRDefault="00D03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3773"/>
    <w:multiLevelType w:val="hybridMultilevel"/>
    <w:tmpl w:val="A8069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A6FC0"/>
    <w:multiLevelType w:val="hybridMultilevel"/>
    <w:tmpl w:val="D98C5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A53D17"/>
    <w:multiLevelType w:val="hybridMultilevel"/>
    <w:tmpl w:val="AB5A1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3557A8"/>
    <w:multiLevelType w:val="hybridMultilevel"/>
    <w:tmpl w:val="744057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424A5"/>
    <w:multiLevelType w:val="hybridMultilevel"/>
    <w:tmpl w:val="90B4B810"/>
    <w:lvl w:ilvl="0" w:tplc="DA7A0B0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470A4"/>
    <w:multiLevelType w:val="hybridMultilevel"/>
    <w:tmpl w:val="197AB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D15DBC"/>
    <w:multiLevelType w:val="multilevel"/>
    <w:tmpl w:val="70CEFC2A"/>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FA27FD"/>
    <w:multiLevelType w:val="multilevel"/>
    <w:tmpl w:val="997479B8"/>
    <w:lvl w:ilvl="0">
      <w:start w:val="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4200348">
    <w:abstractNumId w:val="3"/>
  </w:num>
  <w:num w:numId="2" w16cid:durableId="2019962613">
    <w:abstractNumId w:val="7"/>
  </w:num>
  <w:num w:numId="3" w16cid:durableId="1006246389">
    <w:abstractNumId w:val="6"/>
  </w:num>
  <w:num w:numId="4" w16cid:durableId="680350034">
    <w:abstractNumId w:val="4"/>
  </w:num>
  <w:num w:numId="5" w16cid:durableId="352418996">
    <w:abstractNumId w:val="0"/>
  </w:num>
  <w:num w:numId="6" w16cid:durableId="1378433663">
    <w:abstractNumId w:val="5"/>
  </w:num>
  <w:num w:numId="7" w16cid:durableId="78790306">
    <w:abstractNumId w:val="1"/>
  </w:num>
  <w:num w:numId="8" w16cid:durableId="1644382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41"/>
    <w:rsid w:val="0000008E"/>
    <w:rsid w:val="00000211"/>
    <w:rsid w:val="000005AD"/>
    <w:rsid w:val="00000CD3"/>
    <w:rsid w:val="000017A5"/>
    <w:rsid w:val="00002E6E"/>
    <w:rsid w:val="00003532"/>
    <w:rsid w:val="00003921"/>
    <w:rsid w:val="00003D90"/>
    <w:rsid w:val="00003F45"/>
    <w:rsid w:val="000047CD"/>
    <w:rsid w:val="00004906"/>
    <w:rsid w:val="00004C8D"/>
    <w:rsid w:val="00005574"/>
    <w:rsid w:val="00005D60"/>
    <w:rsid w:val="0000605D"/>
    <w:rsid w:val="000062BE"/>
    <w:rsid w:val="0000698B"/>
    <w:rsid w:val="00006E2B"/>
    <w:rsid w:val="00007082"/>
    <w:rsid w:val="00007450"/>
    <w:rsid w:val="00007D9A"/>
    <w:rsid w:val="00010033"/>
    <w:rsid w:val="0001096C"/>
    <w:rsid w:val="00010CF9"/>
    <w:rsid w:val="00011895"/>
    <w:rsid w:val="000123CC"/>
    <w:rsid w:val="00012AD1"/>
    <w:rsid w:val="00013474"/>
    <w:rsid w:val="0001347A"/>
    <w:rsid w:val="00013586"/>
    <w:rsid w:val="00014323"/>
    <w:rsid w:val="000144A5"/>
    <w:rsid w:val="00014533"/>
    <w:rsid w:val="00014CC0"/>
    <w:rsid w:val="00015083"/>
    <w:rsid w:val="000158E4"/>
    <w:rsid w:val="00016668"/>
    <w:rsid w:val="00016B7E"/>
    <w:rsid w:val="0002035B"/>
    <w:rsid w:val="00020EB7"/>
    <w:rsid w:val="00021231"/>
    <w:rsid w:val="00021C81"/>
    <w:rsid w:val="00021E3F"/>
    <w:rsid w:val="000221FB"/>
    <w:rsid w:val="00022706"/>
    <w:rsid w:val="000227DA"/>
    <w:rsid w:val="00022FBB"/>
    <w:rsid w:val="000242D0"/>
    <w:rsid w:val="0002432F"/>
    <w:rsid w:val="0002439E"/>
    <w:rsid w:val="000247A4"/>
    <w:rsid w:val="00024873"/>
    <w:rsid w:val="000249CC"/>
    <w:rsid w:val="00024A4C"/>
    <w:rsid w:val="00024EB2"/>
    <w:rsid w:val="00025097"/>
    <w:rsid w:val="000251E4"/>
    <w:rsid w:val="00025249"/>
    <w:rsid w:val="00026B5D"/>
    <w:rsid w:val="00026D03"/>
    <w:rsid w:val="00026F22"/>
    <w:rsid w:val="00030AD9"/>
    <w:rsid w:val="00031AB8"/>
    <w:rsid w:val="00031CDF"/>
    <w:rsid w:val="00031F65"/>
    <w:rsid w:val="000324DE"/>
    <w:rsid w:val="000326A1"/>
    <w:rsid w:val="00032AA3"/>
    <w:rsid w:val="00032AD9"/>
    <w:rsid w:val="00032D1E"/>
    <w:rsid w:val="000333FD"/>
    <w:rsid w:val="00033C0D"/>
    <w:rsid w:val="00034849"/>
    <w:rsid w:val="00035073"/>
    <w:rsid w:val="0003656B"/>
    <w:rsid w:val="000367A7"/>
    <w:rsid w:val="000367F4"/>
    <w:rsid w:val="0003756E"/>
    <w:rsid w:val="000376FD"/>
    <w:rsid w:val="000379A2"/>
    <w:rsid w:val="00037B6D"/>
    <w:rsid w:val="000403DA"/>
    <w:rsid w:val="00040B9C"/>
    <w:rsid w:val="00040D60"/>
    <w:rsid w:val="00041C8C"/>
    <w:rsid w:val="0004263D"/>
    <w:rsid w:val="00042E20"/>
    <w:rsid w:val="00043080"/>
    <w:rsid w:val="0004315E"/>
    <w:rsid w:val="0004328D"/>
    <w:rsid w:val="000432B4"/>
    <w:rsid w:val="0004374F"/>
    <w:rsid w:val="000437E5"/>
    <w:rsid w:val="00044197"/>
    <w:rsid w:val="000444EF"/>
    <w:rsid w:val="00045436"/>
    <w:rsid w:val="00045CCB"/>
    <w:rsid w:val="00045EBB"/>
    <w:rsid w:val="000468D2"/>
    <w:rsid w:val="00046923"/>
    <w:rsid w:val="00046AB8"/>
    <w:rsid w:val="00046D83"/>
    <w:rsid w:val="000473D2"/>
    <w:rsid w:val="00047565"/>
    <w:rsid w:val="000502F5"/>
    <w:rsid w:val="000503D8"/>
    <w:rsid w:val="00050E37"/>
    <w:rsid w:val="00051040"/>
    <w:rsid w:val="000524E7"/>
    <w:rsid w:val="0005294A"/>
    <w:rsid w:val="00053DF6"/>
    <w:rsid w:val="00053FB0"/>
    <w:rsid w:val="00054B94"/>
    <w:rsid w:val="0005542E"/>
    <w:rsid w:val="00055E4D"/>
    <w:rsid w:val="00056B44"/>
    <w:rsid w:val="00056FF3"/>
    <w:rsid w:val="00057B65"/>
    <w:rsid w:val="0006006E"/>
    <w:rsid w:val="00061181"/>
    <w:rsid w:val="00061726"/>
    <w:rsid w:val="00062021"/>
    <w:rsid w:val="00063976"/>
    <w:rsid w:val="00063D0D"/>
    <w:rsid w:val="000643B6"/>
    <w:rsid w:val="0006442A"/>
    <w:rsid w:val="0006594F"/>
    <w:rsid w:val="000659D7"/>
    <w:rsid w:val="000660A0"/>
    <w:rsid w:val="00066503"/>
    <w:rsid w:val="00066509"/>
    <w:rsid w:val="00066518"/>
    <w:rsid w:val="00066657"/>
    <w:rsid w:val="0006683D"/>
    <w:rsid w:val="00066AB0"/>
    <w:rsid w:val="00066DDF"/>
    <w:rsid w:val="0007042E"/>
    <w:rsid w:val="000707BC"/>
    <w:rsid w:val="0007105C"/>
    <w:rsid w:val="00071330"/>
    <w:rsid w:val="00071F88"/>
    <w:rsid w:val="00072C44"/>
    <w:rsid w:val="00073284"/>
    <w:rsid w:val="00073CC4"/>
    <w:rsid w:val="00073D34"/>
    <w:rsid w:val="00073D3A"/>
    <w:rsid w:val="00073EB6"/>
    <w:rsid w:val="0007449B"/>
    <w:rsid w:val="00075890"/>
    <w:rsid w:val="00076416"/>
    <w:rsid w:val="00076BAE"/>
    <w:rsid w:val="00076C32"/>
    <w:rsid w:val="00076F78"/>
    <w:rsid w:val="00077749"/>
    <w:rsid w:val="00077FFA"/>
    <w:rsid w:val="000801FE"/>
    <w:rsid w:val="00080E36"/>
    <w:rsid w:val="00081894"/>
    <w:rsid w:val="0008200A"/>
    <w:rsid w:val="00082886"/>
    <w:rsid w:val="00082956"/>
    <w:rsid w:val="00082FBB"/>
    <w:rsid w:val="0008345F"/>
    <w:rsid w:val="00084292"/>
    <w:rsid w:val="000847ED"/>
    <w:rsid w:val="00085949"/>
    <w:rsid w:val="00085A3D"/>
    <w:rsid w:val="00085CB2"/>
    <w:rsid w:val="00086352"/>
    <w:rsid w:val="00086AB1"/>
    <w:rsid w:val="00087BC4"/>
    <w:rsid w:val="00090294"/>
    <w:rsid w:val="0009088E"/>
    <w:rsid w:val="00090AF0"/>
    <w:rsid w:val="00090B38"/>
    <w:rsid w:val="0009167E"/>
    <w:rsid w:val="00091A72"/>
    <w:rsid w:val="00092157"/>
    <w:rsid w:val="000931F8"/>
    <w:rsid w:val="00094796"/>
    <w:rsid w:val="0009485B"/>
    <w:rsid w:val="00095014"/>
    <w:rsid w:val="00095E6C"/>
    <w:rsid w:val="00096589"/>
    <w:rsid w:val="0009689C"/>
    <w:rsid w:val="0009690F"/>
    <w:rsid w:val="00096C5B"/>
    <w:rsid w:val="0009736E"/>
    <w:rsid w:val="00097C0A"/>
    <w:rsid w:val="000A0066"/>
    <w:rsid w:val="000A02F0"/>
    <w:rsid w:val="000A03BB"/>
    <w:rsid w:val="000A0670"/>
    <w:rsid w:val="000A17C0"/>
    <w:rsid w:val="000A1829"/>
    <w:rsid w:val="000A23D4"/>
    <w:rsid w:val="000A2963"/>
    <w:rsid w:val="000A2F93"/>
    <w:rsid w:val="000A3000"/>
    <w:rsid w:val="000A328F"/>
    <w:rsid w:val="000A3535"/>
    <w:rsid w:val="000A4001"/>
    <w:rsid w:val="000A5E9D"/>
    <w:rsid w:val="000A5F9A"/>
    <w:rsid w:val="000A628F"/>
    <w:rsid w:val="000B0297"/>
    <w:rsid w:val="000B0313"/>
    <w:rsid w:val="000B08F7"/>
    <w:rsid w:val="000B11EB"/>
    <w:rsid w:val="000B14AA"/>
    <w:rsid w:val="000B19D8"/>
    <w:rsid w:val="000B1D37"/>
    <w:rsid w:val="000B1F04"/>
    <w:rsid w:val="000B21A1"/>
    <w:rsid w:val="000B268F"/>
    <w:rsid w:val="000B297C"/>
    <w:rsid w:val="000B2BAC"/>
    <w:rsid w:val="000B3C0E"/>
    <w:rsid w:val="000B459C"/>
    <w:rsid w:val="000B4F50"/>
    <w:rsid w:val="000B50E7"/>
    <w:rsid w:val="000B5301"/>
    <w:rsid w:val="000B7A62"/>
    <w:rsid w:val="000B7E70"/>
    <w:rsid w:val="000C07F2"/>
    <w:rsid w:val="000C0EC9"/>
    <w:rsid w:val="000C0FCE"/>
    <w:rsid w:val="000C11B9"/>
    <w:rsid w:val="000C124A"/>
    <w:rsid w:val="000C1DAD"/>
    <w:rsid w:val="000C1EC2"/>
    <w:rsid w:val="000C2F19"/>
    <w:rsid w:val="000C2F30"/>
    <w:rsid w:val="000C3368"/>
    <w:rsid w:val="000C336A"/>
    <w:rsid w:val="000C44F3"/>
    <w:rsid w:val="000C4F1E"/>
    <w:rsid w:val="000C50B7"/>
    <w:rsid w:val="000C5735"/>
    <w:rsid w:val="000C5A53"/>
    <w:rsid w:val="000C5CD6"/>
    <w:rsid w:val="000C622E"/>
    <w:rsid w:val="000C64F6"/>
    <w:rsid w:val="000C652C"/>
    <w:rsid w:val="000C704E"/>
    <w:rsid w:val="000C78E6"/>
    <w:rsid w:val="000C7DF5"/>
    <w:rsid w:val="000C7F56"/>
    <w:rsid w:val="000D0162"/>
    <w:rsid w:val="000D03D4"/>
    <w:rsid w:val="000D06A7"/>
    <w:rsid w:val="000D1CBD"/>
    <w:rsid w:val="000D1DDE"/>
    <w:rsid w:val="000D240E"/>
    <w:rsid w:val="000D3CBD"/>
    <w:rsid w:val="000D467C"/>
    <w:rsid w:val="000D56BD"/>
    <w:rsid w:val="000D5B50"/>
    <w:rsid w:val="000D6E42"/>
    <w:rsid w:val="000D7397"/>
    <w:rsid w:val="000D7A86"/>
    <w:rsid w:val="000E0AC9"/>
    <w:rsid w:val="000E1BA0"/>
    <w:rsid w:val="000E1D71"/>
    <w:rsid w:val="000E1D79"/>
    <w:rsid w:val="000E2966"/>
    <w:rsid w:val="000E3ED9"/>
    <w:rsid w:val="000E42EA"/>
    <w:rsid w:val="000E4FB8"/>
    <w:rsid w:val="000E5B4E"/>
    <w:rsid w:val="000E5BB1"/>
    <w:rsid w:val="000E5E29"/>
    <w:rsid w:val="000E6850"/>
    <w:rsid w:val="000E689C"/>
    <w:rsid w:val="000E6BB6"/>
    <w:rsid w:val="000E76EA"/>
    <w:rsid w:val="000E774D"/>
    <w:rsid w:val="000E7AC2"/>
    <w:rsid w:val="000F0A5F"/>
    <w:rsid w:val="000F0E92"/>
    <w:rsid w:val="000F1064"/>
    <w:rsid w:val="000F1985"/>
    <w:rsid w:val="000F1A41"/>
    <w:rsid w:val="000F1E1D"/>
    <w:rsid w:val="000F1E52"/>
    <w:rsid w:val="000F25FB"/>
    <w:rsid w:val="000F38AB"/>
    <w:rsid w:val="000F4DC5"/>
    <w:rsid w:val="000F565B"/>
    <w:rsid w:val="000F65F9"/>
    <w:rsid w:val="000F6956"/>
    <w:rsid w:val="000F7883"/>
    <w:rsid w:val="000F78DD"/>
    <w:rsid w:val="00100855"/>
    <w:rsid w:val="00100ABB"/>
    <w:rsid w:val="0010118E"/>
    <w:rsid w:val="00101241"/>
    <w:rsid w:val="0010178D"/>
    <w:rsid w:val="001027E8"/>
    <w:rsid w:val="00102FF6"/>
    <w:rsid w:val="00103074"/>
    <w:rsid w:val="001038F5"/>
    <w:rsid w:val="00104099"/>
    <w:rsid w:val="001042E0"/>
    <w:rsid w:val="001046D2"/>
    <w:rsid w:val="00104ACA"/>
    <w:rsid w:val="00105142"/>
    <w:rsid w:val="00105359"/>
    <w:rsid w:val="00105A04"/>
    <w:rsid w:val="00105DC1"/>
    <w:rsid w:val="00106279"/>
    <w:rsid w:val="0010704F"/>
    <w:rsid w:val="001071B3"/>
    <w:rsid w:val="00107307"/>
    <w:rsid w:val="001074AF"/>
    <w:rsid w:val="00107EA5"/>
    <w:rsid w:val="00107EE2"/>
    <w:rsid w:val="00107F26"/>
    <w:rsid w:val="00110A8F"/>
    <w:rsid w:val="001113A8"/>
    <w:rsid w:val="00111968"/>
    <w:rsid w:val="00111D92"/>
    <w:rsid w:val="00112482"/>
    <w:rsid w:val="00112F2D"/>
    <w:rsid w:val="00113730"/>
    <w:rsid w:val="00113802"/>
    <w:rsid w:val="00114E6F"/>
    <w:rsid w:val="001157B5"/>
    <w:rsid w:val="00115E12"/>
    <w:rsid w:val="0011607D"/>
    <w:rsid w:val="00117116"/>
    <w:rsid w:val="00117649"/>
    <w:rsid w:val="0012019C"/>
    <w:rsid w:val="001204D0"/>
    <w:rsid w:val="00120891"/>
    <w:rsid w:val="00120D25"/>
    <w:rsid w:val="0012170F"/>
    <w:rsid w:val="00121BFC"/>
    <w:rsid w:val="00122891"/>
    <w:rsid w:val="00123333"/>
    <w:rsid w:val="00123C72"/>
    <w:rsid w:val="00123E8D"/>
    <w:rsid w:val="0012478E"/>
    <w:rsid w:val="00124E01"/>
    <w:rsid w:val="00125635"/>
    <w:rsid w:val="0012582A"/>
    <w:rsid w:val="00125A91"/>
    <w:rsid w:val="00125B84"/>
    <w:rsid w:val="00125D30"/>
    <w:rsid w:val="0012691D"/>
    <w:rsid w:val="00126A3C"/>
    <w:rsid w:val="001272A3"/>
    <w:rsid w:val="001275AA"/>
    <w:rsid w:val="00130253"/>
    <w:rsid w:val="001303F0"/>
    <w:rsid w:val="0013092B"/>
    <w:rsid w:val="00130E99"/>
    <w:rsid w:val="00131C0E"/>
    <w:rsid w:val="00131C1E"/>
    <w:rsid w:val="00131C81"/>
    <w:rsid w:val="001320D2"/>
    <w:rsid w:val="0013232D"/>
    <w:rsid w:val="00132FAD"/>
    <w:rsid w:val="001332ED"/>
    <w:rsid w:val="0013344F"/>
    <w:rsid w:val="00133EB4"/>
    <w:rsid w:val="001341F2"/>
    <w:rsid w:val="0013462B"/>
    <w:rsid w:val="00134E71"/>
    <w:rsid w:val="00134EF5"/>
    <w:rsid w:val="00135A18"/>
    <w:rsid w:val="00135EEB"/>
    <w:rsid w:val="00136040"/>
    <w:rsid w:val="00136111"/>
    <w:rsid w:val="00136699"/>
    <w:rsid w:val="00136D88"/>
    <w:rsid w:val="00136DE1"/>
    <w:rsid w:val="00137BD1"/>
    <w:rsid w:val="00137E2D"/>
    <w:rsid w:val="0014098A"/>
    <w:rsid w:val="00140CB7"/>
    <w:rsid w:val="00141445"/>
    <w:rsid w:val="001420F5"/>
    <w:rsid w:val="00142790"/>
    <w:rsid w:val="00142AF3"/>
    <w:rsid w:val="00142BB0"/>
    <w:rsid w:val="00143227"/>
    <w:rsid w:val="00143B41"/>
    <w:rsid w:val="00144DC5"/>
    <w:rsid w:val="001470B9"/>
    <w:rsid w:val="00147881"/>
    <w:rsid w:val="00147CF6"/>
    <w:rsid w:val="001504F5"/>
    <w:rsid w:val="0015210F"/>
    <w:rsid w:val="00152525"/>
    <w:rsid w:val="0015253C"/>
    <w:rsid w:val="001525C4"/>
    <w:rsid w:val="00152C36"/>
    <w:rsid w:val="00152D71"/>
    <w:rsid w:val="00153A0C"/>
    <w:rsid w:val="00153BFF"/>
    <w:rsid w:val="00153D85"/>
    <w:rsid w:val="0015462A"/>
    <w:rsid w:val="00155436"/>
    <w:rsid w:val="001558A2"/>
    <w:rsid w:val="001565AD"/>
    <w:rsid w:val="00156D8A"/>
    <w:rsid w:val="00156E5B"/>
    <w:rsid w:val="00157270"/>
    <w:rsid w:val="00160EEC"/>
    <w:rsid w:val="001614FE"/>
    <w:rsid w:val="0016194A"/>
    <w:rsid w:val="0016216D"/>
    <w:rsid w:val="00162811"/>
    <w:rsid w:val="00162A31"/>
    <w:rsid w:val="00162C18"/>
    <w:rsid w:val="0016361C"/>
    <w:rsid w:val="001639C8"/>
    <w:rsid w:val="00163BB1"/>
    <w:rsid w:val="00163F24"/>
    <w:rsid w:val="00164602"/>
    <w:rsid w:val="00164782"/>
    <w:rsid w:val="00165018"/>
    <w:rsid w:val="0016520D"/>
    <w:rsid w:val="001658E1"/>
    <w:rsid w:val="00165F0C"/>
    <w:rsid w:val="0016602E"/>
    <w:rsid w:val="00166579"/>
    <w:rsid w:val="00167558"/>
    <w:rsid w:val="00167748"/>
    <w:rsid w:val="00171572"/>
    <w:rsid w:val="00171B38"/>
    <w:rsid w:val="001723F2"/>
    <w:rsid w:val="00172B59"/>
    <w:rsid w:val="0017316E"/>
    <w:rsid w:val="00173529"/>
    <w:rsid w:val="00176058"/>
    <w:rsid w:val="00177DEE"/>
    <w:rsid w:val="0018007A"/>
    <w:rsid w:val="0018072C"/>
    <w:rsid w:val="00180730"/>
    <w:rsid w:val="001810D2"/>
    <w:rsid w:val="00181658"/>
    <w:rsid w:val="001817FF"/>
    <w:rsid w:val="001820FD"/>
    <w:rsid w:val="00182638"/>
    <w:rsid w:val="00183A10"/>
    <w:rsid w:val="00183CD1"/>
    <w:rsid w:val="00183FD9"/>
    <w:rsid w:val="00184045"/>
    <w:rsid w:val="001846CD"/>
    <w:rsid w:val="00184822"/>
    <w:rsid w:val="00185869"/>
    <w:rsid w:val="0018608A"/>
    <w:rsid w:val="00186101"/>
    <w:rsid w:val="0018755E"/>
    <w:rsid w:val="00187C37"/>
    <w:rsid w:val="001901CC"/>
    <w:rsid w:val="001907B5"/>
    <w:rsid w:val="00191473"/>
    <w:rsid w:val="001920FB"/>
    <w:rsid w:val="00192128"/>
    <w:rsid w:val="00192BEF"/>
    <w:rsid w:val="00192C87"/>
    <w:rsid w:val="00193037"/>
    <w:rsid w:val="00193442"/>
    <w:rsid w:val="001939BE"/>
    <w:rsid w:val="00194D7B"/>
    <w:rsid w:val="001950FD"/>
    <w:rsid w:val="00195D2F"/>
    <w:rsid w:val="00197040"/>
    <w:rsid w:val="00197451"/>
    <w:rsid w:val="00197570"/>
    <w:rsid w:val="00197A22"/>
    <w:rsid w:val="00197C51"/>
    <w:rsid w:val="00197E08"/>
    <w:rsid w:val="001A099F"/>
    <w:rsid w:val="001A15BA"/>
    <w:rsid w:val="001A166D"/>
    <w:rsid w:val="001A1838"/>
    <w:rsid w:val="001A19FF"/>
    <w:rsid w:val="001A20FE"/>
    <w:rsid w:val="001A2770"/>
    <w:rsid w:val="001A2816"/>
    <w:rsid w:val="001A2ACA"/>
    <w:rsid w:val="001A440A"/>
    <w:rsid w:val="001A48DD"/>
    <w:rsid w:val="001A51FB"/>
    <w:rsid w:val="001A5368"/>
    <w:rsid w:val="001A5650"/>
    <w:rsid w:val="001A5BBD"/>
    <w:rsid w:val="001A5F7C"/>
    <w:rsid w:val="001A6926"/>
    <w:rsid w:val="001A703E"/>
    <w:rsid w:val="001A70E2"/>
    <w:rsid w:val="001A71BE"/>
    <w:rsid w:val="001A74F6"/>
    <w:rsid w:val="001A7857"/>
    <w:rsid w:val="001B0C9D"/>
    <w:rsid w:val="001B0CD0"/>
    <w:rsid w:val="001B0EB4"/>
    <w:rsid w:val="001B1094"/>
    <w:rsid w:val="001B1676"/>
    <w:rsid w:val="001B16E5"/>
    <w:rsid w:val="001B1A20"/>
    <w:rsid w:val="001B279F"/>
    <w:rsid w:val="001B2CC8"/>
    <w:rsid w:val="001B2FDC"/>
    <w:rsid w:val="001B300A"/>
    <w:rsid w:val="001B34E6"/>
    <w:rsid w:val="001B35F7"/>
    <w:rsid w:val="001B38F4"/>
    <w:rsid w:val="001B39FB"/>
    <w:rsid w:val="001B3CDB"/>
    <w:rsid w:val="001B4725"/>
    <w:rsid w:val="001B47B6"/>
    <w:rsid w:val="001B48B3"/>
    <w:rsid w:val="001B49C7"/>
    <w:rsid w:val="001B4C87"/>
    <w:rsid w:val="001B513E"/>
    <w:rsid w:val="001B52DE"/>
    <w:rsid w:val="001B5C89"/>
    <w:rsid w:val="001B5EEA"/>
    <w:rsid w:val="001B6516"/>
    <w:rsid w:val="001B7811"/>
    <w:rsid w:val="001B7B45"/>
    <w:rsid w:val="001C0101"/>
    <w:rsid w:val="001C020D"/>
    <w:rsid w:val="001C154A"/>
    <w:rsid w:val="001C1819"/>
    <w:rsid w:val="001C1A83"/>
    <w:rsid w:val="001C1C80"/>
    <w:rsid w:val="001C31BC"/>
    <w:rsid w:val="001C338E"/>
    <w:rsid w:val="001C3657"/>
    <w:rsid w:val="001C38AC"/>
    <w:rsid w:val="001C3BC4"/>
    <w:rsid w:val="001C438F"/>
    <w:rsid w:val="001C4483"/>
    <w:rsid w:val="001C4BCE"/>
    <w:rsid w:val="001C4E9F"/>
    <w:rsid w:val="001C4EBB"/>
    <w:rsid w:val="001C52E9"/>
    <w:rsid w:val="001C5F27"/>
    <w:rsid w:val="001D08E1"/>
    <w:rsid w:val="001D0EA6"/>
    <w:rsid w:val="001D15AD"/>
    <w:rsid w:val="001D172A"/>
    <w:rsid w:val="001D1C11"/>
    <w:rsid w:val="001D200F"/>
    <w:rsid w:val="001D2055"/>
    <w:rsid w:val="001D271A"/>
    <w:rsid w:val="001D2E93"/>
    <w:rsid w:val="001D317B"/>
    <w:rsid w:val="001D360F"/>
    <w:rsid w:val="001D3805"/>
    <w:rsid w:val="001D3BD3"/>
    <w:rsid w:val="001D3C01"/>
    <w:rsid w:val="001D49F7"/>
    <w:rsid w:val="001D4B64"/>
    <w:rsid w:val="001D563F"/>
    <w:rsid w:val="001D6051"/>
    <w:rsid w:val="001D75E0"/>
    <w:rsid w:val="001D77F3"/>
    <w:rsid w:val="001D7DDC"/>
    <w:rsid w:val="001E014A"/>
    <w:rsid w:val="001E08F7"/>
    <w:rsid w:val="001E0C05"/>
    <w:rsid w:val="001E0D4D"/>
    <w:rsid w:val="001E1269"/>
    <w:rsid w:val="001E180E"/>
    <w:rsid w:val="001E195D"/>
    <w:rsid w:val="001E1B0D"/>
    <w:rsid w:val="001E26B8"/>
    <w:rsid w:val="001E2F1D"/>
    <w:rsid w:val="001E34B9"/>
    <w:rsid w:val="001E4582"/>
    <w:rsid w:val="001E4D27"/>
    <w:rsid w:val="001E5616"/>
    <w:rsid w:val="001E645B"/>
    <w:rsid w:val="001E694C"/>
    <w:rsid w:val="001E6D0C"/>
    <w:rsid w:val="001E7924"/>
    <w:rsid w:val="001F04A3"/>
    <w:rsid w:val="001F09B8"/>
    <w:rsid w:val="001F107A"/>
    <w:rsid w:val="001F1B9F"/>
    <w:rsid w:val="001F2DDC"/>
    <w:rsid w:val="001F314B"/>
    <w:rsid w:val="001F3F4F"/>
    <w:rsid w:val="001F42E1"/>
    <w:rsid w:val="001F431D"/>
    <w:rsid w:val="001F5055"/>
    <w:rsid w:val="001F5162"/>
    <w:rsid w:val="001F5E80"/>
    <w:rsid w:val="001F5F65"/>
    <w:rsid w:val="001F6FCF"/>
    <w:rsid w:val="001F7AA9"/>
    <w:rsid w:val="001F7E21"/>
    <w:rsid w:val="00200A03"/>
    <w:rsid w:val="00201260"/>
    <w:rsid w:val="002012E1"/>
    <w:rsid w:val="00201BB0"/>
    <w:rsid w:val="00201DBF"/>
    <w:rsid w:val="0020294C"/>
    <w:rsid w:val="002030D6"/>
    <w:rsid w:val="00203CF6"/>
    <w:rsid w:val="00203F1B"/>
    <w:rsid w:val="0020449D"/>
    <w:rsid w:val="002044A9"/>
    <w:rsid w:val="002045A6"/>
    <w:rsid w:val="00204BE8"/>
    <w:rsid w:val="00204D45"/>
    <w:rsid w:val="00204F5E"/>
    <w:rsid w:val="00204FC0"/>
    <w:rsid w:val="00206914"/>
    <w:rsid w:val="00206D33"/>
    <w:rsid w:val="0020728D"/>
    <w:rsid w:val="00207982"/>
    <w:rsid w:val="00207ACF"/>
    <w:rsid w:val="00207BBA"/>
    <w:rsid w:val="002107DC"/>
    <w:rsid w:val="00210B43"/>
    <w:rsid w:val="00210B9D"/>
    <w:rsid w:val="00210D30"/>
    <w:rsid w:val="00210E77"/>
    <w:rsid w:val="002113FC"/>
    <w:rsid w:val="00211724"/>
    <w:rsid w:val="00212727"/>
    <w:rsid w:val="00212B1E"/>
    <w:rsid w:val="00213242"/>
    <w:rsid w:val="00213660"/>
    <w:rsid w:val="002152C3"/>
    <w:rsid w:val="002155E2"/>
    <w:rsid w:val="00215683"/>
    <w:rsid w:val="002167BB"/>
    <w:rsid w:val="00217BE2"/>
    <w:rsid w:val="00217DA7"/>
    <w:rsid w:val="00217E22"/>
    <w:rsid w:val="00217EA3"/>
    <w:rsid w:val="00221310"/>
    <w:rsid w:val="00221765"/>
    <w:rsid w:val="002218FD"/>
    <w:rsid w:val="0022227A"/>
    <w:rsid w:val="0022230F"/>
    <w:rsid w:val="00222D3B"/>
    <w:rsid w:val="00223163"/>
    <w:rsid w:val="00224332"/>
    <w:rsid w:val="00224548"/>
    <w:rsid w:val="00224600"/>
    <w:rsid w:val="00224CA5"/>
    <w:rsid w:val="0022536D"/>
    <w:rsid w:val="0022597D"/>
    <w:rsid w:val="002261E8"/>
    <w:rsid w:val="00226482"/>
    <w:rsid w:val="00226980"/>
    <w:rsid w:val="00227136"/>
    <w:rsid w:val="00227384"/>
    <w:rsid w:val="00230A45"/>
    <w:rsid w:val="00230CDC"/>
    <w:rsid w:val="00231DED"/>
    <w:rsid w:val="00232140"/>
    <w:rsid w:val="00232FBD"/>
    <w:rsid w:val="0023343A"/>
    <w:rsid w:val="0023411F"/>
    <w:rsid w:val="00234D5A"/>
    <w:rsid w:val="00235170"/>
    <w:rsid w:val="00235A89"/>
    <w:rsid w:val="00235D8E"/>
    <w:rsid w:val="0023603F"/>
    <w:rsid w:val="002360BF"/>
    <w:rsid w:val="002373AA"/>
    <w:rsid w:val="00237B1C"/>
    <w:rsid w:val="00240B71"/>
    <w:rsid w:val="00242165"/>
    <w:rsid w:val="00242186"/>
    <w:rsid w:val="00242E1C"/>
    <w:rsid w:val="002437B8"/>
    <w:rsid w:val="002437F1"/>
    <w:rsid w:val="0024489A"/>
    <w:rsid w:val="00244BA3"/>
    <w:rsid w:val="00245B03"/>
    <w:rsid w:val="00247067"/>
    <w:rsid w:val="00247247"/>
    <w:rsid w:val="002472A9"/>
    <w:rsid w:val="002473F8"/>
    <w:rsid w:val="002474B1"/>
    <w:rsid w:val="00247E4D"/>
    <w:rsid w:val="00250132"/>
    <w:rsid w:val="0025029E"/>
    <w:rsid w:val="00250C43"/>
    <w:rsid w:val="00251145"/>
    <w:rsid w:val="002514D2"/>
    <w:rsid w:val="00251F97"/>
    <w:rsid w:val="00252BDF"/>
    <w:rsid w:val="00252D37"/>
    <w:rsid w:val="0025303B"/>
    <w:rsid w:val="002533D8"/>
    <w:rsid w:val="0025387A"/>
    <w:rsid w:val="00253A9B"/>
    <w:rsid w:val="00254319"/>
    <w:rsid w:val="002543CE"/>
    <w:rsid w:val="00254C8A"/>
    <w:rsid w:val="00254DF0"/>
    <w:rsid w:val="00254F4B"/>
    <w:rsid w:val="0025601A"/>
    <w:rsid w:val="00256860"/>
    <w:rsid w:val="00256BB8"/>
    <w:rsid w:val="00257711"/>
    <w:rsid w:val="002577EB"/>
    <w:rsid w:val="00257981"/>
    <w:rsid w:val="00257D94"/>
    <w:rsid w:val="00257E21"/>
    <w:rsid w:val="00261433"/>
    <w:rsid w:val="002614E9"/>
    <w:rsid w:val="002623E2"/>
    <w:rsid w:val="002625A9"/>
    <w:rsid w:val="002629D6"/>
    <w:rsid w:val="00263B89"/>
    <w:rsid w:val="0026453A"/>
    <w:rsid w:val="002645EC"/>
    <w:rsid w:val="00264ABA"/>
    <w:rsid w:val="002657BC"/>
    <w:rsid w:val="00265DB9"/>
    <w:rsid w:val="0026604D"/>
    <w:rsid w:val="00266E1E"/>
    <w:rsid w:val="00266E9F"/>
    <w:rsid w:val="00267892"/>
    <w:rsid w:val="00270291"/>
    <w:rsid w:val="00270941"/>
    <w:rsid w:val="00270A6D"/>
    <w:rsid w:val="00270BDD"/>
    <w:rsid w:val="002712D7"/>
    <w:rsid w:val="002712F5"/>
    <w:rsid w:val="002717BD"/>
    <w:rsid w:val="00271811"/>
    <w:rsid w:val="00271C0F"/>
    <w:rsid w:val="0027241B"/>
    <w:rsid w:val="002724D8"/>
    <w:rsid w:val="00272D82"/>
    <w:rsid w:val="002730DF"/>
    <w:rsid w:val="002734A4"/>
    <w:rsid w:val="002736A4"/>
    <w:rsid w:val="00273754"/>
    <w:rsid w:val="00273A75"/>
    <w:rsid w:val="00273B74"/>
    <w:rsid w:val="0027525F"/>
    <w:rsid w:val="0027592D"/>
    <w:rsid w:val="00275E23"/>
    <w:rsid w:val="00276B0A"/>
    <w:rsid w:val="00276B66"/>
    <w:rsid w:val="00276F37"/>
    <w:rsid w:val="002777EA"/>
    <w:rsid w:val="0028025F"/>
    <w:rsid w:val="00280773"/>
    <w:rsid w:val="00280B08"/>
    <w:rsid w:val="00280FED"/>
    <w:rsid w:val="00281028"/>
    <w:rsid w:val="002816E8"/>
    <w:rsid w:val="00281A6F"/>
    <w:rsid w:val="00281B11"/>
    <w:rsid w:val="002825AE"/>
    <w:rsid w:val="002825C1"/>
    <w:rsid w:val="002826C6"/>
    <w:rsid w:val="00282E58"/>
    <w:rsid w:val="00283C52"/>
    <w:rsid w:val="00283F42"/>
    <w:rsid w:val="00283FBC"/>
    <w:rsid w:val="002844C0"/>
    <w:rsid w:val="002844C3"/>
    <w:rsid w:val="00284589"/>
    <w:rsid w:val="002851D4"/>
    <w:rsid w:val="00285490"/>
    <w:rsid w:val="002865DE"/>
    <w:rsid w:val="00286936"/>
    <w:rsid w:val="00286F72"/>
    <w:rsid w:val="00286F80"/>
    <w:rsid w:val="002907FA"/>
    <w:rsid w:val="00291D7F"/>
    <w:rsid w:val="00291E87"/>
    <w:rsid w:val="0029208B"/>
    <w:rsid w:val="0029215B"/>
    <w:rsid w:val="00293852"/>
    <w:rsid w:val="00293F1B"/>
    <w:rsid w:val="00294CC0"/>
    <w:rsid w:val="00294D75"/>
    <w:rsid w:val="002954E5"/>
    <w:rsid w:val="00295D96"/>
    <w:rsid w:val="002967FC"/>
    <w:rsid w:val="00296B43"/>
    <w:rsid w:val="00297146"/>
    <w:rsid w:val="00297940"/>
    <w:rsid w:val="002A0246"/>
    <w:rsid w:val="002A1493"/>
    <w:rsid w:val="002A19A6"/>
    <w:rsid w:val="002A1FBF"/>
    <w:rsid w:val="002A2401"/>
    <w:rsid w:val="002A3442"/>
    <w:rsid w:val="002A3D52"/>
    <w:rsid w:val="002A413C"/>
    <w:rsid w:val="002A468A"/>
    <w:rsid w:val="002A4CE6"/>
    <w:rsid w:val="002A50E2"/>
    <w:rsid w:val="002A6152"/>
    <w:rsid w:val="002A640B"/>
    <w:rsid w:val="002A7159"/>
    <w:rsid w:val="002A72EA"/>
    <w:rsid w:val="002A731E"/>
    <w:rsid w:val="002A73FB"/>
    <w:rsid w:val="002A7456"/>
    <w:rsid w:val="002A77C2"/>
    <w:rsid w:val="002A7CCF"/>
    <w:rsid w:val="002B01EC"/>
    <w:rsid w:val="002B029D"/>
    <w:rsid w:val="002B1DA8"/>
    <w:rsid w:val="002B29EA"/>
    <w:rsid w:val="002B32C0"/>
    <w:rsid w:val="002B333D"/>
    <w:rsid w:val="002B33A6"/>
    <w:rsid w:val="002B372D"/>
    <w:rsid w:val="002B4F23"/>
    <w:rsid w:val="002B4FA1"/>
    <w:rsid w:val="002B5C5C"/>
    <w:rsid w:val="002B5D4E"/>
    <w:rsid w:val="002B5F76"/>
    <w:rsid w:val="002B6411"/>
    <w:rsid w:val="002B68EE"/>
    <w:rsid w:val="002B6E7D"/>
    <w:rsid w:val="002B7068"/>
    <w:rsid w:val="002B7ADF"/>
    <w:rsid w:val="002C03F7"/>
    <w:rsid w:val="002C0664"/>
    <w:rsid w:val="002C0D4B"/>
    <w:rsid w:val="002C189F"/>
    <w:rsid w:val="002C1FAF"/>
    <w:rsid w:val="002C2D9B"/>
    <w:rsid w:val="002C3A8A"/>
    <w:rsid w:val="002C3E42"/>
    <w:rsid w:val="002C484E"/>
    <w:rsid w:val="002C495B"/>
    <w:rsid w:val="002C4D5D"/>
    <w:rsid w:val="002C51AD"/>
    <w:rsid w:val="002C536C"/>
    <w:rsid w:val="002C59CC"/>
    <w:rsid w:val="002C5EB6"/>
    <w:rsid w:val="002C6883"/>
    <w:rsid w:val="002C6AF0"/>
    <w:rsid w:val="002C6E9E"/>
    <w:rsid w:val="002C7006"/>
    <w:rsid w:val="002C7649"/>
    <w:rsid w:val="002D01A5"/>
    <w:rsid w:val="002D0FE1"/>
    <w:rsid w:val="002D10E0"/>
    <w:rsid w:val="002D20A2"/>
    <w:rsid w:val="002D21BE"/>
    <w:rsid w:val="002D38F0"/>
    <w:rsid w:val="002D5674"/>
    <w:rsid w:val="002D578D"/>
    <w:rsid w:val="002D6530"/>
    <w:rsid w:val="002D6C04"/>
    <w:rsid w:val="002D6EAC"/>
    <w:rsid w:val="002D7327"/>
    <w:rsid w:val="002D73A6"/>
    <w:rsid w:val="002D7DDC"/>
    <w:rsid w:val="002E089C"/>
    <w:rsid w:val="002E0CFF"/>
    <w:rsid w:val="002E1B63"/>
    <w:rsid w:val="002E1C8F"/>
    <w:rsid w:val="002E1CD3"/>
    <w:rsid w:val="002E2138"/>
    <w:rsid w:val="002E2827"/>
    <w:rsid w:val="002E32ED"/>
    <w:rsid w:val="002E4572"/>
    <w:rsid w:val="002E4700"/>
    <w:rsid w:val="002E4817"/>
    <w:rsid w:val="002E538D"/>
    <w:rsid w:val="002E5811"/>
    <w:rsid w:val="002E5A33"/>
    <w:rsid w:val="002E5B6F"/>
    <w:rsid w:val="002E63EE"/>
    <w:rsid w:val="002E64B7"/>
    <w:rsid w:val="002E6641"/>
    <w:rsid w:val="002E75A1"/>
    <w:rsid w:val="002E7A28"/>
    <w:rsid w:val="002E7CE3"/>
    <w:rsid w:val="002F020E"/>
    <w:rsid w:val="002F0CDB"/>
    <w:rsid w:val="002F1285"/>
    <w:rsid w:val="002F17C3"/>
    <w:rsid w:val="002F2722"/>
    <w:rsid w:val="002F27C0"/>
    <w:rsid w:val="002F28DC"/>
    <w:rsid w:val="002F2925"/>
    <w:rsid w:val="002F3F65"/>
    <w:rsid w:val="002F5093"/>
    <w:rsid w:val="002F526E"/>
    <w:rsid w:val="002F52B1"/>
    <w:rsid w:val="002F5F10"/>
    <w:rsid w:val="002F62BB"/>
    <w:rsid w:val="002F637B"/>
    <w:rsid w:val="002F63A8"/>
    <w:rsid w:val="002F6A40"/>
    <w:rsid w:val="002F6F61"/>
    <w:rsid w:val="002F72F0"/>
    <w:rsid w:val="002F79A3"/>
    <w:rsid w:val="002F7D84"/>
    <w:rsid w:val="003000A6"/>
    <w:rsid w:val="003005CA"/>
    <w:rsid w:val="00300B63"/>
    <w:rsid w:val="00300B6A"/>
    <w:rsid w:val="00301B93"/>
    <w:rsid w:val="00301F2E"/>
    <w:rsid w:val="00302159"/>
    <w:rsid w:val="003024CF"/>
    <w:rsid w:val="0030271D"/>
    <w:rsid w:val="00303176"/>
    <w:rsid w:val="00303CED"/>
    <w:rsid w:val="00305016"/>
    <w:rsid w:val="003050A3"/>
    <w:rsid w:val="003056FF"/>
    <w:rsid w:val="00305BAA"/>
    <w:rsid w:val="00305F29"/>
    <w:rsid w:val="0030637C"/>
    <w:rsid w:val="0030668F"/>
    <w:rsid w:val="00306B8D"/>
    <w:rsid w:val="00307080"/>
    <w:rsid w:val="0030737D"/>
    <w:rsid w:val="003073B5"/>
    <w:rsid w:val="003073FE"/>
    <w:rsid w:val="0031018A"/>
    <w:rsid w:val="00310984"/>
    <w:rsid w:val="00312E63"/>
    <w:rsid w:val="003130C0"/>
    <w:rsid w:val="00313370"/>
    <w:rsid w:val="003137A8"/>
    <w:rsid w:val="00314075"/>
    <w:rsid w:val="0031456A"/>
    <w:rsid w:val="00314D09"/>
    <w:rsid w:val="00315F59"/>
    <w:rsid w:val="003161F2"/>
    <w:rsid w:val="0031685D"/>
    <w:rsid w:val="00317588"/>
    <w:rsid w:val="003201A0"/>
    <w:rsid w:val="00320FA2"/>
    <w:rsid w:val="003215AC"/>
    <w:rsid w:val="00322812"/>
    <w:rsid w:val="00322A62"/>
    <w:rsid w:val="00322AC4"/>
    <w:rsid w:val="00323319"/>
    <w:rsid w:val="00323A74"/>
    <w:rsid w:val="0032411B"/>
    <w:rsid w:val="003246AB"/>
    <w:rsid w:val="00325F1C"/>
    <w:rsid w:val="00325F60"/>
    <w:rsid w:val="003266ED"/>
    <w:rsid w:val="00326CEC"/>
    <w:rsid w:val="00327126"/>
    <w:rsid w:val="003275A4"/>
    <w:rsid w:val="00327679"/>
    <w:rsid w:val="00327DEA"/>
    <w:rsid w:val="003301B1"/>
    <w:rsid w:val="003301BB"/>
    <w:rsid w:val="00330430"/>
    <w:rsid w:val="00330559"/>
    <w:rsid w:val="00330F5A"/>
    <w:rsid w:val="00330FF3"/>
    <w:rsid w:val="003313C9"/>
    <w:rsid w:val="0033158C"/>
    <w:rsid w:val="0033177E"/>
    <w:rsid w:val="00331CD4"/>
    <w:rsid w:val="00332598"/>
    <w:rsid w:val="003330A4"/>
    <w:rsid w:val="00333455"/>
    <w:rsid w:val="00333DDB"/>
    <w:rsid w:val="00334294"/>
    <w:rsid w:val="003346C5"/>
    <w:rsid w:val="00336C31"/>
    <w:rsid w:val="0033784A"/>
    <w:rsid w:val="00337B3F"/>
    <w:rsid w:val="00337CC8"/>
    <w:rsid w:val="00337F94"/>
    <w:rsid w:val="00337FAE"/>
    <w:rsid w:val="003400B1"/>
    <w:rsid w:val="00340765"/>
    <w:rsid w:val="003408B6"/>
    <w:rsid w:val="00340A0E"/>
    <w:rsid w:val="00340C50"/>
    <w:rsid w:val="00340FDE"/>
    <w:rsid w:val="00341391"/>
    <w:rsid w:val="00341F52"/>
    <w:rsid w:val="003421B2"/>
    <w:rsid w:val="003425FD"/>
    <w:rsid w:val="003429FF"/>
    <w:rsid w:val="00342B5C"/>
    <w:rsid w:val="003438C7"/>
    <w:rsid w:val="00344269"/>
    <w:rsid w:val="003450B3"/>
    <w:rsid w:val="0034515C"/>
    <w:rsid w:val="003461AE"/>
    <w:rsid w:val="00347712"/>
    <w:rsid w:val="00347C7B"/>
    <w:rsid w:val="00350023"/>
    <w:rsid w:val="00350A71"/>
    <w:rsid w:val="00351125"/>
    <w:rsid w:val="00352221"/>
    <w:rsid w:val="003532A0"/>
    <w:rsid w:val="0035334A"/>
    <w:rsid w:val="00353882"/>
    <w:rsid w:val="00353AC2"/>
    <w:rsid w:val="00353AE1"/>
    <w:rsid w:val="003542CA"/>
    <w:rsid w:val="003548AD"/>
    <w:rsid w:val="00354F5C"/>
    <w:rsid w:val="00354FDB"/>
    <w:rsid w:val="003550E8"/>
    <w:rsid w:val="00355322"/>
    <w:rsid w:val="00355B63"/>
    <w:rsid w:val="00356697"/>
    <w:rsid w:val="00357D8D"/>
    <w:rsid w:val="00357DE9"/>
    <w:rsid w:val="00357FC7"/>
    <w:rsid w:val="003608BE"/>
    <w:rsid w:val="00360E45"/>
    <w:rsid w:val="00360FAD"/>
    <w:rsid w:val="003610AB"/>
    <w:rsid w:val="00361463"/>
    <w:rsid w:val="00361CB7"/>
    <w:rsid w:val="00361F61"/>
    <w:rsid w:val="00361FE3"/>
    <w:rsid w:val="00362ACB"/>
    <w:rsid w:val="0036358B"/>
    <w:rsid w:val="00363A58"/>
    <w:rsid w:val="00363E8A"/>
    <w:rsid w:val="0036436D"/>
    <w:rsid w:val="0036463D"/>
    <w:rsid w:val="00364844"/>
    <w:rsid w:val="003648AC"/>
    <w:rsid w:val="003652AB"/>
    <w:rsid w:val="00365C0D"/>
    <w:rsid w:val="00367857"/>
    <w:rsid w:val="00367FA6"/>
    <w:rsid w:val="0037090E"/>
    <w:rsid w:val="00370F06"/>
    <w:rsid w:val="00371033"/>
    <w:rsid w:val="00372B24"/>
    <w:rsid w:val="00373961"/>
    <w:rsid w:val="00373BD7"/>
    <w:rsid w:val="00373EDD"/>
    <w:rsid w:val="00374034"/>
    <w:rsid w:val="00374217"/>
    <w:rsid w:val="00374AF6"/>
    <w:rsid w:val="00376ACF"/>
    <w:rsid w:val="00376D54"/>
    <w:rsid w:val="00376E6D"/>
    <w:rsid w:val="00377632"/>
    <w:rsid w:val="003778A1"/>
    <w:rsid w:val="00380A3F"/>
    <w:rsid w:val="00381CC2"/>
    <w:rsid w:val="003820D7"/>
    <w:rsid w:val="0038252D"/>
    <w:rsid w:val="003828F0"/>
    <w:rsid w:val="00383115"/>
    <w:rsid w:val="00383C1D"/>
    <w:rsid w:val="00384681"/>
    <w:rsid w:val="00384BB8"/>
    <w:rsid w:val="00384D29"/>
    <w:rsid w:val="00384D5E"/>
    <w:rsid w:val="003854C3"/>
    <w:rsid w:val="003854FB"/>
    <w:rsid w:val="00385B95"/>
    <w:rsid w:val="00385CFB"/>
    <w:rsid w:val="003872BD"/>
    <w:rsid w:val="00387408"/>
    <w:rsid w:val="003876EA"/>
    <w:rsid w:val="00391FE1"/>
    <w:rsid w:val="0039235D"/>
    <w:rsid w:val="0039251D"/>
    <w:rsid w:val="00392C48"/>
    <w:rsid w:val="003934EC"/>
    <w:rsid w:val="0039360D"/>
    <w:rsid w:val="00393A89"/>
    <w:rsid w:val="00393C7D"/>
    <w:rsid w:val="00393F8C"/>
    <w:rsid w:val="00396335"/>
    <w:rsid w:val="0039633C"/>
    <w:rsid w:val="00396A82"/>
    <w:rsid w:val="0039796F"/>
    <w:rsid w:val="00397BC5"/>
    <w:rsid w:val="00397E56"/>
    <w:rsid w:val="003A0039"/>
    <w:rsid w:val="003A0191"/>
    <w:rsid w:val="003A0351"/>
    <w:rsid w:val="003A095E"/>
    <w:rsid w:val="003A2369"/>
    <w:rsid w:val="003A3AB3"/>
    <w:rsid w:val="003A3BE3"/>
    <w:rsid w:val="003A5945"/>
    <w:rsid w:val="003A5A45"/>
    <w:rsid w:val="003A5B66"/>
    <w:rsid w:val="003A5BAD"/>
    <w:rsid w:val="003A6048"/>
    <w:rsid w:val="003A6E76"/>
    <w:rsid w:val="003A71AD"/>
    <w:rsid w:val="003A74B7"/>
    <w:rsid w:val="003A7DA5"/>
    <w:rsid w:val="003B072D"/>
    <w:rsid w:val="003B0EF8"/>
    <w:rsid w:val="003B121A"/>
    <w:rsid w:val="003B14CC"/>
    <w:rsid w:val="003B25DB"/>
    <w:rsid w:val="003B328F"/>
    <w:rsid w:val="003B3D9D"/>
    <w:rsid w:val="003B45A4"/>
    <w:rsid w:val="003B4FDC"/>
    <w:rsid w:val="003B5D50"/>
    <w:rsid w:val="003B5E97"/>
    <w:rsid w:val="003B6581"/>
    <w:rsid w:val="003B6A38"/>
    <w:rsid w:val="003B6BF9"/>
    <w:rsid w:val="003B714B"/>
    <w:rsid w:val="003B7CDA"/>
    <w:rsid w:val="003B7CEB"/>
    <w:rsid w:val="003B7FEE"/>
    <w:rsid w:val="003C263E"/>
    <w:rsid w:val="003C323D"/>
    <w:rsid w:val="003C324B"/>
    <w:rsid w:val="003C3871"/>
    <w:rsid w:val="003C3B49"/>
    <w:rsid w:val="003C3D63"/>
    <w:rsid w:val="003C3E4B"/>
    <w:rsid w:val="003C43F7"/>
    <w:rsid w:val="003C4BE6"/>
    <w:rsid w:val="003C69CA"/>
    <w:rsid w:val="003C6E38"/>
    <w:rsid w:val="003C6F5C"/>
    <w:rsid w:val="003C701F"/>
    <w:rsid w:val="003C7BA7"/>
    <w:rsid w:val="003D080F"/>
    <w:rsid w:val="003D0A18"/>
    <w:rsid w:val="003D0A4B"/>
    <w:rsid w:val="003D167C"/>
    <w:rsid w:val="003D169B"/>
    <w:rsid w:val="003D1781"/>
    <w:rsid w:val="003D1DA5"/>
    <w:rsid w:val="003D2023"/>
    <w:rsid w:val="003D2CB9"/>
    <w:rsid w:val="003D2E8C"/>
    <w:rsid w:val="003D2FE9"/>
    <w:rsid w:val="003D3FCC"/>
    <w:rsid w:val="003D4141"/>
    <w:rsid w:val="003D5807"/>
    <w:rsid w:val="003D5A90"/>
    <w:rsid w:val="003D6386"/>
    <w:rsid w:val="003D6A18"/>
    <w:rsid w:val="003D70D9"/>
    <w:rsid w:val="003D7184"/>
    <w:rsid w:val="003D75EF"/>
    <w:rsid w:val="003D7833"/>
    <w:rsid w:val="003D7E2F"/>
    <w:rsid w:val="003E03DC"/>
    <w:rsid w:val="003E0B62"/>
    <w:rsid w:val="003E12FC"/>
    <w:rsid w:val="003E14CE"/>
    <w:rsid w:val="003E163C"/>
    <w:rsid w:val="003E16E8"/>
    <w:rsid w:val="003E298B"/>
    <w:rsid w:val="003E3D3C"/>
    <w:rsid w:val="003E68D1"/>
    <w:rsid w:val="003E701E"/>
    <w:rsid w:val="003E7233"/>
    <w:rsid w:val="003E7704"/>
    <w:rsid w:val="003E7D1C"/>
    <w:rsid w:val="003E7F71"/>
    <w:rsid w:val="003F02BD"/>
    <w:rsid w:val="003F0C0F"/>
    <w:rsid w:val="003F1235"/>
    <w:rsid w:val="003F14B8"/>
    <w:rsid w:val="003F18D7"/>
    <w:rsid w:val="003F1C5B"/>
    <w:rsid w:val="003F2245"/>
    <w:rsid w:val="003F249C"/>
    <w:rsid w:val="003F2756"/>
    <w:rsid w:val="003F284E"/>
    <w:rsid w:val="003F2B4D"/>
    <w:rsid w:val="003F2EBC"/>
    <w:rsid w:val="003F34AE"/>
    <w:rsid w:val="003F3A24"/>
    <w:rsid w:val="003F5111"/>
    <w:rsid w:val="003F55CE"/>
    <w:rsid w:val="003F590A"/>
    <w:rsid w:val="003F6111"/>
    <w:rsid w:val="003F6429"/>
    <w:rsid w:val="003F67FD"/>
    <w:rsid w:val="003F733D"/>
    <w:rsid w:val="003F7BC2"/>
    <w:rsid w:val="00400A9D"/>
    <w:rsid w:val="0040187E"/>
    <w:rsid w:val="00401FB6"/>
    <w:rsid w:val="004020E1"/>
    <w:rsid w:val="004021F5"/>
    <w:rsid w:val="0040282E"/>
    <w:rsid w:val="0040336D"/>
    <w:rsid w:val="00403B53"/>
    <w:rsid w:val="00403FDC"/>
    <w:rsid w:val="00404000"/>
    <w:rsid w:val="00404625"/>
    <w:rsid w:val="00404DA0"/>
    <w:rsid w:val="0040619D"/>
    <w:rsid w:val="004061D1"/>
    <w:rsid w:val="0040630B"/>
    <w:rsid w:val="0040651E"/>
    <w:rsid w:val="00406E9F"/>
    <w:rsid w:val="00407069"/>
    <w:rsid w:val="004073C1"/>
    <w:rsid w:val="00410B7E"/>
    <w:rsid w:val="0041155B"/>
    <w:rsid w:val="004118F8"/>
    <w:rsid w:val="0041215F"/>
    <w:rsid w:val="00412876"/>
    <w:rsid w:val="00413446"/>
    <w:rsid w:val="00413D2B"/>
    <w:rsid w:val="004141D0"/>
    <w:rsid w:val="0041448B"/>
    <w:rsid w:val="00414DC8"/>
    <w:rsid w:val="0041563A"/>
    <w:rsid w:val="00415676"/>
    <w:rsid w:val="00415BD2"/>
    <w:rsid w:val="00415DB7"/>
    <w:rsid w:val="00420DF4"/>
    <w:rsid w:val="0042151F"/>
    <w:rsid w:val="00421AE1"/>
    <w:rsid w:val="00421D1C"/>
    <w:rsid w:val="00422182"/>
    <w:rsid w:val="00422636"/>
    <w:rsid w:val="004237AA"/>
    <w:rsid w:val="0042442B"/>
    <w:rsid w:val="0042449F"/>
    <w:rsid w:val="00424A57"/>
    <w:rsid w:val="00424FEA"/>
    <w:rsid w:val="004250B9"/>
    <w:rsid w:val="0042510F"/>
    <w:rsid w:val="004252A9"/>
    <w:rsid w:val="00425CFE"/>
    <w:rsid w:val="0042632A"/>
    <w:rsid w:val="0042708D"/>
    <w:rsid w:val="0042750C"/>
    <w:rsid w:val="004277B6"/>
    <w:rsid w:val="00430D80"/>
    <w:rsid w:val="004311CE"/>
    <w:rsid w:val="0043164A"/>
    <w:rsid w:val="004316DE"/>
    <w:rsid w:val="00431B48"/>
    <w:rsid w:val="00432213"/>
    <w:rsid w:val="00432593"/>
    <w:rsid w:val="00432856"/>
    <w:rsid w:val="00432D53"/>
    <w:rsid w:val="00433B73"/>
    <w:rsid w:val="00433FBD"/>
    <w:rsid w:val="00434773"/>
    <w:rsid w:val="0043555C"/>
    <w:rsid w:val="00435766"/>
    <w:rsid w:val="004357FE"/>
    <w:rsid w:val="004358E8"/>
    <w:rsid w:val="00435B89"/>
    <w:rsid w:val="00436741"/>
    <w:rsid w:val="00436DB8"/>
    <w:rsid w:val="00437439"/>
    <w:rsid w:val="00440085"/>
    <w:rsid w:val="00440AED"/>
    <w:rsid w:val="00440C45"/>
    <w:rsid w:val="0044178A"/>
    <w:rsid w:val="00441EDB"/>
    <w:rsid w:val="00442A1B"/>
    <w:rsid w:val="00442B4F"/>
    <w:rsid w:val="00442DA5"/>
    <w:rsid w:val="004431E1"/>
    <w:rsid w:val="00443A55"/>
    <w:rsid w:val="00444073"/>
    <w:rsid w:val="0044435B"/>
    <w:rsid w:val="00445123"/>
    <w:rsid w:val="00445F87"/>
    <w:rsid w:val="0044625A"/>
    <w:rsid w:val="004467B6"/>
    <w:rsid w:val="004468FF"/>
    <w:rsid w:val="004470CD"/>
    <w:rsid w:val="004474D6"/>
    <w:rsid w:val="004475B3"/>
    <w:rsid w:val="004475BF"/>
    <w:rsid w:val="004478EB"/>
    <w:rsid w:val="004503DD"/>
    <w:rsid w:val="00450CE2"/>
    <w:rsid w:val="004512A8"/>
    <w:rsid w:val="00451323"/>
    <w:rsid w:val="00452091"/>
    <w:rsid w:val="00452D32"/>
    <w:rsid w:val="00453DC5"/>
    <w:rsid w:val="00454308"/>
    <w:rsid w:val="004543D0"/>
    <w:rsid w:val="00454608"/>
    <w:rsid w:val="00454F7C"/>
    <w:rsid w:val="004551B6"/>
    <w:rsid w:val="00456BBF"/>
    <w:rsid w:val="004579FE"/>
    <w:rsid w:val="00460166"/>
    <w:rsid w:val="00460484"/>
    <w:rsid w:val="00461352"/>
    <w:rsid w:val="00461C24"/>
    <w:rsid w:val="00461FA0"/>
    <w:rsid w:val="0046240F"/>
    <w:rsid w:val="00462F4C"/>
    <w:rsid w:val="00462FEF"/>
    <w:rsid w:val="0046321D"/>
    <w:rsid w:val="0046350B"/>
    <w:rsid w:val="004649D3"/>
    <w:rsid w:val="00464B77"/>
    <w:rsid w:val="00464D4D"/>
    <w:rsid w:val="00464E94"/>
    <w:rsid w:val="00465DFC"/>
    <w:rsid w:val="00466781"/>
    <w:rsid w:val="00466BEC"/>
    <w:rsid w:val="00466C73"/>
    <w:rsid w:val="004670CF"/>
    <w:rsid w:val="0046728D"/>
    <w:rsid w:val="00470084"/>
    <w:rsid w:val="004712C0"/>
    <w:rsid w:val="00471C80"/>
    <w:rsid w:val="00472089"/>
    <w:rsid w:val="00472745"/>
    <w:rsid w:val="0047302E"/>
    <w:rsid w:val="00473438"/>
    <w:rsid w:val="00473EE1"/>
    <w:rsid w:val="00474001"/>
    <w:rsid w:val="004744CA"/>
    <w:rsid w:val="004748E7"/>
    <w:rsid w:val="00474DB3"/>
    <w:rsid w:val="00474E2E"/>
    <w:rsid w:val="00475046"/>
    <w:rsid w:val="004756F4"/>
    <w:rsid w:val="00475C7F"/>
    <w:rsid w:val="00475ED8"/>
    <w:rsid w:val="00476B43"/>
    <w:rsid w:val="00477A9B"/>
    <w:rsid w:val="004805F8"/>
    <w:rsid w:val="00480867"/>
    <w:rsid w:val="00480A9F"/>
    <w:rsid w:val="00480D13"/>
    <w:rsid w:val="00481254"/>
    <w:rsid w:val="00481A52"/>
    <w:rsid w:val="00481B8D"/>
    <w:rsid w:val="00481E32"/>
    <w:rsid w:val="00481F88"/>
    <w:rsid w:val="00482B37"/>
    <w:rsid w:val="00482C48"/>
    <w:rsid w:val="00483C1E"/>
    <w:rsid w:val="004840F9"/>
    <w:rsid w:val="004849F2"/>
    <w:rsid w:val="00485C3B"/>
    <w:rsid w:val="004861A1"/>
    <w:rsid w:val="00486273"/>
    <w:rsid w:val="00486947"/>
    <w:rsid w:val="0048732E"/>
    <w:rsid w:val="0048781C"/>
    <w:rsid w:val="00487F09"/>
    <w:rsid w:val="00487F37"/>
    <w:rsid w:val="004908F6"/>
    <w:rsid w:val="004911DE"/>
    <w:rsid w:val="00491786"/>
    <w:rsid w:val="0049194A"/>
    <w:rsid w:val="0049198E"/>
    <w:rsid w:val="004925AB"/>
    <w:rsid w:val="00492AFE"/>
    <w:rsid w:val="00492FA9"/>
    <w:rsid w:val="0049306C"/>
    <w:rsid w:val="004936C1"/>
    <w:rsid w:val="00493A61"/>
    <w:rsid w:val="00494371"/>
    <w:rsid w:val="00494F4F"/>
    <w:rsid w:val="00494F82"/>
    <w:rsid w:val="00495070"/>
    <w:rsid w:val="00495EEA"/>
    <w:rsid w:val="00496445"/>
    <w:rsid w:val="00496650"/>
    <w:rsid w:val="00496A92"/>
    <w:rsid w:val="00496D74"/>
    <w:rsid w:val="0049772C"/>
    <w:rsid w:val="00497A9A"/>
    <w:rsid w:val="004A04F6"/>
    <w:rsid w:val="004A09DC"/>
    <w:rsid w:val="004A0A0C"/>
    <w:rsid w:val="004A173A"/>
    <w:rsid w:val="004A18D6"/>
    <w:rsid w:val="004A1B21"/>
    <w:rsid w:val="004A24E7"/>
    <w:rsid w:val="004A2EBA"/>
    <w:rsid w:val="004A3110"/>
    <w:rsid w:val="004A368E"/>
    <w:rsid w:val="004A3C50"/>
    <w:rsid w:val="004A41A9"/>
    <w:rsid w:val="004A42CC"/>
    <w:rsid w:val="004A46C8"/>
    <w:rsid w:val="004A510C"/>
    <w:rsid w:val="004A570F"/>
    <w:rsid w:val="004A5987"/>
    <w:rsid w:val="004A6601"/>
    <w:rsid w:val="004A6F4B"/>
    <w:rsid w:val="004A70DC"/>
    <w:rsid w:val="004B01E0"/>
    <w:rsid w:val="004B08BB"/>
    <w:rsid w:val="004B0F9C"/>
    <w:rsid w:val="004B0FD3"/>
    <w:rsid w:val="004B10E5"/>
    <w:rsid w:val="004B1260"/>
    <w:rsid w:val="004B1F88"/>
    <w:rsid w:val="004B2246"/>
    <w:rsid w:val="004B2AA0"/>
    <w:rsid w:val="004B2BE7"/>
    <w:rsid w:val="004B3465"/>
    <w:rsid w:val="004B3B41"/>
    <w:rsid w:val="004B4094"/>
    <w:rsid w:val="004B42CA"/>
    <w:rsid w:val="004B5060"/>
    <w:rsid w:val="004B5198"/>
    <w:rsid w:val="004B531D"/>
    <w:rsid w:val="004B5470"/>
    <w:rsid w:val="004B55AA"/>
    <w:rsid w:val="004B5EBD"/>
    <w:rsid w:val="004B615F"/>
    <w:rsid w:val="004B67E0"/>
    <w:rsid w:val="004B76C4"/>
    <w:rsid w:val="004B7B2D"/>
    <w:rsid w:val="004B7E4C"/>
    <w:rsid w:val="004C0168"/>
    <w:rsid w:val="004C01A4"/>
    <w:rsid w:val="004C06EC"/>
    <w:rsid w:val="004C0CE7"/>
    <w:rsid w:val="004C0FBD"/>
    <w:rsid w:val="004C1024"/>
    <w:rsid w:val="004C196C"/>
    <w:rsid w:val="004C19A8"/>
    <w:rsid w:val="004C20DD"/>
    <w:rsid w:val="004C2F99"/>
    <w:rsid w:val="004C313C"/>
    <w:rsid w:val="004C458D"/>
    <w:rsid w:val="004C51F6"/>
    <w:rsid w:val="004C63C9"/>
    <w:rsid w:val="004C65F4"/>
    <w:rsid w:val="004C6EAA"/>
    <w:rsid w:val="004C7104"/>
    <w:rsid w:val="004C73B9"/>
    <w:rsid w:val="004C7814"/>
    <w:rsid w:val="004C7953"/>
    <w:rsid w:val="004C7E5D"/>
    <w:rsid w:val="004D0658"/>
    <w:rsid w:val="004D07EA"/>
    <w:rsid w:val="004D0A2E"/>
    <w:rsid w:val="004D0EFA"/>
    <w:rsid w:val="004D133D"/>
    <w:rsid w:val="004D2FB9"/>
    <w:rsid w:val="004D33A2"/>
    <w:rsid w:val="004D34A3"/>
    <w:rsid w:val="004D3611"/>
    <w:rsid w:val="004D36D2"/>
    <w:rsid w:val="004D375C"/>
    <w:rsid w:val="004D4678"/>
    <w:rsid w:val="004D4AF7"/>
    <w:rsid w:val="004D58DE"/>
    <w:rsid w:val="004D59C3"/>
    <w:rsid w:val="004D5AF4"/>
    <w:rsid w:val="004D5BDE"/>
    <w:rsid w:val="004D63F7"/>
    <w:rsid w:val="004E01FC"/>
    <w:rsid w:val="004E02F2"/>
    <w:rsid w:val="004E074D"/>
    <w:rsid w:val="004E135F"/>
    <w:rsid w:val="004E259E"/>
    <w:rsid w:val="004E3571"/>
    <w:rsid w:val="004E3B87"/>
    <w:rsid w:val="004E4AD3"/>
    <w:rsid w:val="004E4FB3"/>
    <w:rsid w:val="004E595C"/>
    <w:rsid w:val="004E5CCB"/>
    <w:rsid w:val="004E664D"/>
    <w:rsid w:val="004E6814"/>
    <w:rsid w:val="004E73E7"/>
    <w:rsid w:val="004E7A2D"/>
    <w:rsid w:val="004F02B3"/>
    <w:rsid w:val="004F0B8A"/>
    <w:rsid w:val="004F0D2F"/>
    <w:rsid w:val="004F254A"/>
    <w:rsid w:val="004F3011"/>
    <w:rsid w:val="004F41FC"/>
    <w:rsid w:val="004F4881"/>
    <w:rsid w:val="004F4AA0"/>
    <w:rsid w:val="004F4B83"/>
    <w:rsid w:val="004F51C7"/>
    <w:rsid w:val="004F5550"/>
    <w:rsid w:val="004F6458"/>
    <w:rsid w:val="004F646E"/>
    <w:rsid w:val="004F6521"/>
    <w:rsid w:val="004F7725"/>
    <w:rsid w:val="004F77B3"/>
    <w:rsid w:val="004F7B57"/>
    <w:rsid w:val="004F7F82"/>
    <w:rsid w:val="00500087"/>
    <w:rsid w:val="005006D3"/>
    <w:rsid w:val="005010A7"/>
    <w:rsid w:val="0050110C"/>
    <w:rsid w:val="0050169D"/>
    <w:rsid w:val="00501AFB"/>
    <w:rsid w:val="00502F66"/>
    <w:rsid w:val="00503561"/>
    <w:rsid w:val="00503714"/>
    <w:rsid w:val="00503D38"/>
    <w:rsid w:val="0050528C"/>
    <w:rsid w:val="00505483"/>
    <w:rsid w:val="005059C1"/>
    <w:rsid w:val="00505B56"/>
    <w:rsid w:val="00506356"/>
    <w:rsid w:val="00506573"/>
    <w:rsid w:val="00507966"/>
    <w:rsid w:val="00511345"/>
    <w:rsid w:val="005118F9"/>
    <w:rsid w:val="0051218C"/>
    <w:rsid w:val="005137AA"/>
    <w:rsid w:val="00513D9A"/>
    <w:rsid w:val="005142C4"/>
    <w:rsid w:val="005146A1"/>
    <w:rsid w:val="005149F1"/>
    <w:rsid w:val="00514F77"/>
    <w:rsid w:val="00514F7E"/>
    <w:rsid w:val="00515437"/>
    <w:rsid w:val="00515B0C"/>
    <w:rsid w:val="00515F23"/>
    <w:rsid w:val="00516590"/>
    <w:rsid w:val="005174E0"/>
    <w:rsid w:val="00517C53"/>
    <w:rsid w:val="00520011"/>
    <w:rsid w:val="0052080F"/>
    <w:rsid w:val="00520C98"/>
    <w:rsid w:val="005213F3"/>
    <w:rsid w:val="00521C29"/>
    <w:rsid w:val="005227E4"/>
    <w:rsid w:val="00523054"/>
    <w:rsid w:val="00523588"/>
    <w:rsid w:val="00523D8B"/>
    <w:rsid w:val="00524249"/>
    <w:rsid w:val="005245E1"/>
    <w:rsid w:val="00524775"/>
    <w:rsid w:val="0052480C"/>
    <w:rsid w:val="0052482B"/>
    <w:rsid w:val="00524ACD"/>
    <w:rsid w:val="00524CD2"/>
    <w:rsid w:val="005250AF"/>
    <w:rsid w:val="00525212"/>
    <w:rsid w:val="00525314"/>
    <w:rsid w:val="0052553E"/>
    <w:rsid w:val="005259E7"/>
    <w:rsid w:val="005260AD"/>
    <w:rsid w:val="00526998"/>
    <w:rsid w:val="00526AC2"/>
    <w:rsid w:val="00526B8C"/>
    <w:rsid w:val="005273B1"/>
    <w:rsid w:val="005278E0"/>
    <w:rsid w:val="00527DF5"/>
    <w:rsid w:val="00530389"/>
    <w:rsid w:val="0053067F"/>
    <w:rsid w:val="00530919"/>
    <w:rsid w:val="00530A30"/>
    <w:rsid w:val="00530C94"/>
    <w:rsid w:val="00530E14"/>
    <w:rsid w:val="00530FF8"/>
    <w:rsid w:val="00531039"/>
    <w:rsid w:val="005310BC"/>
    <w:rsid w:val="0053190E"/>
    <w:rsid w:val="00531FBB"/>
    <w:rsid w:val="005320EA"/>
    <w:rsid w:val="0053213C"/>
    <w:rsid w:val="0053237A"/>
    <w:rsid w:val="00532E49"/>
    <w:rsid w:val="005331AB"/>
    <w:rsid w:val="00533F2E"/>
    <w:rsid w:val="00534F2F"/>
    <w:rsid w:val="005355AD"/>
    <w:rsid w:val="005355E8"/>
    <w:rsid w:val="00535C7D"/>
    <w:rsid w:val="0053733F"/>
    <w:rsid w:val="005402C8"/>
    <w:rsid w:val="005413D4"/>
    <w:rsid w:val="005413E1"/>
    <w:rsid w:val="00541513"/>
    <w:rsid w:val="005421F4"/>
    <w:rsid w:val="00542B06"/>
    <w:rsid w:val="00542F59"/>
    <w:rsid w:val="00543ECD"/>
    <w:rsid w:val="005445C1"/>
    <w:rsid w:val="00544B8C"/>
    <w:rsid w:val="00544C95"/>
    <w:rsid w:val="00545BC0"/>
    <w:rsid w:val="00545C7B"/>
    <w:rsid w:val="00545D78"/>
    <w:rsid w:val="00545D7F"/>
    <w:rsid w:val="005461A2"/>
    <w:rsid w:val="005464EA"/>
    <w:rsid w:val="00547395"/>
    <w:rsid w:val="00550601"/>
    <w:rsid w:val="005518E9"/>
    <w:rsid w:val="00551ACB"/>
    <w:rsid w:val="00551BBD"/>
    <w:rsid w:val="00551C5F"/>
    <w:rsid w:val="0055258B"/>
    <w:rsid w:val="005525E8"/>
    <w:rsid w:val="0055291E"/>
    <w:rsid w:val="00552F92"/>
    <w:rsid w:val="005532CD"/>
    <w:rsid w:val="005533CF"/>
    <w:rsid w:val="00553404"/>
    <w:rsid w:val="005536C5"/>
    <w:rsid w:val="00553B52"/>
    <w:rsid w:val="005543B3"/>
    <w:rsid w:val="005544D4"/>
    <w:rsid w:val="005548C6"/>
    <w:rsid w:val="00554CEB"/>
    <w:rsid w:val="00554E43"/>
    <w:rsid w:val="00554F12"/>
    <w:rsid w:val="00555547"/>
    <w:rsid w:val="005555A8"/>
    <w:rsid w:val="00555CEC"/>
    <w:rsid w:val="005563B3"/>
    <w:rsid w:val="00557100"/>
    <w:rsid w:val="00557C77"/>
    <w:rsid w:val="00560FA4"/>
    <w:rsid w:val="00560FB1"/>
    <w:rsid w:val="0056102E"/>
    <w:rsid w:val="00561139"/>
    <w:rsid w:val="005613D3"/>
    <w:rsid w:val="0056142F"/>
    <w:rsid w:val="00561B0E"/>
    <w:rsid w:val="00561F95"/>
    <w:rsid w:val="00562090"/>
    <w:rsid w:val="0056274F"/>
    <w:rsid w:val="00563206"/>
    <w:rsid w:val="00563DFF"/>
    <w:rsid w:val="0056414C"/>
    <w:rsid w:val="0056453D"/>
    <w:rsid w:val="0056576D"/>
    <w:rsid w:val="005658AA"/>
    <w:rsid w:val="00565AF6"/>
    <w:rsid w:val="00565E3E"/>
    <w:rsid w:val="00565E7F"/>
    <w:rsid w:val="00566FEA"/>
    <w:rsid w:val="005675F0"/>
    <w:rsid w:val="00571005"/>
    <w:rsid w:val="00571308"/>
    <w:rsid w:val="0057211C"/>
    <w:rsid w:val="00572CD5"/>
    <w:rsid w:val="005739F8"/>
    <w:rsid w:val="00575EC0"/>
    <w:rsid w:val="00577311"/>
    <w:rsid w:val="00580025"/>
    <w:rsid w:val="00580318"/>
    <w:rsid w:val="0058099F"/>
    <w:rsid w:val="00580C6C"/>
    <w:rsid w:val="00581324"/>
    <w:rsid w:val="0058140E"/>
    <w:rsid w:val="00581E13"/>
    <w:rsid w:val="00581FE0"/>
    <w:rsid w:val="005820B1"/>
    <w:rsid w:val="005822FE"/>
    <w:rsid w:val="00582586"/>
    <w:rsid w:val="00582737"/>
    <w:rsid w:val="0058274A"/>
    <w:rsid w:val="00582BC0"/>
    <w:rsid w:val="00582E9C"/>
    <w:rsid w:val="00583BAF"/>
    <w:rsid w:val="00583CFC"/>
    <w:rsid w:val="00583EE8"/>
    <w:rsid w:val="005848FF"/>
    <w:rsid w:val="00584C58"/>
    <w:rsid w:val="005852DB"/>
    <w:rsid w:val="00585499"/>
    <w:rsid w:val="00585BD9"/>
    <w:rsid w:val="00585D42"/>
    <w:rsid w:val="00585FAD"/>
    <w:rsid w:val="005862D7"/>
    <w:rsid w:val="0058680C"/>
    <w:rsid w:val="0058719B"/>
    <w:rsid w:val="005871F3"/>
    <w:rsid w:val="0058747B"/>
    <w:rsid w:val="0059036D"/>
    <w:rsid w:val="00590AB4"/>
    <w:rsid w:val="00590B16"/>
    <w:rsid w:val="00591377"/>
    <w:rsid w:val="00591822"/>
    <w:rsid w:val="005919DB"/>
    <w:rsid w:val="00591E52"/>
    <w:rsid w:val="00591E68"/>
    <w:rsid w:val="00592649"/>
    <w:rsid w:val="005928F3"/>
    <w:rsid w:val="0059416B"/>
    <w:rsid w:val="00594899"/>
    <w:rsid w:val="00594EB3"/>
    <w:rsid w:val="00594F3D"/>
    <w:rsid w:val="00595163"/>
    <w:rsid w:val="00595C52"/>
    <w:rsid w:val="00595E82"/>
    <w:rsid w:val="0059659C"/>
    <w:rsid w:val="0059697B"/>
    <w:rsid w:val="005A01C8"/>
    <w:rsid w:val="005A0314"/>
    <w:rsid w:val="005A082C"/>
    <w:rsid w:val="005A0AC2"/>
    <w:rsid w:val="005A0AE1"/>
    <w:rsid w:val="005A1A3A"/>
    <w:rsid w:val="005A1C10"/>
    <w:rsid w:val="005A2D53"/>
    <w:rsid w:val="005A36D4"/>
    <w:rsid w:val="005A36DF"/>
    <w:rsid w:val="005A466F"/>
    <w:rsid w:val="005A5287"/>
    <w:rsid w:val="005A5DEE"/>
    <w:rsid w:val="005A602F"/>
    <w:rsid w:val="005A67DD"/>
    <w:rsid w:val="005A714F"/>
    <w:rsid w:val="005A73AD"/>
    <w:rsid w:val="005A798C"/>
    <w:rsid w:val="005A7A83"/>
    <w:rsid w:val="005B05BB"/>
    <w:rsid w:val="005B0979"/>
    <w:rsid w:val="005B0B39"/>
    <w:rsid w:val="005B1A4E"/>
    <w:rsid w:val="005B276B"/>
    <w:rsid w:val="005B2841"/>
    <w:rsid w:val="005B2E15"/>
    <w:rsid w:val="005B3005"/>
    <w:rsid w:val="005B396B"/>
    <w:rsid w:val="005B3E9E"/>
    <w:rsid w:val="005B466E"/>
    <w:rsid w:val="005B4B2E"/>
    <w:rsid w:val="005B4ECC"/>
    <w:rsid w:val="005B5580"/>
    <w:rsid w:val="005B57A7"/>
    <w:rsid w:val="005B605C"/>
    <w:rsid w:val="005B6853"/>
    <w:rsid w:val="005B6B3D"/>
    <w:rsid w:val="005C00F7"/>
    <w:rsid w:val="005C02AC"/>
    <w:rsid w:val="005C06AD"/>
    <w:rsid w:val="005C09E5"/>
    <w:rsid w:val="005C0E2C"/>
    <w:rsid w:val="005C112A"/>
    <w:rsid w:val="005C1185"/>
    <w:rsid w:val="005C2972"/>
    <w:rsid w:val="005C4B12"/>
    <w:rsid w:val="005C50F9"/>
    <w:rsid w:val="005C5515"/>
    <w:rsid w:val="005C5799"/>
    <w:rsid w:val="005C58E1"/>
    <w:rsid w:val="005C5C8B"/>
    <w:rsid w:val="005C663A"/>
    <w:rsid w:val="005C7925"/>
    <w:rsid w:val="005D0798"/>
    <w:rsid w:val="005D0A46"/>
    <w:rsid w:val="005D1202"/>
    <w:rsid w:val="005D231C"/>
    <w:rsid w:val="005D241E"/>
    <w:rsid w:val="005D2987"/>
    <w:rsid w:val="005D2A48"/>
    <w:rsid w:val="005D2B93"/>
    <w:rsid w:val="005D2C43"/>
    <w:rsid w:val="005D2C7B"/>
    <w:rsid w:val="005D3B64"/>
    <w:rsid w:val="005D3F61"/>
    <w:rsid w:val="005D447D"/>
    <w:rsid w:val="005D45E3"/>
    <w:rsid w:val="005D4853"/>
    <w:rsid w:val="005D514C"/>
    <w:rsid w:val="005D5634"/>
    <w:rsid w:val="005D56C1"/>
    <w:rsid w:val="005D5FB6"/>
    <w:rsid w:val="005D6524"/>
    <w:rsid w:val="005D6596"/>
    <w:rsid w:val="005D7526"/>
    <w:rsid w:val="005D7577"/>
    <w:rsid w:val="005D75FD"/>
    <w:rsid w:val="005D7765"/>
    <w:rsid w:val="005D7D4B"/>
    <w:rsid w:val="005D7F23"/>
    <w:rsid w:val="005E056E"/>
    <w:rsid w:val="005E0780"/>
    <w:rsid w:val="005E0FC3"/>
    <w:rsid w:val="005E129F"/>
    <w:rsid w:val="005E15DB"/>
    <w:rsid w:val="005E1C27"/>
    <w:rsid w:val="005E2DE6"/>
    <w:rsid w:val="005E3245"/>
    <w:rsid w:val="005E3441"/>
    <w:rsid w:val="005E34CD"/>
    <w:rsid w:val="005E351F"/>
    <w:rsid w:val="005E363D"/>
    <w:rsid w:val="005E3FD3"/>
    <w:rsid w:val="005E41DB"/>
    <w:rsid w:val="005E4310"/>
    <w:rsid w:val="005E451C"/>
    <w:rsid w:val="005E4A20"/>
    <w:rsid w:val="005E5760"/>
    <w:rsid w:val="005E610C"/>
    <w:rsid w:val="005E666F"/>
    <w:rsid w:val="005E7039"/>
    <w:rsid w:val="005E73EB"/>
    <w:rsid w:val="005E7995"/>
    <w:rsid w:val="005E7A27"/>
    <w:rsid w:val="005F04B4"/>
    <w:rsid w:val="005F100C"/>
    <w:rsid w:val="005F16C0"/>
    <w:rsid w:val="005F16C9"/>
    <w:rsid w:val="005F317B"/>
    <w:rsid w:val="005F343D"/>
    <w:rsid w:val="005F3963"/>
    <w:rsid w:val="005F43C5"/>
    <w:rsid w:val="005F4ECB"/>
    <w:rsid w:val="005F5287"/>
    <w:rsid w:val="005F5E68"/>
    <w:rsid w:val="005F5F30"/>
    <w:rsid w:val="005F64CF"/>
    <w:rsid w:val="005F6F7C"/>
    <w:rsid w:val="005F74AF"/>
    <w:rsid w:val="0060246D"/>
    <w:rsid w:val="0060273A"/>
    <w:rsid w:val="006028FC"/>
    <w:rsid w:val="0060358E"/>
    <w:rsid w:val="00603AA6"/>
    <w:rsid w:val="00603DD0"/>
    <w:rsid w:val="00604266"/>
    <w:rsid w:val="006043BB"/>
    <w:rsid w:val="006043CC"/>
    <w:rsid w:val="0060486D"/>
    <w:rsid w:val="00604AB0"/>
    <w:rsid w:val="00605277"/>
    <w:rsid w:val="00606AB9"/>
    <w:rsid w:val="00606B25"/>
    <w:rsid w:val="00607249"/>
    <w:rsid w:val="00607D9F"/>
    <w:rsid w:val="00611109"/>
    <w:rsid w:val="0061129C"/>
    <w:rsid w:val="00611444"/>
    <w:rsid w:val="006117C1"/>
    <w:rsid w:val="00611975"/>
    <w:rsid w:val="00611D93"/>
    <w:rsid w:val="00611DA4"/>
    <w:rsid w:val="006128E9"/>
    <w:rsid w:val="00612A48"/>
    <w:rsid w:val="00613241"/>
    <w:rsid w:val="0061373B"/>
    <w:rsid w:val="00613A14"/>
    <w:rsid w:val="006142FC"/>
    <w:rsid w:val="0061443A"/>
    <w:rsid w:val="00614442"/>
    <w:rsid w:val="00614A69"/>
    <w:rsid w:val="0061617C"/>
    <w:rsid w:val="00616C61"/>
    <w:rsid w:val="0061739C"/>
    <w:rsid w:val="00617574"/>
    <w:rsid w:val="0062132A"/>
    <w:rsid w:val="0062197D"/>
    <w:rsid w:val="00621C41"/>
    <w:rsid w:val="00621FEC"/>
    <w:rsid w:val="00622705"/>
    <w:rsid w:val="006228D4"/>
    <w:rsid w:val="0062299C"/>
    <w:rsid w:val="00622A94"/>
    <w:rsid w:val="006231D6"/>
    <w:rsid w:val="006232C9"/>
    <w:rsid w:val="00623939"/>
    <w:rsid w:val="00623957"/>
    <w:rsid w:val="006239CD"/>
    <w:rsid w:val="00623E45"/>
    <w:rsid w:val="00624155"/>
    <w:rsid w:val="0062491C"/>
    <w:rsid w:val="00624ACD"/>
    <w:rsid w:val="00624C5B"/>
    <w:rsid w:val="00624CF9"/>
    <w:rsid w:val="00624F7F"/>
    <w:rsid w:val="00625A7A"/>
    <w:rsid w:val="00625BE6"/>
    <w:rsid w:val="00625D02"/>
    <w:rsid w:val="00625E63"/>
    <w:rsid w:val="00626C9A"/>
    <w:rsid w:val="0062707E"/>
    <w:rsid w:val="0062765C"/>
    <w:rsid w:val="006304F2"/>
    <w:rsid w:val="00630C4F"/>
    <w:rsid w:val="00630CEB"/>
    <w:rsid w:val="0063118B"/>
    <w:rsid w:val="00631550"/>
    <w:rsid w:val="00631C58"/>
    <w:rsid w:val="00631E1C"/>
    <w:rsid w:val="00632348"/>
    <w:rsid w:val="0063237D"/>
    <w:rsid w:val="006325DE"/>
    <w:rsid w:val="00632FF0"/>
    <w:rsid w:val="006334D8"/>
    <w:rsid w:val="0063373C"/>
    <w:rsid w:val="006342F9"/>
    <w:rsid w:val="00634895"/>
    <w:rsid w:val="006348F6"/>
    <w:rsid w:val="006348FD"/>
    <w:rsid w:val="0063557A"/>
    <w:rsid w:val="00635D90"/>
    <w:rsid w:val="0063654F"/>
    <w:rsid w:val="00637DF3"/>
    <w:rsid w:val="006404DB"/>
    <w:rsid w:val="0064073B"/>
    <w:rsid w:val="00640C50"/>
    <w:rsid w:val="00641237"/>
    <w:rsid w:val="00641608"/>
    <w:rsid w:val="00641CD4"/>
    <w:rsid w:val="00642525"/>
    <w:rsid w:val="00642841"/>
    <w:rsid w:val="006430F2"/>
    <w:rsid w:val="006434B4"/>
    <w:rsid w:val="00643BDE"/>
    <w:rsid w:val="00644916"/>
    <w:rsid w:val="0064582D"/>
    <w:rsid w:val="00645D08"/>
    <w:rsid w:val="00646723"/>
    <w:rsid w:val="006467E6"/>
    <w:rsid w:val="00646904"/>
    <w:rsid w:val="00647DA5"/>
    <w:rsid w:val="00647FFB"/>
    <w:rsid w:val="00650093"/>
    <w:rsid w:val="006516B0"/>
    <w:rsid w:val="00651BA0"/>
    <w:rsid w:val="00652082"/>
    <w:rsid w:val="0065233F"/>
    <w:rsid w:val="006523DD"/>
    <w:rsid w:val="00652413"/>
    <w:rsid w:val="00652A66"/>
    <w:rsid w:val="006532E9"/>
    <w:rsid w:val="00653413"/>
    <w:rsid w:val="00653AAE"/>
    <w:rsid w:val="00653BBA"/>
    <w:rsid w:val="00653BDD"/>
    <w:rsid w:val="0065493B"/>
    <w:rsid w:val="00654A74"/>
    <w:rsid w:val="00655002"/>
    <w:rsid w:val="00655577"/>
    <w:rsid w:val="00655977"/>
    <w:rsid w:val="0065614A"/>
    <w:rsid w:val="0065640A"/>
    <w:rsid w:val="0065669E"/>
    <w:rsid w:val="00656EDB"/>
    <w:rsid w:val="00657193"/>
    <w:rsid w:val="0065729A"/>
    <w:rsid w:val="006573E9"/>
    <w:rsid w:val="006575EA"/>
    <w:rsid w:val="006578B6"/>
    <w:rsid w:val="00661A3C"/>
    <w:rsid w:val="00662A8A"/>
    <w:rsid w:val="00664260"/>
    <w:rsid w:val="00664B20"/>
    <w:rsid w:val="00664B90"/>
    <w:rsid w:val="00665247"/>
    <w:rsid w:val="00665376"/>
    <w:rsid w:val="0066560C"/>
    <w:rsid w:val="006658DD"/>
    <w:rsid w:val="00665B3F"/>
    <w:rsid w:val="00665F71"/>
    <w:rsid w:val="0066612B"/>
    <w:rsid w:val="006661D3"/>
    <w:rsid w:val="00666448"/>
    <w:rsid w:val="00666CE2"/>
    <w:rsid w:val="006671EB"/>
    <w:rsid w:val="00667205"/>
    <w:rsid w:val="0066724B"/>
    <w:rsid w:val="0067005C"/>
    <w:rsid w:val="006701C5"/>
    <w:rsid w:val="00671236"/>
    <w:rsid w:val="00671253"/>
    <w:rsid w:val="0067155A"/>
    <w:rsid w:val="006718E8"/>
    <w:rsid w:val="0067198B"/>
    <w:rsid w:val="00671D26"/>
    <w:rsid w:val="00671D56"/>
    <w:rsid w:val="006720BF"/>
    <w:rsid w:val="006724F8"/>
    <w:rsid w:val="0067255B"/>
    <w:rsid w:val="00672F25"/>
    <w:rsid w:val="0067301B"/>
    <w:rsid w:val="006733D3"/>
    <w:rsid w:val="00673614"/>
    <w:rsid w:val="00674A4C"/>
    <w:rsid w:val="00674C3B"/>
    <w:rsid w:val="00675328"/>
    <w:rsid w:val="0067562B"/>
    <w:rsid w:val="00675F88"/>
    <w:rsid w:val="00675FB0"/>
    <w:rsid w:val="0067650B"/>
    <w:rsid w:val="00676C42"/>
    <w:rsid w:val="00677321"/>
    <w:rsid w:val="00680090"/>
    <w:rsid w:val="006814D3"/>
    <w:rsid w:val="00681909"/>
    <w:rsid w:val="00681DE2"/>
    <w:rsid w:val="00683979"/>
    <w:rsid w:val="00684738"/>
    <w:rsid w:val="00684B6E"/>
    <w:rsid w:val="00684D9E"/>
    <w:rsid w:val="00684FAD"/>
    <w:rsid w:val="00685049"/>
    <w:rsid w:val="006856C0"/>
    <w:rsid w:val="006858C3"/>
    <w:rsid w:val="00686B36"/>
    <w:rsid w:val="00686C9C"/>
    <w:rsid w:val="00687B03"/>
    <w:rsid w:val="00687C8E"/>
    <w:rsid w:val="00687D1D"/>
    <w:rsid w:val="00690D3C"/>
    <w:rsid w:val="00690D78"/>
    <w:rsid w:val="00691565"/>
    <w:rsid w:val="006928DD"/>
    <w:rsid w:val="00692AB5"/>
    <w:rsid w:val="00692D19"/>
    <w:rsid w:val="00692D97"/>
    <w:rsid w:val="00693CD6"/>
    <w:rsid w:val="00693FDA"/>
    <w:rsid w:val="00694FA0"/>
    <w:rsid w:val="00695531"/>
    <w:rsid w:val="00696206"/>
    <w:rsid w:val="006965DC"/>
    <w:rsid w:val="006966CE"/>
    <w:rsid w:val="0069723E"/>
    <w:rsid w:val="006976F4"/>
    <w:rsid w:val="00697865"/>
    <w:rsid w:val="006A022C"/>
    <w:rsid w:val="006A041D"/>
    <w:rsid w:val="006A1C62"/>
    <w:rsid w:val="006A2011"/>
    <w:rsid w:val="006A25B5"/>
    <w:rsid w:val="006A2B2A"/>
    <w:rsid w:val="006A3196"/>
    <w:rsid w:val="006A34B8"/>
    <w:rsid w:val="006A3A10"/>
    <w:rsid w:val="006A3B0E"/>
    <w:rsid w:val="006A4119"/>
    <w:rsid w:val="006A4142"/>
    <w:rsid w:val="006A4B05"/>
    <w:rsid w:val="006A5A31"/>
    <w:rsid w:val="006A5D47"/>
    <w:rsid w:val="006A5FDC"/>
    <w:rsid w:val="006A6B00"/>
    <w:rsid w:val="006A6F2F"/>
    <w:rsid w:val="006A70B4"/>
    <w:rsid w:val="006A7236"/>
    <w:rsid w:val="006A72B2"/>
    <w:rsid w:val="006A7EA6"/>
    <w:rsid w:val="006B05CC"/>
    <w:rsid w:val="006B1453"/>
    <w:rsid w:val="006B1E11"/>
    <w:rsid w:val="006B1FA0"/>
    <w:rsid w:val="006B256B"/>
    <w:rsid w:val="006B27DA"/>
    <w:rsid w:val="006B30DC"/>
    <w:rsid w:val="006B39C0"/>
    <w:rsid w:val="006B3B15"/>
    <w:rsid w:val="006B4254"/>
    <w:rsid w:val="006B70C8"/>
    <w:rsid w:val="006B72B5"/>
    <w:rsid w:val="006B73EB"/>
    <w:rsid w:val="006B76C2"/>
    <w:rsid w:val="006B7AF3"/>
    <w:rsid w:val="006C003F"/>
    <w:rsid w:val="006C0545"/>
    <w:rsid w:val="006C0E5C"/>
    <w:rsid w:val="006C1DD3"/>
    <w:rsid w:val="006C2C5E"/>
    <w:rsid w:val="006C4E53"/>
    <w:rsid w:val="006C58E6"/>
    <w:rsid w:val="006C5E1A"/>
    <w:rsid w:val="006C65EB"/>
    <w:rsid w:val="006C6C32"/>
    <w:rsid w:val="006C6DD9"/>
    <w:rsid w:val="006C7059"/>
    <w:rsid w:val="006C792A"/>
    <w:rsid w:val="006C7B2E"/>
    <w:rsid w:val="006D0224"/>
    <w:rsid w:val="006D02E5"/>
    <w:rsid w:val="006D112C"/>
    <w:rsid w:val="006D15B3"/>
    <w:rsid w:val="006D1904"/>
    <w:rsid w:val="006D1A30"/>
    <w:rsid w:val="006D20D3"/>
    <w:rsid w:val="006D31B0"/>
    <w:rsid w:val="006D450D"/>
    <w:rsid w:val="006D4540"/>
    <w:rsid w:val="006D4D19"/>
    <w:rsid w:val="006D5533"/>
    <w:rsid w:val="006D5B4F"/>
    <w:rsid w:val="006D6202"/>
    <w:rsid w:val="006D6237"/>
    <w:rsid w:val="006D6C4C"/>
    <w:rsid w:val="006D6EDA"/>
    <w:rsid w:val="006D7343"/>
    <w:rsid w:val="006D7D28"/>
    <w:rsid w:val="006E0868"/>
    <w:rsid w:val="006E1194"/>
    <w:rsid w:val="006E1729"/>
    <w:rsid w:val="006E1BFC"/>
    <w:rsid w:val="006E20F7"/>
    <w:rsid w:val="006E21B8"/>
    <w:rsid w:val="006E2C20"/>
    <w:rsid w:val="006E2D09"/>
    <w:rsid w:val="006E2D2F"/>
    <w:rsid w:val="006E2F1A"/>
    <w:rsid w:val="006E34E1"/>
    <w:rsid w:val="006E40F3"/>
    <w:rsid w:val="006E43BE"/>
    <w:rsid w:val="006E5103"/>
    <w:rsid w:val="006E5ED9"/>
    <w:rsid w:val="006E610C"/>
    <w:rsid w:val="006E644B"/>
    <w:rsid w:val="006E6AF3"/>
    <w:rsid w:val="006E6EE9"/>
    <w:rsid w:val="006E77F8"/>
    <w:rsid w:val="006E7FA2"/>
    <w:rsid w:val="006F0153"/>
    <w:rsid w:val="006F038A"/>
    <w:rsid w:val="006F04A8"/>
    <w:rsid w:val="006F09AC"/>
    <w:rsid w:val="006F0C0A"/>
    <w:rsid w:val="006F1FF8"/>
    <w:rsid w:val="006F208F"/>
    <w:rsid w:val="006F225C"/>
    <w:rsid w:val="006F2318"/>
    <w:rsid w:val="006F34EE"/>
    <w:rsid w:val="006F3BB5"/>
    <w:rsid w:val="006F408A"/>
    <w:rsid w:val="006F441D"/>
    <w:rsid w:val="006F47A6"/>
    <w:rsid w:val="006F4A11"/>
    <w:rsid w:val="006F4EB2"/>
    <w:rsid w:val="006F590B"/>
    <w:rsid w:val="006F65E7"/>
    <w:rsid w:val="006F7092"/>
    <w:rsid w:val="006F716A"/>
    <w:rsid w:val="006F792F"/>
    <w:rsid w:val="006F7DE8"/>
    <w:rsid w:val="007008C5"/>
    <w:rsid w:val="00700AE5"/>
    <w:rsid w:val="00701A0B"/>
    <w:rsid w:val="00701CC0"/>
    <w:rsid w:val="00702C18"/>
    <w:rsid w:val="00702EE1"/>
    <w:rsid w:val="00703114"/>
    <w:rsid w:val="007032D1"/>
    <w:rsid w:val="007032DB"/>
    <w:rsid w:val="00703317"/>
    <w:rsid w:val="00703E42"/>
    <w:rsid w:val="007045AB"/>
    <w:rsid w:val="007047E0"/>
    <w:rsid w:val="007058A3"/>
    <w:rsid w:val="00705F05"/>
    <w:rsid w:val="00706880"/>
    <w:rsid w:val="00706933"/>
    <w:rsid w:val="00706B90"/>
    <w:rsid w:val="00707545"/>
    <w:rsid w:val="00707BB3"/>
    <w:rsid w:val="00707D07"/>
    <w:rsid w:val="00707FBF"/>
    <w:rsid w:val="00710144"/>
    <w:rsid w:val="00710C94"/>
    <w:rsid w:val="00710D26"/>
    <w:rsid w:val="00711315"/>
    <w:rsid w:val="00712189"/>
    <w:rsid w:val="00712443"/>
    <w:rsid w:val="0071249C"/>
    <w:rsid w:val="00712B24"/>
    <w:rsid w:val="00712C52"/>
    <w:rsid w:val="00712C9E"/>
    <w:rsid w:val="007134F5"/>
    <w:rsid w:val="007135D6"/>
    <w:rsid w:val="00714337"/>
    <w:rsid w:val="007145A4"/>
    <w:rsid w:val="00714695"/>
    <w:rsid w:val="00714BD0"/>
    <w:rsid w:val="0071626B"/>
    <w:rsid w:val="0071687F"/>
    <w:rsid w:val="00716DB8"/>
    <w:rsid w:val="00716F40"/>
    <w:rsid w:val="007172AE"/>
    <w:rsid w:val="0071798A"/>
    <w:rsid w:val="00720332"/>
    <w:rsid w:val="00720D20"/>
    <w:rsid w:val="007212D6"/>
    <w:rsid w:val="0072140E"/>
    <w:rsid w:val="00721729"/>
    <w:rsid w:val="007222DD"/>
    <w:rsid w:val="007229C5"/>
    <w:rsid w:val="0072333A"/>
    <w:rsid w:val="007238A9"/>
    <w:rsid w:val="0072396C"/>
    <w:rsid w:val="00723FB6"/>
    <w:rsid w:val="00724219"/>
    <w:rsid w:val="00724464"/>
    <w:rsid w:val="00725050"/>
    <w:rsid w:val="007264AA"/>
    <w:rsid w:val="0072666F"/>
    <w:rsid w:val="007269EB"/>
    <w:rsid w:val="00726A26"/>
    <w:rsid w:val="00726ADF"/>
    <w:rsid w:val="00726BAB"/>
    <w:rsid w:val="00727DB6"/>
    <w:rsid w:val="007300CC"/>
    <w:rsid w:val="0073062E"/>
    <w:rsid w:val="00730FCF"/>
    <w:rsid w:val="0073138D"/>
    <w:rsid w:val="00731A1F"/>
    <w:rsid w:val="00732AEB"/>
    <w:rsid w:val="0073325B"/>
    <w:rsid w:val="007347E7"/>
    <w:rsid w:val="0073620F"/>
    <w:rsid w:val="007362BA"/>
    <w:rsid w:val="00736BD1"/>
    <w:rsid w:val="00736C22"/>
    <w:rsid w:val="00736C83"/>
    <w:rsid w:val="0073706C"/>
    <w:rsid w:val="007374CA"/>
    <w:rsid w:val="00740C48"/>
    <w:rsid w:val="00740CCE"/>
    <w:rsid w:val="00741188"/>
    <w:rsid w:val="0074121F"/>
    <w:rsid w:val="007423CB"/>
    <w:rsid w:val="00742868"/>
    <w:rsid w:val="007428E2"/>
    <w:rsid w:val="0074316C"/>
    <w:rsid w:val="007461B8"/>
    <w:rsid w:val="0074765D"/>
    <w:rsid w:val="00747A1F"/>
    <w:rsid w:val="007501A1"/>
    <w:rsid w:val="007504B2"/>
    <w:rsid w:val="00752641"/>
    <w:rsid w:val="00752745"/>
    <w:rsid w:val="0075297E"/>
    <w:rsid w:val="0075373D"/>
    <w:rsid w:val="007538ED"/>
    <w:rsid w:val="0075443F"/>
    <w:rsid w:val="0075521C"/>
    <w:rsid w:val="00755319"/>
    <w:rsid w:val="00755A9A"/>
    <w:rsid w:val="00755CD4"/>
    <w:rsid w:val="0075603E"/>
    <w:rsid w:val="00756066"/>
    <w:rsid w:val="007564AA"/>
    <w:rsid w:val="007566E4"/>
    <w:rsid w:val="00756BF2"/>
    <w:rsid w:val="00760895"/>
    <w:rsid w:val="007610DA"/>
    <w:rsid w:val="00761241"/>
    <w:rsid w:val="00761A4F"/>
    <w:rsid w:val="00761B24"/>
    <w:rsid w:val="0076219A"/>
    <w:rsid w:val="0076232D"/>
    <w:rsid w:val="00762933"/>
    <w:rsid w:val="00762FE9"/>
    <w:rsid w:val="00763B48"/>
    <w:rsid w:val="00763D5A"/>
    <w:rsid w:val="00764118"/>
    <w:rsid w:val="00764375"/>
    <w:rsid w:val="0076460D"/>
    <w:rsid w:val="007663E6"/>
    <w:rsid w:val="0076697F"/>
    <w:rsid w:val="007669AF"/>
    <w:rsid w:val="00766E56"/>
    <w:rsid w:val="0076702A"/>
    <w:rsid w:val="00767F05"/>
    <w:rsid w:val="00771E83"/>
    <w:rsid w:val="00771FCB"/>
    <w:rsid w:val="00772AF2"/>
    <w:rsid w:val="00772E59"/>
    <w:rsid w:val="00773558"/>
    <w:rsid w:val="00773A93"/>
    <w:rsid w:val="00774683"/>
    <w:rsid w:val="007748D5"/>
    <w:rsid w:val="007761B6"/>
    <w:rsid w:val="00776272"/>
    <w:rsid w:val="007768DF"/>
    <w:rsid w:val="0077716D"/>
    <w:rsid w:val="0078011A"/>
    <w:rsid w:val="00780150"/>
    <w:rsid w:val="00780209"/>
    <w:rsid w:val="00780C82"/>
    <w:rsid w:val="00781236"/>
    <w:rsid w:val="00781BDC"/>
    <w:rsid w:val="00781DBC"/>
    <w:rsid w:val="007828DD"/>
    <w:rsid w:val="00782C7D"/>
    <w:rsid w:val="007831C2"/>
    <w:rsid w:val="0078348A"/>
    <w:rsid w:val="0078421A"/>
    <w:rsid w:val="00784E91"/>
    <w:rsid w:val="00785B7A"/>
    <w:rsid w:val="00785F89"/>
    <w:rsid w:val="00786CA6"/>
    <w:rsid w:val="00787583"/>
    <w:rsid w:val="00787B52"/>
    <w:rsid w:val="00787E4B"/>
    <w:rsid w:val="00791108"/>
    <w:rsid w:val="00791A55"/>
    <w:rsid w:val="00791C84"/>
    <w:rsid w:val="00792030"/>
    <w:rsid w:val="00792229"/>
    <w:rsid w:val="00793093"/>
    <w:rsid w:val="007934D5"/>
    <w:rsid w:val="0079400E"/>
    <w:rsid w:val="0079451A"/>
    <w:rsid w:val="00794E1F"/>
    <w:rsid w:val="007950D9"/>
    <w:rsid w:val="0079530E"/>
    <w:rsid w:val="007956F8"/>
    <w:rsid w:val="00795A31"/>
    <w:rsid w:val="00796106"/>
    <w:rsid w:val="007963FA"/>
    <w:rsid w:val="007964B2"/>
    <w:rsid w:val="007965EE"/>
    <w:rsid w:val="007A02F5"/>
    <w:rsid w:val="007A03BF"/>
    <w:rsid w:val="007A0626"/>
    <w:rsid w:val="007A0E72"/>
    <w:rsid w:val="007A13DD"/>
    <w:rsid w:val="007A1E85"/>
    <w:rsid w:val="007A209D"/>
    <w:rsid w:val="007A2724"/>
    <w:rsid w:val="007A3264"/>
    <w:rsid w:val="007A3346"/>
    <w:rsid w:val="007A41D5"/>
    <w:rsid w:val="007A4553"/>
    <w:rsid w:val="007A4703"/>
    <w:rsid w:val="007A4A86"/>
    <w:rsid w:val="007A5296"/>
    <w:rsid w:val="007A571C"/>
    <w:rsid w:val="007A5851"/>
    <w:rsid w:val="007A639F"/>
    <w:rsid w:val="007A63F2"/>
    <w:rsid w:val="007A6611"/>
    <w:rsid w:val="007A6657"/>
    <w:rsid w:val="007A6729"/>
    <w:rsid w:val="007A6AB8"/>
    <w:rsid w:val="007A6F65"/>
    <w:rsid w:val="007A7A2D"/>
    <w:rsid w:val="007B00EB"/>
    <w:rsid w:val="007B01F4"/>
    <w:rsid w:val="007B0417"/>
    <w:rsid w:val="007B16A1"/>
    <w:rsid w:val="007B1B03"/>
    <w:rsid w:val="007B1D0D"/>
    <w:rsid w:val="007B26DD"/>
    <w:rsid w:val="007B2F31"/>
    <w:rsid w:val="007B3683"/>
    <w:rsid w:val="007B3747"/>
    <w:rsid w:val="007B37B2"/>
    <w:rsid w:val="007B3E99"/>
    <w:rsid w:val="007B3F2C"/>
    <w:rsid w:val="007B4007"/>
    <w:rsid w:val="007B4037"/>
    <w:rsid w:val="007B4AE9"/>
    <w:rsid w:val="007B64AC"/>
    <w:rsid w:val="007B6A13"/>
    <w:rsid w:val="007B6AEC"/>
    <w:rsid w:val="007B6B06"/>
    <w:rsid w:val="007B76F9"/>
    <w:rsid w:val="007B77AF"/>
    <w:rsid w:val="007B78E9"/>
    <w:rsid w:val="007B79E2"/>
    <w:rsid w:val="007C07CC"/>
    <w:rsid w:val="007C0A53"/>
    <w:rsid w:val="007C12C9"/>
    <w:rsid w:val="007C1E84"/>
    <w:rsid w:val="007C2281"/>
    <w:rsid w:val="007C23F3"/>
    <w:rsid w:val="007C2537"/>
    <w:rsid w:val="007C3BA1"/>
    <w:rsid w:val="007C48FE"/>
    <w:rsid w:val="007C5BA0"/>
    <w:rsid w:val="007C6CA7"/>
    <w:rsid w:val="007C73D3"/>
    <w:rsid w:val="007C7829"/>
    <w:rsid w:val="007C7912"/>
    <w:rsid w:val="007C7F64"/>
    <w:rsid w:val="007D0CF7"/>
    <w:rsid w:val="007D0D63"/>
    <w:rsid w:val="007D1147"/>
    <w:rsid w:val="007D2398"/>
    <w:rsid w:val="007D340E"/>
    <w:rsid w:val="007D36CA"/>
    <w:rsid w:val="007D3B58"/>
    <w:rsid w:val="007D4185"/>
    <w:rsid w:val="007D4441"/>
    <w:rsid w:val="007D4635"/>
    <w:rsid w:val="007D4DD7"/>
    <w:rsid w:val="007D51EB"/>
    <w:rsid w:val="007D5268"/>
    <w:rsid w:val="007D5462"/>
    <w:rsid w:val="007D61B4"/>
    <w:rsid w:val="007D64BD"/>
    <w:rsid w:val="007D654B"/>
    <w:rsid w:val="007D66D1"/>
    <w:rsid w:val="007D67EC"/>
    <w:rsid w:val="007D68A5"/>
    <w:rsid w:val="007D73C9"/>
    <w:rsid w:val="007D7663"/>
    <w:rsid w:val="007D7CAB"/>
    <w:rsid w:val="007D7E08"/>
    <w:rsid w:val="007E0371"/>
    <w:rsid w:val="007E09BB"/>
    <w:rsid w:val="007E0D1A"/>
    <w:rsid w:val="007E1068"/>
    <w:rsid w:val="007E176D"/>
    <w:rsid w:val="007E1A66"/>
    <w:rsid w:val="007E1B0F"/>
    <w:rsid w:val="007E1D8D"/>
    <w:rsid w:val="007E37EE"/>
    <w:rsid w:val="007E3878"/>
    <w:rsid w:val="007E45CB"/>
    <w:rsid w:val="007E4800"/>
    <w:rsid w:val="007E4ABA"/>
    <w:rsid w:val="007E5097"/>
    <w:rsid w:val="007E52B8"/>
    <w:rsid w:val="007E6249"/>
    <w:rsid w:val="007E6A9A"/>
    <w:rsid w:val="007F062A"/>
    <w:rsid w:val="007F0C07"/>
    <w:rsid w:val="007F0CCE"/>
    <w:rsid w:val="007F1330"/>
    <w:rsid w:val="007F1DF9"/>
    <w:rsid w:val="007F227F"/>
    <w:rsid w:val="007F24DB"/>
    <w:rsid w:val="007F3AD1"/>
    <w:rsid w:val="007F3D6F"/>
    <w:rsid w:val="007F402A"/>
    <w:rsid w:val="007F4090"/>
    <w:rsid w:val="007F47A4"/>
    <w:rsid w:val="007F4B51"/>
    <w:rsid w:val="007F522A"/>
    <w:rsid w:val="007F56F8"/>
    <w:rsid w:val="007F57EB"/>
    <w:rsid w:val="007F6AA5"/>
    <w:rsid w:val="007F7027"/>
    <w:rsid w:val="007F7374"/>
    <w:rsid w:val="007F737D"/>
    <w:rsid w:val="007F7C7C"/>
    <w:rsid w:val="0080014A"/>
    <w:rsid w:val="0080089B"/>
    <w:rsid w:val="008008D4"/>
    <w:rsid w:val="0080149D"/>
    <w:rsid w:val="0080171F"/>
    <w:rsid w:val="008026E1"/>
    <w:rsid w:val="00803530"/>
    <w:rsid w:val="00803C68"/>
    <w:rsid w:val="0080412C"/>
    <w:rsid w:val="0080460C"/>
    <w:rsid w:val="00805198"/>
    <w:rsid w:val="0080580D"/>
    <w:rsid w:val="0080626D"/>
    <w:rsid w:val="0080645F"/>
    <w:rsid w:val="00806B63"/>
    <w:rsid w:val="00807174"/>
    <w:rsid w:val="00807A30"/>
    <w:rsid w:val="0081016B"/>
    <w:rsid w:val="00810BBF"/>
    <w:rsid w:val="008112C2"/>
    <w:rsid w:val="00811BD3"/>
    <w:rsid w:val="008124AB"/>
    <w:rsid w:val="008128F4"/>
    <w:rsid w:val="008139CE"/>
    <w:rsid w:val="00813D01"/>
    <w:rsid w:val="00813DC5"/>
    <w:rsid w:val="00814626"/>
    <w:rsid w:val="00814EA9"/>
    <w:rsid w:val="00814F60"/>
    <w:rsid w:val="00815636"/>
    <w:rsid w:val="00815959"/>
    <w:rsid w:val="00815C6A"/>
    <w:rsid w:val="0081628E"/>
    <w:rsid w:val="00816518"/>
    <w:rsid w:val="00816CC4"/>
    <w:rsid w:val="00817EAC"/>
    <w:rsid w:val="00820F3D"/>
    <w:rsid w:val="00821013"/>
    <w:rsid w:val="008214D3"/>
    <w:rsid w:val="00822304"/>
    <w:rsid w:val="00822A81"/>
    <w:rsid w:val="00822D88"/>
    <w:rsid w:val="0082433A"/>
    <w:rsid w:val="00825150"/>
    <w:rsid w:val="00825299"/>
    <w:rsid w:val="008254A5"/>
    <w:rsid w:val="0082597A"/>
    <w:rsid w:val="008259E7"/>
    <w:rsid w:val="00825A45"/>
    <w:rsid w:val="00826138"/>
    <w:rsid w:val="0082631E"/>
    <w:rsid w:val="008269F1"/>
    <w:rsid w:val="00826A17"/>
    <w:rsid w:val="00826D75"/>
    <w:rsid w:val="00826F73"/>
    <w:rsid w:val="008312E1"/>
    <w:rsid w:val="00831BDC"/>
    <w:rsid w:val="00833522"/>
    <w:rsid w:val="00833E54"/>
    <w:rsid w:val="0083405A"/>
    <w:rsid w:val="00835529"/>
    <w:rsid w:val="00835598"/>
    <w:rsid w:val="00835D7F"/>
    <w:rsid w:val="00836F39"/>
    <w:rsid w:val="00837744"/>
    <w:rsid w:val="00837C38"/>
    <w:rsid w:val="00837CBF"/>
    <w:rsid w:val="00841490"/>
    <w:rsid w:val="008415FF"/>
    <w:rsid w:val="00841658"/>
    <w:rsid w:val="008416A7"/>
    <w:rsid w:val="00841843"/>
    <w:rsid w:val="008418EA"/>
    <w:rsid w:val="008420E2"/>
    <w:rsid w:val="0084254D"/>
    <w:rsid w:val="00842B13"/>
    <w:rsid w:val="00842C6A"/>
    <w:rsid w:val="00843223"/>
    <w:rsid w:val="00843BB6"/>
    <w:rsid w:val="00844C0A"/>
    <w:rsid w:val="00845708"/>
    <w:rsid w:val="00845ABB"/>
    <w:rsid w:val="00846C1C"/>
    <w:rsid w:val="00846DC1"/>
    <w:rsid w:val="00847002"/>
    <w:rsid w:val="00847019"/>
    <w:rsid w:val="00847026"/>
    <w:rsid w:val="008477FC"/>
    <w:rsid w:val="008501EF"/>
    <w:rsid w:val="0085083E"/>
    <w:rsid w:val="0085095F"/>
    <w:rsid w:val="00851537"/>
    <w:rsid w:val="0085275F"/>
    <w:rsid w:val="00852AE9"/>
    <w:rsid w:val="00852F42"/>
    <w:rsid w:val="008539E5"/>
    <w:rsid w:val="00853A2C"/>
    <w:rsid w:val="008543C0"/>
    <w:rsid w:val="0085488B"/>
    <w:rsid w:val="008548D0"/>
    <w:rsid w:val="00854D61"/>
    <w:rsid w:val="00855A39"/>
    <w:rsid w:val="0085630F"/>
    <w:rsid w:val="0085652F"/>
    <w:rsid w:val="00856A91"/>
    <w:rsid w:val="00856B22"/>
    <w:rsid w:val="00856CEA"/>
    <w:rsid w:val="00856E64"/>
    <w:rsid w:val="008579EE"/>
    <w:rsid w:val="00857B5C"/>
    <w:rsid w:val="008607FA"/>
    <w:rsid w:val="008614FA"/>
    <w:rsid w:val="0086190D"/>
    <w:rsid w:val="00861CA0"/>
    <w:rsid w:val="00862059"/>
    <w:rsid w:val="00862C26"/>
    <w:rsid w:val="0086367C"/>
    <w:rsid w:val="008639BE"/>
    <w:rsid w:val="00863C28"/>
    <w:rsid w:val="00864008"/>
    <w:rsid w:val="00865517"/>
    <w:rsid w:val="008662CC"/>
    <w:rsid w:val="008665CF"/>
    <w:rsid w:val="008667F7"/>
    <w:rsid w:val="008671E5"/>
    <w:rsid w:val="00867282"/>
    <w:rsid w:val="00867616"/>
    <w:rsid w:val="00867926"/>
    <w:rsid w:val="008705C8"/>
    <w:rsid w:val="00871742"/>
    <w:rsid w:val="00871DAB"/>
    <w:rsid w:val="00871F5E"/>
    <w:rsid w:val="00872072"/>
    <w:rsid w:val="00872531"/>
    <w:rsid w:val="00872F68"/>
    <w:rsid w:val="0087312D"/>
    <w:rsid w:val="0087423C"/>
    <w:rsid w:val="00874394"/>
    <w:rsid w:val="00874800"/>
    <w:rsid w:val="00874E4B"/>
    <w:rsid w:val="0087557D"/>
    <w:rsid w:val="008758AA"/>
    <w:rsid w:val="0087600C"/>
    <w:rsid w:val="0087655A"/>
    <w:rsid w:val="00876F4A"/>
    <w:rsid w:val="00876FF4"/>
    <w:rsid w:val="00877165"/>
    <w:rsid w:val="00880F26"/>
    <w:rsid w:val="00880F63"/>
    <w:rsid w:val="00881264"/>
    <w:rsid w:val="00881456"/>
    <w:rsid w:val="0088213C"/>
    <w:rsid w:val="008822DE"/>
    <w:rsid w:val="00882B2D"/>
    <w:rsid w:val="00883148"/>
    <w:rsid w:val="0088335B"/>
    <w:rsid w:val="00883C30"/>
    <w:rsid w:val="008845C6"/>
    <w:rsid w:val="0088460F"/>
    <w:rsid w:val="00884816"/>
    <w:rsid w:val="0088526D"/>
    <w:rsid w:val="00885809"/>
    <w:rsid w:val="00885B23"/>
    <w:rsid w:val="0088696C"/>
    <w:rsid w:val="00886E6A"/>
    <w:rsid w:val="0088741E"/>
    <w:rsid w:val="0088759D"/>
    <w:rsid w:val="0088777C"/>
    <w:rsid w:val="00887999"/>
    <w:rsid w:val="00890079"/>
    <w:rsid w:val="00890426"/>
    <w:rsid w:val="008905D3"/>
    <w:rsid w:val="0089067B"/>
    <w:rsid w:val="00891977"/>
    <w:rsid w:val="00891B80"/>
    <w:rsid w:val="00891E0F"/>
    <w:rsid w:val="00892378"/>
    <w:rsid w:val="008928DD"/>
    <w:rsid w:val="00892C37"/>
    <w:rsid w:val="00892FBC"/>
    <w:rsid w:val="008937CC"/>
    <w:rsid w:val="00893FCE"/>
    <w:rsid w:val="008941C6"/>
    <w:rsid w:val="00894438"/>
    <w:rsid w:val="00894DDC"/>
    <w:rsid w:val="008958AF"/>
    <w:rsid w:val="00895C67"/>
    <w:rsid w:val="00895E38"/>
    <w:rsid w:val="008969DA"/>
    <w:rsid w:val="0089756A"/>
    <w:rsid w:val="008A029B"/>
    <w:rsid w:val="008A0BA3"/>
    <w:rsid w:val="008A171D"/>
    <w:rsid w:val="008A19DC"/>
    <w:rsid w:val="008A27C0"/>
    <w:rsid w:val="008A2FB2"/>
    <w:rsid w:val="008A30CF"/>
    <w:rsid w:val="008A32A6"/>
    <w:rsid w:val="008A49D0"/>
    <w:rsid w:val="008A5336"/>
    <w:rsid w:val="008A5384"/>
    <w:rsid w:val="008A5550"/>
    <w:rsid w:val="008A579E"/>
    <w:rsid w:val="008A59E5"/>
    <w:rsid w:val="008A5AC4"/>
    <w:rsid w:val="008A5B47"/>
    <w:rsid w:val="008A5B6B"/>
    <w:rsid w:val="008A5BF1"/>
    <w:rsid w:val="008A5E8C"/>
    <w:rsid w:val="008A627A"/>
    <w:rsid w:val="008A7067"/>
    <w:rsid w:val="008A7AA3"/>
    <w:rsid w:val="008A7AB0"/>
    <w:rsid w:val="008B24C4"/>
    <w:rsid w:val="008B2E1F"/>
    <w:rsid w:val="008B3248"/>
    <w:rsid w:val="008B35C5"/>
    <w:rsid w:val="008B4AE7"/>
    <w:rsid w:val="008B5F1F"/>
    <w:rsid w:val="008B640B"/>
    <w:rsid w:val="008B6F5F"/>
    <w:rsid w:val="008B7902"/>
    <w:rsid w:val="008C014A"/>
    <w:rsid w:val="008C0229"/>
    <w:rsid w:val="008C0338"/>
    <w:rsid w:val="008C0AB0"/>
    <w:rsid w:val="008C1788"/>
    <w:rsid w:val="008C178E"/>
    <w:rsid w:val="008C17F9"/>
    <w:rsid w:val="008C2739"/>
    <w:rsid w:val="008C31F6"/>
    <w:rsid w:val="008C3CD1"/>
    <w:rsid w:val="008C5098"/>
    <w:rsid w:val="008C5491"/>
    <w:rsid w:val="008C54E4"/>
    <w:rsid w:val="008C646C"/>
    <w:rsid w:val="008C6DC8"/>
    <w:rsid w:val="008C74AC"/>
    <w:rsid w:val="008C7C62"/>
    <w:rsid w:val="008D08B6"/>
    <w:rsid w:val="008D1564"/>
    <w:rsid w:val="008D1843"/>
    <w:rsid w:val="008D1C1B"/>
    <w:rsid w:val="008D2CD0"/>
    <w:rsid w:val="008D3F30"/>
    <w:rsid w:val="008D4063"/>
    <w:rsid w:val="008D4746"/>
    <w:rsid w:val="008D55DB"/>
    <w:rsid w:val="008D5894"/>
    <w:rsid w:val="008D58D3"/>
    <w:rsid w:val="008D5D4A"/>
    <w:rsid w:val="008D679F"/>
    <w:rsid w:val="008D7BF2"/>
    <w:rsid w:val="008E038E"/>
    <w:rsid w:val="008E0CBE"/>
    <w:rsid w:val="008E0F02"/>
    <w:rsid w:val="008E10B4"/>
    <w:rsid w:val="008E15CA"/>
    <w:rsid w:val="008E2EEF"/>
    <w:rsid w:val="008E3779"/>
    <w:rsid w:val="008E3923"/>
    <w:rsid w:val="008E3A0C"/>
    <w:rsid w:val="008E3EAE"/>
    <w:rsid w:val="008E4F64"/>
    <w:rsid w:val="008E509A"/>
    <w:rsid w:val="008E53DB"/>
    <w:rsid w:val="008E59F2"/>
    <w:rsid w:val="008E60F5"/>
    <w:rsid w:val="008E655E"/>
    <w:rsid w:val="008E666C"/>
    <w:rsid w:val="008E6A40"/>
    <w:rsid w:val="008E6E54"/>
    <w:rsid w:val="008E77B7"/>
    <w:rsid w:val="008F001F"/>
    <w:rsid w:val="008F0872"/>
    <w:rsid w:val="008F08D2"/>
    <w:rsid w:val="008F0E24"/>
    <w:rsid w:val="008F13EA"/>
    <w:rsid w:val="008F19BC"/>
    <w:rsid w:val="008F4943"/>
    <w:rsid w:val="008F4951"/>
    <w:rsid w:val="008F4DC4"/>
    <w:rsid w:val="008F507A"/>
    <w:rsid w:val="008F532A"/>
    <w:rsid w:val="008F5404"/>
    <w:rsid w:val="008F5860"/>
    <w:rsid w:val="008F61C6"/>
    <w:rsid w:val="008F62D2"/>
    <w:rsid w:val="008F670D"/>
    <w:rsid w:val="008F6B70"/>
    <w:rsid w:val="008F6EB8"/>
    <w:rsid w:val="008F70F8"/>
    <w:rsid w:val="008F761F"/>
    <w:rsid w:val="008F7D6B"/>
    <w:rsid w:val="00900005"/>
    <w:rsid w:val="00900277"/>
    <w:rsid w:val="0090051E"/>
    <w:rsid w:val="0090060A"/>
    <w:rsid w:val="00900ED0"/>
    <w:rsid w:val="00900F50"/>
    <w:rsid w:val="0090113B"/>
    <w:rsid w:val="009034FB"/>
    <w:rsid w:val="00903885"/>
    <w:rsid w:val="0090473F"/>
    <w:rsid w:val="00904AF5"/>
    <w:rsid w:val="00904C09"/>
    <w:rsid w:val="0090594F"/>
    <w:rsid w:val="00905A06"/>
    <w:rsid w:val="00906146"/>
    <w:rsid w:val="00906152"/>
    <w:rsid w:val="00906710"/>
    <w:rsid w:val="009078BB"/>
    <w:rsid w:val="00907B22"/>
    <w:rsid w:val="00910AE8"/>
    <w:rsid w:val="00910DA7"/>
    <w:rsid w:val="00911F3A"/>
    <w:rsid w:val="00912A49"/>
    <w:rsid w:val="00913094"/>
    <w:rsid w:val="00913138"/>
    <w:rsid w:val="009139EF"/>
    <w:rsid w:val="00913E4A"/>
    <w:rsid w:val="009143BC"/>
    <w:rsid w:val="00915065"/>
    <w:rsid w:val="0091594F"/>
    <w:rsid w:val="00915DD3"/>
    <w:rsid w:val="00916769"/>
    <w:rsid w:val="0091740A"/>
    <w:rsid w:val="0091791C"/>
    <w:rsid w:val="00920235"/>
    <w:rsid w:val="00921106"/>
    <w:rsid w:val="00921585"/>
    <w:rsid w:val="00922101"/>
    <w:rsid w:val="00922149"/>
    <w:rsid w:val="00922E54"/>
    <w:rsid w:val="00923A57"/>
    <w:rsid w:val="00923AFB"/>
    <w:rsid w:val="00923DB0"/>
    <w:rsid w:val="00923F36"/>
    <w:rsid w:val="00924149"/>
    <w:rsid w:val="009243FB"/>
    <w:rsid w:val="00924C96"/>
    <w:rsid w:val="00924D5F"/>
    <w:rsid w:val="00925A05"/>
    <w:rsid w:val="00926728"/>
    <w:rsid w:val="0092718D"/>
    <w:rsid w:val="00927804"/>
    <w:rsid w:val="00927B98"/>
    <w:rsid w:val="009300E2"/>
    <w:rsid w:val="00930377"/>
    <w:rsid w:val="009313CB"/>
    <w:rsid w:val="009321B3"/>
    <w:rsid w:val="009326D6"/>
    <w:rsid w:val="009327D2"/>
    <w:rsid w:val="00932DA0"/>
    <w:rsid w:val="00932E81"/>
    <w:rsid w:val="00933376"/>
    <w:rsid w:val="0093346D"/>
    <w:rsid w:val="009335A5"/>
    <w:rsid w:val="009339DC"/>
    <w:rsid w:val="00934338"/>
    <w:rsid w:val="0093534D"/>
    <w:rsid w:val="009369B9"/>
    <w:rsid w:val="00937550"/>
    <w:rsid w:val="00937621"/>
    <w:rsid w:val="0094017A"/>
    <w:rsid w:val="00940399"/>
    <w:rsid w:val="0094047C"/>
    <w:rsid w:val="0094056E"/>
    <w:rsid w:val="009405AD"/>
    <w:rsid w:val="009405BB"/>
    <w:rsid w:val="009408A4"/>
    <w:rsid w:val="00940A69"/>
    <w:rsid w:val="0094153C"/>
    <w:rsid w:val="0094175C"/>
    <w:rsid w:val="00941B3D"/>
    <w:rsid w:val="009424F0"/>
    <w:rsid w:val="00942C6F"/>
    <w:rsid w:val="00942DE0"/>
    <w:rsid w:val="009433AC"/>
    <w:rsid w:val="0094375B"/>
    <w:rsid w:val="009443C3"/>
    <w:rsid w:val="00944B4B"/>
    <w:rsid w:val="00945D24"/>
    <w:rsid w:val="00946C19"/>
    <w:rsid w:val="00946CC1"/>
    <w:rsid w:val="0094730B"/>
    <w:rsid w:val="00947CB7"/>
    <w:rsid w:val="00947D61"/>
    <w:rsid w:val="00947E62"/>
    <w:rsid w:val="009503CF"/>
    <w:rsid w:val="009512A7"/>
    <w:rsid w:val="00951B9F"/>
    <w:rsid w:val="00951DD8"/>
    <w:rsid w:val="009520C0"/>
    <w:rsid w:val="009521FF"/>
    <w:rsid w:val="009522E8"/>
    <w:rsid w:val="009525B4"/>
    <w:rsid w:val="009527C3"/>
    <w:rsid w:val="00952861"/>
    <w:rsid w:val="00953155"/>
    <w:rsid w:val="009533B8"/>
    <w:rsid w:val="00953A53"/>
    <w:rsid w:val="00953F83"/>
    <w:rsid w:val="0095435F"/>
    <w:rsid w:val="00954373"/>
    <w:rsid w:val="009545E2"/>
    <w:rsid w:val="00954735"/>
    <w:rsid w:val="00955490"/>
    <w:rsid w:val="00955F45"/>
    <w:rsid w:val="0095625F"/>
    <w:rsid w:val="009566E4"/>
    <w:rsid w:val="009569DC"/>
    <w:rsid w:val="00956C94"/>
    <w:rsid w:val="009572D8"/>
    <w:rsid w:val="00960A95"/>
    <w:rsid w:val="00960CC6"/>
    <w:rsid w:val="009612AF"/>
    <w:rsid w:val="009619C8"/>
    <w:rsid w:val="009625F7"/>
    <w:rsid w:val="0096294E"/>
    <w:rsid w:val="009630B9"/>
    <w:rsid w:val="009633BA"/>
    <w:rsid w:val="00963618"/>
    <w:rsid w:val="0096433A"/>
    <w:rsid w:val="00964E5B"/>
    <w:rsid w:val="009659A6"/>
    <w:rsid w:val="00965BAC"/>
    <w:rsid w:val="0096635A"/>
    <w:rsid w:val="00966766"/>
    <w:rsid w:val="00966AC4"/>
    <w:rsid w:val="00966DE0"/>
    <w:rsid w:val="00966EE9"/>
    <w:rsid w:val="009670A9"/>
    <w:rsid w:val="009670CC"/>
    <w:rsid w:val="0096756F"/>
    <w:rsid w:val="00967599"/>
    <w:rsid w:val="009705AE"/>
    <w:rsid w:val="00970609"/>
    <w:rsid w:val="0097088E"/>
    <w:rsid w:val="00970BCE"/>
    <w:rsid w:val="00971051"/>
    <w:rsid w:val="00971152"/>
    <w:rsid w:val="00972045"/>
    <w:rsid w:val="00972170"/>
    <w:rsid w:val="00972906"/>
    <w:rsid w:val="009734A2"/>
    <w:rsid w:val="00974594"/>
    <w:rsid w:val="00974959"/>
    <w:rsid w:val="00975AE6"/>
    <w:rsid w:val="00976025"/>
    <w:rsid w:val="009763F7"/>
    <w:rsid w:val="0097673D"/>
    <w:rsid w:val="009778C3"/>
    <w:rsid w:val="00980D2F"/>
    <w:rsid w:val="00980FC5"/>
    <w:rsid w:val="00981143"/>
    <w:rsid w:val="0098233B"/>
    <w:rsid w:val="009824D8"/>
    <w:rsid w:val="0098271D"/>
    <w:rsid w:val="009827C8"/>
    <w:rsid w:val="00983AB4"/>
    <w:rsid w:val="00983D82"/>
    <w:rsid w:val="00984198"/>
    <w:rsid w:val="00984AA7"/>
    <w:rsid w:val="00986231"/>
    <w:rsid w:val="0098628D"/>
    <w:rsid w:val="0098630E"/>
    <w:rsid w:val="0098666B"/>
    <w:rsid w:val="00987425"/>
    <w:rsid w:val="0098746F"/>
    <w:rsid w:val="00987CC2"/>
    <w:rsid w:val="0099095F"/>
    <w:rsid w:val="00990B6E"/>
    <w:rsid w:val="00990CBB"/>
    <w:rsid w:val="00990D05"/>
    <w:rsid w:val="00990F11"/>
    <w:rsid w:val="00991AA5"/>
    <w:rsid w:val="00991BAE"/>
    <w:rsid w:val="0099240F"/>
    <w:rsid w:val="009925B9"/>
    <w:rsid w:val="00992631"/>
    <w:rsid w:val="00992813"/>
    <w:rsid w:val="00992F8E"/>
    <w:rsid w:val="009932AD"/>
    <w:rsid w:val="00993A62"/>
    <w:rsid w:val="00993A76"/>
    <w:rsid w:val="00993DF3"/>
    <w:rsid w:val="00994068"/>
    <w:rsid w:val="00994969"/>
    <w:rsid w:val="00996309"/>
    <w:rsid w:val="00996964"/>
    <w:rsid w:val="00997B88"/>
    <w:rsid w:val="009A03C7"/>
    <w:rsid w:val="009A0BAC"/>
    <w:rsid w:val="009A1359"/>
    <w:rsid w:val="009A13F0"/>
    <w:rsid w:val="009A1729"/>
    <w:rsid w:val="009A1974"/>
    <w:rsid w:val="009A1D4C"/>
    <w:rsid w:val="009A2426"/>
    <w:rsid w:val="009A2D36"/>
    <w:rsid w:val="009A3112"/>
    <w:rsid w:val="009A3130"/>
    <w:rsid w:val="009A442A"/>
    <w:rsid w:val="009A457C"/>
    <w:rsid w:val="009A4AF9"/>
    <w:rsid w:val="009A4C0D"/>
    <w:rsid w:val="009A503F"/>
    <w:rsid w:val="009A7376"/>
    <w:rsid w:val="009A742A"/>
    <w:rsid w:val="009A7DAB"/>
    <w:rsid w:val="009A7DB4"/>
    <w:rsid w:val="009B025A"/>
    <w:rsid w:val="009B1693"/>
    <w:rsid w:val="009B1A2A"/>
    <w:rsid w:val="009B1ED0"/>
    <w:rsid w:val="009B2869"/>
    <w:rsid w:val="009B28CB"/>
    <w:rsid w:val="009B3202"/>
    <w:rsid w:val="009B37D8"/>
    <w:rsid w:val="009B3D19"/>
    <w:rsid w:val="009B3DAF"/>
    <w:rsid w:val="009B40E4"/>
    <w:rsid w:val="009B4F88"/>
    <w:rsid w:val="009B50DF"/>
    <w:rsid w:val="009B57AB"/>
    <w:rsid w:val="009B5D9D"/>
    <w:rsid w:val="009B679D"/>
    <w:rsid w:val="009B7661"/>
    <w:rsid w:val="009C0251"/>
    <w:rsid w:val="009C0789"/>
    <w:rsid w:val="009C07C4"/>
    <w:rsid w:val="009C174F"/>
    <w:rsid w:val="009C1D49"/>
    <w:rsid w:val="009C3518"/>
    <w:rsid w:val="009C38A3"/>
    <w:rsid w:val="009C3CA3"/>
    <w:rsid w:val="009C3D10"/>
    <w:rsid w:val="009C3E87"/>
    <w:rsid w:val="009C46DA"/>
    <w:rsid w:val="009C5298"/>
    <w:rsid w:val="009C5DD1"/>
    <w:rsid w:val="009C6A84"/>
    <w:rsid w:val="009C73E0"/>
    <w:rsid w:val="009C7484"/>
    <w:rsid w:val="009C7793"/>
    <w:rsid w:val="009C7EB5"/>
    <w:rsid w:val="009D0655"/>
    <w:rsid w:val="009D08A1"/>
    <w:rsid w:val="009D2B9C"/>
    <w:rsid w:val="009D31CB"/>
    <w:rsid w:val="009D331B"/>
    <w:rsid w:val="009D33C8"/>
    <w:rsid w:val="009D3431"/>
    <w:rsid w:val="009D3794"/>
    <w:rsid w:val="009D37EA"/>
    <w:rsid w:val="009D3D6C"/>
    <w:rsid w:val="009D401B"/>
    <w:rsid w:val="009D4737"/>
    <w:rsid w:val="009D521B"/>
    <w:rsid w:val="009D5BBF"/>
    <w:rsid w:val="009D60A5"/>
    <w:rsid w:val="009D7510"/>
    <w:rsid w:val="009D7E2A"/>
    <w:rsid w:val="009D7F21"/>
    <w:rsid w:val="009E009F"/>
    <w:rsid w:val="009E163A"/>
    <w:rsid w:val="009E1A89"/>
    <w:rsid w:val="009E252F"/>
    <w:rsid w:val="009E2915"/>
    <w:rsid w:val="009E2E0A"/>
    <w:rsid w:val="009E3054"/>
    <w:rsid w:val="009E3407"/>
    <w:rsid w:val="009E4923"/>
    <w:rsid w:val="009E4B0F"/>
    <w:rsid w:val="009E4C69"/>
    <w:rsid w:val="009E4CB2"/>
    <w:rsid w:val="009E4F2C"/>
    <w:rsid w:val="009E4F90"/>
    <w:rsid w:val="009E52BD"/>
    <w:rsid w:val="009E5676"/>
    <w:rsid w:val="009E676A"/>
    <w:rsid w:val="009E6B06"/>
    <w:rsid w:val="009E6B2C"/>
    <w:rsid w:val="009E7537"/>
    <w:rsid w:val="009E761B"/>
    <w:rsid w:val="009F0821"/>
    <w:rsid w:val="009F19AA"/>
    <w:rsid w:val="009F1E46"/>
    <w:rsid w:val="009F1E51"/>
    <w:rsid w:val="009F2EA5"/>
    <w:rsid w:val="009F3AD3"/>
    <w:rsid w:val="009F43CA"/>
    <w:rsid w:val="009F4940"/>
    <w:rsid w:val="009F496A"/>
    <w:rsid w:val="009F5471"/>
    <w:rsid w:val="009F61FB"/>
    <w:rsid w:val="009F6A3F"/>
    <w:rsid w:val="009F6BE2"/>
    <w:rsid w:val="009F7A08"/>
    <w:rsid w:val="00A0078C"/>
    <w:rsid w:val="00A019AD"/>
    <w:rsid w:val="00A01CAE"/>
    <w:rsid w:val="00A02045"/>
    <w:rsid w:val="00A023B3"/>
    <w:rsid w:val="00A0243D"/>
    <w:rsid w:val="00A02B34"/>
    <w:rsid w:val="00A0362B"/>
    <w:rsid w:val="00A03DB8"/>
    <w:rsid w:val="00A04461"/>
    <w:rsid w:val="00A04530"/>
    <w:rsid w:val="00A04566"/>
    <w:rsid w:val="00A04924"/>
    <w:rsid w:val="00A05923"/>
    <w:rsid w:val="00A05F68"/>
    <w:rsid w:val="00A06DA4"/>
    <w:rsid w:val="00A06EB9"/>
    <w:rsid w:val="00A074B0"/>
    <w:rsid w:val="00A074CB"/>
    <w:rsid w:val="00A109BC"/>
    <w:rsid w:val="00A10FF1"/>
    <w:rsid w:val="00A114DD"/>
    <w:rsid w:val="00A1216D"/>
    <w:rsid w:val="00A1241B"/>
    <w:rsid w:val="00A1275C"/>
    <w:rsid w:val="00A12C2A"/>
    <w:rsid w:val="00A13874"/>
    <w:rsid w:val="00A13DE2"/>
    <w:rsid w:val="00A1432D"/>
    <w:rsid w:val="00A14359"/>
    <w:rsid w:val="00A159C8"/>
    <w:rsid w:val="00A15F9F"/>
    <w:rsid w:val="00A16705"/>
    <w:rsid w:val="00A1675E"/>
    <w:rsid w:val="00A16D32"/>
    <w:rsid w:val="00A17001"/>
    <w:rsid w:val="00A170C7"/>
    <w:rsid w:val="00A177DF"/>
    <w:rsid w:val="00A17A94"/>
    <w:rsid w:val="00A17AAB"/>
    <w:rsid w:val="00A17B37"/>
    <w:rsid w:val="00A17C42"/>
    <w:rsid w:val="00A21C11"/>
    <w:rsid w:val="00A2218D"/>
    <w:rsid w:val="00A22232"/>
    <w:rsid w:val="00A2341B"/>
    <w:rsid w:val="00A2362F"/>
    <w:rsid w:val="00A23B8E"/>
    <w:rsid w:val="00A245FC"/>
    <w:rsid w:val="00A24759"/>
    <w:rsid w:val="00A25E10"/>
    <w:rsid w:val="00A26DD0"/>
    <w:rsid w:val="00A27618"/>
    <w:rsid w:val="00A27625"/>
    <w:rsid w:val="00A27EA3"/>
    <w:rsid w:val="00A27FC3"/>
    <w:rsid w:val="00A30864"/>
    <w:rsid w:val="00A30BBC"/>
    <w:rsid w:val="00A31112"/>
    <w:rsid w:val="00A3139F"/>
    <w:rsid w:val="00A319D4"/>
    <w:rsid w:val="00A31E13"/>
    <w:rsid w:val="00A32A90"/>
    <w:rsid w:val="00A334E9"/>
    <w:rsid w:val="00A33CEE"/>
    <w:rsid w:val="00A34093"/>
    <w:rsid w:val="00A3427C"/>
    <w:rsid w:val="00A34377"/>
    <w:rsid w:val="00A347CC"/>
    <w:rsid w:val="00A348B4"/>
    <w:rsid w:val="00A3526B"/>
    <w:rsid w:val="00A354A6"/>
    <w:rsid w:val="00A355BE"/>
    <w:rsid w:val="00A355C3"/>
    <w:rsid w:val="00A3624F"/>
    <w:rsid w:val="00A3627D"/>
    <w:rsid w:val="00A36652"/>
    <w:rsid w:val="00A36679"/>
    <w:rsid w:val="00A36818"/>
    <w:rsid w:val="00A36B83"/>
    <w:rsid w:val="00A36D05"/>
    <w:rsid w:val="00A3728D"/>
    <w:rsid w:val="00A37555"/>
    <w:rsid w:val="00A37E13"/>
    <w:rsid w:val="00A37EFE"/>
    <w:rsid w:val="00A401E3"/>
    <w:rsid w:val="00A41330"/>
    <w:rsid w:val="00A41DB5"/>
    <w:rsid w:val="00A429C7"/>
    <w:rsid w:val="00A435A0"/>
    <w:rsid w:val="00A439A0"/>
    <w:rsid w:val="00A44383"/>
    <w:rsid w:val="00A445DB"/>
    <w:rsid w:val="00A44F2F"/>
    <w:rsid w:val="00A451CE"/>
    <w:rsid w:val="00A455FD"/>
    <w:rsid w:val="00A457A7"/>
    <w:rsid w:val="00A4597C"/>
    <w:rsid w:val="00A45CC0"/>
    <w:rsid w:val="00A45D6C"/>
    <w:rsid w:val="00A46BD3"/>
    <w:rsid w:val="00A47DB1"/>
    <w:rsid w:val="00A50061"/>
    <w:rsid w:val="00A51340"/>
    <w:rsid w:val="00A51461"/>
    <w:rsid w:val="00A5289D"/>
    <w:rsid w:val="00A53113"/>
    <w:rsid w:val="00A53CDF"/>
    <w:rsid w:val="00A53D2B"/>
    <w:rsid w:val="00A54089"/>
    <w:rsid w:val="00A54433"/>
    <w:rsid w:val="00A548E8"/>
    <w:rsid w:val="00A54C34"/>
    <w:rsid w:val="00A5520E"/>
    <w:rsid w:val="00A552CE"/>
    <w:rsid w:val="00A55997"/>
    <w:rsid w:val="00A56538"/>
    <w:rsid w:val="00A56C6A"/>
    <w:rsid w:val="00A57079"/>
    <w:rsid w:val="00A574C3"/>
    <w:rsid w:val="00A5778C"/>
    <w:rsid w:val="00A57D0C"/>
    <w:rsid w:val="00A60529"/>
    <w:rsid w:val="00A6056A"/>
    <w:rsid w:val="00A61010"/>
    <w:rsid w:val="00A610AE"/>
    <w:rsid w:val="00A61865"/>
    <w:rsid w:val="00A619F2"/>
    <w:rsid w:val="00A61AFC"/>
    <w:rsid w:val="00A61C9A"/>
    <w:rsid w:val="00A62CED"/>
    <w:rsid w:val="00A63D20"/>
    <w:rsid w:val="00A63D9C"/>
    <w:rsid w:val="00A6550E"/>
    <w:rsid w:val="00A658CD"/>
    <w:rsid w:val="00A66CBB"/>
    <w:rsid w:val="00A671C1"/>
    <w:rsid w:val="00A672AE"/>
    <w:rsid w:val="00A679E6"/>
    <w:rsid w:val="00A7084B"/>
    <w:rsid w:val="00A70F97"/>
    <w:rsid w:val="00A712AA"/>
    <w:rsid w:val="00A71844"/>
    <w:rsid w:val="00A72363"/>
    <w:rsid w:val="00A72849"/>
    <w:rsid w:val="00A728BE"/>
    <w:rsid w:val="00A72C46"/>
    <w:rsid w:val="00A72F8F"/>
    <w:rsid w:val="00A73085"/>
    <w:rsid w:val="00A732D3"/>
    <w:rsid w:val="00A73C0B"/>
    <w:rsid w:val="00A73FE3"/>
    <w:rsid w:val="00A7447F"/>
    <w:rsid w:val="00A752B1"/>
    <w:rsid w:val="00A757CD"/>
    <w:rsid w:val="00A7588B"/>
    <w:rsid w:val="00A75CDB"/>
    <w:rsid w:val="00A75DF9"/>
    <w:rsid w:val="00A764DC"/>
    <w:rsid w:val="00A76AE7"/>
    <w:rsid w:val="00A77903"/>
    <w:rsid w:val="00A8003A"/>
    <w:rsid w:val="00A80406"/>
    <w:rsid w:val="00A80886"/>
    <w:rsid w:val="00A813D9"/>
    <w:rsid w:val="00A81BFD"/>
    <w:rsid w:val="00A82603"/>
    <w:rsid w:val="00A8306F"/>
    <w:rsid w:val="00A83742"/>
    <w:rsid w:val="00A83CA0"/>
    <w:rsid w:val="00A83FE5"/>
    <w:rsid w:val="00A84304"/>
    <w:rsid w:val="00A8444B"/>
    <w:rsid w:val="00A85201"/>
    <w:rsid w:val="00A85379"/>
    <w:rsid w:val="00A85417"/>
    <w:rsid w:val="00A8592B"/>
    <w:rsid w:val="00A860F7"/>
    <w:rsid w:val="00A8643A"/>
    <w:rsid w:val="00A8714A"/>
    <w:rsid w:val="00A87630"/>
    <w:rsid w:val="00A8770C"/>
    <w:rsid w:val="00A87F6D"/>
    <w:rsid w:val="00A90606"/>
    <w:rsid w:val="00A90F8D"/>
    <w:rsid w:val="00A91743"/>
    <w:rsid w:val="00A91963"/>
    <w:rsid w:val="00A921A7"/>
    <w:rsid w:val="00A92A56"/>
    <w:rsid w:val="00A92C3B"/>
    <w:rsid w:val="00A92E11"/>
    <w:rsid w:val="00A939C8"/>
    <w:rsid w:val="00A93A96"/>
    <w:rsid w:val="00A93E19"/>
    <w:rsid w:val="00A93E3D"/>
    <w:rsid w:val="00A96115"/>
    <w:rsid w:val="00A9629D"/>
    <w:rsid w:val="00A96C26"/>
    <w:rsid w:val="00A97728"/>
    <w:rsid w:val="00A977B9"/>
    <w:rsid w:val="00A97944"/>
    <w:rsid w:val="00AA052B"/>
    <w:rsid w:val="00AA0B6B"/>
    <w:rsid w:val="00AA14A5"/>
    <w:rsid w:val="00AA1B66"/>
    <w:rsid w:val="00AA2226"/>
    <w:rsid w:val="00AA296C"/>
    <w:rsid w:val="00AA2F23"/>
    <w:rsid w:val="00AA3479"/>
    <w:rsid w:val="00AA39DE"/>
    <w:rsid w:val="00AA3C3C"/>
    <w:rsid w:val="00AA3E49"/>
    <w:rsid w:val="00AA473E"/>
    <w:rsid w:val="00AA4855"/>
    <w:rsid w:val="00AA50AE"/>
    <w:rsid w:val="00AA51D9"/>
    <w:rsid w:val="00AA5957"/>
    <w:rsid w:val="00AA5CCC"/>
    <w:rsid w:val="00AA5CF6"/>
    <w:rsid w:val="00AA5F2F"/>
    <w:rsid w:val="00AA6869"/>
    <w:rsid w:val="00AA6BE9"/>
    <w:rsid w:val="00AA7463"/>
    <w:rsid w:val="00AA75BE"/>
    <w:rsid w:val="00AA781B"/>
    <w:rsid w:val="00AA798F"/>
    <w:rsid w:val="00AA7CF4"/>
    <w:rsid w:val="00AA7E21"/>
    <w:rsid w:val="00AB02D7"/>
    <w:rsid w:val="00AB069E"/>
    <w:rsid w:val="00AB0CFA"/>
    <w:rsid w:val="00AB1125"/>
    <w:rsid w:val="00AB17B6"/>
    <w:rsid w:val="00AB180B"/>
    <w:rsid w:val="00AB1B1D"/>
    <w:rsid w:val="00AB1CB0"/>
    <w:rsid w:val="00AB22A3"/>
    <w:rsid w:val="00AB2A46"/>
    <w:rsid w:val="00AB2D53"/>
    <w:rsid w:val="00AB36F9"/>
    <w:rsid w:val="00AB4CCC"/>
    <w:rsid w:val="00AB5FD0"/>
    <w:rsid w:val="00AB7577"/>
    <w:rsid w:val="00AB7F9C"/>
    <w:rsid w:val="00AC0106"/>
    <w:rsid w:val="00AC0A11"/>
    <w:rsid w:val="00AC0ACC"/>
    <w:rsid w:val="00AC0F07"/>
    <w:rsid w:val="00AC1993"/>
    <w:rsid w:val="00AC3062"/>
    <w:rsid w:val="00AC44EA"/>
    <w:rsid w:val="00AC4593"/>
    <w:rsid w:val="00AC47E2"/>
    <w:rsid w:val="00AC541E"/>
    <w:rsid w:val="00AC5E98"/>
    <w:rsid w:val="00AC6124"/>
    <w:rsid w:val="00AC6377"/>
    <w:rsid w:val="00AC7346"/>
    <w:rsid w:val="00AD037D"/>
    <w:rsid w:val="00AD057B"/>
    <w:rsid w:val="00AD06F3"/>
    <w:rsid w:val="00AD085C"/>
    <w:rsid w:val="00AD0BDB"/>
    <w:rsid w:val="00AD0DCB"/>
    <w:rsid w:val="00AD186D"/>
    <w:rsid w:val="00AD2626"/>
    <w:rsid w:val="00AD4E57"/>
    <w:rsid w:val="00AD4E95"/>
    <w:rsid w:val="00AD5602"/>
    <w:rsid w:val="00AD5D16"/>
    <w:rsid w:val="00AD6425"/>
    <w:rsid w:val="00AD719E"/>
    <w:rsid w:val="00AD77EB"/>
    <w:rsid w:val="00AD79B6"/>
    <w:rsid w:val="00AD79BC"/>
    <w:rsid w:val="00AD7B0F"/>
    <w:rsid w:val="00AD7EA3"/>
    <w:rsid w:val="00AE164A"/>
    <w:rsid w:val="00AE18BE"/>
    <w:rsid w:val="00AE1A09"/>
    <w:rsid w:val="00AE1AFF"/>
    <w:rsid w:val="00AE1DAE"/>
    <w:rsid w:val="00AE204E"/>
    <w:rsid w:val="00AE2459"/>
    <w:rsid w:val="00AE31CE"/>
    <w:rsid w:val="00AE43B2"/>
    <w:rsid w:val="00AE454B"/>
    <w:rsid w:val="00AE45D0"/>
    <w:rsid w:val="00AE4E4C"/>
    <w:rsid w:val="00AE4EFC"/>
    <w:rsid w:val="00AE58B0"/>
    <w:rsid w:val="00AE69B4"/>
    <w:rsid w:val="00AE6FE9"/>
    <w:rsid w:val="00AE72DE"/>
    <w:rsid w:val="00AE7958"/>
    <w:rsid w:val="00AF09D7"/>
    <w:rsid w:val="00AF0A10"/>
    <w:rsid w:val="00AF0B03"/>
    <w:rsid w:val="00AF1A39"/>
    <w:rsid w:val="00AF32EA"/>
    <w:rsid w:val="00AF33E9"/>
    <w:rsid w:val="00AF3D0C"/>
    <w:rsid w:val="00AF490B"/>
    <w:rsid w:val="00AF4FA2"/>
    <w:rsid w:val="00AF5494"/>
    <w:rsid w:val="00AF5F93"/>
    <w:rsid w:val="00AF683D"/>
    <w:rsid w:val="00AF6942"/>
    <w:rsid w:val="00AF6D7A"/>
    <w:rsid w:val="00AF729E"/>
    <w:rsid w:val="00AF79DF"/>
    <w:rsid w:val="00AF7C0E"/>
    <w:rsid w:val="00B00237"/>
    <w:rsid w:val="00B0048F"/>
    <w:rsid w:val="00B01025"/>
    <w:rsid w:val="00B01486"/>
    <w:rsid w:val="00B0186B"/>
    <w:rsid w:val="00B01CEF"/>
    <w:rsid w:val="00B01ECF"/>
    <w:rsid w:val="00B025F7"/>
    <w:rsid w:val="00B030E7"/>
    <w:rsid w:val="00B0322C"/>
    <w:rsid w:val="00B034A1"/>
    <w:rsid w:val="00B03EA3"/>
    <w:rsid w:val="00B0445F"/>
    <w:rsid w:val="00B04AF7"/>
    <w:rsid w:val="00B05059"/>
    <w:rsid w:val="00B05078"/>
    <w:rsid w:val="00B05F2B"/>
    <w:rsid w:val="00B064C6"/>
    <w:rsid w:val="00B065E9"/>
    <w:rsid w:val="00B06F71"/>
    <w:rsid w:val="00B076CA"/>
    <w:rsid w:val="00B10190"/>
    <w:rsid w:val="00B10A11"/>
    <w:rsid w:val="00B10D3A"/>
    <w:rsid w:val="00B123C4"/>
    <w:rsid w:val="00B142BE"/>
    <w:rsid w:val="00B144B7"/>
    <w:rsid w:val="00B1501E"/>
    <w:rsid w:val="00B152B8"/>
    <w:rsid w:val="00B15A60"/>
    <w:rsid w:val="00B15FB8"/>
    <w:rsid w:val="00B16135"/>
    <w:rsid w:val="00B16988"/>
    <w:rsid w:val="00B17F61"/>
    <w:rsid w:val="00B2056B"/>
    <w:rsid w:val="00B205BE"/>
    <w:rsid w:val="00B208E4"/>
    <w:rsid w:val="00B20BFD"/>
    <w:rsid w:val="00B22069"/>
    <w:rsid w:val="00B2274D"/>
    <w:rsid w:val="00B237A9"/>
    <w:rsid w:val="00B23AD5"/>
    <w:rsid w:val="00B23BCF"/>
    <w:rsid w:val="00B23E09"/>
    <w:rsid w:val="00B23EC9"/>
    <w:rsid w:val="00B23F61"/>
    <w:rsid w:val="00B250F2"/>
    <w:rsid w:val="00B252AC"/>
    <w:rsid w:val="00B25C1C"/>
    <w:rsid w:val="00B260CA"/>
    <w:rsid w:val="00B261BA"/>
    <w:rsid w:val="00B266ED"/>
    <w:rsid w:val="00B269C4"/>
    <w:rsid w:val="00B26C90"/>
    <w:rsid w:val="00B270B0"/>
    <w:rsid w:val="00B273A5"/>
    <w:rsid w:val="00B27948"/>
    <w:rsid w:val="00B303B3"/>
    <w:rsid w:val="00B311FA"/>
    <w:rsid w:val="00B31273"/>
    <w:rsid w:val="00B314AA"/>
    <w:rsid w:val="00B3167C"/>
    <w:rsid w:val="00B32DF2"/>
    <w:rsid w:val="00B33FB8"/>
    <w:rsid w:val="00B34464"/>
    <w:rsid w:val="00B34A00"/>
    <w:rsid w:val="00B34CF5"/>
    <w:rsid w:val="00B35147"/>
    <w:rsid w:val="00B35225"/>
    <w:rsid w:val="00B35381"/>
    <w:rsid w:val="00B3553F"/>
    <w:rsid w:val="00B356BB"/>
    <w:rsid w:val="00B35C64"/>
    <w:rsid w:val="00B369AB"/>
    <w:rsid w:val="00B36ED5"/>
    <w:rsid w:val="00B371CE"/>
    <w:rsid w:val="00B37BE4"/>
    <w:rsid w:val="00B40090"/>
    <w:rsid w:val="00B40727"/>
    <w:rsid w:val="00B41279"/>
    <w:rsid w:val="00B41840"/>
    <w:rsid w:val="00B41FAC"/>
    <w:rsid w:val="00B424BB"/>
    <w:rsid w:val="00B43876"/>
    <w:rsid w:val="00B438E2"/>
    <w:rsid w:val="00B43938"/>
    <w:rsid w:val="00B43C67"/>
    <w:rsid w:val="00B4406E"/>
    <w:rsid w:val="00B4489D"/>
    <w:rsid w:val="00B44CCE"/>
    <w:rsid w:val="00B44CD2"/>
    <w:rsid w:val="00B4507B"/>
    <w:rsid w:val="00B454FC"/>
    <w:rsid w:val="00B455E2"/>
    <w:rsid w:val="00B45B8E"/>
    <w:rsid w:val="00B466CC"/>
    <w:rsid w:val="00B47C1B"/>
    <w:rsid w:val="00B47D65"/>
    <w:rsid w:val="00B50046"/>
    <w:rsid w:val="00B505F0"/>
    <w:rsid w:val="00B5097F"/>
    <w:rsid w:val="00B5098B"/>
    <w:rsid w:val="00B5098D"/>
    <w:rsid w:val="00B52C64"/>
    <w:rsid w:val="00B5380B"/>
    <w:rsid w:val="00B541A7"/>
    <w:rsid w:val="00B54D13"/>
    <w:rsid w:val="00B552E2"/>
    <w:rsid w:val="00B556AA"/>
    <w:rsid w:val="00B55A08"/>
    <w:rsid w:val="00B5638A"/>
    <w:rsid w:val="00B56A53"/>
    <w:rsid w:val="00B577D9"/>
    <w:rsid w:val="00B57992"/>
    <w:rsid w:val="00B57AED"/>
    <w:rsid w:val="00B60420"/>
    <w:rsid w:val="00B60EA5"/>
    <w:rsid w:val="00B61E04"/>
    <w:rsid w:val="00B62165"/>
    <w:rsid w:val="00B63729"/>
    <w:rsid w:val="00B64339"/>
    <w:rsid w:val="00B64638"/>
    <w:rsid w:val="00B64E24"/>
    <w:rsid w:val="00B65027"/>
    <w:rsid w:val="00B65206"/>
    <w:rsid w:val="00B652AB"/>
    <w:rsid w:val="00B657CB"/>
    <w:rsid w:val="00B65F00"/>
    <w:rsid w:val="00B663A0"/>
    <w:rsid w:val="00B66452"/>
    <w:rsid w:val="00B66CC7"/>
    <w:rsid w:val="00B67187"/>
    <w:rsid w:val="00B674BC"/>
    <w:rsid w:val="00B676AC"/>
    <w:rsid w:val="00B67FD7"/>
    <w:rsid w:val="00B704D8"/>
    <w:rsid w:val="00B7088F"/>
    <w:rsid w:val="00B71827"/>
    <w:rsid w:val="00B7196B"/>
    <w:rsid w:val="00B729AC"/>
    <w:rsid w:val="00B72A8D"/>
    <w:rsid w:val="00B72D29"/>
    <w:rsid w:val="00B72E4B"/>
    <w:rsid w:val="00B73AC2"/>
    <w:rsid w:val="00B73E09"/>
    <w:rsid w:val="00B74D87"/>
    <w:rsid w:val="00B75358"/>
    <w:rsid w:val="00B7560D"/>
    <w:rsid w:val="00B75A44"/>
    <w:rsid w:val="00B76895"/>
    <w:rsid w:val="00B770E5"/>
    <w:rsid w:val="00B77773"/>
    <w:rsid w:val="00B77E6A"/>
    <w:rsid w:val="00B8070B"/>
    <w:rsid w:val="00B80B66"/>
    <w:rsid w:val="00B81737"/>
    <w:rsid w:val="00B81AEA"/>
    <w:rsid w:val="00B83569"/>
    <w:rsid w:val="00B8439C"/>
    <w:rsid w:val="00B84BE2"/>
    <w:rsid w:val="00B84E5E"/>
    <w:rsid w:val="00B8503F"/>
    <w:rsid w:val="00B85272"/>
    <w:rsid w:val="00B85993"/>
    <w:rsid w:val="00B85E2A"/>
    <w:rsid w:val="00B85E81"/>
    <w:rsid w:val="00B860B2"/>
    <w:rsid w:val="00B86104"/>
    <w:rsid w:val="00B867D2"/>
    <w:rsid w:val="00B86C7E"/>
    <w:rsid w:val="00B8707C"/>
    <w:rsid w:val="00B870D8"/>
    <w:rsid w:val="00B87109"/>
    <w:rsid w:val="00B8719C"/>
    <w:rsid w:val="00B87830"/>
    <w:rsid w:val="00B8790C"/>
    <w:rsid w:val="00B87EEB"/>
    <w:rsid w:val="00B90434"/>
    <w:rsid w:val="00B90691"/>
    <w:rsid w:val="00B90729"/>
    <w:rsid w:val="00B914C6"/>
    <w:rsid w:val="00B93208"/>
    <w:rsid w:val="00B93933"/>
    <w:rsid w:val="00B93A81"/>
    <w:rsid w:val="00B948BB"/>
    <w:rsid w:val="00B94FDC"/>
    <w:rsid w:val="00B94FEA"/>
    <w:rsid w:val="00B95604"/>
    <w:rsid w:val="00B956FF"/>
    <w:rsid w:val="00B961C3"/>
    <w:rsid w:val="00B97087"/>
    <w:rsid w:val="00B9764B"/>
    <w:rsid w:val="00B978F5"/>
    <w:rsid w:val="00B9799A"/>
    <w:rsid w:val="00B97ED3"/>
    <w:rsid w:val="00BA0392"/>
    <w:rsid w:val="00BA040F"/>
    <w:rsid w:val="00BA0C94"/>
    <w:rsid w:val="00BA0D61"/>
    <w:rsid w:val="00BA0E1C"/>
    <w:rsid w:val="00BA1192"/>
    <w:rsid w:val="00BA11F2"/>
    <w:rsid w:val="00BA171D"/>
    <w:rsid w:val="00BA1A2B"/>
    <w:rsid w:val="00BA1BA5"/>
    <w:rsid w:val="00BA22A1"/>
    <w:rsid w:val="00BA3626"/>
    <w:rsid w:val="00BA45DE"/>
    <w:rsid w:val="00BA5465"/>
    <w:rsid w:val="00BA5496"/>
    <w:rsid w:val="00BA558F"/>
    <w:rsid w:val="00BA6FA6"/>
    <w:rsid w:val="00BA77ED"/>
    <w:rsid w:val="00BA7985"/>
    <w:rsid w:val="00BA7C2F"/>
    <w:rsid w:val="00BB102D"/>
    <w:rsid w:val="00BB173F"/>
    <w:rsid w:val="00BB2296"/>
    <w:rsid w:val="00BB273C"/>
    <w:rsid w:val="00BB40C4"/>
    <w:rsid w:val="00BB4372"/>
    <w:rsid w:val="00BB4A0B"/>
    <w:rsid w:val="00BB4CBA"/>
    <w:rsid w:val="00BB4D5D"/>
    <w:rsid w:val="00BB4E05"/>
    <w:rsid w:val="00BB5204"/>
    <w:rsid w:val="00BB54AC"/>
    <w:rsid w:val="00BB5794"/>
    <w:rsid w:val="00BB5DC2"/>
    <w:rsid w:val="00BB67A6"/>
    <w:rsid w:val="00BB745C"/>
    <w:rsid w:val="00BB78CB"/>
    <w:rsid w:val="00BC008F"/>
    <w:rsid w:val="00BC091F"/>
    <w:rsid w:val="00BC1D98"/>
    <w:rsid w:val="00BC1F2C"/>
    <w:rsid w:val="00BC2612"/>
    <w:rsid w:val="00BC28C3"/>
    <w:rsid w:val="00BC2D94"/>
    <w:rsid w:val="00BC355B"/>
    <w:rsid w:val="00BC3928"/>
    <w:rsid w:val="00BC3A8D"/>
    <w:rsid w:val="00BC415C"/>
    <w:rsid w:val="00BC42B5"/>
    <w:rsid w:val="00BC42C6"/>
    <w:rsid w:val="00BC42D5"/>
    <w:rsid w:val="00BC4DD0"/>
    <w:rsid w:val="00BC543D"/>
    <w:rsid w:val="00BC6979"/>
    <w:rsid w:val="00BC6C17"/>
    <w:rsid w:val="00BD079B"/>
    <w:rsid w:val="00BD0E96"/>
    <w:rsid w:val="00BD1671"/>
    <w:rsid w:val="00BD21CB"/>
    <w:rsid w:val="00BD256A"/>
    <w:rsid w:val="00BD279B"/>
    <w:rsid w:val="00BD30F3"/>
    <w:rsid w:val="00BD34B7"/>
    <w:rsid w:val="00BD360D"/>
    <w:rsid w:val="00BD3683"/>
    <w:rsid w:val="00BD3A0A"/>
    <w:rsid w:val="00BD3D60"/>
    <w:rsid w:val="00BD408E"/>
    <w:rsid w:val="00BD4D4F"/>
    <w:rsid w:val="00BD51C4"/>
    <w:rsid w:val="00BD5837"/>
    <w:rsid w:val="00BD6BF9"/>
    <w:rsid w:val="00BD7046"/>
    <w:rsid w:val="00BD7349"/>
    <w:rsid w:val="00BD760C"/>
    <w:rsid w:val="00BE00FA"/>
    <w:rsid w:val="00BE0920"/>
    <w:rsid w:val="00BE09D9"/>
    <w:rsid w:val="00BE1CAB"/>
    <w:rsid w:val="00BE27B7"/>
    <w:rsid w:val="00BE32B8"/>
    <w:rsid w:val="00BE37A9"/>
    <w:rsid w:val="00BE392B"/>
    <w:rsid w:val="00BE5764"/>
    <w:rsid w:val="00BE58AF"/>
    <w:rsid w:val="00BE5C1F"/>
    <w:rsid w:val="00BE5EF3"/>
    <w:rsid w:val="00BE6185"/>
    <w:rsid w:val="00BE67E8"/>
    <w:rsid w:val="00BE6825"/>
    <w:rsid w:val="00BE71F9"/>
    <w:rsid w:val="00BE7B93"/>
    <w:rsid w:val="00BE7CBD"/>
    <w:rsid w:val="00BE7DB9"/>
    <w:rsid w:val="00BE7DF2"/>
    <w:rsid w:val="00BF0955"/>
    <w:rsid w:val="00BF0F7A"/>
    <w:rsid w:val="00BF0FC5"/>
    <w:rsid w:val="00BF16E6"/>
    <w:rsid w:val="00BF1F27"/>
    <w:rsid w:val="00BF1F35"/>
    <w:rsid w:val="00BF2CEA"/>
    <w:rsid w:val="00BF3363"/>
    <w:rsid w:val="00BF387F"/>
    <w:rsid w:val="00BF3CC9"/>
    <w:rsid w:val="00BF3F1A"/>
    <w:rsid w:val="00BF4186"/>
    <w:rsid w:val="00BF4724"/>
    <w:rsid w:val="00BF4B89"/>
    <w:rsid w:val="00BF4FB4"/>
    <w:rsid w:val="00BF5135"/>
    <w:rsid w:val="00BF51D7"/>
    <w:rsid w:val="00BF5799"/>
    <w:rsid w:val="00BF59A8"/>
    <w:rsid w:val="00BF5D94"/>
    <w:rsid w:val="00BF62C5"/>
    <w:rsid w:val="00BF6926"/>
    <w:rsid w:val="00BF6A8D"/>
    <w:rsid w:val="00BF73BE"/>
    <w:rsid w:val="00BF7A6C"/>
    <w:rsid w:val="00BF7EAC"/>
    <w:rsid w:val="00BF7FB0"/>
    <w:rsid w:val="00C00C73"/>
    <w:rsid w:val="00C0193C"/>
    <w:rsid w:val="00C0233F"/>
    <w:rsid w:val="00C0243B"/>
    <w:rsid w:val="00C025BE"/>
    <w:rsid w:val="00C025DE"/>
    <w:rsid w:val="00C02CC3"/>
    <w:rsid w:val="00C02EAC"/>
    <w:rsid w:val="00C0373E"/>
    <w:rsid w:val="00C0421C"/>
    <w:rsid w:val="00C0485A"/>
    <w:rsid w:val="00C04AB4"/>
    <w:rsid w:val="00C05993"/>
    <w:rsid w:val="00C06219"/>
    <w:rsid w:val="00C06483"/>
    <w:rsid w:val="00C06C57"/>
    <w:rsid w:val="00C06CAC"/>
    <w:rsid w:val="00C07BC6"/>
    <w:rsid w:val="00C07EF0"/>
    <w:rsid w:val="00C100B8"/>
    <w:rsid w:val="00C1095F"/>
    <w:rsid w:val="00C10C85"/>
    <w:rsid w:val="00C11BD7"/>
    <w:rsid w:val="00C11C5D"/>
    <w:rsid w:val="00C11E26"/>
    <w:rsid w:val="00C122C2"/>
    <w:rsid w:val="00C12BA5"/>
    <w:rsid w:val="00C1310F"/>
    <w:rsid w:val="00C133F1"/>
    <w:rsid w:val="00C13619"/>
    <w:rsid w:val="00C13E7E"/>
    <w:rsid w:val="00C14106"/>
    <w:rsid w:val="00C146EB"/>
    <w:rsid w:val="00C14CC8"/>
    <w:rsid w:val="00C157B8"/>
    <w:rsid w:val="00C15DA7"/>
    <w:rsid w:val="00C15F5D"/>
    <w:rsid w:val="00C161D2"/>
    <w:rsid w:val="00C169D7"/>
    <w:rsid w:val="00C17B68"/>
    <w:rsid w:val="00C17D52"/>
    <w:rsid w:val="00C20260"/>
    <w:rsid w:val="00C202BA"/>
    <w:rsid w:val="00C20F4A"/>
    <w:rsid w:val="00C21923"/>
    <w:rsid w:val="00C219DC"/>
    <w:rsid w:val="00C21E58"/>
    <w:rsid w:val="00C220A0"/>
    <w:rsid w:val="00C229EA"/>
    <w:rsid w:val="00C22D60"/>
    <w:rsid w:val="00C24E08"/>
    <w:rsid w:val="00C25D4D"/>
    <w:rsid w:val="00C274E4"/>
    <w:rsid w:val="00C27835"/>
    <w:rsid w:val="00C30D4C"/>
    <w:rsid w:val="00C30D8F"/>
    <w:rsid w:val="00C31448"/>
    <w:rsid w:val="00C31D86"/>
    <w:rsid w:val="00C326AA"/>
    <w:rsid w:val="00C32B0E"/>
    <w:rsid w:val="00C32E45"/>
    <w:rsid w:val="00C3427E"/>
    <w:rsid w:val="00C3453F"/>
    <w:rsid w:val="00C34C52"/>
    <w:rsid w:val="00C35A1F"/>
    <w:rsid w:val="00C35B95"/>
    <w:rsid w:val="00C361BD"/>
    <w:rsid w:val="00C36F0A"/>
    <w:rsid w:val="00C37722"/>
    <w:rsid w:val="00C37868"/>
    <w:rsid w:val="00C37B3F"/>
    <w:rsid w:val="00C37B44"/>
    <w:rsid w:val="00C37D9B"/>
    <w:rsid w:val="00C4018D"/>
    <w:rsid w:val="00C4082E"/>
    <w:rsid w:val="00C4117C"/>
    <w:rsid w:val="00C41397"/>
    <w:rsid w:val="00C417E2"/>
    <w:rsid w:val="00C428D3"/>
    <w:rsid w:val="00C42AA5"/>
    <w:rsid w:val="00C43A0F"/>
    <w:rsid w:val="00C43C6E"/>
    <w:rsid w:val="00C43DD0"/>
    <w:rsid w:val="00C43EEA"/>
    <w:rsid w:val="00C440BF"/>
    <w:rsid w:val="00C44598"/>
    <w:rsid w:val="00C44DB0"/>
    <w:rsid w:val="00C452D6"/>
    <w:rsid w:val="00C46CD4"/>
    <w:rsid w:val="00C46E83"/>
    <w:rsid w:val="00C47191"/>
    <w:rsid w:val="00C47C39"/>
    <w:rsid w:val="00C47CAC"/>
    <w:rsid w:val="00C47FF7"/>
    <w:rsid w:val="00C507C6"/>
    <w:rsid w:val="00C508BB"/>
    <w:rsid w:val="00C50910"/>
    <w:rsid w:val="00C513CC"/>
    <w:rsid w:val="00C513CD"/>
    <w:rsid w:val="00C515F4"/>
    <w:rsid w:val="00C51DC5"/>
    <w:rsid w:val="00C521B3"/>
    <w:rsid w:val="00C52563"/>
    <w:rsid w:val="00C528A2"/>
    <w:rsid w:val="00C528AC"/>
    <w:rsid w:val="00C52942"/>
    <w:rsid w:val="00C52D6C"/>
    <w:rsid w:val="00C53194"/>
    <w:rsid w:val="00C53595"/>
    <w:rsid w:val="00C53AE0"/>
    <w:rsid w:val="00C552AD"/>
    <w:rsid w:val="00C55508"/>
    <w:rsid w:val="00C55AA5"/>
    <w:rsid w:val="00C55AE7"/>
    <w:rsid w:val="00C55CA5"/>
    <w:rsid w:val="00C56B84"/>
    <w:rsid w:val="00C5748A"/>
    <w:rsid w:val="00C578B5"/>
    <w:rsid w:val="00C5796B"/>
    <w:rsid w:val="00C60184"/>
    <w:rsid w:val="00C614A3"/>
    <w:rsid w:val="00C61969"/>
    <w:rsid w:val="00C61CEC"/>
    <w:rsid w:val="00C62F58"/>
    <w:rsid w:val="00C63A9C"/>
    <w:rsid w:val="00C64345"/>
    <w:rsid w:val="00C65412"/>
    <w:rsid w:val="00C654C4"/>
    <w:rsid w:val="00C6574B"/>
    <w:rsid w:val="00C65A2E"/>
    <w:rsid w:val="00C66576"/>
    <w:rsid w:val="00C66D07"/>
    <w:rsid w:val="00C67AE1"/>
    <w:rsid w:val="00C67CFC"/>
    <w:rsid w:val="00C70559"/>
    <w:rsid w:val="00C7058B"/>
    <w:rsid w:val="00C71087"/>
    <w:rsid w:val="00C71C49"/>
    <w:rsid w:val="00C71D2F"/>
    <w:rsid w:val="00C71D8B"/>
    <w:rsid w:val="00C740BA"/>
    <w:rsid w:val="00C75174"/>
    <w:rsid w:val="00C7580D"/>
    <w:rsid w:val="00C7590D"/>
    <w:rsid w:val="00C75C88"/>
    <w:rsid w:val="00C765AD"/>
    <w:rsid w:val="00C7688B"/>
    <w:rsid w:val="00C76984"/>
    <w:rsid w:val="00C76A74"/>
    <w:rsid w:val="00C77229"/>
    <w:rsid w:val="00C776CB"/>
    <w:rsid w:val="00C77ABB"/>
    <w:rsid w:val="00C80B2D"/>
    <w:rsid w:val="00C811D8"/>
    <w:rsid w:val="00C8187F"/>
    <w:rsid w:val="00C818C3"/>
    <w:rsid w:val="00C81B00"/>
    <w:rsid w:val="00C8230D"/>
    <w:rsid w:val="00C82D89"/>
    <w:rsid w:val="00C8302A"/>
    <w:rsid w:val="00C83281"/>
    <w:rsid w:val="00C84601"/>
    <w:rsid w:val="00C84751"/>
    <w:rsid w:val="00C85D69"/>
    <w:rsid w:val="00C85DB2"/>
    <w:rsid w:val="00C86000"/>
    <w:rsid w:val="00C8672F"/>
    <w:rsid w:val="00C86873"/>
    <w:rsid w:val="00C87BDC"/>
    <w:rsid w:val="00C87E29"/>
    <w:rsid w:val="00C87EAA"/>
    <w:rsid w:val="00C90F66"/>
    <w:rsid w:val="00C9178D"/>
    <w:rsid w:val="00C91A77"/>
    <w:rsid w:val="00C91D4F"/>
    <w:rsid w:val="00C92583"/>
    <w:rsid w:val="00C92B9B"/>
    <w:rsid w:val="00C934DF"/>
    <w:rsid w:val="00C93A9F"/>
    <w:rsid w:val="00C93B45"/>
    <w:rsid w:val="00C93D48"/>
    <w:rsid w:val="00C9490D"/>
    <w:rsid w:val="00C94EE4"/>
    <w:rsid w:val="00C95883"/>
    <w:rsid w:val="00C9663C"/>
    <w:rsid w:val="00C96EBF"/>
    <w:rsid w:val="00C97203"/>
    <w:rsid w:val="00C972EB"/>
    <w:rsid w:val="00CA0719"/>
    <w:rsid w:val="00CA0D56"/>
    <w:rsid w:val="00CA1479"/>
    <w:rsid w:val="00CA1C95"/>
    <w:rsid w:val="00CA1D3D"/>
    <w:rsid w:val="00CA25FA"/>
    <w:rsid w:val="00CA3B03"/>
    <w:rsid w:val="00CA3EE5"/>
    <w:rsid w:val="00CA3EFA"/>
    <w:rsid w:val="00CA4589"/>
    <w:rsid w:val="00CA4847"/>
    <w:rsid w:val="00CA500B"/>
    <w:rsid w:val="00CA5D19"/>
    <w:rsid w:val="00CA72B0"/>
    <w:rsid w:val="00CB05B4"/>
    <w:rsid w:val="00CB1B12"/>
    <w:rsid w:val="00CB1FF0"/>
    <w:rsid w:val="00CB3884"/>
    <w:rsid w:val="00CB3AF0"/>
    <w:rsid w:val="00CB3CD2"/>
    <w:rsid w:val="00CB43BB"/>
    <w:rsid w:val="00CB4B02"/>
    <w:rsid w:val="00CB5329"/>
    <w:rsid w:val="00CB5648"/>
    <w:rsid w:val="00CB74C5"/>
    <w:rsid w:val="00CB7747"/>
    <w:rsid w:val="00CB7C18"/>
    <w:rsid w:val="00CC06E0"/>
    <w:rsid w:val="00CC1005"/>
    <w:rsid w:val="00CC252C"/>
    <w:rsid w:val="00CC274B"/>
    <w:rsid w:val="00CC2AF1"/>
    <w:rsid w:val="00CC324C"/>
    <w:rsid w:val="00CC3456"/>
    <w:rsid w:val="00CC3524"/>
    <w:rsid w:val="00CC37B3"/>
    <w:rsid w:val="00CC4013"/>
    <w:rsid w:val="00CC48B6"/>
    <w:rsid w:val="00CC5F65"/>
    <w:rsid w:val="00CC6252"/>
    <w:rsid w:val="00CC636A"/>
    <w:rsid w:val="00CC6CA9"/>
    <w:rsid w:val="00CC749D"/>
    <w:rsid w:val="00CC7951"/>
    <w:rsid w:val="00CC7999"/>
    <w:rsid w:val="00CD0934"/>
    <w:rsid w:val="00CD0F87"/>
    <w:rsid w:val="00CD1349"/>
    <w:rsid w:val="00CD1939"/>
    <w:rsid w:val="00CD1D9B"/>
    <w:rsid w:val="00CD2224"/>
    <w:rsid w:val="00CD2C0D"/>
    <w:rsid w:val="00CD305D"/>
    <w:rsid w:val="00CD41C1"/>
    <w:rsid w:val="00CD46BF"/>
    <w:rsid w:val="00CD49A2"/>
    <w:rsid w:val="00CD565F"/>
    <w:rsid w:val="00CD5F4A"/>
    <w:rsid w:val="00CD5F96"/>
    <w:rsid w:val="00CD6D6D"/>
    <w:rsid w:val="00CD7015"/>
    <w:rsid w:val="00CD7018"/>
    <w:rsid w:val="00CD72E8"/>
    <w:rsid w:val="00CD7503"/>
    <w:rsid w:val="00CE00D2"/>
    <w:rsid w:val="00CE0A4C"/>
    <w:rsid w:val="00CE0D85"/>
    <w:rsid w:val="00CE1558"/>
    <w:rsid w:val="00CE1A90"/>
    <w:rsid w:val="00CE1CD7"/>
    <w:rsid w:val="00CE1DCD"/>
    <w:rsid w:val="00CE2C97"/>
    <w:rsid w:val="00CE2C9D"/>
    <w:rsid w:val="00CE3271"/>
    <w:rsid w:val="00CE3A50"/>
    <w:rsid w:val="00CE3D38"/>
    <w:rsid w:val="00CE457B"/>
    <w:rsid w:val="00CE4A72"/>
    <w:rsid w:val="00CE4EE1"/>
    <w:rsid w:val="00CE5475"/>
    <w:rsid w:val="00CE54C2"/>
    <w:rsid w:val="00CE5CEB"/>
    <w:rsid w:val="00CE6113"/>
    <w:rsid w:val="00CE690C"/>
    <w:rsid w:val="00CE7314"/>
    <w:rsid w:val="00CE743D"/>
    <w:rsid w:val="00CE7773"/>
    <w:rsid w:val="00CF01A0"/>
    <w:rsid w:val="00CF0DDA"/>
    <w:rsid w:val="00CF12F0"/>
    <w:rsid w:val="00CF1341"/>
    <w:rsid w:val="00CF1541"/>
    <w:rsid w:val="00CF16B1"/>
    <w:rsid w:val="00CF1979"/>
    <w:rsid w:val="00CF1D83"/>
    <w:rsid w:val="00CF238A"/>
    <w:rsid w:val="00CF23BB"/>
    <w:rsid w:val="00CF3CAE"/>
    <w:rsid w:val="00CF3D39"/>
    <w:rsid w:val="00CF42CF"/>
    <w:rsid w:val="00CF4410"/>
    <w:rsid w:val="00CF4C6D"/>
    <w:rsid w:val="00CF5135"/>
    <w:rsid w:val="00CF568C"/>
    <w:rsid w:val="00CF5CE1"/>
    <w:rsid w:val="00CF5F83"/>
    <w:rsid w:val="00CF6069"/>
    <w:rsid w:val="00CF6A5E"/>
    <w:rsid w:val="00CF7202"/>
    <w:rsid w:val="00D003E3"/>
    <w:rsid w:val="00D00657"/>
    <w:rsid w:val="00D0088C"/>
    <w:rsid w:val="00D008CA"/>
    <w:rsid w:val="00D00C15"/>
    <w:rsid w:val="00D01EE6"/>
    <w:rsid w:val="00D01FC6"/>
    <w:rsid w:val="00D02707"/>
    <w:rsid w:val="00D028F3"/>
    <w:rsid w:val="00D02BDC"/>
    <w:rsid w:val="00D032E6"/>
    <w:rsid w:val="00D03646"/>
    <w:rsid w:val="00D03DB8"/>
    <w:rsid w:val="00D03E33"/>
    <w:rsid w:val="00D04182"/>
    <w:rsid w:val="00D04213"/>
    <w:rsid w:val="00D04765"/>
    <w:rsid w:val="00D04C9B"/>
    <w:rsid w:val="00D05088"/>
    <w:rsid w:val="00D0633C"/>
    <w:rsid w:val="00D06F39"/>
    <w:rsid w:val="00D0721D"/>
    <w:rsid w:val="00D07312"/>
    <w:rsid w:val="00D07A43"/>
    <w:rsid w:val="00D07B63"/>
    <w:rsid w:val="00D101BA"/>
    <w:rsid w:val="00D10377"/>
    <w:rsid w:val="00D109B6"/>
    <w:rsid w:val="00D10BE9"/>
    <w:rsid w:val="00D10E43"/>
    <w:rsid w:val="00D10F9C"/>
    <w:rsid w:val="00D12656"/>
    <w:rsid w:val="00D12CA3"/>
    <w:rsid w:val="00D13663"/>
    <w:rsid w:val="00D1397F"/>
    <w:rsid w:val="00D13E0A"/>
    <w:rsid w:val="00D13F81"/>
    <w:rsid w:val="00D13F99"/>
    <w:rsid w:val="00D14310"/>
    <w:rsid w:val="00D14AFF"/>
    <w:rsid w:val="00D14ED0"/>
    <w:rsid w:val="00D15286"/>
    <w:rsid w:val="00D1620D"/>
    <w:rsid w:val="00D162FE"/>
    <w:rsid w:val="00D16E6D"/>
    <w:rsid w:val="00D214AE"/>
    <w:rsid w:val="00D21D69"/>
    <w:rsid w:val="00D21E91"/>
    <w:rsid w:val="00D223AE"/>
    <w:rsid w:val="00D230F7"/>
    <w:rsid w:val="00D23129"/>
    <w:rsid w:val="00D24067"/>
    <w:rsid w:val="00D242D2"/>
    <w:rsid w:val="00D24BE5"/>
    <w:rsid w:val="00D251DD"/>
    <w:rsid w:val="00D25303"/>
    <w:rsid w:val="00D255C1"/>
    <w:rsid w:val="00D25847"/>
    <w:rsid w:val="00D26209"/>
    <w:rsid w:val="00D26A6D"/>
    <w:rsid w:val="00D27335"/>
    <w:rsid w:val="00D276C1"/>
    <w:rsid w:val="00D27733"/>
    <w:rsid w:val="00D2793B"/>
    <w:rsid w:val="00D27FCA"/>
    <w:rsid w:val="00D31256"/>
    <w:rsid w:val="00D31AFF"/>
    <w:rsid w:val="00D31D40"/>
    <w:rsid w:val="00D31DD9"/>
    <w:rsid w:val="00D31F3D"/>
    <w:rsid w:val="00D32B16"/>
    <w:rsid w:val="00D334C5"/>
    <w:rsid w:val="00D33528"/>
    <w:rsid w:val="00D33897"/>
    <w:rsid w:val="00D33B0A"/>
    <w:rsid w:val="00D33DB1"/>
    <w:rsid w:val="00D34202"/>
    <w:rsid w:val="00D34B57"/>
    <w:rsid w:val="00D34F52"/>
    <w:rsid w:val="00D35B44"/>
    <w:rsid w:val="00D35BAF"/>
    <w:rsid w:val="00D360BC"/>
    <w:rsid w:val="00D377A0"/>
    <w:rsid w:val="00D3789B"/>
    <w:rsid w:val="00D37E63"/>
    <w:rsid w:val="00D4020C"/>
    <w:rsid w:val="00D40EBC"/>
    <w:rsid w:val="00D4102E"/>
    <w:rsid w:val="00D43112"/>
    <w:rsid w:val="00D43283"/>
    <w:rsid w:val="00D44A09"/>
    <w:rsid w:val="00D46325"/>
    <w:rsid w:val="00D468A6"/>
    <w:rsid w:val="00D468F2"/>
    <w:rsid w:val="00D46E28"/>
    <w:rsid w:val="00D46EF2"/>
    <w:rsid w:val="00D4753F"/>
    <w:rsid w:val="00D50539"/>
    <w:rsid w:val="00D50888"/>
    <w:rsid w:val="00D50928"/>
    <w:rsid w:val="00D50C09"/>
    <w:rsid w:val="00D5177E"/>
    <w:rsid w:val="00D51B13"/>
    <w:rsid w:val="00D51C3A"/>
    <w:rsid w:val="00D51DA6"/>
    <w:rsid w:val="00D523FF"/>
    <w:rsid w:val="00D5244B"/>
    <w:rsid w:val="00D53170"/>
    <w:rsid w:val="00D53541"/>
    <w:rsid w:val="00D541DE"/>
    <w:rsid w:val="00D54FC7"/>
    <w:rsid w:val="00D555CB"/>
    <w:rsid w:val="00D55680"/>
    <w:rsid w:val="00D5602A"/>
    <w:rsid w:val="00D565D1"/>
    <w:rsid w:val="00D56DE4"/>
    <w:rsid w:val="00D600D4"/>
    <w:rsid w:val="00D607E5"/>
    <w:rsid w:val="00D60A65"/>
    <w:rsid w:val="00D60F73"/>
    <w:rsid w:val="00D61138"/>
    <w:rsid w:val="00D613E4"/>
    <w:rsid w:val="00D615F8"/>
    <w:rsid w:val="00D619C2"/>
    <w:rsid w:val="00D61CCD"/>
    <w:rsid w:val="00D62217"/>
    <w:rsid w:val="00D622DB"/>
    <w:rsid w:val="00D63FB1"/>
    <w:rsid w:val="00D6432D"/>
    <w:rsid w:val="00D64368"/>
    <w:rsid w:val="00D643C6"/>
    <w:rsid w:val="00D64657"/>
    <w:rsid w:val="00D647FE"/>
    <w:rsid w:val="00D648E4"/>
    <w:rsid w:val="00D6499B"/>
    <w:rsid w:val="00D649BD"/>
    <w:rsid w:val="00D64EF3"/>
    <w:rsid w:val="00D6522D"/>
    <w:rsid w:val="00D65855"/>
    <w:rsid w:val="00D65CB5"/>
    <w:rsid w:val="00D6646B"/>
    <w:rsid w:val="00D664DD"/>
    <w:rsid w:val="00D669A6"/>
    <w:rsid w:val="00D6763C"/>
    <w:rsid w:val="00D67649"/>
    <w:rsid w:val="00D67911"/>
    <w:rsid w:val="00D67A54"/>
    <w:rsid w:val="00D67CDB"/>
    <w:rsid w:val="00D71927"/>
    <w:rsid w:val="00D71B60"/>
    <w:rsid w:val="00D71B8C"/>
    <w:rsid w:val="00D71C0C"/>
    <w:rsid w:val="00D73079"/>
    <w:rsid w:val="00D731C1"/>
    <w:rsid w:val="00D74548"/>
    <w:rsid w:val="00D753E7"/>
    <w:rsid w:val="00D75443"/>
    <w:rsid w:val="00D7601F"/>
    <w:rsid w:val="00D76F91"/>
    <w:rsid w:val="00D7712D"/>
    <w:rsid w:val="00D77365"/>
    <w:rsid w:val="00D77C8E"/>
    <w:rsid w:val="00D80728"/>
    <w:rsid w:val="00D818CD"/>
    <w:rsid w:val="00D81909"/>
    <w:rsid w:val="00D819AD"/>
    <w:rsid w:val="00D84211"/>
    <w:rsid w:val="00D847DD"/>
    <w:rsid w:val="00D84B97"/>
    <w:rsid w:val="00D84DB5"/>
    <w:rsid w:val="00D85033"/>
    <w:rsid w:val="00D850E3"/>
    <w:rsid w:val="00D863DE"/>
    <w:rsid w:val="00D86FC8"/>
    <w:rsid w:val="00D877BD"/>
    <w:rsid w:val="00D8783D"/>
    <w:rsid w:val="00D90012"/>
    <w:rsid w:val="00D9098F"/>
    <w:rsid w:val="00D90D9E"/>
    <w:rsid w:val="00D90F8C"/>
    <w:rsid w:val="00D91162"/>
    <w:rsid w:val="00D919BC"/>
    <w:rsid w:val="00D92496"/>
    <w:rsid w:val="00D924EB"/>
    <w:rsid w:val="00D925B7"/>
    <w:rsid w:val="00D92ACB"/>
    <w:rsid w:val="00D93328"/>
    <w:rsid w:val="00D93451"/>
    <w:rsid w:val="00D93524"/>
    <w:rsid w:val="00D93805"/>
    <w:rsid w:val="00D93C88"/>
    <w:rsid w:val="00D93D4D"/>
    <w:rsid w:val="00D947E4"/>
    <w:rsid w:val="00D94C23"/>
    <w:rsid w:val="00D94F10"/>
    <w:rsid w:val="00D95327"/>
    <w:rsid w:val="00D95399"/>
    <w:rsid w:val="00D95831"/>
    <w:rsid w:val="00D97058"/>
    <w:rsid w:val="00D9739D"/>
    <w:rsid w:val="00D97919"/>
    <w:rsid w:val="00D97FF5"/>
    <w:rsid w:val="00DA020A"/>
    <w:rsid w:val="00DA08A6"/>
    <w:rsid w:val="00DA1317"/>
    <w:rsid w:val="00DA1B9B"/>
    <w:rsid w:val="00DA1E2A"/>
    <w:rsid w:val="00DA1E68"/>
    <w:rsid w:val="00DA1E9D"/>
    <w:rsid w:val="00DA2A85"/>
    <w:rsid w:val="00DA307F"/>
    <w:rsid w:val="00DA326A"/>
    <w:rsid w:val="00DA3E82"/>
    <w:rsid w:val="00DA3ED1"/>
    <w:rsid w:val="00DA4046"/>
    <w:rsid w:val="00DA4108"/>
    <w:rsid w:val="00DA5192"/>
    <w:rsid w:val="00DA6F85"/>
    <w:rsid w:val="00DA77F5"/>
    <w:rsid w:val="00DB0382"/>
    <w:rsid w:val="00DB05EB"/>
    <w:rsid w:val="00DB064E"/>
    <w:rsid w:val="00DB06C8"/>
    <w:rsid w:val="00DB0C40"/>
    <w:rsid w:val="00DB0E4B"/>
    <w:rsid w:val="00DB18EC"/>
    <w:rsid w:val="00DB1D9F"/>
    <w:rsid w:val="00DB1F57"/>
    <w:rsid w:val="00DB2359"/>
    <w:rsid w:val="00DB2985"/>
    <w:rsid w:val="00DB3540"/>
    <w:rsid w:val="00DB4894"/>
    <w:rsid w:val="00DB4A0A"/>
    <w:rsid w:val="00DB4E1C"/>
    <w:rsid w:val="00DB50D9"/>
    <w:rsid w:val="00DB5428"/>
    <w:rsid w:val="00DB569E"/>
    <w:rsid w:val="00DB5D8E"/>
    <w:rsid w:val="00DB671A"/>
    <w:rsid w:val="00DB69D6"/>
    <w:rsid w:val="00DB6AC7"/>
    <w:rsid w:val="00DB6B97"/>
    <w:rsid w:val="00DB6D2A"/>
    <w:rsid w:val="00DB739B"/>
    <w:rsid w:val="00DB75B2"/>
    <w:rsid w:val="00DB77D1"/>
    <w:rsid w:val="00DB7A46"/>
    <w:rsid w:val="00DC0697"/>
    <w:rsid w:val="00DC06E1"/>
    <w:rsid w:val="00DC06FB"/>
    <w:rsid w:val="00DC0A1E"/>
    <w:rsid w:val="00DC0E64"/>
    <w:rsid w:val="00DC178D"/>
    <w:rsid w:val="00DC265D"/>
    <w:rsid w:val="00DC26D5"/>
    <w:rsid w:val="00DC271B"/>
    <w:rsid w:val="00DC2756"/>
    <w:rsid w:val="00DC2E05"/>
    <w:rsid w:val="00DC2FD9"/>
    <w:rsid w:val="00DC35EF"/>
    <w:rsid w:val="00DC422D"/>
    <w:rsid w:val="00DC47BE"/>
    <w:rsid w:val="00DC47D1"/>
    <w:rsid w:val="00DC4C17"/>
    <w:rsid w:val="00DC5369"/>
    <w:rsid w:val="00DC539D"/>
    <w:rsid w:val="00DC5439"/>
    <w:rsid w:val="00DC5D45"/>
    <w:rsid w:val="00DC5DAE"/>
    <w:rsid w:val="00DC5DC6"/>
    <w:rsid w:val="00DC5ECD"/>
    <w:rsid w:val="00DC66B6"/>
    <w:rsid w:val="00DC681C"/>
    <w:rsid w:val="00DC72AB"/>
    <w:rsid w:val="00DD01AA"/>
    <w:rsid w:val="00DD07A7"/>
    <w:rsid w:val="00DD0931"/>
    <w:rsid w:val="00DD0D2D"/>
    <w:rsid w:val="00DD1202"/>
    <w:rsid w:val="00DD1B87"/>
    <w:rsid w:val="00DD1D12"/>
    <w:rsid w:val="00DD1E85"/>
    <w:rsid w:val="00DD20BC"/>
    <w:rsid w:val="00DD2530"/>
    <w:rsid w:val="00DD29C4"/>
    <w:rsid w:val="00DD2B61"/>
    <w:rsid w:val="00DD320C"/>
    <w:rsid w:val="00DD3B80"/>
    <w:rsid w:val="00DD44D1"/>
    <w:rsid w:val="00DD47A8"/>
    <w:rsid w:val="00DD4FAA"/>
    <w:rsid w:val="00DD52A1"/>
    <w:rsid w:val="00DD56D1"/>
    <w:rsid w:val="00DD5A38"/>
    <w:rsid w:val="00DD5F06"/>
    <w:rsid w:val="00DD6526"/>
    <w:rsid w:val="00DD685A"/>
    <w:rsid w:val="00DE008B"/>
    <w:rsid w:val="00DE0468"/>
    <w:rsid w:val="00DE0AA9"/>
    <w:rsid w:val="00DE0ACD"/>
    <w:rsid w:val="00DE0EA5"/>
    <w:rsid w:val="00DE1032"/>
    <w:rsid w:val="00DE1364"/>
    <w:rsid w:val="00DE193B"/>
    <w:rsid w:val="00DE1B1C"/>
    <w:rsid w:val="00DE1F0E"/>
    <w:rsid w:val="00DE23CC"/>
    <w:rsid w:val="00DE3734"/>
    <w:rsid w:val="00DE447C"/>
    <w:rsid w:val="00DE45B0"/>
    <w:rsid w:val="00DE530E"/>
    <w:rsid w:val="00DE539E"/>
    <w:rsid w:val="00DE5E00"/>
    <w:rsid w:val="00DE6E39"/>
    <w:rsid w:val="00DE7101"/>
    <w:rsid w:val="00DE7156"/>
    <w:rsid w:val="00DE7B54"/>
    <w:rsid w:val="00DF0F0B"/>
    <w:rsid w:val="00DF15D7"/>
    <w:rsid w:val="00DF1D59"/>
    <w:rsid w:val="00DF24D2"/>
    <w:rsid w:val="00DF25EE"/>
    <w:rsid w:val="00DF2B72"/>
    <w:rsid w:val="00DF2DA2"/>
    <w:rsid w:val="00DF2FB4"/>
    <w:rsid w:val="00DF352F"/>
    <w:rsid w:val="00DF3BDE"/>
    <w:rsid w:val="00DF45B5"/>
    <w:rsid w:val="00DF4646"/>
    <w:rsid w:val="00DF47B8"/>
    <w:rsid w:val="00DF4DF6"/>
    <w:rsid w:val="00DF5265"/>
    <w:rsid w:val="00DF59BA"/>
    <w:rsid w:val="00DF5B39"/>
    <w:rsid w:val="00DF6059"/>
    <w:rsid w:val="00DF6A4C"/>
    <w:rsid w:val="00DF6FE5"/>
    <w:rsid w:val="00DF713B"/>
    <w:rsid w:val="00DF7899"/>
    <w:rsid w:val="00DF7946"/>
    <w:rsid w:val="00DF7DD0"/>
    <w:rsid w:val="00E00648"/>
    <w:rsid w:val="00E01066"/>
    <w:rsid w:val="00E01222"/>
    <w:rsid w:val="00E015B7"/>
    <w:rsid w:val="00E016A0"/>
    <w:rsid w:val="00E03224"/>
    <w:rsid w:val="00E04801"/>
    <w:rsid w:val="00E04816"/>
    <w:rsid w:val="00E05369"/>
    <w:rsid w:val="00E05FB5"/>
    <w:rsid w:val="00E07109"/>
    <w:rsid w:val="00E07294"/>
    <w:rsid w:val="00E072E6"/>
    <w:rsid w:val="00E0745F"/>
    <w:rsid w:val="00E07AE4"/>
    <w:rsid w:val="00E07D41"/>
    <w:rsid w:val="00E10550"/>
    <w:rsid w:val="00E106B5"/>
    <w:rsid w:val="00E1088D"/>
    <w:rsid w:val="00E10D91"/>
    <w:rsid w:val="00E10DEF"/>
    <w:rsid w:val="00E111FC"/>
    <w:rsid w:val="00E118CD"/>
    <w:rsid w:val="00E11BC4"/>
    <w:rsid w:val="00E11E71"/>
    <w:rsid w:val="00E1212B"/>
    <w:rsid w:val="00E126E3"/>
    <w:rsid w:val="00E12CFA"/>
    <w:rsid w:val="00E13552"/>
    <w:rsid w:val="00E137D1"/>
    <w:rsid w:val="00E137F3"/>
    <w:rsid w:val="00E138DD"/>
    <w:rsid w:val="00E13ED4"/>
    <w:rsid w:val="00E1410F"/>
    <w:rsid w:val="00E14276"/>
    <w:rsid w:val="00E14413"/>
    <w:rsid w:val="00E1447E"/>
    <w:rsid w:val="00E14747"/>
    <w:rsid w:val="00E156F6"/>
    <w:rsid w:val="00E15B48"/>
    <w:rsid w:val="00E15BA7"/>
    <w:rsid w:val="00E15D57"/>
    <w:rsid w:val="00E16434"/>
    <w:rsid w:val="00E16649"/>
    <w:rsid w:val="00E17260"/>
    <w:rsid w:val="00E1730D"/>
    <w:rsid w:val="00E1733E"/>
    <w:rsid w:val="00E17385"/>
    <w:rsid w:val="00E1756A"/>
    <w:rsid w:val="00E17614"/>
    <w:rsid w:val="00E17FC7"/>
    <w:rsid w:val="00E209E9"/>
    <w:rsid w:val="00E21537"/>
    <w:rsid w:val="00E22245"/>
    <w:rsid w:val="00E23319"/>
    <w:rsid w:val="00E24F64"/>
    <w:rsid w:val="00E255D8"/>
    <w:rsid w:val="00E257C6"/>
    <w:rsid w:val="00E260FC"/>
    <w:rsid w:val="00E268FD"/>
    <w:rsid w:val="00E26CF0"/>
    <w:rsid w:val="00E27618"/>
    <w:rsid w:val="00E3092D"/>
    <w:rsid w:val="00E3174B"/>
    <w:rsid w:val="00E31918"/>
    <w:rsid w:val="00E31AC1"/>
    <w:rsid w:val="00E31E26"/>
    <w:rsid w:val="00E327AB"/>
    <w:rsid w:val="00E32849"/>
    <w:rsid w:val="00E32897"/>
    <w:rsid w:val="00E3359C"/>
    <w:rsid w:val="00E33C6D"/>
    <w:rsid w:val="00E33F1B"/>
    <w:rsid w:val="00E35A1E"/>
    <w:rsid w:val="00E35C56"/>
    <w:rsid w:val="00E3742B"/>
    <w:rsid w:val="00E37A29"/>
    <w:rsid w:val="00E40894"/>
    <w:rsid w:val="00E408E9"/>
    <w:rsid w:val="00E40E24"/>
    <w:rsid w:val="00E41481"/>
    <w:rsid w:val="00E41CB8"/>
    <w:rsid w:val="00E41FA9"/>
    <w:rsid w:val="00E42DB2"/>
    <w:rsid w:val="00E42F1E"/>
    <w:rsid w:val="00E4304D"/>
    <w:rsid w:val="00E43284"/>
    <w:rsid w:val="00E436AC"/>
    <w:rsid w:val="00E43B51"/>
    <w:rsid w:val="00E43B53"/>
    <w:rsid w:val="00E446D5"/>
    <w:rsid w:val="00E46799"/>
    <w:rsid w:val="00E4700F"/>
    <w:rsid w:val="00E47B4D"/>
    <w:rsid w:val="00E50ADD"/>
    <w:rsid w:val="00E51462"/>
    <w:rsid w:val="00E51C4B"/>
    <w:rsid w:val="00E52CA3"/>
    <w:rsid w:val="00E52E1C"/>
    <w:rsid w:val="00E530A5"/>
    <w:rsid w:val="00E5337F"/>
    <w:rsid w:val="00E54799"/>
    <w:rsid w:val="00E54E4D"/>
    <w:rsid w:val="00E55C67"/>
    <w:rsid w:val="00E5637D"/>
    <w:rsid w:val="00E5685E"/>
    <w:rsid w:val="00E56A8F"/>
    <w:rsid w:val="00E56C83"/>
    <w:rsid w:val="00E56E6A"/>
    <w:rsid w:val="00E570F3"/>
    <w:rsid w:val="00E607D6"/>
    <w:rsid w:val="00E60A69"/>
    <w:rsid w:val="00E60B00"/>
    <w:rsid w:val="00E60F02"/>
    <w:rsid w:val="00E61B97"/>
    <w:rsid w:val="00E61F7B"/>
    <w:rsid w:val="00E620C2"/>
    <w:rsid w:val="00E623FE"/>
    <w:rsid w:val="00E632AD"/>
    <w:rsid w:val="00E63E1C"/>
    <w:rsid w:val="00E64586"/>
    <w:rsid w:val="00E648BB"/>
    <w:rsid w:val="00E6526D"/>
    <w:rsid w:val="00E65532"/>
    <w:rsid w:val="00E66008"/>
    <w:rsid w:val="00E662E6"/>
    <w:rsid w:val="00E6640D"/>
    <w:rsid w:val="00E665FB"/>
    <w:rsid w:val="00E66BEA"/>
    <w:rsid w:val="00E66FCC"/>
    <w:rsid w:val="00E67A59"/>
    <w:rsid w:val="00E67E37"/>
    <w:rsid w:val="00E70A90"/>
    <w:rsid w:val="00E70B9A"/>
    <w:rsid w:val="00E70C84"/>
    <w:rsid w:val="00E7289F"/>
    <w:rsid w:val="00E728CB"/>
    <w:rsid w:val="00E72A1F"/>
    <w:rsid w:val="00E72A24"/>
    <w:rsid w:val="00E732E2"/>
    <w:rsid w:val="00E73EB7"/>
    <w:rsid w:val="00E748B3"/>
    <w:rsid w:val="00E74B30"/>
    <w:rsid w:val="00E74B4A"/>
    <w:rsid w:val="00E74F8C"/>
    <w:rsid w:val="00E7515A"/>
    <w:rsid w:val="00E759DB"/>
    <w:rsid w:val="00E76073"/>
    <w:rsid w:val="00E76375"/>
    <w:rsid w:val="00E769E4"/>
    <w:rsid w:val="00E77CB4"/>
    <w:rsid w:val="00E805B8"/>
    <w:rsid w:val="00E80FEB"/>
    <w:rsid w:val="00E81013"/>
    <w:rsid w:val="00E812D9"/>
    <w:rsid w:val="00E81ABC"/>
    <w:rsid w:val="00E81EAD"/>
    <w:rsid w:val="00E8203B"/>
    <w:rsid w:val="00E82041"/>
    <w:rsid w:val="00E82136"/>
    <w:rsid w:val="00E8240B"/>
    <w:rsid w:val="00E8310F"/>
    <w:rsid w:val="00E831CF"/>
    <w:rsid w:val="00E83633"/>
    <w:rsid w:val="00E83CB3"/>
    <w:rsid w:val="00E83E9C"/>
    <w:rsid w:val="00E83F2A"/>
    <w:rsid w:val="00E84169"/>
    <w:rsid w:val="00E843FE"/>
    <w:rsid w:val="00E848B1"/>
    <w:rsid w:val="00E8538B"/>
    <w:rsid w:val="00E854B8"/>
    <w:rsid w:val="00E857A4"/>
    <w:rsid w:val="00E86816"/>
    <w:rsid w:val="00E8762E"/>
    <w:rsid w:val="00E90392"/>
    <w:rsid w:val="00E92B3D"/>
    <w:rsid w:val="00E93035"/>
    <w:rsid w:val="00E9329B"/>
    <w:rsid w:val="00E935EB"/>
    <w:rsid w:val="00E93AA1"/>
    <w:rsid w:val="00E93AB1"/>
    <w:rsid w:val="00E93CA1"/>
    <w:rsid w:val="00E93F44"/>
    <w:rsid w:val="00E93FE5"/>
    <w:rsid w:val="00E94104"/>
    <w:rsid w:val="00E94AED"/>
    <w:rsid w:val="00E958B9"/>
    <w:rsid w:val="00E967BC"/>
    <w:rsid w:val="00E96F3A"/>
    <w:rsid w:val="00EA0045"/>
    <w:rsid w:val="00EA022B"/>
    <w:rsid w:val="00EA0AD4"/>
    <w:rsid w:val="00EA0B2E"/>
    <w:rsid w:val="00EA0B7B"/>
    <w:rsid w:val="00EA20E2"/>
    <w:rsid w:val="00EA2A29"/>
    <w:rsid w:val="00EA2A67"/>
    <w:rsid w:val="00EA35C4"/>
    <w:rsid w:val="00EA36CE"/>
    <w:rsid w:val="00EA3832"/>
    <w:rsid w:val="00EA3910"/>
    <w:rsid w:val="00EA3C5F"/>
    <w:rsid w:val="00EA3CE6"/>
    <w:rsid w:val="00EA3D08"/>
    <w:rsid w:val="00EA406C"/>
    <w:rsid w:val="00EA4D02"/>
    <w:rsid w:val="00EA4D67"/>
    <w:rsid w:val="00EA4FC0"/>
    <w:rsid w:val="00EA5083"/>
    <w:rsid w:val="00EA5176"/>
    <w:rsid w:val="00EA5A1D"/>
    <w:rsid w:val="00EA6488"/>
    <w:rsid w:val="00EA6A1B"/>
    <w:rsid w:val="00EA77D4"/>
    <w:rsid w:val="00EB0003"/>
    <w:rsid w:val="00EB0242"/>
    <w:rsid w:val="00EB0635"/>
    <w:rsid w:val="00EB1578"/>
    <w:rsid w:val="00EB20EF"/>
    <w:rsid w:val="00EB27A9"/>
    <w:rsid w:val="00EB2AB7"/>
    <w:rsid w:val="00EB471D"/>
    <w:rsid w:val="00EB4CEC"/>
    <w:rsid w:val="00EB52C8"/>
    <w:rsid w:val="00EB594A"/>
    <w:rsid w:val="00EB63B4"/>
    <w:rsid w:val="00EB64DE"/>
    <w:rsid w:val="00EB7008"/>
    <w:rsid w:val="00EB7329"/>
    <w:rsid w:val="00EB7539"/>
    <w:rsid w:val="00EB75A6"/>
    <w:rsid w:val="00EB75B4"/>
    <w:rsid w:val="00EB7636"/>
    <w:rsid w:val="00EB7D52"/>
    <w:rsid w:val="00EB7F20"/>
    <w:rsid w:val="00EC03BE"/>
    <w:rsid w:val="00EC0B7F"/>
    <w:rsid w:val="00EC0E83"/>
    <w:rsid w:val="00EC1273"/>
    <w:rsid w:val="00EC292E"/>
    <w:rsid w:val="00EC2C4C"/>
    <w:rsid w:val="00EC2F87"/>
    <w:rsid w:val="00EC3271"/>
    <w:rsid w:val="00EC3678"/>
    <w:rsid w:val="00EC401A"/>
    <w:rsid w:val="00EC43D4"/>
    <w:rsid w:val="00EC4987"/>
    <w:rsid w:val="00EC535E"/>
    <w:rsid w:val="00EC5EA3"/>
    <w:rsid w:val="00EC5EE6"/>
    <w:rsid w:val="00EC69C6"/>
    <w:rsid w:val="00EC6AAE"/>
    <w:rsid w:val="00EC6BD3"/>
    <w:rsid w:val="00EC6F11"/>
    <w:rsid w:val="00ED066A"/>
    <w:rsid w:val="00ED0C50"/>
    <w:rsid w:val="00ED0E8B"/>
    <w:rsid w:val="00ED0F7A"/>
    <w:rsid w:val="00ED30B5"/>
    <w:rsid w:val="00ED3743"/>
    <w:rsid w:val="00ED4F49"/>
    <w:rsid w:val="00ED5991"/>
    <w:rsid w:val="00ED5F5C"/>
    <w:rsid w:val="00ED62A5"/>
    <w:rsid w:val="00ED747E"/>
    <w:rsid w:val="00EE000A"/>
    <w:rsid w:val="00EE1024"/>
    <w:rsid w:val="00EE1B51"/>
    <w:rsid w:val="00EE1C59"/>
    <w:rsid w:val="00EE1FC6"/>
    <w:rsid w:val="00EE2298"/>
    <w:rsid w:val="00EE2BFF"/>
    <w:rsid w:val="00EE3FD0"/>
    <w:rsid w:val="00EE4005"/>
    <w:rsid w:val="00EE411D"/>
    <w:rsid w:val="00EE5219"/>
    <w:rsid w:val="00EE5E16"/>
    <w:rsid w:val="00EE5F5F"/>
    <w:rsid w:val="00EE670A"/>
    <w:rsid w:val="00EE7333"/>
    <w:rsid w:val="00EE734C"/>
    <w:rsid w:val="00EE7491"/>
    <w:rsid w:val="00EE74DD"/>
    <w:rsid w:val="00EE75BB"/>
    <w:rsid w:val="00EE79EC"/>
    <w:rsid w:val="00EE7F2A"/>
    <w:rsid w:val="00EF063A"/>
    <w:rsid w:val="00EF081C"/>
    <w:rsid w:val="00EF0D55"/>
    <w:rsid w:val="00EF110F"/>
    <w:rsid w:val="00EF1470"/>
    <w:rsid w:val="00EF16EB"/>
    <w:rsid w:val="00EF25D0"/>
    <w:rsid w:val="00EF2D47"/>
    <w:rsid w:val="00EF2F03"/>
    <w:rsid w:val="00EF3158"/>
    <w:rsid w:val="00EF31BB"/>
    <w:rsid w:val="00EF426E"/>
    <w:rsid w:val="00EF42D9"/>
    <w:rsid w:val="00EF478A"/>
    <w:rsid w:val="00EF48EC"/>
    <w:rsid w:val="00EF49BE"/>
    <w:rsid w:val="00EF5ED1"/>
    <w:rsid w:val="00EF6915"/>
    <w:rsid w:val="00EF71F4"/>
    <w:rsid w:val="00EF7DA8"/>
    <w:rsid w:val="00F008F3"/>
    <w:rsid w:val="00F015B7"/>
    <w:rsid w:val="00F01C5B"/>
    <w:rsid w:val="00F02820"/>
    <w:rsid w:val="00F033C7"/>
    <w:rsid w:val="00F038FA"/>
    <w:rsid w:val="00F03FE3"/>
    <w:rsid w:val="00F04353"/>
    <w:rsid w:val="00F046B2"/>
    <w:rsid w:val="00F04D7D"/>
    <w:rsid w:val="00F057BA"/>
    <w:rsid w:val="00F06DDB"/>
    <w:rsid w:val="00F06F0D"/>
    <w:rsid w:val="00F06F41"/>
    <w:rsid w:val="00F072CA"/>
    <w:rsid w:val="00F0791A"/>
    <w:rsid w:val="00F07974"/>
    <w:rsid w:val="00F07B4E"/>
    <w:rsid w:val="00F07EE4"/>
    <w:rsid w:val="00F101E1"/>
    <w:rsid w:val="00F110CB"/>
    <w:rsid w:val="00F11141"/>
    <w:rsid w:val="00F121BD"/>
    <w:rsid w:val="00F121DD"/>
    <w:rsid w:val="00F12204"/>
    <w:rsid w:val="00F12228"/>
    <w:rsid w:val="00F139AD"/>
    <w:rsid w:val="00F13EBF"/>
    <w:rsid w:val="00F15256"/>
    <w:rsid w:val="00F154B2"/>
    <w:rsid w:val="00F1559D"/>
    <w:rsid w:val="00F157A7"/>
    <w:rsid w:val="00F1589E"/>
    <w:rsid w:val="00F159D9"/>
    <w:rsid w:val="00F15D8B"/>
    <w:rsid w:val="00F16450"/>
    <w:rsid w:val="00F16665"/>
    <w:rsid w:val="00F16738"/>
    <w:rsid w:val="00F16F12"/>
    <w:rsid w:val="00F175F4"/>
    <w:rsid w:val="00F17B8D"/>
    <w:rsid w:val="00F223EF"/>
    <w:rsid w:val="00F227F6"/>
    <w:rsid w:val="00F22D30"/>
    <w:rsid w:val="00F231C1"/>
    <w:rsid w:val="00F23579"/>
    <w:rsid w:val="00F235E5"/>
    <w:rsid w:val="00F239F7"/>
    <w:rsid w:val="00F23A17"/>
    <w:rsid w:val="00F23F71"/>
    <w:rsid w:val="00F26602"/>
    <w:rsid w:val="00F26864"/>
    <w:rsid w:val="00F26DCB"/>
    <w:rsid w:val="00F273C6"/>
    <w:rsid w:val="00F27A65"/>
    <w:rsid w:val="00F30159"/>
    <w:rsid w:val="00F315E2"/>
    <w:rsid w:val="00F316AC"/>
    <w:rsid w:val="00F31FC8"/>
    <w:rsid w:val="00F32174"/>
    <w:rsid w:val="00F32399"/>
    <w:rsid w:val="00F325F9"/>
    <w:rsid w:val="00F32A84"/>
    <w:rsid w:val="00F32C4F"/>
    <w:rsid w:val="00F32DF0"/>
    <w:rsid w:val="00F332EB"/>
    <w:rsid w:val="00F334F4"/>
    <w:rsid w:val="00F339FB"/>
    <w:rsid w:val="00F33A21"/>
    <w:rsid w:val="00F33EE5"/>
    <w:rsid w:val="00F342A2"/>
    <w:rsid w:val="00F3435C"/>
    <w:rsid w:val="00F34471"/>
    <w:rsid w:val="00F34D08"/>
    <w:rsid w:val="00F3541F"/>
    <w:rsid w:val="00F35766"/>
    <w:rsid w:val="00F36424"/>
    <w:rsid w:val="00F37498"/>
    <w:rsid w:val="00F37C28"/>
    <w:rsid w:val="00F37E90"/>
    <w:rsid w:val="00F4033E"/>
    <w:rsid w:val="00F40659"/>
    <w:rsid w:val="00F4192D"/>
    <w:rsid w:val="00F41AD8"/>
    <w:rsid w:val="00F41D45"/>
    <w:rsid w:val="00F422B8"/>
    <w:rsid w:val="00F436E1"/>
    <w:rsid w:val="00F44775"/>
    <w:rsid w:val="00F45407"/>
    <w:rsid w:val="00F45964"/>
    <w:rsid w:val="00F464D1"/>
    <w:rsid w:val="00F46B00"/>
    <w:rsid w:val="00F47011"/>
    <w:rsid w:val="00F474E0"/>
    <w:rsid w:val="00F47513"/>
    <w:rsid w:val="00F479AC"/>
    <w:rsid w:val="00F50578"/>
    <w:rsid w:val="00F5079B"/>
    <w:rsid w:val="00F51056"/>
    <w:rsid w:val="00F51964"/>
    <w:rsid w:val="00F51C45"/>
    <w:rsid w:val="00F51DC2"/>
    <w:rsid w:val="00F52085"/>
    <w:rsid w:val="00F5311E"/>
    <w:rsid w:val="00F53B20"/>
    <w:rsid w:val="00F54FF7"/>
    <w:rsid w:val="00F55722"/>
    <w:rsid w:val="00F56557"/>
    <w:rsid w:val="00F5688F"/>
    <w:rsid w:val="00F56EE0"/>
    <w:rsid w:val="00F60363"/>
    <w:rsid w:val="00F6052F"/>
    <w:rsid w:val="00F60856"/>
    <w:rsid w:val="00F60C70"/>
    <w:rsid w:val="00F61063"/>
    <w:rsid w:val="00F62C75"/>
    <w:rsid w:val="00F63257"/>
    <w:rsid w:val="00F63F94"/>
    <w:rsid w:val="00F64291"/>
    <w:rsid w:val="00F652C8"/>
    <w:rsid w:val="00F653B3"/>
    <w:rsid w:val="00F665E2"/>
    <w:rsid w:val="00F66B40"/>
    <w:rsid w:val="00F66CAC"/>
    <w:rsid w:val="00F67895"/>
    <w:rsid w:val="00F67D94"/>
    <w:rsid w:val="00F67F15"/>
    <w:rsid w:val="00F67F40"/>
    <w:rsid w:val="00F700CB"/>
    <w:rsid w:val="00F70537"/>
    <w:rsid w:val="00F70958"/>
    <w:rsid w:val="00F71025"/>
    <w:rsid w:val="00F719CD"/>
    <w:rsid w:val="00F71A07"/>
    <w:rsid w:val="00F71BFA"/>
    <w:rsid w:val="00F72666"/>
    <w:rsid w:val="00F72C01"/>
    <w:rsid w:val="00F734A7"/>
    <w:rsid w:val="00F735F1"/>
    <w:rsid w:val="00F737B5"/>
    <w:rsid w:val="00F739E5"/>
    <w:rsid w:val="00F73CB8"/>
    <w:rsid w:val="00F74026"/>
    <w:rsid w:val="00F74B3E"/>
    <w:rsid w:val="00F74C84"/>
    <w:rsid w:val="00F752B8"/>
    <w:rsid w:val="00F75E35"/>
    <w:rsid w:val="00F764CD"/>
    <w:rsid w:val="00F76589"/>
    <w:rsid w:val="00F765CF"/>
    <w:rsid w:val="00F777F4"/>
    <w:rsid w:val="00F77D54"/>
    <w:rsid w:val="00F77D8A"/>
    <w:rsid w:val="00F81224"/>
    <w:rsid w:val="00F8122F"/>
    <w:rsid w:val="00F81729"/>
    <w:rsid w:val="00F81D3B"/>
    <w:rsid w:val="00F8214A"/>
    <w:rsid w:val="00F829F6"/>
    <w:rsid w:val="00F83422"/>
    <w:rsid w:val="00F84289"/>
    <w:rsid w:val="00F844BE"/>
    <w:rsid w:val="00F84D14"/>
    <w:rsid w:val="00F858BC"/>
    <w:rsid w:val="00F85925"/>
    <w:rsid w:val="00F85ABC"/>
    <w:rsid w:val="00F85CC9"/>
    <w:rsid w:val="00F866B5"/>
    <w:rsid w:val="00F86972"/>
    <w:rsid w:val="00F86B3F"/>
    <w:rsid w:val="00F87437"/>
    <w:rsid w:val="00F875B4"/>
    <w:rsid w:val="00F87894"/>
    <w:rsid w:val="00F87965"/>
    <w:rsid w:val="00F90694"/>
    <w:rsid w:val="00F909B8"/>
    <w:rsid w:val="00F913FE"/>
    <w:rsid w:val="00F921A2"/>
    <w:rsid w:val="00F92E69"/>
    <w:rsid w:val="00F934A6"/>
    <w:rsid w:val="00F939F5"/>
    <w:rsid w:val="00F93F1F"/>
    <w:rsid w:val="00F9543C"/>
    <w:rsid w:val="00F9563A"/>
    <w:rsid w:val="00F95952"/>
    <w:rsid w:val="00F95DCF"/>
    <w:rsid w:val="00F95F42"/>
    <w:rsid w:val="00F960E4"/>
    <w:rsid w:val="00F960FA"/>
    <w:rsid w:val="00F96137"/>
    <w:rsid w:val="00F9675A"/>
    <w:rsid w:val="00F96D6D"/>
    <w:rsid w:val="00F96DA7"/>
    <w:rsid w:val="00F96E86"/>
    <w:rsid w:val="00F970F0"/>
    <w:rsid w:val="00F97199"/>
    <w:rsid w:val="00F97F61"/>
    <w:rsid w:val="00FA0078"/>
    <w:rsid w:val="00FA034E"/>
    <w:rsid w:val="00FA08BE"/>
    <w:rsid w:val="00FA0A97"/>
    <w:rsid w:val="00FA0AF7"/>
    <w:rsid w:val="00FA1149"/>
    <w:rsid w:val="00FA1C35"/>
    <w:rsid w:val="00FA1E7A"/>
    <w:rsid w:val="00FA2022"/>
    <w:rsid w:val="00FA25BA"/>
    <w:rsid w:val="00FA261E"/>
    <w:rsid w:val="00FA290B"/>
    <w:rsid w:val="00FA356E"/>
    <w:rsid w:val="00FA3C41"/>
    <w:rsid w:val="00FA452F"/>
    <w:rsid w:val="00FA4670"/>
    <w:rsid w:val="00FA4DDE"/>
    <w:rsid w:val="00FA51B5"/>
    <w:rsid w:val="00FA55D5"/>
    <w:rsid w:val="00FA5847"/>
    <w:rsid w:val="00FA6038"/>
    <w:rsid w:val="00FA671D"/>
    <w:rsid w:val="00FA6E99"/>
    <w:rsid w:val="00FB0536"/>
    <w:rsid w:val="00FB0D59"/>
    <w:rsid w:val="00FB110B"/>
    <w:rsid w:val="00FB15B9"/>
    <w:rsid w:val="00FB1863"/>
    <w:rsid w:val="00FB1F53"/>
    <w:rsid w:val="00FB2448"/>
    <w:rsid w:val="00FB30E7"/>
    <w:rsid w:val="00FB3AAF"/>
    <w:rsid w:val="00FB459F"/>
    <w:rsid w:val="00FB5B6E"/>
    <w:rsid w:val="00FB5F96"/>
    <w:rsid w:val="00FB6099"/>
    <w:rsid w:val="00FB6257"/>
    <w:rsid w:val="00FB7037"/>
    <w:rsid w:val="00FC007B"/>
    <w:rsid w:val="00FC0A8A"/>
    <w:rsid w:val="00FC0E1A"/>
    <w:rsid w:val="00FC110C"/>
    <w:rsid w:val="00FC14A6"/>
    <w:rsid w:val="00FC1540"/>
    <w:rsid w:val="00FC3464"/>
    <w:rsid w:val="00FC3466"/>
    <w:rsid w:val="00FC37C7"/>
    <w:rsid w:val="00FC4A7D"/>
    <w:rsid w:val="00FC4CAC"/>
    <w:rsid w:val="00FC512B"/>
    <w:rsid w:val="00FC5543"/>
    <w:rsid w:val="00FC5A73"/>
    <w:rsid w:val="00FC5BB1"/>
    <w:rsid w:val="00FC6389"/>
    <w:rsid w:val="00FC6F1A"/>
    <w:rsid w:val="00FC7B3F"/>
    <w:rsid w:val="00FD084D"/>
    <w:rsid w:val="00FD09A8"/>
    <w:rsid w:val="00FD0C12"/>
    <w:rsid w:val="00FD15AB"/>
    <w:rsid w:val="00FD18C3"/>
    <w:rsid w:val="00FD19FD"/>
    <w:rsid w:val="00FD2162"/>
    <w:rsid w:val="00FD21C6"/>
    <w:rsid w:val="00FD23F1"/>
    <w:rsid w:val="00FD2607"/>
    <w:rsid w:val="00FD2734"/>
    <w:rsid w:val="00FD2B34"/>
    <w:rsid w:val="00FD2E65"/>
    <w:rsid w:val="00FD2FE0"/>
    <w:rsid w:val="00FD4205"/>
    <w:rsid w:val="00FD4CA2"/>
    <w:rsid w:val="00FD5225"/>
    <w:rsid w:val="00FD5FC8"/>
    <w:rsid w:val="00FD6714"/>
    <w:rsid w:val="00FD70D5"/>
    <w:rsid w:val="00FD7556"/>
    <w:rsid w:val="00FD794B"/>
    <w:rsid w:val="00FD7BB8"/>
    <w:rsid w:val="00FD7C2C"/>
    <w:rsid w:val="00FD7C79"/>
    <w:rsid w:val="00FE0717"/>
    <w:rsid w:val="00FE0C2C"/>
    <w:rsid w:val="00FE1F46"/>
    <w:rsid w:val="00FE27AF"/>
    <w:rsid w:val="00FE2EDB"/>
    <w:rsid w:val="00FE2F1C"/>
    <w:rsid w:val="00FE2FC6"/>
    <w:rsid w:val="00FE3415"/>
    <w:rsid w:val="00FE3CF4"/>
    <w:rsid w:val="00FE3E0D"/>
    <w:rsid w:val="00FE3F28"/>
    <w:rsid w:val="00FE405C"/>
    <w:rsid w:val="00FE42D2"/>
    <w:rsid w:val="00FE4523"/>
    <w:rsid w:val="00FE459C"/>
    <w:rsid w:val="00FE4983"/>
    <w:rsid w:val="00FE54BE"/>
    <w:rsid w:val="00FE5856"/>
    <w:rsid w:val="00FE61EC"/>
    <w:rsid w:val="00FE620E"/>
    <w:rsid w:val="00FE6903"/>
    <w:rsid w:val="00FE69E9"/>
    <w:rsid w:val="00FE6F2A"/>
    <w:rsid w:val="00FE7437"/>
    <w:rsid w:val="00FE751F"/>
    <w:rsid w:val="00FE76BB"/>
    <w:rsid w:val="00FE77BF"/>
    <w:rsid w:val="00FE7A5A"/>
    <w:rsid w:val="00FE7E4B"/>
    <w:rsid w:val="00FF05CC"/>
    <w:rsid w:val="00FF1A70"/>
    <w:rsid w:val="00FF1A7C"/>
    <w:rsid w:val="00FF2D08"/>
    <w:rsid w:val="00FF3001"/>
    <w:rsid w:val="00FF3954"/>
    <w:rsid w:val="00FF3D23"/>
    <w:rsid w:val="00FF4AE6"/>
    <w:rsid w:val="00FF4CC2"/>
    <w:rsid w:val="00FF5E2D"/>
    <w:rsid w:val="00FF63A5"/>
    <w:rsid w:val="00FF6BFF"/>
    <w:rsid w:val="00FF791E"/>
    <w:rsid w:val="00FF7D6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3FF051DA"/>
  <w15:chartTrackingRefBased/>
  <w15:docId w15:val="{10A3C4BB-ED1B-4593-A5F2-C1EC7AB0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kern w:val="2"/>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FA9"/>
    <w:pPr>
      <w:widowControl w:val="0"/>
      <w:jc w:val="both"/>
    </w:pPr>
    <w:rPr>
      <w:lang w:val="en-AU"/>
    </w:rPr>
  </w:style>
  <w:style w:type="paragraph" w:styleId="Heading1">
    <w:name w:val="heading 1"/>
    <w:basedOn w:val="Normal"/>
    <w:next w:val="Normal"/>
    <w:link w:val="Heading1Char"/>
    <w:uiPriority w:val="9"/>
    <w:qFormat/>
    <w:rsid w:val="00BB5DC2"/>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5DC2"/>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D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D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1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11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11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11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11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DC2"/>
    <w:rPr>
      <w:rFonts w:eastAsiaTheme="majorEastAsia" w:cstheme="majorBidi"/>
      <w:color w:val="0F4761" w:themeColor="accent1" w:themeShade="BF"/>
      <w:sz w:val="40"/>
      <w:szCs w:val="40"/>
      <w:lang w:val="en-AU"/>
    </w:rPr>
  </w:style>
  <w:style w:type="character" w:customStyle="1" w:styleId="Heading2Char">
    <w:name w:val="Heading 2 Char"/>
    <w:basedOn w:val="DefaultParagraphFont"/>
    <w:link w:val="Heading2"/>
    <w:uiPriority w:val="9"/>
    <w:rsid w:val="00BB5DC2"/>
    <w:rPr>
      <w:rFonts w:eastAsiaTheme="majorEastAsia" w:cstheme="majorBidi"/>
      <w:color w:val="0F4761" w:themeColor="accent1" w:themeShade="BF"/>
      <w:sz w:val="32"/>
      <w:szCs w:val="32"/>
      <w:lang w:val="en-AU"/>
    </w:rPr>
  </w:style>
  <w:style w:type="character" w:customStyle="1" w:styleId="Heading3Char">
    <w:name w:val="Heading 3 Char"/>
    <w:basedOn w:val="DefaultParagraphFont"/>
    <w:link w:val="Heading3"/>
    <w:uiPriority w:val="9"/>
    <w:rsid w:val="00BB5DC2"/>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BB5DC2"/>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F11141"/>
    <w:rPr>
      <w:rFonts w:asciiTheme="minorHAnsi" w:eastAsiaTheme="majorEastAsia" w:hAnsiTheme="minorHAnsi" w:cstheme="majorBidi"/>
      <w:color w:val="0F4761" w:themeColor="accent1" w:themeShade="BF"/>
      <w:lang w:val="en-AU"/>
    </w:rPr>
  </w:style>
  <w:style w:type="character" w:customStyle="1" w:styleId="Heading6Char">
    <w:name w:val="Heading 6 Char"/>
    <w:basedOn w:val="DefaultParagraphFont"/>
    <w:link w:val="Heading6"/>
    <w:uiPriority w:val="9"/>
    <w:semiHidden/>
    <w:rsid w:val="00F11141"/>
    <w:rPr>
      <w:rFonts w:asciiTheme="minorHAnsi" w:eastAsiaTheme="majorEastAsia" w:hAnsiTheme="minorHAnsi" w:cstheme="majorBidi"/>
      <w:i/>
      <w:iCs/>
      <w:color w:val="595959" w:themeColor="text1" w:themeTint="A6"/>
      <w:lang w:val="en-AU"/>
    </w:rPr>
  </w:style>
  <w:style w:type="character" w:customStyle="1" w:styleId="Heading7Char">
    <w:name w:val="Heading 7 Char"/>
    <w:basedOn w:val="DefaultParagraphFont"/>
    <w:link w:val="Heading7"/>
    <w:uiPriority w:val="9"/>
    <w:semiHidden/>
    <w:rsid w:val="00F11141"/>
    <w:rPr>
      <w:rFonts w:asciiTheme="minorHAnsi" w:eastAsiaTheme="majorEastAsia" w:hAnsiTheme="minorHAnsi" w:cstheme="majorBidi"/>
      <w:color w:val="595959" w:themeColor="text1" w:themeTint="A6"/>
      <w:lang w:val="en-AU"/>
    </w:rPr>
  </w:style>
  <w:style w:type="character" w:customStyle="1" w:styleId="Heading8Char">
    <w:name w:val="Heading 8 Char"/>
    <w:basedOn w:val="DefaultParagraphFont"/>
    <w:link w:val="Heading8"/>
    <w:uiPriority w:val="9"/>
    <w:semiHidden/>
    <w:rsid w:val="00F11141"/>
    <w:rPr>
      <w:rFonts w:asciiTheme="minorHAnsi" w:eastAsiaTheme="majorEastAsia" w:hAnsiTheme="minorHAnsi" w:cstheme="majorBidi"/>
      <w:i/>
      <w:iCs/>
      <w:color w:val="272727" w:themeColor="text1" w:themeTint="D8"/>
      <w:lang w:val="en-AU"/>
    </w:rPr>
  </w:style>
  <w:style w:type="character" w:customStyle="1" w:styleId="Heading9Char">
    <w:name w:val="Heading 9 Char"/>
    <w:basedOn w:val="DefaultParagraphFont"/>
    <w:link w:val="Heading9"/>
    <w:uiPriority w:val="9"/>
    <w:semiHidden/>
    <w:rsid w:val="00F11141"/>
    <w:rPr>
      <w:rFonts w:asciiTheme="minorHAnsi" w:eastAsiaTheme="majorEastAsia" w:hAnsiTheme="minorHAnsi" w:cstheme="majorBidi"/>
      <w:color w:val="272727" w:themeColor="text1" w:themeTint="D8"/>
      <w:lang w:val="en-AU"/>
    </w:rPr>
  </w:style>
  <w:style w:type="paragraph" w:styleId="Title">
    <w:name w:val="Title"/>
    <w:basedOn w:val="Normal"/>
    <w:next w:val="Normal"/>
    <w:link w:val="TitleChar"/>
    <w:uiPriority w:val="10"/>
    <w:qFormat/>
    <w:rsid w:val="00F111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141"/>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F111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141"/>
    <w:rPr>
      <w:rFonts w:asciiTheme="minorHAnsi" w:eastAsiaTheme="majorEastAsia" w:hAnsiTheme="minorHAnsi"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F111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1141"/>
    <w:rPr>
      <w:i/>
      <w:iCs/>
      <w:color w:val="404040" w:themeColor="text1" w:themeTint="BF"/>
      <w:lang w:val="en-AU"/>
    </w:rPr>
  </w:style>
  <w:style w:type="paragraph" w:styleId="ListParagraph">
    <w:name w:val="List Paragraph"/>
    <w:basedOn w:val="Normal"/>
    <w:uiPriority w:val="34"/>
    <w:qFormat/>
    <w:rsid w:val="00F11141"/>
    <w:pPr>
      <w:ind w:left="720"/>
      <w:contextualSpacing/>
    </w:pPr>
  </w:style>
  <w:style w:type="character" w:styleId="IntenseEmphasis">
    <w:name w:val="Intense Emphasis"/>
    <w:basedOn w:val="DefaultParagraphFont"/>
    <w:uiPriority w:val="21"/>
    <w:qFormat/>
    <w:rsid w:val="00F11141"/>
    <w:rPr>
      <w:i/>
      <w:iCs/>
      <w:color w:val="0F4761" w:themeColor="accent1" w:themeShade="BF"/>
    </w:rPr>
  </w:style>
  <w:style w:type="paragraph" w:styleId="IntenseQuote">
    <w:name w:val="Intense Quote"/>
    <w:basedOn w:val="Normal"/>
    <w:next w:val="Normal"/>
    <w:link w:val="IntenseQuoteChar"/>
    <w:uiPriority w:val="30"/>
    <w:qFormat/>
    <w:rsid w:val="00F11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141"/>
    <w:rPr>
      <w:i/>
      <w:iCs/>
      <w:color w:val="0F4761" w:themeColor="accent1" w:themeShade="BF"/>
      <w:lang w:val="en-AU"/>
    </w:rPr>
  </w:style>
  <w:style w:type="character" w:styleId="IntenseReference">
    <w:name w:val="Intense Reference"/>
    <w:basedOn w:val="DefaultParagraphFont"/>
    <w:uiPriority w:val="32"/>
    <w:qFormat/>
    <w:rsid w:val="00F11141"/>
    <w:rPr>
      <w:b/>
      <w:bCs/>
      <w:smallCaps/>
      <w:color w:val="0F4761" w:themeColor="accent1" w:themeShade="BF"/>
      <w:spacing w:val="5"/>
    </w:rPr>
  </w:style>
  <w:style w:type="paragraph" w:customStyle="1" w:styleId="Default">
    <w:name w:val="Default"/>
    <w:rsid w:val="00D53541"/>
    <w:pPr>
      <w:autoSpaceDE w:val="0"/>
      <w:autoSpaceDN w:val="0"/>
      <w:adjustRightInd w:val="0"/>
    </w:pPr>
    <w:rPr>
      <w:rFonts w:ascii="Times New Roman" w:hAnsi="Times New Roman" w:cs="Times New Roman"/>
      <w:color w:val="000000"/>
      <w:kern w:val="0"/>
      <w:sz w:val="24"/>
      <w:szCs w:val="24"/>
      <w:lang w:val="en-GB"/>
    </w:rPr>
  </w:style>
  <w:style w:type="character" w:styleId="Hyperlink">
    <w:name w:val="Hyperlink"/>
    <w:basedOn w:val="DefaultParagraphFont"/>
    <w:uiPriority w:val="99"/>
    <w:unhideWhenUsed/>
    <w:rsid w:val="00003D90"/>
    <w:rPr>
      <w:color w:val="467886" w:themeColor="hyperlink"/>
      <w:u w:val="single"/>
    </w:rPr>
  </w:style>
  <w:style w:type="paragraph" w:styleId="FootnoteText">
    <w:name w:val="footnote text"/>
    <w:basedOn w:val="Normal"/>
    <w:link w:val="FootnoteTextChar"/>
    <w:uiPriority w:val="99"/>
    <w:unhideWhenUsed/>
    <w:qFormat/>
    <w:rsid w:val="00003D90"/>
    <w:pPr>
      <w:widowControl/>
      <w:jc w:val="left"/>
    </w:pPr>
    <w:rPr>
      <w:rFonts w:ascii="Times New Roman" w:eastAsiaTheme="minorHAnsi" w:hAnsi="Times New Roman" w:cstheme="minorBidi"/>
      <w:kern w:val="0"/>
      <w:sz w:val="20"/>
      <w:szCs w:val="20"/>
      <w:lang w:eastAsia="en-US"/>
    </w:rPr>
  </w:style>
  <w:style w:type="character" w:customStyle="1" w:styleId="FootnoteTextChar">
    <w:name w:val="Footnote Text Char"/>
    <w:basedOn w:val="DefaultParagraphFont"/>
    <w:link w:val="FootnoteText"/>
    <w:uiPriority w:val="99"/>
    <w:rsid w:val="00003D90"/>
    <w:rPr>
      <w:rFonts w:ascii="Times New Roman" w:eastAsiaTheme="minorHAnsi" w:hAnsi="Times New Roman" w:cstheme="minorBidi"/>
      <w:kern w:val="0"/>
      <w:sz w:val="20"/>
      <w:szCs w:val="20"/>
      <w:lang w:val="en-AU" w:eastAsia="en-US"/>
    </w:rPr>
  </w:style>
  <w:style w:type="character" w:styleId="FootnoteReference">
    <w:name w:val="footnote reference"/>
    <w:basedOn w:val="DefaultParagraphFont"/>
    <w:uiPriority w:val="99"/>
    <w:semiHidden/>
    <w:unhideWhenUsed/>
    <w:rsid w:val="00003D90"/>
    <w:rPr>
      <w:vertAlign w:val="superscript"/>
    </w:rPr>
  </w:style>
  <w:style w:type="character" w:styleId="Strong">
    <w:name w:val="Strong"/>
    <w:basedOn w:val="DefaultParagraphFont"/>
    <w:uiPriority w:val="22"/>
    <w:qFormat/>
    <w:rsid w:val="008A5BF1"/>
    <w:rPr>
      <w:b/>
      <w:bCs/>
    </w:rPr>
  </w:style>
  <w:style w:type="character" w:styleId="SubtleEmphasis">
    <w:name w:val="Subtle Emphasis"/>
    <w:basedOn w:val="DefaultParagraphFont"/>
    <w:uiPriority w:val="19"/>
    <w:qFormat/>
    <w:rsid w:val="006F1FF8"/>
    <w:rPr>
      <w:i/>
      <w:iCs/>
      <w:color w:val="404040" w:themeColor="text1" w:themeTint="BF"/>
    </w:rPr>
  </w:style>
  <w:style w:type="paragraph" w:styleId="Caption">
    <w:name w:val="caption"/>
    <w:basedOn w:val="Normal"/>
    <w:next w:val="Normal"/>
    <w:uiPriority w:val="35"/>
    <w:unhideWhenUsed/>
    <w:qFormat/>
    <w:rsid w:val="00BB2296"/>
    <w:pPr>
      <w:spacing w:after="200"/>
    </w:pPr>
    <w:rPr>
      <w:i/>
      <w:iCs/>
      <w:color w:val="0E2841" w:themeColor="text2"/>
      <w:sz w:val="18"/>
      <w:szCs w:val="18"/>
    </w:rPr>
  </w:style>
  <w:style w:type="paragraph" w:styleId="NormalWeb">
    <w:name w:val="Normal (Web)"/>
    <w:basedOn w:val="Normal"/>
    <w:uiPriority w:val="99"/>
    <w:unhideWhenUsed/>
    <w:rsid w:val="003F34AE"/>
    <w:pPr>
      <w:widowControl/>
      <w:spacing w:before="100" w:beforeAutospacing="1" w:after="100" w:afterAutospacing="1"/>
      <w:jc w:val="left"/>
    </w:pPr>
    <w:rPr>
      <w:rFonts w:ascii="Times New Roman" w:eastAsia="Times New Roman" w:hAnsi="Times New Roman" w:cs="Times New Roman"/>
      <w:kern w:val="0"/>
      <w:sz w:val="24"/>
      <w:szCs w:val="24"/>
      <w:lang w:val="en-GB"/>
    </w:rPr>
  </w:style>
  <w:style w:type="character" w:styleId="Emphasis">
    <w:name w:val="Emphasis"/>
    <w:basedOn w:val="DefaultParagraphFont"/>
    <w:uiPriority w:val="20"/>
    <w:qFormat/>
    <w:rsid w:val="00A84304"/>
    <w:rPr>
      <w:i/>
      <w:iCs/>
    </w:rPr>
  </w:style>
  <w:style w:type="paragraph" w:styleId="TOCHeading">
    <w:name w:val="TOC Heading"/>
    <w:basedOn w:val="Heading1"/>
    <w:next w:val="Normal"/>
    <w:uiPriority w:val="39"/>
    <w:unhideWhenUsed/>
    <w:qFormat/>
    <w:rsid w:val="00D93328"/>
    <w:pPr>
      <w:widowControl/>
      <w:spacing w:before="240" w:after="0" w:line="259" w:lineRule="auto"/>
      <w:jc w:val="left"/>
      <w:outlineLvl w:val="9"/>
    </w:pPr>
    <w:rPr>
      <w:kern w:val="0"/>
      <w:sz w:val="32"/>
      <w:szCs w:val="32"/>
      <w:lang w:val="en-US" w:eastAsia="en-US"/>
    </w:rPr>
  </w:style>
  <w:style w:type="paragraph" w:styleId="TOC1">
    <w:name w:val="toc 1"/>
    <w:basedOn w:val="Normal"/>
    <w:next w:val="Normal"/>
    <w:autoRedefine/>
    <w:uiPriority w:val="39"/>
    <w:unhideWhenUsed/>
    <w:rsid w:val="00D93328"/>
    <w:pPr>
      <w:spacing w:after="100"/>
    </w:pPr>
  </w:style>
  <w:style w:type="paragraph" w:styleId="TOC2">
    <w:name w:val="toc 2"/>
    <w:basedOn w:val="Normal"/>
    <w:next w:val="Normal"/>
    <w:autoRedefine/>
    <w:uiPriority w:val="39"/>
    <w:unhideWhenUsed/>
    <w:rsid w:val="00415676"/>
    <w:pPr>
      <w:spacing w:after="100"/>
      <w:ind w:left="220"/>
    </w:pPr>
  </w:style>
  <w:style w:type="paragraph" w:styleId="TableofFigures">
    <w:name w:val="table of figures"/>
    <w:basedOn w:val="Normal"/>
    <w:next w:val="Normal"/>
    <w:uiPriority w:val="99"/>
    <w:unhideWhenUsed/>
    <w:rsid w:val="001614FE"/>
  </w:style>
  <w:style w:type="paragraph" w:styleId="Header">
    <w:name w:val="header"/>
    <w:basedOn w:val="Normal"/>
    <w:link w:val="HeaderChar"/>
    <w:uiPriority w:val="99"/>
    <w:unhideWhenUsed/>
    <w:rsid w:val="00B314AA"/>
    <w:pPr>
      <w:tabs>
        <w:tab w:val="center" w:pos="4153"/>
        <w:tab w:val="right" w:pos="8306"/>
      </w:tabs>
    </w:pPr>
  </w:style>
  <w:style w:type="character" w:customStyle="1" w:styleId="HeaderChar">
    <w:name w:val="Header Char"/>
    <w:basedOn w:val="DefaultParagraphFont"/>
    <w:link w:val="Header"/>
    <w:uiPriority w:val="99"/>
    <w:rsid w:val="00B314AA"/>
    <w:rPr>
      <w:lang w:val="en-AU"/>
    </w:rPr>
  </w:style>
  <w:style w:type="paragraph" w:styleId="Footer">
    <w:name w:val="footer"/>
    <w:basedOn w:val="Normal"/>
    <w:link w:val="FooterChar"/>
    <w:uiPriority w:val="99"/>
    <w:unhideWhenUsed/>
    <w:rsid w:val="00B314AA"/>
    <w:pPr>
      <w:tabs>
        <w:tab w:val="center" w:pos="4153"/>
        <w:tab w:val="right" w:pos="8306"/>
      </w:tabs>
    </w:pPr>
  </w:style>
  <w:style w:type="character" w:customStyle="1" w:styleId="FooterChar">
    <w:name w:val="Footer Char"/>
    <w:basedOn w:val="DefaultParagraphFont"/>
    <w:link w:val="Footer"/>
    <w:uiPriority w:val="99"/>
    <w:rsid w:val="00B314AA"/>
    <w:rPr>
      <w:lang w:val="en-AU"/>
    </w:rPr>
  </w:style>
  <w:style w:type="character" w:styleId="CommentReference">
    <w:name w:val="annotation reference"/>
    <w:basedOn w:val="DefaultParagraphFont"/>
    <w:uiPriority w:val="99"/>
    <w:semiHidden/>
    <w:unhideWhenUsed/>
    <w:rsid w:val="00E60A69"/>
    <w:rPr>
      <w:sz w:val="16"/>
      <w:szCs w:val="16"/>
    </w:rPr>
  </w:style>
  <w:style w:type="paragraph" w:styleId="CommentText">
    <w:name w:val="annotation text"/>
    <w:basedOn w:val="Normal"/>
    <w:link w:val="CommentTextChar"/>
    <w:uiPriority w:val="99"/>
    <w:unhideWhenUsed/>
    <w:rsid w:val="00E60A69"/>
    <w:rPr>
      <w:sz w:val="20"/>
      <w:szCs w:val="20"/>
    </w:rPr>
  </w:style>
  <w:style w:type="character" w:customStyle="1" w:styleId="CommentTextChar">
    <w:name w:val="Comment Text Char"/>
    <w:basedOn w:val="DefaultParagraphFont"/>
    <w:link w:val="CommentText"/>
    <w:uiPriority w:val="99"/>
    <w:rsid w:val="00E60A69"/>
    <w:rPr>
      <w:sz w:val="20"/>
      <w:szCs w:val="20"/>
      <w:lang w:val="en-AU"/>
    </w:rPr>
  </w:style>
  <w:style w:type="paragraph" w:styleId="CommentSubject">
    <w:name w:val="annotation subject"/>
    <w:basedOn w:val="CommentText"/>
    <w:next w:val="CommentText"/>
    <w:link w:val="CommentSubjectChar"/>
    <w:uiPriority w:val="99"/>
    <w:semiHidden/>
    <w:unhideWhenUsed/>
    <w:rsid w:val="00E60A69"/>
    <w:rPr>
      <w:b/>
      <w:bCs/>
    </w:rPr>
  </w:style>
  <w:style w:type="character" w:customStyle="1" w:styleId="CommentSubjectChar">
    <w:name w:val="Comment Subject Char"/>
    <w:basedOn w:val="CommentTextChar"/>
    <w:link w:val="CommentSubject"/>
    <w:uiPriority w:val="99"/>
    <w:semiHidden/>
    <w:rsid w:val="00E60A69"/>
    <w:rPr>
      <w:b/>
      <w:bCs/>
      <w:sz w:val="20"/>
      <w:szCs w:val="20"/>
      <w:lang w:val="en-AU"/>
    </w:rPr>
  </w:style>
  <w:style w:type="paragraph" w:styleId="Revision">
    <w:name w:val="Revision"/>
    <w:hidden/>
    <w:uiPriority w:val="99"/>
    <w:semiHidden/>
    <w:rsid w:val="00646904"/>
    <w:rPr>
      <w:lang w:val="en-AU"/>
    </w:rPr>
  </w:style>
  <w:style w:type="character" w:styleId="UnresolvedMention">
    <w:name w:val="Unresolved Mention"/>
    <w:basedOn w:val="DefaultParagraphFont"/>
    <w:uiPriority w:val="99"/>
    <w:semiHidden/>
    <w:unhideWhenUsed/>
    <w:rsid w:val="00A17001"/>
    <w:rPr>
      <w:color w:val="605E5C"/>
      <w:shd w:val="clear" w:color="auto" w:fill="E1DFDD"/>
    </w:rPr>
  </w:style>
  <w:style w:type="character" w:styleId="Mention">
    <w:name w:val="Mention"/>
    <w:basedOn w:val="DefaultParagraphFont"/>
    <w:uiPriority w:val="99"/>
    <w:unhideWhenUsed/>
    <w:rsid w:val="004B53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6677">
      <w:bodyDiv w:val="1"/>
      <w:marLeft w:val="0"/>
      <w:marRight w:val="0"/>
      <w:marTop w:val="0"/>
      <w:marBottom w:val="0"/>
      <w:divBdr>
        <w:top w:val="none" w:sz="0" w:space="0" w:color="auto"/>
        <w:left w:val="none" w:sz="0" w:space="0" w:color="auto"/>
        <w:bottom w:val="none" w:sz="0" w:space="0" w:color="auto"/>
        <w:right w:val="none" w:sz="0" w:space="0" w:color="auto"/>
      </w:divBdr>
    </w:div>
    <w:div w:id="73861453">
      <w:bodyDiv w:val="1"/>
      <w:marLeft w:val="0"/>
      <w:marRight w:val="0"/>
      <w:marTop w:val="0"/>
      <w:marBottom w:val="0"/>
      <w:divBdr>
        <w:top w:val="none" w:sz="0" w:space="0" w:color="auto"/>
        <w:left w:val="none" w:sz="0" w:space="0" w:color="auto"/>
        <w:bottom w:val="none" w:sz="0" w:space="0" w:color="auto"/>
        <w:right w:val="none" w:sz="0" w:space="0" w:color="auto"/>
      </w:divBdr>
    </w:div>
    <w:div w:id="399447014">
      <w:bodyDiv w:val="1"/>
      <w:marLeft w:val="0"/>
      <w:marRight w:val="0"/>
      <w:marTop w:val="0"/>
      <w:marBottom w:val="0"/>
      <w:divBdr>
        <w:top w:val="none" w:sz="0" w:space="0" w:color="auto"/>
        <w:left w:val="none" w:sz="0" w:space="0" w:color="auto"/>
        <w:bottom w:val="none" w:sz="0" w:space="0" w:color="auto"/>
        <w:right w:val="none" w:sz="0" w:space="0" w:color="auto"/>
      </w:divBdr>
    </w:div>
    <w:div w:id="489447946">
      <w:bodyDiv w:val="1"/>
      <w:marLeft w:val="0"/>
      <w:marRight w:val="0"/>
      <w:marTop w:val="0"/>
      <w:marBottom w:val="0"/>
      <w:divBdr>
        <w:top w:val="none" w:sz="0" w:space="0" w:color="auto"/>
        <w:left w:val="none" w:sz="0" w:space="0" w:color="auto"/>
        <w:bottom w:val="none" w:sz="0" w:space="0" w:color="auto"/>
        <w:right w:val="none" w:sz="0" w:space="0" w:color="auto"/>
      </w:divBdr>
    </w:div>
    <w:div w:id="783698803">
      <w:bodyDiv w:val="1"/>
      <w:marLeft w:val="0"/>
      <w:marRight w:val="0"/>
      <w:marTop w:val="0"/>
      <w:marBottom w:val="0"/>
      <w:divBdr>
        <w:top w:val="none" w:sz="0" w:space="0" w:color="auto"/>
        <w:left w:val="none" w:sz="0" w:space="0" w:color="auto"/>
        <w:bottom w:val="none" w:sz="0" w:space="0" w:color="auto"/>
        <w:right w:val="none" w:sz="0" w:space="0" w:color="auto"/>
      </w:divBdr>
    </w:div>
    <w:div w:id="838614958">
      <w:bodyDiv w:val="1"/>
      <w:marLeft w:val="0"/>
      <w:marRight w:val="0"/>
      <w:marTop w:val="0"/>
      <w:marBottom w:val="0"/>
      <w:divBdr>
        <w:top w:val="none" w:sz="0" w:space="0" w:color="auto"/>
        <w:left w:val="none" w:sz="0" w:space="0" w:color="auto"/>
        <w:bottom w:val="none" w:sz="0" w:space="0" w:color="auto"/>
        <w:right w:val="none" w:sz="0" w:space="0" w:color="auto"/>
      </w:divBdr>
    </w:div>
    <w:div w:id="962422181">
      <w:bodyDiv w:val="1"/>
      <w:marLeft w:val="0"/>
      <w:marRight w:val="0"/>
      <w:marTop w:val="0"/>
      <w:marBottom w:val="0"/>
      <w:divBdr>
        <w:top w:val="none" w:sz="0" w:space="0" w:color="auto"/>
        <w:left w:val="none" w:sz="0" w:space="0" w:color="auto"/>
        <w:bottom w:val="none" w:sz="0" w:space="0" w:color="auto"/>
        <w:right w:val="none" w:sz="0" w:space="0" w:color="auto"/>
      </w:divBdr>
    </w:div>
    <w:div w:id="1124808857">
      <w:bodyDiv w:val="1"/>
      <w:marLeft w:val="0"/>
      <w:marRight w:val="0"/>
      <w:marTop w:val="0"/>
      <w:marBottom w:val="0"/>
      <w:divBdr>
        <w:top w:val="none" w:sz="0" w:space="0" w:color="auto"/>
        <w:left w:val="none" w:sz="0" w:space="0" w:color="auto"/>
        <w:bottom w:val="none" w:sz="0" w:space="0" w:color="auto"/>
        <w:right w:val="none" w:sz="0" w:space="0" w:color="auto"/>
      </w:divBdr>
    </w:div>
    <w:div w:id="1155485694">
      <w:bodyDiv w:val="1"/>
      <w:marLeft w:val="0"/>
      <w:marRight w:val="0"/>
      <w:marTop w:val="0"/>
      <w:marBottom w:val="0"/>
      <w:divBdr>
        <w:top w:val="none" w:sz="0" w:space="0" w:color="auto"/>
        <w:left w:val="none" w:sz="0" w:space="0" w:color="auto"/>
        <w:bottom w:val="none" w:sz="0" w:space="0" w:color="auto"/>
        <w:right w:val="none" w:sz="0" w:space="0" w:color="auto"/>
      </w:divBdr>
    </w:div>
    <w:div w:id="1268122943">
      <w:bodyDiv w:val="1"/>
      <w:marLeft w:val="0"/>
      <w:marRight w:val="0"/>
      <w:marTop w:val="0"/>
      <w:marBottom w:val="0"/>
      <w:divBdr>
        <w:top w:val="none" w:sz="0" w:space="0" w:color="auto"/>
        <w:left w:val="none" w:sz="0" w:space="0" w:color="auto"/>
        <w:bottom w:val="none" w:sz="0" w:space="0" w:color="auto"/>
        <w:right w:val="none" w:sz="0" w:space="0" w:color="auto"/>
      </w:divBdr>
    </w:div>
    <w:div w:id="1309703142">
      <w:bodyDiv w:val="1"/>
      <w:marLeft w:val="0"/>
      <w:marRight w:val="0"/>
      <w:marTop w:val="0"/>
      <w:marBottom w:val="0"/>
      <w:divBdr>
        <w:top w:val="none" w:sz="0" w:space="0" w:color="auto"/>
        <w:left w:val="none" w:sz="0" w:space="0" w:color="auto"/>
        <w:bottom w:val="none" w:sz="0" w:space="0" w:color="auto"/>
        <w:right w:val="none" w:sz="0" w:space="0" w:color="auto"/>
      </w:divBdr>
    </w:div>
    <w:div w:id="1320311623">
      <w:bodyDiv w:val="1"/>
      <w:marLeft w:val="0"/>
      <w:marRight w:val="0"/>
      <w:marTop w:val="0"/>
      <w:marBottom w:val="0"/>
      <w:divBdr>
        <w:top w:val="none" w:sz="0" w:space="0" w:color="auto"/>
        <w:left w:val="none" w:sz="0" w:space="0" w:color="auto"/>
        <w:bottom w:val="none" w:sz="0" w:space="0" w:color="auto"/>
        <w:right w:val="none" w:sz="0" w:space="0" w:color="auto"/>
      </w:divBdr>
    </w:div>
    <w:div w:id="1420130948">
      <w:bodyDiv w:val="1"/>
      <w:marLeft w:val="0"/>
      <w:marRight w:val="0"/>
      <w:marTop w:val="0"/>
      <w:marBottom w:val="0"/>
      <w:divBdr>
        <w:top w:val="none" w:sz="0" w:space="0" w:color="auto"/>
        <w:left w:val="none" w:sz="0" w:space="0" w:color="auto"/>
        <w:bottom w:val="none" w:sz="0" w:space="0" w:color="auto"/>
        <w:right w:val="none" w:sz="0" w:space="0" w:color="auto"/>
      </w:divBdr>
    </w:div>
    <w:div w:id="1427194722">
      <w:bodyDiv w:val="1"/>
      <w:marLeft w:val="0"/>
      <w:marRight w:val="0"/>
      <w:marTop w:val="0"/>
      <w:marBottom w:val="0"/>
      <w:divBdr>
        <w:top w:val="none" w:sz="0" w:space="0" w:color="auto"/>
        <w:left w:val="none" w:sz="0" w:space="0" w:color="auto"/>
        <w:bottom w:val="none" w:sz="0" w:space="0" w:color="auto"/>
        <w:right w:val="none" w:sz="0" w:space="0" w:color="auto"/>
      </w:divBdr>
    </w:div>
    <w:div w:id="1428498035">
      <w:bodyDiv w:val="1"/>
      <w:marLeft w:val="0"/>
      <w:marRight w:val="0"/>
      <w:marTop w:val="0"/>
      <w:marBottom w:val="0"/>
      <w:divBdr>
        <w:top w:val="none" w:sz="0" w:space="0" w:color="auto"/>
        <w:left w:val="none" w:sz="0" w:space="0" w:color="auto"/>
        <w:bottom w:val="none" w:sz="0" w:space="0" w:color="auto"/>
        <w:right w:val="none" w:sz="0" w:space="0" w:color="auto"/>
      </w:divBdr>
    </w:div>
    <w:div w:id="1661931494">
      <w:bodyDiv w:val="1"/>
      <w:marLeft w:val="0"/>
      <w:marRight w:val="0"/>
      <w:marTop w:val="0"/>
      <w:marBottom w:val="0"/>
      <w:divBdr>
        <w:top w:val="none" w:sz="0" w:space="0" w:color="auto"/>
        <w:left w:val="none" w:sz="0" w:space="0" w:color="auto"/>
        <w:bottom w:val="none" w:sz="0" w:space="0" w:color="auto"/>
        <w:right w:val="none" w:sz="0" w:space="0" w:color="auto"/>
      </w:divBdr>
    </w:div>
    <w:div w:id="1795370770">
      <w:bodyDiv w:val="1"/>
      <w:marLeft w:val="0"/>
      <w:marRight w:val="0"/>
      <w:marTop w:val="0"/>
      <w:marBottom w:val="0"/>
      <w:divBdr>
        <w:top w:val="none" w:sz="0" w:space="0" w:color="auto"/>
        <w:left w:val="none" w:sz="0" w:space="0" w:color="auto"/>
        <w:bottom w:val="none" w:sz="0" w:space="0" w:color="auto"/>
        <w:right w:val="none" w:sz="0" w:space="0" w:color="auto"/>
      </w:divBdr>
    </w:div>
    <w:div w:id="1940287314">
      <w:bodyDiv w:val="1"/>
      <w:marLeft w:val="0"/>
      <w:marRight w:val="0"/>
      <w:marTop w:val="0"/>
      <w:marBottom w:val="0"/>
      <w:divBdr>
        <w:top w:val="none" w:sz="0" w:space="0" w:color="auto"/>
        <w:left w:val="none" w:sz="0" w:space="0" w:color="auto"/>
        <w:bottom w:val="none" w:sz="0" w:space="0" w:color="auto"/>
        <w:right w:val="none" w:sz="0" w:space="0" w:color="auto"/>
      </w:divBdr>
    </w:div>
    <w:div w:id="19769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www.copsmodels.com/ftp/workpapr/g-330.pdf" TargetMode="External"/><Relationship Id="rId3" Type="http://schemas.openxmlformats.org/officeDocument/2006/relationships/customXml" Target="../customXml/item3.xml"/><Relationship Id="rId21" Type="http://schemas.openxmlformats.org/officeDocument/2006/relationships/hyperlink" Target="https://www.copsmodels.com/elecpapr/g-254.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doi.org/10.1080/00036846.2025.2480194"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opsmodels.com/elecpapr/g-287.ht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bs.gov.au/statistics/economy/national-accounts/australian-national-accounts-input-output-tables/2022-23" TargetMode="External"/><Relationship Id="rId28" Type="http://schemas.openxmlformats.org/officeDocument/2006/relationships/hyperlink" Target="https://www.copsmodels.com/elecpapr/g-289.htm"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abs.gov.au/statistics/industry/tourism-and-transport/survey-motor-vehicle-use-australia/12-months-ended-30-june-2018" TargetMode="External"/><Relationship Id="rId27" Type="http://schemas.openxmlformats.org/officeDocument/2006/relationships/hyperlink" Target="https://doi.org/10.1080/00036846.2025.250797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ED0D41EE8DCF49ADEF1C4DFAE2AB8E" ma:contentTypeVersion="13" ma:contentTypeDescription="Create a new document." ma:contentTypeScope="" ma:versionID="bf99fef9f312e5dfb6b15daaf7686655">
  <xsd:schema xmlns:xsd="http://www.w3.org/2001/XMLSchema" xmlns:xs="http://www.w3.org/2001/XMLSchema" xmlns:p="http://schemas.microsoft.com/office/2006/metadata/properties" xmlns:ns2="9beb6452-e7b0-403b-b32b-96f5450e506a" xmlns:ns3="7e31a1a6-89bc-44d5-9878-1485f9e27fdf" targetNamespace="http://schemas.microsoft.com/office/2006/metadata/properties" ma:root="true" ma:fieldsID="ceabdf0ee97609b60fbe8b0140f1c0c1" ns2:_="" ns3:_="">
    <xsd:import namespace="9beb6452-e7b0-403b-b32b-96f5450e506a"/>
    <xsd:import namespace="7e31a1a6-89bc-44d5-9878-1485f9e27fdf"/>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b6452-e7b0-403b-b32b-96f5450e506a"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063826c-3045-48f3-a924-99a4d06fde03}" ma:internalName="TaxCatchAll" ma:showField="CatchAllData" ma:web="9beb6452-e7b0-403b-b32b-96f5450e50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31a1a6-89bc-44d5-9878-1485f9e27f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31a1a6-89bc-44d5-9878-1485f9e27fdf">
      <Terms xmlns="http://schemas.microsoft.com/office/infopath/2007/PartnerControls"/>
    </lcf76f155ced4ddcb4097134ff3c332f>
    <i0f84bba906045b4af568ee102a52dcb xmlns="9beb6452-e7b0-403b-b32b-96f5450e506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9beb6452-e7b0-403b-b32b-96f5450e506a">
      <Value>1</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B6874-A9C6-47B0-B128-49D1E41A84E9}">
  <ds:schemaRefs>
    <ds:schemaRef ds:uri="http://schemas.openxmlformats.org/officeDocument/2006/bibliography"/>
  </ds:schemaRefs>
</ds:datastoreItem>
</file>

<file path=customXml/itemProps2.xml><?xml version="1.0" encoding="utf-8"?>
<ds:datastoreItem xmlns:ds="http://schemas.openxmlformats.org/officeDocument/2006/customXml" ds:itemID="{B36CA53C-0A4C-4E0A-8FD2-E70872FDA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b6452-e7b0-403b-b32b-96f5450e506a"/>
    <ds:schemaRef ds:uri="7e31a1a6-89bc-44d5-9878-1485f9e27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D365C-F2E5-4A54-81A0-197E9C2E776E}">
  <ds:schemaRefs>
    <ds:schemaRef ds:uri="http://schemas.microsoft.com/office/2006/metadata/properties"/>
    <ds:schemaRef ds:uri="http://schemas.microsoft.com/office/infopath/2007/PartnerControls"/>
    <ds:schemaRef ds:uri="7e31a1a6-89bc-44d5-9878-1485f9e27fdf"/>
    <ds:schemaRef ds:uri="9beb6452-e7b0-403b-b32b-96f5450e506a"/>
  </ds:schemaRefs>
</ds:datastoreItem>
</file>

<file path=customXml/itemProps4.xml><?xml version="1.0" encoding="utf-8"?>
<ds:datastoreItem xmlns:ds="http://schemas.openxmlformats.org/officeDocument/2006/customXml" ds:itemID="{D3689261-C987-4431-8F1D-EB213B30B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2882</TotalTime>
  <Pages>39</Pages>
  <Words>12388</Words>
  <Characters>70618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Modelling Heavy Vehicle Reforms in Australia using VURMTAX</vt:lpstr>
    </vt:vector>
  </TitlesOfParts>
  <Company>Centre of Policy Studies (CoPS)</Company>
  <LinksUpToDate>false</LinksUpToDate>
  <CharactersWithSpaces>82841</CharactersWithSpaces>
  <SharedDoc>false</SharedDoc>
  <HLinks>
    <vt:vector size="288" baseType="variant">
      <vt:variant>
        <vt:i4>4390976</vt:i4>
      </vt:variant>
      <vt:variant>
        <vt:i4>324</vt:i4>
      </vt:variant>
      <vt:variant>
        <vt:i4>0</vt:i4>
      </vt:variant>
      <vt:variant>
        <vt:i4>5</vt:i4>
      </vt:variant>
      <vt:variant>
        <vt:lpwstr>https://www.copsmodels.com/elecpapr/g-289.htm</vt:lpwstr>
      </vt:variant>
      <vt:variant>
        <vt:lpwstr/>
      </vt:variant>
      <vt:variant>
        <vt:i4>852040</vt:i4>
      </vt:variant>
      <vt:variant>
        <vt:i4>321</vt:i4>
      </vt:variant>
      <vt:variant>
        <vt:i4>0</vt:i4>
      </vt:variant>
      <vt:variant>
        <vt:i4>5</vt:i4>
      </vt:variant>
      <vt:variant>
        <vt:lpwstr>https://doi.org/10.1080/00036846.2025.2507977</vt:lpwstr>
      </vt:variant>
      <vt:variant>
        <vt:lpwstr/>
      </vt:variant>
      <vt:variant>
        <vt:i4>4915200</vt:i4>
      </vt:variant>
      <vt:variant>
        <vt:i4>318</vt:i4>
      </vt:variant>
      <vt:variant>
        <vt:i4>0</vt:i4>
      </vt:variant>
      <vt:variant>
        <vt:i4>5</vt:i4>
      </vt:variant>
      <vt:variant>
        <vt:lpwstr>https://www.copsmodels.com/ftp/workpapr/g-330.pdf</vt:lpwstr>
      </vt:variant>
      <vt:variant>
        <vt:lpwstr/>
      </vt:variant>
      <vt:variant>
        <vt:i4>327752</vt:i4>
      </vt:variant>
      <vt:variant>
        <vt:i4>315</vt:i4>
      </vt:variant>
      <vt:variant>
        <vt:i4>0</vt:i4>
      </vt:variant>
      <vt:variant>
        <vt:i4>5</vt:i4>
      </vt:variant>
      <vt:variant>
        <vt:lpwstr>https://doi.org/10.1080/00036846.2025.2480194</vt:lpwstr>
      </vt:variant>
      <vt:variant>
        <vt:lpwstr/>
      </vt:variant>
      <vt:variant>
        <vt:i4>4390990</vt:i4>
      </vt:variant>
      <vt:variant>
        <vt:i4>312</vt:i4>
      </vt:variant>
      <vt:variant>
        <vt:i4>0</vt:i4>
      </vt:variant>
      <vt:variant>
        <vt:i4>5</vt:i4>
      </vt:variant>
      <vt:variant>
        <vt:lpwstr>https://www.copsmodels.com/elecpapr/g-287.htm</vt:lpwstr>
      </vt:variant>
      <vt:variant>
        <vt:lpwstr/>
      </vt:variant>
      <vt:variant>
        <vt:i4>1769503</vt:i4>
      </vt:variant>
      <vt:variant>
        <vt:i4>309</vt:i4>
      </vt:variant>
      <vt:variant>
        <vt:i4>0</vt:i4>
      </vt:variant>
      <vt:variant>
        <vt:i4>5</vt:i4>
      </vt:variant>
      <vt:variant>
        <vt:lpwstr>https://www.abs.gov.au/statistics/economy/national-accounts/australian-national-accounts-input-output-tables/2022-23</vt:lpwstr>
      </vt:variant>
      <vt:variant>
        <vt:lpwstr/>
      </vt:variant>
      <vt:variant>
        <vt:i4>655390</vt:i4>
      </vt:variant>
      <vt:variant>
        <vt:i4>306</vt:i4>
      </vt:variant>
      <vt:variant>
        <vt:i4>0</vt:i4>
      </vt:variant>
      <vt:variant>
        <vt:i4>5</vt:i4>
      </vt:variant>
      <vt:variant>
        <vt:lpwstr>https://www.abs.gov.au/statistics/industry/tourism-and-transport/survey-motor-vehicle-use-australia/12-months-ended-30-june-2018</vt:lpwstr>
      </vt:variant>
      <vt:variant>
        <vt:lpwstr/>
      </vt:variant>
      <vt:variant>
        <vt:i4>5111885</vt:i4>
      </vt:variant>
      <vt:variant>
        <vt:i4>303</vt:i4>
      </vt:variant>
      <vt:variant>
        <vt:i4>0</vt:i4>
      </vt:variant>
      <vt:variant>
        <vt:i4>5</vt:i4>
      </vt:variant>
      <vt:variant>
        <vt:lpwstr>https://www.copsmodels.com/elecpapr/g-254.htm</vt:lpwstr>
      </vt:variant>
      <vt:variant>
        <vt:lpwstr/>
      </vt:variant>
      <vt:variant>
        <vt:i4>1835068</vt:i4>
      </vt:variant>
      <vt:variant>
        <vt:i4>242</vt:i4>
      </vt:variant>
      <vt:variant>
        <vt:i4>0</vt:i4>
      </vt:variant>
      <vt:variant>
        <vt:i4>5</vt:i4>
      </vt:variant>
      <vt:variant>
        <vt:lpwstr/>
      </vt:variant>
      <vt:variant>
        <vt:lpwstr>_Toc230696780</vt:lpwstr>
      </vt:variant>
      <vt:variant>
        <vt:i4>1245244</vt:i4>
      </vt:variant>
      <vt:variant>
        <vt:i4>236</vt:i4>
      </vt:variant>
      <vt:variant>
        <vt:i4>0</vt:i4>
      </vt:variant>
      <vt:variant>
        <vt:i4>5</vt:i4>
      </vt:variant>
      <vt:variant>
        <vt:lpwstr/>
      </vt:variant>
      <vt:variant>
        <vt:lpwstr>_Toc230696779</vt:lpwstr>
      </vt:variant>
      <vt:variant>
        <vt:i4>1900592</vt:i4>
      </vt:variant>
      <vt:variant>
        <vt:i4>227</vt:i4>
      </vt:variant>
      <vt:variant>
        <vt:i4>0</vt:i4>
      </vt:variant>
      <vt:variant>
        <vt:i4>5</vt:i4>
      </vt:variant>
      <vt:variant>
        <vt:lpwstr/>
      </vt:variant>
      <vt:variant>
        <vt:lpwstr>_Toc230972523</vt:lpwstr>
      </vt:variant>
      <vt:variant>
        <vt:i4>1900592</vt:i4>
      </vt:variant>
      <vt:variant>
        <vt:i4>221</vt:i4>
      </vt:variant>
      <vt:variant>
        <vt:i4>0</vt:i4>
      </vt:variant>
      <vt:variant>
        <vt:i4>5</vt:i4>
      </vt:variant>
      <vt:variant>
        <vt:lpwstr/>
      </vt:variant>
      <vt:variant>
        <vt:lpwstr>_Toc230972522</vt:lpwstr>
      </vt:variant>
      <vt:variant>
        <vt:i4>1900592</vt:i4>
      </vt:variant>
      <vt:variant>
        <vt:i4>215</vt:i4>
      </vt:variant>
      <vt:variant>
        <vt:i4>0</vt:i4>
      </vt:variant>
      <vt:variant>
        <vt:i4>5</vt:i4>
      </vt:variant>
      <vt:variant>
        <vt:lpwstr/>
      </vt:variant>
      <vt:variant>
        <vt:lpwstr>_Toc230972521</vt:lpwstr>
      </vt:variant>
      <vt:variant>
        <vt:i4>1900592</vt:i4>
      </vt:variant>
      <vt:variant>
        <vt:i4>209</vt:i4>
      </vt:variant>
      <vt:variant>
        <vt:i4>0</vt:i4>
      </vt:variant>
      <vt:variant>
        <vt:i4>5</vt:i4>
      </vt:variant>
      <vt:variant>
        <vt:lpwstr/>
      </vt:variant>
      <vt:variant>
        <vt:lpwstr>_Toc230972520</vt:lpwstr>
      </vt:variant>
      <vt:variant>
        <vt:i4>1966128</vt:i4>
      </vt:variant>
      <vt:variant>
        <vt:i4>203</vt:i4>
      </vt:variant>
      <vt:variant>
        <vt:i4>0</vt:i4>
      </vt:variant>
      <vt:variant>
        <vt:i4>5</vt:i4>
      </vt:variant>
      <vt:variant>
        <vt:lpwstr/>
      </vt:variant>
      <vt:variant>
        <vt:lpwstr>_Toc230972519</vt:lpwstr>
      </vt:variant>
      <vt:variant>
        <vt:i4>1966128</vt:i4>
      </vt:variant>
      <vt:variant>
        <vt:i4>197</vt:i4>
      </vt:variant>
      <vt:variant>
        <vt:i4>0</vt:i4>
      </vt:variant>
      <vt:variant>
        <vt:i4>5</vt:i4>
      </vt:variant>
      <vt:variant>
        <vt:lpwstr/>
      </vt:variant>
      <vt:variant>
        <vt:lpwstr>_Toc230972518</vt:lpwstr>
      </vt:variant>
      <vt:variant>
        <vt:i4>1966128</vt:i4>
      </vt:variant>
      <vt:variant>
        <vt:i4>191</vt:i4>
      </vt:variant>
      <vt:variant>
        <vt:i4>0</vt:i4>
      </vt:variant>
      <vt:variant>
        <vt:i4>5</vt:i4>
      </vt:variant>
      <vt:variant>
        <vt:lpwstr/>
      </vt:variant>
      <vt:variant>
        <vt:lpwstr>_Toc230972517</vt:lpwstr>
      </vt:variant>
      <vt:variant>
        <vt:i4>1966128</vt:i4>
      </vt:variant>
      <vt:variant>
        <vt:i4>185</vt:i4>
      </vt:variant>
      <vt:variant>
        <vt:i4>0</vt:i4>
      </vt:variant>
      <vt:variant>
        <vt:i4>5</vt:i4>
      </vt:variant>
      <vt:variant>
        <vt:lpwstr/>
      </vt:variant>
      <vt:variant>
        <vt:lpwstr>_Toc230972516</vt:lpwstr>
      </vt:variant>
      <vt:variant>
        <vt:i4>1966128</vt:i4>
      </vt:variant>
      <vt:variant>
        <vt:i4>179</vt:i4>
      </vt:variant>
      <vt:variant>
        <vt:i4>0</vt:i4>
      </vt:variant>
      <vt:variant>
        <vt:i4>5</vt:i4>
      </vt:variant>
      <vt:variant>
        <vt:lpwstr/>
      </vt:variant>
      <vt:variant>
        <vt:lpwstr>_Toc230972515</vt:lpwstr>
      </vt:variant>
      <vt:variant>
        <vt:i4>1966128</vt:i4>
      </vt:variant>
      <vt:variant>
        <vt:i4>173</vt:i4>
      </vt:variant>
      <vt:variant>
        <vt:i4>0</vt:i4>
      </vt:variant>
      <vt:variant>
        <vt:i4>5</vt:i4>
      </vt:variant>
      <vt:variant>
        <vt:lpwstr/>
      </vt:variant>
      <vt:variant>
        <vt:lpwstr>_Toc230972514</vt:lpwstr>
      </vt:variant>
      <vt:variant>
        <vt:i4>1966128</vt:i4>
      </vt:variant>
      <vt:variant>
        <vt:i4>167</vt:i4>
      </vt:variant>
      <vt:variant>
        <vt:i4>0</vt:i4>
      </vt:variant>
      <vt:variant>
        <vt:i4>5</vt:i4>
      </vt:variant>
      <vt:variant>
        <vt:lpwstr/>
      </vt:variant>
      <vt:variant>
        <vt:lpwstr>_Toc230972513</vt:lpwstr>
      </vt:variant>
      <vt:variant>
        <vt:i4>1966128</vt:i4>
      </vt:variant>
      <vt:variant>
        <vt:i4>161</vt:i4>
      </vt:variant>
      <vt:variant>
        <vt:i4>0</vt:i4>
      </vt:variant>
      <vt:variant>
        <vt:i4>5</vt:i4>
      </vt:variant>
      <vt:variant>
        <vt:lpwstr/>
      </vt:variant>
      <vt:variant>
        <vt:lpwstr>_Toc230972512</vt:lpwstr>
      </vt:variant>
      <vt:variant>
        <vt:i4>1966128</vt:i4>
      </vt:variant>
      <vt:variant>
        <vt:i4>155</vt:i4>
      </vt:variant>
      <vt:variant>
        <vt:i4>0</vt:i4>
      </vt:variant>
      <vt:variant>
        <vt:i4>5</vt:i4>
      </vt:variant>
      <vt:variant>
        <vt:lpwstr/>
      </vt:variant>
      <vt:variant>
        <vt:lpwstr>_Toc230972511</vt:lpwstr>
      </vt:variant>
      <vt:variant>
        <vt:i4>1966128</vt:i4>
      </vt:variant>
      <vt:variant>
        <vt:i4>149</vt:i4>
      </vt:variant>
      <vt:variant>
        <vt:i4>0</vt:i4>
      </vt:variant>
      <vt:variant>
        <vt:i4>5</vt:i4>
      </vt:variant>
      <vt:variant>
        <vt:lpwstr/>
      </vt:variant>
      <vt:variant>
        <vt:lpwstr>_Toc230972510</vt:lpwstr>
      </vt:variant>
      <vt:variant>
        <vt:i4>2031664</vt:i4>
      </vt:variant>
      <vt:variant>
        <vt:i4>143</vt:i4>
      </vt:variant>
      <vt:variant>
        <vt:i4>0</vt:i4>
      </vt:variant>
      <vt:variant>
        <vt:i4>5</vt:i4>
      </vt:variant>
      <vt:variant>
        <vt:lpwstr/>
      </vt:variant>
      <vt:variant>
        <vt:lpwstr>_Toc230972509</vt:lpwstr>
      </vt:variant>
      <vt:variant>
        <vt:i4>2031664</vt:i4>
      </vt:variant>
      <vt:variant>
        <vt:i4>137</vt:i4>
      </vt:variant>
      <vt:variant>
        <vt:i4>0</vt:i4>
      </vt:variant>
      <vt:variant>
        <vt:i4>5</vt:i4>
      </vt:variant>
      <vt:variant>
        <vt:lpwstr/>
      </vt:variant>
      <vt:variant>
        <vt:lpwstr>_Toc230972508</vt:lpwstr>
      </vt:variant>
      <vt:variant>
        <vt:i4>1769520</vt:i4>
      </vt:variant>
      <vt:variant>
        <vt:i4>128</vt:i4>
      </vt:variant>
      <vt:variant>
        <vt:i4>0</vt:i4>
      </vt:variant>
      <vt:variant>
        <vt:i4>5</vt:i4>
      </vt:variant>
      <vt:variant>
        <vt:lpwstr/>
      </vt:variant>
      <vt:variant>
        <vt:lpwstr>_Toc230972545</vt:lpwstr>
      </vt:variant>
      <vt:variant>
        <vt:i4>1769520</vt:i4>
      </vt:variant>
      <vt:variant>
        <vt:i4>122</vt:i4>
      </vt:variant>
      <vt:variant>
        <vt:i4>0</vt:i4>
      </vt:variant>
      <vt:variant>
        <vt:i4>5</vt:i4>
      </vt:variant>
      <vt:variant>
        <vt:lpwstr/>
      </vt:variant>
      <vt:variant>
        <vt:lpwstr>_Toc230972544</vt:lpwstr>
      </vt:variant>
      <vt:variant>
        <vt:i4>1769520</vt:i4>
      </vt:variant>
      <vt:variant>
        <vt:i4>116</vt:i4>
      </vt:variant>
      <vt:variant>
        <vt:i4>0</vt:i4>
      </vt:variant>
      <vt:variant>
        <vt:i4>5</vt:i4>
      </vt:variant>
      <vt:variant>
        <vt:lpwstr/>
      </vt:variant>
      <vt:variant>
        <vt:lpwstr>_Toc230972543</vt:lpwstr>
      </vt:variant>
      <vt:variant>
        <vt:i4>1769520</vt:i4>
      </vt:variant>
      <vt:variant>
        <vt:i4>110</vt:i4>
      </vt:variant>
      <vt:variant>
        <vt:i4>0</vt:i4>
      </vt:variant>
      <vt:variant>
        <vt:i4>5</vt:i4>
      </vt:variant>
      <vt:variant>
        <vt:lpwstr/>
      </vt:variant>
      <vt:variant>
        <vt:lpwstr>_Toc230972542</vt:lpwstr>
      </vt:variant>
      <vt:variant>
        <vt:i4>1769520</vt:i4>
      </vt:variant>
      <vt:variant>
        <vt:i4>104</vt:i4>
      </vt:variant>
      <vt:variant>
        <vt:i4>0</vt:i4>
      </vt:variant>
      <vt:variant>
        <vt:i4>5</vt:i4>
      </vt:variant>
      <vt:variant>
        <vt:lpwstr/>
      </vt:variant>
      <vt:variant>
        <vt:lpwstr>_Toc230972541</vt:lpwstr>
      </vt:variant>
      <vt:variant>
        <vt:i4>1769520</vt:i4>
      </vt:variant>
      <vt:variant>
        <vt:i4>98</vt:i4>
      </vt:variant>
      <vt:variant>
        <vt:i4>0</vt:i4>
      </vt:variant>
      <vt:variant>
        <vt:i4>5</vt:i4>
      </vt:variant>
      <vt:variant>
        <vt:lpwstr/>
      </vt:variant>
      <vt:variant>
        <vt:lpwstr>_Toc230972540</vt:lpwstr>
      </vt:variant>
      <vt:variant>
        <vt:i4>1835056</vt:i4>
      </vt:variant>
      <vt:variant>
        <vt:i4>92</vt:i4>
      </vt:variant>
      <vt:variant>
        <vt:i4>0</vt:i4>
      </vt:variant>
      <vt:variant>
        <vt:i4>5</vt:i4>
      </vt:variant>
      <vt:variant>
        <vt:lpwstr/>
      </vt:variant>
      <vt:variant>
        <vt:lpwstr>_Toc230972539</vt:lpwstr>
      </vt:variant>
      <vt:variant>
        <vt:i4>1835056</vt:i4>
      </vt:variant>
      <vt:variant>
        <vt:i4>86</vt:i4>
      </vt:variant>
      <vt:variant>
        <vt:i4>0</vt:i4>
      </vt:variant>
      <vt:variant>
        <vt:i4>5</vt:i4>
      </vt:variant>
      <vt:variant>
        <vt:lpwstr/>
      </vt:variant>
      <vt:variant>
        <vt:lpwstr>_Toc230972538</vt:lpwstr>
      </vt:variant>
      <vt:variant>
        <vt:i4>1835056</vt:i4>
      </vt:variant>
      <vt:variant>
        <vt:i4>80</vt:i4>
      </vt:variant>
      <vt:variant>
        <vt:i4>0</vt:i4>
      </vt:variant>
      <vt:variant>
        <vt:i4>5</vt:i4>
      </vt:variant>
      <vt:variant>
        <vt:lpwstr/>
      </vt:variant>
      <vt:variant>
        <vt:lpwstr>_Toc230972537</vt:lpwstr>
      </vt:variant>
      <vt:variant>
        <vt:i4>1835056</vt:i4>
      </vt:variant>
      <vt:variant>
        <vt:i4>74</vt:i4>
      </vt:variant>
      <vt:variant>
        <vt:i4>0</vt:i4>
      </vt:variant>
      <vt:variant>
        <vt:i4>5</vt:i4>
      </vt:variant>
      <vt:variant>
        <vt:lpwstr/>
      </vt:variant>
      <vt:variant>
        <vt:lpwstr>_Toc230972536</vt:lpwstr>
      </vt:variant>
      <vt:variant>
        <vt:i4>1835056</vt:i4>
      </vt:variant>
      <vt:variant>
        <vt:i4>68</vt:i4>
      </vt:variant>
      <vt:variant>
        <vt:i4>0</vt:i4>
      </vt:variant>
      <vt:variant>
        <vt:i4>5</vt:i4>
      </vt:variant>
      <vt:variant>
        <vt:lpwstr/>
      </vt:variant>
      <vt:variant>
        <vt:lpwstr>_Toc230972535</vt:lpwstr>
      </vt:variant>
      <vt:variant>
        <vt:i4>1835056</vt:i4>
      </vt:variant>
      <vt:variant>
        <vt:i4>62</vt:i4>
      </vt:variant>
      <vt:variant>
        <vt:i4>0</vt:i4>
      </vt:variant>
      <vt:variant>
        <vt:i4>5</vt:i4>
      </vt:variant>
      <vt:variant>
        <vt:lpwstr/>
      </vt:variant>
      <vt:variant>
        <vt:lpwstr>_Toc230972534</vt:lpwstr>
      </vt:variant>
      <vt:variant>
        <vt:i4>1835056</vt:i4>
      </vt:variant>
      <vt:variant>
        <vt:i4>56</vt:i4>
      </vt:variant>
      <vt:variant>
        <vt:i4>0</vt:i4>
      </vt:variant>
      <vt:variant>
        <vt:i4>5</vt:i4>
      </vt:variant>
      <vt:variant>
        <vt:lpwstr/>
      </vt:variant>
      <vt:variant>
        <vt:lpwstr>_Toc230972533</vt:lpwstr>
      </vt:variant>
      <vt:variant>
        <vt:i4>1835056</vt:i4>
      </vt:variant>
      <vt:variant>
        <vt:i4>50</vt:i4>
      </vt:variant>
      <vt:variant>
        <vt:i4>0</vt:i4>
      </vt:variant>
      <vt:variant>
        <vt:i4>5</vt:i4>
      </vt:variant>
      <vt:variant>
        <vt:lpwstr/>
      </vt:variant>
      <vt:variant>
        <vt:lpwstr>_Toc230972532</vt:lpwstr>
      </vt:variant>
      <vt:variant>
        <vt:i4>1835056</vt:i4>
      </vt:variant>
      <vt:variant>
        <vt:i4>44</vt:i4>
      </vt:variant>
      <vt:variant>
        <vt:i4>0</vt:i4>
      </vt:variant>
      <vt:variant>
        <vt:i4>5</vt:i4>
      </vt:variant>
      <vt:variant>
        <vt:lpwstr/>
      </vt:variant>
      <vt:variant>
        <vt:lpwstr>_Toc230972531</vt:lpwstr>
      </vt:variant>
      <vt:variant>
        <vt:i4>1835056</vt:i4>
      </vt:variant>
      <vt:variant>
        <vt:i4>38</vt:i4>
      </vt:variant>
      <vt:variant>
        <vt:i4>0</vt:i4>
      </vt:variant>
      <vt:variant>
        <vt:i4>5</vt:i4>
      </vt:variant>
      <vt:variant>
        <vt:lpwstr/>
      </vt:variant>
      <vt:variant>
        <vt:lpwstr>_Toc230972530</vt:lpwstr>
      </vt:variant>
      <vt:variant>
        <vt:i4>1900592</vt:i4>
      </vt:variant>
      <vt:variant>
        <vt:i4>32</vt:i4>
      </vt:variant>
      <vt:variant>
        <vt:i4>0</vt:i4>
      </vt:variant>
      <vt:variant>
        <vt:i4>5</vt:i4>
      </vt:variant>
      <vt:variant>
        <vt:lpwstr/>
      </vt:variant>
      <vt:variant>
        <vt:lpwstr>_Toc230972529</vt:lpwstr>
      </vt:variant>
      <vt:variant>
        <vt:i4>1900592</vt:i4>
      </vt:variant>
      <vt:variant>
        <vt:i4>26</vt:i4>
      </vt:variant>
      <vt:variant>
        <vt:i4>0</vt:i4>
      </vt:variant>
      <vt:variant>
        <vt:i4>5</vt:i4>
      </vt:variant>
      <vt:variant>
        <vt:lpwstr/>
      </vt:variant>
      <vt:variant>
        <vt:lpwstr>_Toc230972528</vt:lpwstr>
      </vt:variant>
      <vt:variant>
        <vt:i4>1900592</vt:i4>
      </vt:variant>
      <vt:variant>
        <vt:i4>20</vt:i4>
      </vt:variant>
      <vt:variant>
        <vt:i4>0</vt:i4>
      </vt:variant>
      <vt:variant>
        <vt:i4>5</vt:i4>
      </vt:variant>
      <vt:variant>
        <vt:lpwstr/>
      </vt:variant>
      <vt:variant>
        <vt:lpwstr>_Toc230972527</vt:lpwstr>
      </vt:variant>
      <vt:variant>
        <vt:i4>1900592</vt:i4>
      </vt:variant>
      <vt:variant>
        <vt:i4>14</vt:i4>
      </vt:variant>
      <vt:variant>
        <vt:i4>0</vt:i4>
      </vt:variant>
      <vt:variant>
        <vt:i4>5</vt:i4>
      </vt:variant>
      <vt:variant>
        <vt:lpwstr/>
      </vt:variant>
      <vt:variant>
        <vt:lpwstr>_Toc230972526</vt:lpwstr>
      </vt:variant>
      <vt:variant>
        <vt:i4>1900592</vt:i4>
      </vt:variant>
      <vt:variant>
        <vt:i4>8</vt:i4>
      </vt:variant>
      <vt:variant>
        <vt:i4>0</vt:i4>
      </vt:variant>
      <vt:variant>
        <vt:i4>5</vt:i4>
      </vt:variant>
      <vt:variant>
        <vt:lpwstr/>
      </vt:variant>
      <vt:variant>
        <vt:lpwstr>_Toc230972525</vt:lpwstr>
      </vt:variant>
      <vt:variant>
        <vt:i4>1900592</vt:i4>
      </vt:variant>
      <vt:variant>
        <vt:i4>2</vt:i4>
      </vt:variant>
      <vt:variant>
        <vt:i4>0</vt:i4>
      </vt:variant>
      <vt:variant>
        <vt:i4>5</vt:i4>
      </vt:variant>
      <vt:variant>
        <vt:lpwstr/>
      </vt:variant>
      <vt:variant>
        <vt:lpwstr>_Toc230972524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Modelling Heavy Vehicle Reforms in Australia using VURMTAX</dc:title>
  <dc:subject/>
  <dc:creator>Centre of Policy Studies (CoPS)</dc:creator>
  <cp:keywords/>
  <dc:description/>
  <cp:lastModifiedBy>Chris Alston</cp:lastModifiedBy>
  <cp:revision>1315</cp:revision>
  <dcterms:created xsi:type="dcterms:W3CDTF">2026-06-01T18:01:00Z</dcterms:created>
  <dcterms:modified xsi:type="dcterms:W3CDTF">2026-07-22T00:34:00Z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2026-05-18T06:51:59Z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0086256e-9907-476e-87d9-0b6d99597b04</vt:lpwstr>
  </property>
  <property fmtid="{D5CDD505-2E9C-101B-9397-08002B2CF9AE}" pid="8" name="MSIP_Label_d7dc88d9-fa17-47eb-a208-3e66f59d50e5_ContentBits">
    <vt:lpwstr>0</vt:lpwstr>
  </property>
  <property fmtid="{D5CDD505-2E9C-101B-9397-08002B2CF9AE}" pid="9" name="MSIP_Label_d7dc88d9-fa17-47eb-a208-3e66f59d50e5_Tag">
    <vt:lpwstr>10, 3, 0, 1</vt:lpwstr>
  </property>
  <property fmtid="{D5CDD505-2E9C-101B-9397-08002B2CF9AE}" pid="10" name="ContentTypeId">
    <vt:lpwstr>0x010100DFED0D41EE8DCF49ADEF1C4DFAE2AB8E</vt:lpwstr>
  </property>
  <property fmtid="{D5CDD505-2E9C-101B-9397-08002B2CF9AE}" pid="11" name="ClassificationContentMarkingHeaderShapeIds">
    <vt:lpwstr>392bc803,6a73d8cc,4a516106,4971929e</vt:lpwstr>
  </property>
  <property fmtid="{D5CDD505-2E9C-101B-9397-08002B2CF9AE}" pid="12" name="ClassificationContentMarkingHeaderFontProps">
    <vt:lpwstr>#000000,12,Aptos</vt:lpwstr>
  </property>
  <property fmtid="{D5CDD505-2E9C-101B-9397-08002B2CF9AE}" pid="13" name="ClassificationContentMarkingHeaderText">
    <vt:lpwstr>OFFICIAL // FOR INTERNAL USE ONLY</vt:lpwstr>
  </property>
  <property fmtid="{D5CDD505-2E9C-101B-9397-08002B2CF9AE}" pid="14" name="MediaServiceImageTags">
    <vt:lpwstr/>
  </property>
  <property fmtid="{D5CDD505-2E9C-101B-9397-08002B2CF9AE}" pid="15" name="RevIMBCS">
    <vt:lpwstr>1;#Unclassified|3955eeb1-2d18-4582-aeb2-00144ec3aaf5</vt:lpwstr>
  </property>
  <property fmtid="{D5CDD505-2E9C-101B-9397-08002B2CF9AE}" pid="16" name="MSIP_Label_c1f2b1ce-4212-46db-a901-dd8453f57141_Enabled">
    <vt:lpwstr>true</vt:lpwstr>
  </property>
  <property fmtid="{D5CDD505-2E9C-101B-9397-08002B2CF9AE}" pid="17" name="MSIP_Label_c1f2b1ce-4212-46db-a901-dd8453f57141_SetDate">
    <vt:lpwstr>2026-07-22T00:30:14Z</vt:lpwstr>
  </property>
  <property fmtid="{D5CDD505-2E9C-101B-9397-08002B2CF9AE}" pid="18" name="MSIP_Label_c1f2b1ce-4212-46db-a901-dd8453f57141_Method">
    <vt:lpwstr>Privileged</vt:lpwstr>
  </property>
  <property fmtid="{D5CDD505-2E9C-101B-9397-08002B2CF9AE}" pid="19" name="MSIP_Label_c1f2b1ce-4212-46db-a901-dd8453f57141_Name">
    <vt:lpwstr>Publish</vt:lpwstr>
  </property>
  <property fmtid="{D5CDD505-2E9C-101B-9397-08002B2CF9AE}" pid="20" name="MSIP_Label_c1f2b1ce-4212-46db-a901-dd8453f57141_SiteId">
    <vt:lpwstr>29f9330b-c0fe-4244-830e-ba9f275d6c34</vt:lpwstr>
  </property>
  <property fmtid="{D5CDD505-2E9C-101B-9397-08002B2CF9AE}" pid="21" name="MSIP_Label_c1f2b1ce-4212-46db-a901-dd8453f57141_ActionId">
    <vt:lpwstr>839c2b55-7909-4c2b-be9f-13f8c8242031</vt:lpwstr>
  </property>
  <property fmtid="{D5CDD505-2E9C-101B-9397-08002B2CF9AE}" pid="22" name="MSIP_Label_c1f2b1ce-4212-46db-a901-dd8453f57141_ContentBits">
    <vt:lpwstr>0</vt:lpwstr>
  </property>
  <property fmtid="{D5CDD505-2E9C-101B-9397-08002B2CF9AE}" pid="23" name="MSIP_Label_c1f2b1ce-4212-46db-a901-dd8453f57141_Tag">
    <vt:lpwstr>10, 0, 1, 1</vt:lpwstr>
  </property>
</Properties>
</file>