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D358" w14:textId="48DA1C33" w:rsidR="009C23AF" w:rsidRPr="00404FAD" w:rsidRDefault="009C23AF" w:rsidP="008109C2">
      <w:pPr>
        <w:pStyle w:val="BodyText"/>
        <w:tabs>
          <w:tab w:val="left" w:pos="3544"/>
        </w:tabs>
        <w:spacing w:after="0"/>
      </w:pPr>
    </w:p>
    <w:sdt>
      <w:sdtPr>
        <w:id w:val="-228914026"/>
        <w:docPartObj>
          <w:docPartGallery w:val="Cover Pages"/>
          <w:docPartUnique/>
        </w:docPartObj>
      </w:sdtPr>
      <w:sdtEndPr>
        <w:rPr>
          <w:sz w:val="2"/>
          <w:szCs w:val="2"/>
        </w:rPr>
      </w:sdtEndPr>
      <w:sdtContent>
        <w:p w14:paraId="1179BDC0" w14:textId="567CF8D8" w:rsidR="0049695F" w:rsidRPr="009D0962" w:rsidRDefault="00306D43" w:rsidP="009D0962">
          <w:pPr>
            <w:pStyle w:val="BodyText"/>
            <w:tabs>
              <w:tab w:val="left" w:pos="3544"/>
            </w:tabs>
            <w:spacing w:after="0"/>
            <w:rPr>
              <w:rStyle w:val="TitleChar"/>
            </w:rPr>
          </w:pPr>
          <w:r w:rsidRPr="009D0962">
            <w:rPr>
              <w:rStyle w:val="TitleChar"/>
            </w:rPr>
            <w:t>Impacts of heavy vehicle reform</w:t>
          </w:r>
        </w:p>
        <w:p w14:paraId="16009CCF" w14:textId="3269EAEA" w:rsidR="00CE1DCD" w:rsidRPr="00B655A0" w:rsidRDefault="009B6B1E" w:rsidP="001A0356">
          <w:pPr>
            <w:pStyle w:val="Coverdate"/>
            <w:framePr w:w="1253" w:wrap="around" w:hAnchor="page" w:x="9515" w:y="15532"/>
            <w:rPr>
              <w:rFonts w:cs="Open Sans Semibold"/>
              <w:b/>
              <w:bCs/>
              <w:color w:val="E0F1F7" w:themeColor="accent1" w:themeTint="33"/>
              <w:szCs w:val="18"/>
            </w:rPr>
          </w:pPr>
          <w:r w:rsidRPr="00B655A0">
            <w:rPr>
              <w:rFonts w:cs="Open Sans Semibold"/>
              <w:b/>
              <w:bCs/>
              <w:color w:val="E0F1F7" w:themeColor="accent1" w:themeTint="33"/>
              <w:szCs w:val="18"/>
            </w:rPr>
            <w:t>June</w:t>
          </w:r>
          <w:r w:rsidR="003959BC" w:rsidRPr="00B655A0">
            <w:rPr>
              <w:rFonts w:cs="Open Sans Semibold"/>
              <w:b/>
              <w:bCs/>
              <w:color w:val="E0F1F7" w:themeColor="accent1" w:themeTint="33"/>
              <w:szCs w:val="18"/>
            </w:rPr>
            <w:t xml:space="preserve"> 2026</w:t>
          </w:r>
        </w:p>
        <w:p w14:paraId="3D2F5D43" w14:textId="16780E7A" w:rsidR="0049695F" w:rsidRPr="00785C6D" w:rsidRDefault="009B6B1E" w:rsidP="009D0962">
          <w:pPr>
            <w:pStyle w:val="Subtitle"/>
            <w:rPr>
              <w:sz w:val="28"/>
              <w:szCs w:val="28"/>
            </w:rPr>
          </w:pPr>
          <w:r w:rsidRPr="009D0962">
            <w:rPr>
              <w:sz w:val="52"/>
              <w:szCs w:val="52"/>
            </w:rPr>
            <w:t>Study</w:t>
          </w:r>
          <w:r w:rsidR="00B342E3" w:rsidRPr="009D0962">
            <w:rPr>
              <w:sz w:val="52"/>
              <w:szCs w:val="52"/>
            </w:rPr>
            <w:t xml:space="preserve"> </w:t>
          </w:r>
          <w:r w:rsidR="00670F22" w:rsidRPr="009D0962">
            <w:rPr>
              <w:sz w:val="52"/>
              <w:szCs w:val="52"/>
            </w:rPr>
            <w:t>r</w:t>
          </w:r>
          <w:r w:rsidR="00B342E3" w:rsidRPr="009D0962">
            <w:rPr>
              <w:sz w:val="52"/>
              <w:szCs w:val="52"/>
            </w:rPr>
            <w:t>epor</w:t>
          </w:r>
          <w:r w:rsidR="00670F22" w:rsidRPr="009D0962">
            <w:rPr>
              <w:sz w:val="52"/>
              <w:szCs w:val="52"/>
            </w:rPr>
            <w:t>t</w:t>
          </w:r>
          <w:r w:rsidR="00785C6D">
            <w:rPr>
              <w:sz w:val="52"/>
              <w:szCs w:val="52"/>
            </w:rPr>
            <w:br/>
          </w:r>
          <w:r w:rsidR="00785C6D">
            <w:rPr>
              <w:sz w:val="28"/>
              <w:szCs w:val="28"/>
            </w:rPr>
            <w:t>Overview</w:t>
          </w:r>
        </w:p>
        <w:p w14:paraId="26855D93" w14:textId="492403BF" w:rsidR="00166FE4" w:rsidRPr="00404FAD" w:rsidRDefault="00166FE4" w:rsidP="0049695F">
          <w:pPr>
            <w:spacing w:after="160" w:line="259" w:lineRule="auto"/>
          </w:pPr>
        </w:p>
        <w:p w14:paraId="5D1996D9" w14:textId="77777777" w:rsidR="00B302FA" w:rsidRPr="00404FAD" w:rsidRDefault="00B302FA" w:rsidP="0049695F">
          <w:pPr>
            <w:pStyle w:val="CoverImage"/>
            <w:framePr w:wrap="around"/>
            <w:rPr>
              <w:b/>
              <w:bCs/>
              <w:color w:val="1C4373" w:themeColor="background2" w:themeShade="BF"/>
              <w:sz w:val="28"/>
              <w:szCs w:val="28"/>
            </w:rPr>
            <w:sectPr w:rsidR="00B302FA" w:rsidRPr="00404FAD" w:rsidSect="002E3F19">
              <w:footerReference w:type="even" r:id="rId14"/>
              <w:footerReference w:type="default" r:id="rId15"/>
              <w:headerReference w:type="first" r:id="rId16"/>
              <w:footerReference w:type="first" r:id="rId17"/>
              <w:pgSz w:w="11906" w:h="16838" w:code="9"/>
              <w:pgMar w:top="2835" w:right="1134" w:bottom="1134" w:left="1134" w:header="624" w:footer="510" w:gutter="0"/>
              <w:pgNumType w:fmt="lowerRoman"/>
              <w:cols w:space="708"/>
              <w:titlePg/>
              <w:docGrid w:linePitch="360"/>
            </w:sectPr>
          </w:pPr>
        </w:p>
        <w:p w14:paraId="1AFAC103" w14:textId="17E03E95" w:rsidR="002C2CA2" w:rsidRPr="00404FAD" w:rsidRDefault="00000000" w:rsidP="005E0B10">
          <w:pPr>
            <w:pStyle w:val="NoSpacing"/>
            <w:spacing w:line="20" w:lineRule="exact"/>
            <w:rPr>
              <w:color w:val="FFFFFF" w:themeColor="background1"/>
              <w:sz w:val="2"/>
              <w:szCs w:val="2"/>
            </w:rPr>
          </w:pPr>
        </w:p>
      </w:sdtContent>
    </w:sdt>
    <w:p w14:paraId="3AC66A1D" w14:textId="4BFB9436" w:rsidR="00705FE8" w:rsidRPr="00404FAD" w:rsidRDefault="009935FE" w:rsidP="00436D93">
      <w:pPr>
        <w:pStyle w:val="Heading1-nobackground"/>
        <w:spacing w:before="0" w:after="0" w:line="20" w:lineRule="exact"/>
        <w:rPr>
          <w:color w:val="FFFFFF" w:themeColor="background1"/>
          <w:sz w:val="2"/>
          <w:szCs w:val="2"/>
        </w:rPr>
      </w:pPr>
      <w:bookmarkStart w:id="0" w:name="_Toc233112097"/>
      <w:bookmarkStart w:id="1" w:name="_Toc233296294"/>
      <w:r w:rsidRPr="00404FAD">
        <w:rPr>
          <w:color w:val="FFFFFF" w:themeColor="background1"/>
          <w:sz w:val="2"/>
          <w:szCs w:val="2"/>
        </w:rPr>
        <w:t>Copy</w:t>
      </w:r>
      <w:r w:rsidR="00B67C6B" w:rsidRPr="00404FAD">
        <w:rPr>
          <w:color w:val="FFFFFF" w:themeColor="background1"/>
          <w:sz w:val="2"/>
          <w:szCs w:val="2"/>
        </w:rPr>
        <w:t>right and publications deta</w:t>
      </w:r>
      <w:bookmarkEnd w:id="0"/>
      <w:bookmarkEnd w:id="1"/>
      <w:r w:rsidR="000D55C7">
        <w:rPr>
          <w:color w:val="FFFFFF" w:themeColor="background1"/>
          <w:sz w:val="2"/>
          <w:szCs w:val="2"/>
        </w:rPr>
        <w:t>ils</w:t>
      </w:r>
    </w:p>
    <w:tbl>
      <w:tblPr>
        <w:tblStyle w:val="CopyrightPage"/>
        <w:tblW w:w="0" w:type="auto"/>
        <w:shd w:val="clear" w:color="auto" w:fill="E7F6FD"/>
        <w:tblLook w:val="04A0" w:firstRow="1" w:lastRow="0" w:firstColumn="1" w:lastColumn="0" w:noHBand="0" w:noVBand="1"/>
      </w:tblPr>
      <w:tblGrid>
        <w:gridCol w:w="9638"/>
      </w:tblGrid>
      <w:tr w:rsidR="00705FE8" w:rsidRPr="00925993" w14:paraId="0B12A8DD" w14:textId="77777777" w:rsidTr="0061064B">
        <w:trPr>
          <w:trHeight w:hRule="exact" w:val="12983"/>
        </w:trPr>
        <w:tc>
          <w:tcPr>
            <w:tcW w:w="9638" w:type="dxa"/>
            <w:shd w:val="clear" w:color="auto" w:fill="E7F6FD"/>
            <w:tcMar>
              <w:top w:w="113" w:type="dxa"/>
            </w:tcMar>
            <w:vAlign w:val="top"/>
          </w:tcPr>
          <w:p w14:paraId="5FF46AC8" w14:textId="538F46C9" w:rsidR="00E72763" w:rsidRPr="00404FAD" w:rsidRDefault="00705FE8" w:rsidP="00E72763">
            <w:pPr>
              <w:pStyle w:val="Copyrightpage-Heading"/>
              <w:spacing w:before="240"/>
              <w:ind w:right="-284"/>
              <w:rPr>
                <w:color w:val="000000" w:themeColor="text1"/>
              </w:rPr>
            </w:pPr>
            <w:r w:rsidRPr="00404FAD">
              <w:rPr>
                <w:rStyle w:val="White"/>
                <w:bCs/>
                <w:color w:val="000000" w:themeColor="text1"/>
              </w:rPr>
              <w:br w:type="page"/>
            </w:r>
            <w:r w:rsidR="00E72763" w:rsidRPr="00404FAD">
              <w:rPr>
                <w:color w:val="000000" w:themeColor="text1"/>
              </w:rPr>
              <w:t>Acknowledgement of Country</w:t>
            </w:r>
          </w:p>
          <w:p w14:paraId="68E1BEC9" w14:textId="3A9B77A5" w:rsidR="00705FE8" w:rsidRPr="00404FAD" w:rsidRDefault="00E72763" w:rsidP="00582808">
            <w:pPr>
              <w:pStyle w:val="Copyrightpage-BodyBold"/>
              <w:spacing w:before="240"/>
              <w:ind w:right="-284"/>
              <w:rPr>
                <w:rFonts w:ascii="Arial" w:hAnsi="Arial" w:cs="Arial"/>
                <w:b w:val="0"/>
                <w:color w:val="auto"/>
                <w:spacing w:val="2"/>
              </w:rPr>
            </w:pPr>
            <w:r w:rsidRPr="00404FAD">
              <w:rPr>
                <w:rFonts w:ascii="Arial" w:hAnsi="Arial" w:cs="Arial"/>
                <w:bCs/>
                <w:noProof/>
                <w:color w:val="auto"/>
                <w:spacing w:val="2"/>
              </w:rPr>
              <w:drawing>
                <wp:anchor distT="0" distB="0" distL="114300" distR="114300" simplePos="0" relativeHeight="251658240" behindDoc="0" locked="0" layoutInCell="1" allowOverlap="1" wp14:anchorId="65E4D4E3" wp14:editId="47F695AD">
                  <wp:simplePos x="0" y="0"/>
                  <wp:positionH relativeFrom="column">
                    <wp:posOffset>0</wp:posOffset>
                  </wp:positionH>
                  <wp:positionV relativeFrom="paragraph">
                    <wp:posOffset>66766</wp:posOffset>
                  </wp:positionV>
                  <wp:extent cx="629920" cy="636905"/>
                  <wp:effectExtent l="0" t="0" r="0" b="0"/>
                  <wp:wrapSquare wrapText="bothSides"/>
                  <wp:docPr id="2554509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50902" name="Picture 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FE8" w:rsidRPr="00404FAD">
              <w:rPr>
                <w:rFonts w:ascii="Arial" w:hAnsi="Arial" w:cs="Arial"/>
                <w:b w:val="0"/>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37612692" w14:textId="77777777" w:rsidR="00705FE8" w:rsidRPr="00404FAD" w:rsidRDefault="00705FE8" w:rsidP="00494E13">
            <w:pPr>
              <w:pStyle w:val="Copyrightpage-Keylinenotext"/>
              <w:ind w:right="-284"/>
              <w:rPr>
                <w:rFonts w:ascii="Arial" w:hAnsi="Arial" w:cs="Arial"/>
                <w:color w:val="auto"/>
                <w:spacing w:val="2"/>
                <w:szCs w:val="20"/>
              </w:rPr>
            </w:pPr>
          </w:p>
          <w:p w14:paraId="25118B0E" w14:textId="77777777" w:rsidR="00705FE8" w:rsidRPr="00404FAD" w:rsidRDefault="00705FE8" w:rsidP="00494E13">
            <w:pPr>
              <w:pStyle w:val="Copyrightpage-Heading"/>
              <w:ind w:right="-284"/>
              <w:rPr>
                <w:bCs/>
                <w:color w:val="000000" w:themeColor="text1"/>
              </w:rPr>
            </w:pPr>
            <w:r w:rsidRPr="00404FAD">
              <w:rPr>
                <w:bCs/>
                <w:color w:val="000000" w:themeColor="text1"/>
              </w:rPr>
              <w:t>About us</w:t>
            </w:r>
          </w:p>
          <w:p w14:paraId="2D104DA9" w14:textId="0CDBB519" w:rsidR="00705FE8" w:rsidRPr="00404FAD" w:rsidRDefault="00705FE8" w:rsidP="00494E13">
            <w:pPr>
              <w:pStyle w:val="Copyrightpage-BodyBold"/>
              <w:rPr>
                <w:b w:val="0"/>
                <w:bCs/>
                <w:spacing w:val="-2"/>
              </w:rPr>
            </w:pPr>
            <w:r w:rsidRPr="00404FAD">
              <w:rPr>
                <w:b w:val="0"/>
                <w:bCs/>
                <w:spacing w:val="-2"/>
              </w:rPr>
              <w:t xml:space="preserve">The </w:t>
            </w:r>
            <w:r w:rsidR="00931DF2" w:rsidRPr="00404FAD">
              <w:rPr>
                <w:b w:val="0"/>
                <w:bCs/>
                <w:spacing w:val="-2"/>
              </w:rPr>
              <w:t>P</w:t>
            </w:r>
            <w:r w:rsidR="007F7326" w:rsidRPr="00404FAD">
              <w:rPr>
                <w:b w:val="0"/>
                <w:bCs/>
                <w:spacing w:val="-2"/>
              </w:rPr>
              <w:t>roductivity Commission</w:t>
            </w:r>
            <w:r w:rsidR="00931DF2" w:rsidRPr="00404FAD">
              <w:rPr>
                <w:b w:val="0"/>
                <w:bCs/>
                <w:spacing w:val="-2"/>
              </w:rPr>
              <w:t xml:space="preserve"> </w:t>
            </w:r>
            <w:r w:rsidRPr="00404FAD">
              <w:rPr>
                <w:b w:val="0"/>
                <w:bCs/>
                <w:spacing w:val="-2"/>
              </w:rPr>
              <w:t>is the Australian Government’s independent research and advisory body on a range of economic, social and environmental issues affecting the welfare of Australians. Its role, expressed most simply, is to help governments make better policies, in the long-term interest of the Australian community.</w:t>
            </w:r>
          </w:p>
          <w:p w14:paraId="6580215C" w14:textId="77777777" w:rsidR="00705FE8" w:rsidRPr="00404FAD" w:rsidRDefault="00705FE8" w:rsidP="00494E13">
            <w:pPr>
              <w:pStyle w:val="Copyrightpage-BodyBold"/>
              <w:rPr>
                <w:b w:val="0"/>
                <w:bCs/>
              </w:rPr>
            </w:pPr>
            <w:r w:rsidRPr="00404FAD">
              <w:rPr>
                <w:b w:val="0"/>
                <w:bCs/>
              </w:rPr>
              <w:t xml:space="preserve">The PC’s independence is underpinned by an Act of Parliament. Its processes and outputs are open to public scrutiny and are driven by concern for the wellbeing of the </w:t>
            </w:r>
            <w:proofErr w:type="gramStart"/>
            <w:r w:rsidRPr="00404FAD">
              <w:rPr>
                <w:b w:val="0"/>
                <w:bCs/>
              </w:rPr>
              <w:t>community as a whole</w:t>
            </w:r>
            <w:proofErr w:type="gramEnd"/>
            <w:r w:rsidRPr="00404FAD">
              <w:rPr>
                <w:b w:val="0"/>
                <w:bCs/>
              </w:rPr>
              <w:t>.</w:t>
            </w:r>
          </w:p>
          <w:p w14:paraId="7F8CC5DF" w14:textId="22D4F5E7" w:rsidR="00705FE8" w:rsidRPr="00404FAD" w:rsidRDefault="00705FE8" w:rsidP="00494E13">
            <w:pPr>
              <w:pStyle w:val="Copyrightpage-BodyBold"/>
              <w:rPr>
                <w:b w:val="0"/>
                <w:bCs/>
                <w:spacing w:val="-4"/>
              </w:rPr>
            </w:pPr>
            <w:r w:rsidRPr="00404FAD">
              <w:rPr>
                <w:b w:val="0"/>
                <w:bCs/>
                <w:spacing w:val="-4"/>
              </w:rPr>
              <w:t xml:space="preserve">For more information, visit the PC’s website: </w:t>
            </w:r>
            <w:hyperlink r:id="rId19" w:history="1">
              <w:r w:rsidR="00385513" w:rsidRPr="00404FAD">
                <w:rPr>
                  <w:rStyle w:val="Hyperlink"/>
                  <w:b w:val="0"/>
                  <w:bCs/>
                  <w:spacing w:val="-4"/>
                </w:rPr>
                <w:t>www.pc.gov.au</w:t>
              </w:r>
            </w:hyperlink>
          </w:p>
          <w:p w14:paraId="568FFB17" w14:textId="77777777" w:rsidR="00705FE8" w:rsidRPr="00404FAD" w:rsidRDefault="00705FE8" w:rsidP="00494E13">
            <w:pPr>
              <w:pStyle w:val="Copyrightpage-Keylinenotext"/>
              <w:ind w:right="-284"/>
              <w:rPr>
                <w:bCs/>
                <w:color w:val="000000" w:themeColor="text1"/>
              </w:rPr>
            </w:pPr>
          </w:p>
          <w:p w14:paraId="6CA07D97" w14:textId="03B93696" w:rsidR="00705FE8" w:rsidRPr="00404FAD" w:rsidRDefault="00705FE8" w:rsidP="00494E13">
            <w:pPr>
              <w:pStyle w:val="Copyrightpage-BodyBold"/>
              <w:rPr>
                <w:b w:val="0"/>
                <w:bCs/>
              </w:rPr>
            </w:pPr>
            <w:r w:rsidRPr="00404FAD">
              <w:rPr>
                <w:b w:val="0"/>
                <w:bCs/>
              </w:rPr>
              <w:t>© Commonwealth of Australia 202</w:t>
            </w:r>
            <w:r w:rsidR="00A00E65" w:rsidRPr="00404FAD">
              <w:rPr>
                <w:b w:val="0"/>
                <w:bCs/>
              </w:rPr>
              <w:t>6</w:t>
            </w:r>
          </w:p>
          <w:p w14:paraId="63FEFAB2" w14:textId="77777777" w:rsidR="00705FE8" w:rsidRPr="00404FAD" w:rsidRDefault="00705FE8" w:rsidP="00494E13">
            <w:pPr>
              <w:pStyle w:val="Copyrightpage-Heading2"/>
              <w:spacing w:before="0"/>
              <w:ind w:right="-284"/>
              <w:rPr>
                <w:b w:val="0"/>
                <w:bCs/>
                <w:color w:val="000000" w:themeColor="text1"/>
              </w:rPr>
            </w:pPr>
            <w:r w:rsidRPr="00404FAD">
              <w:rPr>
                <w:b w:val="0"/>
                <w:bCs/>
                <w:noProof/>
                <w:color w:val="000000" w:themeColor="text1"/>
              </w:rPr>
              <w:drawing>
                <wp:inline distT="0" distB="0" distL="0" distR="0" wp14:anchorId="12E49B17" wp14:editId="671E773A">
                  <wp:extent cx="774000" cy="270000"/>
                  <wp:effectExtent l="0" t="0" r="7620" b="0"/>
                  <wp:docPr id="6" name="Graphic 5" descr="CC-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By logo">
                            <a:extLst>
                              <a:ext uri="{FF2B5EF4-FFF2-40B4-BE49-F238E27FC236}">
                                <a16:creationId xmlns:a16="http://schemas.microsoft.com/office/drawing/2014/main" id="{F54E5013-412A-4F91-9DD3-DA71DB1337DF}"/>
                              </a:ext>
                            </a:extLst>
                          </pic:cNvPr>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774000" cy="270000"/>
                          </a:xfrm>
                          <a:prstGeom prst="rect">
                            <a:avLst/>
                          </a:prstGeom>
                        </pic:spPr>
                      </pic:pic>
                    </a:graphicData>
                  </a:graphic>
                </wp:inline>
              </w:drawing>
            </w:r>
          </w:p>
          <w:p w14:paraId="47E46DC8" w14:textId="129BCE4C" w:rsidR="00705FE8" w:rsidRPr="00404FAD" w:rsidRDefault="00166FE4" w:rsidP="00494E13">
            <w:pPr>
              <w:pStyle w:val="Copyrightpage-BodyBold"/>
              <w:ind w:right="-143"/>
              <w:rPr>
                <w:b w:val="0"/>
                <w:bCs/>
              </w:rPr>
            </w:pPr>
            <w:r w:rsidRPr="00404FAD">
              <w:rPr>
                <w:b w:val="0"/>
                <w:bCs/>
              </w:rPr>
              <w:t>Except for</w:t>
            </w:r>
            <w:r w:rsidR="00705FE8" w:rsidRPr="00404FAD">
              <w:rPr>
                <w:b w:val="0"/>
                <w:bCs/>
              </w:rPr>
              <w:t xml:space="preserve"> the Commonwealth Coat of Arms and content supplied by third parties, this copyright work is licensed under a Creative Commons Attribution 4.0 International licence. In essence, you are free to copy, communicate and adapt the work, </w:t>
            </w:r>
            <w:proofErr w:type="gramStart"/>
            <w:r w:rsidR="00705FE8" w:rsidRPr="00404FAD">
              <w:rPr>
                <w:b w:val="0"/>
                <w:bCs/>
              </w:rPr>
              <w:t>as long as</w:t>
            </w:r>
            <w:proofErr w:type="gramEnd"/>
            <w:r w:rsidR="00705FE8" w:rsidRPr="00404FAD">
              <w:rPr>
                <w:b w:val="0"/>
                <w:bCs/>
              </w:rPr>
              <w:t xml:space="preserve"> you attribute the work to the PC (but not in any way that suggests the PC endorses you or your use) and abide by the other licence terms. The licence can be viewed at: https://creativecommons.org/licenses/by/4.0.</w:t>
            </w:r>
          </w:p>
          <w:p w14:paraId="215479CF" w14:textId="08221C5A" w:rsidR="00705FE8" w:rsidRPr="00404FAD" w:rsidRDefault="00705FE8" w:rsidP="00494E13">
            <w:pPr>
              <w:pStyle w:val="Copyrightpage-BodyBold"/>
              <w:rPr>
                <w:b w:val="0"/>
                <w:bCs/>
              </w:rPr>
            </w:pPr>
            <w:r w:rsidRPr="00404FAD">
              <w:rPr>
                <w:b w:val="0"/>
                <w:bCs/>
              </w:rPr>
              <w:t xml:space="preserve">The terms under which the Coat of Arms can be used are detailed at: </w:t>
            </w:r>
            <w:hyperlink r:id="rId22" w:history="1">
              <w:r w:rsidR="00385513" w:rsidRPr="00404FAD">
                <w:rPr>
                  <w:rStyle w:val="Hyperlink"/>
                  <w:b w:val="0"/>
                  <w:bCs/>
                </w:rPr>
                <w:t>www.pmc.gov.au/government/commonwealth-coat-arms</w:t>
              </w:r>
            </w:hyperlink>
            <w:r w:rsidRPr="00404FAD">
              <w:rPr>
                <w:b w:val="0"/>
                <w:bCs/>
              </w:rPr>
              <w:t>.</w:t>
            </w:r>
          </w:p>
          <w:p w14:paraId="40D1C01C" w14:textId="77777777" w:rsidR="00705FE8" w:rsidRPr="00404FAD" w:rsidRDefault="00705FE8" w:rsidP="00494E13">
            <w:pPr>
              <w:pStyle w:val="Copyrightpage-BodyBold"/>
              <w:rPr>
                <w:b w:val="0"/>
                <w:bCs/>
                <w:spacing w:val="2"/>
              </w:rPr>
            </w:pPr>
            <w:r w:rsidRPr="00404FAD">
              <w:rPr>
                <w:b w:val="0"/>
                <w:bCs/>
                <w:spacing w:val="2"/>
              </w:rPr>
              <w:t>Wherever a third party holds copyright in this material the copyright remains with that party. Their permission may be required to use the material, please contact them directly.</w:t>
            </w:r>
          </w:p>
          <w:p w14:paraId="5F15FE7D" w14:textId="376D4DC6" w:rsidR="009B6B1E" w:rsidRPr="00404FAD" w:rsidRDefault="003F0FEC" w:rsidP="003F0FEC">
            <w:pPr>
              <w:pStyle w:val="Copyrightpage-BodyBold"/>
              <w:rPr>
                <w:b w:val="0"/>
                <w:bCs/>
                <w:spacing w:val="2"/>
              </w:rPr>
            </w:pPr>
            <w:r w:rsidRPr="00404FAD">
              <w:rPr>
                <w:b w:val="0"/>
                <w:bCs/>
                <w:spacing w:val="2"/>
              </w:rPr>
              <w:t xml:space="preserve">ISBN </w:t>
            </w:r>
            <w:r w:rsidR="00C34E78" w:rsidRPr="00404FAD">
              <w:rPr>
                <w:b w:val="0"/>
                <w:bCs/>
                <w:spacing w:val="2"/>
              </w:rPr>
              <w:t>978-1-74037-834-5</w:t>
            </w:r>
            <w:r w:rsidRPr="00404FAD">
              <w:rPr>
                <w:b w:val="0"/>
                <w:bCs/>
                <w:spacing w:val="2"/>
              </w:rPr>
              <w:t xml:space="preserve"> (online)</w:t>
            </w:r>
            <w:r w:rsidR="00EB1F27" w:rsidRPr="00404FAD">
              <w:rPr>
                <w:b w:val="0"/>
                <w:bCs/>
                <w:spacing w:val="2"/>
              </w:rPr>
              <w:br/>
            </w:r>
            <w:r w:rsidRPr="00404FAD">
              <w:rPr>
                <w:b w:val="0"/>
                <w:bCs/>
                <w:spacing w:val="2"/>
              </w:rPr>
              <w:t xml:space="preserve">ISBN </w:t>
            </w:r>
            <w:r w:rsidR="00AD176B" w:rsidRPr="00404FAD">
              <w:rPr>
                <w:b w:val="0"/>
                <w:bCs/>
                <w:spacing w:val="2"/>
              </w:rPr>
              <w:t>978-1-74037-833-8</w:t>
            </w:r>
            <w:r w:rsidRPr="00404FAD">
              <w:rPr>
                <w:b w:val="0"/>
                <w:bCs/>
                <w:spacing w:val="2"/>
              </w:rPr>
              <w:t xml:space="preserve"> (print)</w:t>
            </w:r>
          </w:p>
          <w:p w14:paraId="746B63CE" w14:textId="709C8688" w:rsidR="00705FE8" w:rsidRPr="00404FAD" w:rsidRDefault="00705FE8" w:rsidP="00494E13">
            <w:pPr>
              <w:pStyle w:val="Copyrightpage-BodyBold"/>
              <w:rPr>
                <w:b w:val="0"/>
                <w:bCs/>
                <w:spacing w:val="-2"/>
              </w:rPr>
            </w:pPr>
            <w:r w:rsidRPr="00404FAD">
              <w:rPr>
                <w:b w:val="0"/>
                <w:bCs/>
              </w:rPr>
              <w:t>An appropriate reference for this publication is:</w:t>
            </w:r>
            <w:r w:rsidRPr="00404FAD">
              <w:rPr>
                <w:b w:val="0"/>
                <w:bCs/>
              </w:rPr>
              <w:br/>
            </w:r>
            <w:r w:rsidRPr="00404FAD">
              <w:rPr>
                <w:b w:val="0"/>
                <w:bCs/>
                <w:spacing w:val="-2"/>
              </w:rPr>
              <w:t>Productivity Commission 202</w:t>
            </w:r>
            <w:r w:rsidR="009259D4" w:rsidRPr="00404FAD">
              <w:rPr>
                <w:b w:val="0"/>
                <w:bCs/>
                <w:spacing w:val="-2"/>
              </w:rPr>
              <w:t>6</w:t>
            </w:r>
            <w:r w:rsidRPr="00404FAD">
              <w:rPr>
                <w:b w:val="0"/>
                <w:bCs/>
                <w:spacing w:val="-2"/>
              </w:rPr>
              <w:t xml:space="preserve">, </w:t>
            </w:r>
            <w:r w:rsidR="00C362F9" w:rsidRPr="00404FAD">
              <w:rPr>
                <w:b w:val="0"/>
                <w:i/>
                <w:spacing w:val="-2"/>
              </w:rPr>
              <w:t>Impact</w:t>
            </w:r>
            <w:r w:rsidR="002E195D" w:rsidRPr="00404FAD">
              <w:rPr>
                <w:b w:val="0"/>
                <w:i/>
                <w:spacing w:val="-2"/>
              </w:rPr>
              <w:t>s</w:t>
            </w:r>
            <w:r w:rsidR="00C362F9" w:rsidRPr="00404FAD">
              <w:rPr>
                <w:b w:val="0"/>
                <w:i/>
                <w:spacing w:val="-2"/>
              </w:rPr>
              <w:t xml:space="preserve"> of </w:t>
            </w:r>
            <w:r w:rsidR="00A060D5" w:rsidRPr="00404FAD">
              <w:rPr>
                <w:b w:val="0"/>
                <w:i/>
                <w:spacing w:val="-2"/>
              </w:rPr>
              <w:t>h</w:t>
            </w:r>
            <w:r w:rsidR="00C362F9" w:rsidRPr="00404FAD">
              <w:rPr>
                <w:b w:val="0"/>
                <w:i/>
                <w:spacing w:val="-2"/>
              </w:rPr>
              <w:t xml:space="preserve">eavy </w:t>
            </w:r>
            <w:r w:rsidR="00A060D5" w:rsidRPr="00404FAD">
              <w:rPr>
                <w:b w:val="0"/>
                <w:i/>
                <w:spacing w:val="-2"/>
              </w:rPr>
              <w:t>v</w:t>
            </w:r>
            <w:r w:rsidR="00C362F9" w:rsidRPr="00404FAD">
              <w:rPr>
                <w:b w:val="0"/>
                <w:i/>
                <w:spacing w:val="-2"/>
              </w:rPr>
              <w:t>ehicle reform</w:t>
            </w:r>
            <w:r w:rsidR="00C362F9" w:rsidRPr="00404FAD">
              <w:rPr>
                <w:b w:val="0"/>
                <w:iCs/>
                <w:spacing w:val="-2"/>
              </w:rPr>
              <w:t xml:space="preserve">, </w:t>
            </w:r>
            <w:r w:rsidR="009B6B1E" w:rsidRPr="00404FAD">
              <w:rPr>
                <w:b w:val="0"/>
                <w:iCs/>
                <w:spacing w:val="-2"/>
              </w:rPr>
              <w:t>Study</w:t>
            </w:r>
            <w:r w:rsidR="00C362F9" w:rsidRPr="00404FAD">
              <w:rPr>
                <w:b w:val="0"/>
                <w:iCs/>
                <w:spacing w:val="-2"/>
              </w:rPr>
              <w:t xml:space="preserve"> </w:t>
            </w:r>
            <w:r w:rsidR="00344DFC" w:rsidRPr="00404FAD">
              <w:rPr>
                <w:b w:val="0"/>
                <w:iCs/>
                <w:spacing w:val="-2"/>
              </w:rPr>
              <w:t>r</w:t>
            </w:r>
            <w:r w:rsidR="00C362F9" w:rsidRPr="00404FAD">
              <w:rPr>
                <w:b w:val="0"/>
                <w:iCs/>
                <w:spacing w:val="-2"/>
              </w:rPr>
              <w:t>eport</w:t>
            </w:r>
            <w:r w:rsidR="00E13BEC" w:rsidRPr="00404FAD">
              <w:rPr>
                <w:b w:val="0"/>
                <w:bCs/>
                <w:iCs/>
                <w:spacing w:val="-2"/>
              </w:rPr>
              <w:t>,</w:t>
            </w:r>
            <w:r w:rsidR="00E13BEC" w:rsidRPr="00404FAD">
              <w:rPr>
                <w:b w:val="0"/>
                <w:bCs/>
                <w:spacing w:val="-2"/>
              </w:rPr>
              <w:t xml:space="preserve"> C</w:t>
            </w:r>
            <w:r w:rsidRPr="00404FAD">
              <w:rPr>
                <w:b w:val="0"/>
                <w:bCs/>
                <w:spacing w:val="-2"/>
              </w:rPr>
              <w:t>anberra</w:t>
            </w:r>
          </w:p>
          <w:p w14:paraId="56E0D9DC" w14:textId="7A183AF7" w:rsidR="00705FE8" w:rsidRPr="00A60945" w:rsidRDefault="00705FE8" w:rsidP="00494E13">
            <w:pPr>
              <w:pStyle w:val="Copyrightpage-BodyBold"/>
              <w:ind w:right="-284"/>
              <w:rPr>
                <w:b w:val="0"/>
                <w:bCs/>
                <w:lang w:val="fr-CA"/>
              </w:rPr>
            </w:pPr>
            <w:r w:rsidRPr="00A60945">
              <w:rPr>
                <w:b w:val="0"/>
                <w:bCs/>
                <w:lang w:val="fr-CA"/>
              </w:rPr>
              <w:t xml:space="preserve">Publication enquiries: </w:t>
            </w:r>
            <w:r w:rsidRPr="00A60945">
              <w:rPr>
                <w:b w:val="0"/>
                <w:bCs/>
                <w:lang w:val="fr-CA"/>
              </w:rPr>
              <w:br/>
              <w:t xml:space="preserve">Phone 03 9653 2244 | </w:t>
            </w:r>
            <w:proofErr w:type="gramStart"/>
            <w:r w:rsidRPr="00A60945">
              <w:rPr>
                <w:b w:val="0"/>
                <w:bCs/>
                <w:lang w:val="fr-CA"/>
              </w:rPr>
              <w:t>Email</w:t>
            </w:r>
            <w:proofErr w:type="gramEnd"/>
            <w:r w:rsidRPr="00A60945">
              <w:rPr>
                <w:b w:val="0"/>
                <w:bCs/>
                <w:lang w:val="fr-CA"/>
              </w:rPr>
              <w:t xml:space="preserve"> </w:t>
            </w:r>
            <w:hyperlink r:id="rId23" w:history="1">
              <w:r w:rsidR="00931DF2" w:rsidRPr="00A60945">
                <w:rPr>
                  <w:rStyle w:val="Hyperlink"/>
                  <w:b w:val="0"/>
                  <w:bCs/>
                  <w:lang w:val="fr-CA"/>
                </w:rPr>
                <w:t>publications@pc.gov.au</w:t>
              </w:r>
            </w:hyperlink>
          </w:p>
        </w:tc>
      </w:tr>
    </w:tbl>
    <w:p w14:paraId="28EFC588" w14:textId="552F9D02" w:rsidR="003F1459" w:rsidRPr="00A60945" w:rsidRDefault="003F1459" w:rsidP="00F83623">
      <w:pPr>
        <w:pStyle w:val="BodyText"/>
        <w:rPr>
          <w:lang w:val="fr-CA"/>
        </w:rPr>
        <w:sectPr w:rsidR="003F1459" w:rsidRPr="00A60945" w:rsidSect="00F83623">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start="2"/>
          <w:cols w:space="708"/>
          <w:docGrid w:linePitch="360"/>
        </w:sectPr>
      </w:pPr>
    </w:p>
    <w:p w14:paraId="535E4468" w14:textId="77777777" w:rsidR="002E3F19" w:rsidRPr="00404FAD" w:rsidRDefault="00840CAD" w:rsidP="00072247">
      <w:pPr>
        <w:pStyle w:val="Heading1-nobackground"/>
      </w:pPr>
      <w:bookmarkStart w:id="2" w:name="_Toc87865131"/>
      <w:bookmarkStart w:id="3" w:name="_Toc225408372"/>
      <w:bookmarkStart w:id="4" w:name="_Toc225780135"/>
      <w:bookmarkStart w:id="5" w:name="_Toc225780227"/>
      <w:bookmarkStart w:id="6" w:name="_Toc233296296"/>
      <w:r w:rsidRPr="00404FAD">
        <w:lastRenderedPageBreak/>
        <w:t>Contents</w:t>
      </w:r>
      <w:bookmarkEnd w:id="2"/>
      <w:bookmarkEnd w:id="3"/>
      <w:bookmarkEnd w:id="4"/>
      <w:bookmarkEnd w:id="5"/>
      <w:bookmarkEnd w:id="6"/>
    </w:p>
    <w:sdt>
      <w:sdtPr>
        <w:rPr>
          <w:rFonts w:asciiTheme="minorHAnsi" w:hAnsiTheme="minorHAnsi"/>
          <w:b/>
          <w:color w:val="auto"/>
        </w:rPr>
        <w:id w:val="-896974578"/>
        <w:docPartObj>
          <w:docPartGallery w:val="Table of Contents"/>
          <w:docPartUnique/>
        </w:docPartObj>
      </w:sdtPr>
      <w:sdtEndPr>
        <w:rPr>
          <w:rFonts w:ascii="Open Sans Extrabold" w:hAnsi="Open Sans Extrabold"/>
          <w:b w:val="0"/>
          <w:bCs/>
          <w:color w:val="1C4373" w:themeColor="background2" w:themeShade="BF"/>
        </w:rPr>
      </w:sdtEndPr>
      <w:sdtContent>
        <w:p w14:paraId="6BF2C111" w14:textId="72C187F5" w:rsidR="00DC7602" w:rsidRPr="00404FAD" w:rsidRDefault="002E3F19" w:rsidP="00785C6D">
          <w:pPr>
            <w:pStyle w:val="TOC1"/>
            <w:rPr>
              <w:rFonts w:asciiTheme="minorHAnsi" w:eastAsiaTheme="minorEastAsia" w:hAnsiTheme="minorHAnsi"/>
              <w:noProof/>
              <w:color w:val="auto"/>
              <w:kern w:val="2"/>
              <w:sz w:val="24"/>
              <w:szCs w:val="24"/>
              <w:lang w:eastAsia="en-AU"/>
              <w14:ligatures w14:val="standardContextual"/>
            </w:rPr>
          </w:pPr>
          <w:r w:rsidRPr="00404FAD">
            <w:fldChar w:fldCharType="begin"/>
          </w:r>
          <w:r w:rsidRPr="00404FAD">
            <w:instrText xml:space="preserve"> TOC \\h \z \t "Heading 1,1</w:instrText>
          </w:r>
          <w:r w:rsidR="00484E96" w:rsidRPr="00404FAD">
            <w:instrText>,Heading-Appendix,1</w:instrText>
          </w:r>
          <w:r w:rsidRPr="00404FAD">
            <w:instrText>, Heading 1-no number,1,</w:instrText>
          </w:r>
          <w:r w:rsidR="0036059A" w:rsidRPr="00404FAD">
            <w:instrText xml:space="preserve"> Heading 1-no background,1,</w:instrText>
          </w:r>
          <w:r w:rsidRPr="00404FAD">
            <w:instrText xml:space="preserve"> Heading 1-Section blue background,3, Heading 1-Section-full page,3,Heading 2,2,</w:instrText>
          </w:r>
          <w:r w:rsidR="0036059A" w:rsidRPr="00404FAD">
            <w:instrText>Heading 2-no number,2,Heading 2-Appendix,2,</w:instrText>
          </w:r>
          <w:r w:rsidRPr="00404FAD">
            <w:instrText xml:space="preserve">Heading 1 - Intro,3,Heading 1-numbered,3,Section Heading-pale blue,3" </w:instrText>
          </w:r>
          <w:r w:rsidRPr="00404FAD">
            <w:fldChar w:fldCharType="separate"/>
          </w:r>
          <w:r w:rsidR="00DC7602" w:rsidRPr="00404FAD">
            <w:rPr>
              <w:noProof/>
            </w:rPr>
            <w:t>Overview</w:t>
          </w:r>
          <w:r w:rsidR="00DC7602" w:rsidRPr="00404FAD">
            <w:rPr>
              <w:noProof/>
              <w:webHidden/>
            </w:rPr>
            <w:tab/>
          </w:r>
          <w:r w:rsidR="00DC7602" w:rsidRPr="00404FAD">
            <w:rPr>
              <w:noProof/>
              <w:webHidden/>
            </w:rPr>
            <w:fldChar w:fldCharType="begin"/>
          </w:r>
          <w:r w:rsidR="00DC7602" w:rsidRPr="00404FAD">
            <w:rPr>
              <w:noProof/>
              <w:webHidden/>
            </w:rPr>
            <w:instrText xml:space="preserve"> PAGEREF _Toc233296298 \h </w:instrText>
          </w:r>
          <w:r w:rsidR="00DC7602" w:rsidRPr="00404FAD">
            <w:rPr>
              <w:noProof/>
              <w:webHidden/>
            </w:rPr>
          </w:r>
          <w:r w:rsidR="00DC7602" w:rsidRPr="00404FAD">
            <w:rPr>
              <w:noProof/>
              <w:webHidden/>
            </w:rPr>
            <w:fldChar w:fldCharType="separate"/>
          </w:r>
          <w:r w:rsidR="00EF5C87">
            <w:rPr>
              <w:noProof/>
              <w:webHidden/>
            </w:rPr>
            <w:t>1</w:t>
          </w:r>
          <w:r w:rsidR="00DC7602" w:rsidRPr="00404FAD">
            <w:rPr>
              <w:noProof/>
              <w:webHidden/>
            </w:rPr>
            <w:fldChar w:fldCharType="end"/>
          </w:r>
        </w:p>
        <w:p w14:paraId="5AE58E41" w14:textId="487110CF"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Road freight productivity growth has stalled</w:t>
          </w:r>
          <w:r w:rsidRPr="00404FAD">
            <w:rPr>
              <w:webHidden/>
            </w:rPr>
            <w:tab/>
          </w:r>
          <w:r w:rsidRPr="00404FAD">
            <w:rPr>
              <w:webHidden/>
            </w:rPr>
            <w:fldChar w:fldCharType="begin"/>
          </w:r>
          <w:r w:rsidRPr="00404FAD">
            <w:rPr>
              <w:webHidden/>
            </w:rPr>
            <w:instrText xml:space="preserve"> PAGEREF _Toc233296299 \h </w:instrText>
          </w:r>
          <w:r w:rsidRPr="00404FAD">
            <w:rPr>
              <w:webHidden/>
            </w:rPr>
          </w:r>
          <w:r w:rsidRPr="00404FAD">
            <w:rPr>
              <w:webHidden/>
            </w:rPr>
            <w:fldChar w:fldCharType="separate"/>
          </w:r>
          <w:r w:rsidR="00EF5C87">
            <w:rPr>
              <w:webHidden/>
            </w:rPr>
            <w:t>3</w:t>
          </w:r>
          <w:r w:rsidRPr="00404FAD">
            <w:rPr>
              <w:webHidden/>
            </w:rPr>
            <w:fldChar w:fldCharType="end"/>
          </w:r>
        </w:p>
        <w:p w14:paraId="338F3C70" w14:textId="48AD8D49"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The PC has examined 5 heavy vehicle reform areas</w:t>
          </w:r>
          <w:r w:rsidRPr="00404FAD">
            <w:rPr>
              <w:webHidden/>
            </w:rPr>
            <w:tab/>
          </w:r>
          <w:r w:rsidRPr="00404FAD">
            <w:rPr>
              <w:webHidden/>
            </w:rPr>
            <w:fldChar w:fldCharType="begin"/>
          </w:r>
          <w:r w:rsidRPr="00404FAD">
            <w:rPr>
              <w:webHidden/>
            </w:rPr>
            <w:instrText xml:space="preserve"> PAGEREF _Toc233296300 \h </w:instrText>
          </w:r>
          <w:r w:rsidRPr="00404FAD">
            <w:rPr>
              <w:webHidden/>
            </w:rPr>
          </w:r>
          <w:r w:rsidRPr="00404FAD">
            <w:rPr>
              <w:webHidden/>
            </w:rPr>
            <w:fldChar w:fldCharType="separate"/>
          </w:r>
          <w:r w:rsidR="00EF5C87">
            <w:rPr>
              <w:webHidden/>
            </w:rPr>
            <w:t>5</w:t>
          </w:r>
          <w:r w:rsidRPr="00404FAD">
            <w:rPr>
              <w:webHidden/>
            </w:rPr>
            <w:fldChar w:fldCharType="end"/>
          </w:r>
        </w:p>
        <w:p w14:paraId="190E72F3" w14:textId="5E543AE3"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Road access settings need to better balance costs and benefits</w:t>
          </w:r>
          <w:r w:rsidRPr="00404FAD">
            <w:rPr>
              <w:webHidden/>
            </w:rPr>
            <w:tab/>
          </w:r>
          <w:r w:rsidRPr="00404FAD">
            <w:rPr>
              <w:webHidden/>
            </w:rPr>
            <w:fldChar w:fldCharType="begin"/>
          </w:r>
          <w:r w:rsidRPr="00404FAD">
            <w:rPr>
              <w:webHidden/>
            </w:rPr>
            <w:instrText xml:space="preserve"> PAGEREF _Toc233296301 \h </w:instrText>
          </w:r>
          <w:r w:rsidRPr="00404FAD">
            <w:rPr>
              <w:webHidden/>
            </w:rPr>
          </w:r>
          <w:r w:rsidRPr="00404FAD">
            <w:rPr>
              <w:webHidden/>
            </w:rPr>
            <w:fldChar w:fldCharType="separate"/>
          </w:r>
          <w:r w:rsidR="00EF5C87">
            <w:rPr>
              <w:webHidden/>
            </w:rPr>
            <w:t>6</w:t>
          </w:r>
          <w:r w:rsidRPr="00404FAD">
            <w:rPr>
              <w:webHidden/>
            </w:rPr>
            <w:fldChar w:fldCharType="end"/>
          </w:r>
        </w:p>
        <w:p w14:paraId="5A5C9B15" w14:textId="76B5DE9B"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Other regulation has not caught up with HZEVs</w:t>
          </w:r>
          <w:r w:rsidRPr="00404FAD">
            <w:rPr>
              <w:webHidden/>
            </w:rPr>
            <w:tab/>
          </w:r>
          <w:r w:rsidRPr="00404FAD">
            <w:rPr>
              <w:webHidden/>
            </w:rPr>
            <w:fldChar w:fldCharType="begin"/>
          </w:r>
          <w:r w:rsidRPr="00404FAD">
            <w:rPr>
              <w:webHidden/>
            </w:rPr>
            <w:instrText xml:space="preserve"> PAGEREF _Toc233296302 \h </w:instrText>
          </w:r>
          <w:r w:rsidRPr="00404FAD">
            <w:rPr>
              <w:webHidden/>
            </w:rPr>
          </w:r>
          <w:r w:rsidRPr="00404FAD">
            <w:rPr>
              <w:webHidden/>
            </w:rPr>
            <w:fldChar w:fldCharType="separate"/>
          </w:r>
          <w:r w:rsidR="00EF5C87">
            <w:rPr>
              <w:webHidden/>
            </w:rPr>
            <w:t>8</w:t>
          </w:r>
          <w:r w:rsidRPr="00404FAD">
            <w:rPr>
              <w:webHidden/>
            </w:rPr>
            <w:fldChar w:fldCharType="end"/>
          </w:r>
        </w:p>
        <w:p w14:paraId="2DB6676C" w14:textId="72DEDB9C"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Current reforms will improve driver capability</w:t>
          </w:r>
          <w:r w:rsidRPr="00404FAD">
            <w:rPr>
              <w:webHidden/>
            </w:rPr>
            <w:tab/>
          </w:r>
          <w:r w:rsidRPr="00404FAD">
            <w:rPr>
              <w:webHidden/>
            </w:rPr>
            <w:fldChar w:fldCharType="begin"/>
          </w:r>
          <w:r w:rsidRPr="00404FAD">
            <w:rPr>
              <w:webHidden/>
            </w:rPr>
            <w:instrText xml:space="preserve"> PAGEREF _Toc233296303 \h </w:instrText>
          </w:r>
          <w:r w:rsidRPr="00404FAD">
            <w:rPr>
              <w:webHidden/>
            </w:rPr>
          </w:r>
          <w:r w:rsidRPr="00404FAD">
            <w:rPr>
              <w:webHidden/>
            </w:rPr>
            <w:fldChar w:fldCharType="separate"/>
          </w:r>
          <w:r w:rsidR="00EF5C87">
            <w:rPr>
              <w:webHidden/>
            </w:rPr>
            <w:t>9</w:t>
          </w:r>
          <w:r w:rsidRPr="00404FAD">
            <w:rPr>
              <w:webHidden/>
            </w:rPr>
            <w:fldChar w:fldCharType="end"/>
          </w:r>
        </w:p>
        <w:p w14:paraId="3F44277F" w14:textId="79771F87" w:rsidR="002E3F19" w:rsidRPr="00785C6D" w:rsidRDefault="00DC7602" w:rsidP="00785C6D">
          <w:pPr>
            <w:pStyle w:val="TOC1"/>
            <w:rPr>
              <w:rFonts w:asciiTheme="minorHAnsi" w:eastAsiaTheme="minorEastAsia" w:hAnsiTheme="minorHAnsi"/>
              <w:noProof/>
              <w:color w:val="auto"/>
              <w:kern w:val="2"/>
              <w:sz w:val="24"/>
              <w:szCs w:val="24"/>
              <w:lang w:eastAsia="en-AU"/>
              <w14:ligatures w14:val="standardContextual"/>
            </w:rPr>
          </w:pPr>
          <w:r w:rsidRPr="00404FAD">
            <w:rPr>
              <w:noProof/>
            </w:rPr>
            <w:t>Findings and recommendations</w:t>
          </w:r>
          <w:r w:rsidRPr="00404FAD">
            <w:rPr>
              <w:noProof/>
              <w:webHidden/>
            </w:rPr>
            <w:tab/>
          </w:r>
          <w:r w:rsidRPr="00404FAD">
            <w:rPr>
              <w:noProof/>
              <w:webHidden/>
            </w:rPr>
            <w:fldChar w:fldCharType="begin"/>
          </w:r>
          <w:r w:rsidRPr="00404FAD">
            <w:rPr>
              <w:noProof/>
              <w:webHidden/>
            </w:rPr>
            <w:instrText xml:space="preserve"> PAGEREF _Toc233296304 \h </w:instrText>
          </w:r>
          <w:r w:rsidRPr="00404FAD">
            <w:rPr>
              <w:noProof/>
              <w:webHidden/>
            </w:rPr>
          </w:r>
          <w:r w:rsidRPr="00404FAD">
            <w:rPr>
              <w:noProof/>
              <w:webHidden/>
            </w:rPr>
            <w:fldChar w:fldCharType="separate"/>
          </w:r>
          <w:r w:rsidR="00EF5C87">
            <w:rPr>
              <w:noProof/>
              <w:webHidden/>
            </w:rPr>
            <w:t>11</w:t>
          </w:r>
          <w:r w:rsidRPr="00404FAD">
            <w:rPr>
              <w:noProof/>
              <w:webHidden/>
            </w:rPr>
            <w:fldChar w:fldCharType="end"/>
          </w:r>
          <w:r w:rsidR="002E3F19" w:rsidRPr="00404FAD">
            <w:rPr>
              <w:sz w:val="18"/>
            </w:rPr>
            <w:fldChar w:fldCharType="end"/>
          </w:r>
        </w:p>
      </w:sdtContent>
    </w:sdt>
    <w:p w14:paraId="503E6BF3" w14:textId="77777777" w:rsidR="001E4E27" w:rsidRPr="00404FAD" w:rsidRDefault="001E4E27" w:rsidP="003F1459">
      <w:pPr>
        <w:rPr>
          <w:bCs/>
        </w:rPr>
      </w:pPr>
    </w:p>
    <w:p w14:paraId="69BCF16C" w14:textId="77777777" w:rsidR="00312FB0" w:rsidRDefault="00312FB0" w:rsidP="003F1459">
      <w:pPr>
        <w:rPr>
          <w:bCs/>
        </w:rPr>
      </w:pPr>
    </w:p>
    <w:p w14:paraId="3EA3ABC6" w14:textId="77777777" w:rsidR="00785C6D" w:rsidRDefault="00785C6D" w:rsidP="003F1459">
      <w:pPr>
        <w:rPr>
          <w:bCs/>
        </w:rPr>
      </w:pPr>
    </w:p>
    <w:p w14:paraId="3F6606CA" w14:textId="77777777" w:rsidR="00785C6D" w:rsidRDefault="00785C6D" w:rsidP="003F1459">
      <w:pPr>
        <w:rPr>
          <w:bCs/>
        </w:rPr>
      </w:pPr>
    </w:p>
    <w:p w14:paraId="3BDA789B" w14:textId="77777777" w:rsidR="00785C6D" w:rsidRDefault="00785C6D" w:rsidP="003F1459">
      <w:pPr>
        <w:rPr>
          <w:bCs/>
        </w:rPr>
      </w:pPr>
    </w:p>
    <w:p w14:paraId="44F20A5E" w14:textId="77777777" w:rsidR="00785C6D" w:rsidRDefault="00785C6D" w:rsidP="003F1459">
      <w:pPr>
        <w:rPr>
          <w:bCs/>
        </w:rPr>
      </w:pPr>
    </w:p>
    <w:p w14:paraId="4C4BEB4F" w14:textId="77777777" w:rsidR="00785C6D" w:rsidRDefault="00785C6D" w:rsidP="003F1459">
      <w:pPr>
        <w:rPr>
          <w:bCs/>
        </w:rPr>
      </w:pPr>
    </w:p>
    <w:p w14:paraId="08684134" w14:textId="77777777" w:rsidR="00785C6D" w:rsidRDefault="00785C6D" w:rsidP="003F1459">
      <w:pPr>
        <w:rPr>
          <w:bCs/>
        </w:rPr>
      </w:pPr>
    </w:p>
    <w:p w14:paraId="0B7C1834" w14:textId="77777777" w:rsidR="00785C6D" w:rsidRDefault="00785C6D" w:rsidP="003F1459">
      <w:pPr>
        <w:rPr>
          <w:bCs/>
        </w:rPr>
      </w:pPr>
    </w:p>
    <w:p w14:paraId="4C9D635A" w14:textId="77777777" w:rsidR="00785C6D" w:rsidRDefault="00785C6D" w:rsidP="003F1459">
      <w:pPr>
        <w:rPr>
          <w:bCs/>
        </w:rPr>
      </w:pPr>
    </w:p>
    <w:p w14:paraId="64852AE0" w14:textId="77777777" w:rsidR="00785C6D" w:rsidRDefault="00785C6D" w:rsidP="003F1459">
      <w:pPr>
        <w:rPr>
          <w:bCs/>
        </w:rPr>
      </w:pPr>
    </w:p>
    <w:p w14:paraId="5F984642" w14:textId="77777777" w:rsidR="00785C6D" w:rsidRDefault="00785C6D" w:rsidP="003F1459">
      <w:pPr>
        <w:rPr>
          <w:bCs/>
        </w:rPr>
      </w:pPr>
    </w:p>
    <w:p w14:paraId="0892629E" w14:textId="77777777" w:rsidR="00785C6D" w:rsidRDefault="00785C6D" w:rsidP="003F1459">
      <w:pPr>
        <w:rPr>
          <w:bCs/>
        </w:rPr>
      </w:pPr>
    </w:p>
    <w:p w14:paraId="6E203824" w14:textId="77777777" w:rsidR="00785C6D" w:rsidRDefault="00785C6D" w:rsidP="003F1459">
      <w:pPr>
        <w:rPr>
          <w:bCs/>
        </w:rPr>
      </w:pPr>
    </w:p>
    <w:p w14:paraId="725EDC68" w14:textId="77777777" w:rsidR="00785C6D" w:rsidRDefault="00785C6D" w:rsidP="003F1459">
      <w:pPr>
        <w:rPr>
          <w:bCs/>
        </w:rPr>
      </w:pPr>
    </w:p>
    <w:p w14:paraId="266D5D62" w14:textId="77777777" w:rsidR="00785C6D" w:rsidRDefault="00785C6D" w:rsidP="003F1459">
      <w:pPr>
        <w:rPr>
          <w:bCs/>
        </w:rPr>
      </w:pPr>
    </w:p>
    <w:p w14:paraId="0E57AA17" w14:textId="77777777" w:rsidR="00785C6D" w:rsidRDefault="00785C6D" w:rsidP="003F1459">
      <w:pPr>
        <w:rPr>
          <w:bCs/>
        </w:rPr>
      </w:pPr>
    </w:p>
    <w:p w14:paraId="7E40922A" w14:textId="77777777" w:rsidR="00785C6D" w:rsidRDefault="00785C6D" w:rsidP="003F1459">
      <w:pPr>
        <w:rPr>
          <w:bCs/>
        </w:rPr>
      </w:pPr>
    </w:p>
    <w:p w14:paraId="33C7FB40" w14:textId="77777777" w:rsidR="00785C6D" w:rsidRDefault="00785C6D" w:rsidP="003F1459">
      <w:pPr>
        <w:rPr>
          <w:bCs/>
        </w:rPr>
      </w:pPr>
    </w:p>
    <w:p w14:paraId="507357D5" w14:textId="77777777" w:rsidR="00785C6D" w:rsidRDefault="00785C6D" w:rsidP="003F1459">
      <w:pPr>
        <w:rPr>
          <w:bCs/>
        </w:rPr>
      </w:pPr>
    </w:p>
    <w:p w14:paraId="16786A1D" w14:textId="77777777" w:rsidR="00785C6D" w:rsidRDefault="00785C6D" w:rsidP="003F1459">
      <w:pPr>
        <w:rPr>
          <w:bCs/>
        </w:rPr>
      </w:pPr>
    </w:p>
    <w:p w14:paraId="22FBC432" w14:textId="77777777" w:rsidR="00785C6D" w:rsidRDefault="00785C6D" w:rsidP="003F1459">
      <w:pPr>
        <w:rPr>
          <w:bCs/>
        </w:rPr>
      </w:pPr>
    </w:p>
    <w:p w14:paraId="1760E354" w14:textId="77777777" w:rsidR="00785C6D" w:rsidRDefault="00785C6D" w:rsidP="003F1459">
      <w:pPr>
        <w:rPr>
          <w:bCs/>
        </w:rPr>
      </w:pPr>
    </w:p>
    <w:p w14:paraId="6518E8A5" w14:textId="77777777" w:rsidR="00785C6D" w:rsidRPr="00404FAD" w:rsidRDefault="00785C6D" w:rsidP="003F1459">
      <w:pPr>
        <w:rPr>
          <w:bCs/>
        </w:rPr>
        <w:sectPr w:rsidR="00785C6D" w:rsidRPr="00404FAD" w:rsidSect="003F1459">
          <w:headerReference w:type="even" r:id="rId29"/>
          <w:headerReference w:type="default" r:id="rId30"/>
          <w:footerReference w:type="even" r:id="rId31"/>
          <w:footerReference w:type="default" r:id="rId32"/>
          <w:headerReference w:type="first" r:id="rId33"/>
          <w:type w:val="oddPage"/>
          <w:pgSz w:w="11906" w:h="16838" w:code="9"/>
          <w:pgMar w:top="1134" w:right="1134" w:bottom="1134" w:left="1134" w:header="794" w:footer="510" w:gutter="0"/>
          <w:pgNumType w:fmt="lowerRoman"/>
          <w:cols w:space="708"/>
          <w:docGrid w:linePitch="360"/>
        </w:sectPr>
      </w:pPr>
    </w:p>
    <w:p w14:paraId="3404F008" w14:textId="77777777" w:rsidR="00835042" w:rsidRPr="00404FAD" w:rsidRDefault="00835042" w:rsidP="00835042">
      <w:pPr>
        <w:pStyle w:val="NoSpacing"/>
        <w:spacing w:line="20" w:lineRule="exact"/>
        <w:rPr>
          <w:sz w:val="2"/>
          <w:szCs w:val="2"/>
        </w:rPr>
      </w:pPr>
    </w:p>
    <w:p w14:paraId="274E4DDB" w14:textId="5696EE10" w:rsidR="00835042" w:rsidRPr="00404FAD" w:rsidRDefault="00835042" w:rsidP="00835042">
      <w:pPr>
        <w:pStyle w:val="Heading1-Section-fullpage"/>
        <w:framePr w:wrap="around"/>
      </w:pPr>
      <w:bookmarkStart w:id="7" w:name="_Toc225780228"/>
      <w:bookmarkStart w:id="8" w:name="_Toc233296298"/>
      <w:r w:rsidRPr="00404FAD">
        <w:lastRenderedPageBreak/>
        <w:t>Overview</w:t>
      </w:r>
      <w:bookmarkEnd w:id="7"/>
      <w:bookmarkEnd w:id="8"/>
    </w:p>
    <w:tbl>
      <w:tblPr>
        <w:tblStyle w:val="Texttable-Paleblue"/>
        <w:tblW w:w="5000" w:type="pct"/>
        <w:tblLook w:val="04A0" w:firstRow="1" w:lastRow="0" w:firstColumn="1" w:lastColumn="0" w:noHBand="0" w:noVBand="1"/>
      </w:tblPr>
      <w:tblGrid>
        <w:gridCol w:w="577"/>
        <w:gridCol w:w="9061"/>
      </w:tblGrid>
      <w:tr w:rsidR="00835042" w:rsidRPr="00404FAD" w14:paraId="5E6625E0" w14:textId="77777777">
        <w:tc>
          <w:tcPr>
            <w:tcW w:w="9638" w:type="dxa"/>
            <w:gridSpan w:val="2"/>
            <w:shd w:val="clear" w:color="auto" w:fill="E7F6FD"/>
            <w:tcMar>
              <w:left w:w="170" w:type="dxa"/>
            </w:tcMar>
          </w:tcPr>
          <w:p w14:paraId="020D96FD" w14:textId="77777777" w:rsidR="00835042" w:rsidRPr="00404FAD" w:rsidRDefault="00835042">
            <w:pPr>
              <w:pStyle w:val="Keypoints-heading"/>
              <w:spacing w:before="180" w:after="90"/>
            </w:pPr>
            <w:r w:rsidRPr="00404FAD">
              <w:lastRenderedPageBreak/>
              <w:t>Key points</w:t>
            </w:r>
          </w:p>
        </w:tc>
      </w:tr>
      <w:tr w:rsidR="00835042" w:rsidRPr="00404FAD" w14:paraId="0ABADFE4" w14:textId="77777777">
        <w:tc>
          <w:tcPr>
            <w:tcW w:w="577" w:type="dxa"/>
            <w:shd w:val="clear" w:color="auto" w:fill="E7F6FD"/>
            <w:tcMar>
              <w:top w:w="0" w:type="dxa"/>
              <w:bottom w:w="0" w:type="dxa"/>
              <w:right w:w="113" w:type="dxa"/>
            </w:tcMar>
          </w:tcPr>
          <w:p w14:paraId="0FC7E489" w14:textId="77777777" w:rsidR="00835042" w:rsidRPr="00404FAD" w:rsidRDefault="00835042">
            <w:pPr>
              <w:pStyle w:val="KeyPointsicon"/>
              <w:spacing w:before="45" w:after="90"/>
            </w:pPr>
            <w:r w:rsidRPr="00404FAD">
              <w:rPr>
                <w:noProof/>
              </w:rPr>
              <w:drawing>
                <wp:inline distT="0" distB="0" distL="0" distR="0" wp14:anchorId="377CCB2A" wp14:editId="498AEA04">
                  <wp:extent cx="180000" cy="180000"/>
                  <wp:effectExtent l="0" t="0" r="0" b="0"/>
                  <wp:docPr id="313330411" name="Graphic 313330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297244E" w14:textId="77777777" w:rsidR="00835042" w:rsidRPr="00404FAD" w:rsidRDefault="00835042" w:rsidP="00B73F77">
            <w:pPr>
              <w:pStyle w:val="KeyPoints-Bold"/>
            </w:pPr>
            <w:r w:rsidRPr="00404FAD">
              <w:t xml:space="preserve">Heavy vehicle transport plays an important role in the Australian economy, but productivity growth in the road freight sector has stalled for over a decade. </w:t>
            </w:r>
          </w:p>
          <w:p w14:paraId="7B587137" w14:textId="77777777" w:rsidR="00835042" w:rsidRPr="00404FAD" w:rsidRDefault="00835042" w:rsidP="00B73F77">
            <w:pPr>
              <w:pStyle w:val="KeyPoints-Bullet"/>
            </w:pPr>
            <w:r w:rsidRPr="00404FAD">
              <w:t>Advances in technology and vehicle design provide opportunities to re</w:t>
            </w:r>
            <w:r w:rsidRPr="00404FAD">
              <w:noBreakHyphen/>
              <w:t xml:space="preserve">start productivity growth and improve emissions outcomes. </w:t>
            </w:r>
          </w:p>
          <w:p w14:paraId="0AFC439F" w14:textId="77777777" w:rsidR="00835042" w:rsidRPr="00404FAD" w:rsidRDefault="00835042" w:rsidP="00B73F77">
            <w:pPr>
              <w:pStyle w:val="KeyPoints-Bullet"/>
            </w:pPr>
            <w:r w:rsidRPr="00404FAD">
              <w:t>The recent fuel supply disruption has only strengthened the case for reform to unlock higher productivity and lower emissions vehicles.</w:t>
            </w:r>
          </w:p>
        </w:tc>
      </w:tr>
      <w:tr w:rsidR="00835042" w:rsidRPr="00404FAD" w14:paraId="4AD03F6B" w14:textId="77777777">
        <w:tc>
          <w:tcPr>
            <w:tcW w:w="577" w:type="dxa"/>
            <w:shd w:val="clear" w:color="auto" w:fill="E7F6FD"/>
            <w:tcMar>
              <w:top w:w="0" w:type="dxa"/>
              <w:bottom w:w="0" w:type="dxa"/>
              <w:right w:w="113" w:type="dxa"/>
            </w:tcMar>
          </w:tcPr>
          <w:p w14:paraId="3E2BD8FD" w14:textId="77777777" w:rsidR="00835042" w:rsidRPr="00404FAD" w:rsidRDefault="00835042">
            <w:pPr>
              <w:pStyle w:val="KeyPointsicon"/>
              <w:spacing w:before="45" w:after="90"/>
            </w:pPr>
            <w:r w:rsidRPr="00404FAD">
              <w:rPr>
                <w:noProof/>
              </w:rPr>
              <w:drawing>
                <wp:inline distT="0" distB="0" distL="0" distR="0" wp14:anchorId="71407A89" wp14:editId="51A9C6DD">
                  <wp:extent cx="180000" cy="180000"/>
                  <wp:effectExtent l="0" t="0" r="0" b="0"/>
                  <wp:docPr id="936309927" name="Graphic 936309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3302D5D" w14:textId="77777777" w:rsidR="00835042" w:rsidRPr="00404FAD" w:rsidRDefault="00835042" w:rsidP="00B73F77">
            <w:pPr>
              <w:pStyle w:val="KeyPoints-Bold"/>
            </w:pPr>
            <w:r w:rsidRPr="00404FAD">
              <w:t>High productivity vehicles, heavy zero emissions vehicles (HZEVs) and automated permits can support productivity uplift if deployed well. These opportunities will only be realised if all tiers of government collaborate to remove regulatory and other barriers to innovation and investment.</w:t>
            </w:r>
          </w:p>
          <w:p w14:paraId="5A491F40" w14:textId="77777777" w:rsidR="00835042" w:rsidRPr="00404FAD" w:rsidRDefault="00835042" w:rsidP="00B73F77">
            <w:pPr>
              <w:pStyle w:val="KeyPoints-Bullet"/>
            </w:pPr>
            <w:r w:rsidRPr="00404FAD">
              <w:t>Governments are working together on new national approaches, while individual jurisdictions are pursuing reforms that demonstrate how new technologies can improve vehicle access and how regulations can be updated to recognise electric vehicle charging as an emerging form of land use.</w:t>
            </w:r>
          </w:p>
          <w:p w14:paraId="4240CB9E" w14:textId="77777777" w:rsidR="00835042" w:rsidRPr="00404FAD" w:rsidRDefault="00835042" w:rsidP="00B73F77">
            <w:pPr>
              <w:pStyle w:val="KeyPoints-Bullet"/>
            </w:pPr>
            <w:r w:rsidRPr="00404FAD">
              <w:t xml:space="preserve">However, more can be done to accelerate this work. </w:t>
            </w:r>
          </w:p>
        </w:tc>
      </w:tr>
      <w:tr w:rsidR="00835042" w:rsidRPr="00404FAD" w14:paraId="77A04B67" w14:textId="77777777">
        <w:tc>
          <w:tcPr>
            <w:tcW w:w="577" w:type="dxa"/>
            <w:shd w:val="clear" w:color="auto" w:fill="E7F6FD"/>
            <w:tcMar>
              <w:top w:w="0" w:type="dxa"/>
              <w:bottom w:w="0" w:type="dxa"/>
              <w:right w:w="113" w:type="dxa"/>
            </w:tcMar>
          </w:tcPr>
          <w:p w14:paraId="321DCF9A" w14:textId="77777777" w:rsidR="00835042" w:rsidRPr="00404FAD" w:rsidRDefault="00835042">
            <w:pPr>
              <w:pStyle w:val="KeyPointsicon"/>
              <w:spacing w:before="45" w:after="90"/>
            </w:pPr>
            <w:r w:rsidRPr="00404FAD">
              <w:rPr>
                <w:noProof/>
              </w:rPr>
              <w:drawing>
                <wp:inline distT="0" distB="0" distL="0" distR="0" wp14:anchorId="793EF81B" wp14:editId="7FC10C41">
                  <wp:extent cx="180000" cy="180000"/>
                  <wp:effectExtent l="0" t="0" r="0" b="0"/>
                  <wp:docPr id="1698912577" name="Graphic 1698912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CB217B8" w14:textId="77777777" w:rsidR="00835042" w:rsidRPr="00404FAD" w:rsidRDefault="00835042" w:rsidP="00B73F77">
            <w:pPr>
              <w:pStyle w:val="KeyPoints-Bold"/>
            </w:pPr>
            <w:r w:rsidRPr="00404FAD">
              <w:t>The largest potential productivity benefits will arise from reforms that increase access to Australia’s road network for high productivity vehicles.</w:t>
            </w:r>
          </w:p>
          <w:p w14:paraId="1744C058" w14:textId="77777777" w:rsidR="00835042" w:rsidRPr="00404FAD" w:rsidRDefault="00835042" w:rsidP="00B73F77">
            <w:pPr>
              <w:pStyle w:val="KeyPoints-Bullet"/>
              <w:rPr>
                <w:spacing w:val="-4"/>
              </w:rPr>
            </w:pPr>
            <w:r w:rsidRPr="00404FAD">
              <w:rPr>
                <w:spacing w:val="-4"/>
              </w:rPr>
              <w:t>Increasing General Mass Limits (indicative of general increases to road access) would boost long-run GDP by about 0.03-0.10% ($900 million to $2.7 billion based on 2024-25 GDP), depending on the level of ambition.</w:t>
            </w:r>
          </w:p>
          <w:p w14:paraId="4393A2EC" w14:textId="77777777" w:rsidR="00835042" w:rsidRPr="00404FAD" w:rsidRDefault="00835042" w:rsidP="00B73F77">
            <w:pPr>
              <w:pStyle w:val="KeyPoints-Bullet"/>
            </w:pPr>
            <w:r w:rsidRPr="00404FAD">
              <w:t>Implementing the National Automated Access System (NAAS) would boost long-run GDP by about 0.02-0.05% ($600 million to $1.3 billion based on 2024-25 GDP).</w:t>
            </w:r>
          </w:p>
          <w:p w14:paraId="11DDFEFF" w14:textId="77777777" w:rsidR="00835042" w:rsidRPr="00404FAD" w:rsidRDefault="00835042" w:rsidP="00B73F77">
            <w:pPr>
              <w:pStyle w:val="KeyPoints-Bullet"/>
            </w:pPr>
            <w:r w:rsidRPr="00404FAD">
              <w:t>Reforms that work towards ‘as</w:t>
            </w:r>
            <w:r w:rsidRPr="00404FAD">
              <w:noBreakHyphen/>
              <w:t>of</w:t>
            </w:r>
            <w:r w:rsidRPr="00404FAD">
              <w:noBreakHyphen/>
              <w:t>right’ access – reducing the time and costs associated with applying for a permit for pre</w:t>
            </w:r>
            <w:r w:rsidRPr="00404FAD">
              <w:noBreakHyphen/>
              <w:t>approved vehicles driving on pre</w:t>
            </w:r>
            <w:r w:rsidRPr="00404FAD">
              <w:noBreakHyphen/>
              <w:t>approved networks – should be prioritised, as should reforms that make it easier to get high productivity and low emissions vehicles on the road.</w:t>
            </w:r>
          </w:p>
          <w:p w14:paraId="0C8C2627" w14:textId="77777777" w:rsidR="00835042" w:rsidRPr="00404FAD" w:rsidRDefault="00835042" w:rsidP="00B73F77">
            <w:pPr>
              <w:pStyle w:val="KeyPoints-Bullet"/>
            </w:pPr>
            <w:r w:rsidRPr="00404FAD">
              <w:t xml:space="preserve">Additional funding for the road infrastructure assessments needed to support informed decision-making about access and a focus on building local government capacity will help ensure that the NAAS roll-out does not fall further behind. </w:t>
            </w:r>
          </w:p>
        </w:tc>
      </w:tr>
      <w:tr w:rsidR="00835042" w:rsidRPr="00404FAD" w14:paraId="1EB35D4D" w14:textId="77777777">
        <w:tc>
          <w:tcPr>
            <w:tcW w:w="577" w:type="dxa"/>
            <w:shd w:val="clear" w:color="auto" w:fill="E7F6FD"/>
            <w:tcMar>
              <w:top w:w="0" w:type="dxa"/>
              <w:bottom w:w="0" w:type="dxa"/>
              <w:right w:w="113" w:type="dxa"/>
            </w:tcMar>
          </w:tcPr>
          <w:p w14:paraId="5B79B92F" w14:textId="77777777" w:rsidR="00835042" w:rsidRPr="00404FAD" w:rsidRDefault="00835042">
            <w:pPr>
              <w:pStyle w:val="KeyPointsicon"/>
              <w:spacing w:before="45" w:after="90"/>
            </w:pPr>
            <w:r w:rsidRPr="00404FAD">
              <w:rPr>
                <w:noProof/>
              </w:rPr>
              <w:drawing>
                <wp:inline distT="0" distB="0" distL="0" distR="0" wp14:anchorId="2C0021E9" wp14:editId="1C21AAB5">
                  <wp:extent cx="180000" cy="180000"/>
                  <wp:effectExtent l="0" t="0" r="0" b="0"/>
                  <wp:docPr id="1898233068" name="Graphic 1898233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7C22932" w14:textId="77777777" w:rsidR="00835042" w:rsidRPr="00404FAD" w:rsidRDefault="00835042" w:rsidP="00B73F77">
            <w:pPr>
              <w:pStyle w:val="KeyPoints-Bold"/>
            </w:pPr>
            <w:r w:rsidRPr="00404FAD">
              <w:t>Adjusting noise-based curfews to exempt HZEVs, ensuring planning rules are suited to HZEV charging, facilitating private investment in HZEV charging in heavy vehicle rest areas and improving information to guide charging site selection will assist uptake of HZEVs.</w:t>
            </w:r>
          </w:p>
        </w:tc>
      </w:tr>
      <w:tr w:rsidR="00835042" w:rsidRPr="00404FAD" w14:paraId="2F9F1BA1" w14:textId="77777777">
        <w:tc>
          <w:tcPr>
            <w:tcW w:w="577" w:type="dxa"/>
            <w:shd w:val="clear" w:color="auto" w:fill="E7F6FD"/>
            <w:tcMar>
              <w:top w:w="0" w:type="dxa"/>
              <w:bottom w:w="0" w:type="dxa"/>
              <w:right w:w="113" w:type="dxa"/>
            </w:tcMar>
          </w:tcPr>
          <w:p w14:paraId="620F094B" w14:textId="77777777" w:rsidR="00835042" w:rsidRPr="00404FAD" w:rsidRDefault="00835042">
            <w:pPr>
              <w:pStyle w:val="KeyPointsicon"/>
              <w:spacing w:before="45" w:after="90"/>
            </w:pPr>
            <w:r w:rsidRPr="00404FAD">
              <w:rPr>
                <w:noProof/>
              </w:rPr>
              <w:drawing>
                <wp:inline distT="0" distB="0" distL="0" distR="0" wp14:anchorId="529EAB08" wp14:editId="2C144479">
                  <wp:extent cx="180000" cy="180000"/>
                  <wp:effectExtent l="0" t="0" r="0" b="0"/>
                  <wp:docPr id="745710969" name="Graphic 745710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5E47688" w14:textId="77777777" w:rsidR="00835042" w:rsidRPr="00404FAD" w:rsidRDefault="00835042" w:rsidP="00B73F77">
            <w:pPr>
              <w:pStyle w:val="KeyPoints-Bold"/>
            </w:pPr>
            <w:r w:rsidRPr="00404FAD">
              <w:t>National driver competency reforms to improve safety have been agreed, though implementation across jurisdictions will largely occur between 2026 and 2028.</w:t>
            </w:r>
          </w:p>
          <w:p w14:paraId="58A43C03" w14:textId="77777777" w:rsidR="00835042" w:rsidRPr="00404FAD" w:rsidRDefault="00835042" w:rsidP="00B73F77">
            <w:pPr>
              <w:pStyle w:val="KeyPoints-Bullet"/>
            </w:pPr>
            <w:r w:rsidRPr="00404FAD">
              <w:t>Implementing the National Heavy Vehicle Driver Competency Framework would boost long-run GDP by about 0.004-0.015% ($100 to $400 million based on 2024-25 GDP).</w:t>
            </w:r>
          </w:p>
        </w:tc>
      </w:tr>
    </w:tbl>
    <w:p w14:paraId="0D10CFEE" w14:textId="77777777" w:rsidR="00A0069E" w:rsidRPr="00404FAD" w:rsidRDefault="00A0069E" w:rsidP="00B73F77">
      <w:pPr>
        <w:pStyle w:val="BodyText"/>
      </w:pPr>
      <w:bookmarkStart w:id="9" w:name="_Toc225342370"/>
      <w:bookmarkStart w:id="10" w:name="_Toc225780229"/>
      <w:bookmarkStart w:id="11" w:name="_Toc233206121"/>
      <w:bookmarkStart w:id="12" w:name="_Toc233296299"/>
    </w:p>
    <w:p w14:paraId="43E12C84" w14:textId="77777777" w:rsidR="00A0069E" w:rsidRPr="00404FAD" w:rsidRDefault="00A0069E" w:rsidP="00B73F77">
      <w:pPr>
        <w:pStyle w:val="BodyText"/>
      </w:pPr>
      <w:r w:rsidRPr="00404FAD">
        <w:br w:type="page"/>
      </w:r>
    </w:p>
    <w:p w14:paraId="05F3AF7B" w14:textId="77777777" w:rsidR="00835042" w:rsidRPr="00404FAD" w:rsidRDefault="00835042" w:rsidP="00835042">
      <w:pPr>
        <w:pStyle w:val="Heading2-nonumber"/>
      </w:pPr>
      <w:r w:rsidRPr="00404FAD">
        <w:lastRenderedPageBreak/>
        <w:t>Road freight productivity growth has stalled</w:t>
      </w:r>
      <w:bookmarkEnd w:id="9"/>
      <w:bookmarkEnd w:id="10"/>
      <w:bookmarkEnd w:id="11"/>
      <w:bookmarkEnd w:id="12"/>
      <w:r w:rsidRPr="00404FAD">
        <w:t xml:space="preserve"> </w:t>
      </w:r>
    </w:p>
    <w:p w14:paraId="709FB9CD" w14:textId="77777777" w:rsidR="00835042" w:rsidRPr="00404FAD" w:rsidRDefault="00835042" w:rsidP="00043979">
      <w:pPr>
        <w:pStyle w:val="BodyText"/>
      </w:pPr>
      <w:r w:rsidRPr="00404FAD">
        <w:t>Heavy vehicle transport is central to the day</w:t>
      </w:r>
      <w:r w:rsidRPr="00404FAD">
        <w:noBreakHyphen/>
        <w:t>to</w:t>
      </w:r>
      <w:r w:rsidRPr="00404FAD">
        <w:noBreakHyphen/>
        <w:t>day functioning of our economy. Almost all goods have been moved by heavy vehicles at least once, and often several times – from ports, farms and factories to distribution centres, shops and homes. Overall, the road transport sector and in</w:t>
      </w:r>
      <w:r w:rsidRPr="00404FAD">
        <w:noBreakHyphen/>
        <w:t>house road transport activity represent around 5% of Australian GDP. The road transport sector alone employs 273,000 people.</w:t>
      </w:r>
    </w:p>
    <w:p w14:paraId="3AA7EF8C" w14:textId="77777777" w:rsidR="00835042" w:rsidRPr="00404FAD" w:rsidRDefault="00835042" w:rsidP="00043979">
      <w:pPr>
        <w:pStyle w:val="BodyText"/>
      </w:pPr>
      <w:r w:rsidRPr="00404FAD">
        <w:t xml:space="preserve">Productivity growth in road freight transport reduces transport costs and, ultimately, the costs of goods and services across the economy that depend on it. Productivity growth used to be the norm – truck productivity (proxied by average payload size, also known as ‘physical productivity’) grew steadily from at least the 1970s to the mid-2000s (figure 1). But it has flatlined since then, as the increases in articulated truck physical productivity that drove much of the earlier productivity growth stopped. </w:t>
      </w:r>
    </w:p>
    <w:p w14:paraId="579DB449" w14:textId="77777777" w:rsidR="00835042" w:rsidRPr="00404FAD" w:rsidRDefault="00835042" w:rsidP="00043979">
      <w:pPr>
        <w:pStyle w:val="BodyText"/>
      </w:pPr>
      <w:r w:rsidRPr="00404FAD">
        <w:t>Some slowing in the growth of articulated truck physical productivity may have been inevitable as technical limits to increasing truck size and weight are approached. The move from rigid to articulated trucks has also slowed, reflecting changes in logistics systems and consumer demand.</w:t>
      </w:r>
    </w:p>
    <w:p w14:paraId="581A39F9" w14:textId="77777777" w:rsidR="00835042" w:rsidRPr="00404FAD" w:rsidRDefault="00835042" w:rsidP="00835042">
      <w:pPr>
        <w:pStyle w:val="FigureTableHeading"/>
      </w:pPr>
      <w:r w:rsidRPr="00404FAD">
        <w:t>Figure 1 – Truck productivity growth has stalled</w:t>
      </w:r>
    </w:p>
    <w:p w14:paraId="012EDD0D" w14:textId="77777777" w:rsidR="00835042" w:rsidRPr="00404FAD" w:rsidRDefault="00835042" w:rsidP="00835042">
      <w:pPr>
        <w:pStyle w:val="FigureTableSubheading"/>
        <w:keepLines/>
      </w:pPr>
      <w:r w:rsidRPr="00404FAD">
        <w:t>Decomposition of growth in rigid and articulated truck physical productivity</w:t>
      </w:r>
    </w:p>
    <w:p w14:paraId="7DE2FC28" w14:textId="77777777" w:rsidR="00835042" w:rsidRPr="00404FAD" w:rsidRDefault="00835042" w:rsidP="00C6087E">
      <w:pPr>
        <w:pStyle w:val="BodyText"/>
        <w:spacing w:after="0"/>
      </w:pPr>
      <w:r w:rsidRPr="00404FAD">
        <w:rPr>
          <w:noProof/>
        </w:rPr>
        <w:drawing>
          <wp:inline distT="0" distB="0" distL="0" distR="0" wp14:anchorId="2093A562" wp14:editId="5B3C68C2">
            <wp:extent cx="6104255" cy="2878455"/>
            <wp:effectExtent l="0" t="0" r="0" b="0"/>
            <wp:docPr id="305971771" name="Picture 13" descr="This figure decomposes rigid and articulated truck physical productivity growth since 1976 into contributions due to increased rigid truck physical productivity, increase articulated truck physical productivity, and greater use of articulated trucks relative to rigid trucks. The main contribution is from increased articulated truck physical productivity, but this has stalled since the late 2000s, as has overall rigid and articulated truck physical productivity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71771" name="Picture 13" descr="This figure decomposes rigid and articulated truck physical productivity growth since 1976 into contributions due to increased rigid truck physical productivity, increase articulated truck physical productivity, and greater use of articulated trucks relative to rigid trucks. The main contribution is from increased articulated truck physical productivity, but this has stalled since the late 2000s, as has overall rigid and articulated truck physical productivity growt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04255" cy="2878455"/>
                    </a:xfrm>
                    <a:prstGeom prst="rect">
                      <a:avLst/>
                    </a:prstGeom>
                    <a:noFill/>
                    <a:ln>
                      <a:noFill/>
                    </a:ln>
                  </pic:spPr>
                </pic:pic>
              </a:graphicData>
            </a:graphic>
          </wp:inline>
        </w:drawing>
      </w:r>
    </w:p>
    <w:p w14:paraId="07F092D5" w14:textId="77777777" w:rsidR="00835042" w:rsidRPr="00404FAD" w:rsidRDefault="00835042" w:rsidP="00247343">
      <w:pPr>
        <w:pStyle w:val="Note"/>
        <w:keepLines/>
        <w:spacing w:after="360"/>
      </w:pPr>
      <w:r w:rsidRPr="00404FAD">
        <w:t>The decomposition shows the cumulative effect of changes in each factor on rigid and articulated physical truck productivity since 1976. Each year, the change in overall physical productivity is decomposed into changes in articulated truck physical productivity and rigid truck physical productivity, each weighted by their share of utilisation in the previous period, plus a contribution due to changes in utilisation weighted by current period differences in articulated versus rigid truck physical productivity.</w:t>
      </w:r>
    </w:p>
    <w:p w14:paraId="333D9D9E" w14:textId="77777777" w:rsidR="00835042" w:rsidRPr="00404FAD" w:rsidRDefault="00835042" w:rsidP="00043979">
      <w:pPr>
        <w:pStyle w:val="BodyText"/>
      </w:pPr>
      <w:r w:rsidRPr="00404FAD">
        <w:t>Future productivity gains are likely to depend on smarter vehicle design – including adoption of the latest truck technologies – and improved network access, complemented by investments to optimise transport and logistics systems</w:t>
      </w:r>
      <w:r w:rsidRPr="00404FAD" w:rsidDel="000C2C61">
        <w:t>.</w:t>
      </w:r>
    </w:p>
    <w:p w14:paraId="5DD47EA1" w14:textId="77777777" w:rsidR="00835042" w:rsidRPr="00A92D17" w:rsidRDefault="00835042" w:rsidP="00835042">
      <w:pPr>
        <w:pStyle w:val="Heading3"/>
        <w:rPr>
          <w:color w:val="154C61" w:themeColor="text2" w:themeShade="80"/>
        </w:rPr>
      </w:pPr>
      <w:r w:rsidRPr="00A92D17">
        <w:rPr>
          <w:color w:val="154C61" w:themeColor="text2" w:themeShade="80"/>
        </w:rPr>
        <w:lastRenderedPageBreak/>
        <w:t xml:space="preserve">Increasing productivity can reduce emissions </w:t>
      </w:r>
    </w:p>
    <w:p w14:paraId="3C0AC439" w14:textId="77777777" w:rsidR="00835042" w:rsidRPr="00404FAD" w:rsidRDefault="00835042" w:rsidP="00043979">
      <w:pPr>
        <w:pStyle w:val="BodyText"/>
      </w:pPr>
      <w:r w:rsidRPr="00404FAD">
        <w:t>Decreasing the fuel usage of the freight fleet via increased productivity and use of electric vehicles could support the Australian Government’s commitment to achieve net zero emissions by 2050. It</w:t>
      </w:r>
      <w:r w:rsidRPr="00404FAD" w:rsidDel="00797C36">
        <w:t xml:space="preserve"> </w:t>
      </w:r>
      <w:r w:rsidRPr="00404FAD">
        <w:t xml:space="preserve">could also increase resilience in the face of supply chain disruption, such as the diesel fuel shortage generated by the 2026 conflict in Iran and closure of the Strait of Hormuz. </w:t>
      </w:r>
    </w:p>
    <w:p w14:paraId="0416A177" w14:textId="77777777" w:rsidR="00835042" w:rsidRPr="00404FAD" w:rsidRDefault="00835042" w:rsidP="00043979">
      <w:pPr>
        <w:pStyle w:val="BodyText"/>
      </w:pPr>
      <w:r w:rsidRPr="00404FAD">
        <w:t>Some countries have adopted electric trucks more rapidly than Australia (figure 2). Sales of electric trucks in Australia increased following onset of the conflict, but from a low base.</w:t>
      </w:r>
    </w:p>
    <w:p w14:paraId="733D1523" w14:textId="77777777" w:rsidR="00835042" w:rsidRPr="00404FAD" w:rsidRDefault="00835042" w:rsidP="00835042">
      <w:pPr>
        <w:pStyle w:val="FigureTableHeading"/>
      </w:pPr>
      <w:r w:rsidRPr="00404FAD">
        <w:t>Figure 2 – Some countries are ahead of Australia in electric truck adoption</w:t>
      </w:r>
    </w:p>
    <w:p w14:paraId="0960E7CA" w14:textId="77777777" w:rsidR="00835042" w:rsidRPr="00404FAD" w:rsidRDefault="00835042" w:rsidP="00835042">
      <w:pPr>
        <w:pStyle w:val="FigureTableSubheading"/>
        <w:keepLines/>
      </w:pPr>
      <w:r w:rsidRPr="00404FAD">
        <w:t xml:space="preserve">Share of new truck sales that are electric </w:t>
      </w:r>
    </w:p>
    <w:p w14:paraId="65A8DE76" w14:textId="63FE0967" w:rsidR="00835042" w:rsidRPr="00404FAD" w:rsidRDefault="008804CE" w:rsidP="005D59CB">
      <w:pPr>
        <w:pStyle w:val="BodyText"/>
      </w:pPr>
      <w:r w:rsidRPr="008804CE">
        <w:rPr>
          <w:noProof/>
        </w:rPr>
        <w:drawing>
          <wp:inline distT="0" distB="0" distL="0" distR="0" wp14:anchorId="67C9317D" wp14:editId="70C7C76C">
            <wp:extent cx="6082030" cy="2876550"/>
            <wp:effectExtent l="0" t="0" r="0" b="0"/>
            <wp:docPr id="1318174215" name="Picture 1" descr="This figure shows the share of new truck sales that are of electric trucks in China, Europe and Australia. This share is higher in Europe and China tha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74215" name="Picture 1" descr="This figure shows the share of new truck sales that are of electric trucks in China, Europe and Australia. This share is higher in Europe and China than in Australi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2030" cy="2876550"/>
                    </a:xfrm>
                    <a:prstGeom prst="rect">
                      <a:avLst/>
                    </a:prstGeom>
                    <a:noFill/>
                    <a:ln>
                      <a:noFill/>
                    </a:ln>
                  </pic:spPr>
                </pic:pic>
              </a:graphicData>
            </a:graphic>
          </wp:inline>
        </w:drawing>
      </w:r>
    </w:p>
    <w:p w14:paraId="1A6B49E8" w14:textId="77777777" w:rsidR="00835042" w:rsidRPr="00404FAD" w:rsidRDefault="00835042" w:rsidP="005D59CB">
      <w:pPr>
        <w:pStyle w:val="Note"/>
        <w:keepLines/>
        <w:spacing w:after="360"/>
      </w:pPr>
      <w:r w:rsidRPr="00404FAD">
        <w:t>Data for Australia is for battery electric vehicles exceeding 3.5 tonnes, while data for China and Europe is for electric commercial freight vehicles exceeding 3.5 tonnes.</w:t>
      </w:r>
    </w:p>
    <w:p w14:paraId="20FF187C" w14:textId="77777777" w:rsidR="00835042" w:rsidRPr="00404FAD" w:rsidRDefault="00835042" w:rsidP="00043979">
      <w:pPr>
        <w:pStyle w:val="BodyText"/>
      </w:pPr>
      <w:bookmarkStart w:id="13" w:name="_Toc225342371"/>
      <w:bookmarkStart w:id="14" w:name="_Toc225780230"/>
      <w:r w:rsidRPr="00404FAD">
        <w:t xml:space="preserve">Heavy transport decarbonisation has not been an early priority in the drive towards net zero in Australia, but this may change if diesel fuel disruptions continue in some form, or if perceptions about ongoing fuel security change in response to this year’s crisis. Modelling from prior to the conflict indicated the lowest-cost path to net zero would involve transport sector emissions declining by about two-thirds by 2050, with most of the reduction occurring between 2035 and 2050. While large-scale heavy zero emissions vehicle (HZEV) adoption is probably still some years off, higher or more uncertain diesel prices would boost the case for take-up of decarbonisation technologies. </w:t>
      </w:r>
    </w:p>
    <w:p w14:paraId="755B004B" w14:textId="77777777" w:rsidR="00835042" w:rsidRPr="00404FAD" w:rsidRDefault="00835042" w:rsidP="00835042">
      <w:pPr>
        <w:pStyle w:val="Heading3"/>
      </w:pPr>
      <w:r w:rsidRPr="00404FAD">
        <w:t>Deploying</w:t>
      </w:r>
      <w:r w:rsidRPr="00404FAD" w:rsidDel="0030108D">
        <w:t xml:space="preserve"> </w:t>
      </w:r>
      <w:r w:rsidRPr="00404FAD">
        <w:t>new technologies can re</w:t>
      </w:r>
      <w:r w:rsidRPr="00404FAD">
        <w:noBreakHyphen/>
        <w:t>start productivity growth</w:t>
      </w:r>
      <w:bookmarkEnd w:id="13"/>
      <w:bookmarkEnd w:id="14"/>
      <w:r w:rsidRPr="00404FAD">
        <w:t xml:space="preserve"> </w:t>
      </w:r>
    </w:p>
    <w:p w14:paraId="3F2746BD" w14:textId="77777777" w:rsidR="00835042" w:rsidRPr="00404FAD" w:rsidRDefault="00835042" w:rsidP="00043979">
      <w:pPr>
        <w:pStyle w:val="BodyText"/>
      </w:pPr>
      <w:r w:rsidRPr="00404FAD">
        <w:t>High productivity vehicles,</w:t>
      </w:r>
      <w:r w:rsidRPr="00404FAD" w:rsidDel="00B27601">
        <w:t xml:space="preserve"> </w:t>
      </w:r>
      <w:r w:rsidRPr="00404FAD">
        <w:t xml:space="preserve">HZEVs, automated permits and telematics can all enable a productivity uplift if deployed well. But these opportunities will only be realised if governments collaborate to remove regulatory and other barriers to innovation and investment. </w:t>
      </w:r>
    </w:p>
    <w:p w14:paraId="60D1A67C" w14:textId="77777777" w:rsidR="00835042" w:rsidRPr="00404FAD" w:rsidRDefault="00835042" w:rsidP="00043979">
      <w:pPr>
        <w:pStyle w:val="BodyText"/>
      </w:pPr>
      <w:r w:rsidRPr="00404FAD">
        <w:t>More needs to be done to ensure that regulatory settings and frameworks support optimal decision</w:t>
      </w:r>
      <w:r w:rsidRPr="00404FAD">
        <w:rPr>
          <w:rFonts w:ascii="Cambria Math" w:hAnsi="Cambria Math"/>
        </w:rPr>
        <w:t>‑</w:t>
      </w:r>
      <w:r w:rsidRPr="00404FAD">
        <w:t>making by both governments and heavy vehicle operators. Heavy vehicles represent significant, long</w:t>
      </w:r>
      <w:r w:rsidRPr="00404FAD">
        <w:noBreakHyphen/>
        <w:t xml:space="preserve">lived investments for freight operators, and fleet turnover occurs gradually. Australia’s </w:t>
      </w:r>
      <w:r w:rsidRPr="00404FAD">
        <w:lastRenderedPageBreak/>
        <w:t>truck fleet has a median age of 15 years, which is significantly older than in other OECD countries. Road access and design rules also limit fleet transition. Right now, the safest, most productive and lowest emission heavy vehicles face more barriers to get on the road than a standard ‘prescriptive’ heavy vehicle. As a result, potential productivity gains, safety improvements and decarbonisation opportunities are not being fully realised.</w:t>
      </w:r>
    </w:p>
    <w:p w14:paraId="65ECDD7A" w14:textId="77777777" w:rsidR="00835042" w:rsidRPr="00404FAD" w:rsidRDefault="00835042" w:rsidP="00043979">
      <w:pPr>
        <w:pStyle w:val="BodyText"/>
      </w:pPr>
      <w:r w:rsidRPr="00404FAD">
        <w:t>Governments are working together on new national approaches. For example, the</w:t>
      </w:r>
      <w:r w:rsidRPr="00404FAD" w:rsidDel="00450A4B">
        <w:t xml:space="preserve"> </w:t>
      </w:r>
      <w:r w:rsidRPr="00404FAD">
        <w:t>National Automated Access System (NAAS) seeks to make it easier for operators to apply for permits and reduce the number of permits needed to access roads. This could increase productivity by reducing regulatory and administrative burden. Governments are also looking to introduce national consistency and higher standards of training and licensing through reforms to the National Heavy Vehicle Driver Competency Framework, which are expected to improve the supply of safe and competent heavy vehicle drivers.</w:t>
      </w:r>
    </w:p>
    <w:p w14:paraId="4AF989E1" w14:textId="77777777" w:rsidR="00835042" w:rsidRPr="00404FAD" w:rsidRDefault="00835042" w:rsidP="00043979">
      <w:pPr>
        <w:pStyle w:val="BodyText"/>
      </w:pPr>
      <w:r w:rsidRPr="00404FAD">
        <w:t>Individual jurisdictions are also pursing reforms that demonstrate new technologies and regulatory approaches and create useful reference cases for national reforms. The Tasmanian Government developed its Heavy Vehicle Access Management System in 2016, and it is now the foundation for the NAAS. Earlier this year, the Victorian Government rolled out its Heavy Vehicle Structural Assessment Permit System, which allows manufacturers and operators to quickly assess whether their vehicles can safely operate over Victorian state bridges. And several state and territory governments have amended the definitions used for their service centres to include electric vehicle charging.</w:t>
      </w:r>
    </w:p>
    <w:p w14:paraId="622B608A" w14:textId="77777777" w:rsidR="00835042" w:rsidRPr="00404FAD" w:rsidRDefault="00835042" w:rsidP="00835042">
      <w:pPr>
        <w:pStyle w:val="Heading2-nonumber"/>
      </w:pPr>
      <w:bookmarkStart w:id="15" w:name="_Toc225342372"/>
      <w:bookmarkStart w:id="16" w:name="_Toc225780231"/>
      <w:bookmarkStart w:id="17" w:name="_Toc233206122"/>
      <w:bookmarkStart w:id="18" w:name="_Toc233296300"/>
      <w:r w:rsidRPr="00404FAD">
        <w:t>The PC has examined 5 heavy vehicle reform areas</w:t>
      </w:r>
      <w:bookmarkEnd w:id="15"/>
      <w:bookmarkEnd w:id="16"/>
      <w:bookmarkEnd w:id="17"/>
      <w:bookmarkEnd w:id="18"/>
      <w:r w:rsidRPr="00404FAD">
        <w:t xml:space="preserve"> </w:t>
      </w:r>
    </w:p>
    <w:p w14:paraId="35238C3D" w14:textId="77777777" w:rsidR="00835042" w:rsidRPr="00404FAD" w:rsidRDefault="00835042" w:rsidP="00043979">
      <w:pPr>
        <w:pStyle w:val="BodyText"/>
      </w:pPr>
      <w:r w:rsidRPr="00404FAD">
        <w:t>The PC was asked to provide analysis and modelling across 5 reform areas:</w:t>
      </w:r>
    </w:p>
    <w:p w14:paraId="2FC7CE89" w14:textId="77777777" w:rsidR="00835042" w:rsidRPr="00404FAD" w:rsidRDefault="00835042" w:rsidP="00E87E32">
      <w:pPr>
        <w:pStyle w:val="ListBullet"/>
      </w:pPr>
      <w:r w:rsidRPr="00404FAD">
        <w:t>increasing heavy vehicle road access to reduce emissions and increase productivity</w:t>
      </w:r>
    </w:p>
    <w:p w14:paraId="1F4B3776" w14:textId="77777777" w:rsidR="00835042" w:rsidRPr="00404FAD" w:rsidRDefault="00835042" w:rsidP="00E87E32">
      <w:pPr>
        <w:pStyle w:val="ListBullet"/>
        <w:rPr>
          <w:spacing w:val="-4"/>
        </w:rPr>
      </w:pPr>
      <w:r w:rsidRPr="00404FAD">
        <w:rPr>
          <w:spacing w:val="-4"/>
        </w:rPr>
        <w:t>accelerating the establishment of a NAAS to streamline road access decision</w:t>
      </w:r>
      <w:r w:rsidRPr="00404FAD">
        <w:rPr>
          <w:rFonts w:ascii="Cambria Math" w:hAnsi="Cambria Math" w:cs="Cambria Math"/>
          <w:spacing w:val="-4"/>
        </w:rPr>
        <w:t>‑</w:t>
      </w:r>
      <w:r w:rsidRPr="00404FAD">
        <w:rPr>
          <w:spacing w:val="-4"/>
        </w:rPr>
        <w:t>making for all heavy vehicles</w:t>
      </w:r>
    </w:p>
    <w:p w14:paraId="239B6D9B" w14:textId="77777777" w:rsidR="00835042" w:rsidRPr="00404FAD" w:rsidRDefault="00835042" w:rsidP="00E87E32">
      <w:pPr>
        <w:pStyle w:val="ListBullet"/>
      </w:pPr>
      <w:r w:rsidRPr="00404FAD">
        <w:t>removing administrative and regulatory barriers to improve the availability of heavy zero emissions vehicle charging infrastructure</w:t>
      </w:r>
    </w:p>
    <w:p w14:paraId="1CC88E94" w14:textId="77777777" w:rsidR="00835042" w:rsidRPr="00404FAD" w:rsidRDefault="00835042" w:rsidP="00E87E32">
      <w:pPr>
        <w:pStyle w:val="ListBullet"/>
      </w:pPr>
      <w:r w:rsidRPr="00404FAD">
        <w:t>reducing or removing curfews for heavy zero emissions vehicles</w:t>
      </w:r>
    </w:p>
    <w:p w14:paraId="5512913E" w14:textId="77777777" w:rsidR="00835042" w:rsidRPr="00404FAD" w:rsidRDefault="00835042" w:rsidP="00E87E32">
      <w:pPr>
        <w:pStyle w:val="ListBullet"/>
      </w:pPr>
      <w:r w:rsidRPr="00404FAD">
        <w:t>accelerating implementation of the National Heavy Vehicle Driver Competency Framework.</w:t>
      </w:r>
    </w:p>
    <w:p w14:paraId="445ACA52" w14:textId="77777777" w:rsidR="00835042" w:rsidRPr="00404FAD" w:rsidRDefault="00835042" w:rsidP="00043979">
      <w:pPr>
        <w:pStyle w:val="BodyText"/>
      </w:pPr>
      <w:r w:rsidRPr="00404FAD">
        <w:t>The request for advice asks the PC to provide a detailed assessment of the economic and revenue impacts of each reform area – nationally and disaggregated by distributional groups, industries and levels of government. In</w:t>
      </w:r>
      <w:r w:rsidRPr="00404FAD" w:rsidDel="00365E4A">
        <w:t xml:space="preserve"> </w:t>
      </w:r>
      <w:r w:rsidRPr="00404FAD">
        <w:t xml:space="preserve">undertaking analysis and modelling, it has become clear that there are interlinkages and shared challenges and opportunities across most reform areas, and not all have the same potential to boost productivity. </w:t>
      </w:r>
    </w:p>
    <w:p w14:paraId="6A107A9D" w14:textId="77777777" w:rsidR="00835042" w:rsidRPr="00404FAD" w:rsidRDefault="00835042" w:rsidP="00043979">
      <w:pPr>
        <w:pStyle w:val="BodyText"/>
      </w:pPr>
      <w:r w:rsidRPr="00404FAD">
        <w:t>The largest potential productivity benefits will arise from reforms that increase access to Australia’s road network for high productivity vehicles. Two reform areas – increasing heavy vehicle road access and the establishment of the NAAS – can enable this. However, the size of their potential impact will depend on the scope and ambition of their design and implementation.</w:t>
      </w:r>
    </w:p>
    <w:p w14:paraId="153CB62D" w14:textId="77777777" w:rsidR="00835042" w:rsidRPr="00404FAD" w:rsidRDefault="00835042" w:rsidP="00043979">
      <w:pPr>
        <w:pStyle w:val="BodyText"/>
      </w:pPr>
      <w:r w:rsidRPr="00404FAD">
        <w:t>Reforms that work towards ‘as</w:t>
      </w:r>
      <w:r w:rsidRPr="00404FAD">
        <w:noBreakHyphen/>
        <w:t>of</w:t>
      </w:r>
      <w:r w:rsidRPr="00404FAD">
        <w:noBreakHyphen/>
        <w:t>right’ access – reducing the time and costs associated with applying for a permit for pre</w:t>
      </w:r>
      <w:r w:rsidRPr="00404FAD">
        <w:noBreakHyphen/>
        <w:t>approved vehicles driving on pre</w:t>
      </w:r>
      <w:r w:rsidRPr="00404FAD">
        <w:noBreakHyphen/>
        <w:t>approved roads – should be prioritised. Achieving ‘as</w:t>
      </w:r>
      <w:r w:rsidRPr="00404FAD">
        <w:noBreakHyphen/>
        <w:t>of</w:t>
      </w:r>
      <w:r w:rsidRPr="00404FAD">
        <w:noBreakHyphen/>
        <w:t>right’ access will depend on:</w:t>
      </w:r>
    </w:p>
    <w:p w14:paraId="5525875B" w14:textId="77777777" w:rsidR="00835042" w:rsidRPr="00404FAD" w:rsidRDefault="00835042" w:rsidP="00E87E32">
      <w:pPr>
        <w:pStyle w:val="ListBullet"/>
      </w:pPr>
      <w:r w:rsidRPr="00404FAD">
        <w:t>improvements in the accuracy and comprehensiveness of information – about road quality, and culvert and bridge tolerances and conditions</w:t>
      </w:r>
    </w:p>
    <w:p w14:paraId="1BC691F1" w14:textId="77777777" w:rsidR="00835042" w:rsidRPr="00404FAD" w:rsidRDefault="00835042" w:rsidP="00E87E32">
      <w:pPr>
        <w:pStyle w:val="ListBullet"/>
      </w:pPr>
      <w:r w:rsidRPr="00404FAD">
        <w:t xml:space="preserve">support from local road managers to allow greater access, while still managing risk </w:t>
      </w:r>
    </w:p>
    <w:p w14:paraId="2BD982E6" w14:textId="77777777" w:rsidR="00835042" w:rsidRPr="00404FAD" w:rsidRDefault="00835042" w:rsidP="00E87E32">
      <w:pPr>
        <w:pStyle w:val="ListBullet"/>
      </w:pPr>
      <w:r w:rsidRPr="00404FAD">
        <w:lastRenderedPageBreak/>
        <w:t xml:space="preserve">addressing the misaligned incentives between those </w:t>
      </w:r>
      <w:r w:rsidRPr="00404FAD" w:rsidDel="00D76705">
        <w:t xml:space="preserve">who </w:t>
      </w:r>
      <w:r w:rsidRPr="00404FAD">
        <w:t xml:space="preserve">would benefit from expanding access to heavier vehicles or to more parts of the road network (mostly operators) and those who bear the costs of additional road damage and upgrades (mostly road managers). </w:t>
      </w:r>
    </w:p>
    <w:p w14:paraId="527F7BCF" w14:textId="77777777" w:rsidR="00835042" w:rsidRPr="00404FAD" w:rsidRDefault="00835042" w:rsidP="00B73F77">
      <w:pPr>
        <w:pStyle w:val="BodyText"/>
      </w:pPr>
      <w:r w:rsidRPr="00404FAD">
        <w:t xml:space="preserve">There </w:t>
      </w:r>
      <w:r w:rsidRPr="00404FAD">
        <w:rPr>
          <w:rStyle w:val="BodyTextChar"/>
        </w:rPr>
        <w:t xml:space="preserve">are also </w:t>
      </w:r>
      <w:proofErr w:type="gramStart"/>
      <w:r w:rsidRPr="00404FAD">
        <w:rPr>
          <w:rStyle w:val="BodyTextChar"/>
        </w:rPr>
        <w:t>a number of</w:t>
      </w:r>
      <w:proofErr w:type="gramEnd"/>
      <w:r w:rsidRPr="00404FAD">
        <w:rPr>
          <w:rStyle w:val="BodyTextChar"/>
        </w:rPr>
        <w:t xml:space="preserve"> reforms that can be sensibly considered ‘without regret’. These include simplifying vehicle approval processes and reducing jurisdictional variation that does not serve a clear purpose. For example, the Australian Government could assist with coordinating the introduction of additional mass allowances for electric HZEVs across the country, with the potential for jurisdiction</w:t>
      </w:r>
      <w:r w:rsidRPr="00404FAD">
        <w:rPr>
          <w:rStyle w:val="BodyTextChar"/>
        </w:rPr>
        <w:noBreakHyphen/>
        <w:t>level trials to provide an evidence base for a nationally consistent framework.</w:t>
      </w:r>
      <w:r w:rsidRPr="00404FAD">
        <w:rPr>
          <w:color w:val="000000" w:themeColor="text1"/>
        </w:rPr>
        <w:t xml:space="preserve"> </w:t>
      </w:r>
    </w:p>
    <w:p w14:paraId="7FBD8E42" w14:textId="77777777" w:rsidR="00835042" w:rsidRPr="00404FAD" w:rsidRDefault="00835042" w:rsidP="00043979">
      <w:pPr>
        <w:pStyle w:val="Heading2-nonumber"/>
        <w:rPr>
          <w:spacing w:val="-6"/>
        </w:rPr>
      </w:pPr>
      <w:bookmarkStart w:id="19" w:name="_Toc225342373"/>
      <w:bookmarkStart w:id="20" w:name="_Toc225780232"/>
      <w:bookmarkStart w:id="21" w:name="_Toc233206123"/>
      <w:bookmarkStart w:id="22" w:name="_Toc233296301"/>
      <w:r w:rsidRPr="00404FAD">
        <w:rPr>
          <w:spacing w:val="-6"/>
        </w:rPr>
        <w:t>Road access settings need to better balance costs and benefits</w:t>
      </w:r>
      <w:bookmarkEnd w:id="19"/>
      <w:bookmarkEnd w:id="20"/>
      <w:bookmarkEnd w:id="21"/>
      <w:bookmarkEnd w:id="22"/>
    </w:p>
    <w:p w14:paraId="260786EB" w14:textId="77777777" w:rsidR="00835042" w:rsidRPr="00404FAD" w:rsidRDefault="00835042" w:rsidP="00043979">
      <w:pPr>
        <w:pStyle w:val="BodyText"/>
      </w:pPr>
      <w:r w:rsidRPr="00404FAD">
        <w:t>Heavy vehicle road access regulation plays an important role in ensuring that the costs associated with road use (including pavement wear and tear and impacts on congestion, amenity and safety) are managed. But the current settings do not support road managers to make optimal trade</w:t>
      </w:r>
      <w:r w:rsidRPr="00404FAD">
        <w:noBreakHyphen/>
        <w:t xml:space="preserve">offs between the benefits and costs of increasing access. As a result, business and industry face unnecessary costs (via permit processing times and restricted access), and governments, including local governments, are missing opportunities to reduce their administrative load. </w:t>
      </w:r>
    </w:p>
    <w:p w14:paraId="09CFB27A" w14:textId="77777777" w:rsidR="00835042" w:rsidRPr="00404FAD" w:rsidRDefault="00835042" w:rsidP="00B73F77">
      <w:pPr>
        <w:pStyle w:val="Heading3"/>
      </w:pPr>
      <w:r w:rsidRPr="00404FAD">
        <w:t>Reforms are in train to expand general mass and dimension limits</w:t>
      </w:r>
    </w:p>
    <w:p w14:paraId="7FFEA245" w14:textId="77777777" w:rsidR="00835042" w:rsidRPr="00404FAD" w:rsidRDefault="00835042" w:rsidP="00106A33">
      <w:pPr>
        <w:pStyle w:val="BodyText"/>
      </w:pPr>
      <w:r w:rsidRPr="00404FAD">
        <w:t>Access reforms could improve productivity and reduce heavy vehicle</w:t>
      </w:r>
      <w:r w:rsidRPr="00404FAD">
        <w:noBreakHyphen/>
        <w:t xml:space="preserve">related road crashes and emissions by allowing larger, safer trucks on more roads. </w:t>
      </w:r>
    </w:p>
    <w:p w14:paraId="66A43ADC" w14:textId="77777777" w:rsidR="00835042" w:rsidRPr="00404FAD" w:rsidRDefault="00835042" w:rsidP="00106A33">
      <w:pPr>
        <w:pStyle w:val="BodyText"/>
      </w:pPr>
      <w:r w:rsidRPr="00404FAD">
        <w:t>Some improvements to general access are already underway. For example,</w:t>
      </w:r>
      <w:r w:rsidRPr="00404FAD" w:rsidDel="00810B56">
        <w:t xml:space="preserve"> </w:t>
      </w:r>
      <w:r w:rsidRPr="00404FAD">
        <w:t>the National Heavy Vehicle Regulator (NHVR) is</w:t>
      </w:r>
      <w:r w:rsidRPr="00404FAD" w:rsidDel="005733F7">
        <w:t xml:space="preserve"> </w:t>
      </w:r>
      <w:r w:rsidRPr="00404FAD">
        <w:t>progressing work to explore incorporating the Euro VI mass concession – which provides an extra 0.5 tonnes of mass for compliant vehicles – into notices. Increases to baseline mass limits, length and height allowances will take effect in mid</w:t>
      </w:r>
      <w:r w:rsidRPr="00404FAD">
        <w:noBreakHyphen/>
        <w:t xml:space="preserve">2026. </w:t>
      </w:r>
    </w:p>
    <w:p w14:paraId="4572E542" w14:textId="77777777" w:rsidR="00835042" w:rsidRPr="00404FAD" w:rsidRDefault="00835042" w:rsidP="00106A33">
      <w:pPr>
        <w:pStyle w:val="BodyText"/>
      </w:pPr>
      <w:r w:rsidRPr="00404FAD">
        <w:t>Increased heavy vehicle access to the road network can generate productivity and emissions reduction benefits. The Bureau of Infrastructure and Transport Research Economics (BITRE) has estimated that increasing heavy vehicle General Mass Limits, which serves as a proxy for increasing heavy vehicle network access generally, would increase road freight sector productivity by 1.0% to</w:t>
      </w:r>
      <w:r w:rsidRPr="00404FAD" w:rsidDel="006D62F2">
        <w:t xml:space="preserve"> </w:t>
      </w:r>
      <w:r w:rsidRPr="00404FAD">
        <w:t>3.2%, depending on how much the limits are raised. On BITRE’s modelling, these benefits would significantly outweigh the costs of additional road damage.</w:t>
      </w:r>
    </w:p>
    <w:p w14:paraId="63D1FEEC" w14:textId="77777777" w:rsidR="00835042" w:rsidRPr="00404FAD" w:rsidRDefault="00835042" w:rsidP="00106A33">
      <w:pPr>
        <w:pStyle w:val="BodyText"/>
      </w:pPr>
      <w:r w:rsidRPr="00404FAD">
        <w:t>BITRE’s work focusses on direct benefits and costs but increasing heavy vehicle network access would also have flow-on effects for the rest of the economy. Road transport services are an input into many other industries while road maintenance draws resources away from other uses. The PC commissioned modelling that gauges the broader economy-wide effect of increasing General Mass Limits, taking into consideration both the productivity benefits and road damage costs. This modelling found that long-run GDP would increase by about 0.03–0.10% ($900 million to $2.7 billion based on 2024–25 GDP), depending on the size of the General Mass Limit increase.</w:t>
      </w:r>
    </w:p>
    <w:p w14:paraId="0A2D9DCC" w14:textId="77777777" w:rsidR="00835042" w:rsidRPr="00404FAD" w:rsidRDefault="00835042" w:rsidP="00FF00C4">
      <w:pPr>
        <w:pStyle w:val="Heading3"/>
      </w:pPr>
      <w:r w:rsidRPr="00404FAD">
        <w:t>Access should be expanded for high productivity vehicles</w:t>
      </w:r>
    </w:p>
    <w:p w14:paraId="130B4A78" w14:textId="77777777" w:rsidR="00835042" w:rsidRPr="00404FAD" w:rsidRDefault="00835042" w:rsidP="00835042">
      <w:pPr>
        <w:pStyle w:val="BodyText"/>
      </w:pPr>
      <w:r w:rsidRPr="00404FAD">
        <w:t>Expanding access for Performance</w:t>
      </w:r>
      <w:r w:rsidRPr="00404FAD">
        <w:noBreakHyphen/>
        <w:t>Based Standards (PBS) vehicles is another way to support a productivity uplift. PBS vehicles are designed to achieve higher productivity than their non</w:t>
      </w:r>
      <w:r w:rsidRPr="00404FAD">
        <w:noBreakHyphen/>
        <w:t xml:space="preserve">PBS equivalents and have experienced strong uptake since the scheme was introduced in 2007, representing 21% of the road freight task in 2022. However, PBS vehicles often face greater barriers to </w:t>
      </w:r>
      <w:r w:rsidRPr="00404FAD">
        <w:lastRenderedPageBreak/>
        <w:t>access than non</w:t>
      </w:r>
      <w:r w:rsidRPr="00404FAD">
        <w:noBreakHyphen/>
        <w:t>PBS equivalents, despite meeting or exceeding the same safety requirements. Governments should streamline access and design approvals for common PBS vehicle configurations to further promote the uptake of these high productivity vehicles.</w:t>
      </w:r>
    </w:p>
    <w:p w14:paraId="33348947" w14:textId="77777777" w:rsidR="00835042" w:rsidRPr="00404FAD" w:rsidRDefault="00835042" w:rsidP="00835042">
      <w:pPr>
        <w:pStyle w:val="BodyText"/>
      </w:pPr>
      <w:r w:rsidRPr="00404FAD">
        <w:t>Road managers should be encouraged to support as</w:t>
      </w:r>
      <w:r w:rsidRPr="00404FAD">
        <w:noBreakHyphen/>
        <w:t>of</w:t>
      </w:r>
      <w:r w:rsidRPr="00404FAD">
        <w:noBreakHyphen/>
        <w:t>right access for PBS vehicles where it is safe to do so. Governments should enable eligible PBS vehicles to be added to existing gazetted authorisation notices for equivalent non</w:t>
      </w:r>
      <w:r w:rsidRPr="00404FAD">
        <w:noBreakHyphen/>
        <w:t>PBS vehicles</w:t>
      </w:r>
      <w:r w:rsidRPr="00404FAD" w:rsidDel="004559DF">
        <w:t xml:space="preserve"> </w:t>
      </w:r>
      <w:r w:rsidRPr="00404FAD">
        <w:t xml:space="preserve">without requiring a new notice. </w:t>
      </w:r>
    </w:p>
    <w:p w14:paraId="01833EAA" w14:textId="77777777" w:rsidR="00835042" w:rsidRPr="00404FAD" w:rsidRDefault="00835042" w:rsidP="00B73F77">
      <w:pPr>
        <w:pStyle w:val="Heading3"/>
      </w:pPr>
      <w:r w:rsidRPr="00404FAD">
        <w:t>The NAAS roll-out can improve access decisions</w:t>
      </w:r>
    </w:p>
    <w:p w14:paraId="2307B961" w14:textId="77777777" w:rsidR="00835042" w:rsidRPr="00404FAD" w:rsidRDefault="00835042" w:rsidP="00FF00C4">
      <w:pPr>
        <w:pStyle w:val="BodyText"/>
      </w:pPr>
      <w:r w:rsidRPr="00404FAD">
        <w:t>There is also an opportunity through the planned roll</w:t>
      </w:r>
      <w:r w:rsidRPr="00404FAD">
        <w:noBreakHyphen/>
        <w:t>out of the NAAS to deliver faster, more consistent and more risk</w:t>
      </w:r>
      <w:r w:rsidRPr="00404FAD">
        <w:noBreakHyphen/>
        <w:t>based access decisions by automating approvals and, ideally, providing network</w:t>
      </w:r>
      <w:r w:rsidRPr="00404FAD">
        <w:noBreakHyphen/>
        <w:t>based access maps rather than case</w:t>
      </w:r>
      <w:r w:rsidRPr="00404FAD">
        <w:noBreakHyphen/>
        <w:t>by</w:t>
      </w:r>
      <w:r w:rsidRPr="00404FAD">
        <w:noBreakHyphen/>
        <w:t>case route permits.</w:t>
      </w:r>
    </w:p>
    <w:p w14:paraId="7A5F8BDD" w14:textId="77777777" w:rsidR="00835042" w:rsidRPr="00404FAD" w:rsidRDefault="00835042" w:rsidP="00FF00C4">
      <w:pPr>
        <w:pStyle w:val="BodyText"/>
      </w:pPr>
      <w:r w:rsidRPr="00404FAD">
        <w:t>The NAAS is an important reform – BITRE has estimated that its adoption would boost road freight sector productivity by 0.8% to</w:t>
      </w:r>
      <w:r w:rsidRPr="00404FAD" w:rsidDel="006D62F2">
        <w:t xml:space="preserve"> </w:t>
      </w:r>
      <w:r w:rsidRPr="00404FAD">
        <w:t>1.6%. The PC</w:t>
      </w:r>
      <w:r w:rsidRPr="00404FAD" w:rsidDel="00365E4A">
        <w:t xml:space="preserve"> </w:t>
      </w:r>
      <w:r w:rsidRPr="00404FAD">
        <w:t>commissioned modelling to analyse how this targeted productivity boost would propagate to the broader economy, which found that implementing the NAAS would boost GDP by about 0.02–0.05% ($600 million to $1.3 billion based on 2024–25 GDP).</w:t>
      </w:r>
    </w:p>
    <w:p w14:paraId="3E858985" w14:textId="77777777" w:rsidR="00835042" w:rsidRPr="00404FAD" w:rsidRDefault="00835042" w:rsidP="00FF00C4">
      <w:pPr>
        <w:pStyle w:val="BodyText"/>
      </w:pPr>
      <w:r w:rsidRPr="00404FAD">
        <w:t>The NAAS rollout is behind the original agreed targets. While some states have begun to implement automatic access systems, it may be difficult to accelerate given the scale and coordination required – particularly the need for local governments to assess and digitise road and bridge asset data.</w:t>
      </w:r>
    </w:p>
    <w:p w14:paraId="23F988A9" w14:textId="77777777" w:rsidR="00835042" w:rsidRPr="00404FAD" w:rsidRDefault="00835042" w:rsidP="00FF00C4">
      <w:pPr>
        <w:pStyle w:val="BodyText"/>
      </w:pPr>
      <w:r w:rsidRPr="00404FAD">
        <w:t>Given these constraints, getting NAAS design and national alignment right is critical to realising benefits in the long term. The benefits of the system would be maximised if:</w:t>
      </w:r>
    </w:p>
    <w:p w14:paraId="36FC90F7" w14:textId="77777777" w:rsidR="00835042" w:rsidRPr="00404FAD" w:rsidRDefault="00835042" w:rsidP="00FF00C4">
      <w:pPr>
        <w:pStyle w:val="ListBullet"/>
        <w:rPr>
          <w:spacing w:val="-4"/>
        </w:rPr>
      </w:pPr>
      <w:r w:rsidRPr="00404FAD">
        <w:rPr>
          <w:spacing w:val="-4"/>
        </w:rPr>
        <w:t>the NAAS adopted network</w:t>
      </w:r>
      <w:r w:rsidRPr="00404FAD">
        <w:rPr>
          <w:spacing w:val="-4"/>
        </w:rPr>
        <w:noBreakHyphen/>
        <w:t>based access to give operators additional flexibility and support productivity</w:t>
      </w:r>
    </w:p>
    <w:p w14:paraId="125217D8" w14:textId="77777777" w:rsidR="00835042" w:rsidRPr="00404FAD" w:rsidRDefault="00835042" w:rsidP="00FF00C4">
      <w:pPr>
        <w:pStyle w:val="ListBullet"/>
      </w:pPr>
      <w:r w:rsidRPr="00404FAD">
        <w:t>states and territories adopted consistent front-end access systems to reduce the burden on operators undertaking interstate trips</w:t>
      </w:r>
    </w:p>
    <w:p w14:paraId="72697136" w14:textId="77777777" w:rsidR="00835042" w:rsidRPr="00404FAD" w:rsidRDefault="00835042" w:rsidP="00FF00C4">
      <w:pPr>
        <w:pStyle w:val="ListBullet"/>
      </w:pPr>
      <w:r w:rsidRPr="00404FAD">
        <w:t>the design of the NAAS maximised the consistency and quality of local government decision</w:t>
      </w:r>
      <w:r w:rsidRPr="00404FAD">
        <w:rPr>
          <w:rFonts w:ascii="Cambria Math" w:hAnsi="Cambria Math" w:cs="Cambria Math"/>
        </w:rPr>
        <w:t>‑</w:t>
      </w:r>
      <w:r w:rsidRPr="00404FAD">
        <w:t>making on access and increased the information available to inform decisions, with additional support provided to local governments to facilitate this.</w:t>
      </w:r>
    </w:p>
    <w:p w14:paraId="52292A37" w14:textId="59F6A513" w:rsidR="00835042" w:rsidRPr="00404FAD" w:rsidRDefault="00835042" w:rsidP="00FF00C4">
      <w:pPr>
        <w:pStyle w:val="BodyText"/>
      </w:pPr>
      <w:r w:rsidRPr="00404FAD">
        <w:t>To build on the progress made so far, governments should prioritise filling remaining information gaps and supporting local government participation, including through funding future phases of the Strategic Local Government Asset Assessment Project</w:t>
      </w:r>
      <w:r w:rsidR="00FF00C4" w:rsidRPr="00404FAD">
        <w:t>.</w:t>
      </w:r>
    </w:p>
    <w:p w14:paraId="104554BA" w14:textId="77777777" w:rsidR="00835042" w:rsidRPr="00404FAD" w:rsidRDefault="00835042" w:rsidP="00B73F77">
      <w:pPr>
        <w:pStyle w:val="Heading3"/>
      </w:pPr>
      <w:r w:rsidRPr="00404FAD">
        <w:t>More national consistency would facilitate fleet transition</w:t>
      </w:r>
    </w:p>
    <w:p w14:paraId="4ED027C1" w14:textId="77777777" w:rsidR="00835042" w:rsidRPr="00404FAD" w:rsidRDefault="00835042" w:rsidP="00B73F77">
      <w:pPr>
        <w:pStyle w:val="BodyText"/>
      </w:pPr>
      <w:r w:rsidRPr="00404FAD">
        <w:t xml:space="preserve">The uptake of HZEVs will be vital for Australia to benefit from technological change and deliver significant transport emissions reductions. But electric HZEVs are typically heavier than their diesel equivalents due to the additional weight of battery systems. While technological improvements and innovation may reduce battery weight over time, operators currently face a payload penalty – that is, reduced freight capacity within existing mass limits – which can limit uptake. </w:t>
      </w:r>
    </w:p>
    <w:p w14:paraId="2291FC32" w14:textId="77777777" w:rsidR="00835042" w:rsidRPr="00404FAD" w:rsidRDefault="00835042" w:rsidP="00947601">
      <w:pPr>
        <w:pStyle w:val="BodyText"/>
      </w:pPr>
      <w:r w:rsidRPr="00404FAD">
        <w:t xml:space="preserve">The technology and transport operations underpinning these vehicles are evolving, particularly in relation to electric batteries, charging infrastructure and vehicle design. </w:t>
      </w:r>
      <w:proofErr w:type="gramStart"/>
      <w:r w:rsidRPr="00404FAD">
        <w:t>In light of</w:t>
      </w:r>
      <w:proofErr w:type="gramEnd"/>
      <w:r w:rsidRPr="00404FAD">
        <w:t xml:space="preserve"> this, there is a case for allowing a degree of transitional tolerance in regulations to support early deployment. Some support for the initial uptake can help accelerate the development of supporting infrastructure and industry practices – including to accommodate charging requirements – that may otherwise not develop in a timely manner. </w:t>
      </w:r>
    </w:p>
    <w:p w14:paraId="21793451" w14:textId="56F89AB8" w:rsidR="00835042" w:rsidRPr="00404FAD" w:rsidRDefault="00835042" w:rsidP="00947601">
      <w:pPr>
        <w:pStyle w:val="BodyText"/>
      </w:pPr>
      <w:r w:rsidRPr="00404FAD">
        <w:lastRenderedPageBreak/>
        <w:t>State and territory governments have introduced some additional mass allowances for HZEVs, but these arrangements differ across jurisdictions. The Australian Government can help play a coordinating role and, along with state and territory governments, work to embed a consistent concessional mass limit to ensure electric HZEVs can operate across jurisdictions without significant payload disadvantages. The infrastructure impacts of a concessional mass limit for electric HZEVs are likely to be small in the immediate term, reflecting both the slow pace of fleet turnover and that these vehicles account for a small share of the heavy vehicle fleet.</w:t>
      </w:r>
    </w:p>
    <w:p w14:paraId="609CEC0D" w14:textId="77777777" w:rsidR="00835042" w:rsidRPr="00404FAD" w:rsidRDefault="00835042" w:rsidP="00947601">
      <w:pPr>
        <w:pStyle w:val="BodyText"/>
      </w:pPr>
      <w:r w:rsidRPr="00404FAD">
        <w:t xml:space="preserve">These arrangements should be reassessed over time as batteries get lighter or are able to travel further with technological change. An option is to schedule 5-yearly reviews to ensure the concession is set to keep pace with decreasing payload gaps. </w:t>
      </w:r>
    </w:p>
    <w:p w14:paraId="7F188EC7" w14:textId="77777777" w:rsidR="00835042" w:rsidRPr="00404FAD" w:rsidRDefault="00835042" w:rsidP="00835042">
      <w:pPr>
        <w:pStyle w:val="Heading2-nonumber"/>
      </w:pPr>
      <w:bookmarkStart w:id="23" w:name="_Toc225342374"/>
      <w:bookmarkStart w:id="24" w:name="_Toc225780233"/>
      <w:bookmarkStart w:id="25" w:name="_Toc233206124"/>
      <w:bookmarkStart w:id="26" w:name="_Toc233296302"/>
      <w:r w:rsidRPr="00404FAD">
        <w:t xml:space="preserve">Other regulation has not caught up with </w:t>
      </w:r>
      <w:bookmarkEnd w:id="23"/>
      <w:bookmarkEnd w:id="24"/>
      <w:r w:rsidRPr="00404FAD">
        <w:t>HZEVs</w:t>
      </w:r>
      <w:bookmarkEnd w:id="25"/>
      <w:bookmarkEnd w:id="26"/>
    </w:p>
    <w:p w14:paraId="6C2A633F" w14:textId="77777777" w:rsidR="00835042" w:rsidRPr="00404FAD" w:rsidRDefault="00835042" w:rsidP="00835042">
      <w:pPr>
        <w:pStyle w:val="BodyText"/>
      </w:pPr>
      <w:r w:rsidRPr="00404FAD">
        <w:t>The road access regulatory framework is not the only regulatory framework that has not yet caught up with the move towards HZEVs. Administrative and regulatory settings affecting charging infrastructure and curfews also need to change so that widespread heavy vehicle decarbonisation is not held back once the technology improves and costs fall.</w:t>
      </w:r>
    </w:p>
    <w:p w14:paraId="312E6AF0" w14:textId="77777777" w:rsidR="00835042" w:rsidRPr="00404FAD" w:rsidRDefault="00835042" w:rsidP="00B73F77">
      <w:pPr>
        <w:pStyle w:val="Heading3"/>
      </w:pPr>
      <w:r w:rsidRPr="00404FAD">
        <w:t>Administrative and regulatory barriers to HZEV charging infrastructure should be reduced</w:t>
      </w:r>
    </w:p>
    <w:p w14:paraId="5CC94730" w14:textId="77777777" w:rsidR="00835042" w:rsidRPr="00404FAD" w:rsidRDefault="00835042" w:rsidP="00EF3F0A">
      <w:pPr>
        <w:pStyle w:val="BodyText"/>
      </w:pPr>
      <w:r w:rsidRPr="00404FAD">
        <w:t>To be commercially successful, HZEVs</w:t>
      </w:r>
      <w:r w:rsidRPr="00404FAD" w:rsidDel="00555551">
        <w:t xml:space="preserve"> </w:t>
      </w:r>
      <w:r w:rsidRPr="00404FAD">
        <w:t>are likely to require:</w:t>
      </w:r>
    </w:p>
    <w:p w14:paraId="30BCD9A6" w14:textId="77777777" w:rsidR="00835042" w:rsidRPr="00404FAD" w:rsidRDefault="00835042" w:rsidP="00EF3F0A">
      <w:pPr>
        <w:pStyle w:val="ListBullet"/>
      </w:pPr>
      <w:r w:rsidRPr="00404FAD">
        <w:t>chargers located in freight centres (depots, distribution hubs and major warehouses), freight nodes (airports, ports and intermodal terminals) and heavy vehicle rest stops (rest areas and service centres along highways)</w:t>
      </w:r>
    </w:p>
    <w:p w14:paraId="57F68DA5" w14:textId="77777777" w:rsidR="00835042" w:rsidRPr="00404FAD" w:rsidRDefault="00835042" w:rsidP="00EF3F0A">
      <w:pPr>
        <w:pStyle w:val="ListBullet"/>
      </w:pPr>
      <w:r w:rsidRPr="00404FAD">
        <w:t>different charging infrastructure from passenger electric vehicles – in particular, more powerful chargers and layouts that accommodate their size.</w:t>
      </w:r>
    </w:p>
    <w:p w14:paraId="28A4D2B4" w14:textId="77777777" w:rsidR="00835042" w:rsidRPr="00404FAD" w:rsidRDefault="00835042" w:rsidP="00EF3F0A">
      <w:pPr>
        <w:pStyle w:val="BodyText"/>
      </w:pPr>
      <w:r w:rsidRPr="00404FAD">
        <w:t>The most significant challenge for the rollout of this charging infrastructure is establishing connections to electricity networks, as high</w:t>
      </w:r>
      <w:r w:rsidRPr="00404FAD">
        <w:noBreakHyphen/>
        <w:t>powered charging can require network augmentation. But the administrative and regulatory barriers (the focus of this study) are important to address so that they do not create hold</w:t>
      </w:r>
      <w:r w:rsidRPr="00404FAD">
        <w:noBreakHyphen/>
        <w:t>ups once broader policy, market and technological developments are in place to drive the rollout forwards.</w:t>
      </w:r>
    </w:p>
    <w:p w14:paraId="5633FC1C" w14:textId="77777777" w:rsidR="00835042" w:rsidRPr="00404FAD" w:rsidRDefault="00835042" w:rsidP="00EF3F0A">
      <w:pPr>
        <w:pStyle w:val="BodyText"/>
      </w:pPr>
      <w:r w:rsidRPr="00404FAD">
        <w:t xml:space="preserve">One such administrative barrier is that information to inform site selection is not always easily accessible. Data to support HZEV charging infrastructure investment should be made available in a single location and in an exportable format. This could either be through an update to the Electric Vehicle Charging Infrastructure Mapping Tool or a new HZEV-specific mapping tool. </w:t>
      </w:r>
    </w:p>
    <w:p w14:paraId="235BAB45" w14:textId="77777777" w:rsidR="00835042" w:rsidRPr="00404FAD" w:rsidRDefault="00835042" w:rsidP="00EF3F0A">
      <w:pPr>
        <w:pStyle w:val="BodyText"/>
      </w:pPr>
      <w:r w:rsidRPr="00404FAD">
        <w:t>Land use regulation is a potential regulatory barrier to charging infrastructure. Not all planning schemes have been updated to reflect this new type of infrastructure, which can create uncertainty and needlessly bespoke processes. State and territory governments should:</w:t>
      </w:r>
    </w:p>
    <w:p w14:paraId="0EC63B87" w14:textId="77777777" w:rsidR="00835042" w:rsidRPr="00404FAD" w:rsidRDefault="00835042" w:rsidP="00EF3F0A">
      <w:pPr>
        <w:pStyle w:val="ListBullet"/>
      </w:pPr>
      <w:r w:rsidRPr="00404FAD">
        <w:t>alter the definitions of land uses that cover bus depots, freight centres, freight nodes and heavy vehicle rest stops to explicitly allow for electric vehicle charging on land used in this way</w:t>
      </w:r>
    </w:p>
    <w:p w14:paraId="65E66C21" w14:textId="5E0E7E89" w:rsidR="00835042" w:rsidRPr="00404FAD" w:rsidRDefault="00835042" w:rsidP="00EF3F0A">
      <w:pPr>
        <w:pStyle w:val="ListBullet"/>
      </w:pPr>
      <w:r w:rsidRPr="00404FAD">
        <w:t xml:space="preserve">exempt the installation of charging infrastructure from requiring planning permission where it is consistent with existing land use provisions. To the extent that jurisdictions apply conditions to </w:t>
      </w:r>
      <w:r w:rsidRPr="00404FAD">
        <w:lastRenderedPageBreak/>
        <w:t>manage any public impact, these should be balanced against potential impacts on innovation and investment. The PC estimates that this would save about $5</w:t>
      </w:r>
      <w:r w:rsidR="00F1347F">
        <w:t>,</w:t>
      </w:r>
      <w:r w:rsidRPr="00404FAD">
        <w:t xml:space="preserve">000–$15,000 per site. </w:t>
      </w:r>
    </w:p>
    <w:p w14:paraId="53CF0FC5" w14:textId="77777777" w:rsidR="00835042" w:rsidRPr="00404FAD" w:rsidRDefault="00835042" w:rsidP="00EF3F0A">
      <w:pPr>
        <w:pStyle w:val="BodyText"/>
      </w:pPr>
      <w:r w:rsidRPr="00404FAD">
        <w:t>Looking further ahead, an emerging gap is the lack of policy to facilitate commercial installation of HZEV charging infrastructure in state and territory government</w:t>
      </w:r>
      <w:r w:rsidRPr="00404FAD">
        <w:noBreakHyphen/>
        <w:t>provided heavy vehicle rest areas. While only a minority of rest areas will need charging infrastructure, the lack of clear policy creates risks of future public works locking out charging and road authorities defaulting to risk-aversion when charging infrastructure owners enquire about investment opportunities. Austroads should update its Guidelines for the Provision of Heavy Vehicle Rest Area Facilities to reflect future HZEV charging infrastructure needs, and the Australian, state and territory governments should reflect these changes in policy. State and territory governments should also develop policies and guidance for contracting with charging infrastructure owners, including standard contractual terms and pricing principles.</w:t>
      </w:r>
    </w:p>
    <w:p w14:paraId="499CD3FB" w14:textId="77777777" w:rsidR="00835042" w:rsidRPr="00404FAD" w:rsidRDefault="00835042" w:rsidP="00B73F77">
      <w:pPr>
        <w:pStyle w:val="Heading3"/>
      </w:pPr>
      <w:r w:rsidRPr="00404FAD">
        <w:t>Curfew burdens on HZEVs should be removed</w:t>
      </w:r>
    </w:p>
    <w:p w14:paraId="207D0EBD" w14:textId="77777777" w:rsidR="00835042" w:rsidRPr="00404FAD" w:rsidRDefault="00835042" w:rsidP="00835042">
      <w:pPr>
        <w:pStyle w:val="BodyText"/>
      </w:pPr>
      <w:r w:rsidRPr="00404FAD">
        <w:t>In addition to regulatory barriers to charging infrastructure, other regulations, originally designed for internal combustion vehicles, can also limit HZEV operation. Two main sets of instruments (commonly referred to as curfews), prohibit the activity of heavy vehicles at certain times, with the aim of preserving neighbourhood amenity:</w:t>
      </w:r>
    </w:p>
    <w:p w14:paraId="78AB383B" w14:textId="77777777" w:rsidR="00835042" w:rsidRPr="00404FAD" w:rsidRDefault="00835042" w:rsidP="00EF3F0A">
      <w:pPr>
        <w:pStyle w:val="ListBullet"/>
      </w:pPr>
      <w:r w:rsidRPr="00404FAD">
        <w:t>local traffic controls restricting the movement of through traffic on a particular road. These are administered by state or local governments (or both), depending on the road, and apply to all heavy vehicles above a specified weight limit (including General Access Vehicles)</w:t>
      </w:r>
    </w:p>
    <w:p w14:paraId="5B992BE3" w14:textId="77777777" w:rsidR="00835042" w:rsidRPr="00404FAD" w:rsidRDefault="00835042" w:rsidP="00EF3F0A">
      <w:pPr>
        <w:pStyle w:val="ListBullet"/>
      </w:pPr>
      <w:r w:rsidRPr="00404FAD">
        <w:t>local government planning restrictions set out in planning permits, such as restrictions on overnight truck deliveries to supermarkets.</w:t>
      </w:r>
    </w:p>
    <w:p w14:paraId="1E35986E" w14:textId="77777777" w:rsidR="00835042" w:rsidRPr="00404FAD" w:rsidRDefault="00835042" w:rsidP="00835042">
      <w:pPr>
        <w:pStyle w:val="BodyText"/>
      </w:pPr>
      <w:r w:rsidRPr="00404FAD">
        <w:t>Presently, no type of curfew distinguishes between internal combustion engine vehicles and HZEVs.</w:t>
      </w:r>
    </w:p>
    <w:p w14:paraId="09257C32" w14:textId="77777777" w:rsidR="00835042" w:rsidRPr="00404FAD" w:rsidRDefault="00835042" w:rsidP="00EF3F0A">
      <w:pPr>
        <w:pStyle w:val="BodyText"/>
      </w:pPr>
      <w:r w:rsidRPr="00404FAD">
        <w:t xml:space="preserve">There is a strong case for reducing the burden of curfews on HVEVs in some form. While regulation should continue to aim to mitigate the impacts of heavy vehicle noise and protect community safety, HZEVs are significantly quieter. </w:t>
      </w:r>
    </w:p>
    <w:p w14:paraId="7E1A4188" w14:textId="08EDBC2E" w:rsidR="00835042" w:rsidRPr="00404FAD" w:rsidRDefault="00835042" w:rsidP="00EF3F0A">
      <w:pPr>
        <w:pStyle w:val="BodyText"/>
      </w:pPr>
      <w:r w:rsidRPr="00404FAD">
        <w:t>State, territory and local governments should exempt HZEVs from time-related restrictions on activity (that is, deliveries). Governments should use existing outcomes-based regulations (like environmental or noise-management laws) to manage noise concerns.</w:t>
      </w:r>
    </w:p>
    <w:p w14:paraId="50510786" w14:textId="77777777" w:rsidR="00835042" w:rsidRPr="00404FAD" w:rsidRDefault="00835042" w:rsidP="00835042">
      <w:pPr>
        <w:pStyle w:val="Heading2-nonumber"/>
      </w:pPr>
      <w:bookmarkStart w:id="27" w:name="_Toc225342375"/>
      <w:bookmarkStart w:id="28" w:name="_Toc225780234"/>
      <w:bookmarkStart w:id="29" w:name="_Toc233206125"/>
      <w:bookmarkStart w:id="30" w:name="_Toc233296303"/>
      <w:r w:rsidRPr="00404FAD">
        <w:t>Current reforms will improve driver capability</w:t>
      </w:r>
      <w:bookmarkEnd w:id="27"/>
      <w:bookmarkEnd w:id="28"/>
      <w:bookmarkEnd w:id="29"/>
      <w:bookmarkEnd w:id="30"/>
      <w:r w:rsidRPr="00404FAD">
        <w:t xml:space="preserve"> </w:t>
      </w:r>
    </w:p>
    <w:p w14:paraId="4F9A891A" w14:textId="77777777" w:rsidR="00835042" w:rsidRPr="00404FAD" w:rsidRDefault="00835042" w:rsidP="00EF3F0A">
      <w:pPr>
        <w:pStyle w:val="BodyText"/>
      </w:pPr>
      <w:r w:rsidRPr="00404FAD">
        <w:t>Current heavy vehicle driver training, assessment and licensing processes are poorly calibrated to the risks and priorities of the sector. Industry has reported that time</w:t>
      </w:r>
      <w:r w:rsidRPr="00404FAD">
        <w:noBreakHyphen/>
        <w:t xml:space="preserve">based licence progression has prevented drivers from entering the occupation and progressing to higher productivity heavy vehicles at a time of significant driver shortage. Industry also suggests that poor training and assessment requirements fail to deliver competent drivers and safe outcomes. Inconsistency across states and territories also adds costs for operators and training providers working across jurisdictions. </w:t>
      </w:r>
    </w:p>
    <w:p w14:paraId="768A9A16" w14:textId="77777777" w:rsidR="00835042" w:rsidRPr="00404FAD" w:rsidRDefault="00835042" w:rsidP="00EF3F0A">
      <w:pPr>
        <w:pStyle w:val="BodyText"/>
      </w:pPr>
      <w:r w:rsidRPr="00404FAD">
        <w:t xml:space="preserve">National Heavy Vehicle Driver Competency Framework reforms, endorsed in 2023, are set to expand driver competency and training minimums, create new licensing pathways based on experience and supervision, and support best-practice training and assessment. The reforms aim to improve safety and national consistency. Modelling by BITRE suggests they could also boost road freight productivity </w:t>
      </w:r>
      <w:r w:rsidRPr="00404FAD">
        <w:lastRenderedPageBreak/>
        <w:t>by 0.1–0.3% by allowing faster progression through licence classes</w:t>
      </w:r>
      <w:r w:rsidRPr="00404FAD" w:rsidDel="00942266">
        <w:t>.</w:t>
      </w:r>
      <w:r w:rsidRPr="00404FAD">
        <w:t xml:space="preserve"> PC modelling suggests this would boost long-run GDP by about 0.004–0.015% ($100 to $400 million based on 2024–25 GDP).</w:t>
      </w:r>
    </w:p>
    <w:p w14:paraId="3E46308F" w14:textId="77777777" w:rsidR="00835042" w:rsidRPr="00404FAD" w:rsidRDefault="00835042" w:rsidP="00EF3F0A">
      <w:pPr>
        <w:pStyle w:val="BodyText"/>
      </w:pPr>
      <w:r w:rsidRPr="00404FAD">
        <w:t>Implementation is underway, with most jurisdictions expected to roll out reforms between 2026 and 2028, but regulatory, IT, funding and capacity constraints mean faster acceleration is unlikely. Some jurisdictions will implement sooner while others are being delayed by ongoing decision</w:t>
      </w:r>
      <w:r w:rsidRPr="00404FAD">
        <w:rPr>
          <w:rFonts w:ascii="Cambria Math" w:hAnsi="Cambria Math"/>
        </w:rPr>
        <w:t>‑</w:t>
      </w:r>
      <w:r w:rsidRPr="00404FAD">
        <w:t>making. Certainty about reform details and funding, expected around mid</w:t>
      </w:r>
      <w:r w:rsidRPr="00404FAD">
        <w:noBreakHyphen/>
        <w:t>2026, should progress decision</w:t>
      </w:r>
      <w:r w:rsidRPr="00404FAD">
        <w:rPr>
          <w:rFonts w:ascii="Cambria Math" w:hAnsi="Cambria Math"/>
        </w:rPr>
        <w:t>‑</w:t>
      </w:r>
      <w:r w:rsidRPr="00404FAD">
        <w:t xml:space="preserve">making. There are already funding mechanisms in place through the National Competition Policy framework for the Australian Government to support state and territory governments to implement the reforms, with specific funding amounts to be determined. Implementation aimed towards full completion by the 2028 timeline should continue as planned and would be supported by confirmation of funding amounts to state and territories. </w:t>
      </w:r>
    </w:p>
    <w:p w14:paraId="25C1AD73" w14:textId="77777777" w:rsidR="00835042" w:rsidRPr="00404FAD" w:rsidRDefault="00835042" w:rsidP="00EF3F0A">
      <w:pPr>
        <w:pStyle w:val="BodyText"/>
      </w:pPr>
      <w:r w:rsidRPr="00404FAD">
        <w:t xml:space="preserve">Other licensing issues warrant attention to better align the driver competency reforms with policy priorities, including ways to better manage the payload penalties associated with the battery weight in electric vehicles. Countries like the United Kingdom and New Zealand have adopted licence mass concessions for electric vehicles. </w:t>
      </w:r>
      <w:r w:rsidRPr="00404FAD" w:rsidDel="006B007A">
        <w:t>G</w:t>
      </w:r>
      <w:r w:rsidRPr="00404FAD">
        <w:t>overnments in Australia should work together to explore similar opportunities and better understand potential risks. There are multiple options to manage risks, such as committing to monitoring and evaluation, and appropriately targeting the licence concession so that it is conditional on various safety requirements.</w:t>
      </w:r>
    </w:p>
    <w:p w14:paraId="1FF987B1" w14:textId="77777777" w:rsidR="00835042" w:rsidRPr="00404FAD" w:rsidRDefault="00835042" w:rsidP="00835042">
      <w:pPr>
        <w:pStyle w:val="BodyText"/>
        <w:sectPr w:rsidR="00835042" w:rsidRPr="00404FAD" w:rsidSect="00D03C98">
          <w:headerReference w:type="even" r:id="rId38"/>
          <w:headerReference w:type="default" r:id="rId39"/>
          <w:footerReference w:type="default" r:id="rId40"/>
          <w:headerReference w:type="first" r:id="rId41"/>
          <w:type w:val="continuous"/>
          <w:pgSz w:w="11906" w:h="16838" w:code="9"/>
          <w:pgMar w:top="1134" w:right="1134" w:bottom="1134" w:left="1134" w:header="794" w:footer="510" w:gutter="0"/>
          <w:pgNumType w:start="1"/>
          <w:cols w:space="708"/>
          <w:docGrid w:linePitch="360"/>
        </w:sectPr>
      </w:pPr>
    </w:p>
    <w:p w14:paraId="42D761EC" w14:textId="77777777" w:rsidR="00835042" w:rsidRPr="00404FAD" w:rsidRDefault="00835042" w:rsidP="00835042">
      <w:pPr>
        <w:pStyle w:val="Heading1"/>
        <w:numPr>
          <w:ilvl w:val="0"/>
          <w:numId w:val="0"/>
        </w:numPr>
        <w:ind w:left="567"/>
      </w:pPr>
      <w:bookmarkStart w:id="31" w:name="_Toc233296304"/>
      <w:r w:rsidRPr="00404FAD">
        <w:lastRenderedPageBreak/>
        <w:t>Findings and recommendations</w:t>
      </w:r>
      <w:bookmarkEnd w:id="31"/>
    </w:p>
    <w:p w14:paraId="5BD485A8" w14:textId="77777777" w:rsidR="00835042" w:rsidRPr="00404FAD" w:rsidRDefault="00835042" w:rsidP="00835042">
      <w:pPr>
        <w:pStyle w:val="Heading2-nonumber"/>
        <w:rPr>
          <w:spacing w:val="-4"/>
        </w:rPr>
      </w:pPr>
      <w:bookmarkStart w:id="32" w:name="_Toc233206127"/>
      <w:bookmarkStart w:id="33" w:name="_Toc233296305"/>
      <w:r w:rsidRPr="00404FAD">
        <w:rPr>
          <w:spacing w:val="-4"/>
        </w:rPr>
        <w:t>Access for high productivity and heavy zero emissions vehicles</w:t>
      </w:r>
      <w:bookmarkEnd w:id="32"/>
      <w:bookmarkEnd w:id="33"/>
    </w:p>
    <w:p w14:paraId="03185F98" w14:textId="77777777"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7417E40F" w14:textId="77777777">
        <w:trPr>
          <w:trHeight w:val="765"/>
          <w:tblHeader/>
        </w:trPr>
        <w:tc>
          <w:tcPr>
            <w:tcW w:w="366" w:type="pct"/>
            <w:tcBorders>
              <w:bottom w:val="nil"/>
            </w:tcBorders>
            <w:tcMar>
              <w:bottom w:w="0" w:type="dxa"/>
            </w:tcMar>
            <w:vAlign w:val="center"/>
          </w:tcPr>
          <w:p w14:paraId="5917EA5D" w14:textId="77777777" w:rsidR="00835042" w:rsidRPr="00404FAD" w:rsidRDefault="00835042">
            <w:pPr>
              <w:pStyle w:val="NoSpacing"/>
              <w:keepNext/>
              <w:keepLines/>
              <w:jc w:val="right"/>
            </w:pPr>
            <w:r w:rsidRPr="00404FAD">
              <w:rPr>
                <w:noProof/>
              </w:rPr>
              <w:drawing>
                <wp:inline distT="0" distB="0" distL="0" distR="0" wp14:anchorId="0ACCF7F5" wp14:editId="745130DE">
                  <wp:extent cx="288000" cy="288000"/>
                  <wp:effectExtent l="0" t="0" r="0" b="0"/>
                  <wp:docPr id="58907065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0586C8B5" w14:textId="7F41B29F" w:rsidR="00835042" w:rsidRPr="00404FAD" w:rsidRDefault="00835042" w:rsidP="00B73F77">
            <w:pPr>
              <w:pStyle w:val="FindingRecRequesttitle"/>
            </w:pPr>
            <w:r w:rsidRPr="00404FAD">
              <w:t>Finding 2.</w:t>
            </w:r>
            <w:r w:rsidR="00DF6CA3">
              <w:rPr>
                <w:noProof/>
              </w:rPr>
              <w:t>1</w:t>
            </w:r>
          </w:p>
          <w:p w14:paraId="1ECE86D9" w14:textId="77777777" w:rsidR="00835042" w:rsidRPr="00404FAD" w:rsidRDefault="00835042" w:rsidP="00B73F77">
            <w:pPr>
              <w:pStyle w:val="FindingRecRequesttitle"/>
            </w:pPr>
            <w:r w:rsidRPr="00404FAD">
              <w:t>Access reforms can unlock the benefits of a modern fleet</w:t>
            </w:r>
          </w:p>
        </w:tc>
      </w:tr>
      <w:tr w:rsidR="00835042" w:rsidRPr="00404FAD" w14:paraId="62F961AC" w14:textId="77777777">
        <w:tc>
          <w:tcPr>
            <w:tcW w:w="5000" w:type="pct"/>
            <w:gridSpan w:val="2"/>
            <w:tcBorders>
              <w:top w:val="nil"/>
              <w:bottom w:val="single" w:sz="4" w:space="0" w:color="2B9AC2" w:themeColor="text2"/>
            </w:tcBorders>
          </w:tcPr>
          <w:p w14:paraId="5394FA40" w14:textId="77777777" w:rsidR="00835042" w:rsidRPr="00404FAD" w:rsidRDefault="00835042" w:rsidP="00B73F77">
            <w:pPr>
              <w:pStyle w:val="BodyText"/>
            </w:pPr>
            <w:r w:rsidRPr="00404FAD">
              <w:t>Growth in heavy vehicle productivity can be constrained by factors that restrict access, including:</w:t>
            </w:r>
          </w:p>
          <w:p w14:paraId="15514B2F" w14:textId="77777777" w:rsidR="00835042" w:rsidRPr="00404FAD" w:rsidRDefault="00835042" w:rsidP="00A04A89">
            <w:pPr>
              <w:pStyle w:val="ListBullet"/>
            </w:pPr>
            <w:r w:rsidRPr="00404FAD">
              <w:t>the reliance on permit</w:t>
            </w:r>
            <w:r w:rsidRPr="00404FAD">
              <w:rPr>
                <w:rFonts w:ascii="Cambria Math" w:hAnsi="Cambria Math" w:cs="Cambria Math"/>
              </w:rPr>
              <w:t>‑</w:t>
            </w:r>
            <w:r w:rsidRPr="00404FAD">
              <w:t>based access, limited flexibility in the application of access rules and inconsistency across jurisdictions</w:t>
            </w:r>
          </w:p>
          <w:p w14:paraId="6ABE0D0F" w14:textId="77777777" w:rsidR="00835042" w:rsidRPr="00404FAD" w:rsidRDefault="00835042" w:rsidP="00A04A89">
            <w:pPr>
              <w:pStyle w:val="ListBullet"/>
            </w:pPr>
            <w:r w:rsidRPr="00404FAD">
              <w:t>a lack of harmonisation between domestic standards and international standards, which can limit the importation and use of modern technologies.</w:t>
            </w:r>
          </w:p>
          <w:p w14:paraId="1807E120" w14:textId="77777777" w:rsidR="00835042" w:rsidRPr="00404FAD" w:rsidRDefault="00835042" w:rsidP="00A04A89">
            <w:pPr>
              <w:pStyle w:val="BodyText"/>
            </w:pPr>
            <w:r w:rsidRPr="00404FAD">
              <w:t>Modelling undertaken by BITRE indicates that there would be net benefits to increasing heavy vehicle General Mass Limits, suggesting net benefits to increasing heavy vehicle network access more generally. The benefits of higher freight productivity exceed the costs of additional road wear. Whole-of-economy modelling undertaken for this inquiry, using BITRE’s modelling as inputs, indicates that increases in heavy vehicle General Mass Limits would boost GDP.</w:t>
            </w:r>
          </w:p>
          <w:p w14:paraId="015458F4" w14:textId="77777777" w:rsidR="00835042" w:rsidRPr="00404FAD" w:rsidRDefault="00835042" w:rsidP="00A04A89">
            <w:pPr>
              <w:pStyle w:val="ListBullet"/>
            </w:pPr>
            <w:r w:rsidRPr="00404FAD">
              <w:t>Modelling commissioned from the Centre of Policy Studies at Victoria University found that increasing General Mass Limits would raise GDP by 0.03–0.10% by 2040, depending on the extent of the increase.</w:t>
            </w:r>
          </w:p>
          <w:p w14:paraId="1BE53154" w14:textId="77777777" w:rsidR="00835042" w:rsidRPr="00404FAD" w:rsidRDefault="00835042" w:rsidP="00A04A89">
            <w:pPr>
              <w:pStyle w:val="ListBullet"/>
            </w:pPr>
            <w:r w:rsidRPr="00404FAD">
              <w:t>Modelling undertaken by the PC found that that increasing General Mass Limits would raise GDP by 0.03–0.15% in the long run, again depending on the extent of the increase. Unlike the Centre of Policy Studies’ modelling, this modelling does not incorporate the costs of additional road wear.</w:t>
            </w:r>
          </w:p>
          <w:p w14:paraId="42A22F32" w14:textId="77777777" w:rsidR="00835042" w:rsidRPr="00404FAD" w:rsidRDefault="00835042" w:rsidP="00A04A89">
            <w:pPr>
              <w:pStyle w:val="BodyText"/>
            </w:pPr>
            <w:r w:rsidRPr="00404FAD">
              <w:t>Increasing access for Performance-Based Standards vehicles would likely yield higher freight productivity benefits relative to additional road wear costs than increasing access more generally. This is because Performance-Based Standards vehicles often carry larger payloads than non-Performance-Based Standards vehicles that cause equivalent levels of pavement damage.</w:t>
            </w:r>
          </w:p>
        </w:tc>
      </w:tr>
    </w:tbl>
    <w:p w14:paraId="4F28E565" w14:textId="26F87910" w:rsidR="005A32D3" w:rsidRPr="00404FAD" w:rsidRDefault="005A32D3" w:rsidP="005A32D3">
      <w:pPr>
        <w:pStyle w:val="NoSpacing"/>
      </w:pPr>
    </w:p>
    <w:p w14:paraId="2549109D" w14:textId="77777777" w:rsidR="005A32D3" w:rsidRPr="00404FAD" w:rsidRDefault="005A32D3">
      <w:pPr>
        <w:spacing w:before="0" w:after="160" w:line="259" w:lineRule="auto"/>
      </w:pPr>
      <w:r w:rsidRPr="00404FAD">
        <w:br w:type="page"/>
      </w:r>
    </w:p>
    <w:tbl>
      <w:tblPr>
        <w:tblStyle w:val="Texttable-Paleblue"/>
        <w:tblW w:w="5000" w:type="pct"/>
        <w:tblLook w:val="04A0" w:firstRow="1" w:lastRow="0" w:firstColumn="1" w:lastColumn="0" w:noHBand="0" w:noVBand="1"/>
      </w:tblPr>
      <w:tblGrid>
        <w:gridCol w:w="713"/>
        <w:gridCol w:w="8925"/>
      </w:tblGrid>
      <w:tr w:rsidR="00835042" w:rsidRPr="00404FAD" w14:paraId="16560AB7" w14:textId="77777777">
        <w:trPr>
          <w:tblHeader/>
        </w:trPr>
        <w:tc>
          <w:tcPr>
            <w:tcW w:w="713" w:type="dxa"/>
            <w:shd w:val="clear" w:color="auto" w:fill="E7F6FD"/>
            <w:tcMar>
              <w:top w:w="0" w:type="dxa"/>
              <w:bottom w:w="0" w:type="dxa"/>
            </w:tcMar>
            <w:vAlign w:val="center"/>
          </w:tcPr>
          <w:p w14:paraId="490F7C2D" w14:textId="77777777" w:rsidR="00835042" w:rsidRPr="00404FAD" w:rsidRDefault="00835042">
            <w:pPr>
              <w:keepLines/>
              <w:jc w:val="center"/>
            </w:pPr>
            <w:r w:rsidRPr="00404FAD">
              <w:rPr>
                <w:noProof/>
              </w:rPr>
              <w:lastRenderedPageBreak/>
              <w:drawing>
                <wp:inline distT="0" distB="0" distL="0" distR="0" wp14:anchorId="69CC9DB2" wp14:editId="69CAA8FA">
                  <wp:extent cx="288000" cy="288000"/>
                  <wp:effectExtent l="0" t="0" r="0" b="0"/>
                  <wp:docPr id="2091472267" name="Graphic 2091472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721BA2C3" w14:textId="368E86FB" w:rsidR="00835042" w:rsidRPr="00404FAD" w:rsidRDefault="00835042" w:rsidP="00B73F77">
            <w:pPr>
              <w:pStyle w:val="FindingRecRequesttitle"/>
            </w:pPr>
            <w:r w:rsidRPr="00404FAD">
              <w:t>Recommendation 2.</w:t>
            </w:r>
            <w:r w:rsidR="00DF6CA3">
              <w:rPr>
                <w:noProof/>
              </w:rPr>
              <w:t>1</w:t>
            </w:r>
          </w:p>
          <w:p w14:paraId="293FF991" w14:textId="77777777" w:rsidR="00835042" w:rsidRPr="00404FAD" w:rsidRDefault="00835042" w:rsidP="00B73F77">
            <w:pPr>
              <w:pStyle w:val="FindingRecRequesttitle"/>
            </w:pPr>
            <w:r w:rsidRPr="00404FAD">
              <w:t>Allow greater as</w:t>
            </w:r>
            <w:r w:rsidRPr="00404FAD">
              <w:noBreakHyphen/>
              <w:t>of</w:t>
            </w:r>
            <w:r w:rsidRPr="00404FAD">
              <w:noBreakHyphen/>
              <w:t>right access and simpler vehicle approvals for Performance</w:t>
            </w:r>
            <w:r w:rsidRPr="00404FAD">
              <w:noBreakHyphen/>
              <w:t xml:space="preserve">Based Standards (PBS) vehicles </w:t>
            </w:r>
          </w:p>
        </w:tc>
      </w:tr>
      <w:tr w:rsidR="00835042" w:rsidRPr="00404FAD" w14:paraId="36F68550" w14:textId="77777777">
        <w:tc>
          <w:tcPr>
            <w:tcW w:w="9638" w:type="dxa"/>
            <w:gridSpan w:val="2"/>
            <w:shd w:val="clear" w:color="auto" w:fill="E7F6FD"/>
            <w:tcMar>
              <w:top w:w="0" w:type="dxa"/>
            </w:tcMar>
          </w:tcPr>
          <w:p w14:paraId="7DE5DC8D" w14:textId="77777777" w:rsidR="00835042" w:rsidRPr="00404FAD" w:rsidRDefault="00835042" w:rsidP="00A04A89">
            <w:pPr>
              <w:pStyle w:val="BodyText"/>
            </w:pPr>
            <w:r w:rsidRPr="00404FAD">
              <w:t>State, territory and local governments should support greater as</w:t>
            </w:r>
            <w:r w:rsidRPr="00404FAD">
              <w:noBreakHyphen/>
              <w:t>of</w:t>
            </w:r>
            <w:r w:rsidRPr="00404FAD">
              <w:noBreakHyphen/>
              <w:t>right access for PBS vehicles. Road managers should provide in</w:t>
            </w:r>
            <w:r w:rsidRPr="00404FAD">
              <w:noBreakHyphen/>
            </w:r>
            <w:proofErr w:type="gramStart"/>
            <w:r w:rsidRPr="00404FAD">
              <w:t>principle</w:t>
            </w:r>
            <w:proofErr w:type="gramEnd"/>
            <w:r w:rsidRPr="00404FAD">
              <w:t xml:space="preserve"> consent for as</w:t>
            </w:r>
            <w:r w:rsidRPr="00404FAD">
              <w:noBreakHyphen/>
              <w:t>of</w:t>
            </w:r>
            <w:r w:rsidRPr="00404FAD">
              <w:noBreakHyphen/>
              <w:t>right access for PBS vehicles (which have met safety and infrastructure requirements) that is at least equal to access for equivalent non</w:t>
            </w:r>
            <w:r w:rsidRPr="00404FAD">
              <w:noBreakHyphen/>
              <w:t>PBS vehicles. Governments should enable eligible PBS vehicles to be added to existing gazetted access notices without requiring a new notice.</w:t>
            </w:r>
          </w:p>
          <w:p w14:paraId="764B17C3" w14:textId="77777777" w:rsidR="00835042" w:rsidRPr="00404FAD" w:rsidRDefault="00835042" w:rsidP="00A04A89">
            <w:pPr>
              <w:pStyle w:val="BodyText"/>
            </w:pPr>
            <w:r w:rsidRPr="00404FAD">
              <w:t>The National Heavy Vehicle Regulator should be empowered to coordinate reforms that ensure PBS vehicles are awarded the same level of access to the road system as their prescriptive counterparts.</w:t>
            </w:r>
          </w:p>
          <w:p w14:paraId="39DB8E80" w14:textId="77777777" w:rsidR="00835042" w:rsidRPr="00404FAD" w:rsidRDefault="00835042" w:rsidP="00A04A89">
            <w:pPr>
              <w:pStyle w:val="BodyText"/>
            </w:pPr>
            <w:r w:rsidRPr="00404FAD">
              <w:t xml:space="preserve">In </w:t>
            </w:r>
            <w:r w:rsidRPr="00404FAD">
              <w:rPr>
                <w:rStyle w:val="BodyTextChar"/>
              </w:rPr>
              <w:t xml:space="preserve">addition, the National Transport Commission should amend the </w:t>
            </w:r>
            <w:r w:rsidRPr="00404FAD">
              <w:t xml:space="preserve">Heavy Vehicle National Law so the National Heavy Vehicle Regulator can approve applications directly, </w:t>
            </w:r>
            <w:r w:rsidRPr="00404FAD">
              <w:rPr>
                <w:rStyle w:val="BodyTextChar"/>
              </w:rPr>
              <w:t>removing the requirement to refer all PBS design approval applications to the PBS Review Panel for advice</w:t>
            </w:r>
            <w:r w:rsidRPr="00404FAD">
              <w:t>.</w:t>
            </w:r>
          </w:p>
        </w:tc>
      </w:tr>
      <w:tr w:rsidR="00835042" w:rsidRPr="00404FAD" w14:paraId="0667F2B4" w14:textId="77777777">
        <w:tc>
          <w:tcPr>
            <w:tcW w:w="9638" w:type="dxa"/>
            <w:gridSpan w:val="2"/>
            <w:shd w:val="clear" w:color="auto" w:fill="auto"/>
            <w:tcMar>
              <w:top w:w="0" w:type="dxa"/>
              <w:bottom w:w="0" w:type="dxa"/>
            </w:tcMar>
          </w:tcPr>
          <w:p w14:paraId="2A652C79" w14:textId="26C4DDC9" w:rsidR="00835042" w:rsidRPr="00404FAD" w:rsidRDefault="00835042">
            <w:pPr>
              <w:spacing w:before="0" w:after="0" w:line="200" w:lineRule="exact"/>
            </w:pPr>
          </w:p>
        </w:tc>
      </w:tr>
    </w:tbl>
    <w:p w14:paraId="5CD6A793" w14:textId="65B64552" w:rsidR="00835042" w:rsidRPr="00404FAD" w:rsidRDefault="00835042" w:rsidP="00835042">
      <w:pPr>
        <w:pStyle w:val="NoSpacing"/>
      </w:pPr>
      <w:r w:rsidRPr="00404FAD">
        <w:rPr>
          <w:color w:val="FF00FF"/>
        </w:rPr>
        <w:t xml:space="preserve"> </w:t>
      </w:r>
    </w:p>
    <w:tbl>
      <w:tblPr>
        <w:tblStyle w:val="Texttable-Paleblue"/>
        <w:tblW w:w="5000" w:type="pct"/>
        <w:tblLook w:val="04A0" w:firstRow="1" w:lastRow="0" w:firstColumn="1" w:lastColumn="0" w:noHBand="0" w:noVBand="1"/>
      </w:tblPr>
      <w:tblGrid>
        <w:gridCol w:w="713"/>
        <w:gridCol w:w="8925"/>
      </w:tblGrid>
      <w:tr w:rsidR="00835042" w:rsidRPr="00404FAD" w14:paraId="2314673A" w14:textId="77777777">
        <w:trPr>
          <w:tblHeader/>
        </w:trPr>
        <w:tc>
          <w:tcPr>
            <w:tcW w:w="713" w:type="dxa"/>
            <w:shd w:val="clear" w:color="auto" w:fill="E7F6FD"/>
            <w:tcMar>
              <w:top w:w="0" w:type="dxa"/>
              <w:bottom w:w="0" w:type="dxa"/>
            </w:tcMar>
            <w:vAlign w:val="center"/>
          </w:tcPr>
          <w:p w14:paraId="31E7977B" w14:textId="77777777" w:rsidR="00835042" w:rsidRPr="00404FAD" w:rsidRDefault="00835042">
            <w:pPr>
              <w:keepLines/>
              <w:jc w:val="center"/>
            </w:pPr>
            <w:r w:rsidRPr="00404FAD">
              <w:rPr>
                <w:noProof/>
              </w:rPr>
              <w:drawing>
                <wp:inline distT="0" distB="0" distL="0" distR="0" wp14:anchorId="1EC16D91" wp14:editId="7D9518FB">
                  <wp:extent cx="288000" cy="288000"/>
                  <wp:effectExtent l="0" t="0" r="0" b="0"/>
                  <wp:docPr id="1872707420" name="Graphic 1872707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CAB24CD" w14:textId="77777777" w:rsidR="00835042" w:rsidRPr="00404FAD" w:rsidRDefault="00835042" w:rsidP="00B73F77">
            <w:pPr>
              <w:pStyle w:val="FindingRecRequesttitle"/>
            </w:pPr>
            <w:r w:rsidRPr="00404FAD">
              <w:t>Recommendation 2.2</w:t>
            </w:r>
          </w:p>
          <w:p w14:paraId="6CAF7B27" w14:textId="77777777" w:rsidR="00835042" w:rsidRPr="00404FAD" w:rsidRDefault="00835042" w:rsidP="00B73F77">
            <w:pPr>
              <w:pStyle w:val="FindingRecRequesttitle"/>
            </w:pPr>
            <w:r w:rsidRPr="00404FAD">
              <w:t>A nationally consistent additional mass limit for electric heavy zero emissions vehicles (HZEVs)</w:t>
            </w:r>
          </w:p>
        </w:tc>
      </w:tr>
      <w:tr w:rsidR="00835042" w:rsidRPr="00404FAD" w14:paraId="23CD315E" w14:textId="77777777">
        <w:tc>
          <w:tcPr>
            <w:tcW w:w="9638" w:type="dxa"/>
            <w:gridSpan w:val="2"/>
            <w:shd w:val="clear" w:color="auto" w:fill="E7F6FD"/>
            <w:tcMar>
              <w:top w:w="0" w:type="dxa"/>
            </w:tcMar>
            <w:vAlign w:val="center"/>
          </w:tcPr>
          <w:p w14:paraId="60C8F0D0" w14:textId="77777777" w:rsidR="00835042" w:rsidRPr="00404FAD" w:rsidRDefault="00835042" w:rsidP="00A04A89">
            <w:pPr>
              <w:pStyle w:val="BodyText"/>
            </w:pPr>
            <w:r w:rsidRPr="00404FAD">
              <w:t>The Australian, state and territory governments should – through the National Transport Commission – work to embed a consistent additional mass limit in the Heavy Vehicle (Mass, Dimension and Loading) National Regulation so that electric HZEVs can operate across jurisdictions without significant payload disadvantages arising from battery weights.</w:t>
            </w:r>
          </w:p>
          <w:p w14:paraId="17CB461D" w14:textId="77777777" w:rsidR="00835042" w:rsidRPr="00404FAD" w:rsidRDefault="00835042" w:rsidP="00A04A89">
            <w:pPr>
              <w:pStyle w:val="BodyText"/>
            </w:pPr>
            <w:r w:rsidRPr="00404FAD">
              <w:t>The National Heavy Vehicle Regulator, together with Austroads, should monitor the development of electric HZEVs and the interaction with road wear over the 5 years after the introduction of an additional mass limit. If after</w:t>
            </w:r>
            <w:r w:rsidRPr="00404FAD" w:rsidDel="009E6D9F">
              <w:t xml:space="preserve"> </w:t>
            </w:r>
            <w:r w:rsidRPr="00404FAD">
              <w:t xml:space="preserve">5 years the monitoring program shows the mass limit is not set appropriately, there should be a review on mass limit settings and the impact on new HZEVs. The review’s scope should include, but not be limited to, consideration of whether: </w:t>
            </w:r>
          </w:p>
          <w:p w14:paraId="6C4D853F" w14:textId="77777777" w:rsidR="00835042" w:rsidRPr="00D62702" w:rsidRDefault="00835042" w:rsidP="00A04A89">
            <w:pPr>
              <w:pStyle w:val="ListBullet"/>
              <w:rPr>
                <w:spacing w:val="-4"/>
              </w:rPr>
            </w:pPr>
            <w:r w:rsidRPr="00D62702">
              <w:rPr>
                <w:spacing w:val="-4"/>
              </w:rPr>
              <w:t>road access policy settings have materially changed, including the road user charge for electric HZEVs</w:t>
            </w:r>
          </w:p>
          <w:p w14:paraId="74FDC35C" w14:textId="77777777" w:rsidR="00835042" w:rsidRPr="00404FAD" w:rsidRDefault="00835042" w:rsidP="00A04A89">
            <w:pPr>
              <w:pStyle w:val="ListBullet"/>
            </w:pPr>
            <w:r w:rsidRPr="00404FAD">
              <w:t>the payload gap between comparable diesel heavy vehicles and electric HZEVs</w:t>
            </w:r>
          </w:p>
          <w:p w14:paraId="463C9BD4" w14:textId="77777777" w:rsidR="00835042" w:rsidRPr="00404FAD" w:rsidRDefault="00835042" w:rsidP="00A04A89">
            <w:pPr>
              <w:pStyle w:val="ListBullet"/>
            </w:pPr>
            <w:r w:rsidRPr="00404FAD">
              <w:t>how international jurisdictions are setting concessional mass limits for electric HZEVs.</w:t>
            </w:r>
          </w:p>
          <w:p w14:paraId="1E32F427" w14:textId="77777777" w:rsidR="00835042" w:rsidRPr="00404FAD" w:rsidRDefault="00835042" w:rsidP="00517815">
            <w:pPr>
              <w:pStyle w:val="BodyText"/>
            </w:pPr>
            <w:r w:rsidRPr="00404FAD">
              <w:t>The additional mass limit should sunset following a positive review determination that the payload gap between comparable diesel and electric HZEVs has materially closed.</w:t>
            </w:r>
          </w:p>
        </w:tc>
      </w:tr>
      <w:tr w:rsidR="00835042" w:rsidRPr="00404FAD" w14:paraId="1B8A49EA" w14:textId="77777777">
        <w:tc>
          <w:tcPr>
            <w:tcW w:w="9638" w:type="dxa"/>
            <w:gridSpan w:val="2"/>
            <w:shd w:val="clear" w:color="auto" w:fill="auto"/>
            <w:tcMar>
              <w:top w:w="0" w:type="dxa"/>
              <w:bottom w:w="0" w:type="dxa"/>
            </w:tcMar>
          </w:tcPr>
          <w:p w14:paraId="11EBBBA4" w14:textId="2F5F3155" w:rsidR="00835042" w:rsidRPr="00404FAD" w:rsidRDefault="00835042">
            <w:pPr>
              <w:pStyle w:val="NoSpacing"/>
              <w:spacing w:line="200" w:lineRule="exact"/>
            </w:pPr>
          </w:p>
        </w:tc>
      </w:tr>
    </w:tbl>
    <w:p w14:paraId="1BBC7A9C" w14:textId="128B0D09" w:rsidR="00517815" w:rsidRPr="00404FAD" w:rsidRDefault="00517815" w:rsidP="00517815">
      <w:pPr>
        <w:pStyle w:val="BodyText"/>
      </w:pPr>
      <w:bookmarkStart w:id="34" w:name="_Toc233206128"/>
    </w:p>
    <w:p w14:paraId="7B7FD913" w14:textId="77777777" w:rsidR="00517815" w:rsidRPr="00404FAD" w:rsidRDefault="00517815">
      <w:pPr>
        <w:spacing w:before="0" w:after="160" w:line="259" w:lineRule="auto"/>
      </w:pPr>
      <w:r w:rsidRPr="00404FAD">
        <w:br w:type="page"/>
      </w:r>
    </w:p>
    <w:p w14:paraId="2342467D" w14:textId="77777777" w:rsidR="00835042" w:rsidRPr="00404FAD" w:rsidRDefault="00835042" w:rsidP="00835042">
      <w:pPr>
        <w:pStyle w:val="Heading2-nonumber"/>
      </w:pPr>
      <w:bookmarkStart w:id="35" w:name="_Toc233296306"/>
      <w:r w:rsidRPr="00404FAD">
        <w:lastRenderedPageBreak/>
        <w:t>Accelerating a National Automated Access System</w:t>
      </w:r>
      <w:bookmarkEnd w:id="34"/>
      <w:bookmarkEnd w:id="35"/>
    </w:p>
    <w:p w14:paraId="4096F0E4" w14:textId="50924551"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4DFE988B" w14:textId="77777777">
        <w:trPr>
          <w:trHeight w:val="765"/>
          <w:tblHeader/>
        </w:trPr>
        <w:tc>
          <w:tcPr>
            <w:tcW w:w="366" w:type="pct"/>
            <w:tcBorders>
              <w:bottom w:val="nil"/>
            </w:tcBorders>
            <w:tcMar>
              <w:bottom w:w="0" w:type="dxa"/>
            </w:tcMar>
            <w:vAlign w:val="center"/>
          </w:tcPr>
          <w:p w14:paraId="79A43F9A" w14:textId="77777777" w:rsidR="00835042" w:rsidRPr="00404FAD" w:rsidRDefault="00835042">
            <w:pPr>
              <w:pStyle w:val="NoSpacing"/>
              <w:keepNext/>
              <w:keepLines/>
              <w:jc w:val="right"/>
            </w:pPr>
            <w:r w:rsidRPr="00404FAD">
              <w:rPr>
                <w:noProof/>
              </w:rPr>
              <w:drawing>
                <wp:inline distT="0" distB="0" distL="0" distR="0" wp14:anchorId="5BEC560F" wp14:editId="14AE677A">
                  <wp:extent cx="288000" cy="288000"/>
                  <wp:effectExtent l="0" t="0" r="0" b="0"/>
                  <wp:docPr id="1031270231"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2D2902EA" w14:textId="77777777" w:rsidR="00835042" w:rsidRPr="00404FAD" w:rsidRDefault="00835042" w:rsidP="00B73F77">
            <w:pPr>
              <w:pStyle w:val="FindingRecRequesttitle"/>
            </w:pPr>
            <w:r w:rsidRPr="00404FAD">
              <w:t>Finding 3.1</w:t>
            </w:r>
          </w:p>
          <w:p w14:paraId="19618A2D" w14:textId="77777777" w:rsidR="00835042" w:rsidRPr="00404FAD" w:rsidRDefault="00835042" w:rsidP="00B73F77">
            <w:pPr>
              <w:pStyle w:val="FindingRecRequesttitle"/>
            </w:pPr>
            <w:r w:rsidRPr="00404FAD">
              <w:t xml:space="preserve">The permit system for heavy vehicle access is costly </w:t>
            </w:r>
          </w:p>
        </w:tc>
      </w:tr>
      <w:tr w:rsidR="00835042" w:rsidRPr="00404FAD" w14:paraId="129A73A8" w14:textId="77777777">
        <w:tc>
          <w:tcPr>
            <w:tcW w:w="5000" w:type="pct"/>
            <w:gridSpan w:val="2"/>
            <w:tcBorders>
              <w:top w:val="nil"/>
              <w:bottom w:val="single" w:sz="4" w:space="0" w:color="2B9AC2" w:themeColor="text2"/>
            </w:tcBorders>
          </w:tcPr>
          <w:p w14:paraId="3B2EEF2D" w14:textId="77777777" w:rsidR="00835042" w:rsidRPr="00404FAD" w:rsidRDefault="00835042" w:rsidP="00B73F77">
            <w:pPr>
              <w:pStyle w:val="BodyText"/>
            </w:pPr>
            <w:r w:rsidRPr="00404FAD">
              <w:t>The heavy vehicle permit system imposes significant costs and uncertainty on operators, as well as administrative burden on road managers and the National Heavy Vehicle Regulator. There is a need to reform the system to promote flexibility, timeliness, consistency and quality of access decisions – this will support broader productivity.</w:t>
            </w:r>
          </w:p>
        </w:tc>
      </w:tr>
      <w:tr w:rsidR="00835042" w:rsidRPr="00404FAD" w14:paraId="0819E336" w14:textId="77777777">
        <w:tc>
          <w:tcPr>
            <w:tcW w:w="5000" w:type="pct"/>
            <w:gridSpan w:val="2"/>
            <w:tcBorders>
              <w:top w:val="single" w:sz="4" w:space="0" w:color="2B9AC2" w:themeColor="text2"/>
              <w:left w:val="nil"/>
              <w:bottom w:val="nil"/>
              <w:right w:val="nil"/>
            </w:tcBorders>
            <w:tcMar>
              <w:bottom w:w="0" w:type="dxa"/>
            </w:tcMar>
          </w:tcPr>
          <w:p w14:paraId="4A53B37F" w14:textId="55D58055" w:rsidR="00835042" w:rsidRPr="00404FAD" w:rsidRDefault="00835042">
            <w:pPr>
              <w:pStyle w:val="NoSpacing"/>
              <w:spacing w:line="200" w:lineRule="atLeast"/>
            </w:pPr>
          </w:p>
        </w:tc>
      </w:tr>
    </w:tbl>
    <w:p w14:paraId="642E3A73" w14:textId="3D58C116" w:rsidR="00835042" w:rsidRPr="00404FAD" w:rsidRDefault="00A201F8" w:rsidP="00835042">
      <w:pPr>
        <w:pStyle w:val="NoSpacing"/>
      </w:pPr>
      <w:r w:rsidRPr="00404FAD">
        <w:t xml:space="preserve"> </w:t>
      </w:r>
    </w:p>
    <w:tbl>
      <w:tblPr>
        <w:tblStyle w:val="Texttable-Paleblue"/>
        <w:tblW w:w="5000" w:type="pct"/>
        <w:tblLook w:val="04A0" w:firstRow="1" w:lastRow="0" w:firstColumn="1" w:lastColumn="0" w:noHBand="0" w:noVBand="1"/>
      </w:tblPr>
      <w:tblGrid>
        <w:gridCol w:w="713"/>
        <w:gridCol w:w="8925"/>
      </w:tblGrid>
      <w:tr w:rsidR="00835042" w:rsidRPr="00404FAD" w14:paraId="719A1CCD" w14:textId="77777777">
        <w:trPr>
          <w:tblHeader/>
        </w:trPr>
        <w:tc>
          <w:tcPr>
            <w:tcW w:w="709" w:type="dxa"/>
            <w:shd w:val="clear" w:color="auto" w:fill="E7F6FD"/>
            <w:tcMar>
              <w:top w:w="0" w:type="dxa"/>
              <w:bottom w:w="0" w:type="dxa"/>
            </w:tcMar>
            <w:vAlign w:val="center"/>
          </w:tcPr>
          <w:p w14:paraId="5C853195" w14:textId="77777777" w:rsidR="00835042" w:rsidRPr="00404FAD" w:rsidRDefault="00835042">
            <w:pPr>
              <w:keepLines/>
              <w:spacing w:before="88" w:after="88"/>
              <w:jc w:val="center"/>
            </w:pPr>
            <w:r w:rsidRPr="00404FAD">
              <w:rPr>
                <w:noProof/>
              </w:rPr>
              <w:drawing>
                <wp:inline distT="0" distB="0" distL="0" distR="0" wp14:anchorId="01C467A0" wp14:editId="66C8105B">
                  <wp:extent cx="288000" cy="288000"/>
                  <wp:effectExtent l="0" t="0" r="0" b="0"/>
                  <wp:docPr id="385656478" name="Graphic 385656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7CCBF8DE" w14:textId="77777777" w:rsidR="00835042" w:rsidRPr="00404FAD" w:rsidRDefault="00835042" w:rsidP="00B73F77">
            <w:pPr>
              <w:pStyle w:val="FindingRecRequesttitle"/>
            </w:pPr>
            <w:r w:rsidRPr="00404FAD">
              <w:t>Recommendation 3.1</w:t>
            </w:r>
          </w:p>
          <w:p w14:paraId="38175163" w14:textId="77777777" w:rsidR="00835042" w:rsidRPr="00404FAD" w:rsidRDefault="00835042" w:rsidP="00B73F77">
            <w:pPr>
              <w:pStyle w:val="FindingRecRequesttitle"/>
            </w:pPr>
            <w:r w:rsidRPr="00404FAD">
              <w:t>Funding for the Strategic Local Government Asset Assessment Project</w:t>
            </w:r>
          </w:p>
        </w:tc>
      </w:tr>
      <w:tr w:rsidR="00835042" w:rsidRPr="00404FAD" w14:paraId="52CB40C4" w14:textId="77777777">
        <w:tc>
          <w:tcPr>
            <w:tcW w:w="9583" w:type="dxa"/>
            <w:gridSpan w:val="2"/>
            <w:shd w:val="clear" w:color="auto" w:fill="E7F6FD"/>
            <w:tcMar>
              <w:top w:w="0" w:type="dxa"/>
            </w:tcMar>
          </w:tcPr>
          <w:p w14:paraId="404FDC82" w14:textId="77777777" w:rsidR="00835042" w:rsidRPr="00404FAD" w:rsidRDefault="00835042" w:rsidP="00B73F77">
            <w:pPr>
              <w:pStyle w:val="BodyText"/>
            </w:pPr>
            <w:r w:rsidRPr="00404FAD">
              <w:t xml:space="preserve">The Australian Government should fund future phases of the Strategic Local Government Asset Assessment Project, starting with Phase 4 in the 2027–28 Budget. Expansions or amendments to the scope should be considered if they would support the National Automated Access System. </w:t>
            </w:r>
          </w:p>
        </w:tc>
      </w:tr>
      <w:tr w:rsidR="00835042" w:rsidRPr="00404FAD" w14:paraId="0E0988AA" w14:textId="77777777">
        <w:tc>
          <w:tcPr>
            <w:tcW w:w="9583" w:type="dxa"/>
            <w:gridSpan w:val="2"/>
            <w:shd w:val="clear" w:color="auto" w:fill="auto"/>
            <w:tcMar>
              <w:top w:w="0" w:type="dxa"/>
              <w:bottom w:w="0" w:type="dxa"/>
            </w:tcMar>
          </w:tcPr>
          <w:p w14:paraId="5A807B5D" w14:textId="0BDE1AB2" w:rsidR="00835042" w:rsidRPr="00404FAD" w:rsidRDefault="00835042">
            <w:pPr>
              <w:pStyle w:val="NoSpacing"/>
              <w:spacing w:line="200" w:lineRule="exact"/>
            </w:pPr>
          </w:p>
        </w:tc>
      </w:tr>
    </w:tbl>
    <w:tbl>
      <w:tblPr>
        <w:tblStyle w:val="Texttable-Paleblue"/>
        <w:tblpPr w:leftFromText="180" w:rightFromText="180" w:vertAnchor="text" w:horzAnchor="margin" w:tblpY="311"/>
        <w:tblOverlap w:val="never"/>
        <w:tblW w:w="5000" w:type="pct"/>
        <w:tblLook w:val="04A0" w:firstRow="1" w:lastRow="0" w:firstColumn="1" w:lastColumn="0" w:noHBand="0" w:noVBand="1"/>
      </w:tblPr>
      <w:tblGrid>
        <w:gridCol w:w="734"/>
        <w:gridCol w:w="8904"/>
      </w:tblGrid>
      <w:tr w:rsidR="00835042" w:rsidRPr="00404FAD" w14:paraId="540C3249" w14:textId="77777777" w:rsidTr="00DC1874">
        <w:trPr>
          <w:tblHeader/>
        </w:trPr>
        <w:tc>
          <w:tcPr>
            <w:tcW w:w="381" w:type="pct"/>
            <w:shd w:val="clear" w:color="auto" w:fill="E7F6FD"/>
            <w:tcMar>
              <w:top w:w="0" w:type="dxa"/>
              <w:bottom w:w="0" w:type="dxa"/>
            </w:tcMar>
            <w:vAlign w:val="center"/>
          </w:tcPr>
          <w:p w14:paraId="1ECC8820" w14:textId="77777777" w:rsidR="00835042" w:rsidRPr="00404FAD" w:rsidRDefault="00835042">
            <w:pPr>
              <w:keepLines/>
              <w:spacing w:before="88" w:after="88"/>
              <w:jc w:val="center"/>
            </w:pPr>
            <w:r w:rsidRPr="00404FAD">
              <w:rPr>
                <w:noProof/>
              </w:rPr>
              <w:drawing>
                <wp:inline distT="0" distB="0" distL="0" distR="0" wp14:anchorId="24286BD9" wp14:editId="3DBE26D2">
                  <wp:extent cx="288000" cy="288000"/>
                  <wp:effectExtent l="0" t="0" r="0" b="0"/>
                  <wp:docPr id="172776212" name="Graphic 172776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4619" w:type="pct"/>
            <w:shd w:val="clear" w:color="auto" w:fill="E7F6FD"/>
            <w:tcMar>
              <w:top w:w="0" w:type="dxa"/>
              <w:bottom w:w="0" w:type="dxa"/>
            </w:tcMar>
            <w:vAlign w:val="center"/>
          </w:tcPr>
          <w:p w14:paraId="278EE71A" w14:textId="77777777" w:rsidR="00835042" w:rsidRPr="00404FAD" w:rsidRDefault="00835042" w:rsidP="00B73F77">
            <w:pPr>
              <w:pStyle w:val="FindingRecRequesttitle"/>
            </w:pPr>
            <w:r w:rsidRPr="00404FAD">
              <w:t>Recommendation 3.2</w:t>
            </w:r>
          </w:p>
          <w:p w14:paraId="3044A21E" w14:textId="77777777" w:rsidR="00835042" w:rsidRPr="00404FAD" w:rsidRDefault="00835042" w:rsidP="00B73F77">
            <w:pPr>
              <w:pStyle w:val="FindingRecRequesttitle"/>
            </w:pPr>
            <w:r w:rsidRPr="00404FAD">
              <w:t>Automated access systems should incorporate network</w:t>
            </w:r>
            <w:r w:rsidRPr="00404FAD">
              <w:noBreakHyphen/>
              <w:t>based access</w:t>
            </w:r>
          </w:p>
        </w:tc>
      </w:tr>
      <w:tr w:rsidR="00835042" w:rsidRPr="00404FAD" w14:paraId="4B3A70ED" w14:textId="77777777" w:rsidTr="00DC1874">
        <w:tc>
          <w:tcPr>
            <w:tcW w:w="5000" w:type="pct"/>
            <w:gridSpan w:val="2"/>
            <w:shd w:val="clear" w:color="auto" w:fill="E7F6FD"/>
            <w:tcMar>
              <w:top w:w="0" w:type="dxa"/>
            </w:tcMar>
          </w:tcPr>
          <w:p w14:paraId="72F20F1B" w14:textId="77777777" w:rsidR="00835042" w:rsidRPr="00404FAD" w:rsidRDefault="00835042" w:rsidP="00B73F77">
            <w:pPr>
              <w:pStyle w:val="BodyText"/>
            </w:pPr>
            <w:r w:rsidRPr="00404FAD">
              <w:t>As much as possible, automated heavy vehicle access systems should be designed to provide network</w:t>
            </w:r>
            <w:r w:rsidRPr="00404FAD">
              <w:noBreakHyphen/>
              <w:t>based access rather than automating access for prescriptive routes. This will maximise the benefits of the system for operators and the community.</w:t>
            </w:r>
          </w:p>
        </w:tc>
      </w:tr>
      <w:tr w:rsidR="00835042" w:rsidRPr="00404FAD" w14:paraId="6D1199A7" w14:textId="77777777" w:rsidTr="00DC1874">
        <w:tc>
          <w:tcPr>
            <w:tcW w:w="5000" w:type="pct"/>
            <w:gridSpan w:val="2"/>
            <w:shd w:val="clear" w:color="auto" w:fill="auto"/>
            <w:tcMar>
              <w:top w:w="0" w:type="dxa"/>
              <w:bottom w:w="0" w:type="dxa"/>
            </w:tcMar>
          </w:tcPr>
          <w:p w14:paraId="1C0B0027" w14:textId="49734AD0" w:rsidR="00835042" w:rsidRPr="00404FAD" w:rsidRDefault="00835042">
            <w:pPr>
              <w:pStyle w:val="NoSpacing"/>
              <w:spacing w:line="200" w:lineRule="exact"/>
            </w:pPr>
          </w:p>
        </w:tc>
      </w:tr>
    </w:tbl>
    <w:p w14:paraId="5740926E" w14:textId="23099660" w:rsidR="00835042" w:rsidRPr="00404FAD" w:rsidRDefault="00835042" w:rsidP="00835042">
      <w:pPr>
        <w:pStyle w:val="NoSpacing"/>
      </w:pPr>
      <w:r w:rsidRPr="00404FAD">
        <w:rPr>
          <w:color w:val="FF00FF"/>
        </w:rPr>
        <w:t xml:space="preserve"> </w:t>
      </w:r>
    </w:p>
    <w:p w14:paraId="1FD5DB1E" w14:textId="77777777" w:rsidR="005B3E69" w:rsidRPr="00404FAD" w:rsidRDefault="005B3E69" w:rsidP="0034616A">
      <w:pPr>
        <w:pStyle w:val="BodyText"/>
      </w:pPr>
      <w:bookmarkStart w:id="36" w:name="_Toc233206129"/>
      <w:r w:rsidRPr="00404FAD">
        <w:br w:type="page"/>
      </w:r>
    </w:p>
    <w:p w14:paraId="633E5C0D" w14:textId="77777777" w:rsidR="00835042" w:rsidRPr="00404FAD" w:rsidRDefault="00835042" w:rsidP="00517815">
      <w:pPr>
        <w:pStyle w:val="Heading2-nonumber"/>
      </w:pPr>
      <w:bookmarkStart w:id="37" w:name="_Toc233296307"/>
      <w:r w:rsidRPr="00404FAD">
        <w:lastRenderedPageBreak/>
        <w:t>Administrative and regulatory barriers to charging infrastructure</w:t>
      </w:r>
      <w:bookmarkEnd w:id="36"/>
      <w:bookmarkEnd w:id="37"/>
    </w:p>
    <w:p w14:paraId="71CE44D4" w14:textId="77777777" w:rsidR="00835042" w:rsidRPr="00404FAD" w:rsidRDefault="00835042" w:rsidP="00835042">
      <w:pPr>
        <w:pStyle w:val="NoSpacing"/>
      </w:pPr>
    </w:p>
    <w:tbl>
      <w:tblPr>
        <w:tblStyle w:val="Texttable-Paleblue"/>
        <w:tblW w:w="5000" w:type="pct"/>
        <w:tblLook w:val="04A0" w:firstRow="1" w:lastRow="0" w:firstColumn="1" w:lastColumn="0" w:noHBand="0" w:noVBand="1"/>
      </w:tblPr>
      <w:tblGrid>
        <w:gridCol w:w="713"/>
        <w:gridCol w:w="8925"/>
      </w:tblGrid>
      <w:tr w:rsidR="00835042" w:rsidRPr="00404FAD" w14:paraId="12D2208C" w14:textId="77777777">
        <w:trPr>
          <w:tblHeader/>
        </w:trPr>
        <w:tc>
          <w:tcPr>
            <w:tcW w:w="709" w:type="dxa"/>
            <w:shd w:val="clear" w:color="auto" w:fill="E7F6FD"/>
            <w:tcMar>
              <w:top w:w="0" w:type="dxa"/>
              <w:bottom w:w="0" w:type="dxa"/>
            </w:tcMar>
            <w:vAlign w:val="center"/>
          </w:tcPr>
          <w:p w14:paraId="3FBA6F4C" w14:textId="77777777" w:rsidR="00835042" w:rsidRPr="00404FAD" w:rsidRDefault="00835042">
            <w:pPr>
              <w:keepLines/>
              <w:jc w:val="center"/>
            </w:pPr>
            <w:r w:rsidRPr="00404FAD">
              <w:rPr>
                <w:noProof/>
              </w:rPr>
              <w:drawing>
                <wp:inline distT="0" distB="0" distL="0" distR="0" wp14:anchorId="42E4089A" wp14:editId="412ACC45">
                  <wp:extent cx="288000" cy="288000"/>
                  <wp:effectExtent l="0" t="0" r="0" b="0"/>
                  <wp:docPr id="1099896165" name="Graphic 1099896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6E4C9877" w14:textId="77777777" w:rsidR="00835042" w:rsidRPr="00404FAD" w:rsidRDefault="00835042" w:rsidP="00B73F77">
            <w:pPr>
              <w:pStyle w:val="FindingRecRequesttitle"/>
            </w:pPr>
            <w:r w:rsidRPr="00404FAD">
              <w:t>Recommendation 4.1</w:t>
            </w:r>
          </w:p>
          <w:p w14:paraId="0B81EF9D" w14:textId="77777777" w:rsidR="00835042" w:rsidRPr="00404FAD" w:rsidRDefault="00835042" w:rsidP="00B73F77">
            <w:pPr>
              <w:pStyle w:val="FindingRecRequesttitle"/>
            </w:pPr>
            <w:r w:rsidRPr="00404FAD">
              <w:t>Create a heavy zero emissions vehicle (HZEV) charging infrastructure mapping tool</w:t>
            </w:r>
          </w:p>
        </w:tc>
      </w:tr>
      <w:tr w:rsidR="00835042" w:rsidRPr="00404FAD" w14:paraId="34F67146" w14:textId="77777777">
        <w:tc>
          <w:tcPr>
            <w:tcW w:w="9583" w:type="dxa"/>
            <w:gridSpan w:val="2"/>
            <w:shd w:val="clear" w:color="auto" w:fill="E7F6FD"/>
            <w:tcMar>
              <w:top w:w="0" w:type="dxa"/>
            </w:tcMar>
          </w:tcPr>
          <w:p w14:paraId="22374B6A" w14:textId="77777777" w:rsidR="00835042" w:rsidRPr="00404FAD" w:rsidRDefault="00835042" w:rsidP="00B73F77">
            <w:pPr>
              <w:pStyle w:val="BodyText"/>
              <w:keepNext/>
              <w:keepLines/>
            </w:pPr>
            <w:r w:rsidRPr="00404FAD">
              <w:t>The Department of Climate Change, Energy, the Environment and Water should create a HZEV charging infrastructure mapping tool, either by making the existing Electric Vehicle Charging Infrastructure Mapping Tool more suited to HZEV charging infrastructure or creating a new HZEV-focussed tool. To populate the tool, it should:</w:t>
            </w:r>
          </w:p>
          <w:p w14:paraId="3E54EFF5" w14:textId="77777777" w:rsidR="00835042" w:rsidRPr="00404FAD" w:rsidRDefault="00835042" w:rsidP="00B73F77">
            <w:pPr>
              <w:pStyle w:val="ListBullet"/>
              <w:keepNext/>
            </w:pPr>
            <w:r w:rsidRPr="00404FAD">
              <w:t>work with electricity distribution network service providers and the Australian Energy Regulator to incorporate more granular (distribution substation</w:t>
            </w:r>
            <w:r w:rsidRPr="00404FAD">
              <w:noBreakHyphen/>
              <w:t>level) distribution network capacity information</w:t>
            </w:r>
          </w:p>
          <w:p w14:paraId="5B866AA9" w14:textId="77777777" w:rsidR="00835042" w:rsidRPr="00404FAD" w:rsidRDefault="00835042" w:rsidP="00B73F77">
            <w:pPr>
              <w:pStyle w:val="ListBullet"/>
              <w:keepNext/>
            </w:pPr>
            <w:r w:rsidRPr="00404FAD">
              <w:t>work with the Department of Infrastructure, Transport, Regional Development, Communications, Sport and the Arts and the National Heavy Vehicle Regulator to incorporate information on freight locations and movements</w:t>
            </w:r>
          </w:p>
          <w:p w14:paraId="4EB6BB5F" w14:textId="77777777" w:rsidR="00835042" w:rsidRPr="00404FAD" w:rsidRDefault="00835042" w:rsidP="00B73F77">
            <w:pPr>
              <w:pStyle w:val="ListBullet"/>
              <w:keepNext/>
            </w:pPr>
            <w:r w:rsidRPr="00404FAD">
              <w:t>work with state and territory governments to incorporate information on where charging is an allowed land use (with and without planning permission)</w:t>
            </w:r>
          </w:p>
          <w:p w14:paraId="533F0D84" w14:textId="77777777" w:rsidR="00835042" w:rsidRPr="00404FAD" w:rsidRDefault="00835042" w:rsidP="00517815">
            <w:pPr>
              <w:pStyle w:val="ListBullet"/>
            </w:pPr>
            <w:r w:rsidRPr="00404FAD">
              <w:t>allow this data to be exported, where possible.</w:t>
            </w:r>
          </w:p>
        </w:tc>
      </w:tr>
      <w:tr w:rsidR="00835042" w:rsidRPr="00404FAD" w14:paraId="3B42CC76" w14:textId="77777777">
        <w:tc>
          <w:tcPr>
            <w:tcW w:w="9583" w:type="dxa"/>
            <w:gridSpan w:val="2"/>
            <w:shd w:val="clear" w:color="auto" w:fill="auto"/>
            <w:tcMar>
              <w:top w:w="0" w:type="dxa"/>
              <w:bottom w:w="0" w:type="dxa"/>
            </w:tcMar>
          </w:tcPr>
          <w:p w14:paraId="6D64489E" w14:textId="1EAB8916" w:rsidR="00835042" w:rsidRPr="00404FAD" w:rsidRDefault="00835042">
            <w:pPr>
              <w:pStyle w:val="NoSpacing"/>
              <w:spacing w:line="200" w:lineRule="exact"/>
            </w:pPr>
          </w:p>
        </w:tc>
      </w:tr>
    </w:tbl>
    <w:p w14:paraId="0CAA9679" w14:textId="26603739" w:rsidR="00835042" w:rsidRPr="00404FAD" w:rsidRDefault="00835042" w:rsidP="00835042">
      <w:pPr>
        <w:pStyle w:val="NoSpacing"/>
      </w:pPr>
    </w:p>
    <w:tbl>
      <w:tblPr>
        <w:tblStyle w:val="Texttable-Paleblue"/>
        <w:tblW w:w="5000" w:type="pct"/>
        <w:tblLook w:val="04A0" w:firstRow="1" w:lastRow="0" w:firstColumn="1" w:lastColumn="0" w:noHBand="0" w:noVBand="1"/>
      </w:tblPr>
      <w:tblGrid>
        <w:gridCol w:w="713"/>
        <w:gridCol w:w="8925"/>
      </w:tblGrid>
      <w:tr w:rsidR="00835042" w:rsidRPr="00404FAD" w14:paraId="1DA9C15C" w14:textId="77777777">
        <w:trPr>
          <w:tblHeader/>
        </w:trPr>
        <w:tc>
          <w:tcPr>
            <w:tcW w:w="709" w:type="dxa"/>
            <w:shd w:val="clear" w:color="auto" w:fill="E7F6FD"/>
            <w:tcMar>
              <w:top w:w="0" w:type="dxa"/>
              <w:bottom w:w="0" w:type="dxa"/>
            </w:tcMar>
            <w:vAlign w:val="center"/>
          </w:tcPr>
          <w:p w14:paraId="075B5E00" w14:textId="77777777" w:rsidR="00835042" w:rsidRPr="00404FAD" w:rsidRDefault="00835042">
            <w:pPr>
              <w:keepLines/>
              <w:jc w:val="center"/>
            </w:pPr>
            <w:r w:rsidRPr="00404FAD">
              <w:rPr>
                <w:noProof/>
              </w:rPr>
              <w:drawing>
                <wp:inline distT="0" distB="0" distL="0" distR="0" wp14:anchorId="21EB421E" wp14:editId="59544493">
                  <wp:extent cx="288000" cy="288000"/>
                  <wp:effectExtent l="0" t="0" r="0" b="0"/>
                  <wp:docPr id="1146321042" name="Graphic 1146321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5731E8C3" w14:textId="77777777" w:rsidR="00835042" w:rsidRPr="00404FAD" w:rsidRDefault="00835042" w:rsidP="00B73F77">
            <w:pPr>
              <w:pStyle w:val="FindingRecRequesttitle"/>
            </w:pPr>
            <w:r w:rsidRPr="00404FAD">
              <w:t>Recommendation 4.2</w:t>
            </w:r>
          </w:p>
          <w:p w14:paraId="30BB549C" w14:textId="77777777" w:rsidR="00835042" w:rsidRPr="00404FAD" w:rsidRDefault="00835042" w:rsidP="00B73F77">
            <w:pPr>
              <w:pStyle w:val="FindingRecRequesttitle"/>
            </w:pPr>
            <w:r w:rsidRPr="00404FAD">
              <w:t>Adapt land use regulation to heavy zero emissions vehicle charging infrastructure</w:t>
            </w:r>
          </w:p>
        </w:tc>
      </w:tr>
      <w:tr w:rsidR="00835042" w:rsidRPr="00404FAD" w14:paraId="2EA133DE" w14:textId="77777777">
        <w:tc>
          <w:tcPr>
            <w:tcW w:w="9583" w:type="dxa"/>
            <w:gridSpan w:val="2"/>
            <w:shd w:val="clear" w:color="auto" w:fill="E7F6FD"/>
            <w:tcMar>
              <w:top w:w="0" w:type="dxa"/>
            </w:tcMar>
          </w:tcPr>
          <w:p w14:paraId="146BB45A" w14:textId="77777777" w:rsidR="00835042" w:rsidRPr="00404FAD" w:rsidRDefault="00835042" w:rsidP="00B73F77">
            <w:pPr>
              <w:pStyle w:val="BodyText"/>
            </w:pPr>
            <w:r w:rsidRPr="00404FAD">
              <w:t>State and territory governments should alter the definitions of land uses that cover bus depots, freight centres, freight nodes and heavy vehicle rest stops to explicitly allow for electric vehicle charging on land used in this way.</w:t>
            </w:r>
          </w:p>
          <w:p w14:paraId="02F29094" w14:textId="77777777" w:rsidR="00835042" w:rsidRPr="00404FAD" w:rsidRDefault="00835042" w:rsidP="00B73F77">
            <w:pPr>
              <w:pStyle w:val="BodyText"/>
            </w:pPr>
            <w:r w:rsidRPr="00404FAD">
              <w:t xml:space="preserve">State and territory governments should exempt the installation of charging infrastructure from requiring planning permission where it is consistent with existing land use provisions. To the extent that jurisdictions apply conditions to manage any public impact, these should be balanced against potential impacts on innovation and investment. </w:t>
            </w:r>
          </w:p>
        </w:tc>
      </w:tr>
      <w:tr w:rsidR="00835042" w:rsidRPr="00404FAD" w14:paraId="7AA18DBA" w14:textId="77777777">
        <w:tc>
          <w:tcPr>
            <w:tcW w:w="9583" w:type="dxa"/>
            <w:gridSpan w:val="2"/>
            <w:shd w:val="clear" w:color="auto" w:fill="auto"/>
            <w:tcMar>
              <w:top w:w="0" w:type="dxa"/>
              <w:bottom w:w="0" w:type="dxa"/>
            </w:tcMar>
          </w:tcPr>
          <w:p w14:paraId="794F84AB" w14:textId="5234B811" w:rsidR="00835042" w:rsidRPr="00404FAD" w:rsidRDefault="00835042">
            <w:pPr>
              <w:pStyle w:val="NoSpacing"/>
              <w:spacing w:line="200" w:lineRule="exact"/>
            </w:pPr>
          </w:p>
        </w:tc>
      </w:tr>
    </w:tbl>
    <w:p w14:paraId="22C71148" w14:textId="324CE419" w:rsidR="005A32D3" w:rsidRPr="00404FAD" w:rsidRDefault="005A32D3" w:rsidP="00835042">
      <w:pPr>
        <w:pStyle w:val="NoSpacing"/>
        <w:rPr>
          <w:rStyle w:val="BodyTextChar"/>
        </w:rPr>
      </w:pPr>
    </w:p>
    <w:p w14:paraId="4AD76248" w14:textId="77777777" w:rsidR="005A32D3" w:rsidRPr="00404FAD" w:rsidRDefault="005A32D3">
      <w:pPr>
        <w:spacing w:before="0" w:after="160" w:line="259" w:lineRule="auto"/>
        <w:rPr>
          <w:rStyle w:val="BodyTextChar"/>
        </w:rPr>
      </w:pPr>
      <w:r w:rsidRPr="00404FAD">
        <w:rPr>
          <w:rStyle w:val="BodyTextChar"/>
        </w:rPr>
        <w:br w:type="page"/>
      </w:r>
    </w:p>
    <w:tbl>
      <w:tblPr>
        <w:tblStyle w:val="Texttable-Paleblue"/>
        <w:tblW w:w="5000" w:type="pct"/>
        <w:tblLook w:val="04A0" w:firstRow="1" w:lastRow="0" w:firstColumn="1" w:lastColumn="0" w:noHBand="0" w:noVBand="1"/>
      </w:tblPr>
      <w:tblGrid>
        <w:gridCol w:w="713"/>
        <w:gridCol w:w="8925"/>
      </w:tblGrid>
      <w:tr w:rsidR="00835042" w:rsidRPr="00404FAD" w14:paraId="180F61A7" w14:textId="77777777" w:rsidTr="005A32D3">
        <w:trPr>
          <w:tblHeader/>
        </w:trPr>
        <w:tc>
          <w:tcPr>
            <w:tcW w:w="713" w:type="dxa"/>
            <w:shd w:val="clear" w:color="auto" w:fill="E7F6FD"/>
            <w:tcMar>
              <w:top w:w="0" w:type="dxa"/>
              <w:bottom w:w="0" w:type="dxa"/>
            </w:tcMar>
            <w:vAlign w:val="center"/>
          </w:tcPr>
          <w:p w14:paraId="49EEC29C" w14:textId="77777777" w:rsidR="00835042" w:rsidRPr="00404FAD" w:rsidRDefault="00835042">
            <w:pPr>
              <w:keepLines/>
              <w:jc w:val="center"/>
            </w:pPr>
            <w:r w:rsidRPr="00404FAD">
              <w:rPr>
                <w:noProof/>
              </w:rPr>
              <w:lastRenderedPageBreak/>
              <w:drawing>
                <wp:inline distT="0" distB="0" distL="0" distR="0" wp14:anchorId="10D7A6C7" wp14:editId="3C25DEEF">
                  <wp:extent cx="288000" cy="288000"/>
                  <wp:effectExtent l="0" t="0" r="0" b="0"/>
                  <wp:docPr id="1115044218" name="Graphic 1115044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67ACB123" w14:textId="77777777" w:rsidR="00835042" w:rsidRPr="00404FAD" w:rsidRDefault="00835042" w:rsidP="00B73F77">
            <w:pPr>
              <w:pStyle w:val="FindingRecRequesttitle"/>
            </w:pPr>
            <w:r w:rsidRPr="00404FAD">
              <w:t>Recommendation 4.3</w:t>
            </w:r>
          </w:p>
          <w:p w14:paraId="67147D14" w14:textId="77777777" w:rsidR="00835042" w:rsidRPr="00404FAD" w:rsidRDefault="00835042" w:rsidP="00B73F77">
            <w:pPr>
              <w:pStyle w:val="FindingRecRequesttitle"/>
              <w:rPr>
                <w:spacing w:val="-4"/>
              </w:rPr>
            </w:pPr>
            <w:r w:rsidRPr="00404FAD">
              <w:rPr>
                <w:spacing w:val="-4"/>
              </w:rPr>
              <w:t>Facilitate private investment in HZEV charging infrastructure in heavy vehicle rest areas</w:t>
            </w:r>
          </w:p>
        </w:tc>
      </w:tr>
      <w:tr w:rsidR="00835042" w:rsidRPr="00404FAD" w14:paraId="27C45217" w14:textId="77777777" w:rsidTr="005A32D3">
        <w:tc>
          <w:tcPr>
            <w:tcW w:w="9638" w:type="dxa"/>
            <w:gridSpan w:val="2"/>
            <w:shd w:val="clear" w:color="auto" w:fill="E7F6FD"/>
            <w:tcMar>
              <w:top w:w="0" w:type="dxa"/>
            </w:tcMar>
          </w:tcPr>
          <w:p w14:paraId="21220109" w14:textId="77777777" w:rsidR="00835042" w:rsidRPr="00404FAD" w:rsidRDefault="00835042" w:rsidP="00B73F77">
            <w:pPr>
              <w:pStyle w:val="BodyText"/>
            </w:pPr>
            <w:r w:rsidRPr="00404FAD">
              <w:t xml:space="preserve">Austroads should update its </w:t>
            </w:r>
            <w:r w:rsidRPr="00404FAD">
              <w:rPr>
                <w:i/>
                <w:iCs/>
              </w:rPr>
              <w:t>Guidelines for the Provision of Heavy Vehicle Rest Area Facilities</w:t>
            </w:r>
            <w:r w:rsidRPr="00404FAD">
              <w:t xml:space="preserve"> to include HZEV charging infrastructure considerations, such as by adding charging bay design considerations and proximity to electricity networks as a site selection criterion. </w:t>
            </w:r>
          </w:p>
          <w:p w14:paraId="308E870B" w14:textId="77777777" w:rsidR="00835042" w:rsidRPr="00404FAD" w:rsidRDefault="00835042" w:rsidP="00B73F77">
            <w:pPr>
              <w:pStyle w:val="BodyText"/>
              <w:rPr>
                <w:spacing w:val="-2"/>
              </w:rPr>
            </w:pPr>
            <w:r w:rsidRPr="00404FAD">
              <w:rPr>
                <w:spacing w:val="-2"/>
              </w:rPr>
              <w:t>State and territory governments should reflect these changes in their guidance, and the Department of Infrastructure, Transport, Regional Development, Communications, Sport and the Arts should require applicants to demonstrate that they have considered the HZEV charging infrastructure aspects of the guidelines as a condition of receiving funding under the Heavy Vehicle Rest Area initiative.</w:t>
            </w:r>
          </w:p>
          <w:p w14:paraId="66DF837D" w14:textId="77777777" w:rsidR="00835042" w:rsidRPr="00404FAD" w:rsidRDefault="00835042" w:rsidP="00B73F77">
            <w:pPr>
              <w:pStyle w:val="BodyText"/>
            </w:pPr>
            <w:r w:rsidRPr="00404FAD">
              <w:t>State and territory governments should also develop policies and guidance, such as standard contractual terms, that allow charging infrastructure owners to install and operate HZEV charging infrastructure in heavy vehicle rest areas on commercial terms.</w:t>
            </w:r>
          </w:p>
        </w:tc>
      </w:tr>
      <w:tr w:rsidR="00835042" w:rsidRPr="00404FAD" w14:paraId="302D6DE9" w14:textId="77777777" w:rsidTr="005A32D3">
        <w:tc>
          <w:tcPr>
            <w:tcW w:w="9638" w:type="dxa"/>
            <w:gridSpan w:val="2"/>
            <w:shd w:val="clear" w:color="auto" w:fill="auto"/>
            <w:tcMar>
              <w:top w:w="0" w:type="dxa"/>
              <w:bottom w:w="0" w:type="dxa"/>
            </w:tcMar>
          </w:tcPr>
          <w:p w14:paraId="318E039D" w14:textId="3D06929B" w:rsidR="00835042" w:rsidRPr="00404FAD" w:rsidRDefault="00835042">
            <w:pPr>
              <w:pStyle w:val="NoSpacing"/>
              <w:spacing w:line="200" w:lineRule="exact"/>
            </w:pPr>
          </w:p>
        </w:tc>
      </w:tr>
    </w:tbl>
    <w:p w14:paraId="6BEE689C" w14:textId="13BC2213" w:rsidR="001B51E7" w:rsidRPr="00404FAD" w:rsidRDefault="001B51E7" w:rsidP="0034616A">
      <w:pPr>
        <w:pStyle w:val="NoSpacing"/>
      </w:pPr>
      <w:bookmarkStart w:id="38" w:name="_Toc233206130"/>
    </w:p>
    <w:p w14:paraId="59DE4F3F" w14:textId="7DBD583F" w:rsidR="00835042" w:rsidRPr="00404FAD" w:rsidRDefault="00835042" w:rsidP="00835042">
      <w:pPr>
        <w:pStyle w:val="Heading2-nonumber"/>
      </w:pPr>
      <w:bookmarkStart w:id="39" w:name="_Toc233296308"/>
      <w:r w:rsidRPr="00404FAD">
        <w:t>Heavy vehicle curfews</w:t>
      </w:r>
      <w:bookmarkEnd w:id="38"/>
      <w:bookmarkEnd w:id="39"/>
    </w:p>
    <w:p w14:paraId="4093084A" w14:textId="4651E0CC"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2741E894" w14:textId="77777777">
        <w:trPr>
          <w:trHeight w:val="765"/>
          <w:tblHeader/>
        </w:trPr>
        <w:tc>
          <w:tcPr>
            <w:tcW w:w="366" w:type="pct"/>
            <w:tcBorders>
              <w:bottom w:val="nil"/>
            </w:tcBorders>
            <w:tcMar>
              <w:bottom w:w="0" w:type="dxa"/>
            </w:tcMar>
            <w:vAlign w:val="center"/>
          </w:tcPr>
          <w:p w14:paraId="63B1E801" w14:textId="77777777" w:rsidR="00835042" w:rsidRPr="00404FAD" w:rsidRDefault="00835042">
            <w:pPr>
              <w:pStyle w:val="NoSpacing"/>
              <w:keepNext/>
              <w:keepLines/>
              <w:jc w:val="right"/>
            </w:pPr>
            <w:r w:rsidRPr="00404FAD">
              <w:rPr>
                <w:noProof/>
              </w:rPr>
              <w:drawing>
                <wp:inline distT="0" distB="0" distL="0" distR="0" wp14:anchorId="13E64AF9" wp14:editId="04D6E543">
                  <wp:extent cx="288000" cy="288000"/>
                  <wp:effectExtent l="0" t="0" r="0" b="0"/>
                  <wp:docPr id="40998856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3B1E687F" w14:textId="77777777" w:rsidR="00835042" w:rsidRPr="00404FAD" w:rsidRDefault="00835042" w:rsidP="00B73F77">
            <w:pPr>
              <w:pStyle w:val="FindingRecRequesttitle"/>
            </w:pPr>
            <w:r w:rsidRPr="00404FAD">
              <w:t>Finding 5.1</w:t>
            </w:r>
          </w:p>
          <w:p w14:paraId="189BACD3" w14:textId="77777777" w:rsidR="00835042" w:rsidRPr="00404FAD" w:rsidRDefault="00835042" w:rsidP="00B73F77">
            <w:pPr>
              <w:pStyle w:val="FindingRecRequesttitle"/>
            </w:pPr>
            <w:r w:rsidRPr="00404FAD">
              <w:t>There is a strong case for reducing curfew burdens on heavy zero emission vehicles</w:t>
            </w:r>
          </w:p>
        </w:tc>
      </w:tr>
      <w:tr w:rsidR="00835042" w:rsidRPr="00404FAD" w14:paraId="00EDA1D3" w14:textId="77777777">
        <w:tc>
          <w:tcPr>
            <w:tcW w:w="5000" w:type="pct"/>
            <w:gridSpan w:val="2"/>
            <w:tcBorders>
              <w:top w:val="nil"/>
              <w:bottom w:val="single" w:sz="4" w:space="0" w:color="2B9AC2" w:themeColor="text2"/>
            </w:tcBorders>
          </w:tcPr>
          <w:p w14:paraId="26844C03" w14:textId="77777777" w:rsidR="00835042" w:rsidRPr="00404FAD" w:rsidRDefault="00835042" w:rsidP="00B73F77">
            <w:pPr>
              <w:pStyle w:val="BodyText"/>
            </w:pPr>
            <w:r w:rsidRPr="00404FAD">
              <w:t xml:space="preserve">Heavy vehicle curfews largely arise from two sources – local traffic controls that restrict truck traffic through </w:t>
            </w:r>
            <w:proofErr w:type="gramStart"/>
            <w:r w:rsidRPr="00404FAD">
              <w:t>particular streets</w:t>
            </w:r>
            <w:proofErr w:type="gramEnd"/>
            <w:r w:rsidRPr="00404FAD">
              <w:t xml:space="preserve"> and conditions imposed on local government planning permits that restrict delivery hours to and from businesses. Local traffic controls are almost exclusively found in Victoria, while planning restrictions appear more widespread.</w:t>
            </w:r>
          </w:p>
          <w:p w14:paraId="3C64C530" w14:textId="77777777" w:rsidR="00835042" w:rsidRPr="00404FAD" w:rsidRDefault="00835042" w:rsidP="00B73F77">
            <w:pPr>
              <w:pStyle w:val="BodyText"/>
            </w:pPr>
            <w:r w:rsidRPr="00404FAD">
              <w:t>Many curfews were designed for conventional diesel vehicles and do not recognise the quieter noise profile of heavy zero emission vehicles. As a result, some curfews are no longer fit for purpose, and there is a strong case for reducing curfew burdens on heavy zero emission vehicles.</w:t>
            </w:r>
          </w:p>
        </w:tc>
      </w:tr>
      <w:tr w:rsidR="00835042" w:rsidRPr="00404FAD" w14:paraId="59184787" w14:textId="77777777">
        <w:tc>
          <w:tcPr>
            <w:tcW w:w="5000" w:type="pct"/>
            <w:gridSpan w:val="2"/>
            <w:tcBorders>
              <w:top w:val="single" w:sz="4" w:space="0" w:color="2B9AC2" w:themeColor="text2"/>
              <w:left w:val="nil"/>
              <w:bottom w:val="nil"/>
              <w:right w:val="nil"/>
            </w:tcBorders>
            <w:tcMar>
              <w:bottom w:w="0" w:type="dxa"/>
            </w:tcMar>
          </w:tcPr>
          <w:p w14:paraId="3765D7E5" w14:textId="1219A2CB" w:rsidR="00835042" w:rsidRPr="00404FAD" w:rsidRDefault="00835042">
            <w:pPr>
              <w:pStyle w:val="NoSpacing"/>
              <w:spacing w:line="200" w:lineRule="atLeast"/>
            </w:pPr>
          </w:p>
        </w:tc>
      </w:tr>
    </w:tbl>
    <w:p w14:paraId="137CFB75" w14:textId="6D89C326" w:rsidR="00835042" w:rsidRPr="00404FAD" w:rsidRDefault="00835042" w:rsidP="00835042">
      <w:pPr>
        <w:pStyle w:val="NoSpacing"/>
      </w:pPr>
    </w:p>
    <w:tbl>
      <w:tblPr>
        <w:tblStyle w:val="Texttable-Paleblue"/>
        <w:tblW w:w="5000" w:type="pct"/>
        <w:tblLook w:val="04A0" w:firstRow="1" w:lastRow="0" w:firstColumn="1" w:lastColumn="0" w:noHBand="0" w:noVBand="1"/>
      </w:tblPr>
      <w:tblGrid>
        <w:gridCol w:w="713"/>
        <w:gridCol w:w="8925"/>
      </w:tblGrid>
      <w:tr w:rsidR="00835042" w:rsidRPr="00404FAD" w14:paraId="6BD09BFE" w14:textId="77777777">
        <w:trPr>
          <w:tblHeader/>
        </w:trPr>
        <w:tc>
          <w:tcPr>
            <w:tcW w:w="709" w:type="dxa"/>
            <w:shd w:val="clear" w:color="auto" w:fill="E7F6FD"/>
            <w:tcMar>
              <w:top w:w="0" w:type="dxa"/>
              <w:bottom w:w="0" w:type="dxa"/>
            </w:tcMar>
            <w:vAlign w:val="center"/>
          </w:tcPr>
          <w:p w14:paraId="3CC7832F" w14:textId="77777777" w:rsidR="00835042" w:rsidRPr="00404FAD" w:rsidRDefault="00835042">
            <w:pPr>
              <w:keepLines/>
              <w:jc w:val="center"/>
            </w:pPr>
            <w:r w:rsidRPr="00404FAD">
              <w:rPr>
                <w:noProof/>
              </w:rPr>
              <w:drawing>
                <wp:inline distT="0" distB="0" distL="0" distR="0" wp14:anchorId="4325F4A9" wp14:editId="2227CF83">
                  <wp:extent cx="288000" cy="288000"/>
                  <wp:effectExtent l="0" t="0" r="0" b="0"/>
                  <wp:docPr id="381254909" name="Graphic 381254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4D006715" w14:textId="77777777" w:rsidR="00835042" w:rsidRPr="00404FAD" w:rsidRDefault="00835042" w:rsidP="00B73F77">
            <w:pPr>
              <w:pStyle w:val="FindingRecRequesttitle"/>
            </w:pPr>
            <w:r w:rsidRPr="00404FAD">
              <w:t>Recommendation 5.1</w:t>
            </w:r>
          </w:p>
          <w:p w14:paraId="237F75A2" w14:textId="77777777" w:rsidR="00835042" w:rsidRPr="00404FAD" w:rsidRDefault="00835042" w:rsidP="00B73F77">
            <w:pPr>
              <w:pStyle w:val="FindingRecRequesttitle"/>
            </w:pPr>
            <w:r w:rsidRPr="00404FAD">
              <w:t>Exempt heavy zero emissions vehicles (HZEVs) from curfews</w:t>
            </w:r>
          </w:p>
        </w:tc>
      </w:tr>
      <w:tr w:rsidR="00835042" w:rsidRPr="00404FAD" w14:paraId="5F2ABE4E" w14:textId="77777777">
        <w:tc>
          <w:tcPr>
            <w:tcW w:w="9583" w:type="dxa"/>
            <w:gridSpan w:val="2"/>
            <w:shd w:val="clear" w:color="auto" w:fill="E7F6FD"/>
            <w:tcMar>
              <w:top w:w="0" w:type="dxa"/>
            </w:tcMar>
          </w:tcPr>
          <w:p w14:paraId="3CFD5ECD" w14:textId="77777777" w:rsidR="00835042" w:rsidRPr="00404FAD" w:rsidRDefault="00835042" w:rsidP="00B73F77">
            <w:pPr>
              <w:pStyle w:val="BodyText"/>
            </w:pPr>
            <w:r w:rsidRPr="00404FAD">
              <w:t>State, territory and local governments should exempt HZEVs from time-related restrictions on activity (i.e. deliveries), Governments should use existing outcomes-based regulations (like environmental or noise-management laws) to manage noise concerns.</w:t>
            </w:r>
          </w:p>
        </w:tc>
      </w:tr>
      <w:tr w:rsidR="00835042" w:rsidRPr="00404FAD" w14:paraId="22236AF1" w14:textId="77777777">
        <w:tc>
          <w:tcPr>
            <w:tcW w:w="9583" w:type="dxa"/>
            <w:gridSpan w:val="2"/>
            <w:shd w:val="clear" w:color="auto" w:fill="auto"/>
            <w:tcMar>
              <w:top w:w="0" w:type="dxa"/>
              <w:bottom w:w="0" w:type="dxa"/>
            </w:tcMar>
          </w:tcPr>
          <w:p w14:paraId="05D39C64" w14:textId="6A7E1282" w:rsidR="00835042" w:rsidRPr="00404FAD" w:rsidRDefault="00835042">
            <w:pPr>
              <w:pStyle w:val="NoSpacing"/>
              <w:spacing w:line="200" w:lineRule="exact"/>
            </w:pPr>
          </w:p>
        </w:tc>
      </w:tr>
    </w:tbl>
    <w:p w14:paraId="72363B8B" w14:textId="330CF691" w:rsidR="005B3E69" w:rsidRPr="00404FAD" w:rsidRDefault="005B3E69" w:rsidP="005B3E69">
      <w:pPr>
        <w:pStyle w:val="BodyText"/>
      </w:pPr>
      <w:bookmarkStart w:id="40" w:name="_Toc233206131"/>
    </w:p>
    <w:p w14:paraId="135BF0B8" w14:textId="77777777" w:rsidR="005B3E69" w:rsidRPr="00404FAD" w:rsidRDefault="005B3E69">
      <w:pPr>
        <w:spacing w:before="0" w:after="160" w:line="259" w:lineRule="auto"/>
      </w:pPr>
      <w:r w:rsidRPr="00404FAD">
        <w:br w:type="page"/>
      </w:r>
    </w:p>
    <w:p w14:paraId="43CA6562" w14:textId="77777777" w:rsidR="00835042" w:rsidRPr="00404FAD" w:rsidRDefault="00835042" w:rsidP="00835042">
      <w:pPr>
        <w:pStyle w:val="Heading2-nonumber"/>
      </w:pPr>
      <w:bookmarkStart w:id="41" w:name="_Toc233296309"/>
      <w:r w:rsidRPr="00404FAD">
        <w:lastRenderedPageBreak/>
        <w:t>The National Heavy Vehicle Driver Competency Framework</w:t>
      </w:r>
      <w:bookmarkEnd w:id="40"/>
      <w:bookmarkEnd w:id="41"/>
    </w:p>
    <w:p w14:paraId="46A04588" w14:textId="116E1963"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3443FE90" w14:textId="77777777">
        <w:trPr>
          <w:trHeight w:val="765"/>
          <w:tblHeader/>
        </w:trPr>
        <w:tc>
          <w:tcPr>
            <w:tcW w:w="366" w:type="pct"/>
            <w:tcBorders>
              <w:bottom w:val="nil"/>
            </w:tcBorders>
            <w:tcMar>
              <w:bottom w:w="0" w:type="dxa"/>
            </w:tcMar>
            <w:vAlign w:val="center"/>
          </w:tcPr>
          <w:p w14:paraId="0D983F96" w14:textId="77777777" w:rsidR="00835042" w:rsidRPr="00404FAD" w:rsidRDefault="00835042">
            <w:pPr>
              <w:pStyle w:val="NoSpacing"/>
              <w:keepNext/>
              <w:keepLines/>
              <w:jc w:val="right"/>
            </w:pPr>
            <w:r w:rsidRPr="00404FAD">
              <w:rPr>
                <w:noProof/>
              </w:rPr>
              <w:drawing>
                <wp:inline distT="0" distB="0" distL="0" distR="0" wp14:anchorId="6C509F71" wp14:editId="6C019D7F">
                  <wp:extent cx="288000" cy="288000"/>
                  <wp:effectExtent l="0" t="0" r="0" b="0"/>
                  <wp:docPr id="108353212"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24CC146B" w14:textId="77777777" w:rsidR="00835042" w:rsidRPr="00404FAD" w:rsidRDefault="00835042" w:rsidP="00B73F77">
            <w:pPr>
              <w:pStyle w:val="FindingRecRequesttitle"/>
            </w:pPr>
            <w:r w:rsidRPr="00404FAD">
              <w:t>Finding 6.1</w:t>
            </w:r>
          </w:p>
          <w:p w14:paraId="443805D1" w14:textId="77777777" w:rsidR="00835042" w:rsidRPr="00404FAD" w:rsidRDefault="00835042" w:rsidP="00B73F77">
            <w:pPr>
              <w:pStyle w:val="FindingRecRequesttitle"/>
            </w:pPr>
            <w:r w:rsidRPr="00404FAD">
              <w:rPr>
                <w:szCs w:val="22"/>
              </w:rPr>
              <w:t xml:space="preserve">Driver competency reforms are progressing </w:t>
            </w:r>
          </w:p>
        </w:tc>
      </w:tr>
      <w:tr w:rsidR="00835042" w:rsidRPr="00404FAD" w14:paraId="51A8A424" w14:textId="77777777">
        <w:tc>
          <w:tcPr>
            <w:tcW w:w="5000" w:type="pct"/>
            <w:gridSpan w:val="2"/>
            <w:tcBorders>
              <w:top w:val="nil"/>
              <w:bottom w:val="single" w:sz="4" w:space="0" w:color="2B9AC2" w:themeColor="text2"/>
            </w:tcBorders>
          </w:tcPr>
          <w:p w14:paraId="2F89B9C6" w14:textId="77777777" w:rsidR="00835042" w:rsidRPr="00404FAD" w:rsidRDefault="00835042" w:rsidP="00B73F77">
            <w:pPr>
              <w:pStyle w:val="BodyText"/>
            </w:pPr>
            <w:r w:rsidRPr="00404FAD">
              <w:t xml:space="preserve">Reforms to the National Heavy Vehicle Driver Competency Framework appear on track to be implemented by most states and territories by 2028. Some state and territory governments may be able to deliver earlier under current arrangements. Others are not expecting to implement the reforms within the 2028 timeframe, with some still uncertain if they will be implemented in full. Support to implement changes, including to undertake regulatory reform, policy work and IT systems updates, may aid implementation. </w:t>
            </w:r>
          </w:p>
        </w:tc>
      </w:tr>
      <w:tr w:rsidR="00835042" w:rsidRPr="00404FAD" w14:paraId="201CB792" w14:textId="77777777">
        <w:tc>
          <w:tcPr>
            <w:tcW w:w="5000" w:type="pct"/>
            <w:gridSpan w:val="2"/>
            <w:tcBorders>
              <w:top w:val="single" w:sz="4" w:space="0" w:color="2B9AC2" w:themeColor="text2"/>
              <w:left w:val="nil"/>
              <w:bottom w:val="nil"/>
              <w:right w:val="nil"/>
            </w:tcBorders>
            <w:tcMar>
              <w:bottom w:w="0" w:type="dxa"/>
            </w:tcMar>
          </w:tcPr>
          <w:p w14:paraId="4DADD04B" w14:textId="5C012AE1" w:rsidR="00835042" w:rsidRPr="00404FAD" w:rsidRDefault="00835042">
            <w:pPr>
              <w:pStyle w:val="NoSpacing"/>
              <w:spacing w:line="200" w:lineRule="atLeast"/>
            </w:pPr>
          </w:p>
        </w:tc>
      </w:tr>
    </w:tbl>
    <w:p w14:paraId="08BB2C37" w14:textId="473DC14A"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016C4BDE" w14:textId="77777777">
        <w:trPr>
          <w:trHeight w:val="765"/>
          <w:tblHeader/>
        </w:trPr>
        <w:tc>
          <w:tcPr>
            <w:tcW w:w="366" w:type="pct"/>
            <w:tcBorders>
              <w:bottom w:val="nil"/>
            </w:tcBorders>
            <w:tcMar>
              <w:bottom w:w="0" w:type="dxa"/>
            </w:tcMar>
            <w:vAlign w:val="center"/>
          </w:tcPr>
          <w:p w14:paraId="0F9BFB19" w14:textId="77777777" w:rsidR="00835042" w:rsidRPr="00404FAD" w:rsidRDefault="00835042">
            <w:pPr>
              <w:pStyle w:val="NoSpacing"/>
              <w:keepNext/>
              <w:keepLines/>
              <w:jc w:val="right"/>
            </w:pPr>
            <w:r w:rsidRPr="00404FAD">
              <w:rPr>
                <w:noProof/>
              </w:rPr>
              <w:drawing>
                <wp:inline distT="0" distB="0" distL="0" distR="0" wp14:anchorId="1503FD43" wp14:editId="5517AB03">
                  <wp:extent cx="288000" cy="288000"/>
                  <wp:effectExtent l="0" t="0" r="0" b="0"/>
                  <wp:docPr id="610545342"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6DFC9BA3" w14:textId="77777777" w:rsidR="00835042" w:rsidRPr="00404FAD" w:rsidRDefault="00835042" w:rsidP="00B73F77">
            <w:pPr>
              <w:pStyle w:val="FindingRecRequesttitle"/>
            </w:pPr>
            <w:r w:rsidRPr="00404FAD">
              <w:t>Finding 6.2</w:t>
            </w:r>
          </w:p>
          <w:p w14:paraId="0EEBA6D7" w14:textId="77777777" w:rsidR="00835042" w:rsidRPr="00404FAD" w:rsidRDefault="00835042" w:rsidP="00B73F77">
            <w:pPr>
              <w:pStyle w:val="FindingRecRequesttitle"/>
            </w:pPr>
            <w:r w:rsidRPr="00404FAD">
              <w:rPr>
                <w:szCs w:val="22"/>
              </w:rPr>
              <w:t xml:space="preserve">There may be benefits from licence mass concessions for electric vehicles </w:t>
            </w:r>
          </w:p>
        </w:tc>
      </w:tr>
      <w:tr w:rsidR="00835042" w:rsidRPr="00404FAD" w14:paraId="5498B12F" w14:textId="77777777">
        <w:tc>
          <w:tcPr>
            <w:tcW w:w="5000" w:type="pct"/>
            <w:gridSpan w:val="2"/>
            <w:tcBorders>
              <w:top w:val="nil"/>
              <w:bottom w:val="single" w:sz="4" w:space="0" w:color="2B9AC2" w:themeColor="text2"/>
            </w:tcBorders>
          </w:tcPr>
          <w:p w14:paraId="32A73B3F" w14:textId="77777777" w:rsidR="00835042" w:rsidRPr="00404FAD" w:rsidRDefault="00835042">
            <w:pPr>
              <w:pStyle w:val="BodyText"/>
              <w:keepLines/>
            </w:pPr>
            <w:r w:rsidRPr="00404FAD">
              <w:t xml:space="preserve">Other countries, such as New Zealand and the United Kingdom, have adopted licence mass concessions for electric vehicles. A mass concession would bring environmental benefits but could have safety implications. Were governments to introduce a mass concession, the most promising design would target the C class licence, be based on reasonable payload penalties, and mandate safety features for eligible vehicles. Safety effects could be better understood via evaluations and continued monitoring of developments abroad. </w:t>
            </w:r>
          </w:p>
        </w:tc>
      </w:tr>
      <w:tr w:rsidR="00835042" w:rsidRPr="00404FAD" w14:paraId="1D00C67E" w14:textId="77777777">
        <w:tc>
          <w:tcPr>
            <w:tcW w:w="5000" w:type="pct"/>
            <w:gridSpan w:val="2"/>
            <w:tcBorders>
              <w:top w:val="single" w:sz="4" w:space="0" w:color="2B9AC2" w:themeColor="text2"/>
              <w:left w:val="nil"/>
              <w:bottom w:val="nil"/>
              <w:right w:val="nil"/>
            </w:tcBorders>
            <w:tcMar>
              <w:bottom w:w="0" w:type="dxa"/>
            </w:tcMar>
          </w:tcPr>
          <w:p w14:paraId="00D2407E" w14:textId="2E65F9D5" w:rsidR="00835042" w:rsidRPr="00404FAD" w:rsidRDefault="00835042">
            <w:pPr>
              <w:pStyle w:val="NoSpacing"/>
              <w:spacing w:line="200" w:lineRule="atLeast"/>
            </w:pPr>
          </w:p>
        </w:tc>
      </w:tr>
    </w:tbl>
    <w:p w14:paraId="0C895971" w14:textId="77777777" w:rsidR="00835042" w:rsidRPr="00404FAD" w:rsidRDefault="00835042" w:rsidP="00312FB0">
      <w:pPr>
        <w:spacing w:before="0" w:after="160" w:line="259" w:lineRule="auto"/>
        <w:rPr>
          <w:bCs/>
        </w:rPr>
      </w:pPr>
    </w:p>
    <w:sectPr w:rsidR="00835042" w:rsidRPr="00404FAD" w:rsidSect="00517CA9">
      <w:type w:val="oddPage"/>
      <w:pgSz w:w="11906" w:h="16838" w:code="9"/>
      <w:pgMar w:top="1134" w:right="1134" w:bottom="1134" w:left="1134"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3029" w14:textId="77777777" w:rsidR="00CE7BB5" w:rsidRPr="00404FAD" w:rsidRDefault="00CE7BB5" w:rsidP="008017BC">
      <w:r w:rsidRPr="00404FAD">
        <w:separator/>
      </w:r>
    </w:p>
    <w:p w14:paraId="5CD86E22" w14:textId="77777777" w:rsidR="00CE7BB5" w:rsidRPr="00404FAD" w:rsidRDefault="00CE7BB5"/>
  </w:endnote>
  <w:endnote w:type="continuationSeparator" w:id="0">
    <w:p w14:paraId="5D94FB5B" w14:textId="77777777" w:rsidR="00CE7BB5" w:rsidRPr="00404FAD" w:rsidRDefault="00CE7BB5" w:rsidP="008017BC">
      <w:r w:rsidRPr="00404FAD">
        <w:continuationSeparator/>
      </w:r>
    </w:p>
    <w:p w14:paraId="377BC3BA" w14:textId="77777777" w:rsidR="00CE7BB5" w:rsidRPr="00404FAD" w:rsidRDefault="00CE7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9F96" w14:textId="77777777" w:rsidR="00F04EA7" w:rsidRPr="00404FAD" w:rsidRDefault="00F04EA7" w:rsidP="00B66654">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B395" w14:textId="77777777" w:rsidR="00C31E23" w:rsidRPr="00404FAD" w:rsidRDefault="00C31E23" w:rsidP="00B66654">
    <w:pPr>
      <w:pStyle w:val="Footer-right"/>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6D5A" w14:textId="77777777" w:rsidR="00F04EA7" w:rsidRPr="00404FAD" w:rsidRDefault="00C31E23">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1F25" w14:textId="77777777" w:rsidR="00F83623" w:rsidRPr="00404FAD" w:rsidRDefault="00F83623" w:rsidP="004544D6">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Content>
      <w:sdt>
        <w:sdtPr>
          <w:id w:val="372884374"/>
          <w:docPartObj>
            <w:docPartGallery w:val="Page Numbers (Top of Page)"/>
            <w:docPartUnique/>
          </w:docPartObj>
        </w:sdtPr>
        <w:sdtContent>
          <w:p w14:paraId="538D237F" w14:textId="77777777" w:rsidR="00F83623" w:rsidRPr="00404FAD" w:rsidRDefault="00F83623" w:rsidP="004544D6">
            <w:pPr>
              <w:pStyle w:val="Footer-right"/>
            </w:pPr>
            <w:r w:rsidRPr="00404FAD">
              <w:fldChar w:fldCharType="begin"/>
            </w:r>
            <w:r w:rsidRPr="00404FAD">
              <w:instrText xml:space="preserve"> PAGE </w:instrText>
            </w:r>
            <w:r w:rsidRPr="00404FAD">
              <w:fldChar w:fldCharType="separate"/>
            </w:r>
            <w:r w:rsidRPr="00404FAD">
              <w:t>1</w:t>
            </w:r>
            <w:r w:rsidRPr="00404FAD">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3EAE" w14:textId="77777777" w:rsidR="00796953" w:rsidRPr="00404FAD" w:rsidRDefault="00796953" w:rsidP="002E3F19">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256002"/>
      <w:docPartObj>
        <w:docPartGallery w:val="Page Numbers (Bottom of Page)"/>
        <w:docPartUnique/>
      </w:docPartObj>
    </w:sdtPr>
    <w:sdtContent>
      <w:sdt>
        <w:sdtPr>
          <w:id w:val="-293520210"/>
          <w:docPartObj>
            <w:docPartGallery w:val="Page Numbers (Top of Page)"/>
            <w:docPartUnique/>
          </w:docPartObj>
        </w:sdtPr>
        <w:sdtContent>
          <w:p w14:paraId="2147D328" w14:textId="77777777" w:rsidR="00796953" w:rsidRPr="00404FAD" w:rsidRDefault="00796953" w:rsidP="002E3F19">
            <w:pPr>
              <w:pStyle w:val="Footer-right"/>
            </w:pPr>
            <w:r w:rsidRPr="00404FAD">
              <w:rPr>
                <w:sz w:val="24"/>
              </w:rPr>
              <w:fldChar w:fldCharType="begin"/>
            </w:r>
            <w:r w:rsidRPr="00404FAD">
              <w:instrText xml:space="preserve"> PAGE </w:instrText>
            </w:r>
            <w:r w:rsidRPr="00404FAD">
              <w:rPr>
                <w:sz w:val="24"/>
              </w:rPr>
              <w:fldChar w:fldCharType="separate"/>
            </w:r>
            <w:r w:rsidRPr="00404FAD">
              <w:t>1</w:t>
            </w:r>
            <w:r w:rsidRPr="00404FAD">
              <w:rPr>
                <w:sz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687650"/>
      <w:docPartObj>
        <w:docPartGallery w:val="Page Numbers (Bottom of Page)"/>
        <w:docPartUnique/>
      </w:docPartObj>
    </w:sdtPr>
    <w:sdtContent>
      <w:sdt>
        <w:sdtPr>
          <w:id w:val="-48314337"/>
          <w:docPartObj>
            <w:docPartGallery w:val="Page Numbers (Top of Page)"/>
            <w:docPartUnique/>
          </w:docPartObj>
        </w:sdtPr>
        <w:sdtContent>
          <w:p w14:paraId="3BEB98AF" w14:textId="77777777" w:rsidR="00835042" w:rsidRPr="00404FAD" w:rsidRDefault="00835042" w:rsidP="002E3F19">
            <w:pPr>
              <w:pStyle w:val="Footer-right"/>
            </w:pPr>
            <w:r w:rsidRPr="00404FAD">
              <w:rPr>
                <w:sz w:val="24"/>
              </w:rPr>
              <w:fldChar w:fldCharType="begin"/>
            </w:r>
            <w:r w:rsidRPr="00404FAD">
              <w:instrText xml:space="preserve"> PAGE </w:instrText>
            </w:r>
            <w:r w:rsidRPr="00404FAD">
              <w:rPr>
                <w:sz w:val="24"/>
              </w:rPr>
              <w:fldChar w:fldCharType="separate"/>
            </w:r>
            <w:r w:rsidRPr="00404FAD">
              <w:t>1</w:t>
            </w:r>
            <w:r w:rsidRPr="00404FAD">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992E" w14:textId="77777777" w:rsidR="00CE7BB5" w:rsidRPr="00404FAD" w:rsidRDefault="00CE7BB5" w:rsidP="00273E86">
      <w:pPr>
        <w:spacing w:after="0" w:line="240" w:lineRule="auto"/>
        <w:rPr>
          <w:rStyle w:val="ColourDarkBlue"/>
        </w:rPr>
      </w:pPr>
      <w:r w:rsidRPr="00404FAD">
        <w:rPr>
          <w:rStyle w:val="ColourDarkBlue"/>
        </w:rPr>
        <w:continuationSeparator/>
      </w:r>
    </w:p>
  </w:footnote>
  <w:footnote w:type="continuationSeparator" w:id="0">
    <w:p w14:paraId="7C4EA4C1" w14:textId="77777777" w:rsidR="00CE7BB5" w:rsidRPr="00404FAD" w:rsidRDefault="00CE7BB5" w:rsidP="001D7D9B">
      <w:pPr>
        <w:spacing w:after="0" w:line="240" w:lineRule="auto"/>
        <w:rPr>
          <w:color w:val="265A9A" w:themeColor="background2"/>
        </w:rPr>
      </w:pPr>
      <w:r w:rsidRPr="00404FAD">
        <w:rPr>
          <w:rStyle w:val="ColourDarkBlue"/>
        </w:rPr>
        <w:continuationSeparator/>
      </w:r>
    </w:p>
  </w:footnote>
  <w:footnote w:type="continuationNotice" w:id="1">
    <w:p w14:paraId="373FB466" w14:textId="77777777" w:rsidR="00CE7BB5" w:rsidRPr="00404FAD" w:rsidRDefault="00CE7B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465C" w14:textId="6BD4B21A" w:rsidR="00F04EA7" w:rsidRPr="00404FAD" w:rsidRDefault="00FA3F17" w:rsidP="007215EF">
    <w:r w:rsidRPr="00404FAD">
      <w:rPr>
        <w:noProof/>
      </w:rPr>
      <w:drawing>
        <wp:anchor distT="0" distB="0" distL="114300" distR="114300" simplePos="0" relativeHeight="251658240" behindDoc="0" locked="0" layoutInCell="1" allowOverlap="1" wp14:anchorId="17951D6E" wp14:editId="5311FF47">
          <wp:simplePos x="0" y="0"/>
          <wp:positionH relativeFrom="page">
            <wp:align>left</wp:align>
          </wp:positionH>
          <wp:positionV relativeFrom="paragraph">
            <wp:posOffset>-396331</wp:posOffset>
          </wp:positionV>
          <wp:extent cx="7558405" cy="10688320"/>
          <wp:effectExtent l="0" t="0" r="4445" b="0"/>
          <wp:wrapNone/>
          <wp:docPr id="384668695" name="Picture 13" descr="Australian Government | Productivity Commission logo: Study report cover for Impacts of Heavy vehicle reform with trucks and road trai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68695" name="Picture 13" descr="Australian Government | Productivity Commission logo: Study report cover for Impacts of Heavy vehicle reform with trucks and road train images"/>
                  <pic:cNvPicPr/>
                </pic:nvPicPr>
                <pic:blipFill>
                  <a:blip r:embed="rId1">
                    <a:extLst>
                      <a:ext uri="{28A0092B-C50C-407E-A947-70E740481C1C}">
                        <a14:useLocalDpi xmlns:a14="http://schemas.microsoft.com/office/drawing/2010/main" val="0"/>
                      </a:ext>
                    </a:extLst>
                  </a:blip>
                  <a:stretch>
                    <a:fillRect/>
                  </a:stretch>
                </pic:blipFill>
                <pic:spPr>
                  <a:xfrm>
                    <a:off x="0" y="0"/>
                    <a:ext cx="7558484" cy="10688654"/>
                  </a:xfrm>
                  <a:prstGeom prst="rect">
                    <a:avLst/>
                  </a:prstGeom>
                </pic:spPr>
              </pic:pic>
            </a:graphicData>
          </a:graphic>
          <wp14:sizeRelH relativeFrom="page">
            <wp14:pctWidth>0</wp14:pctWidth>
          </wp14:sizeRelH>
          <wp14:sizeRelV relativeFrom="page">
            <wp14:pctHeight>0</wp14:pctHeight>
          </wp14:sizeRelV>
        </wp:anchor>
      </w:drawing>
    </w:r>
  </w:p>
  <w:p w14:paraId="0A5A232C" w14:textId="77777777" w:rsidR="00F04EA7" w:rsidRPr="00404FAD" w:rsidRDefault="00F04EA7" w:rsidP="005965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6317" w14:textId="45CA1433" w:rsidR="00835042" w:rsidRPr="00404FAD" w:rsidRDefault="008350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4216" w14:textId="70CE4AD8" w:rsidR="00F83623" w:rsidRPr="00404FAD" w:rsidRDefault="0031055F" w:rsidP="004544D6">
    <w:pPr>
      <w:pStyle w:val="Header-Keyline"/>
      <w:rPr>
        <w:rStyle w:val="Strong"/>
        <w:b w:val="0"/>
        <w:bCs w:val="0"/>
      </w:rPr>
    </w:pPr>
    <w:r w:rsidRPr="00404FAD">
      <w:rPr>
        <w:rStyle w:val="Strong"/>
      </w:rPr>
      <w:t>Impacts of heavy vehicle reform</w:t>
    </w:r>
    <w:r w:rsidR="00F83623" w:rsidRPr="00404FAD">
      <w:t xml:space="preserve"> </w:t>
    </w:r>
    <w:r w:rsidR="001E4E27" w:rsidRPr="00404FAD">
      <w:t xml:space="preserve">Study </w:t>
    </w:r>
    <w:r w:rsidR="00F83623" w:rsidRPr="00404FAD">
      <w:t>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16CF" w14:textId="3EAD26F4" w:rsidR="00F83623" w:rsidRPr="00404FAD" w:rsidRDefault="00EF5C87" w:rsidP="004544D6">
    <w:pPr>
      <w:pStyle w:val="Header-KeylineRight"/>
    </w:pPr>
    <w:fldSimple w:instr=" STYLEREF  &quot;Heading 1-no background&quot;  \* MERGEFORMAT ">
      <w:r w:rsidR="00785C6D">
        <w:rPr>
          <w:noProof/>
        </w:rPr>
        <w:t>Copyright and publications details</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33E1" w14:textId="0C356F6A" w:rsidR="00F83623" w:rsidRPr="00404FAD" w:rsidRDefault="00F836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4C9E" w14:textId="39A49884" w:rsidR="00796953" w:rsidRPr="00404FAD" w:rsidRDefault="00796953" w:rsidP="00273C8A">
    <w:pPr>
      <w:pStyle w:val="Header-Keyline"/>
    </w:pPr>
    <w:r w:rsidRPr="00404FAD">
      <w:rPr>
        <w:rStyle w:val="Strong"/>
      </w:rPr>
      <w:t>Impact</w:t>
    </w:r>
    <w:r w:rsidR="00D91EDB" w:rsidRPr="00404FAD">
      <w:rPr>
        <w:rStyle w:val="Strong"/>
      </w:rPr>
      <w:t>s</w:t>
    </w:r>
    <w:r w:rsidRPr="00404FAD">
      <w:rPr>
        <w:rStyle w:val="Strong"/>
      </w:rPr>
      <w:t xml:space="preserve"> of </w:t>
    </w:r>
    <w:r w:rsidR="000430D6" w:rsidRPr="00404FAD">
      <w:rPr>
        <w:rStyle w:val="Strong"/>
      </w:rPr>
      <w:t>h</w:t>
    </w:r>
    <w:r w:rsidRPr="00404FAD">
      <w:rPr>
        <w:rStyle w:val="Strong"/>
      </w:rPr>
      <w:t xml:space="preserve">eavy </w:t>
    </w:r>
    <w:r w:rsidR="000430D6" w:rsidRPr="00404FAD">
      <w:rPr>
        <w:rStyle w:val="Strong"/>
      </w:rPr>
      <w:t>v</w:t>
    </w:r>
    <w:r w:rsidRPr="00404FAD">
      <w:rPr>
        <w:rStyle w:val="Strong"/>
      </w:rPr>
      <w:t xml:space="preserve">ehicle reform </w:t>
    </w:r>
    <w:r w:rsidR="00312FB0" w:rsidRPr="00404FAD">
      <w:rPr>
        <w:rStyle w:val="Strong"/>
        <w:b w:val="0"/>
        <w:bCs w:val="0"/>
      </w:rPr>
      <w:t>Study</w:t>
    </w:r>
    <w:r w:rsidR="000430D6" w:rsidRPr="00404FAD">
      <w:rPr>
        <w:rStyle w:val="Strong"/>
        <w:b w:val="0"/>
        <w:bCs w:val="0"/>
      </w:rPr>
      <w:t xml:space="preserve"> report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466A" w14:textId="164CC551" w:rsidR="00796953" w:rsidRPr="00404FAD" w:rsidRDefault="00A60945" w:rsidP="00273C8A">
    <w:pPr>
      <w:pStyle w:val="Header-KeylineRight"/>
    </w:pPr>
    <w:fldSimple w:instr=" STYLEREF  &quot;Heading 1-no background&quot;  \* MERGEFORMAT ">
      <w:r w:rsidR="00517CA9">
        <w:rPr>
          <w:noProof/>
        </w:rPr>
        <w:t>Contents</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1912" w14:textId="5F7F2BE6" w:rsidR="00796953" w:rsidRPr="00404FAD" w:rsidRDefault="007969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2BB3" w14:textId="5DE7FB53" w:rsidR="00835042" w:rsidRPr="00404FAD" w:rsidRDefault="00835042" w:rsidP="00273C8A">
    <w:pPr>
      <w:pStyle w:val="Header-Keyline"/>
    </w:pPr>
    <w:r w:rsidRPr="00404FAD">
      <w:rPr>
        <w:rStyle w:val="Strong"/>
      </w:rPr>
      <w:t>Impacts of heavy vehicle reform</w:t>
    </w:r>
    <w:r w:rsidRPr="00404FAD">
      <w:rPr>
        <w:rStyle w:val="Strong"/>
        <w:b w:val="0"/>
        <w:bCs w:val="0"/>
      </w:rPr>
      <w:t xml:space="preserve"> </w:t>
    </w:r>
    <w:r w:rsidR="00E3622C" w:rsidRPr="00404FAD">
      <w:rPr>
        <w:rStyle w:val="Strong"/>
        <w:b w:val="0"/>
        <w:bCs w:val="0"/>
      </w:rPr>
      <w:t>Study</w:t>
    </w:r>
    <w:r w:rsidRPr="00404FAD">
      <w:rPr>
        <w:rStyle w:val="Strong"/>
        <w:b w:val="0"/>
        <w:bCs w:val="0"/>
      </w:rPr>
      <w:t xml:space="preserve"> report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4C11" w14:textId="64BB94DC" w:rsidR="00835042" w:rsidRPr="00404FAD" w:rsidRDefault="00A60945" w:rsidP="00273C8A">
    <w:pPr>
      <w:pStyle w:val="Header-KeylineRight"/>
    </w:pPr>
    <w:fldSimple w:instr=" STYLEREF  &quot;Heading 1-Section-full page&quot;  \* MERGEFORMAT ">
      <w:r w:rsidR="00517CA9">
        <w:rPr>
          <w:noProof/>
        </w:rPr>
        <w:t>Overview</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90AE0D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3E6C9D"/>
    <w:multiLevelType w:val="hybridMultilevel"/>
    <w:tmpl w:val="6464C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8" w15:restartNumberingAfterBreak="0">
    <w:nsid w:val="15B334E4"/>
    <w:multiLevelType w:val="multilevel"/>
    <w:tmpl w:val="00EA5268"/>
    <w:name w:val="StandardNumberedList"/>
    <w:lvl w:ilvl="0">
      <w:start w:val="1"/>
      <w:numFmt w:val="decimal"/>
      <w:pStyle w:val="OutlineNumbered1"/>
      <w:lvlText w:val="%1."/>
      <w:lvlJc w:val="left"/>
      <w:pPr>
        <w:tabs>
          <w:tab w:val="num" w:pos="1287"/>
        </w:tabs>
        <w:ind w:left="1287" w:hanging="567"/>
      </w:pPr>
    </w:lvl>
    <w:lvl w:ilvl="1">
      <w:start w:val="1"/>
      <w:numFmt w:val="decimal"/>
      <w:pStyle w:val="OutlineNumbered2"/>
      <w:lvlText w:val="%1.%2."/>
      <w:lvlJc w:val="left"/>
      <w:pPr>
        <w:tabs>
          <w:tab w:val="num" w:pos="1854"/>
        </w:tabs>
        <w:ind w:left="1854" w:hanging="567"/>
      </w:pPr>
    </w:lvl>
    <w:lvl w:ilvl="2">
      <w:start w:val="1"/>
      <w:numFmt w:val="decimal"/>
      <w:pStyle w:val="OutlineNumbered3"/>
      <w:lvlText w:val="%1.%2.%3."/>
      <w:lvlJc w:val="left"/>
      <w:pPr>
        <w:tabs>
          <w:tab w:val="num" w:pos="2421"/>
        </w:tabs>
        <w:ind w:left="2421" w:hanging="567"/>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10"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D240012"/>
    <w:multiLevelType w:val="hybridMultilevel"/>
    <w:tmpl w:val="6464C66C"/>
    <w:styleLink w:val="Style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665246"/>
    <w:multiLevelType w:val="multilevel"/>
    <w:tmpl w:val="55366B42"/>
    <w:numStyleLink w:val="LetteredList"/>
  </w:abstractNum>
  <w:abstractNum w:abstractNumId="14" w15:restartNumberingAfterBreak="0">
    <w:nsid w:val="2DFE29AF"/>
    <w:multiLevelType w:val="multilevel"/>
    <w:tmpl w:val="72768BCE"/>
    <w:numStyleLink w:val="AppendixHeadingList"/>
  </w:abstractNum>
  <w:abstractNum w:abstractNumId="15"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AD55DF"/>
    <w:multiLevelType w:val="hybridMultilevel"/>
    <w:tmpl w:val="24D2D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81427C"/>
    <w:multiLevelType w:val="hybridMultilevel"/>
    <w:tmpl w:val="BB985F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21" w15:restartNumberingAfterBreak="0">
    <w:nsid w:val="67EB6AB0"/>
    <w:multiLevelType w:val="multilevel"/>
    <w:tmpl w:val="FF8069A4"/>
    <w:numStyleLink w:val="Bullets"/>
  </w:abstractNum>
  <w:abstractNum w:abstractNumId="22" w15:restartNumberingAfterBreak="0">
    <w:nsid w:val="6DF51F03"/>
    <w:multiLevelType w:val="multilevel"/>
    <w:tmpl w:val="A11C394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61B4A1B"/>
    <w:multiLevelType w:val="multilevel"/>
    <w:tmpl w:val="4F48000A"/>
    <w:numStyleLink w:val="Alphalist"/>
  </w:abstractNum>
  <w:num w:numId="1" w16cid:durableId="74983605">
    <w:abstractNumId w:val="5"/>
  </w:num>
  <w:num w:numId="2" w16cid:durableId="499471591">
    <w:abstractNumId w:val="1"/>
  </w:num>
  <w:num w:numId="3" w16cid:durableId="1278559019">
    <w:abstractNumId w:val="8"/>
  </w:num>
  <w:num w:numId="4" w16cid:durableId="412551906">
    <w:abstractNumId w:val="5"/>
  </w:num>
  <w:num w:numId="5" w16cid:durableId="1942104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4125807">
    <w:abstractNumId w:val="12"/>
  </w:num>
  <w:num w:numId="7" w16cid:durableId="92002292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8074090">
    <w:abstractNumId w:val="7"/>
  </w:num>
  <w:num w:numId="9" w16cid:durableId="62146665">
    <w:abstractNumId w:val="3"/>
  </w:num>
  <w:num w:numId="10" w16cid:durableId="906578065">
    <w:abstractNumId w:val="11"/>
  </w:num>
  <w:num w:numId="11" w16cid:durableId="476067546">
    <w:abstractNumId w:val="19"/>
  </w:num>
  <w:num w:numId="12" w16cid:durableId="2001689156">
    <w:abstractNumId w:val="20"/>
  </w:num>
  <w:num w:numId="13" w16cid:durableId="659161410">
    <w:abstractNumId w:val="17"/>
  </w:num>
  <w:num w:numId="14" w16cid:durableId="863516313">
    <w:abstractNumId w:val="14"/>
  </w:num>
  <w:num w:numId="15" w16cid:durableId="977538014">
    <w:abstractNumId w:val="9"/>
  </w:num>
  <w:num w:numId="16" w16cid:durableId="862208870">
    <w:abstractNumId w:val="13"/>
  </w:num>
  <w:num w:numId="17" w16cid:durableId="888345600">
    <w:abstractNumId w:val="23"/>
  </w:num>
  <w:num w:numId="18" w16cid:durableId="1436248390">
    <w:abstractNumId w:val="0"/>
  </w:num>
  <w:num w:numId="19" w16cid:durableId="2009822772">
    <w:abstractNumId w:val="4"/>
  </w:num>
  <w:num w:numId="20" w16cid:durableId="1334182214">
    <w:abstractNumId w:val="10"/>
  </w:num>
  <w:num w:numId="21" w16cid:durableId="2034720605">
    <w:abstractNumId w:val="6"/>
  </w:num>
  <w:num w:numId="22" w16cid:durableId="831987279">
    <w:abstractNumId w:val="21"/>
  </w:num>
  <w:num w:numId="23" w16cid:durableId="35546699">
    <w:abstractNumId w:val="2"/>
  </w:num>
  <w:num w:numId="24" w16cid:durableId="706100663">
    <w:abstractNumId w:val="15"/>
  </w:num>
  <w:num w:numId="25" w16cid:durableId="4673334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305214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378352">
    <w:abstractNumId w:val="16"/>
  </w:num>
  <w:num w:numId="28" w16cid:durableId="412899011">
    <w:abstractNumId w:val="18"/>
  </w:num>
  <w:num w:numId="29" w16cid:durableId="598224540">
    <w:abstractNumId w:val="20"/>
  </w:num>
  <w:num w:numId="30" w16cid:durableId="381288806">
    <w:abstractNumId w:val="20"/>
  </w:num>
  <w:num w:numId="31" w16cid:durableId="1842430078">
    <w:abstractNumId w:val="21"/>
  </w:num>
  <w:num w:numId="32" w16cid:durableId="9376673">
    <w:abstractNumId w:val="21"/>
  </w:num>
  <w:num w:numId="33" w16cid:durableId="1996448903">
    <w:abstractNumId w:val="21"/>
  </w:num>
  <w:num w:numId="34" w16cid:durableId="559095920">
    <w:abstractNumId w:val="21"/>
  </w:num>
  <w:num w:numId="35" w16cid:durableId="1379403730">
    <w:abstractNumId w:val="21"/>
  </w:num>
  <w:num w:numId="36" w16cid:durableId="1605728194">
    <w:abstractNumId w:val="21"/>
  </w:num>
  <w:num w:numId="37" w16cid:durableId="557673386">
    <w:abstractNumId w:val="21"/>
  </w:num>
  <w:num w:numId="38" w16cid:durableId="8535680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87"/>
    <w:rsid w:val="00000075"/>
    <w:rsid w:val="00000520"/>
    <w:rsid w:val="00000D66"/>
    <w:rsid w:val="00000F3C"/>
    <w:rsid w:val="0000159B"/>
    <w:rsid w:val="000018D4"/>
    <w:rsid w:val="00001B4E"/>
    <w:rsid w:val="00002015"/>
    <w:rsid w:val="0000230F"/>
    <w:rsid w:val="000027A3"/>
    <w:rsid w:val="00004489"/>
    <w:rsid w:val="0000543F"/>
    <w:rsid w:val="00005731"/>
    <w:rsid w:val="00005C79"/>
    <w:rsid w:val="000063D7"/>
    <w:rsid w:val="0000647B"/>
    <w:rsid w:val="00006DF2"/>
    <w:rsid w:val="000078FB"/>
    <w:rsid w:val="0001036A"/>
    <w:rsid w:val="0001045D"/>
    <w:rsid w:val="0001385D"/>
    <w:rsid w:val="000143E2"/>
    <w:rsid w:val="00014D18"/>
    <w:rsid w:val="00015043"/>
    <w:rsid w:val="000150CA"/>
    <w:rsid w:val="00015134"/>
    <w:rsid w:val="00015339"/>
    <w:rsid w:val="00015E6E"/>
    <w:rsid w:val="00015FF1"/>
    <w:rsid w:val="00016B79"/>
    <w:rsid w:val="000173E0"/>
    <w:rsid w:val="000179A1"/>
    <w:rsid w:val="00017C2C"/>
    <w:rsid w:val="00020B3D"/>
    <w:rsid w:val="00020BA0"/>
    <w:rsid w:val="0002276B"/>
    <w:rsid w:val="00022CCB"/>
    <w:rsid w:val="00022FAE"/>
    <w:rsid w:val="00022FF2"/>
    <w:rsid w:val="00023547"/>
    <w:rsid w:val="00024AC0"/>
    <w:rsid w:val="00024CDC"/>
    <w:rsid w:val="0002648E"/>
    <w:rsid w:val="00026519"/>
    <w:rsid w:val="00026758"/>
    <w:rsid w:val="0002692A"/>
    <w:rsid w:val="00026C04"/>
    <w:rsid w:val="000276B4"/>
    <w:rsid w:val="00030025"/>
    <w:rsid w:val="000300AF"/>
    <w:rsid w:val="000302EF"/>
    <w:rsid w:val="00032999"/>
    <w:rsid w:val="00032D7D"/>
    <w:rsid w:val="00032E4F"/>
    <w:rsid w:val="00032EC0"/>
    <w:rsid w:val="000331E4"/>
    <w:rsid w:val="0003338D"/>
    <w:rsid w:val="00033619"/>
    <w:rsid w:val="00033BBA"/>
    <w:rsid w:val="00033F74"/>
    <w:rsid w:val="0003433A"/>
    <w:rsid w:val="0003435C"/>
    <w:rsid w:val="00034CEC"/>
    <w:rsid w:val="00035300"/>
    <w:rsid w:val="00035ECB"/>
    <w:rsid w:val="00036E70"/>
    <w:rsid w:val="00037072"/>
    <w:rsid w:val="000377CC"/>
    <w:rsid w:val="00040604"/>
    <w:rsid w:val="00041A11"/>
    <w:rsid w:val="000430D6"/>
    <w:rsid w:val="00043979"/>
    <w:rsid w:val="0004399C"/>
    <w:rsid w:val="00043F24"/>
    <w:rsid w:val="00045822"/>
    <w:rsid w:val="000475B7"/>
    <w:rsid w:val="00047894"/>
    <w:rsid w:val="00051093"/>
    <w:rsid w:val="000513EB"/>
    <w:rsid w:val="0005151B"/>
    <w:rsid w:val="0005293E"/>
    <w:rsid w:val="00052CD2"/>
    <w:rsid w:val="00053DCF"/>
    <w:rsid w:val="00054A9D"/>
    <w:rsid w:val="00054C95"/>
    <w:rsid w:val="000555C1"/>
    <w:rsid w:val="000556CC"/>
    <w:rsid w:val="00055F5D"/>
    <w:rsid w:val="000561CF"/>
    <w:rsid w:val="00056201"/>
    <w:rsid w:val="00056ADE"/>
    <w:rsid w:val="00056F30"/>
    <w:rsid w:val="0005774F"/>
    <w:rsid w:val="000609D2"/>
    <w:rsid w:val="0006178D"/>
    <w:rsid w:val="00061979"/>
    <w:rsid w:val="000624B0"/>
    <w:rsid w:val="000624DF"/>
    <w:rsid w:val="000626F4"/>
    <w:rsid w:val="00062A44"/>
    <w:rsid w:val="00063A34"/>
    <w:rsid w:val="00063D0D"/>
    <w:rsid w:val="00063EEF"/>
    <w:rsid w:val="00065A79"/>
    <w:rsid w:val="00065FD7"/>
    <w:rsid w:val="000675AB"/>
    <w:rsid w:val="0006762D"/>
    <w:rsid w:val="00071108"/>
    <w:rsid w:val="000712B0"/>
    <w:rsid w:val="0007136B"/>
    <w:rsid w:val="000718CC"/>
    <w:rsid w:val="00071FAC"/>
    <w:rsid w:val="00072247"/>
    <w:rsid w:val="000724AE"/>
    <w:rsid w:val="000731F3"/>
    <w:rsid w:val="0007332E"/>
    <w:rsid w:val="00074490"/>
    <w:rsid w:val="00075488"/>
    <w:rsid w:val="000762E7"/>
    <w:rsid w:val="00076312"/>
    <w:rsid w:val="000764B4"/>
    <w:rsid w:val="000766EA"/>
    <w:rsid w:val="000767E0"/>
    <w:rsid w:val="0007771A"/>
    <w:rsid w:val="0007776A"/>
    <w:rsid w:val="00077A76"/>
    <w:rsid w:val="0008037D"/>
    <w:rsid w:val="00080654"/>
    <w:rsid w:val="000809B0"/>
    <w:rsid w:val="00081285"/>
    <w:rsid w:val="00082057"/>
    <w:rsid w:val="00083543"/>
    <w:rsid w:val="000836E1"/>
    <w:rsid w:val="00083EC9"/>
    <w:rsid w:val="00084660"/>
    <w:rsid w:val="000847AF"/>
    <w:rsid w:val="0008484E"/>
    <w:rsid w:val="00085FB9"/>
    <w:rsid w:val="0008631B"/>
    <w:rsid w:val="00086A36"/>
    <w:rsid w:val="00087389"/>
    <w:rsid w:val="00090222"/>
    <w:rsid w:val="0009028A"/>
    <w:rsid w:val="0009051A"/>
    <w:rsid w:val="000907C0"/>
    <w:rsid w:val="00090D25"/>
    <w:rsid w:val="00090E48"/>
    <w:rsid w:val="00091286"/>
    <w:rsid w:val="00091E60"/>
    <w:rsid w:val="00093088"/>
    <w:rsid w:val="00093C09"/>
    <w:rsid w:val="00094D59"/>
    <w:rsid w:val="00094FCA"/>
    <w:rsid w:val="00095A05"/>
    <w:rsid w:val="00095A52"/>
    <w:rsid w:val="00095CE8"/>
    <w:rsid w:val="00096087"/>
    <w:rsid w:val="0009613D"/>
    <w:rsid w:val="0009657C"/>
    <w:rsid w:val="000966E6"/>
    <w:rsid w:val="00096733"/>
    <w:rsid w:val="000969E7"/>
    <w:rsid w:val="0009785E"/>
    <w:rsid w:val="00097D7C"/>
    <w:rsid w:val="000A00E8"/>
    <w:rsid w:val="000A0467"/>
    <w:rsid w:val="000A0F08"/>
    <w:rsid w:val="000A1FA6"/>
    <w:rsid w:val="000A2142"/>
    <w:rsid w:val="000A25F3"/>
    <w:rsid w:val="000A26FB"/>
    <w:rsid w:val="000A38AA"/>
    <w:rsid w:val="000A3B06"/>
    <w:rsid w:val="000A4F44"/>
    <w:rsid w:val="000A5C1C"/>
    <w:rsid w:val="000A611A"/>
    <w:rsid w:val="000B08D4"/>
    <w:rsid w:val="000B0CA5"/>
    <w:rsid w:val="000B1691"/>
    <w:rsid w:val="000B18E4"/>
    <w:rsid w:val="000B31B3"/>
    <w:rsid w:val="000B37F4"/>
    <w:rsid w:val="000B3E48"/>
    <w:rsid w:val="000B4517"/>
    <w:rsid w:val="000B45AE"/>
    <w:rsid w:val="000B4916"/>
    <w:rsid w:val="000B497F"/>
    <w:rsid w:val="000B4A72"/>
    <w:rsid w:val="000B5105"/>
    <w:rsid w:val="000B6890"/>
    <w:rsid w:val="000B73DB"/>
    <w:rsid w:val="000B767F"/>
    <w:rsid w:val="000C2851"/>
    <w:rsid w:val="000C2D05"/>
    <w:rsid w:val="000C3796"/>
    <w:rsid w:val="000C4EB1"/>
    <w:rsid w:val="000C6B77"/>
    <w:rsid w:val="000C7628"/>
    <w:rsid w:val="000C7A3E"/>
    <w:rsid w:val="000C7E8D"/>
    <w:rsid w:val="000D01BE"/>
    <w:rsid w:val="000D0A64"/>
    <w:rsid w:val="000D0B36"/>
    <w:rsid w:val="000D0C27"/>
    <w:rsid w:val="000D106A"/>
    <w:rsid w:val="000D1425"/>
    <w:rsid w:val="000D157A"/>
    <w:rsid w:val="000D1CB4"/>
    <w:rsid w:val="000D21C0"/>
    <w:rsid w:val="000D2572"/>
    <w:rsid w:val="000D349F"/>
    <w:rsid w:val="000D35D0"/>
    <w:rsid w:val="000D382E"/>
    <w:rsid w:val="000D4AE6"/>
    <w:rsid w:val="000D4C7A"/>
    <w:rsid w:val="000D5314"/>
    <w:rsid w:val="000D55C7"/>
    <w:rsid w:val="000D5621"/>
    <w:rsid w:val="000D5EC3"/>
    <w:rsid w:val="000D657F"/>
    <w:rsid w:val="000E038F"/>
    <w:rsid w:val="000E0621"/>
    <w:rsid w:val="000E0840"/>
    <w:rsid w:val="000E0C7A"/>
    <w:rsid w:val="000E2D2A"/>
    <w:rsid w:val="000E2FCA"/>
    <w:rsid w:val="000E2FF3"/>
    <w:rsid w:val="000E3597"/>
    <w:rsid w:val="000E43B0"/>
    <w:rsid w:val="000E498D"/>
    <w:rsid w:val="000E49EC"/>
    <w:rsid w:val="000E4F3A"/>
    <w:rsid w:val="000E5318"/>
    <w:rsid w:val="000E5A35"/>
    <w:rsid w:val="000E6DC8"/>
    <w:rsid w:val="000E6F6C"/>
    <w:rsid w:val="000E794A"/>
    <w:rsid w:val="000F0A0F"/>
    <w:rsid w:val="000F0A2B"/>
    <w:rsid w:val="000F1330"/>
    <w:rsid w:val="000F1B10"/>
    <w:rsid w:val="000F1F2D"/>
    <w:rsid w:val="000F2B27"/>
    <w:rsid w:val="000F3090"/>
    <w:rsid w:val="000F39A5"/>
    <w:rsid w:val="000F4488"/>
    <w:rsid w:val="000F46A9"/>
    <w:rsid w:val="000F5643"/>
    <w:rsid w:val="000F5761"/>
    <w:rsid w:val="000F59FF"/>
    <w:rsid w:val="000F5B2D"/>
    <w:rsid w:val="000F6126"/>
    <w:rsid w:val="000F61BC"/>
    <w:rsid w:val="000F654B"/>
    <w:rsid w:val="000F6B4F"/>
    <w:rsid w:val="000F73A2"/>
    <w:rsid w:val="000F79C7"/>
    <w:rsid w:val="000F7B3D"/>
    <w:rsid w:val="00100197"/>
    <w:rsid w:val="001005F2"/>
    <w:rsid w:val="00100639"/>
    <w:rsid w:val="00100FAB"/>
    <w:rsid w:val="00100FAE"/>
    <w:rsid w:val="001011CD"/>
    <w:rsid w:val="00101325"/>
    <w:rsid w:val="00101532"/>
    <w:rsid w:val="00101D9D"/>
    <w:rsid w:val="001048BB"/>
    <w:rsid w:val="00104F86"/>
    <w:rsid w:val="00105B2C"/>
    <w:rsid w:val="00106748"/>
    <w:rsid w:val="0010676C"/>
    <w:rsid w:val="00106A33"/>
    <w:rsid w:val="00107314"/>
    <w:rsid w:val="0011032D"/>
    <w:rsid w:val="0011042A"/>
    <w:rsid w:val="001108F5"/>
    <w:rsid w:val="00111685"/>
    <w:rsid w:val="0011184E"/>
    <w:rsid w:val="0011217E"/>
    <w:rsid w:val="001121F8"/>
    <w:rsid w:val="00112E8F"/>
    <w:rsid w:val="001159EA"/>
    <w:rsid w:val="00115D46"/>
    <w:rsid w:val="001169A2"/>
    <w:rsid w:val="00116D02"/>
    <w:rsid w:val="0011708D"/>
    <w:rsid w:val="001172FF"/>
    <w:rsid w:val="00117B48"/>
    <w:rsid w:val="00117BE7"/>
    <w:rsid w:val="00120792"/>
    <w:rsid w:val="0012093F"/>
    <w:rsid w:val="00120E9D"/>
    <w:rsid w:val="00121082"/>
    <w:rsid w:val="00123D2A"/>
    <w:rsid w:val="00125020"/>
    <w:rsid w:val="00125DD9"/>
    <w:rsid w:val="00125F67"/>
    <w:rsid w:val="001268BC"/>
    <w:rsid w:val="00126DD3"/>
    <w:rsid w:val="00126DD7"/>
    <w:rsid w:val="00127236"/>
    <w:rsid w:val="00130752"/>
    <w:rsid w:val="00132489"/>
    <w:rsid w:val="00132744"/>
    <w:rsid w:val="00132A0E"/>
    <w:rsid w:val="001343C3"/>
    <w:rsid w:val="0013445C"/>
    <w:rsid w:val="0013451B"/>
    <w:rsid w:val="0013588A"/>
    <w:rsid w:val="00135AE0"/>
    <w:rsid w:val="00136274"/>
    <w:rsid w:val="00136891"/>
    <w:rsid w:val="0013722E"/>
    <w:rsid w:val="001372AC"/>
    <w:rsid w:val="001374EF"/>
    <w:rsid w:val="00137FAB"/>
    <w:rsid w:val="001400C9"/>
    <w:rsid w:val="00140271"/>
    <w:rsid w:val="00140BFA"/>
    <w:rsid w:val="001411B0"/>
    <w:rsid w:val="0014141E"/>
    <w:rsid w:val="00141B4B"/>
    <w:rsid w:val="0014307E"/>
    <w:rsid w:val="00144876"/>
    <w:rsid w:val="00144901"/>
    <w:rsid w:val="00144FE5"/>
    <w:rsid w:val="0015062F"/>
    <w:rsid w:val="00151724"/>
    <w:rsid w:val="00151AF6"/>
    <w:rsid w:val="00151C5E"/>
    <w:rsid w:val="00151E9E"/>
    <w:rsid w:val="001520B7"/>
    <w:rsid w:val="00152251"/>
    <w:rsid w:val="0015270C"/>
    <w:rsid w:val="00154284"/>
    <w:rsid w:val="001547D7"/>
    <w:rsid w:val="00154E0D"/>
    <w:rsid w:val="0015511C"/>
    <w:rsid w:val="00155D90"/>
    <w:rsid w:val="001564E5"/>
    <w:rsid w:val="00156BF8"/>
    <w:rsid w:val="001579A2"/>
    <w:rsid w:val="00157D00"/>
    <w:rsid w:val="00157DC6"/>
    <w:rsid w:val="001600E9"/>
    <w:rsid w:val="00160336"/>
    <w:rsid w:val="00160546"/>
    <w:rsid w:val="001606FC"/>
    <w:rsid w:val="00160FEC"/>
    <w:rsid w:val="001610E5"/>
    <w:rsid w:val="00161BC8"/>
    <w:rsid w:val="001620FC"/>
    <w:rsid w:val="001626D9"/>
    <w:rsid w:val="00162A32"/>
    <w:rsid w:val="00163475"/>
    <w:rsid w:val="00163684"/>
    <w:rsid w:val="0016370F"/>
    <w:rsid w:val="0016670B"/>
    <w:rsid w:val="00166FE4"/>
    <w:rsid w:val="00167041"/>
    <w:rsid w:val="00170651"/>
    <w:rsid w:val="001714F3"/>
    <w:rsid w:val="00171C59"/>
    <w:rsid w:val="001721A2"/>
    <w:rsid w:val="0017255B"/>
    <w:rsid w:val="00172A6B"/>
    <w:rsid w:val="00172A72"/>
    <w:rsid w:val="00172F32"/>
    <w:rsid w:val="001748F0"/>
    <w:rsid w:val="00176391"/>
    <w:rsid w:val="00176EC3"/>
    <w:rsid w:val="0017726D"/>
    <w:rsid w:val="00177B8A"/>
    <w:rsid w:val="00177FCF"/>
    <w:rsid w:val="00180527"/>
    <w:rsid w:val="001814CB"/>
    <w:rsid w:val="0018150E"/>
    <w:rsid w:val="0018175B"/>
    <w:rsid w:val="00181B5D"/>
    <w:rsid w:val="00181F82"/>
    <w:rsid w:val="00182B0F"/>
    <w:rsid w:val="00182DF1"/>
    <w:rsid w:val="00182F19"/>
    <w:rsid w:val="001832C7"/>
    <w:rsid w:val="001832F0"/>
    <w:rsid w:val="00183442"/>
    <w:rsid w:val="00183705"/>
    <w:rsid w:val="001838E6"/>
    <w:rsid w:val="001848B6"/>
    <w:rsid w:val="00185762"/>
    <w:rsid w:val="0018634B"/>
    <w:rsid w:val="001864BA"/>
    <w:rsid w:val="00186D40"/>
    <w:rsid w:val="00187F05"/>
    <w:rsid w:val="00190AF2"/>
    <w:rsid w:val="001915EB"/>
    <w:rsid w:val="00191D1B"/>
    <w:rsid w:val="00191E3B"/>
    <w:rsid w:val="001927F1"/>
    <w:rsid w:val="001936C0"/>
    <w:rsid w:val="001938F6"/>
    <w:rsid w:val="00195197"/>
    <w:rsid w:val="001955E4"/>
    <w:rsid w:val="001957BF"/>
    <w:rsid w:val="0019646A"/>
    <w:rsid w:val="00196533"/>
    <w:rsid w:val="00197664"/>
    <w:rsid w:val="00197835"/>
    <w:rsid w:val="001A0356"/>
    <w:rsid w:val="001A0856"/>
    <w:rsid w:val="001A0D77"/>
    <w:rsid w:val="001A0FBB"/>
    <w:rsid w:val="001A12F5"/>
    <w:rsid w:val="001A15A4"/>
    <w:rsid w:val="001A196A"/>
    <w:rsid w:val="001A1D95"/>
    <w:rsid w:val="001A2565"/>
    <w:rsid w:val="001A2CBA"/>
    <w:rsid w:val="001A30EE"/>
    <w:rsid w:val="001A3F59"/>
    <w:rsid w:val="001A4502"/>
    <w:rsid w:val="001A4ABE"/>
    <w:rsid w:val="001A4E48"/>
    <w:rsid w:val="001A5367"/>
    <w:rsid w:val="001A6AE5"/>
    <w:rsid w:val="001A6D84"/>
    <w:rsid w:val="001A7637"/>
    <w:rsid w:val="001A7CE7"/>
    <w:rsid w:val="001A7E13"/>
    <w:rsid w:val="001B01F0"/>
    <w:rsid w:val="001B0D33"/>
    <w:rsid w:val="001B1762"/>
    <w:rsid w:val="001B17AC"/>
    <w:rsid w:val="001B2864"/>
    <w:rsid w:val="001B3025"/>
    <w:rsid w:val="001B4219"/>
    <w:rsid w:val="001B511C"/>
    <w:rsid w:val="001B51E7"/>
    <w:rsid w:val="001B532B"/>
    <w:rsid w:val="001B55EA"/>
    <w:rsid w:val="001B5611"/>
    <w:rsid w:val="001B588D"/>
    <w:rsid w:val="001B5A7F"/>
    <w:rsid w:val="001B5B83"/>
    <w:rsid w:val="001B619B"/>
    <w:rsid w:val="001B63B0"/>
    <w:rsid w:val="001B6B44"/>
    <w:rsid w:val="001B78E1"/>
    <w:rsid w:val="001B7D45"/>
    <w:rsid w:val="001C0238"/>
    <w:rsid w:val="001C0AF9"/>
    <w:rsid w:val="001C1107"/>
    <w:rsid w:val="001C2083"/>
    <w:rsid w:val="001C3983"/>
    <w:rsid w:val="001C39DB"/>
    <w:rsid w:val="001C5FAE"/>
    <w:rsid w:val="001C6221"/>
    <w:rsid w:val="001C6B07"/>
    <w:rsid w:val="001C77E9"/>
    <w:rsid w:val="001C7835"/>
    <w:rsid w:val="001C7D79"/>
    <w:rsid w:val="001D00E5"/>
    <w:rsid w:val="001D06D4"/>
    <w:rsid w:val="001D0BEB"/>
    <w:rsid w:val="001D2163"/>
    <w:rsid w:val="001D3058"/>
    <w:rsid w:val="001D32B4"/>
    <w:rsid w:val="001D3D7D"/>
    <w:rsid w:val="001D4050"/>
    <w:rsid w:val="001D6443"/>
    <w:rsid w:val="001D72F6"/>
    <w:rsid w:val="001D7D92"/>
    <w:rsid w:val="001D7D9B"/>
    <w:rsid w:val="001E067C"/>
    <w:rsid w:val="001E0852"/>
    <w:rsid w:val="001E0A89"/>
    <w:rsid w:val="001E179E"/>
    <w:rsid w:val="001E2494"/>
    <w:rsid w:val="001E3248"/>
    <w:rsid w:val="001E3276"/>
    <w:rsid w:val="001E49B5"/>
    <w:rsid w:val="001E4A70"/>
    <w:rsid w:val="001E4CD9"/>
    <w:rsid w:val="001E4E27"/>
    <w:rsid w:val="001E6383"/>
    <w:rsid w:val="001E65D5"/>
    <w:rsid w:val="001E7BA2"/>
    <w:rsid w:val="001F0AC4"/>
    <w:rsid w:val="001F0E54"/>
    <w:rsid w:val="001F11BE"/>
    <w:rsid w:val="001F13C1"/>
    <w:rsid w:val="001F1E43"/>
    <w:rsid w:val="001F1E9A"/>
    <w:rsid w:val="001F21B9"/>
    <w:rsid w:val="001F30AC"/>
    <w:rsid w:val="001F3ACA"/>
    <w:rsid w:val="001F3C81"/>
    <w:rsid w:val="001F446D"/>
    <w:rsid w:val="001F5271"/>
    <w:rsid w:val="001F537F"/>
    <w:rsid w:val="001F6B0A"/>
    <w:rsid w:val="001F6F44"/>
    <w:rsid w:val="001F7194"/>
    <w:rsid w:val="001F728B"/>
    <w:rsid w:val="001F7F99"/>
    <w:rsid w:val="001F7FEE"/>
    <w:rsid w:val="002003B4"/>
    <w:rsid w:val="002007CA"/>
    <w:rsid w:val="002007F5"/>
    <w:rsid w:val="00201320"/>
    <w:rsid w:val="002015E2"/>
    <w:rsid w:val="0020200E"/>
    <w:rsid w:val="0020204A"/>
    <w:rsid w:val="002024B1"/>
    <w:rsid w:val="00202758"/>
    <w:rsid w:val="00202CB3"/>
    <w:rsid w:val="002034B0"/>
    <w:rsid w:val="00203515"/>
    <w:rsid w:val="00203EE9"/>
    <w:rsid w:val="002040CB"/>
    <w:rsid w:val="00204173"/>
    <w:rsid w:val="00205A3A"/>
    <w:rsid w:val="002061D2"/>
    <w:rsid w:val="002063D3"/>
    <w:rsid w:val="002069A0"/>
    <w:rsid w:val="00206B17"/>
    <w:rsid w:val="00207275"/>
    <w:rsid w:val="00207C8D"/>
    <w:rsid w:val="00211209"/>
    <w:rsid w:val="002112D7"/>
    <w:rsid w:val="002112EC"/>
    <w:rsid w:val="00211C27"/>
    <w:rsid w:val="00211E0B"/>
    <w:rsid w:val="00212DAE"/>
    <w:rsid w:val="00213109"/>
    <w:rsid w:val="00213F54"/>
    <w:rsid w:val="00214278"/>
    <w:rsid w:val="002143A9"/>
    <w:rsid w:val="0021571C"/>
    <w:rsid w:val="00215FB9"/>
    <w:rsid w:val="00217B55"/>
    <w:rsid w:val="0022058B"/>
    <w:rsid w:val="002216B2"/>
    <w:rsid w:val="00221800"/>
    <w:rsid w:val="002219AB"/>
    <w:rsid w:val="00221AB7"/>
    <w:rsid w:val="0022202D"/>
    <w:rsid w:val="00223890"/>
    <w:rsid w:val="002250A0"/>
    <w:rsid w:val="002264B9"/>
    <w:rsid w:val="00227712"/>
    <w:rsid w:val="0022773C"/>
    <w:rsid w:val="002300B5"/>
    <w:rsid w:val="00230769"/>
    <w:rsid w:val="0023088A"/>
    <w:rsid w:val="00230D2E"/>
    <w:rsid w:val="0023149B"/>
    <w:rsid w:val="00231A07"/>
    <w:rsid w:val="002333EC"/>
    <w:rsid w:val="002347A1"/>
    <w:rsid w:val="0023493E"/>
    <w:rsid w:val="00235548"/>
    <w:rsid w:val="00235695"/>
    <w:rsid w:val="00236722"/>
    <w:rsid w:val="00236CB2"/>
    <w:rsid w:val="00237585"/>
    <w:rsid w:val="00237825"/>
    <w:rsid w:val="00237B64"/>
    <w:rsid w:val="00237CF3"/>
    <w:rsid w:val="00240DB3"/>
    <w:rsid w:val="00241224"/>
    <w:rsid w:val="00241563"/>
    <w:rsid w:val="00241C40"/>
    <w:rsid w:val="0024259D"/>
    <w:rsid w:val="002428E8"/>
    <w:rsid w:val="002429C4"/>
    <w:rsid w:val="00243FCA"/>
    <w:rsid w:val="00244251"/>
    <w:rsid w:val="00244407"/>
    <w:rsid w:val="002448AC"/>
    <w:rsid w:val="00244DEC"/>
    <w:rsid w:val="002457DE"/>
    <w:rsid w:val="002457FB"/>
    <w:rsid w:val="0024583A"/>
    <w:rsid w:val="00245B04"/>
    <w:rsid w:val="00246435"/>
    <w:rsid w:val="00246A55"/>
    <w:rsid w:val="00246BCF"/>
    <w:rsid w:val="00246DD8"/>
    <w:rsid w:val="00246E70"/>
    <w:rsid w:val="00247343"/>
    <w:rsid w:val="002509E4"/>
    <w:rsid w:val="00251245"/>
    <w:rsid w:val="00251CA2"/>
    <w:rsid w:val="00251F0D"/>
    <w:rsid w:val="00252070"/>
    <w:rsid w:val="002520EF"/>
    <w:rsid w:val="00252326"/>
    <w:rsid w:val="00252511"/>
    <w:rsid w:val="0025295B"/>
    <w:rsid w:val="00252B63"/>
    <w:rsid w:val="00252DAF"/>
    <w:rsid w:val="0025326B"/>
    <w:rsid w:val="00253BE6"/>
    <w:rsid w:val="00253D42"/>
    <w:rsid w:val="002544C6"/>
    <w:rsid w:val="00254F36"/>
    <w:rsid w:val="002550BF"/>
    <w:rsid w:val="00255204"/>
    <w:rsid w:val="002556B0"/>
    <w:rsid w:val="00255C4B"/>
    <w:rsid w:val="00256802"/>
    <w:rsid w:val="00256ADC"/>
    <w:rsid w:val="00256F6E"/>
    <w:rsid w:val="00257DAF"/>
    <w:rsid w:val="00260116"/>
    <w:rsid w:val="002601BB"/>
    <w:rsid w:val="00260923"/>
    <w:rsid w:val="00262992"/>
    <w:rsid w:val="00262CBB"/>
    <w:rsid w:val="00263190"/>
    <w:rsid w:val="0026399D"/>
    <w:rsid w:val="00264D8D"/>
    <w:rsid w:val="00265918"/>
    <w:rsid w:val="00265B51"/>
    <w:rsid w:val="00266805"/>
    <w:rsid w:val="00266A21"/>
    <w:rsid w:val="00266E1A"/>
    <w:rsid w:val="00267027"/>
    <w:rsid w:val="00267256"/>
    <w:rsid w:val="002676B9"/>
    <w:rsid w:val="002701E3"/>
    <w:rsid w:val="002704E0"/>
    <w:rsid w:val="00270534"/>
    <w:rsid w:val="00270834"/>
    <w:rsid w:val="002708A9"/>
    <w:rsid w:val="00270953"/>
    <w:rsid w:val="00272B63"/>
    <w:rsid w:val="00273150"/>
    <w:rsid w:val="00273594"/>
    <w:rsid w:val="00273AD0"/>
    <w:rsid w:val="00273C8A"/>
    <w:rsid w:val="00273E86"/>
    <w:rsid w:val="002749B3"/>
    <w:rsid w:val="00275FC0"/>
    <w:rsid w:val="00276D35"/>
    <w:rsid w:val="00276E7F"/>
    <w:rsid w:val="002774CF"/>
    <w:rsid w:val="00280766"/>
    <w:rsid w:val="002814E6"/>
    <w:rsid w:val="00281A54"/>
    <w:rsid w:val="002820A9"/>
    <w:rsid w:val="00282AE5"/>
    <w:rsid w:val="00283A72"/>
    <w:rsid w:val="00284FEC"/>
    <w:rsid w:val="0028547F"/>
    <w:rsid w:val="00285538"/>
    <w:rsid w:val="00285D3A"/>
    <w:rsid w:val="00286394"/>
    <w:rsid w:val="00286554"/>
    <w:rsid w:val="002865FF"/>
    <w:rsid w:val="00287114"/>
    <w:rsid w:val="002906D2"/>
    <w:rsid w:val="002913CA"/>
    <w:rsid w:val="00291D3B"/>
    <w:rsid w:val="00291F1E"/>
    <w:rsid w:val="00292AF0"/>
    <w:rsid w:val="00292CA1"/>
    <w:rsid w:val="002936B4"/>
    <w:rsid w:val="002938E0"/>
    <w:rsid w:val="00293C60"/>
    <w:rsid w:val="002948D9"/>
    <w:rsid w:val="002949ED"/>
    <w:rsid w:val="00294A97"/>
    <w:rsid w:val="002951E6"/>
    <w:rsid w:val="00295330"/>
    <w:rsid w:val="0029599E"/>
    <w:rsid w:val="00296021"/>
    <w:rsid w:val="00296238"/>
    <w:rsid w:val="00296272"/>
    <w:rsid w:val="002976CB"/>
    <w:rsid w:val="00297C18"/>
    <w:rsid w:val="002A0204"/>
    <w:rsid w:val="002A1274"/>
    <w:rsid w:val="002A199E"/>
    <w:rsid w:val="002A1BD2"/>
    <w:rsid w:val="002A2EFE"/>
    <w:rsid w:val="002A3B78"/>
    <w:rsid w:val="002A5272"/>
    <w:rsid w:val="002A5AA4"/>
    <w:rsid w:val="002A6373"/>
    <w:rsid w:val="002A65BC"/>
    <w:rsid w:val="002A7CEC"/>
    <w:rsid w:val="002B0577"/>
    <w:rsid w:val="002B0C02"/>
    <w:rsid w:val="002B0D10"/>
    <w:rsid w:val="002B1054"/>
    <w:rsid w:val="002B1D2A"/>
    <w:rsid w:val="002B331B"/>
    <w:rsid w:val="002B40DC"/>
    <w:rsid w:val="002B439A"/>
    <w:rsid w:val="002B4589"/>
    <w:rsid w:val="002B4BD7"/>
    <w:rsid w:val="002B4C7D"/>
    <w:rsid w:val="002B5376"/>
    <w:rsid w:val="002B6328"/>
    <w:rsid w:val="002B6A76"/>
    <w:rsid w:val="002C0564"/>
    <w:rsid w:val="002C1457"/>
    <w:rsid w:val="002C2573"/>
    <w:rsid w:val="002C2CA2"/>
    <w:rsid w:val="002C3933"/>
    <w:rsid w:val="002C530F"/>
    <w:rsid w:val="002C7082"/>
    <w:rsid w:val="002C730C"/>
    <w:rsid w:val="002C733F"/>
    <w:rsid w:val="002C7393"/>
    <w:rsid w:val="002C797E"/>
    <w:rsid w:val="002D0A75"/>
    <w:rsid w:val="002D13FF"/>
    <w:rsid w:val="002D32CF"/>
    <w:rsid w:val="002D3CDD"/>
    <w:rsid w:val="002D3D42"/>
    <w:rsid w:val="002D4C65"/>
    <w:rsid w:val="002D50CB"/>
    <w:rsid w:val="002D5420"/>
    <w:rsid w:val="002D574E"/>
    <w:rsid w:val="002D5ED6"/>
    <w:rsid w:val="002D5F6D"/>
    <w:rsid w:val="002D6CC7"/>
    <w:rsid w:val="002D75FA"/>
    <w:rsid w:val="002E195D"/>
    <w:rsid w:val="002E2220"/>
    <w:rsid w:val="002E3F19"/>
    <w:rsid w:val="002E44D4"/>
    <w:rsid w:val="002E51D2"/>
    <w:rsid w:val="002E551C"/>
    <w:rsid w:val="002E55B8"/>
    <w:rsid w:val="002E5A46"/>
    <w:rsid w:val="002E5E57"/>
    <w:rsid w:val="002E5FB3"/>
    <w:rsid w:val="002E6226"/>
    <w:rsid w:val="002E674D"/>
    <w:rsid w:val="002E6A5C"/>
    <w:rsid w:val="002E6DD9"/>
    <w:rsid w:val="002E74C2"/>
    <w:rsid w:val="002E7954"/>
    <w:rsid w:val="002E7A0E"/>
    <w:rsid w:val="002E7EFA"/>
    <w:rsid w:val="002F050B"/>
    <w:rsid w:val="002F1299"/>
    <w:rsid w:val="002F1AF7"/>
    <w:rsid w:val="002F2462"/>
    <w:rsid w:val="002F2BDE"/>
    <w:rsid w:val="002F34A3"/>
    <w:rsid w:val="002F43EE"/>
    <w:rsid w:val="002F449E"/>
    <w:rsid w:val="002F44C5"/>
    <w:rsid w:val="002F4A55"/>
    <w:rsid w:val="002F4A74"/>
    <w:rsid w:val="002F5A9B"/>
    <w:rsid w:val="002F6386"/>
    <w:rsid w:val="002F697C"/>
    <w:rsid w:val="00300794"/>
    <w:rsid w:val="003009B3"/>
    <w:rsid w:val="003017E1"/>
    <w:rsid w:val="003030FC"/>
    <w:rsid w:val="00303704"/>
    <w:rsid w:val="00303849"/>
    <w:rsid w:val="0030434B"/>
    <w:rsid w:val="00304373"/>
    <w:rsid w:val="00304460"/>
    <w:rsid w:val="00304C12"/>
    <w:rsid w:val="00305171"/>
    <w:rsid w:val="003063E5"/>
    <w:rsid w:val="00306D43"/>
    <w:rsid w:val="00307CF8"/>
    <w:rsid w:val="00310269"/>
    <w:rsid w:val="0031055F"/>
    <w:rsid w:val="00312459"/>
    <w:rsid w:val="00312FB0"/>
    <w:rsid w:val="0031337F"/>
    <w:rsid w:val="00313E31"/>
    <w:rsid w:val="00315429"/>
    <w:rsid w:val="00316AC0"/>
    <w:rsid w:val="00316F0E"/>
    <w:rsid w:val="003174E6"/>
    <w:rsid w:val="0032072A"/>
    <w:rsid w:val="00320E58"/>
    <w:rsid w:val="00323400"/>
    <w:rsid w:val="00323571"/>
    <w:rsid w:val="003243EE"/>
    <w:rsid w:val="003247AE"/>
    <w:rsid w:val="00324942"/>
    <w:rsid w:val="00324C1A"/>
    <w:rsid w:val="00324E2C"/>
    <w:rsid w:val="00324F77"/>
    <w:rsid w:val="0032563A"/>
    <w:rsid w:val="00325EB8"/>
    <w:rsid w:val="0032621E"/>
    <w:rsid w:val="00326349"/>
    <w:rsid w:val="00326559"/>
    <w:rsid w:val="00326A36"/>
    <w:rsid w:val="00330012"/>
    <w:rsid w:val="0033114A"/>
    <w:rsid w:val="003328F9"/>
    <w:rsid w:val="00332E6E"/>
    <w:rsid w:val="00333421"/>
    <w:rsid w:val="00333443"/>
    <w:rsid w:val="00333CC0"/>
    <w:rsid w:val="00333DEB"/>
    <w:rsid w:val="00334C82"/>
    <w:rsid w:val="003358CD"/>
    <w:rsid w:val="00335AD7"/>
    <w:rsid w:val="00335AF0"/>
    <w:rsid w:val="00336ECB"/>
    <w:rsid w:val="00340578"/>
    <w:rsid w:val="00341E5E"/>
    <w:rsid w:val="003426F4"/>
    <w:rsid w:val="0034279E"/>
    <w:rsid w:val="00342CC5"/>
    <w:rsid w:val="00343F38"/>
    <w:rsid w:val="00344DFC"/>
    <w:rsid w:val="00344F3D"/>
    <w:rsid w:val="0034616A"/>
    <w:rsid w:val="00346206"/>
    <w:rsid w:val="0034667D"/>
    <w:rsid w:val="0034680A"/>
    <w:rsid w:val="00347F05"/>
    <w:rsid w:val="0035002B"/>
    <w:rsid w:val="00350DC6"/>
    <w:rsid w:val="00351AD2"/>
    <w:rsid w:val="00351E9F"/>
    <w:rsid w:val="00352B37"/>
    <w:rsid w:val="00353039"/>
    <w:rsid w:val="00353CC5"/>
    <w:rsid w:val="00354175"/>
    <w:rsid w:val="00354696"/>
    <w:rsid w:val="0035519A"/>
    <w:rsid w:val="003559A2"/>
    <w:rsid w:val="00355E8F"/>
    <w:rsid w:val="00355F2D"/>
    <w:rsid w:val="0035738E"/>
    <w:rsid w:val="00357479"/>
    <w:rsid w:val="00357840"/>
    <w:rsid w:val="00357E74"/>
    <w:rsid w:val="0036059A"/>
    <w:rsid w:val="00360CF9"/>
    <w:rsid w:val="0036144F"/>
    <w:rsid w:val="003617A0"/>
    <w:rsid w:val="00361E0C"/>
    <w:rsid w:val="00361E9E"/>
    <w:rsid w:val="00361F38"/>
    <w:rsid w:val="003628E8"/>
    <w:rsid w:val="00363B16"/>
    <w:rsid w:val="00363BE1"/>
    <w:rsid w:val="00363FF8"/>
    <w:rsid w:val="003640E1"/>
    <w:rsid w:val="0036443E"/>
    <w:rsid w:val="00365C5C"/>
    <w:rsid w:val="00366155"/>
    <w:rsid w:val="00366208"/>
    <w:rsid w:val="003665F3"/>
    <w:rsid w:val="0037127C"/>
    <w:rsid w:val="00371ACB"/>
    <w:rsid w:val="00372A05"/>
    <w:rsid w:val="00372ABE"/>
    <w:rsid w:val="00373015"/>
    <w:rsid w:val="0037366B"/>
    <w:rsid w:val="00374BAE"/>
    <w:rsid w:val="00374D58"/>
    <w:rsid w:val="00375AF4"/>
    <w:rsid w:val="00376491"/>
    <w:rsid w:val="0037721D"/>
    <w:rsid w:val="00377852"/>
    <w:rsid w:val="00377A68"/>
    <w:rsid w:val="00377ADF"/>
    <w:rsid w:val="003800EE"/>
    <w:rsid w:val="0038053A"/>
    <w:rsid w:val="00380980"/>
    <w:rsid w:val="0038102A"/>
    <w:rsid w:val="003810B2"/>
    <w:rsid w:val="00381A21"/>
    <w:rsid w:val="00381B1A"/>
    <w:rsid w:val="003825DA"/>
    <w:rsid w:val="00383135"/>
    <w:rsid w:val="003833B4"/>
    <w:rsid w:val="0038397D"/>
    <w:rsid w:val="0038491A"/>
    <w:rsid w:val="00384DC2"/>
    <w:rsid w:val="00385513"/>
    <w:rsid w:val="003863D9"/>
    <w:rsid w:val="00387002"/>
    <w:rsid w:val="003876EA"/>
    <w:rsid w:val="00387B9D"/>
    <w:rsid w:val="00391AF5"/>
    <w:rsid w:val="00392832"/>
    <w:rsid w:val="00392BE3"/>
    <w:rsid w:val="00394853"/>
    <w:rsid w:val="00394A63"/>
    <w:rsid w:val="00394C5D"/>
    <w:rsid w:val="003955E4"/>
    <w:rsid w:val="003959BC"/>
    <w:rsid w:val="003967D2"/>
    <w:rsid w:val="0039749C"/>
    <w:rsid w:val="00397A8C"/>
    <w:rsid w:val="00397C57"/>
    <w:rsid w:val="00397E02"/>
    <w:rsid w:val="003A0330"/>
    <w:rsid w:val="003A0A4D"/>
    <w:rsid w:val="003A22D1"/>
    <w:rsid w:val="003A2748"/>
    <w:rsid w:val="003A27BB"/>
    <w:rsid w:val="003A28F6"/>
    <w:rsid w:val="003A2F77"/>
    <w:rsid w:val="003A3227"/>
    <w:rsid w:val="003A3FFE"/>
    <w:rsid w:val="003A42A9"/>
    <w:rsid w:val="003A479E"/>
    <w:rsid w:val="003A48F9"/>
    <w:rsid w:val="003A4AC3"/>
    <w:rsid w:val="003A56DE"/>
    <w:rsid w:val="003A600B"/>
    <w:rsid w:val="003A63AA"/>
    <w:rsid w:val="003A72CB"/>
    <w:rsid w:val="003A743E"/>
    <w:rsid w:val="003A756E"/>
    <w:rsid w:val="003A7ADE"/>
    <w:rsid w:val="003A7B8D"/>
    <w:rsid w:val="003A7CF4"/>
    <w:rsid w:val="003B0D91"/>
    <w:rsid w:val="003B2A34"/>
    <w:rsid w:val="003B341F"/>
    <w:rsid w:val="003B41AE"/>
    <w:rsid w:val="003B42D3"/>
    <w:rsid w:val="003B4ED2"/>
    <w:rsid w:val="003B5A01"/>
    <w:rsid w:val="003B6B4A"/>
    <w:rsid w:val="003B6E2C"/>
    <w:rsid w:val="003B7000"/>
    <w:rsid w:val="003B71A7"/>
    <w:rsid w:val="003B7DB1"/>
    <w:rsid w:val="003B7FD4"/>
    <w:rsid w:val="003C01D4"/>
    <w:rsid w:val="003C064A"/>
    <w:rsid w:val="003C0793"/>
    <w:rsid w:val="003C081F"/>
    <w:rsid w:val="003C2920"/>
    <w:rsid w:val="003C2CC3"/>
    <w:rsid w:val="003C3413"/>
    <w:rsid w:val="003C3E5C"/>
    <w:rsid w:val="003C5524"/>
    <w:rsid w:val="003C5A09"/>
    <w:rsid w:val="003C5B57"/>
    <w:rsid w:val="003C5E74"/>
    <w:rsid w:val="003C69BF"/>
    <w:rsid w:val="003D0059"/>
    <w:rsid w:val="003D09EE"/>
    <w:rsid w:val="003D0A3F"/>
    <w:rsid w:val="003D0CB3"/>
    <w:rsid w:val="003D174B"/>
    <w:rsid w:val="003D23A3"/>
    <w:rsid w:val="003D26E5"/>
    <w:rsid w:val="003D3054"/>
    <w:rsid w:val="003D3120"/>
    <w:rsid w:val="003D44D4"/>
    <w:rsid w:val="003D4D9B"/>
    <w:rsid w:val="003D5856"/>
    <w:rsid w:val="003D5FE2"/>
    <w:rsid w:val="003D6D5E"/>
    <w:rsid w:val="003D6F27"/>
    <w:rsid w:val="003D79F6"/>
    <w:rsid w:val="003E0522"/>
    <w:rsid w:val="003E0579"/>
    <w:rsid w:val="003E129B"/>
    <w:rsid w:val="003E3BAD"/>
    <w:rsid w:val="003E4FC8"/>
    <w:rsid w:val="003E569E"/>
    <w:rsid w:val="003E5F8B"/>
    <w:rsid w:val="003E6055"/>
    <w:rsid w:val="003E643F"/>
    <w:rsid w:val="003E67E5"/>
    <w:rsid w:val="003E6DC5"/>
    <w:rsid w:val="003E733B"/>
    <w:rsid w:val="003E7AAA"/>
    <w:rsid w:val="003E7DCC"/>
    <w:rsid w:val="003E7ED0"/>
    <w:rsid w:val="003F01D3"/>
    <w:rsid w:val="003F0FEC"/>
    <w:rsid w:val="003F1459"/>
    <w:rsid w:val="003F2302"/>
    <w:rsid w:val="003F384C"/>
    <w:rsid w:val="003F3ADA"/>
    <w:rsid w:val="003F4BEF"/>
    <w:rsid w:val="003F4EE7"/>
    <w:rsid w:val="003F579A"/>
    <w:rsid w:val="003F5D1D"/>
    <w:rsid w:val="003F6260"/>
    <w:rsid w:val="003F684B"/>
    <w:rsid w:val="003F6F1A"/>
    <w:rsid w:val="003F78CA"/>
    <w:rsid w:val="0040022A"/>
    <w:rsid w:val="0040060F"/>
    <w:rsid w:val="00400D51"/>
    <w:rsid w:val="00400FF5"/>
    <w:rsid w:val="0040152B"/>
    <w:rsid w:val="00401D2A"/>
    <w:rsid w:val="00402386"/>
    <w:rsid w:val="0040280D"/>
    <w:rsid w:val="004037A6"/>
    <w:rsid w:val="0040390B"/>
    <w:rsid w:val="0040443F"/>
    <w:rsid w:val="004047C4"/>
    <w:rsid w:val="00404E4F"/>
    <w:rsid w:val="00404FAD"/>
    <w:rsid w:val="00405094"/>
    <w:rsid w:val="00405C42"/>
    <w:rsid w:val="004064F7"/>
    <w:rsid w:val="00406F8F"/>
    <w:rsid w:val="004074F1"/>
    <w:rsid w:val="00407D2F"/>
    <w:rsid w:val="0041011B"/>
    <w:rsid w:val="00411720"/>
    <w:rsid w:val="004135C6"/>
    <w:rsid w:val="00413C36"/>
    <w:rsid w:val="00413D5A"/>
    <w:rsid w:val="0041400F"/>
    <w:rsid w:val="00414635"/>
    <w:rsid w:val="0041523A"/>
    <w:rsid w:val="00415313"/>
    <w:rsid w:val="0041620C"/>
    <w:rsid w:val="00416370"/>
    <w:rsid w:val="0041694B"/>
    <w:rsid w:val="0041741F"/>
    <w:rsid w:val="004208A8"/>
    <w:rsid w:val="00420B28"/>
    <w:rsid w:val="00420F0E"/>
    <w:rsid w:val="0042143F"/>
    <w:rsid w:val="00421546"/>
    <w:rsid w:val="00422FB0"/>
    <w:rsid w:val="0042339A"/>
    <w:rsid w:val="004236F8"/>
    <w:rsid w:val="00423B15"/>
    <w:rsid w:val="00423C5C"/>
    <w:rsid w:val="00424CB8"/>
    <w:rsid w:val="00424F20"/>
    <w:rsid w:val="0042508F"/>
    <w:rsid w:val="0042529F"/>
    <w:rsid w:val="0042637D"/>
    <w:rsid w:val="0042698D"/>
    <w:rsid w:val="00426D55"/>
    <w:rsid w:val="0043001A"/>
    <w:rsid w:val="00430474"/>
    <w:rsid w:val="00430841"/>
    <w:rsid w:val="00431BBC"/>
    <w:rsid w:val="0043326D"/>
    <w:rsid w:val="00433B5B"/>
    <w:rsid w:val="00434A26"/>
    <w:rsid w:val="00435058"/>
    <w:rsid w:val="00436D93"/>
    <w:rsid w:val="00436E8E"/>
    <w:rsid w:val="00437322"/>
    <w:rsid w:val="0043763F"/>
    <w:rsid w:val="004379C2"/>
    <w:rsid w:val="00437F53"/>
    <w:rsid w:val="004400E8"/>
    <w:rsid w:val="0044030E"/>
    <w:rsid w:val="0044133C"/>
    <w:rsid w:val="004413ED"/>
    <w:rsid w:val="00442477"/>
    <w:rsid w:val="004432FE"/>
    <w:rsid w:val="00443B39"/>
    <w:rsid w:val="00443F3B"/>
    <w:rsid w:val="00445654"/>
    <w:rsid w:val="0044567D"/>
    <w:rsid w:val="00445BB7"/>
    <w:rsid w:val="00446E1C"/>
    <w:rsid w:val="00446EE7"/>
    <w:rsid w:val="004473DA"/>
    <w:rsid w:val="00447E13"/>
    <w:rsid w:val="00447F28"/>
    <w:rsid w:val="004508A3"/>
    <w:rsid w:val="004508D5"/>
    <w:rsid w:val="00450C80"/>
    <w:rsid w:val="0045141D"/>
    <w:rsid w:val="00451629"/>
    <w:rsid w:val="004524C4"/>
    <w:rsid w:val="00452F53"/>
    <w:rsid w:val="004533F3"/>
    <w:rsid w:val="004536D8"/>
    <w:rsid w:val="004538E2"/>
    <w:rsid w:val="004539F9"/>
    <w:rsid w:val="004544C8"/>
    <w:rsid w:val="004544D6"/>
    <w:rsid w:val="00454A9B"/>
    <w:rsid w:val="00454EFF"/>
    <w:rsid w:val="00455B73"/>
    <w:rsid w:val="0045604C"/>
    <w:rsid w:val="004562E3"/>
    <w:rsid w:val="00460398"/>
    <w:rsid w:val="00461368"/>
    <w:rsid w:val="00461801"/>
    <w:rsid w:val="00461996"/>
    <w:rsid w:val="00461CE9"/>
    <w:rsid w:val="00462407"/>
    <w:rsid w:val="004627C8"/>
    <w:rsid w:val="0046299E"/>
    <w:rsid w:val="00462AD3"/>
    <w:rsid w:val="00462C82"/>
    <w:rsid w:val="00462C8A"/>
    <w:rsid w:val="004631DD"/>
    <w:rsid w:val="004635FD"/>
    <w:rsid w:val="00463FC8"/>
    <w:rsid w:val="00463FEE"/>
    <w:rsid w:val="0046440A"/>
    <w:rsid w:val="004645E3"/>
    <w:rsid w:val="00465079"/>
    <w:rsid w:val="004651C6"/>
    <w:rsid w:val="004657AF"/>
    <w:rsid w:val="00465AA2"/>
    <w:rsid w:val="00465BB6"/>
    <w:rsid w:val="00465EB2"/>
    <w:rsid w:val="00465F5A"/>
    <w:rsid w:val="004667FB"/>
    <w:rsid w:val="00466B76"/>
    <w:rsid w:val="00466D30"/>
    <w:rsid w:val="00470129"/>
    <w:rsid w:val="00470516"/>
    <w:rsid w:val="0047111C"/>
    <w:rsid w:val="0047140B"/>
    <w:rsid w:val="0047172D"/>
    <w:rsid w:val="0047199D"/>
    <w:rsid w:val="00471D4E"/>
    <w:rsid w:val="00472455"/>
    <w:rsid w:val="004728A0"/>
    <w:rsid w:val="00473824"/>
    <w:rsid w:val="00474029"/>
    <w:rsid w:val="004742DD"/>
    <w:rsid w:val="00475021"/>
    <w:rsid w:val="0047510A"/>
    <w:rsid w:val="00475231"/>
    <w:rsid w:val="00475681"/>
    <w:rsid w:val="004759BC"/>
    <w:rsid w:val="00475D45"/>
    <w:rsid w:val="00475ED7"/>
    <w:rsid w:val="00476659"/>
    <w:rsid w:val="004769EA"/>
    <w:rsid w:val="00476A47"/>
    <w:rsid w:val="0047710B"/>
    <w:rsid w:val="00481265"/>
    <w:rsid w:val="004815DE"/>
    <w:rsid w:val="00483364"/>
    <w:rsid w:val="00483524"/>
    <w:rsid w:val="00483E27"/>
    <w:rsid w:val="00484C2E"/>
    <w:rsid w:val="00484E96"/>
    <w:rsid w:val="004863FC"/>
    <w:rsid w:val="00486526"/>
    <w:rsid w:val="00486688"/>
    <w:rsid w:val="00486F39"/>
    <w:rsid w:val="004872BD"/>
    <w:rsid w:val="0048732D"/>
    <w:rsid w:val="00491AD2"/>
    <w:rsid w:val="00493E95"/>
    <w:rsid w:val="004947EB"/>
    <w:rsid w:val="00494E13"/>
    <w:rsid w:val="00496700"/>
    <w:rsid w:val="0049695F"/>
    <w:rsid w:val="00496DF0"/>
    <w:rsid w:val="00496E73"/>
    <w:rsid w:val="00496F15"/>
    <w:rsid w:val="004974B8"/>
    <w:rsid w:val="004A1F7E"/>
    <w:rsid w:val="004A227E"/>
    <w:rsid w:val="004A2FB8"/>
    <w:rsid w:val="004A324A"/>
    <w:rsid w:val="004A40A7"/>
    <w:rsid w:val="004A4876"/>
    <w:rsid w:val="004A5586"/>
    <w:rsid w:val="004A58CA"/>
    <w:rsid w:val="004A5A6A"/>
    <w:rsid w:val="004A5F5F"/>
    <w:rsid w:val="004A6609"/>
    <w:rsid w:val="004A7BF5"/>
    <w:rsid w:val="004B1531"/>
    <w:rsid w:val="004B287D"/>
    <w:rsid w:val="004B2BC3"/>
    <w:rsid w:val="004B38EB"/>
    <w:rsid w:val="004B3DA7"/>
    <w:rsid w:val="004B4A3A"/>
    <w:rsid w:val="004B4F50"/>
    <w:rsid w:val="004B5784"/>
    <w:rsid w:val="004B609E"/>
    <w:rsid w:val="004B7908"/>
    <w:rsid w:val="004C09F9"/>
    <w:rsid w:val="004C0EA6"/>
    <w:rsid w:val="004C0FA4"/>
    <w:rsid w:val="004C13A3"/>
    <w:rsid w:val="004C2220"/>
    <w:rsid w:val="004C2485"/>
    <w:rsid w:val="004C2F2C"/>
    <w:rsid w:val="004C34D2"/>
    <w:rsid w:val="004C4823"/>
    <w:rsid w:val="004C5180"/>
    <w:rsid w:val="004C5554"/>
    <w:rsid w:val="004C633D"/>
    <w:rsid w:val="004C6B87"/>
    <w:rsid w:val="004C70D0"/>
    <w:rsid w:val="004D0AD8"/>
    <w:rsid w:val="004D0C26"/>
    <w:rsid w:val="004D0D94"/>
    <w:rsid w:val="004D3C45"/>
    <w:rsid w:val="004D429B"/>
    <w:rsid w:val="004D4430"/>
    <w:rsid w:val="004D4589"/>
    <w:rsid w:val="004D4EF6"/>
    <w:rsid w:val="004D54FB"/>
    <w:rsid w:val="004D553E"/>
    <w:rsid w:val="004D55F2"/>
    <w:rsid w:val="004D5F3F"/>
    <w:rsid w:val="004D6986"/>
    <w:rsid w:val="004D6DEB"/>
    <w:rsid w:val="004E0146"/>
    <w:rsid w:val="004E1233"/>
    <w:rsid w:val="004E28C6"/>
    <w:rsid w:val="004E2B45"/>
    <w:rsid w:val="004E2B7B"/>
    <w:rsid w:val="004E3725"/>
    <w:rsid w:val="004E394F"/>
    <w:rsid w:val="004E39E1"/>
    <w:rsid w:val="004E50D1"/>
    <w:rsid w:val="004E52B4"/>
    <w:rsid w:val="004E585A"/>
    <w:rsid w:val="004E6DE1"/>
    <w:rsid w:val="004E752C"/>
    <w:rsid w:val="004E7C27"/>
    <w:rsid w:val="004E7C69"/>
    <w:rsid w:val="004E7D3B"/>
    <w:rsid w:val="004F04F2"/>
    <w:rsid w:val="004F0717"/>
    <w:rsid w:val="004F0F56"/>
    <w:rsid w:val="004F10E0"/>
    <w:rsid w:val="004F1247"/>
    <w:rsid w:val="004F138F"/>
    <w:rsid w:val="004F21CF"/>
    <w:rsid w:val="004F2359"/>
    <w:rsid w:val="004F2D0A"/>
    <w:rsid w:val="004F2E45"/>
    <w:rsid w:val="004F2F3A"/>
    <w:rsid w:val="004F3377"/>
    <w:rsid w:val="004F33B4"/>
    <w:rsid w:val="004F3887"/>
    <w:rsid w:val="004F3F1F"/>
    <w:rsid w:val="004F3F36"/>
    <w:rsid w:val="004F420C"/>
    <w:rsid w:val="004F4F0E"/>
    <w:rsid w:val="004F4FCA"/>
    <w:rsid w:val="004F7CD4"/>
    <w:rsid w:val="00500123"/>
    <w:rsid w:val="00501A17"/>
    <w:rsid w:val="00501D1B"/>
    <w:rsid w:val="00502E44"/>
    <w:rsid w:val="005031FC"/>
    <w:rsid w:val="00504AAE"/>
    <w:rsid w:val="00504F04"/>
    <w:rsid w:val="00504F50"/>
    <w:rsid w:val="0050582E"/>
    <w:rsid w:val="00506369"/>
    <w:rsid w:val="0050670B"/>
    <w:rsid w:val="00506E71"/>
    <w:rsid w:val="005074E7"/>
    <w:rsid w:val="00507E2F"/>
    <w:rsid w:val="00510C53"/>
    <w:rsid w:val="00510CD4"/>
    <w:rsid w:val="0051129A"/>
    <w:rsid w:val="005116B5"/>
    <w:rsid w:val="00511B29"/>
    <w:rsid w:val="00511CD0"/>
    <w:rsid w:val="005124ED"/>
    <w:rsid w:val="00512868"/>
    <w:rsid w:val="00512EE4"/>
    <w:rsid w:val="00512F7A"/>
    <w:rsid w:val="00513052"/>
    <w:rsid w:val="005137EA"/>
    <w:rsid w:val="005141E8"/>
    <w:rsid w:val="00514229"/>
    <w:rsid w:val="00514B77"/>
    <w:rsid w:val="00515138"/>
    <w:rsid w:val="0051579E"/>
    <w:rsid w:val="00515EBE"/>
    <w:rsid w:val="00516950"/>
    <w:rsid w:val="00516A89"/>
    <w:rsid w:val="0051701D"/>
    <w:rsid w:val="00517257"/>
    <w:rsid w:val="00517815"/>
    <w:rsid w:val="00517CA9"/>
    <w:rsid w:val="005202CA"/>
    <w:rsid w:val="00520E15"/>
    <w:rsid w:val="00520E9D"/>
    <w:rsid w:val="00522350"/>
    <w:rsid w:val="00524118"/>
    <w:rsid w:val="005245CB"/>
    <w:rsid w:val="00525473"/>
    <w:rsid w:val="00525DB9"/>
    <w:rsid w:val="00526855"/>
    <w:rsid w:val="0052697A"/>
    <w:rsid w:val="00526BDB"/>
    <w:rsid w:val="00526F6C"/>
    <w:rsid w:val="00527042"/>
    <w:rsid w:val="0052714E"/>
    <w:rsid w:val="0052780C"/>
    <w:rsid w:val="00527A18"/>
    <w:rsid w:val="0053034C"/>
    <w:rsid w:val="005313F7"/>
    <w:rsid w:val="00531C24"/>
    <w:rsid w:val="00531FFB"/>
    <w:rsid w:val="00532B01"/>
    <w:rsid w:val="00534119"/>
    <w:rsid w:val="00534309"/>
    <w:rsid w:val="00534BB2"/>
    <w:rsid w:val="005355CE"/>
    <w:rsid w:val="00535A2A"/>
    <w:rsid w:val="00535F29"/>
    <w:rsid w:val="00536218"/>
    <w:rsid w:val="0053690C"/>
    <w:rsid w:val="00537CBD"/>
    <w:rsid w:val="00540591"/>
    <w:rsid w:val="00540B70"/>
    <w:rsid w:val="00540D87"/>
    <w:rsid w:val="00540FBF"/>
    <w:rsid w:val="0054175D"/>
    <w:rsid w:val="00541BE1"/>
    <w:rsid w:val="00541D6D"/>
    <w:rsid w:val="005421DA"/>
    <w:rsid w:val="005429E5"/>
    <w:rsid w:val="00542B4E"/>
    <w:rsid w:val="00543337"/>
    <w:rsid w:val="0054366C"/>
    <w:rsid w:val="00543A09"/>
    <w:rsid w:val="00544017"/>
    <w:rsid w:val="00545E1D"/>
    <w:rsid w:val="00546C86"/>
    <w:rsid w:val="00547FE2"/>
    <w:rsid w:val="00550245"/>
    <w:rsid w:val="0055057B"/>
    <w:rsid w:val="00550C99"/>
    <w:rsid w:val="00550E41"/>
    <w:rsid w:val="0055108F"/>
    <w:rsid w:val="00552DEE"/>
    <w:rsid w:val="00553123"/>
    <w:rsid w:val="00553413"/>
    <w:rsid w:val="0055459E"/>
    <w:rsid w:val="00554673"/>
    <w:rsid w:val="00554821"/>
    <w:rsid w:val="00555100"/>
    <w:rsid w:val="00555343"/>
    <w:rsid w:val="005558E0"/>
    <w:rsid w:val="00555AB2"/>
    <w:rsid w:val="0055787D"/>
    <w:rsid w:val="005579B6"/>
    <w:rsid w:val="00557E15"/>
    <w:rsid w:val="00561129"/>
    <w:rsid w:val="005617C9"/>
    <w:rsid w:val="00561D45"/>
    <w:rsid w:val="00562410"/>
    <w:rsid w:val="0056255B"/>
    <w:rsid w:val="005628CD"/>
    <w:rsid w:val="00562C17"/>
    <w:rsid w:val="00562DAF"/>
    <w:rsid w:val="005631BA"/>
    <w:rsid w:val="00563C2A"/>
    <w:rsid w:val="005640DC"/>
    <w:rsid w:val="0056538F"/>
    <w:rsid w:val="00565BB3"/>
    <w:rsid w:val="00565D60"/>
    <w:rsid w:val="0056624E"/>
    <w:rsid w:val="005662CB"/>
    <w:rsid w:val="00566C39"/>
    <w:rsid w:val="00567660"/>
    <w:rsid w:val="00571371"/>
    <w:rsid w:val="005717ED"/>
    <w:rsid w:val="005719E7"/>
    <w:rsid w:val="00571C54"/>
    <w:rsid w:val="00571EA4"/>
    <w:rsid w:val="00571F18"/>
    <w:rsid w:val="00572608"/>
    <w:rsid w:val="0057368B"/>
    <w:rsid w:val="005736EB"/>
    <w:rsid w:val="0057458C"/>
    <w:rsid w:val="00574BEC"/>
    <w:rsid w:val="005751B3"/>
    <w:rsid w:val="0057523A"/>
    <w:rsid w:val="005754AB"/>
    <w:rsid w:val="00575A70"/>
    <w:rsid w:val="00575C09"/>
    <w:rsid w:val="00577DE8"/>
    <w:rsid w:val="00580F5C"/>
    <w:rsid w:val="005824DE"/>
    <w:rsid w:val="00582595"/>
    <w:rsid w:val="005826F4"/>
    <w:rsid w:val="00582808"/>
    <w:rsid w:val="00582885"/>
    <w:rsid w:val="00582E13"/>
    <w:rsid w:val="005833B9"/>
    <w:rsid w:val="0058363A"/>
    <w:rsid w:val="0058369E"/>
    <w:rsid w:val="005842F3"/>
    <w:rsid w:val="00585395"/>
    <w:rsid w:val="0058573B"/>
    <w:rsid w:val="00585B29"/>
    <w:rsid w:val="005863EA"/>
    <w:rsid w:val="005869D8"/>
    <w:rsid w:val="00587027"/>
    <w:rsid w:val="00587B74"/>
    <w:rsid w:val="00590613"/>
    <w:rsid w:val="00590C51"/>
    <w:rsid w:val="00590D09"/>
    <w:rsid w:val="0059156A"/>
    <w:rsid w:val="00591891"/>
    <w:rsid w:val="00591F68"/>
    <w:rsid w:val="00593314"/>
    <w:rsid w:val="0059368E"/>
    <w:rsid w:val="00593965"/>
    <w:rsid w:val="00593BF5"/>
    <w:rsid w:val="00593D15"/>
    <w:rsid w:val="00593D6E"/>
    <w:rsid w:val="00593EF7"/>
    <w:rsid w:val="00594496"/>
    <w:rsid w:val="00594A38"/>
    <w:rsid w:val="00594FEB"/>
    <w:rsid w:val="005956D3"/>
    <w:rsid w:val="00595BDF"/>
    <w:rsid w:val="00595DE2"/>
    <w:rsid w:val="00596365"/>
    <w:rsid w:val="005965BC"/>
    <w:rsid w:val="005969F0"/>
    <w:rsid w:val="00596B27"/>
    <w:rsid w:val="00596CCE"/>
    <w:rsid w:val="005973DE"/>
    <w:rsid w:val="005A06E4"/>
    <w:rsid w:val="005A1DA2"/>
    <w:rsid w:val="005A1F6A"/>
    <w:rsid w:val="005A2247"/>
    <w:rsid w:val="005A2A9A"/>
    <w:rsid w:val="005A3108"/>
    <w:rsid w:val="005A32D3"/>
    <w:rsid w:val="005A3B26"/>
    <w:rsid w:val="005A3B34"/>
    <w:rsid w:val="005A440B"/>
    <w:rsid w:val="005A451A"/>
    <w:rsid w:val="005A673D"/>
    <w:rsid w:val="005A73B5"/>
    <w:rsid w:val="005A7A26"/>
    <w:rsid w:val="005A7E78"/>
    <w:rsid w:val="005A7F0B"/>
    <w:rsid w:val="005A7F29"/>
    <w:rsid w:val="005B03ED"/>
    <w:rsid w:val="005B06A2"/>
    <w:rsid w:val="005B0AB2"/>
    <w:rsid w:val="005B0D9B"/>
    <w:rsid w:val="005B134A"/>
    <w:rsid w:val="005B13F9"/>
    <w:rsid w:val="005B1488"/>
    <w:rsid w:val="005B1776"/>
    <w:rsid w:val="005B184E"/>
    <w:rsid w:val="005B1B1A"/>
    <w:rsid w:val="005B1BA3"/>
    <w:rsid w:val="005B1BBA"/>
    <w:rsid w:val="005B2405"/>
    <w:rsid w:val="005B2447"/>
    <w:rsid w:val="005B2616"/>
    <w:rsid w:val="005B272C"/>
    <w:rsid w:val="005B32FB"/>
    <w:rsid w:val="005B3E69"/>
    <w:rsid w:val="005B40BF"/>
    <w:rsid w:val="005B5063"/>
    <w:rsid w:val="005B57D7"/>
    <w:rsid w:val="005B5F4E"/>
    <w:rsid w:val="005B6692"/>
    <w:rsid w:val="005B6C46"/>
    <w:rsid w:val="005B749E"/>
    <w:rsid w:val="005B7FE4"/>
    <w:rsid w:val="005C01E8"/>
    <w:rsid w:val="005C0329"/>
    <w:rsid w:val="005C05E0"/>
    <w:rsid w:val="005C0DEE"/>
    <w:rsid w:val="005C0F7D"/>
    <w:rsid w:val="005C1043"/>
    <w:rsid w:val="005C2401"/>
    <w:rsid w:val="005C37E0"/>
    <w:rsid w:val="005C395E"/>
    <w:rsid w:val="005C3D23"/>
    <w:rsid w:val="005C4BFB"/>
    <w:rsid w:val="005C54B9"/>
    <w:rsid w:val="005C5A1C"/>
    <w:rsid w:val="005C611C"/>
    <w:rsid w:val="005C6618"/>
    <w:rsid w:val="005C70ED"/>
    <w:rsid w:val="005C7128"/>
    <w:rsid w:val="005C75A8"/>
    <w:rsid w:val="005C7C6E"/>
    <w:rsid w:val="005D0189"/>
    <w:rsid w:val="005D0FD4"/>
    <w:rsid w:val="005D1AD5"/>
    <w:rsid w:val="005D1D24"/>
    <w:rsid w:val="005D1E5C"/>
    <w:rsid w:val="005D225B"/>
    <w:rsid w:val="005D2554"/>
    <w:rsid w:val="005D2573"/>
    <w:rsid w:val="005D2D2C"/>
    <w:rsid w:val="005D2DAC"/>
    <w:rsid w:val="005D3170"/>
    <w:rsid w:val="005D34E4"/>
    <w:rsid w:val="005D3AEE"/>
    <w:rsid w:val="005D4B9A"/>
    <w:rsid w:val="005D54D7"/>
    <w:rsid w:val="005D59CB"/>
    <w:rsid w:val="005D637F"/>
    <w:rsid w:val="005D69D1"/>
    <w:rsid w:val="005D7425"/>
    <w:rsid w:val="005D7E86"/>
    <w:rsid w:val="005E022D"/>
    <w:rsid w:val="005E0B10"/>
    <w:rsid w:val="005E15CC"/>
    <w:rsid w:val="005E3153"/>
    <w:rsid w:val="005E355C"/>
    <w:rsid w:val="005E4470"/>
    <w:rsid w:val="005E545B"/>
    <w:rsid w:val="005E572D"/>
    <w:rsid w:val="005E5794"/>
    <w:rsid w:val="005F0587"/>
    <w:rsid w:val="005F09D8"/>
    <w:rsid w:val="005F0AE2"/>
    <w:rsid w:val="005F0D71"/>
    <w:rsid w:val="005F0EE4"/>
    <w:rsid w:val="005F136A"/>
    <w:rsid w:val="005F1478"/>
    <w:rsid w:val="005F17B1"/>
    <w:rsid w:val="005F259E"/>
    <w:rsid w:val="005F32A5"/>
    <w:rsid w:val="005F3CC5"/>
    <w:rsid w:val="005F40CD"/>
    <w:rsid w:val="005F4E45"/>
    <w:rsid w:val="005F5E39"/>
    <w:rsid w:val="005F6E33"/>
    <w:rsid w:val="005F7249"/>
    <w:rsid w:val="0060075B"/>
    <w:rsid w:val="006009A0"/>
    <w:rsid w:val="00601D2D"/>
    <w:rsid w:val="00601E46"/>
    <w:rsid w:val="00601FFA"/>
    <w:rsid w:val="00602288"/>
    <w:rsid w:val="00603194"/>
    <w:rsid w:val="00603FD5"/>
    <w:rsid w:val="006041A3"/>
    <w:rsid w:val="0060423B"/>
    <w:rsid w:val="00604B50"/>
    <w:rsid w:val="00605F47"/>
    <w:rsid w:val="006065F3"/>
    <w:rsid w:val="00606822"/>
    <w:rsid w:val="0060738D"/>
    <w:rsid w:val="00607F03"/>
    <w:rsid w:val="00610627"/>
    <w:rsid w:val="0061064B"/>
    <w:rsid w:val="00610F6C"/>
    <w:rsid w:val="0061190F"/>
    <w:rsid w:val="00611B01"/>
    <w:rsid w:val="00612471"/>
    <w:rsid w:val="006127F6"/>
    <w:rsid w:val="00612B3E"/>
    <w:rsid w:val="00612D8C"/>
    <w:rsid w:val="00613D7E"/>
    <w:rsid w:val="00614CCA"/>
    <w:rsid w:val="00616944"/>
    <w:rsid w:val="00616DC8"/>
    <w:rsid w:val="00617123"/>
    <w:rsid w:val="00617631"/>
    <w:rsid w:val="00620005"/>
    <w:rsid w:val="00620548"/>
    <w:rsid w:val="00621183"/>
    <w:rsid w:val="0062127C"/>
    <w:rsid w:val="0062131D"/>
    <w:rsid w:val="00621C01"/>
    <w:rsid w:val="00623B89"/>
    <w:rsid w:val="00623D2D"/>
    <w:rsid w:val="00624AE8"/>
    <w:rsid w:val="00624B90"/>
    <w:rsid w:val="006252E0"/>
    <w:rsid w:val="00625756"/>
    <w:rsid w:val="00625BB6"/>
    <w:rsid w:val="00625F7A"/>
    <w:rsid w:val="0062737C"/>
    <w:rsid w:val="0062789A"/>
    <w:rsid w:val="00630A2C"/>
    <w:rsid w:val="00630EB3"/>
    <w:rsid w:val="00630F02"/>
    <w:rsid w:val="0063165C"/>
    <w:rsid w:val="006324F4"/>
    <w:rsid w:val="006331D2"/>
    <w:rsid w:val="0063356F"/>
    <w:rsid w:val="00633C64"/>
    <w:rsid w:val="00633D08"/>
    <w:rsid w:val="00633D59"/>
    <w:rsid w:val="006348BA"/>
    <w:rsid w:val="00634BE0"/>
    <w:rsid w:val="00635339"/>
    <w:rsid w:val="00640EB0"/>
    <w:rsid w:val="00640F69"/>
    <w:rsid w:val="0064180F"/>
    <w:rsid w:val="006423C6"/>
    <w:rsid w:val="006423CF"/>
    <w:rsid w:val="006424E2"/>
    <w:rsid w:val="006427F5"/>
    <w:rsid w:val="00642BB3"/>
    <w:rsid w:val="006434F1"/>
    <w:rsid w:val="00643C19"/>
    <w:rsid w:val="00643F02"/>
    <w:rsid w:val="00644CE6"/>
    <w:rsid w:val="00647086"/>
    <w:rsid w:val="006475BD"/>
    <w:rsid w:val="00650089"/>
    <w:rsid w:val="0065058B"/>
    <w:rsid w:val="00650B79"/>
    <w:rsid w:val="00650FA6"/>
    <w:rsid w:val="00651387"/>
    <w:rsid w:val="006527FF"/>
    <w:rsid w:val="00653899"/>
    <w:rsid w:val="00653A0F"/>
    <w:rsid w:val="00653ADF"/>
    <w:rsid w:val="00653B49"/>
    <w:rsid w:val="00653B51"/>
    <w:rsid w:val="0065415F"/>
    <w:rsid w:val="006543F9"/>
    <w:rsid w:val="00654F53"/>
    <w:rsid w:val="006556F7"/>
    <w:rsid w:val="00656387"/>
    <w:rsid w:val="006563EA"/>
    <w:rsid w:val="006564C5"/>
    <w:rsid w:val="00656A8A"/>
    <w:rsid w:val="00657670"/>
    <w:rsid w:val="00657E42"/>
    <w:rsid w:val="00661696"/>
    <w:rsid w:val="006619CB"/>
    <w:rsid w:val="00662209"/>
    <w:rsid w:val="0066277D"/>
    <w:rsid w:val="0066317B"/>
    <w:rsid w:val="0066402A"/>
    <w:rsid w:val="006646F8"/>
    <w:rsid w:val="00665203"/>
    <w:rsid w:val="00665BB0"/>
    <w:rsid w:val="00665BD3"/>
    <w:rsid w:val="00665D68"/>
    <w:rsid w:val="00666D4D"/>
    <w:rsid w:val="00666F9F"/>
    <w:rsid w:val="006673A2"/>
    <w:rsid w:val="006678C9"/>
    <w:rsid w:val="00667C02"/>
    <w:rsid w:val="006700D6"/>
    <w:rsid w:val="00670160"/>
    <w:rsid w:val="00670D9F"/>
    <w:rsid w:val="00670F22"/>
    <w:rsid w:val="0067157A"/>
    <w:rsid w:val="006723F0"/>
    <w:rsid w:val="00673196"/>
    <w:rsid w:val="006731B0"/>
    <w:rsid w:val="006747E3"/>
    <w:rsid w:val="0067480E"/>
    <w:rsid w:val="00674B19"/>
    <w:rsid w:val="00675343"/>
    <w:rsid w:val="006753F7"/>
    <w:rsid w:val="006757C1"/>
    <w:rsid w:val="006759CC"/>
    <w:rsid w:val="00675A77"/>
    <w:rsid w:val="00675CB6"/>
    <w:rsid w:val="0067640F"/>
    <w:rsid w:val="00677121"/>
    <w:rsid w:val="00677880"/>
    <w:rsid w:val="00677DE2"/>
    <w:rsid w:val="0068025D"/>
    <w:rsid w:val="00680D9A"/>
    <w:rsid w:val="00681000"/>
    <w:rsid w:val="0068101C"/>
    <w:rsid w:val="00681434"/>
    <w:rsid w:val="00681823"/>
    <w:rsid w:val="00683E25"/>
    <w:rsid w:val="00683ED2"/>
    <w:rsid w:val="00684D43"/>
    <w:rsid w:val="006852BA"/>
    <w:rsid w:val="00685874"/>
    <w:rsid w:val="00685E36"/>
    <w:rsid w:val="006864DB"/>
    <w:rsid w:val="006867E2"/>
    <w:rsid w:val="00686CF9"/>
    <w:rsid w:val="00686D9F"/>
    <w:rsid w:val="0068724F"/>
    <w:rsid w:val="006875CD"/>
    <w:rsid w:val="006879BF"/>
    <w:rsid w:val="006913D9"/>
    <w:rsid w:val="0069172D"/>
    <w:rsid w:val="00692843"/>
    <w:rsid w:val="00692AF5"/>
    <w:rsid w:val="00693912"/>
    <w:rsid w:val="006943C3"/>
    <w:rsid w:val="00694787"/>
    <w:rsid w:val="0069494D"/>
    <w:rsid w:val="00694E3C"/>
    <w:rsid w:val="00694E71"/>
    <w:rsid w:val="00695C15"/>
    <w:rsid w:val="00695CEE"/>
    <w:rsid w:val="00696B83"/>
    <w:rsid w:val="00696D5D"/>
    <w:rsid w:val="00697CAC"/>
    <w:rsid w:val="006A1220"/>
    <w:rsid w:val="006A1DEF"/>
    <w:rsid w:val="006A3A22"/>
    <w:rsid w:val="006A4047"/>
    <w:rsid w:val="006A4507"/>
    <w:rsid w:val="006A485E"/>
    <w:rsid w:val="006A4AB5"/>
    <w:rsid w:val="006A5E50"/>
    <w:rsid w:val="006A6813"/>
    <w:rsid w:val="006A68EB"/>
    <w:rsid w:val="006A7069"/>
    <w:rsid w:val="006A7500"/>
    <w:rsid w:val="006B02BE"/>
    <w:rsid w:val="006B0F17"/>
    <w:rsid w:val="006B2701"/>
    <w:rsid w:val="006B4C0F"/>
    <w:rsid w:val="006B5048"/>
    <w:rsid w:val="006B514E"/>
    <w:rsid w:val="006B52EB"/>
    <w:rsid w:val="006B5E2F"/>
    <w:rsid w:val="006B5F9B"/>
    <w:rsid w:val="006B6694"/>
    <w:rsid w:val="006B709A"/>
    <w:rsid w:val="006C0E97"/>
    <w:rsid w:val="006C1640"/>
    <w:rsid w:val="006C1BCD"/>
    <w:rsid w:val="006C2158"/>
    <w:rsid w:val="006C285F"/>
    <w:rsid w:val="006C2A40"/>
    <w:rsid w:val="006C2BC9"/>
    <w:rsid w:val="006C2D81"/>
    <w:rsid w:val="006C2FB7"/>
    <w:rsid w:val="006C35DC"/>
    <w:rsid w:val="006C361A"/>
    <w:rsid w:val="006C36D5"/>
    <w:rsid w:val="006C38AC"/>
    <w:rsid w:val="006C3E4B"/>
    <w:rsid w:val="006C42C6"/>
    <w:rsid w:val="006C4785"/>
    <w:rsid w:val="006C4AF4"/>
    <w:rsid w:val="006C4C82"/>
    <w:rsid w:val="006C4E70"/>
    <w:rsid w:val="006C50D3"/>
    <w:rsid w:val="006C5956"/>
    <w:rsid w:val="006C5AD2"/>
    <w:rsid w:val="006C5EA2"/>
    <w:rsid w:val="006C64A7"/>
    <w:rsid w:val="006C78C9"/>
    <w:rsid w:val="006C7DD1"/>
    <w:rsid w:val="006D095B"/>
    <w:rsid w:val="006D1098"/>
    <w:rsid w:val="006D143A"/>
    <w:rsid w:val="006D2C20"/>
    <w:rsid w:val="006D2D80"/>
    <w:rsid w:val="006D2DC8"/>
    <w:rsid w:val="006D3F2F"/>
    <w:rsid w:val="006D4F09"/>
    <w:rsid w:val="006D578E"/>
    <w:rsid w:val="006D5F4F"/>
    <w:rsid w:val="006D60F5"/>
    <w:rsid w:val="006D67FF"/>
    <w:rsid w:val="006D75AA"/>
    <w:rsid w:val="006E2C59"/>
    <w:rsid w:val="006E3536"/>
    <w:rsid w:val="006E37F9"/>
    <w:rsid w:val="006E3FBD"/>
    <w:rsid w:val="006E4BE6"/>
    <w:rsid w:val="006E6CB9"/>
    <w:rsid w:val="006E71EE"/>
    <w:rsid w:val="006F087C"/>
    <w:rsid w:val="006F2008"/>
    <w:rsid w:val="006F25D0"/>
    <w:rsid w:val="006F267B"/>
    <w:rsid w:val="006F2C44"/>
    <w:rsid w:val="006F2C64"/>
    <w:rsid w:val="006F2F62"/>
    <w:rsid w:val="006F36BA"/>
    <w:rsid w:val="006F3AA7"/>
    <w:rsid w:val="006F4DCD"/>
    <w:rsid w:val="006F5751"/>
    <w:rsid w:val="006F59FD"/>
    <w:rsid w:val="006F6074"/>
    <w:rsid w:val="006F61C9"/>
    <w:rsid w:val="006F65CB"/>
    <w:rsid w:val="006F679A"/>
    <w:rsid w:val="006F75E8"/>
    <w:rsid w:val="006F760F"/>
    <w:rsid w:val="006F7C4F"/>
    <w:rsid w:val="006F7F26"/>
    <w:rsid w:val="00700479"/>
    <w:rsid w:val="00701100"/>
    <w:rsid w:val="00701962"/>
    <w:rsid w:val="00701E4F"/>
    <w:rsid w:val="007029B0"/>
    <w:rsid w:val="00702C49"/>
    <w:rsid w:val="00702E95"/>
    <w:rsid w:val="007037A1"/>
    <w:rsid w:val="007043A1"/>
    <w:rsid w:val="00704AE9"/>
    <w:rsid w:val="007052DF"/>
    <w:rsid w:val="0070540F"/>
    <w:rsid w:val="007058F3"/>
    <w:rsid w:val="00705FE8"/>
    <w:rsid w:val="00706ED2"/>
    <w:rsid w:val="0070708F"/>
    <w:rsid w:val="007073B9"/>
    <w:rsid w:val="007075AA"/>
    <w:rsid w:val="007076DE"/>
    <w:rsid w:val="00707E3A"/>
    <w:rsid w:val="00710444"/>
    <w:rsid w:val="007135C5"/>
    <w:rsid w:val="00714488"/>
    <w:rsid w:val="00715157"/>
    <w:rsid w:val="00715413"/>
    <w:rsid w:val="0071583A"/>
    <w:rsid w:val="007158C6"/>
    <w:rsid w:val="00716883"/>
    <w:rsid w:val="007175B4"/>
    <w:rsid w:val="00720507"/>
    <w:rsid w:val="00720692"/>
    <w:rsid w:val="0072095C"/>
    <w:rsid w:val="00720FAD"/>
    <w:rsid w:val="00721313"/>
    <w:rsid w:val="007215EF"/>
    <w:rsid w:val="00721E19"/>
    <w:rsid w:val="007223E4"/>
    <w:rsid w:val="0072254B"/>
    <w:rsid w:val="00722815"/>
    <w:rsid w:val="00723D92"/>
    <w:rsid w:val="00724B7E"/>
    <w:rsid w:val="00724C15"/>
    <w:rsid w:val="00724ED0"/>
    <w:rsid w:val="007254C8"/>
    <w:rsid w:val="00725A85"/>
    <w:rsid w:val="00725B96"/>
    <w:rsid w:val="00725DA7"/>
    <w:rsid w:val="007264F8"/>
    <w:rsid w:val="00726751"/>
    <w:rsid w:val="00726C5B"/>
    <w:rsid w:val="00727347"/>
    <w:rsid w:val="0072769D"/>
    <w:rsid w:val="007301C9"/>
    <w:rsid w:val="007309DE"/>
    <w:rsid w:val="00730DAF"/>
    <w:rsid w:val="007328E4"/>
    <w:rsid w:val="007333EE"/>
    <w:rsid w:val="00733C01"/>
    <w:rsid w:val="00733EA1"/>
    <w:rsid w:val="00734A1D"/>
    <w:rsid w:val="00734A68"/>
    <w:rsid w:val="00735CDA"/>
    <w:rsid w:val="007373F6"/>
    <w:rsid w:val="00737C62"/>
    <w:rsid w:val="00740484"/>
    <w:rsid w:val="00741D5D"/>
    <w:rsid w:val="00742550"/>
    <w:rsid w:val="00742F0D"/>
    <w:rsid w:val="00743548"/>
    <w:rsid w:val="00743983"/>
    <w:rsid w:val="00744120"/>
    <w:rsid w:val="00744B0B"/>
    <w:rsid w:val="00744F1C"/>
    <w:rsid w:val="007460C2"/>
    <w:rsid w:val="00746E94"/>
    <w:rsid w:val="00746F31"/>
    <w:rsid w:val="00747E24"/>
    <w:rsid w:val="0075111D"/>
    <w:rsid w:val="0075119D"/>
    <w:rsid w:val="00751335"/>
    <w:rsid w:val="00751886"/>
    <w:rsid w:val="00752250"/>
    <w:rsid w:val="007522CF"/>
    <w:rsid w:val="0075386F"/>
    <w:rsid w:val="0075504C"/>
    <w:rsid w:val="00755181"/>
    <w:rsid w:val="00755981"/>
    <w:rsid w:val="00756019"/>
    <w:rsid w:val="007563BA"/>
    <w:rsid w:val="007566E0"/>
    <w:rsid w:val="00757703"/>
    <w:rsid w:val="00757C60"/>
    <w:rsid w:val="00757D41"/>
    <w:rsid w:val="00757FD8"/>
    <w:rsid w:val="00760304"/>
    <w:rsid w:val="00760E1B"/>
    <w:rsid w:val="00761224"/>
    <w:rsid w:val="0076193A"/>
    <w:rsid w:val="00761B32"/>
    <w:rsid w:val="0076296B"/>
    <w:rsid w:val="00762B7F"/>
    <w:rsid w:val="00762EB7"/>
    <w:rsid w:val="00762F69"/>
    <w:rsid w:val="007631DA"/>
    <w:rsid w:val="007636A6"/>
    <w:rsid w:val="007636FB"/>
    <w:rsid w:val="00764FE1"/>
    <w:rsid w:val="00765032"/>
    <w:rsid w:val="00765069"/>
    <w:rsid w:val="00765632"/>
    <w:rsid w:val="007665E9"/>
    <w:rsid w:val="00766857"/>
    <w:rsid w:val="007669DE"/>
    <w:rsid w:val="007672F1"/>
    <w:rsid w:val="007676EF"/>
    <w:rsid w:val="00767EAE"/>
    <w:rsid w:val="0077012D"/>
    <w:rsid w:val="00770DB0"/>
    <w:rsid w:val="00772062"/>
    <w:rsid w:val="007738FB"/>
    <w:rsid w:val="00774C42"/>
    <w:rsid w:val="00775165"/>
    <w:rsid w:val="00776D92"/>
    <w:rsid w:val="00777DD9"/>
    <w:rsid w:val="00780230"/>
    <w:rsid w:val="007802C4"/>
    <w:rsid w:val="00780F7F"/>
    <w:rsid w:val="007810A6"/>
    <w:rsid w:val="0078188D"/>
    <w:rsid w:val="00782535"/>
    <w:rsid w:val="00782997"/>
    <w:rsid w:val="00782E5F"/>
    <w:rsid w:val="00784039"/>
    <w:rsid w:val="0078414B"/>
    <w:rsid w:val="00784C7C"/>
    <w:rsid w:val="0078505C"/>
    <w:rsid w:val="0078533C"/>
    <w:rsid w:val="00785545"/>
    <w:rsid w:val="007856A4"/>
    <w:rsid w:val="0078597A"/>
    <w:rsid w:val="00785C6D"/>
    <w:rsid w:val="00785E85"/>
    <w:rsid w:val="00786019"/>
    <w:rsid w:val="00786ABA"/>
    <w:rsid w:val="00786BE4"/>
    <w:rsid w:val="00790B6D"/>
    <w:rsid w:val="00791116"/>
    <w:rsid w:val="00793030"/>
    <w:rsid w:val="00794A86"/>
    <w:rsid w:val="00795477"/>
    <w:rsid w:val="00795DFB"/>
    <w:rsid w:val="00796953"/>
    <w:rsid w:val="00796956"/>
    <w:rsid w:val="00796D9F"/>
    <w:rsid w:val="00796E0C"/>
    <w:rsid w:val="00797689"/>
    <w:rsid w:val="00797E65"/>
    <w:rsid w:val="007A0363"/>
    <w:rsid w:val="007A0AC1"/>
    <w:rsid w:val="007A0B93"/>
    <w:rsid w:val="007A15F2"/>
    <w:rsid w:val="007A2585"/>
    <w:rsid w:val="007A302E"/>
    <w:rsid w:val="007A30F0"/>
    <w:rsid w:val="007A3430"/>
    <w:rsid w:val="007A354A"/>
    <w:rsid w:val="007A38E3"/>
    <w:rsid w:val="007A39EE"/>
    <w:rsid w:val="007A3CAB"/>
    <w:rsid w:val="007A47D1"/>
    <w:rsid w:val="007A4B35"/>
    <w:rsid w:val="007A523F"/>
    <w:rsid w:val="007A66AC"/>
    <w:rsid w:val="007A68DE"/>
    <w:rsid w:val="007A6FBF"/>
    <w:rsid w:val="007A732E"/>
    <w:rsid w:val="007A7364"/>
    <w:rsid w:val="007A7BE2"/>
    <w:rsid w:val="007B01B9"/>
    <w:rsid w:val="007B0B0D"/>
    <w:rsid w:val="007B0E3A"/>
    <w:rsid w:val="007B1608"/>
    <w:rsid w:val="007B2270"/>
    <w:rsid w:val="007B4084"/>
    <w:rsid w:val="007B4219"/>
    <w:rsid w:val="007B4F69"/>
    <w:rsid w:val="007B542D"/>
    <w:rsid w:val="007B544B"/>
    <w:rsid w:val="007B5521"/>
    <w:rsid w:val="007B59E9"/>
    <w:rsid w:val="007B7081"/>
    <w:rsid w:val="007C054B"/>
    <w:rsid w:val="007C1BEA"/>
    <w:rsid w:val="007C2467"/>
    <w:rsid w:val="007C293B"/>
    <w:rsid w:val="007C2BE4"/>
    <w:rsid w:val="007C2D3B"/>
    <w:rsid w:val="007C3330"/>
    <w:rsid w:val="007C3475"/>
    <w:rsid w:val="007C350A"/>
    <w:rsid w:val="007C371B"/>
    <w:rsid w:val="007C44A5"/>
    <w:rsid w:val="007C5727"/>
    <w:rsid w:val="007C7265"/>
    <w:rsid w:val="007C7C09"/>
    <w:rsid w:val="007D055B"/>
    <w:rsid w:val="007D0949"/>
    <w:rsid w:val="007D0D05"/>
    <w:rsid w:val="007D1569"/>
    <w:rsid w:val="007D229F"/>
    <w:rsid w:val="007D25EB"/>
    <w:rsid w:val="007D2C8C"/>
    <w:rsid w:val="007D37FB"/>
    <w:rsid w:val="007D38D2"/>
    <w:rsid w:val="007D6954"/>
    <w:rsid w:val="007D6B92"/>
    <w:rsid w:val="007D719E"/>
    <w:rsid w:val="007D7566"/>
    <w:rsid w:val="007D776D"/>
    <w:rsid w:val="007D7901"/>
    <w:rsid w:val="007D7E06"/>
    <w:rsid w:val="007E051C"/>
    <w:rsid w:val="007E0528"/>
    <w:rsid w:val="007E094E"/>
    <w:rsid w:val="007E1A38"/>
    <w:rsid w:val="007E27E4"/>
    <w:rsid w:val="007E2BB3"/>
    <w:rsid w:val="007E3906"/>
    <w:rsid w:val="007E4129"/>
    <w:rsid w:val="007E4D69"/>
    <w:rsid w:val="007E7D9A"/>
    <w:rsid w:val="007F04FF"/>
    <w:rsid w:val="007F0DC8"/>
    <w:rsid w:val="007F0ECD"/>
    <w:rsid w:val="007F0F53"/>
    <w:rsid w:val="007F12E5"/>
    <w:rsid w:val="007F168A"/>
    <w:rsid w:val="007F1915"/>
    <w:rsid w:val="007F22AA"/>
    <w:rsid w:val="007F22E8"/>
    <w:rsid w:val="007F2791"/>
    <w:rsid w:val="007F27F1"/>
    <w:rsid w:val="007F2E65"/>
    <w:rsid w:val="007F2FCC"/>
    <w:rsid w:val="007F392E"/>
    <w:rsid w:val="007F4117"/>
    <w:rsid w:val="007F432E"/>
    <w:rsid w:val="007F5722"/>
    <w:rsid w:val="007F6790"/>
    <w:rsid w:val="007F7326"/>
    <w:rsid w:val="007F746D"/>
    <w:rsid w:val="007F7617"/>
    <w:rsid w:val="007F781B"/>
    <w:rsid w:val="007F798D"/>
    <w:rsid w:val="008017BC"/>
    <w:rsid w:val="008026C4"/>
    <w:rsid w:val="0080322B"/>
    <w:rsid w:val="008035C3"/>
    <w:rsid w:val="00803F26"/>
    <w:rsid w:val="008042D4"/>
    <w:rsid w:val="00804B8B"/>
    <w:rsid w:val="00804E8F"/>
    <w:rsid w:val="00805038"/>
    <w:rsid w:val="008052AB"/>
    <w:rsid w:val="008056AE"/>
    <w:rsid w:val="00806F63"/>
    <w:rsid w:val="00807121"/>
    <w:rsid w:val="008072A6"/>
    <w:rsid w:val="0080742F"/>
    <w:rsid w:val="00807F06"/>
    <w:rsid w:val="008109C2"/>
    <w:rsid w:val="00811196"/>
    <w:rsid w:val="008136DE"/>
    <w:rsid w:val="00813A7A"/>
    <w:rsid w:val="00813C3D"/>
    <w:rsid w:val="00814078"/>
    <w:rsid w:val="008142ED"/>
    <w:rsid w:val="0081533C"/>
    <w:rsid w:val="008154E6"/>
    <w:rsid w:val="0081568C"/>
    <w:rsid w:val="008161D7"/>
    <w:rsid w:val="00816801"/>
    <w:rsid w:val="00816AD1"/>
    <w:rsid w:val="00817375"/>
    <w:rsid w:val="00820661"/>
    <w:rsid w:val="00821268"/>
    <w:rsid w:val="00822EB3"/>
    <w:rsid w:val="008237B7"/>
    <w:rsid w:val="00823B3B"/>
    <w:rsid w:val="0082437F"/>
    <w:rsid w:val="008246AB"/>
    <w:rsid w:val="0082483C"/>
    <w:rsid w:val="00825FAC"/>
    <w:rsid w:val="008262D0"/>
    <w:rsid w:val="00826F8E"/>
    <w:rsid w:val="00831415"/>
    <w:rsid w:val="00831B34"/>
    <w:rsid w:val="00831BE2"/>
    <w:rsid w:val="00831EFD"/>
    <w:rsid w:val="00831FAB"/>
    <w:rsid w:val="00832446"/>
    <w:rsid w:val="00832CF8"/>
    <w:rsid w:val="00833288"/>
    <w:rsid w:val="00835042"/>
    <w:rsid w:val="0083559F"/>
    <w:rsid w:val="00836262"/>
    <w:rsid w:val="00836AEC"/>
    <w:rsid w:val="00836E3A"/>
    <w:rsid w:val="00837210"/>
    <w:rsid w:val="00837594"/>
    <w:rsid w:val="00840A04"/>
    <w:rsid w:val="00840A39"/>
    <w:rsid w:val="00840A9B"/>
    <w:rsid w:val="00840BCF"/>
    <w:rsid w:val="00840CAD"/>
    <w:rsid w:val="00840CCB"/>
    <w:rsid w:val="0084238D"/>
    <w:rsid w:val="00844418"/>
    <w:rsid w:val="0084457C"/>
    <w:rsid w:val="0084493C"/>
    <w:rsid w:val="00846657"/>
    <w:rsid w:val="0084716A"/>
    <w:rsid w:val="008472B8"/>
    <w:rsid w:val="00847532"/>
    <w:rsid w:val="00847999"/>
    <w:rsid w:val="00847E54"/>
    <w:rsid w:val="00847F46"/>
    <w:rsid w:val="00850026"/>
    <w:rsid w:val="0085060C"/>
    <w:rsid w:val="00850E18"/>
    <w:rsid w:val="0085175C"/>
    <w:rsid w:val="00851932"/>
    <w:rsid w:val="0085231E"/>
    <w:rsid w:val="00852396"/>
    <w:rsid w:val="008529A2"/>
    <w:rsid w:val="008530FA"/>
    <w:rsid w:val="0085439B"/>
    <w:rsid w:val="00856356"/>
    <w:rsid w:val="00856C06"/>
    <w:rsid w:val="00857030"/>
    <w:rsid w:val="00857934"/>
    <w:rsid w:val="008579B4"/>
    <w:rsid w:val="00860973"/>
    <w:rsid w:val="00860F4B"/>
    <w:rsid w:val="008619C9"/>
    <w:rsid w:val="00861C62"/>
    <w:rsid w:val="00861FE1"/>
    <w:rsid w:val="008623B7"/>
    <w:rsid w:val="008623D2"/>
    <w:rsid w:val="00862511"/>
    <w:rsid w:val="00862831"/>
    <w:rsid w:val="0086476D"/>
    <w:rsid w:val="00864EDB"/>
    <w:rsid w:val="00865938"/>
    <w:rsid w:val="00865A16"/>
    <w:rsid w:val="0086764E"/>
    <w:rsid w:val="008708D9"/>
    <w:rsid w:val="00871A6C"/>
    <w:rsid w:val="008720A6"/>
    <w:rsid w:val="0087230E"/>
    <w:rsid w:val="00872A6F"/>
    <w:rsid w:val="008732A0"/>
    <w:rsid w:val="00873549"/>
    <w:rsid w:val="00873767"/>
    <w:rsid w:val="008745EF"/>
    <w:rsid w:val="008748DF"/>
    <w:rsid w:val="00874AFD"/>
    <w:rsid w:val="00875B73"/>
    <w:rsid w:val="00875CCB"/>
    <w:rsid w:val="008760BB"/>
    <w:rsid w:val="008761FC"/>
    <w:rsid w:val="00877FC2"/>
    <w:rsid w:val="00880316"/>
    <w:rsid w:val="008804CE"/>
    <w:rsid w:val="008812F4"/>
    <w:rsid w:val="0088131C"/>
    <w:rsid w:val="008815BD"/>
    <w:rsid w:val="00881B5D"/>
    <w:rsid w:val="00881C7B"/>
    <w:rsid w:val="00882359"/>
    <w:rsid w:val="008825FC"/>
    <w:rsid w:val="008833F3"/>
    <w:rsid w:val="008839FE"/>
    <w:rsid w:val="008851CF"/>
    <w:rsid w:val="008862DF"/>
    <w:rsid w:val="0088694E"/>
    <w:rsid w:val="00886C80"/>
    <w:rsid w:val="00886D38"/>
    <w:rsid w:val="008871BE"/>
    <w:rsid w:val="008871FE"/>
    <w:rsid w:val="008875EB"/>
    <w:rsid w:val="00887D88"/>
    <w:rsid w:val="008902DE"/>
    <w:rsid w:val="00891177"/>
    <w:rsid w:val="0089122E"/>
    <w:rsid w:val="00891624"/>
    <w:rsid w:val="008921D0"/>
    <w:rsid w:val="00893ABF"/>
    <w:rsid w:val="00893FCA"/>
    <w:rsid w:val="0089468D"/>
    <w:rsid w:val="00895209"/>
    <w:rsid w:val="008955E8"/>
    <w:rsid w:val="00896DE6"/>
    <w:rsid w:val="00897030"/>
    <w:rsid w:val="00897437"/>
    <w:rsid w:val="00897793"/>
    <w:rsid w:val="00897A5A"/>
    <w:rsid w:val="00897D2D"/>
    <w:rsid w:val="00897E61"/>
    <w:rsid w:val="008A0F9F"/>
    <w:rsid w:val="008A1026"/>
    <w:rsid w:val="008A11C7"/>
    <w:rsid w:val="008A1256"/>
    <w:rsid w:val="008A1527"/>
    <w:rsid w:val="008A1632"/>
    <w:rsid w:val="008A166B"/>
    <w:rsid w:val="008A1F9A"/>
    <w:rsid w:val="008A215E"/>
    <w:rsid w:val="008A26C7"/>
    <w:rsid w:val="008A29E4"/>
    <w:rsid w:val="008A3B29"/>
    <w:rsid w:val="008A4B91"/>
    <w:rsid w:val="008A4B9A"/>
    <w:rsid w:val="008A5357"/>
    <w:rsid w:val="008A57C9"/>
    <w:rsid w:val="008A6933"/>
    <w:rsid w:val="008A6B42"/>
    <w:rsid w:val="008A6F83"/>
    <w:rsid w:val="008A769B"/>
    <w:rsid w:val="008A787A"/>
    <w:rsid w:val="008A7A19"/>
    <w:rsid w:val="008B05C3"/>
    <w:rsid w:val="008B0A38"/>
    <w:rsid w:val="008B1F58"/>
    <w:rsid w:val="008B2220"/>
    <w:rsid w:val="008B2E06"/>
    <w:rsid w:val="008B3153"/>
    <w:rsid w:val="008B3918"/>
    <w:rsid w:val="008B479C"/>
    <w:rsid w:val="008B4965"/>
    <w:rsid w:val="008B4B84"/>
    <w:rsid w:val="008B4C0E"/>
    <w:rsid w:val="008B4D32"/>
    <w:rsid w:val="008B4E26"/>
    <w:rsid w:val="008B6DB0"/>
    <w:rsid w:val="008B6F63"/>
    <w:rsid w:val="008B73F8"/>
    <w:rsid w:val="008B78B1"/>
    <w:rsid w:val="008C0207"/>
    <w:rsid w:val="008C086D"/>
    <w:rsid w:val="008C0A41"/>
    <w:rsid w:val="008C1CCF"/>
    <w:rsid w:val="008C20F9"/>
    <w:rsid w:val="008C2C6C"/>
    <w:rsid w:val="008C2EBF"/>
    <w:rsid w:val="008C3033"/>
    <w:rsid w:val="008C3480"/>
    <w:rsid w:val="008C54F8"/>
    <w:rsid w:val="008C611D"/>
    <w:rsid w:val="008C6BD4"/>
    <w:rsid w:val="008C6EF4"/>
    <w:rsid w:val="008C7375"/>
    <w:rsid w:val="008D0917"/>
    <w:rsid w:val="008D0ACD"/>
    <w:rsid w:val="008D163F"/>
    <w:rsid w:val="008D19FD"/>
    <w:rsid w:val="008D1ABD"/>
    <w:rsid w:val="008D1DDC"/>
    <w:rsid w:val="008D233C"/>
    <w:rsid w:val="008D2D79"/>
    <w:rsid w:val="008D3A0D"/>
    <w:rsid w:val="008D486E"/>
    <w:rsid w:val="008D497B"/>
    <w:rsid w:val="008D4A67"/>
    <w:rsid w:val="008D51BE"/>
    <w:rsid w:val="008D530F"/>
    <w:rsid w:val="008D5764"/>
    <w:rsid w:val="008D6158"/>
    <w:rsid w:val="008D68AF"/>
    <w:rsid w:val="008D6EF3"/>
    <w:rsid w:val="008D741E"/>
    <w:rsid w:val="008E095D"/>
    <w:rsid w:val="008E182D"/>
    <w:rsid w:val="008E1912"/>
    <w:rsid w:val="008E1AB1"/>
    <w:rsid w:val="008E25D6"/>
    <w:rsid w:val="008E36D2"/>
    <w:rsid w:val="008E3B1C"/>
    <w:rsid w:val="008E4162"/>
    <w:rsid w:val="008E4177"/>
    <w:rsid w:val="008E4626"/>
    <w:rsid w:val="008E479A"/>
    <w:rsid w:val="008E4B6E"/>
    <w:rsid w:val="008E6851"/>
    <w:rsid w:val="008E6B47"/>
    <w:rsid w:val="008E73C2"/>
    <w:rsid w:val="008E7BD4"/>
    <w:rsid w:val="008E7E9D"/>
    <w:rsid w:val="008F028A"/>
    <w:rsid w:val="008F04E7"/>
    <w:rsid w:val="008F077D"/>
    <w:rsid w:val="008F0A95"/>
    <w:rsid w:val="008F0C4D"/>
    <w:rsid w:val="008F0D60"/>
    <w:rsid w:val="008F1032"/>
    <w:rsid w:val="008F113E"/>
    <w:rsid w:val="008F127D"/>
    <w:rsid w:val="008F188F"/>
    <w:rsid w:val="008F1E12"/>
    <w:rsid w:val="008F2BA7"/>
    <w:rsid w:val="008F2C9D"/>
    <w:rsid w:val="008F2DCF"/>
    <w:rsid w:val="008F2EB9"/>
    <w:rsid w:val="008F32FC"/>
    <w:rsid w:val="008F344E"/>
    <w:rsid w:val="008F3A20"/>
    <w:rsid w:val="008F3B1E"/>
    <w:rsid w:val="008F3C5D"/>
    <w:rsid w:val="008F4302"/>
    <w:rsid w:val="008F4306"/>
    <w:rsid w:val="008F4465"/>
    <w:rsid w:val="008F52AE"/>
    <w:rsid w:val="008F567D"/>
    <w:rsid w:val="008F6F1A"/>
    <w:rsid w:val="008F6F56"/>
    <w:rsid w:val="008F73C7"/>
    <w:rsid w:val="008F75E3"/>
    <w:rsid w:val="008F769A"/>
    <w:rsid w:val="008F7897"/>
    <w:rsid w:val="008F79B7"/>
    <w:rsid w:val="009009A2"/>
    <w:rsid w:val="00900AC7"/>
    <w:rsid w:val="00900FF1"/>
    <w:rsid w:val="0090137A"/>
    <w:rsid w:val="00901805"/>
    <w:rsid w:val="00901D9D"/>
    <w:rsid w:val="00903370"/>
    <w:rsid w:val="009037F2"/>
    <w:rsid w:val="00903C59"/>
    <w:rsid w:val="009040EE"/>
    <w:rsid w:val="00904E36"/>
    <w:rsid w:val="009058A5"/>
    <w:rsid w:val="00905F8F"/>
    <w:rsid w:val="009067F1"/>
    <w:rsid w:val="00906ABA"/>
    <w:rsid w:val="009071D2"/>
    <w:rsid w:val="009103D9"/>
    <w:rsid w:val="00910683"/>
    <w:rsid w:val="0091349A"/>
    <w:rsid w:val="00913B3C"/>
    <w:rsid w:val="00914399"/>
    <w:rsid w:val="00914562"/>
    <w:rsid w:val="00914F3C"/>
    <w:rsid w:val="0091530C"/>
    <w:rsid w:val="009158BF"/>
    <w:rsid w:val="00915C3B"/>
    <w:rsid w:val="009166A4"/>
    <w:rsid w:val="00916772"/>
    <w:rsid w:val="0091682D"/>
    <w:rsid w:val="00916916"/>
    <w:rsid w:val="00917289"/>
    <w:rsid w:val="00917BFC"/>
    <w:rsid w:val="00917DAC"/>
    <w:rsid w:val="00917FD0"/>
    <w:rsid w:val="009201C1"/>
    <w:rsid w:val="00920D58"/>
    <w:rsid w:val="00922099"/>
    <w:rsid w:val="0092224E"/>
    <w:rsid w:val="0092264E"/>
    <w:rsid w:val="00922B2F"/>
    <w:rsid w:val="00922E63"/>
    <w:rsid w:val="009230BA"/>
    <w:rsid w:val="00923ABC"/>
    <w:rsid w:val="00924BEE"/>
    <w:rsid w:val="00925993"/>
    <w:rsid w:val="009259D4"/>
    <w:rsid w:val="00925E36"/>
    <w:rsid w:val="0092704D"/>
    <w:rsid w:val="00927CF4"/>
    <w:rsid w:val="00927D3B"/>
    <w:rsid w:val="0093016F"/>
    <w:rsid w:val="0093061D"/>
    <w:rsid w:val="00931C57"/>
    <w:rsid w:val="00931DF2"/>
    <w:rsid w:val="00931F9A"/>
    <w:rsid w:val="00932CFC"/>
    <w:rsid w:val="009331DC"/>
    <w:rsid w:val="00933E08"/>
    <w:rsid w:val="009342FC"/>
    <w:rsid w:val="0093493F"/>
    <w:rsid w:val="00934F00"/>
    <w:rsid w:val="0093522F"/>
    <w:rsid w:val="00936068"/>
    <w:rsid w:val="00936530"/>
    <w:rsid w:val="00936FC2"/>
    <w:rsid w:val="00937855"/>
    <w:rsid w:val="00937BC3"/>
    <w:rsid w:val="00940252"/>
    <w:rsid w:val="0094034E"/>
    <w:rsid w:val="00940913"/>
    <w:rsid w:val="00940C7D"/>
    <w:rsid w:val="00941267"/>
    <w:rsid w:val="0094187C"/>
    <w:rsid w:val="00941AAD"/>
    <w:rsid w:val="009431A1"/>
    <w:rsid w:val="009432E1"/>
    <w:rsid w:val="00943806"/>
    <w:rsid w:val="00945110"/>
    <w:rsid w:val="0094514C"/>
    <w:rsid w:val="009457E0"/>
    <w:rsid w:val="00945F4E"/>
    <w:rsid w:val="00946351"/>
    <w:rsid w:val="0094682E"/>
    <w:rsid w:val="009468E5"/>
    <w:rsid w:val="0094733B"/>
    <w:rsid w:val="00947404"/>
    <w:rsid w:val="00947601"/>
    <w:rsid w:val="00947CF6"/>
    <w:rsid w:val="00947E52"/>
    <w:rsid w:val="00950E2B"/>
    <w:rsid w:val="00950E7E"/>
    <w:rsid w:val="009517CC"/>
    <w:rsid w:val="009518D2"/>
    <w:rsid w:val="00952767"/>
    <w:rsid w:val="00954909"/>
    <w:rsid w:val="00954EA4"/>
    <w:rsid w:val="0095594C"/>
    <w:rsid w:val="00955B95"/>
    <w:rsid w:val="00956D03"/>
    <w:rsid w:val="00956E46"/>
    <w:rsid w:val="00956F23"/>
    <w:rsid w:val="00957494"/>
    <w:rsid w:val="00957634"/>
    <w:rsid w:val="00957DBB"/>
    <w:rsid w:val="00960122"/>
    <w:rsid w:val="009603A8"/>
    <w:rsid w:val="009615D4"/>
    <w:rsid w:val="00961FE4"/>
    <w:rsid w:val="0096223C"/>
    <w:rsid w:val="009627F4"/>
    <w:rsid w:val="00962905"/>
    <w:rsid w:val="00965925"/>
    <w:rsid w:val="00966428"/>
    <w:rsid w:val="00967314"/>
    <w:rsid w:val="0096751D"/>
    <w:rsid w:val="00967959"/>
    <w:rsid w:val="009701AA"/>
    <w:rsid w:val="009709CC"/>
    <w:rsid w:val="00970A20"/>
    <w:rsid w:val="0097163D"/>
    <w:rsid w:val="009721F8"/>
    <w:rsid w:val="00972230"/>
    <w:rsid w:val="00972B49"/>
    <w:rsid w:val="00974677"/>
    <w:rsid w:val="00975393"/>
    <w:rsid w:val="00976023"/>
    <w:rsid w:val="00976C70"/>
    <w:rsid w:val="009777FA"/>
    <w:rsid w:val="00977F80"/>
    <w:rsid w:val="00980461"/>
    <w:rsid w:val="0098084A"/>
    <w:rsid w:val="009815AD"/>
    <w:rsid w:val="00982152"/>
    <w:rsid w:val="00982F28"/>
    <w:rsid w:val="009833D3"/>
    <w:rsid w:val="00984959"/>
    <w:rsid w:val="00985BE8"/>
    <w:rsid w:val="009864AF"/>
    <w:rsid w:val="00986CB4"/>
    <w:rsid w:val="009877E5"/>
    <w:rsid w:val="00987932"/>
    <w:rsid w:val="009901F4"/>
    <w:rsid w:val="00990A66"/>
    <w:rsid w:val="0099144A"/>
    <w:rsid w:val="009915E1"/>
    <w:rsid w:val="00991C7F"/>
    <w:rsid w:val="00992A24"/>
    <w:rsid w:val="00992BF1"/>
    <w:rsid w:val="009935FE"/>
    <w:rsid w:val="00993E70"/>
    <w:rsid w:val="009945CD"/>
    <w:rsid w:val="009946CB"/>
    <w:rsid w:val="00994D24"/>
    <w:rsid w:val="00995C31"/>
    <w:rsid w:val="00995E8F"/>
    <w:rsid w:val="009969C3"/>
    <w:rsid w:val="0099700A"/>
    <w:rsid w:val="009973A7"/>
    <w:rsid w:val="00997D34"/>
    <w:rsid w:val="00997DC8"/>
    <w:rsid w:val="009A0628"/>
    <w:rsid w:val="009A0CA8"/>
    <w:rsid w:val="009A1173"/>
    <w:rsid w:val="009A21E6"/>
    <w:rsid w:val="009A2637"/>
    <w:rsid w:val="009A2848"/>
    <w:rsid w:val="009A2A84"/>
    <w:rsid w:val="009A2F17"/>
    <w:rsid w:val="009A3C2B"/>
    <w:rsid w:val="009A4212"/>
    <w:rsid w:val="009A462A"/>
    <w:rsid w:val="009A4A95"/>
    <w:rsid w:val="009A4D18"/>
    <w:rsid w:val="009A5457"/>
    <w:rsid w:val="009A5478"/>
    <w:rsid w:val="009A6711"/>
    <w:rsid w:val="009A7376"/>
    <w:rsid w:val="009B092F"/>
    <w:rsid w:val="009B0B9A"/>
    <w:rsid w:val="009B11C6"/>
    <w:rsid w:val="009B1BFC"/>
    <w:rsid w:val="009B2EA7"/>
    <w:rsid w:val="009B3C6F"/>
    <w:rsid w:val="009B3D49"/>
    <w:rsid w:val="009B5F7B"/>
    <w:rsid w:val="009B6B1E"/>
    <w:rsid w:val="009B6CD4"/>
    <w:rsid w:val="009B7FD0"/>
    <w:rsid w:val="009C065F"/>
    <w:rsid w:val="009C11E1"/>
    <w:rsid w:val="009C1510"/>
    <w:rsid w:val="009C154A"/>
    <w:rsid w:val="009C23AF"/>
    <w:rsid w:val="009C2867"/>
    <w:rsid w:val="009C33A1"/>
    <w:rsid w:val="009C3E7B"/>
    <w:rsid w:val="009C43F5"/>
    <w:rsid w:val="009C5745"/>
    <w:rsid w:val="009C6075"/>
    <w:rsid w:val="009C7575"/>
    <w:rsid w:val="009C75E7"/>
    <w:rsid w:val="009C7FED"/>
    <w:rsid w:val="009D0962"/>
    <w:rsid w:val="009D1461"/>
    <w:rsid w:val="009D24F5"/>
    <w:rsid w:val="009D2BAB"/>
    <w:rsid w:val="009D3294"/>
    <w:rsid w:val="009D4862"/>
    <w:rsid w:val="009D4ED4"/>
    <w:rsid w:val="009D61B1"/>
    <w:rsid w:val="009D621D"/>
    <w:rsid w:val="009D6413"/>
    <w:rsid w:val="009D68A2"/>
    <w:rsid w:val="009D6A11"/>
    <w:rsid w:val="009D6AFB"/>
    <w:rsid w:val="009D6EF7"/>
    <w:rsid w:val="009D7165"/>
    <w:rsid w:val="009D7676"/>
    <w:rsid w:val="009D7762"/>
    <w:rsid w:val="009D7E87"/>
    <w:rsid w:val="009E004B"/>
    <w:rsid w:val="009E03A0"/>
    <w:rsid w:val="009E04AB"/>
    <w:rsid w:val="009E07B4"/>
    <w:rsid w:val="009E0C4D"/>
    <w:rsid w:val="009E166B"/>
    <w:rsid w:val="009E19A3"/>
    <w:rsid w:val="009E1FC4"/>
    <w:rsid w:val="009E2BF5"/>
    <w:rsid w:val="009E2F26"/>
    <w:rsid w:val="009E31A0"/>
    <w:rsid w:val="009E3327"/>
    <w:rsid w:val="009E37A5"/>
    <w:rsid w:val="009E3C31"/>
    <w:rsid w:val="009E4DC0"/>
    <w:rsid w:val="009E5AAE"/>
    <w:rsid w:val="009F0655"/>
    <w:rsid w:val="009F0B89"/>
    <w:rsid w:val="009F14A8"/>
    <w:rsid w:val="009F23C0"/>
    <w:rsid w:val="009F23DD"/>
    <w:rsid w:val="009F3AAE"/>
    <w:rsid w:val="009F4D1F"/>
    <w:rsid w:val="009F4DEB"/>
    <w:rsid w:val="009F4EB8"/>
    <w:rsid w:val="009F5B49"/>
    <w:rsid w:val="009F5D62"/>
    <w:rsid w:val="009F7643"/>
    <w:rsid w:val="00A0069E"/>
    <w:rsid w:val="00A00E65"/>
    <w:rsid w:val="00A029C4"/>
    <w:rsid w:val="00A02A7A"/>
    <w:rsid w:val="00A04A89"/>
    <w:rsid w:val="00A04F30"/>
    <w:rsid w:val="00A05775"/>
    <w:rsid w:val="00A060D5"/>
    <w:rsid w:val="00A072C3"/>
    <w:rsid w:val="00A0757A"/>
    <w:rsid w:val="00A0797F"/>
    <w:rsid w:val="00A10712"/>
    <w:rsid w:val="00A10EC8"/>
    <w:rsid w:val="00A1113C"/>
    <w:rsid w:val="00A1117A"/>
    <w:rsid w:val="00A11572"/>
    <w:rsid w:val="00A11D03"/>
    <w:rsid w:val="00A1258F"/>
    <w:rsid w:val="00A128B7"/>
    <w:rsid w:val="00A12C76"/>
    <w:rsid w:val="00A134A3"/>
    <w:rsid w:val="00A13664"/>
    <w:rsid w:val="00A14C1C"/>
    <w:rsid w:val="00A15195"/>
    <w:rsid w:val="00A15AFF"/>
    <w:rsid w:val="00A15E70"/>
    <w:rsid w:val="00A1687F"/>
    <w:rsid w:val="00A200E2"/>
    <w:rsid w:val="00A201F8"/>
    <w:rsid w:val="00A21422"/>
    <w:rsid w:val="00A215AC"/>
    <w:rsid w:val="00A217F7"/>
    <w:rsid w:val="00A218DE"/>
    <w:rsid w:val="00A21955"/>
    <w:rsid w:val="00A221E4"/>
    <w:rsid w:val="00A2426A"/>
    <w:rsid w:val="00A245F6"/>
    <w:rsid w:val="00A24B3F"/>
    <w:rsid w:val="00A25645"/>
    <w:rsid w:val="00A25D1D"/>
    <w:rsid w:val="00A25D3F"/>
    <w:rsid w:val="00A27EBC"/>
    <w:rsid w:val="00A317BE"/>
    <w:rsid w:val="00A31C73"/>
    <w:rsid w:val="00A33609"/>
    <w:rsid w:val="00A33C79"/>
    <w:rsid w:val="00A33C8B"/>
    <w:rsid w:val="00A33ED4"/>
    <w:rsid w:val="00A34C30"/>
    <w:rsid w:val="00A34F57"/>
    <w:rsid w:val="00A35AB3"/>
    <w:rsid w:val="00A36131"/>
    <w:rsid w:val="00A361E9"/>
    <w:rsid w:val="00A3764B"/>
    <w:rsid w:val="00A37ACC"/>
    <w:rsid w:val="00A407D7"/>
    <w:rsid w:val="00A40865"/>
    <w:rsid w:val="00A416AD"/>
    <w:rsid w:val="00A417D0"/>
    <w:rsid w:val="00A4217A"/>
    <w:rsid w:val="00A43738"/>
    <w:rsid w:val="00A442D0"/>
    <w:rsid w:val="00A45B9C"/>
    <w:rsid w:val="00A45BA2"/>
    <w:rsid w:val="00A4694E"/>
    <w:rsid w:val="00A471AE"/>
    <w:rsid w:val="00A50CD9"/>
    <w:rsid w:val="00A51374"/>
    <w:rsid w:val="00A51C1C"/>
    <w:rsid w:val="00A52034"/>
    <w:rsid w:val="00A520D6"/>
    <w:rsid w:val="00A54ADA"/>
    <w:rsid w:val="00A5529A"/>
    <w:rsid w:val="00A55644"/>
    <w:rsid w:val="00A55F9C"/>
    <w:rsid w:val="00A56084"/>
    <w:rsid w:val="00A56407"/>
    <w:rsid w:val="00A56A39"/>
    <w:rsid w:val="00A5703F"/>
    <w:rsid w:val="00A60068"/>
    <w:rsid w:val="00A60945"/>
    <w:rsid w:val="00A6123F"/>
    <w:rsid w:val="00A625A2"/>
    <w:rsid w:val="00A62673"/>
    <w:rsid w:val="00A628F9"/>
    <w:rsid w:val="00A629F2"/>
    <w:rsid w:val="00A638E1"/>
    <w:rsid w:val="00A651D8"/>
    <w:rsid w:val="00A65953"/>
    <w:rsid w:val="00A65DCB"/>
    <w:rsid w:val="00A66E2D"/>
    <w:rsid w:val="00A67212"/>
    <w:rsid w:val="00A67CA7"/>
    <w:rsid w:val="00A700AD"/>
    <w:rsid w:val="00A702F7"/>
    <w:rsid w:val="00A704E2"/>
    <w:rsid w:val="00A70524"/>
    <w:rsid w:val="00A7084C"/>
    <w:rsid w:val="00A709DB"/>
    <w:rsid w:val="00A720F1"/>
    <w:rsid w:val="00A7291B"/>
    <w:rsid w:val="00A729C2"/>
    <w:rsid w:val="00A737F8"/>
    <w:rsid w:val="00A73B49"/>
    <w:rsid w:val="00A746AF"/>
    <w:rsid w:val="00A74F6A"/>
    <w:rsid w:val="00A75DCB"/>
    <w:rsid w:val="00A76E8E"/>
    <w:rsid w:val="00A80396"/>
    <w:rsid w:val="00A80399"/>
    <w:rsid w:val="00A806EE"/>
    <w:rsid w:val="00A8183A"/>
    <w:rsid w:val="00A81BDE"/>
    <w:rsid w:val="00A826D1"/>
    <w:rsid w:val="00A827EA"/>
    <w:rsid w:val="00A8287D"/>
    <w:rsid w:val="00A829CF"/>
    <w:rsid w:val="00A830A2"/>
    <w:rsid w:val="00A8320B"/>
    <w:rsid w:val="00A838AB"/>
    <w:rsid w:val="00A83BE3"/>
    <w:rsid w:val="00A850EB"/>
    <w:rsid w:val="00A85FEB"/>
    <w:rsid w:val="00A86051"/>
    <w:rsid w:val="00A8625F"/>
    <w:rsid w:val="00A86C05"/>
    <w:rsid w:val="00A86C2D"/>
    <w:rsid w:val="00A87AB4"/>
    <w:rsid w:val="00A87B2E"/>
    <w:rsid w:val="00A90151"/>
    <w:rsid w:val="00A90256"/>
    <w:rsid w:val="00A906FF"/>
    <w:rsid w:val="00A90CB4"/>
    <w:rsid w:val="00A912C4"/>
    <w:rsid w:val="00A927A8"/>
    <w:rsid w:val="00A92D17"/>
    <w:rsid w:val="00A92EFD"/>
    <w:rsid w:val="00A9359B"/>
    <w:rsid w:val="00A942C3"/>
    <w:rsid w:val="00A9545C"/>
    <w:rsid w:val="00A96211"/>
    <w:rsid w:val="00A970A6"/>
    <w:rsid w:val="00A972BE"/>
    <w:rsid w:val="00A97CFC"/>
    <w:rsid w:val="00AA0753"/>
    <w:rsid w:val="00AA08C0"/>
    <w:rsid w:val="00AA0BF4"/>
    <w:rsid w:val="00AA163B"/>
    <w:rsid w:val="00AA1E06"/>
    <w:rsid w:val="00AA1E58"/>
    <w:rsid w:val="00AA2571"/>
    <w:rsid w:val="00AA3342"/>
    <w:rsid w:val="00AA3569"/>
    <w:rsid w:val="00AA3CB5"/>
    <w:rsid w:val="00AA4B75"/>
    <w:rsid w:val="00AA5A6D"/>
    <w:rsid w:val="00AA6737"/>
    <w:rsid w:val="00AA70B1"/>
    <w:rsid w:val="00AA7253"/>
    <w:rsid w:val="00AA7812"/>
    <w:rsid w:val="00AA7CF1"/>
    <w:rsid w:val="00AB04C3"/>
    <w:rsid w:val="00AB09ED"/>
    <w:rsid w:val="00AB0B21"/>
    <w:rsid w:val="00AB10F4"/>
    <w:rsid w:val="00AB27C0"/>
    <w:rsid w:val="00AB2851"/>
    <w:rsid w:val="00AB2962"/>
    <w:rsid w:val="00AB2C45"/>
    <w:rsid w:val="00AB2D17"/>
    <w:rsid w:val="00AB303D"/>
    <w:rsid w:val="00AB34AD"/>
    <w:rsid w:val="00AB3939"/>
    <w:rsid w:val="00AB3B58"/>
    <w:rsid w:val="00AB3B9B"/>
    <w:rsid w:val="00AB46E2"/>
    <w:rsid w:val="00AB4BEA"/>
    <w:rsid w:val="00AB4F71"/>
    <w:rsid w:val="00AB58E4"/>
    <w:rsid w:val="00AB5D5A"/>
    <w:rsid w:val="00AC042F"/>
    <w:rsid w:val="00AC12F0"/>
    <w:rsid w:val="00AC1494"/>
    <w:rsid w:val="00AC19A8"/>
    <w:rsid w:val="00AC30FB"/>
    <w:rsid w:val="00AC407B"/>
    <w:rsid w:val="00AC4F7C"/>
    <w:rsid w:val="00AC50EC"/>
    <w:rsid w:val="00AC587D"/>
    <w:rsid w:val="00AC5A2B"/>
    <w:rsid w:val="00AC6098"/>
    <w:rsid w:val="00AC6145"/>
    <w:rsid w:val="00AC7098"/>
    <w:rsid w:val="00AD017C"/>
    <w:rsid w:val="00AD054E"/>
    <w:rsid w:val="00AD05DB"/>
    <w:rsid w:val="00AD0BB4"/>
    <w:rsid w:val="00AD1672"/>
    <w:rsid w:val="00AD176B"/>
    <w:rsid w:val="00AD1AA2"/>
    <w:rsid w:val="00AD2659"/>
    <w:rsid w:val="00AD2C23"/>
    <w:rsid w:val="00AD407E"/>
    <w:rsid w:val="00AD43A9"/>
    <w:rsid w:val="00AD4D28"/>
    <w:rsid w:val="00AD5095"/>
    <w:rsid w:val="00AD5E7D"/>
    <w:rsid w:val="00AD6B1A"/>
    <w:rsid w:val="00AD6C5D"/>
    <w:rsid w:val="00AD6FE0"/>
    <w:rsid w:val="00AD73B6"/>
    <w:rsid w:val="00AD781C"/>
    <w:rsid w:val="00AD7949"/>
    <w:rsid w:val="00AD7A30"/>
    <w:rsid w:val="00AD7B96"/>
    <w:rsid w:val="00AE0371"/>
    <w:rsid w:val="00AE16F8"/>
    <w:rsid w:val="00AE1983"/>
    <w:rsid w:val="00AE24DF"/>
    <w:rsid w:val="00AE2F26"/>
    <w:rsid w:val="00AE40AA"/>
    <w:rsid w:val="00AE5C06"/>
    <w:rsid w:val="00AE6524"/>
    <w:rsid w:val="00AE7107"/>
    <w:rsid w:val="00AF02C4"/>
    <w:rsid w:val="00AF1C10"/>
    <w:rsid w:val="00AF28A2"/>
    <w:rsid w:val="00AF2C31"/>
    <w:rsid w:val="00AF2E1A"/>
    <w:rsid w:val="00AF2FA8"/>
    <w:rsid w:val="00AF3BD9"/>
    <w:rsid w:val="00AF3D74"/>
    <w:rsid w:val="00AF403B"/>
    <w:rsid w:val="00AF41B8"/>
    <w:rsid w:val="00AF479F"/>
    <w:rsid w:val="00AF4A28"/>
    <w:rsid w:val="00AF51CA"/>
    <w:rsid w:val="00AF561D"/>
    <w:rsid w:val="00AF56E8"/>
    <w:rsid w:val="00AF576F"/>
    <w:rsid w:val="00AF5E82"/>
    <w:rsid w:val="00AF6B3E"/>
    <w:rsid w:val="00AF7004"/>
    <w:rsid w:val="00AF7A86"/>
    <w:rsid w:val="00B0016A"/>
    <w:rsid w:val="00B00988"/>
    <w:rsid w:val="00B01C1B"/>
    <w:rsid w:val="00B02D0F"/>
    <w:rsid w:val="00B032D7"/>
    <w:rsid w:val="00B03B1E"/>
    <w:rsid w:val="00B03E9F"/>
    <w:rsid w:val="00B040D6"/>
    <w:rsid w:val="00B04462"/>
    <w:rsid w:val="00B044BC"/>
    <w:rsid w:val="00B04AC4"/>
    <w:rsid w:val="00B04AEF"/>
    <w:rsid w:val="00B06200"/>
    <w:rsid w:val="00B07C86"/>
    <w:rsid w:val="00B10AAF"/>
    <w:rsid w:val="00B10BDC"/>
    <w:rsid w:val="00B10FC9"/>
    <w:rsid w:val="00B11495"/>
    <w:rsid w:val="00B1166C"/>
    <w:rsid w:val="00B11F80"/>
    <w:rsid w:val="00B12563"/>
    <w:rsid w:val="00B13A7B"/>
    <w:rsid w:val="00B13EA7"/>
    <w:rsid w:val="00B14A51"/>
    <w:rsid w:val="00B152CA"/>
    <w:rsid w:val="00B1646D"/>
    <w:rsid w:val="00B166A1"/>
    <w:rsid w:val="00B16737"/>
    <w:rsid w:val="00B16916"/>
    <w:rsid w:val="00B173D6"/>
    <w:rsid w:val="00B17484"/>
    <w:rsid w:val="00B20A34"/>
    <w:rsid w:val="00B20D45"/>
    <w:rsid w:val="00B20F32"/>
    <w:rsid w:val="00B21D6E"/>
    <w:rsid w:val="00B23243"/>
    <w:rsid w:val="00B23258"/>
    <w:rsid w:val="00B23603"/>
    <w:rsid w:val="00B23960"/>
    <w:rsid w:val="00B23C6B"/>
    <w:rsid w:val="00B24318"/>
    <w:rsid w:val="00B24A28"/>
    <w:rsid w:val="00B24BD4"/>
    <w:rsid w:val="00B24C63"/>
    <w:rsid w:val="00B25988"/>
    <w:rsid w:val="00B261AB"/>
    <w:rsid w:val="00B26DB1"/>
    <w:rsid w:val="00B2769D"/>
    <w:rsid w:val="00B27E52"/>
    <w:rsid w:val="00B302E0"/>
    <w:rsid w:val="00B302FA"/>
    <w:rsid w:val="00B30ABD"/>
    <w:rsid w:val="00B32125"/>
    <w:rsid w:val="00B32D6C"/>
    <w:rsid w:val="00B331D8"/>
    <w:rsid w:val="00B33E11"/>
    <w:rsid w:val="00B34048"/>
    <w:rsid w:val="00B342E3"/>
    <w:rsid w:val="00B359A6"/>
    <w:rsid w:val="00B36335"/>
    <w:rsid w:val="00B366BF"/>
    <w:rsid w:val="00B36DE8"/>
    <w:rsid w:val="00B3749D"/>
    <w:rsid w:val="00B37651"/>
    <w:rsid w:val="00B37AAB"/>
    <w:rsid w:val="00B409F5"/>
    <w:rsid w:val="00B40C4E"/>
    <w:rsid w:val="00B41216"/>
    <w:rsid w:val="00B42596"/>
    <w:rsid w:val="00B443CC"/>
    <w:rsid w:val="00B444E9"/>
    <w:rsid w:val="00B44ACE"/>
    <w:rsid w:val="00B4506F"/>
    <w:rsid w:val="00B4534E"/>
    <w:rsid w:val="00B4632F"/>
    <w:rsid w:val="00B46CDD"/>
    <w:rsid w:val="00B5080C"/>
    <w:rsid w:val="00B5088D"/>
    <w:rsid w:val="00B516CA"/>
    <w:rsid w:val="00B51BBD"/>
    <w:rsid w:val="00B51CB4"/>
    <w:rsid w:val="00B52502"/>
    <w:rsid w:val="00B52D3E"/>
    <w:rsid w:val="00B53E34"/>
    <w:rsid w:val="00B540F6"/>
    <w:rsid w:val="00B5437A"/>
    <w:rsid w:val="00B55531"/>
    <w:rsid w:val="00B5623C"/>
    <w:rsid w:val="00B56E37"/>
    <w:rsid w:val="00B57132"/>
    <w:rsid w:val="00B57390"/>
    <w:rsid w:val="00B60947"/>
    <w:rsid w:val="00B60BB9"/>
    <w:rsid w:val="00B61550"/>
    <w:rsid w:val="00B6184C"/>
    <w:rsid w:val="00B61FA3"/>
    <w:rsid w:val="00B621A7"/>
    <w:rsid w:val="00B621DA"/>
    <w:rsid w:val="00B628D7"/>
    <w:rsid w:val="00B63213"/>
    <w:rsid w:val="00B634C9"/>
    <w:rsid w:val="00B637A5"/>
    <w:rsid w:val="00B64A38"/>
    <w:rsid w:val="00B655A0"/>
    <w:rsid w:val="00B65DAA"/>
    <w:rsid w:val="00B65E5E"/>
    <w:rsid w:val="00B66654"/>
    <w:rsid w:val="00B667A6"/>
    <w:rsid w:val="00B66B2F"/>
    <w:rsid w:val="00B66F3B"/>
    <w:rsid w:val="00B675B1"/>
    <w:rsid w:val="00B67B80"/>
    <w:rsid w:val="00B67C6B"/>
    <w:rsid w:val="00B702A3"/>
    <w:rsid w:val="00B70D71"/>
    <w:rsid w:val="00B7126F"/>
    <w:rsid w:val="00B71416"/>
    <w:rsid w:val="00B71697"/>
    <w:rsid w:val="00B718BA"/>
    <w:rsid w:val="00B71D77"/>
    <w:rsid w:val="00B71EA1"/>
    <w:rsid w:val="00B71EDA"/>
    <w:rsid w:val="00B720EC"/>
    <w:rsid w:val="00B72724"/>
    <w:rsid w:val="00B72729"/>
    <w:rsid w:val="00B72D61"/>
    <w:rsid w:val="00B738C7"/>
    <w:rsid w:val="00B73F3D"/>
    <w:rsid w:val="00B73F77"/>
    <w:rsid w:val="00B74AB8"/>
    <w:rsid w:val="00B74F7F"/>
    <w:rsid w:val="00B75243"/>
    <w:rsid w:val="00B75B08"/>
    <w:rsid w:val="00B75DC0"/>
    <w:rsid w:val="00B7663C"/>
    <w:rsid w:val="00B76F5B"/>
    <w:rsid w:val="00B77055"/>
    <w:rsid w:val="00B77FD1"/>
    <w:rsid w:val="00B80398"/>
    <w:rsid w:val="00B80838"/>
    <w:rsid w:val="00B808CA"/>
    <w:rsid w:val="00B82627"/>
    <w:rsid w:val="00B8267E"/>
    <w:rsid w:val="00B83DBE"/>
    <w:rsid w:val="00B84122"/>
    <w:rsid w:val="00B84159"/>
    <w:rsid w:val="00B8424D"/>
    <w:rsid w:val="00B8451C"/>
    <w:rsid w:val="00B84869"/>
    <w:rsid w:val="00B848E3"/>
    <w:rsid w:val="00B84B8A"/>
    <w:rsid w:val="00B84D1B"/>
    <w:rsid w:val="00B8526E"/>
    <w:rsid w:val="00B852E0"/>
    <w:rsid w:val="00B8559F"/>
    <w:rsid w:val="00B86607"/>
    <w:rsid w:val="00B8666F"/>
    <w:rsid w:val="00B87859"/>
    <w:rsid w:val="00B90910"/>
    <w:rsid w:val="00B90D1A"/>
    <w:rsid w:val="00B918CD"/>
    <w:rsid w:val="00B91A69"/>
    <w:rsid w:val="00B91D47"/>
    <w:rsid w:val="00B92082"/>
    <w:rsid w:val="00B93862"/>
    <w:rsid w:val="00B9474C"/>
    <w:rsid w:val="00B95049"/>
    <w:rsid w:val="00B953E2"/>
    <w:rsid w:val="00B9691D"/>
    <w:rsid w:val="00B97982"/>
    <w:rsid w:val="00BA0617"/>
    <w:rsid w:val="00BA0917"/>
    <w:rsid w:val="00BA10BD"/>
    <w:rsid w:val="00BA21B3"/>
    <w:rsid w:val="00BA23D2"/>
    <w:rsid w:val="00BA32D6"/>
    <w:rsid w:val="00BA360A"/>
    <w:rsid w:val="00BA3CB8"/>
    <w:rsid w:val="00BA3E12"/>
    <w:rsid w:val="00BA4620"/>
    <w:rsid w:val="00BA46DE"/>
    <w:rsid w:val="00BA52E4"/>
    <w:rsid w:val="00BA5A85"/>
    <w:rsid w:val="00BA5B24"/>
    <w:rsid w:val="00BA6136"/>
    <w:rsid w:val="00BA6E34"/>
    <w:rsid w:val="00BA6F33"/>
    <w:rsid w:val="00BA7623"/>
    <w:rsid w:val="00BB00AB"/>
    <w:rsid w:val="00BB0832"/>
    <w:rsid w:val="00BB14DE"/>
    <w:rsid w:val="00BB16E2"/>
    <w:rsid w:val="00BB1F00"/>
    <w:rsid w:val="00BB2899"/>
    <w:rsid w:val="00BB2A13"/>
    <w:rsid w:val="00BB3398"/>
    <w:rsid w:val="00BB39E6"/>
    <w:rsid w:val="00BB4255"/>
    <w:rsid w:val="00BB5E89"/>
    <w:rsid w:val="00BB6475"/>
    <w:rsid w:val="00BB7C26"/>
    <w:rsid w:val="00BC0DCE"/>
    <w:rsid w:val="00BC127C"/>
    <w:rsid w:val="00BC2019"/>
    <w:rsid w:val="00BC23F8"/>
    <w:rsid w:val="00BC3593"/>
    <w:rsid w:val="00BC53E3"/>
    <w:rsid w:val="00BC54A2"/>
    <w:rsid w:val="00BC579A"/>
    <w:rsid w:val="00BC6606"/>
    <w:rsid w:val="00BC76E8"/>
    <w:rsid w:val="00BC7C1B"/>
    <w:rsid w:val="00BD001E"/>
    <w:rsid w:val="00BD02B5"/>
    <w:rsid w:val="00BD0680"/>
    <w:rsid w:val="00BD0DF5"/>
    <w:rsid w:val="00BD102F"/>
    <w:rsid w:val="00BD190D"/>
    <w:rsid w:val="00BD1B9A"/>
    <w:rsid w:val="00BD39ED"/>
    <w:rsid w:val="00BD3B27"/>
    <w:rsid w:val="00BD5544"/>
    <w:rsid w:val="00BD607A"/>
    <w:rsid w:val="00BD6437"/>
    <w:rsid w:val="00BD6834"/>
    <w:rsid w:val="00BD7CDD"/>
    <w:rsid w:val="00BD7F9B"/>
    <w:rsid w:val="00BE0434"/>
    <w:rsid w:val="00BE0E20"/>
    <w:rsid w:val="00BE123C"/>
    <w:rsid w:val="00BE1B0D"/>
    <w:rsid w:val="00BE1FF2"/>
    <w:rsid w:val="00BE296E"/>
    <w:rsid w:val="00BE2CCC"/>
    <w:rsid w:val="00BE4F8E"/>
    <w:rsid w:val="00BE50FC"/>
    <w:rsid w:val="00BE54D0"/>
    <w:rsid w:val="00BE5F7A"/>
    <w:rsid w:val="00BE687F"/>
    <w:rsid w:val="00BE7CDF"/>
    <w:rsid w:val="00BE7D3F"/>
    <w:rsid w:val="00BF038C"/>
    <w:rsid w:val="00BF0EF2"/>
    <w:rsid w:val="00BF11A0"/>
    <w:rsid w:val="00BF1254"/>
    <w:rsid w:val="00BF1878"/>
    <w:rsid w:val="00BF1DCF"/>
    <w:rsid w:val="00BF1FB1"/>
    <w:rsid w:val="00BF2902"/>
    <w:rsid w:val="00BF2A60"/>
    <w:rsid w:val="00BF3D26"/>
    <w:rsid w:val="00BF4338"/>
    <w:rsid w:val="00BF523E"/>
    <w:rsid w:val="00BF5513"/>
    <w:rsid w:val="00BF5726"/>
    <w:rsid w:val="00BF5965"/>
    <w:rsid w:val="00BF5F80"/>
    <w:rsid w:val="00BF68C8"/>
    <w:rsid w:val="00BF69CE"/>
    <w:rsid w:val="00C00240"/>
    <w:rsid w:val="00C0075D"/>
    <w:rsid w:val="00C016A3"/>
    <w:rsid w:val="00C01E68"/>
    <w:rsid w:val="00C01EAC"/>
    <w:rsid w:val="00C02747"/>
    <w:rsid w:val="00C03393"/>
    <w:rsid w:val="00C042AF"/>
    <w:rsid w:val="00C0496D"/>
    <w:rsid w:val="00C04F93"/>
    <w:rsid w:val="00C0503D"/>
    <w:rsid w:val="00C057E1"/>
    <w:rsid w:val="00C060D3"/>
    <w:rsid w:val="00C06121"/>
    <w:rsid w:val="00C0649A"/>
    <w:rsid w:val="00C06F45"/>
    <w:rsid w:val="00C07A4E"/>
    <w:rsid w:val="00C1002E"/>
    <w:rsid w:val="00C112B8"/>
    <w:rsid w:val="00C117EF"/>
    <w:rsid w:val="00C11924"/>
    <w:rsid w:val="00C14016"/>
    <w:rsid w:val="00C1532F"/>
    <w:rsid w:val="00C15747"/>
    <w:rsid w:val="00C16580"/>
    <w:rsid w:val="00C16B85"/>
    <w:rsid w:val="00C172F5"/>
    <w:rsid w:val="00C17B40"/>
    <w:rsid w:val="00C17D69"/>
    <w:rsid w:val="00C17EE5"/>
    <w:rsid w:val="00C20185"/>
    <w:rsid w:val="00C20356"/>
    <w:rsid w:val="00C20D12"/>
    <w:rsid w:val="00C2101C"/>
    <w:rsid w:val="00C21F6C"/>
    <w:rsid w:val="00C221A0"/>
    <w:rsid w:val="00C238D1"/>
    <w:rsid w:val="00C244A0"/>
    <w:rsid w:val="00C2470A"/>
    <w:rsid w:val="00C256F6"/>
    <w:rsid w:val="00C25C46"/>
    <w:rsid w:val="00C26527"/>
    <w:rsid w:val="00C307CB"/>
    <w:rsid w:val="00C30896"/>
    <w:rsid w:val="00C30B4B"/>
    <w:rsid w:val="00C31E23"/>
    <w:rsid w:val="00C326F9"/>
    <w:rsid w:val="00C33B25"/>
    <w:rsid w:val="00C34BF2"/>
    <w:rsid w:val="00C34E78"/>
    <w:rsid w:val="00C35237"/>
    <w:rsid w:val="00C35EFF"/>
    <w:rsid w:val="00C362F9"/>
    <w:rsid w:val="00C36574"/>
    <w:rsid w:val="00C36FFC"/>
    <w:rsid w:val="00C3743C"/>
    <w:rsid w:val="00C3787A"/>
    <w:rsid w:val="00C37A29"/>
    <w:rsid w:val="00C40FE3"/>
    <w:rsid w:val="00C41682"/>
    <w:rsid w:val="00C41D0F"/>
    <w:rsid w:val="00C424B1"/>
    <w:rsid w:val="00C4455A"/>
    <w:rsid w:val="00C44F8B"/>
    <w:rsid w:val="00C467D2"/>
    <w:rsid w:val="00C46C72"/>
    <w:rsid w:val="00C47A26"/>
    <w:rsid w:val="00C50672"/>
    <w:rsid w:val="00C50C23"/>
    <w:rsid w:val="00C50F1E"/>
    <w:rsid w:val="00C525A7"/>
    <w:rsid w:val="00C5265B"/>
    <w:rsid w:val="00C52B1D"/>
    <w:rsid w:val="00C53006"/>
    <w:rsid w:val="00C537F4"/>
    <w:rsid w:val="00C539ED"/>
    <w:rsid w:val="00C53A2F"/>
    <w:rsid w:val="00C540E9"/>
    <w:rsid w:val="00C54309"/>
    <w:rsid w:val="00C5596C"/>
    <w:rsid w:val="00C55970"/>
    <w:rsid w:val="00C578E7"/>
    <w:rsid w:val="00C6087E"/>
    <w:rsid w:val="00C6113D"/>
    <w:rsid w:val="00C61917"/>
    <w:rsid w:val="00C61A66"/>
    <w:rsid w:val="00C624D0"/>
    <w:rsid w:val="00C6284C"/>
    <w:rsid w:val="00C628A0"/>
    <w:rsid w:val="00C631E3"/>
    <w:rsid w:val="00C63D54"/>
    <w:rsid w:val="00C64446"/>
    <w:rsid w:val="00C64705"/>
    <w:rsid w:val="00C648CF"/>
    <w:rsid w:val="00C64D9C"/>
    <w:rsid w:val="00C64F4F"/>
    <w:rsid w:val="00C655B1"/>
    <w:rsid w:val="00C656B7"/>
    <w:rsid w:val="00C66186"/>
    <w:rsid w:val="00C66895"/>
    <w:rsid w:val="00C66BF7"/>
    <w:rsid w:val="00C67708"/>
    <w:rsid w:val="00C6777B"/>
    <w:rsid w:val="00C70A96"/>
    <w:rsid w:val="00C70D80"/>
    <w:rsid w:val="00C70EFC"/>
    <w:rsid w:val="00C71027"/>
    <w:rsid w:val="00C71124"/>
    <w:rsid w:val="00C713E2"/>
    <w:rsid w:val="00C71688"/>
    <w:rsid w:val="00C71E51"/>
    <w:rsid w:val="00C72434"/>
    <w:rsid w:val="00C72B7D"/>
    <w:rsid w:val="00C73A69"/>
    <w:rsid w:val="00C73CE1"/>
    <w:rsid w:val="00C746E8"/>
    <w:rsid w:val="00C758DB"/>
    <w:rsid w:val="00C75C56"/>
    <w:rsid w:val="00C764AF"/>
    <w:rsid w:val="00C77C5C"/>
    <w:rsid w:val="00C8009B"/>
    <w:rsid w:val="00C809AF"/>
    <w:rsid w:val="00C8112E"/>
    <w:rsid w:val="00C8119E"/>
    <w:rsid w:val="00C812B6"/>
    <w:rsid w:val="00C81744"/>
    <w:rsid w:val="00C82EE0"/>
    <w:rsid w:val="00C83E20"/>
    <w:rsid w:val="00C8414D"/>
    <w:rsid w:val="00C84A3B"/>
    <w:rsid w:val="00C84D8C"/>
    <w:rsid w:val="00C85976"/>
    <w:rsid w:val="00C8640D"/>
    <w:rsid w:val="00C868EF"/>
    <w:rsid w:val="00C87784"/>
    <w:rsid w:val="00C87B2A"/>
    <w:rsid w:val="00C87BFA"/>
    <w:rsid w:val="00C87CF9"/>
    <w:rsid w:val="00C90B94"/>
    <w:rsid w:val="00C90BF4"/>
    <w:rsid w:val="00C91265"/>
    <w:rsid w:val="00C913D7"/>
    <w:rsid w:val="00C91490"/>
    <w:rsid w:val="00C923C6"/>
    <w:rsid w:val="00C92ACF"/>
    <w:rsid w:val="00C932F3"/>
    <w:rsid w:val="00C938C1"/>
    <w:rsid w:val="00C93D98"/>
    <w:rsid w:val="00C93E47"/>
    <w:rsid w:val="00C9475E"/>
    <w:rsid w:val="00C948EF"/>
    <w:rsid w:val="00C957C4"/>
    <w:rsid w:val="00C96C98"/>
    <w:rsid w:val="00C97C1A"/>
    <w:rsid w:val="00C97D54"/>
    <w:rsid w:val="00CA02C1"/>
    <w:rsid w:val="00CA0B3F"/>
    <w:rsid w:val="00CA0B89"/>
    <w:rsid w:val="00CA0F9D"/>
    <w:rsid w:val="00CA1A6F"/>
    <w:rsid w:val="00CA23D7"/>
    <w:rsid w:val="00CA25B8"/>
    <w:rsid w:val="00CA2AEC"/>
    <w:rsid w:val="00CA2C63"/>
    <w:rsid w:val="00CA2FE5"/>
    <w:rsid w:val="00CA468A"/>
    <w:rsid w:val="00CA54E1"/>
    <w:rsid w:val="00CA5853"/>
    <w:rsid w:val="00CA5A3D"/>
    <w:rsid w:val="00CA66DA"/>
    <w:rsid w:val="00CA6B08"/>
    <w:rsid w:val="00CA6C3C"/>
    <w:rsid w:val="00CA6FB7"/>
    <w:rsid w:val="00CA72E8"/>
    <w:rsid w:val="00CB006C"/>
    <w:rsid w:val="00CB0E69"/>
    <w:rsid w:val="00CB1AD9"/>
    <w:rsid w:val="00CB32F2"/>
    <w:rsid w:val="00CB3616"/>
    <w:rsid w:val="00CB4827"/>
    <w:rsid w:val="00CB5210"/>
    <w:rsid w:val="00CB561D"/>
    <w:rsid w:val="00CB5773"/>
    <w:rsid w:val="00CB6499"/>
    <w:rsid w:val="00CB68BC"/>
    <w:rsid w:val="00CB6CFA"/>
    <w:rsid w:val="00CB7689"/>
    <w:rsid w:val="00CC000C"/>
    <w:rsid w:val="00CC02F4"/>
    <w:rsid w:val="00CC07D5"/>
    <w:rsid w:val="00CC0AFA"/>
    <w:rsid w:val="00CC0D5B"/>
    <w:rsid w:val="00CC2772"/>
    <w:rsid w:val="00CC29CC"/>
    <w:rsid w:val="00CC2B95"/>
    <w:rsid w:val="00CC3171"/>
    <w:rsid w:val="00CC373C"/>
    <w:rsid w:val="00CC37A6"/>
    <w:rsid w:val="00CC3DE4"/>
    <w:rsid w:val="00CC44B2"/>
    <w:rsid w:val="00CC459B"/>
    <w:rsid w:val="00CC4B34"/>
    <w:rsid w:val="00CC543B"/>
    <w:rsid w:val="00CC5736"/>
    <w:rsid w:val="00CC5F5B"/>
    <w:rsid w:val="00CC60A9"/>
    <w:rsid w:val="00CC6AC2"/>
    <w:rsid w:val="00CC727D"/>
    <w:rsid w:val="00CD0DB5"/>
    <w:rsid w:val="00CD0ECA"/>
    <w:rsid w:val="00CD1E3E"/>
    <w:rsid w:val="00CD1F2C"/>
    <w:rsid w:val="00CD23E7"/>
    <w:rsid w:val="00CD24B8"/>
    <w:rsid w:val="00CD2563"/>
    <w:rsid w:val="00CD3108"/>
    <w:rsid w:val="00CD3F37"/>
    <w:rsid w:val="00CD3F72"/>
    <w:rsid w:val="00CD40F1"/>
    <w:rsid w:val="00CD61EB"/>
    <w:rsid w:val="00CD61EE"/>
    <w:rsid w:val="00CD6B21"/>
    <w:rsid w:val="00CD6D37"/>
    <w:rsid w:val="00CD73AA"/>
    <w:rsid w:val="00CD7450"/>
    <w:rsid w:val="00CD75A9"/>
    <w:rsid w:val="00CD7776"/>
    <w:rsid w:val="00CD7D3F"/>
    <w:rsid w:val="00CD7F44"/>
    <w:rsid w:val="00CE1DCD"/>
    <w:rsid w:val="00CE1EDD"/>
    <w:rsid w:val="00CE1F3B"/>
    <w:rsid w:val="00CE2338"/>
    <w:rsid w:val="00CE2ADD"/>
    <w:rsid w:val="00CE3286"/>
    <w:rsid w:val="00CE3B65"/>
    <w:rsid w:val="00CE3DD1"/>
    <w:rsid w:val="00CE43AF"/>
    <w:rsid w:val="00CE45C7"/>
    <w:rsid w:val="00CE4CCE"/>
    <w:rsid w:val="00CE4D3A"/>
    <w:rsid w:val="00CE5154"/>
    <w:rsid w:val="00CE53C7"/>
    <w:rsid w:val="00CE60EE"/>
    <w:rsid w:val="00CE64FD"/>
    <w:rsid w:val="00CE68E4"/>
    <w:rsid w:val="00CE7236"/>
    <w:rsid w:val="00CE7BB5"/>
    <w:rsid w:val="00CF02F0"/>
    <w:rsid w:val="00CF03FE"/>
    <w:rsid w:val="00CF0734"/>
    <w:rsid w:val="00CF0C6B"/>
    <w:rsid w:val="00CF1873"/>
    <w:rsid w:val="00CF1FBE"/>
    <w:rsid w:val="00CF2F59"/>
    <w:rsid w:val="00CF36FC"/>
    <w:rsid w:val="00CF38AA"/>
    <w:rsid w:val="00CF4AEF"/>
    <w:rsid w:val="00CF4BC6"/>
    <w:rsid w:val="00CF4EFF"/>
    <w:rsid w:val="00CF52E2"/>
    <w:rsid w:val="00CF6617"/>
    <w:rsid w:val="00CF7342"/>
    <w:rsid w:val="00CF7F06"/>
    <w:rsid w:val="00CF7FF0"/>
    <w:rsid w:val="00D01397"/>
    <w:rsid w:val="00D01615"/>
    <w:rsid w:val="00D01B55"/>
    <w:rsid w:val="00D02433"/>
    <w:rsid w:val="00D02971"/>
    <w:rsid w:val="00D02E69"/>
    <w:rsid w:val="00D0352E"/>
    <w:rsid w:val="00D037F7"/>
    <w:rsid w:val="00D03C98"/>
    <w:rsid w:val="00D04083"/>
    <w:rsid w:val="00D043F8"/>
    <w:rsid w:val="00D055AC"/>
    <w:rsid w:val="00D05B23"/>
    <w:rsid w:val="00D05DC5"/>
    <w:rsid w:val="00D06830"/>
    <w:rsid w:val="00D0698F"/>
    <w:rsid w:val="00D07690"/>
    <w:rsid w:val="00D10016"/>
    <w:rsid w:val="00D10F14"/>
    <w:rsid w:val="00D1236D"/>
    <w:rsid w:val="00D1343E"/>
    <w:rsid w:val="00D1395B"/>
    <w:rsid w:val="00D141D3"/>
    <w:rsid w:val="00D145F0"/>
    <w:rsid w:val="00D14DE6"/>
    <w:rsid w:val="00D15113"/>
    <w:rsid w:val="00D15B7C"/>
    <w:rsid w:val="00D15B7D"/>
    <w:rsid w:val="00D15DD4"/>
    <w:rsid w:val="00D1612D"/>
    <w:rsid w:val="00D16F74"/>
    <w:rsid w:val="00D17C74"/>
    <w:rsid w:val="00D17C7C"/>
    <w:rsid w:val="00D17DBA"/>
    <w:rsid w:val="00D17E92"/>
    <w:rsid w:val="00D20244"/>
    <w:rsid w:val="00D20A25"/>
    <w:rsid w:val="00D20A84"/>
    <w:rsid w:val="00D2184D"/>
    <w:rsid w:val="00D21873"/>
    <w:rsid w:val="00D22754"/>
    <w:rsid w:val="00D233AA"/>
    <w:rsid w:val="00D2356C"/>
    <w:rsid w:val="00D239D1"/>
    <w:rsid w:val="00D2454D"/>
    <w:rsid w:val="00D25DF1"/>
    <w:rsid w:val="00D27264"/>
    <w:rsid w:val="00D27C0B"/>
    <w:rsid w:val="00D30303"/>
    <w:rsid w:val="00D30791"/>
    <w:rsid w:val="00D30877"/>
    <w:rsid w:val="00D30A85"/>
    <w:rsid w:val="00D30D2D"/>
    <w:rsid w:val="00D31800"/>
    <w:rsid w:val="00D31E3E"/>
    <w:rsid w:val="00D32D87"/>
    <w:rsid w:val="00D330CA"/>
    <w:rsid w:val="00D3316D"/>
    <w:rsid w:val="00D3324D"/>
    <w:rsid w:val="00D33DBE"/>
    <w:rsid w:val="00D3414E"/>
    <w:rsid w:val="00D345FA"/>
    <w:rsid w:val="00D34C37"/>
    <w:rsid w:val="00D34E78"/>
    <w:rsid w:val="00D358EB"/>
    <w:rsid w:val="00D35A41"/>
    <w:rsid w:val="00D35F37"/>
    <w:rsid w:val="00D36C34"/>
    <w:rsid w:val="00D373D7"/>
    <w:rsid w:val="00D37526"/>
    <w:rsid w:val="00D37882"/>
    <w:rsid w:val="00D415E2"/>
    <w:rsid w:val="00D417B4"/>
    <w:rsid w:val="00D41A33"/>
    <w:rsid w:val="00D420B7"/>
    <w:rsid w:val="00D4254A"/>
    <w:rsid w:val="00D43172"/>
    <w:rsid w:val="00D44355"/>
    <w:rsid w:val="00D4516B"/>
    <w:rsid w:val="00D451CA"/>
    <w:rsid w:val="00D456D7"/>
    <w:rsid w:val="00D4617F"/>
    <w:rsid w:val="00D46EDE"/>
    <w:rsid w:val="00D46FD9"/>
    <w:rsid w:val="00D47DFD"/>
    <w:rsid w:val="00D50326"/>
    <w:rsid w:val="00D50335"/>
    <w:rsid w:val="00D50E98"/>
    <w:rsid w:val="00D522FB"/>
    <w:rsid w:val="00D53CE1"/>
    <w:rsid w:val="00D5512E"/>
    <w:rsid w:val="00D556D4"/>
    <w:rsid w:val="00D55D48"/>
    <w:rsid w:val="00D56198"/>
    <w:rsid w:val="00D57544"/>
    <w:rsid w:val="00D5792B"/>
    <w:rsid w:val="00D57CA7"/>
    <w:rsid w:val="00D60528"/>
    <w:rsid w:val="00D60649"/>
    <w:rsid w:val="00D611F9"/>
    <w:rsid w:val="00D61A87"/>
    <w:rsid w:val="00D61E88"/>
    <w:rsid w:val="00D6253C"/>
    <w:rsid w:val="00D62702"/>
    <w:rsid w:val="00D636CB"/>
    <w:rsid w:val="00D65650"/>
    <w:rsid w:val="00D67250"/>
    <w:rsid w:val="00D72D55"/>
    <w:rsid w:val="00D72DEE"/>
    <w:rsid w:val="00D7311B"/>
    <w:rsid w:val="00D73BFC"/>
    <w:rsid w:val="00D743F3"/>
    <w:rsid w:val="00D74889"/>
    <w:rsid w:val="00D748D4"/>
    <w:rsid w:val="00D755C5"/>
    <w:rsid w:val="00D75BED"/>
    <w:rsid w:val="00D7761B"/>
    <w:rsid w:val="00D80287"/>
    <w:rsid w:val="00D80D2C"/>
    <w:rsid w:val="00D811F9"/>
    <w:rsid w:val="00D81496"/>
    <w:rsid w:val="00D81723"/>
    <w:rsid w:val="00D81C1B"/>
    <w:rsid w:val="00D835A4"/>
    <w:rsid w:val="00D83923"/>
    <w:rsid w:val="00D8550A"/>
    <w:rsid w:val="00D855DD"/>
    <w:rsid w:val="00D85CE5"/>
    <w:rsid w:val="00D864BD"/>
    <w:rsid w:val="00D86A69"/>
    <w:rsid w:val="00D86EBE"/>
    <w:rsid w:val="00D86FEA"/>
    <w:rsid w:val="00D870A7"/>
    <w:rsid w:val="00D87126"/>
    <w:rsid w:val="00D87A03"/>
    <w:rsid w:val="00D905F4"/>
    <w:rsid w:val="00D9093C"/>
    <w:rsid w:val="00D91021"/>
    <w:rsid w:val="00D91191"/>
    <w:rsid w:val="00D91685"/>
    <w:rsid w:val="00D9191C"/>
    <w:rsid w:val="00D91974"/>
    <w:rsid w:val="00D91EDB"/>
    <w:rsid w:val="00D91F5D"/>
    <w:rsid w:val="00D9337E"/>
    <w:rsid w:val="00D939AC"/>
    <w:rsid w:val="00D93C46"/>
    <w:rsid w:val="00D93CE4"/>
    <w:rsid w:val="00D9419D"/>
    <w:rsid w:val="00D96F65"/>
    <w:rsid w:val="00D97037"/>
    <w:rsid w:val="00D970CA"/>
    <w:rsid w:val="00D97608"/>
    <w:rsid w:val="00D97629"/>
    <w:rsid w:val="00D97C9A"/>
    <w:rsid w:val="00DA0B37"/>
    <w:rsid w:val="00DA0EDD"/>
    <w:rsid w:val="00DA136C"/>
    <w:rsid w:val="00DA1B8D"/>
    <w:rsid w:val="00DA1E1F"/>
    <w:rsid w:val="00DA219E"/>
    <w:rsid w:val="00DA2C7E"/>
    <w:rsid w:val="00DA3017"/>
    <w:rsid w:val="00DA3223"/>
    <w:rsid w:val="00DA3CF4"/>
    <w:rsid w:val="00DA42B6"/>
    <w:rsid w:val="00DA4AC3"/>
    <w:rsid w:val="00DA5484"/>
    <w:rsid w:val="00DA5EEC"/>
    <w:rsid w:val="00DA77A0"/>
    <w:rsid w:val="00DA7961"/>
    <w:rsid w:val="00DA7C37"/>
    <w:rsid w:val="00DB09F8"/>
    <w:rsid w:val="00DB0C8F"/>
    <w:rsid w:val="00DB1B2D"/>
    <w:rsid w:val="00DB2009"/>
    <w:rsid w:val="00DB2699"/>
    <w:rsid w:val="00DB27EC"/>
    <w:rsid w:val="00DB2851"/>
    <w:rsid w:val="00DB2D44"/>
    <w:rsid w:val="00DB3E7A"/>
    <w:rsid w:val="00DB4170"/>
    <w:rsid w:val="00DB4AB3"/>
    <w:rsid w:val="00DB51BB"/>
    <w:rsid w:val="00DB5AA3"/>
    <w:rsid w:val="00DB663D"/>
    <w:rsid w:val="00DB6C8D"/>
    <w:rsid w:val="00DB6D9B"/>
    <w:rsid w:val="00DB7A0F"/>
    <w:rsid w:val="00DB7A53"/>
    <w:rsid w:val="00DB7E8D"/>
    <w:rsid w:val="00DC0435"/>
    <w:rsid w:val="00DC0FC2"/>
    <w:rsid w:val="00DC1012"/>
    <w:rsid w:val="00DC17F0"/>
    <w:rsid w:val="00DC1874"/>
    <w:rsid w:val="00DC18D8"/>
    <w:rsid w:val="00DC1967"/>
    <w:rsid w:val="00DC1B37"/>
    <w:rsid w:val="00DC1CA2"/>
    <w:rsid w:val="00DC1FC5"/>
    <w:rsid w:val="00DC210A"/>
    <w:rsid w:val="00DC29C1"/>
    <w:rsid w:val="00DC32B5"/>
    <w:rsid w:val="00DC3BDF"/>
    <w:rsid w:val="00DC406B"/>
    <w:rsid w:val="00DC5458"/>
    <w:rsid w:val="00DC5658"/>
    <w:rsid w:val="00DC5A29"/>
    <w:rsid w:val="00DC5DFF"/>
    <w:rsid w:val="00DC64F1"/>
    <w:rsid w:val="00DC694D"/>
    <w:rsid w:val="00DC704C"/>
    <w:rsid w:val="00DC74CB"/>
    <w:rsid w:val="00DC7602"/>
    <w:rsid w:val="00DC7B3E"/>
    <w:rsid w:val="00DD134A"/>
    <w:rsid w:val="00DD1B77"/>
    <w:rsid w:val="00DD3BC9"/>
    <w:rsid w:val="00DD4E8D"/>
    <w:rsid w:val="00DD4ED3"/>
    <w:rsid w:val="00DD51E8"/>
    <w:rsid w:val="00DD5D9D"/>
    <w:rsid w:val="00DD6182"/>
    <w:rsid w:val="00DD6473"/>
    <w:rsid w:val="00DD659D"/>
    <w:rsid w:val="00DD6BA1"/>
    <w:rsid w:val="00DD6F5C"/>
    <w:rsid w:val="00DE0168"/>
    <w:rsid w:val="00DE17A6"/>
    <w:rsid w:val="00DE1BA4"/>
    <w:rsid w:val="00DE1F7F"/>
    <w:rsid w:val="00DE23CF"/>
    <w:rsid w:val="00DE313F"/>
    <w:rsid w:val="00DE3254"/>
    <w:rsid w:val="00DE4541"/>
    <w:rsid w:val="00DE46D5"/>
    <w:rsid w:val="00DE51EE"/>
    <w:rsid w:val="00DE59EC"/>
    <w:rsid w:val="00DE5A09"/>
    <w:rsid w:val="00DE5F3B"/>
    <w:rsid w:val="00DE611F"/>
    <w:rsid w:val="00DE6D5A"/>
    <w:rsid w:val="00DE736A"/>
    <w:rsid w:val="00DE7596"/>
    <w:rsid w:val="00DE7D67"/>
    <w:rsid w:val="00DF0546"/>
    <w:rsid w:val="00DF3A9A"/>
    <w:rsid w:val="00DF3D88"/>
    <w:rsid w:val="00DF4925"/>
    <w:rsid w:val="00DF49A2"/>
    <w:rsid w:val="00DF4E36"/>
    <w:rsid w:val="00DF4E3E"/>
    <w:rsid w:val="00DF57D9"/>
    <w:rsid w:val="00DF5916"/>
    <w:rsid w:val="00DF60B9"/>
    <w:rsid w:val="00DF63B7"/>
    <w:rsid w:val="00DF6415"/>
    <w:rsid w:val="00DF64F8"/>
    <w:rsid w:val="00DF6CA3"/>
    <w:rsid w:val="00DF6DCF"/>
    <w:rsid w:val="00E003F9"/>
    <w:rsid w:val="00E00672"/>
    <w:rsid w:val="00E010CD"/>
    <w:rsid w:val="00E01234"/>
    <w:rsid w:val="00E01696"/>
    <w:rsid w:val="00E019D3"/>
    <w:rsid w:val="00E02581"/>
    <w:rsid w:val="00E03974"/>
    <w:rsid w:val="00E03D16"/>
    <w:rsid w:val="00E04192"/>
    <w:rsid w:val="00E0453D"/>
    <w:rsid w:val="00E04634"/>
    <w:rsid w:val="00E046A1"/>
    <w:rsid w:val="00E04C98"/>
    <w:rsid w:val="00E04CE5"/>
    <w:rsid w:val="00E04E50"/>
    <w:rsid w:val="00E04EA1"/>
    <w:rsid w:val="00E057BB"/>
    <w:rsid w:val="00E05883"/>
    <w:rsid w:val="00E05D5C"/>
    <w:rsid w:val="00E05FA6"/>
    <w:rsid w:val="00E06B5F"/>
    <w:rsid w:val="00E070BC"/>
    <w:rsid w:val="00E1004B"/>
    <w:rsid w:val="00E106EA"/>
    <w:rsid w:val="00E13335"/>
    <w:rsid w:val="00E135A9"/>
    <w:rsid w:val="00E13BEC"/>
    <w:rsid w:val="00E13CB7"/>
    <w:rsid w:val="00E15A2F"/>
    <w:rsid w:val="00E16351"/>
    <w:rsid w:val="00E17572"/>
    <w:rsid w:val="00E17829"/>
    <w:rsid w:val="00E214A0"/>
    <w:rsid w:val="00E21B18"/>
    <w:rsid w:val="00E21C32"/>
    <w:rsid w:val="00E223C0"/>
    <w:rsid w:val="00E24CDC"/>
    <w:rsid w:val="00E25474"/>
    <w:rsid w:val="00E265A5"/>
    <w:rsid w:val="00E26BE8"/>
    <w:rsid w:val="00E26C05"/>
    <w:rsid w:val="00E30E87"/>
    <w:rsid w:val="00E31811"/>
    <w:rsid w:val="00E31B03"/>
    <w:rsid w:val="00E322B3"/>
    <w:rsid w:val="00E32847"/>
    <w:rsid w:val="00E32E51"/>
    <w:rsid w:val="00E32EE5"/>
    <w:rsid w:val="00E32F93"/>
    <w:rsid w:val="00E33426"/>
    <w:rsid w:val="00E33490"/>
    <w:rsid w:val="00E350B0"/>
    <w:rsid w:val="00E3527D"/>
    <w:rsid w:val="00E3592E"/>
    <w:rsid w:val="00E35C4A"/>
    <w:rsid w:val="00E35D3B"/>
    <w:rsid w:val="00E3622C"/>
    <w:rsid w:val="00E36EE9"/>
    <w:rsid w:val="00E375BF"/>
    <w:rsid w:val="00E37644"/>
    <w:rsid w:val="00E379F7"/>
    <w:rsid w:val="00E37D48"/>
    <w:rsid w:val="00E401ED"/>
    <w:rsid w:val="00E41066"/>
    <w:rsid w:val="00E41DD4"/>
    <w:rsid w:val="00E432CD"/>
    <w:rsid w:val="00E44CF8"/>
    <w:rsid w:val="00E44DE1"/>
    <w:rsid w:val="00E46662"/>
    <w:rsid w:val="00E46EEE"/>
    <w:rsid w:val="00E47107"/>
    <w:rsid w:val="00E508FE"/>
    <w:rsid w:val="00E50DA1"/>
    <w:rsid w:val="00E51345"/>
    <w:rsid w:val="00E520D4"/>
    <w:rsid w:val="00E52712"/>
    <w:rsid w:val="00E52FA4"/>
    <w:rsid w:val="00E5387A"/>
    <w:rsid w:val="00E53D5B"/>
    <w:rsid w:val="00E54ACD"/>
    <w:rsid w:val="00E54B2B"/>
    <w:rsid w:val="00E550CA"/>
    <w:rsid w:val="00E554C0"/>
    <w:rsid w:val="00E554FC"/>
    <w:rsid w:val="00E55ADD"/>
    <w:rsid w:val="00E579C9"/>
    <w:rsid w:val="00E57F3B"/>
    <w:rsid w:val="00E61247"/>
    <w:rsid w:val="00E61632"/>
    <w:rsid w:val="00E61BA8"/>
    <w:rsid w:val="00E64BA0"/>
    <w:rsid w:val="00E64C0C"/>
    <w:rsid w:val="00E655A4"/>
    <w:rsid w:val="00E659C2"/>
    <w:rsid w:val="00E667A9"/>
    <w:rsid w:val="00E701F4"/>
    <w:rsid w:val="00E70335"/>
    <w:rsid w:val="00E703F7"/>
    <w:rsid w:val="00E70DD7"/>
    <w:rsid w:val="00E7164A"/>
    <w:rsid w:val="00E716CC"/>
    <w:rsid w:val="00E71B68"/>
    <w:rsid w:val="00E71C25"/>
    <w:rsid w:val="00E71CA8"/>
    <w:rsid w:val="00E72763"/>
    <w:rsid w:val="00E72EE0"/>
    <w:rsid w:val="00E741FB"/>
    <w:rsid w:val="00E74368"/>
    <w:rsid w:val="00E74C2A"/>
    <w:rsid w:val="00E7535A"/>
    <w:rsid w:val="00E76D27"/>
    <w:rsid w:val="00E771DD"/>
    <w:rsid w:val="00E7728A"/>
    <w:rsid w:val="00E819F6"/>
    <w:rsid w:val="00E81E7B"/>
    <w:rsid w:val="00E822D2"/>
    <w:rsid w:val="00E83667"/>
    <w:rsid w:val="00E836F1"/>
    <w:rsid w:val="00E83C1B"/>
    <w:rsid w:val="00E842B5"/>
    <w:rsid w:val="00E85A9F"/>
    <w:rsid w:val="00E8676C"/>
    <w:rsid w:val="00E86AFB"/>
    <w:rsid w:val="00E8704F"/>
    <w:rsid w:val="00E87E32"/>
    <w:rsid w:val="00E912BE"/>
    <w:rsid w:val="00E91A7E"/>
    <w:rsid w:val="00E91FED"/>
    <w:rsid w:val="00E9278D"/>
    <w:rsid w:val="00E92F47"/>
    <w:rsid w:val="00E92FAD"/>
    <w:rsid w:val="00E95B83"/>
    <w:rsid w:val="00E95FE7"/>
    <w:rsid w:val="00E96397"/>
    <w:rsid w:val="00E96A50"/>
    <w:rsid w:val="00E96DDE"/>
    <w:rsid w:val="00E97A7A"/>
    <w:rsid w:val="00EA027F"/>
    <w:rsid w:val="00EA0788"/>
    <w:rsid w:val="00EA0C05"/>
    <w:rsid w:val="00EA0C0E"/>
    <w:rsid w:val="00EA13BB"/>
    <w:rsid w:val="00EA1943"/>
    <w:rsid w:val="00EA1E9E"/>
    <w:rsid w:val="00EA2645"/>
    <w:rsid w:val="00EA2F29"/>
    <w:rsid w:val="00EA3CA4"/>
    <w:rsid w:val="00EA4D22"/>
    <w:rsid w:val="00EA5171"/>
    <w:rsid w:val="00EA5F65"/>
    <w:rsid w:val="00EA66FA"/>
    <w:rsid w:val="00EA69BC"/>
    <w:rsid w:val="00EB0803"/>
    <w:rsid w:val="00EB0859"/>
    <w:rsid w:val="00EB0910"/>
    <w:rsid w:val="00EB1F27"/>
    <w:rsid w:val="00EB2205"/>
    <w:rsid w:val="00EB263E"/>
    <w:rsid w:val="00EB2D99"/>
    <w:rsid w:val="00EB34F8"/>
    <w:rsid w:val="00EB38B4"/>
    <w:rsid w:val="00EB3F9D"/>
    <w:rsid w:val="00EB4579"/>
    <w:rsid w:val="00EB5184"/>
    <w:rsid w:val="00EB5417"/>
    <w:rsid w:val="00EB5473"/>
    <w:rsid w:val="00EB5B84"/>
    <w:rsid w:val="00EB5C5F"/>
    <w:rsid w:val="00EB5DC6"/>
    <w:rsid w:val="00EB6116"/>
    <w:rsid w:val="00EB676D"/>
    <w:rsid w:val="00EB78E7"/>
    <w:rsid w:val="00EB7A2F"/>
    <w:rsid w:val="00EB7ED6"/>
    <w:rsid w:val="00EC0E8F"/>
    <w:rsid w:val="00EC12E0"/>
    <w:rsid w:val="00EC16BD"/>
    <w:rsid w:val="00EC3327"/>
    <w:rsid w:val="00EC36FA"/>
    <w:rsid w:val="00EC3F09"/>
    <w:rsid w:val="00EC426F"/>
    <w:rsid w:val="00EC498E"/>
    <w:rsid w:val="00EC4DEB"/>
    <w:rsid w:val="00EC502D"/>
    <w:rsid w:val="00EC5D99"/>
    <w:rsid w:val="00EC5E00"/>
    <w:rsid w:val="00EC5E76"/>
    <w:rsid w:val="00EC62C6"/>
    <w:rsid w:val="00EC638B"/>
    <w:rsid w:val="00EC6D86"/>
    <w:rsid w:val="00EC76ED"/>
    <w:rsid w:val="00EC7827"/>
    <w:rsid w:val="00EC7C2A"/>
    <w:rsid w:val="00ED0519"/>
    <w:rsid w:val="00ED0FA7"/>
    <w:rsid w:val="00ED1E53"/>
    <w:rsid w:val="00ED29AE"/>
    <w:rsid w:val="00ED29D3"/>
    <w:rsid w:val="00ED2BD6"/>
    <w:rsid w:val="00ED38C6"/>
    <w:rsid w:val="00ED3BC3"/>
    <w:rsid w:val="00ED3FE7"/>
    <w:rsid w:val="00ED4983"/>
    <w:rsid w:val="00ED5622"/>
    <w:rsid w:val="00ED5AFD"/>
    <w:rsid w:val="00ED694B"/>
    <w:rsid w:val="00ED6F97"/>
    <w:rsid w:val="00ED74C7"/>
    <w:rsid w:val="00ED7D69"/>
    <w:rsid w:val="00EE0559"/>
    <w:rsid w:val="00EE124D"/>
    <w:rsid w:val="00EE1EFB"/>
    <w:rsid w:val="00EE2770"/>
    <w:rsid w:val="00EE3C3F"/>
    <w:rsid w:val="00EE3DD6"/>
    <w:rsid w:val="00EE49F4"/>
    <w:rsid w:val="00EE4E0E"/>
    <w:rsid w:val="00EE4F92"/>
    <w:rsid w:val="00EE5634"/>
    <w:rsid w:val="00EE622B"/>
    <w:rsid w:val="00EE6F14"/>
    <w:rsid w:val="00EE7169"/>
    <w:rsid w:val="00EE7B14"/>
    <w:rsid w:val="00EF0D25"/>
    <w:rsid w:val="00EF1A14"/>
    <w:rsid w:val="00EF1DC7"/>
    <w:rsid w:val="00EF2D6A"/>
    <w:rsid w:val="00EF2FF0"/>
    <w:rsid w:val="00EF375F"/>
    <w:rsid w:val="00EF3AB9"/>
    <w:rsid w:val="00EF3F0A"/>
    <w:rsid w:val="00EF3F23"/>
    <w:rsid w:val="00EF4343"/>
    <w:rsid w:val="00EF4BE3"/>
    <w:rsid w:val="00EF4EC7"/>
    <w:rsid w:val="00EF560A"/>
    <w:rsid w:val="00EF5C87"/>
    <w:rsid w:val="00EF7E78"/>
    <w:rsid w:val="00F01211"/>
    <w:rsid w:val="00F01954"/>
    <w:rsid w:val="00F02B15"/>
    <w:rsid w:val="00F02FED"/>
    <w:rsid w:val="00F03825"/>
    <w:rsid w:val="00F03960"/>
    <w:rsid w:val="00F04EA7"/>
    <w:rsid w:val="00F05917"/>
    <w:rsid w:val="00F05AC8"/>
    <w:rsid w:val="00F05F2A"/>
    <w:rsid w:val="00F0669A"/>
    <w:rsid w:val="00F07A9F"/>
    <w:rsid w:val="00F10F1E"/>
    <w:rsid w:val="00F112E3"/>
    <w:rsid w:val="00F12A1A"/>
    <w:rsid w:val="00F12F7A"/>
    <w:rsid w:val="00F13238"/>
    <w:rsid w:val="00F1347F"/>
    <w:rsid w:val="00F1385D"/>
    <w:rsid w:val="00F14386"/>
    <w:rsid w:val="00F14794"/>
    <w:rsid w:val="00F149E4"/>
    <w:rsid w:val="00F14C0D"/>
    <w:rsid w:val="00F1580E"/>
    <w:rsid w:val="00F162D4"/>
    <w:rsid w:val="00F167CC"/>
    <w:rsid w:val="00F16E6B"/>
    <w:rsid w:val="00F204F2"/>
    <w:rsid w:val="00F2058B"/>
    <w:rsid w:val="00F20621"/>
    <w:rsid w:val="00F20687"/>
    <w:rsid w:val="00F20861"/>
    <w:rsid w:val="00F209D3"/>
    <w:rsid w:val="00F20A3E"/>
    <w:rsid w:val="00F20A85"/>
    <w:rsid w:val="00F21127"/>
    <w:rsid w:val="00F217E0"/>
    <w:rsid w:val="00F2191F"/>
    <w:rsid w:val="00F22966"/>
    <w:rsid w:val="00F2496A"/>
    <w:rsid w:val="00F24992"/>
    <w:rsid w:val="00F25323"/>
    <w:rsid w:val="00F2577A"/>
    <w:rsid w:val="00F2588B"/>
    <w:rsid w:val="00F25A0C"/>
    <w:rsid w:val="00F25AE6"/>
    <w:rsid w:val="00F26591"/>
    <w:rsid w:val="00F268A7"/>
    <w:rsid w:val="00F27615"/>
    <w:rsid w:val="00F27FC2"/>
    <w:rsid w:val="00F3001A"/>
    <w:rsid w:val="00F30F26"/>
    <w:rsid w:val="00F317D7"/>
    <w:rsid w:val="00F3209B"/>
    <w:rsid w:val="00F3214C"/>
    <w:rsid w:val="00F321FF"/>
    <w:rsid w:val="00F322B1"/>
    <w:rsid w:val="00F3296C"/>
    <w:rsid w:val="00F334AD"/>
    <w:rsid w:val="00F33DF2"/>
    <w:rsid w:val="00F33F8D"/>
    <w:rsid w:val="00F34217"/>
    <w:rsid w:val="00F34F8B"/>
    <w:rsid w:val="00F35942"/>
    <w:rsid w:val="00F35BA9"/>
    <w:rsid w:val="00F35E31"/>
    <w:rsid w:val="00F376AA"/>
    <w:rsid w:val="00F37A11"/>
    <w:rsid w:val="00F37CB6"/>
    <w:rsid w:val="00F37F65"/>
    <w:rsid w:val="00F4010B"/>
    <w:rsid w:val="00F409B2"/>
    <w:rsid w:val="00F40AF3"/>
    <w:rsid w:val="00F40EB7"/>
    <w:rsid w:val="00F416DC"/>
    <w:rsid w:val="00F41F88"/>
    <w:rsid w:val="00F4296A"/>
    <w:rsid w:val="00F42B4C"/>
    <w:rsid w:val="00F437B9"/>
    <w:rsid w:val="00F43E15"/>
    <w:rsid w:val="00F44709"/>
    <w:rsid w:val="00F44B75"/>
    <w:rsid w:val="00F452C4"/>
    <w:rsid w:val="00F45F92"/>
    <w:rsid w:val="00F4664A"/>
    <w:rsid w:val="00F46E42"/>
    <w:rsid w:val="00F4702C"/>
    <w:rsid w:val="00F471A7"/>
    <w:rsid w:val="00F476E8"/>
    <w:rsid w:val="00F505B8"/>
    <w:rsid w:val="00F506C7"/>
    <w:rsid w:val="00F523F9"/>
    <w:rsid w:val="00F52918"/>
    <w:rsid w:val="00F529DA"/>
    <w:rsid w:val="00F53446"/>
    <w:rsid w:val="00F53EFE"/>
    <w:rsid w:val="00F54196"/>
    <w:rsid w:val="00F541BF"/>
    <w:rsid w:val="00F54216"/>
    <w:rsid w:val="00F54244"/>
    <w:rsid w:val="00F544D1"/>
    <w:rsid w:val="00F548D1"/>
    <w:rsid w:val="00F55732"/>
    <w:rsid w:val="00F55D93"/>
    <w:rsid w:val="00F57592"/>
    <w:rsid w:val="00F57BFF"/>
    <w:rsid w:val="00F57F99"/>
    <w:rsid w:val="00F603DA"/>
    <w:rsid w:val="00F603FA"/>
    <w:rsid w:val="00F60753"/>
    <w:rsid w:val="00F60894"/>
    <w:rsid w:val="00F60B49"/>
    <w:rsid w:val="00F60BA2"/>
    <w:rsid w:val="00F60E03"/>
    <w:rsid w:val="00F618FE"/>
    <w:rsid w:val="00F6284F"/>
    <w:rsid w:val="00F63086"/>
    <w:rsid w:val="00F634F6"/>
    <w:rsid w:val="00F6366B"/>
    <w:rsid w:val="00F63F44"/>
    <w:rsid w:val="00F64671"/>
    <w:rsid w:val="00F653F6"/>
    <w:rsid w:val="00F65BEC"/>
    <w:rsid w:val="00F660C4"/>
    <w:rsid w:val="00F66471"/>
    <w:rsid w:val="00F67664"/>
    <w:rsid w:val="00F67B01"/>
    <w:rsid w:val="00F707DA"/>
    <w:rsid w:val="00F72EE3"/>
    <w:rsid w:val="00F73230"/>
    <w:rsid w:val="00F7365E"/>
    <w:rsid w:val="00F73B28"/>
    <w:rsid w:val="00F747D5"/>
    <w:rsid w:val="00F75146"/>
    <w:rsid w:val="00F76088"/>
    <w:rsid w:val="00F76AD2"/>
    <w:rsid w:val="00F77B4D"/>
    <w:rsid w:val="00F77FBB"/>
    <w:rsid w:val="00F81AE9"/>
    <w:rsid w:val="00F82030"/>
    <w:rsid w:val="00F825B5"/>
    <w:rsid w:val="00F82AC3"/>
    <w:rsid w:val="00F83555"/>
    <w:rsid w:val="00F83623"/>
    <w:rsid w:val="00F8437F"/>
    <w:rsid w:val="00F8500A"/>
    <w:rsid w:val="00F85C12"/>
    <w:rsid w:val="00F8734E"/>
    <w:rsid w:val="00F8793E"/>
    <w:rsid w:val="00F87B07"/>
    <w:rsid w:val="00F9084D"/>
    <w:rsid w:val="00F90B20"/>
    <w:rsid w:val="00F91073"/>
    <w:rsid w:val="00F92987"/>
    <w:rsid w:val="00F929B1"/>
    <w:rsid w:val="00F932DF"/>
    <w:rsid w:val="00F9357C"/>
    <w:rsid w:val="00F938C5"/>
    <w:rsid w:val="00F943A8"/>
    <w:rsid w:val="00F9465D"/>
    <w:rsid w:val="00F94880"/>
    <w:rsid w:val="00F9533D"/>
    <w:rsid w:val="00F95B62"/>
    <w:rsid w:val="00F95FCD"/>
    <w:rsid w:val="00F96344"/>
    <w:rsid w:val="00F97D3E"/>
    <w:rsid w:val="00FA09D5"/>
    <w:rsid w:val="00FA1675"/>
    <w:rsid w:val="00FA20EC"/>
    <w:rsid w:val="00FA2444"/>
    <w:rsid w:val="00FA2DBF"/>
    <w:rsid w:val="00FA2FE0"/>
    <w:rsid w:val="00FA33D2"/>
    <w:rsid w:val="00FA3F17"/>
    <w:rsid w:val="00FA3F73"/>
    <w:rsid w:val="00FA4B05"/>
    <w:rsid w:val="00FA4C46"/>
    <w:rsid w:val="00FA6550"/>
    <w:rsid w:val="00FA7071"/>
    <w:rsid w:val="00FA7FA5"/>
    <w:rsid w:val="00FB016C"/>
    <w:rsid w:val="00FB1C50"/>
    <w:rsid w:val="00FB25B4"/>
    <w:rsid w:val="00FB2720"/>
    <w:rsid w:val="00FB272F"/>
    <w:rsid w:val="00FB354E"/>
    <w:rsid w:val="00FB3A9B"/>
    <w:rsid w:val="00FB3DF4"/>
    <w:rsid w:val="00FB4E21"/>
    <w:rsid w:val="00FB4E93"/>
    <w:rsid w:val="00FB53CA"/>
    <w:rsid w:val="00FB54D0"/>
    <w:rsid w:val="00FB6E15"/>
    <w:rsid w:val="00FB7189"/>
    <w:rsid w:val="00FB762A"/>
    <w:rsid w:val="00FC012E"/>
    <w:rsid w:val="00FC0F90"/>
    <w:rsid w:val="00FC1010"/>
    <w:rsid w:val="00FC1177"/>
    <w:rsid w:val="00FC13A0"/>
    <w:rsid w:val="00FC14F2"/>
    <w:rsid w:val="00FC153C"/>
    <w:rsid w:val="00FC1681"/>
    <w:rsid w:val="00FC29CF"/>
    <w:rsid w:val="00FC2B48"/>
    <w:rsid w:val="00FC2D8B"/>
    <w:rsid w:val="00FC3EC6"/>
    <w:rsid w:val="00FC3F14"/>
    <w:rsid w:val="00FC467A"/>
    <w:rsid w:val="00FC4684"/>
    <w:rsid w:val="00FC4B7E"/>
    <w:rsid w:val="00FC501F"/>
    <w:rsid w:val="00FC5779"/>
    <w:rsid w:val="00FC5BC9"/>
    <w:rsid w:val="00FC61BB"/>
    <w:rsid w:val="00FC662D"/>
    <w:rsid w:val="00FC6897"/>
    <w:rsid w:val="00FC7091"/>
    <w:rsid w:val="00FC761C"/>
    <w:rsid w:val="00FC7673"/>
    <w:rsid w:val="00FC7718"/>
    <w:rsid w:val="00FC7813"/>
    <w:rsid w:val="00FC79A8"/>
    <w:rsid w:val="00FD1B55"/>
    <w:rsid w:val="00FD1C9A"/>
    <w:rsid w:val="00FD227B"/>
    <w:rsid w:val="00FD2386"/>
    <w:rsid w:val="00FD2F5B"/>
    <w:rsid w:val="00FD3306"/>
    <w:rsid w:val="00FD36B1"/>
    <w:rsid w:val="00FD467A"/>
    <w:rsid w:val="00FD4984"/>
    <w:rsid w:val="00FD4E50"/>
    <w:rsid w:val="00FD639C"/>
    <w:rsid w:val="00FE0EF3"/>
    <w:rsid w:val="00FE1122"/>
    <w:rsid w:val="00FE203D"/>
    <w:rsid w:val="00FE244C"/>
    <w:rsid w:val="00FE269A"/>
    <w:rsid w:val="00FE2F05"/>
    <w:rsid w:val="00FE35B0"/>
    <w:rsid w:val="00FE4C57"/>
    <w:rsid w:val="00FE59FD"/>
    <w:rsid w:val="00FE5EB9"/>
    <w:rsid w:val="00FE6B40"/>
    <w:rsid w:val="00FE6BF5"/>
    <w:rsid w:val="00FE71BD"/>
    <w:rsid w:val="00FE793D"/>
    <w:rsid w:val="00FE7980"/>
    <w:rsid w:val="00FE7F98"/>
    <w:rsid w:val="00FF00C4"/>
    <w:rsid w:val="00FF03EA"/>
    <w:rsid w:val="00FF0C04"/>
    <w:rsid w:val="00FF1111"/>
    <w:rsid w:val="00FF1129"/>
    <w:rsid w:val="00FF16CD"/>
    <w:rsid w:val="00FF19BB"/>
    <w:rsid w:val="00FF29A3"/>
    <w:rsid w:val="00FF2E7F"/>
    <w:rsid w:val="00FF306D"/>
    <w:rsid w:val="00FF3C31"/>
    <w:rsid w:val="00FF42E0"/>
    <w:rsid w:val="00FF432B"/>
    <w:rsid w:val="00FF4518"/>
    <w:rsid w:val="00FF4E7E"/>
    <w:rsid w:val="00FF73DF"/>
    <w:rsid w:val="00FF7BB2"/>
    <w:rsid w:val="00FF7C5D"/>
    <w:rsid w:val="38DCFF00"/>
    <w:rsid w:val="66C461B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1D2A1"/>
  <w15:chartTrackingRefBased/>
  <w15:docId w15:val="{7B5DD80F-B170-4136-9F4F-30819FA0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iPriority="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8A0F9F"/>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8A0F9F"/>
    <w:pPr>
      <w:numPr>
        <w:numId w:val="20"/>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8A0F9F"/>
    <w:pPr>
      <w:keepNext/>
      <w:keepLines/>
      <w:numPr>
        <w:ilvl w:val="2"/>
        <w:numId w:val="20"/>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8A0F9F"/>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8A0F9F"/>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8A0F9F"/>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8A0F9F"/>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8A0F9F"/>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8A0F9F"/>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8A0F9F"/>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F9F"/>
    <w:rPr>
      <w:color w:val="808080"/>
    </w:rPr>
  </w:style>
  <w:style w:type="paragraph" w:styleId="Date">
    <w:name w:val="Date"/>
    <w:basedOn w:val="Normal"/>
    <w:next w:val="Normal"/>
    <w:link w:val="DateChar"/>
    <w:uiPriority w:val="99"/>
    <w:unhideWhenUsed/>
    <w:rsid w:val="008A0F9F"/>
    <w:pPr>
      <w:spacing w:after="360" w:line="293" w:lineRule="auto"/>
    </w:pPr>
  </w:style>
  <w:style w:type="character" w:customStyle="1" w:styleId="DateChar">
    <w:name w:val="Date Char"/>
    <w:basedOn w:val="DefaultParagraphFont"/>
    <w:link w:val="Date"/>
    <w:uiPriority w:val="99"/>
    <w:rsid w:val="008A0F9F"/>
    <w:rPr>
      <w:rFonts w:ascii="Open Sans" w:hAnsi="Open Sans"/>
      <w:sz w:val="20"/>
      <w:szCs w:val="20"/>
    </w:rPr>
  </w:style>
  <w:style w:type="paragraph" w:styleId="NoSpacing">
    <w:name w:val="No Spacing"/>
    <w:basedOn w:val="Normal"/>
    <w:link w:val="NoSpacingChar"/>
    <w:uiPriority w:val="10"/>
    <w:qFormat/>
    <w:rsid w:val="008A0F9F"/>
    <w:pPr>
      <w:spacing w:before="0" w:after="0"/>
    </w:pPr>
  </w:style>
  <w:style w:type="paragraph" w:styleId="ListBullet">
    <w:name w:val="List Bullet"/>
    <w:basedOn w:val="Normal"/>
    <w:link w:val="ListBulletChar"/>
    <w:uiPriority w:val="1"/>
    <w:qFormat/>
    <w:rsid w:val="005B749E"/>
    <w:pPr>
      <w:numPr>
        <w:numId w:val="38"/>
      </w:numPr>
      <w:contextualSpacing/>
    </w:pPr>
  </w:style>
  <w:style w:type="paragraph" w:styleId="ListBullet2">
    <w:name w:val="List Bullet 2"/>
    <w:basedOn w:val="Normal"/>
    <w:uiPriority w:val="1"/>
    <w:qFormat/>
    <w:rsid w:val="00EC62C6"/>
    <w:pPr>
      <w:numPr>
        <w:ilvl w:val="1"/>
        <w:numId w:val="38"/>
      </w:numPr>
      <w:contextualSpacing/>
    </w:pPr>
  </w:style>
  <w:style w:type="paragraph" w:styleId="ListNumber">
    <w:name w:val="List Number"/>
    <w:basedOn w:val="Normal"/>
    <w:uiPriority w:val="2"/>
    <w:qFormat/>
    <w:rsid w:val="008A0F9F"/>
    <w:pPr>
      <w:numPr>
        <w:numId w:val="21"/>
      </w:numPr>
      <w:spacing w:before="60"/>
      <w:contextualSpacing/>
    </w:pPr>
  </w:style>
  <w:style w:type="numbering" w:customStyle="1" w:styleId="Bullets">
    <w:name w:val="Bullets"/>
    <w:uiPriority w:val="99"/>
    <w:rsid w:val="008A0F9F"/>
    <w:pPr>
      <w:numPr>
        <w:numId w:val="12"/>
      </w:numPr>
    </w:pPr>
  </w:style>
  <w:style w:type="character" w:customStyle="1" w:styleId="Heading1Char">
    <w:name w:val="Heading 1 Char"/>
    <w:basedOn w:val="DefaultParagraphFont"/>
    <w:link w:val="Heading1"/>
    <w:uiPriority w:val="9"/>
    <w:rsid w:val="008A0F9F"/>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EC62C6"/>
    <w:pPr>
      <w:numPr>
        <w:ilvl w:val="1"/>
        <w:numId w:val="21"/>
      </w:numPr>
      <w:spacing w:before="60"/>
      <w:contextualSpacing/>
    </w:pPr>
  </w:style>
  <w:style w:type="character" w:customStyle="1" w:styleId="Heading2Char">
    <w:name w:val="Heading 2 Char"/>
    <w:basedOn w:val="DefaultParagraphFont"/>
    <w:link w:val="Heading2"/>
    <w:uiPriority w:val="9"/>
    <w:rsid w:val="008A0F9F"/>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8A0F9F"/>
    <w:pPr>
      <w:spacing w:line="293" w:lineRule="auto"/>
      <w:ind w:left="284"/>
      <w:contextualSpacing/>
    </w:pPr>
  </w:style>
  <w:style w:type="paragraph" w:styleId="Header">
    <w:name w:val="header"/>
    <w:basedOn w:val="Normal"/>
    <w:link w:val="HeaderChar"/>
    <w:uiPriority w:val="99"/>
    <w:unhideWhenUsed/>
    <w:rsid w:val="008A0F9F"/>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8A0F9F"/>
    <w:rPr>
      <w:rFonts w:ascii="Open Sans" w:hAnsi="Open Sans"/>
      <w:sz w:val="16"/>
      <w:szCs w:val="20"/>
    </w:rPr>
  </w:style>
  <w:style w:type="paragraph" w:styleId="Footer">
    <w:name w:val="footer"/>
    <w:basedOn w:val="Normal"/>
    <w:link w:val="FooterChar"/>
    <w:uiPriority w:val="11"/>
    <w:rsid w:val="008A0F9F"/>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8A0F9F"/>
    <w:rPr>
      <w:rFonts w:ascii="Open Sans Extrabold" w:hAnsi="Open Sans Extrabold"/>
      <w:sz w:val="17"/>
    </w:rPr>
  </w:style>
  <w:style w:type="numbering" w:customStyle="1" w:styleId="Numbering">
    <w:name w:val="Numbering"/>
    <w:uiPriority w:val="99"/>
    <w:rsid w:val="008A0F9F"/>
    <w:pPr>
      <w:numPr>
        <w:numId w:val="21"/>
      </w:numPr>
    </w:pPr>
  </w:style>
  <w:style w:type="paragraph" w:styleId="ListBullet3">
    <w:name w:val="List Bullet 3"/>
    <w:basedOn w:val="Normal"/>
    <w:uiPriority w:val="1"/>
    <w:qFormat/>
    <w:rsid w:val="00EC62C6"/>
    <w:pPr>
      <w:numPr>
        <w:ilvl w:val="2"/>
        <w:numId w:val="38"/>
      </w:numPr>
      <w:contextualSpacing/>
    </w:pPr>
  </w:style>
  <w:style w:type="paragraph" w:styleId="ListContinue2">
    <w:name w:val="List Continue 2"/>
    <w:basedOn w:val="Normal"/>
    <w:uiPriority w:val="3"/>
    <w:unhideWhenUsed/>
    <w:qFormat/>
    <w:rsid w:val="008A0F9F"/>
    <w:pPr>
      <w:spacing w:before="60"/>
      <w:ind w:left="454"/>
    </w:pPr>
  </w:style>
  <w:style w:type="paragraph" w:styleId="ListNumber3">
    <w:name w:val="List Number 3"/>
    <w:basedOn w:val="Normal"/>
    <w:uiPriority w:val="13"/>
    <w:semiHidden/>
    <w:qFormat/>
    <w:rsid w:val="00EC62C6"/>
    <w:pPr>
      <w:numPr>
        <w:ilvl w:val="2"/>
        <w:numId w:val="21"/>
      </w:numPr>
      <w:spacing w:before="60"/>
      <w:contextualSpacing/>
    </w:pPr>
  </w:style>
  <w:style w:type="paragraph" w:styleId="ListNumber4">
    <w:name w:val="List Number 4"/>
    <w:basedOn w:val="Normal"/>
    <w:uiPriority w:val="13"/>
    <w:semiHidden/>
    <w:qFormat/>
    <w:rsid w:val="00EC62C6"/>
    <w:pPr>
      <w:numPr>
        <w:ilvl w:val="3"/>
        <w:numId w:val="21"/>
      </w:numPr>
      <w:spacing w:after="200" w:line="293" w:lineRule="auto"/>
      <w:contextualSpacing/>
    </w:pPr>
  </w:style>
  <w:style w:type="paragraph" w:styleId="ListNumber5">
    <w:name w:val="List Number 5"/>
    <w:basedOn w:val="Normal"/>
    <w:uiPriority w:val="13"/>
    <w:semiHidden/>
    <w:rsid w:val="00EC62C6"/>
    <w:pPr>
      <w:numPr>
        <w:ilvl w:val="4"/>
        <w:numId w:val="21"/>
      </w:numPr>
      <w:spacing w:after="200" w:line="293" w:lineRule="auto"/>
      <w:contextualSpacing/>
    </w:pPr>
  </w:style>
  <w:style w:type="paragraph" w:styleId="ListContinue">
    <w:name w:val="List Continue"/>
    <w:basedOn w:val="Normal"/>
    <w:uiPriority w:val="3"/>
    <w:unhideWhenUsed/>
    <w:qFormat/>
    <w:rsid w:val="008A0F9F"/>
    <w:pPr>
      <w:spacing w:before="60"/>
      <w:ind w:left="227"/>
    </w:pPr>
  </w:style>
  <w:style w:type="paragraph" w:styleId="ListContinue3">
    <w:name w:val="List Continue 3"/>
    <w:basedOn w:val="Normal"/>
    <w:uiPriority w:val="3"/>
    <w:unhideWhenUsed/>
    <w:qFormat/>
    <w:rsid w:val="008A0F9F"/>
    <w:pPr>
      <w:spacing w:before="60"/>
      <w:ind w:left="907"/>
    </w:pPr>
  </w:style>
  <w:style w:type="paragraph" w:styleId="ListContinue4">
    <w:name w:val="List Continue 4"/>
    <w:basedOn w:val="Normal"/>
    <w:uiPriority w:val="3"/>
    <w:unhideWhenUsed/>
    <w:qFormat/>
    <w:rsid w:val="008A0F9F"/>
    <w:pPr>
      <w:spacing w:line="293" w:lineRule="auto"/>
      <w:ind w:left="907"/>
      <w:contextualSpacing/>
    </w:pPr>
  </w:style>
  <w:style w:type="character" w:customStyle="1" w:styleId="Heading3Char">
    <w:name w:val="Heading 3 Char"/>
    <w:basedOn w:val="DefaultParagraphFont"/>
    <w:link w:val="Heading3"/>
    <w:uiPriority w:val="9"/>
    <w:rsid w:val="008A0F9F"/>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8A0F9F"/>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8A0F9F"/>
    <w:rPr>
      <w:rFonts w:ascii="Open Sans" w:eastAsiaTheme="majorEastAsia" w:hAnsi="Open Sans" w:cstheme="majorBidi"/>
      <w:b/>
      <w:color w:val="265A9A" w:themeColor="background2"/>
      <w:szCs w:val="29"/>
    </w:rPr>
  </w:style>
  <w:style w:type="numbering" w:customStyle="1" w:styleId="ListHeadings">
    <w:name w:val="List Headings"/>
    <w:uiPriority w:val="99"/>
    <w:rsid w:val="008A0F9F"/>
    <w:pPr>
      <w:numPr>
        <w:numId w:val="19"/>
      </w:numPr>
    </w:pPr>
  </w:style>
  <w:style w:type="paragraph" w:styleId="Title">
    <w:name w:val="Title"/>
    <w:basedOn w:val="Heading1"/>
    <w:next w:val="Normal"/>
    <w:link w:val="TitleChar"/>
    <w:uiPriority w:val="39"/>
    <w:rsid w:val="008A0F9F"/>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8A0F9F"/>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8A0F9F"/>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8A0F9F"/>
    <w:rPr>
      <w:b/>
    </w:rPr>
  </w:style>
  <w:style w:type="character" w:customStyle="1" w:styleId="Pull-outQuoteChar">
    <w:name w:val="Pull-out Quote Char"/>
    <w:basedOn w:val="DefaultParagraphFont"/>
    <w:link w:val="Pull-outQuote"/>
    <w:uiPriority w:val="99"/>
    <w:semiHidden/>
    <w:rsid w:val="008A0F9F"/>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8A0F9F"/>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8A0F9F"/>
  </w:style>
  <w:style w:type="paragraph" w:customStyle="1" w:styleId="NumberedHeading2">
    <w:name w:val="Numbered Heading 2"/>
    <w:basedOn w:val="Heading2"/>
    <w:next w:val="Normal"/>
    <w:link w:val="NumberedHeading2Char"/>
    <w:uiPriority w:val="9"/>
    <w:semiHidden/>
    <w:rsid w:val="008A0F9F"/>
  </w:style>
  <w:style w:type="character" w:customStyle="1" w:styleId="NumberedHeading1Char">
    <w:name w:val="Numbered Heading 1 Char"/>
    <w:basedOn w:val="Heading1Char"/>
    <w:link w:val="NumberedHeading1"/>
    <w:uiPriority w:val="9"/>
    <w:semiHidden/>
    <w:rsid w:val="008A0F9F"/>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8A0F9F"/>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8A0F9F"/>
    <w:pPr>
      <w:ind w:left="1134"/>
      <w:contextualSpacing/>
    </w:pPr>
  </w:style>
  <w:style w:type="table" w:styleId="TableGrid">
    <w:name w:val="Table Grid"/>
    <w:basedOn w:val="TableNormal"/>
    <w:uiPriority w:val="39"/>
    <w:rsid w:val="008A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8A0F9F"/>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8A0F9F"/>
    <w:pPr>
      <w:numPr>
        <w:numId w:val="16"/>
      </w:numPr>
      <w:spacing w:before="60"/>
    </w:pPr>
  </w:style>
  <w:style w:type="paragraph" w:styleId="List2">
    <w:name w:val="List 2"/>
    <w:basedOn w:val="Normal"/>
    <w:uiPriority w:val="99"/>
    <w:semiHidden/>
    <w:qFormat/>
    <w:rsid w:val="008A0F9F"/>
    <w:pPr>
      <w:numPr>
        <w:ilvl w:val="1"/>
        <w:numId w:val="16"/>
      </w:numPr>
      <w:spacing w:before="60"/>
    </w:pPr>
  </w:style>
  <w:style w:type="numbering" w:customStyle="1" w:styleId="LetteredList">
    <w:name w:val="Lettered List"/>
    <w:uiPriority w:val="99"/>
    <w:rsid w:val="008A0F9F"/>
    <w:pPr>
      <w:numPr>
        <w:numId w:val="15"/>
      </w:numPr>
    </w:pPr>
  </w:style>
  <w:style w:type="paragraph" w:styleId="Subtitle">
    <w:name w:val="Subtitle"/>
    <w:basedOn w:val="Normal"/>
    <w:next w:val="Normal"/>
    <w:link w:val="SubtitleChar"/>
    <w:uiPriority w:val="39"/>
    <w:rsid w:val="008A0F9F"/>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8A0F9F"/>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8A0F9F"/>
    <w:rPr>
      <w:rFonts w:ascii="Open Sans" w:hAnsi="Open Sans"/>
      <w:b/>
      <w:bCs/>
    </w:rPr>
  </w:style>
  <w:style w:type="paragraph" w:customStyle="1" w:styleId="Header-Keyline">
    <w:name w:val="Header - Keyline"/>
    <w:basedOn w:val="Header"/>
    <w:link w:val="Header-KeylineChar"/>
    <w:uiPriority w:val="99"/>
    <w:rsid w:val="008A0F9F"/>
    <w:pPr>
      <w:pBdr>
        <w:bottom w:val="single" w:sz="4" w:space="31" w:color="2B9AC2" w:themeColor="text2"/>
      </w:pBdr>
      <w:spacing w:after="600"/>
    </w:pPr>
  </w:style>
  <w:style w:type="character" w:customStyle="1" w:styleId="Heading6Char">
    <w:name w:val="Heading 6 Char"/>
    <w:basedOn w:val="DefaultParagraphFont"/>
    <w:link w:val="Heading6"/>
    <w:uiPriority w:val="9"/>
    <w:rsid w:val="008A0F9F"/>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8A0F9F"/>
    <w:rPr>
      <w:rFonts w:ascii="Open Sans" w:hAnsi="Open Sans"/>
      <w:sz w:val="16"/>
      <w:szCs w:val="20"/>
    </w:rPr>
  </w:style>
  <w:style w:type="character" w:customStyle="1" w:styleId="Heading7Char">
    <w:name w:val="Heading 7 Char"/>
    <w:basedOn w:val="DefaultParagraphFont"/>
    <w:link w:val="Heading7"/>
    <w:uiPriority w:val="9"/>
    <w:semiHidden/>
    <w:rsid w:val="008A0F9F"/>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8A0F9F"/>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8A0F9F"/>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8A0F9F"/>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8A0F9F"/>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8A0F9F"/>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8A0F9F"/>
    <w:pPr>
      <w:spacing w:before="60" w:after="60" w:line="293" w:lineRule="auto"/>
      <w:contextualSpacing/>
    </w:pPr>
    <w:rPr>
      <w:sz w:val="18"/>
    </w:rPr>
  </w:style>
  <w:style w:type="paragraph" w:styleId="TOC1">
    <w:name w:val="toc 1"/>
    <w:basedOn w:val="Normal"/>
    <w:next w:val="BodyText"/>
    <w:autoRedefine/>
    <w:uiPriority w:val="39"/>
    <w:unhideWhenUsed/>
    <w:rsid w:val="003C3413"/>
    <w:pPr>
      <w:keepNext/>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8A0F9F"/>
    <w:rPr>
      <w:rFonts w:ascii="Open Sans" w:hAnsi="Open Sans"/>
      <w:sz w:val="18"/>
      <w:szCs w:val="20"/>
    </w:rPr>
  </w:style>
  <w:style w:type="character" w:styleId="FootnoteReference">
    <w:name w:val="footnote reference"/>
    <w:basedOn w:val="DefaultParagraphFont"/>
    <w:uiPriority w:val="99"/>
    <w:unhideWhenUsed/>
    <w:rsid w:val="008A0F9F"/>
    <w:rPr>
      <w:vertAlign w:val="superscript"/>
    </w:rPr>
  </w:style>
  <w:style w:type="character" w:styleId="Hyperlink">
    <w:name w:val="Hyperlink"/>
    <w:basedOn w:val="DefaultParagraphFont"/>
    <w:uiPriority w:val="99"/>
    <w:unhideWhenUsed/>
    <w:rsid w:val="008A0F9F"/>
    <w:rPr>
      <w:color w:val="000000" w:themeColor="hyperlink"/>
      <w:u w:val="single"/>
    </w:rPr>
  </w:style>
  <w:style w:type="character" w:styleId="HTMLVariable">
    <w:name w:val="HTML Variable"/>
    <w:basedOn w:val="DefaultParagraphFont"/>
    <w:uiPriority w:val="99"/>
    <w:unhideWhenUsed/>
    <w:rsid w:val="008A0F9F"/>
    <w:rPr>
      <w:i/>
      <w:iCs/>
    </w:rPr>
  </w:style>
  <w:style w:type="paragraph" w:styleId="TOC2">
    <w:name w:val="toc 2"/>
    <w:basedOn w:val="Normal"/>
    <w:next w:val="Normal"/>
    <w:autoRedefine/>
    <w:uiPriority w:val="39"/>
    <w:unhideWhenUsed/>
    <w:rsid w:val="008A0F9F"/>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8A0F9F"/>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8A0F9F"/>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8A0F9F"/>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8A0F9F"/>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8A0F9F"/>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8A0F9F"/>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8A0F9F"/>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8A0F9F"/>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8A0F9F"/>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EC62C6"/>
    <w:pPr>
      <w:spacing w:after="40"/>
    </w:pPr>
    <w:rPr>
      <w:b/>
      <w:sz w:val="16"/>
    </w:rPr>
  </w:style>
  <w:style w:type="character" w:customStyle="1" w:styleId="Copyrightpage-HeadingChar">
    <w:name w:val="Copyright page-Heading Char"/>
    <w:basedOn w:val="Subtitle2Char"/>
    <w:link w:val="Copyrightpage-Heading"/>
    <w:uiPriority w:val="19"/>
    <w:rsid w:val="008A0F9F"/>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8A0F9F"/>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EC62C6"/>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8A0F9F"/>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8A0F9F"/>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8A0F9F"/>
    <w:pPr>
      <w:spacing w:line="360" w:lineRule="auto"/>
      <w:jc w:val="right"/>
    </w:pPr>
    <w:rPr>
      <w:sz w:val="16"/>
    </w:rPr>
  </w:style>
  <w:style w:type="paragraph" w:customStyle="1" w:styleId="Letterlogo">
    <w:name w:val="Letter logo"/>
    <w:basedOn w:val="LetterRight"/>
    <w:uiPriority w:val="99"/>
    <w:rsid w:val="008A0F9F"/>
    <w:pPr>
      <w:spacing w:after="320"/>
    </w:pPr>
  </w:style>
  <w:style w:type="character" w:customStyle="1" w:styleId="LetterRightChar">
    <w:name w:val="Letter Right Char"/>
    <w:basedOn w:val="DefaultParagraphFont"/>
    <w:link w:val="LetterRight"/>
    <w:uiPriority w:val="99"/>
    <w:rsid w:val="008A0F9F"/>
    <w:rPr>
      <w:rFonts w:ascii="Open Sans" w:hAnsi="Open Sans"/>
      <w:sz w:val="16"/>
      <w:szCs w:val="20"/>
    </w:rPr>
  </w:style>
  <w:style w:type="character" w:styleId="UnresolvedMention">
    <w:name w:val="Unresolved Mention"/>
    <w:basedOn w:val="DefaultParagraphFont"/>
    <w:uiPriority w:val="99"/>
    <w:unhideWhenUsed/>
    <w:rsid w:val="008A0F9F"/>
    <w:rPr>
      <w:color w:val="605E5C"/>
      <w:shd w:val="clear" w:color="auto" w:fill="E1DFDD"/>
    </w:rPr>
  </w:style>
  <w:style w:type="paragraph" w:customStyle="1" w:styleId="LetterRight-NoSpace">
    <w:name w:val="Letter Right-No Space"/>
    <w:basedOn w:val="LetterRight"/>
    <w:uiPriority w:val="99"/>
    <w:rsid w:val="008A0F9F"/>
    <w:pPr>
      <w:spacing w:after="0"/>
    </w:pPr>
  </w:style>
  <w:style w:type="table" w:customStyle="1" w:styleId="Blank">
    <w:name w:val="Blank"/>
    <w:basedOn w:val="TableNormal"/>
    <w:uiPriority w:val="99"/>
    <w:rsid w:val="008A0F9F"/>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8A0F9F"/>
    <w:pPr>
      <w:numPr>
        <w:numId w:val="18"/>
      </w:numPr>
      <w:contextualSpacing/>
    </w:pPr>
  </w:style>
  <w:style w:type="paragraph" w:customStyle="1" w:styleId="Coverdate">
    <w:name w:val="Cover date"/>
    <w:basedOn w:val="Normal"/>
    <w:uiPriority w:val="29"/>
    <w:rsid w:val="008A0F9F"/>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8A0F9F"/>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8A0F9F"/>
    <w:rPr>
      <w:color w:val="FFFFFF" w:themeColor="background1"/>
    </w:rPr>
  </w:style>
  <w:style w:type="paragraph" w:customStyle="1" w:styleId="Copyrightpage-Keylinenotext">
    <w:name w:val="Copyright page-Keyline (no text)"/>
    <w:basedOn w:val="Copyrightpage-Heading2"/>
    <w:uiPriority w:val="19"/>
    <w:rsid w:val="008A0F9F"/>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8A0F9F"/>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8A0F9F"/>
    <w:pPr>
      <w:spacing w:before="46" w:after="46"/>
      <w:ind w:left="57" w:right="108"/>
    </w:pPr>
    <w:rPr>
      <w:b/>
      <w:sz w:val="18"/>
    </w:rPr>
  </w:style>
  <w:style w:type="paragraph" w:customStyle="1" w:styleId="CoverImage">
    <w:name w:val="Cover Image"/>
    <w:basedOn w:val="Normal"/>
    <w:uiPriority w:val="29"/>
    <w:rsid w:val="008A0F9F"/>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8A0F9F"/>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8A0F9F"/>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8A0F9F"/>
    <w:pPr>
      <w:spacing w:before="60"/>
      <w:ind w:left="113" w:right="851"/>
    </w:pPr>
    <w:rPr>
      <w:color w:val="58585B"/>
    </w:rPr>
  </w:style>
  <w:style w:type="numbering" w:customStyle="1" w:styleId="TOCList">
    <w:name w:val="TOC List"/>
    <w:uiPriority w:val="99"/>
    <w:rsid w:val="008A0F9F"/>
    <w:pPr>
      <w:numPr>
        <w:numId w:val="24"/>
      </w:numPr>
    </w:pPr>
  </w:style>
  <w:style w:type="paragraph" w:customStyle="1" w:styleId="Heading1-Section-fullpage">
    <w:name w:val="Heading 1-Section-full page"/>
    <w:basedOn w:val="Heading1-nobackground"/>
    <w:uiPriority w:val="9"/>
    <w:qFormat/>
    <w:rsid w:val="008A0F9F"/>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8A0F9F"/>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8A0F9F"/>
    <w:pPr>
      <w:keepNext/>
      <w:spacing w:before="240"/>
    </w:pPr>
  </w:style>
  <w:style w:type="paragraph" w:customStyle="1" w:styleId="Source">
    <w:name w:val="Source"/>
    <w:basedOn w:val="Normal"/>
    <w:uiPriority w:val="9"/>
    <w:qFormat/>
    <w:rsid w:val="008A0F9F"/>
    <w:pPr>
      <w:spacing w:before="80" w:after="240" w:line="216" w:lineRule="atLeast"/>
    </w:pPr>
    <w:rPr>
      <w:sz w:val="18"/>
    </w:rPr>
  </w:style>
  <w:style w:type="paragraph" w:customStyle="1" w:styleId="Note">
    <w:name w:val="Note"/>
    <w:basedOn w:val="Source"/>
    <w:uiPriority w:val="9"/>
    <w:qFormat/>
    <w:rsid w:val="008A0F9F"/>
    <w:pPr>
      <w:spacing w:after="20"/>
    </w:pPr>
  </w:style>
  <w:style w:type="numbering" w:customStyle="1" w:styleId="Figure">
    <w:name w:val="Figure"/>
    <w:uiPriority w:val="99"/>
    <w:rsid w:val="008A0F9F"/>
    <w:pPr>
      <w:numPr>
        <w:numId w:val="13"/>
      </w:numPr>
    </w:pPr>
  </w:style>
  <w:style w:type="table" w:customStyle="1" w:styleId="Boxtable">
    <w:name w:val="Box table"/>
    <w:basedOn w:val="Texttable-Paleblue"/>
    <w:uiPriority w:val="99"/>
    <w:rsid w:val="008A0F9F"/>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8A0F9F"/>
    <w:pPr>
      <w:numPr>
        <w:numId w:val="11"/>
      </w:numPr>
    </w:pPr>
  </w:style>
  <w:style w:type="paragraph" w:customStyle="1" w:styleId="BoxHeading2">
    <w:name w:val="Box Heading 2"/>
    <w:basedOn w:val="Normal"/>
    <w:next w:val="BodyText"/>
    <w:uiPriority w:val="4"/>
    <w:qFormat/>
    <w:rsid w:val="008A0F9F"/>
    <w:rPr>
      <w:b/>
    </w:rPr>
  </w:style>
  <w:style w:type="table" w:customStyle="1" w:styleId="ProductivityCommissionTable2-Dark">
    <w:name w:val="Productivity Commission Table 2 - Dark"/>
    <w:basedOn w:val="ProductivityCommissionTable2"/>
    <w:uiPriority w:val="99"/>
    <w:rsid w:val="00EC62C6"/>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8A0F9F"/>
    <w:rPr>
      <w:i/>
    </w:rPr>
  </w:style>
  <w:style w:type="paragraph" w:customStyle="1" w:styleId="TableHeading">
    <w:name w:val="Table Heading"/>
    <w:basedOn w:val="NoSpacing"/>
    <w:link w:val="TableHeadingChar"/>
    <w:uiPriority w:val="4"/>
    <w:qFormat/>
    <w:rsid w:val="008A0F9F"/>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8A0F9F"/>
    <w:rPr>
      <w:color w:val="265A9A" w:themeColor="background2"/>
    </w:rPr>
  </w:style>
  <w:style w:type="table" w:customStyle="1" w:styleId="Texttable-Keyline">
    <w:name w:val="Text table-Keyline"/>
    <w:basedOn w:val="Texttable-Paleblue"/>
    <w:uiPriority w:val="99"/>
    <w:rsid w:val="008A0F9F"/>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8A0F9F"/>
    <w:pPr>
      <w:jc w:val="right"/>
    </w:pPr>
  </w:style>
  <w:style w:type="table" w:customStyle="1" w:styleId="CopyrightPage">
    <w:name w:val="Copyright Page"/>
    <w:basedOn w:val="OverviewPageBannerTableStyle"/>
    <w:uiPriority w:val="99"/>
    <w:rsid w:val="008A0F9F"/>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8A0F9F"/>
    <w:pPr>
      <w:spacing w:line="312" w:lineRule="atLeast"/>
    </w:pPr>
  </w:style>
  <w:style w:type="paragraph" w:styleId="BodyText">
    <w:name w:val="Body Text"/>
    <w:basedOn w:val="Normal"/>
    <w:link w:val="BodyTextChar"/>
    <w:uiPriority w:val="99"/>
    <w:qFormat/>
    <w:rsid w:val="008A0F9F"/>
  </w:style>
  <w:style w:type="character" w:customStyle="1" w:styleId="BodyTextChar">
    <w:name w:val="Body Text Char"/>
    <w:basedOn w:val="DefaultParagraphFont"/>
    <w:link w:val="BodyText"/>
    <w:uiPriority w:val="99"/>
    <w:rsid w:val="008A0F9F"/>
    <w:rPr>
      <w:rFonts w:ascii="Open Sans" w:hAnsi="Open Sans"/>
      <w:sz w:val="20"/>
      <w:szCs w:val="20"/>
    </w:rPr>
  </w:style>
  <w:style w:type="paragraph" w:styleId="List4">
    <w:name w:val="List 4"/>
    <w:basedOn w:val="Normal"/>
    <w:uiPriority w:val="99"/>
    <w:semiHidden/>
    <w:rsid w:val="008A0F9F"/>
    <w:pPr>
      <w:numPr>
        <w:ilvl w:val="3"/>
        <w:numId w:val="16"/>
      </w:numPr>
      <w:contextualSpacing/>
    </w:pPr>
  </w:style>
  <w:style w:type="paragraph" w:styleId="List3">
    <w:name w:val="List 3"/>
    <w:basedOn w:val="Normal"/>
    <w:uiPriority w:val="99"/>
    <w:semiHidden/>
    <w:rsid w:val="008A0F9F"/>
    <w:pPr>
      <w:numPr>
        <w:ilvl w:val="2"/>
        <w:numId w:val="16"/>
      </w:numPr>
      <w:contextualSpacing/>
    </w:pPr>
  </w:style>
  <w:style w:type="paragraph" w:customStyle="1" w:styleId="Heading1-nonumber">
    <w:name w:val="Heading 1-no number"/>
    <w:basedOn w:val="Heading1"/>
    <w:next w:val="BodyText"/>
    <w:uiPriority w:val="9"/>
    <w:qFormat/>
    <w:rsid w:val="008A0F9F"/>
    <w:pPr>
      <w:numPr>
        <w:numId w:val="0"/>
      </w:numPr>
      <w:ind w:left="567"/>
    </w:pPr>
  </w:style>
  <w:style w:type="paragraph" w:customStyle="1" w:styleId="ListAlpha1">
    <w:name w:val="List Alpha 1"/>
    <w:basedOn w:val="Normal"/>
    <w:uiPriority w:val="3"/>
    <w:qFormat/>
    <w:rsid w:val="008A0F9F"/>
    <w:pPr>
      <w:numPr>
        <w:numId w:val="17"/>
      </w:numPr>
      <w:spacing w:before="60"/>
      <w:contextualSpacing/>
    </w:pPr>
  </w:style>
  <w:style w:type="paragraph" w:customStyle="1" w:styleId="ListAlpha2">
    <w:name w:val="List Alpha 2"/>
    <w:basedOn w:val="ListAlpha1"/>
    <w:uiPriority w:val="3"/>
    <w:qFormat/>
    <w:rsid w:val="008A0F9F"/>
    <w:pPr>
      <w:numPr>
        <w:ilvl w:val="1"/>
      </w:numPr>
    </w:pPr>
  </w:style>
  <w:style w:type="paragraph" w:customStyle="1" w:styleId="ListAlpha3">
    <w:name w:val="List Alpha 3"/>
    <w:basedOn w:val="ListAlpha2"/>
    <w:uiPriority w:val="3"/>
    <w:qFormat/>
    <w:rsid w:val="008A0F9F"/>
    <w:pPr>
      <w:numPr>
        <w:ilvl w:val="2"/>
      </w:numPr>
    </w:pPr>
  </w:style>
  <w:style w:type="paragraph" w:customStyle="1" w:styleId="ListAlpha4">
    <w:name w:val="List Alpha 4"/>
    <w:basedOn w:val="ListAlpha3"/>
    <w:uiPriority w:val="3"/>
    <w:semiHidden/>
    <w:qFormat/>
    <w:rsid w:val="008A0F9F"/>
    <w:pPr>
      <w:numPr>
        <w:ilvl w:val="3"/>
      </w:numPr>
    </w:pPr>
  </w:style>
  <w:style w:type="numbering" w:customStyle="1" w:styleId="Alphalist">
    <w:name w:val="Alpha list"/>
    <w:uiPriority w:val="99"/>
    <w:rsid w:val="008A0F9F"/>
    <w:pPr>
      <w:numPr>
        <w:numId w:val="8"/>
      </w:numPr>
    </w:pPr>
  </w:style>
  <w:style w:type="paragraph" w:customStyle="1" w:styleId="KeyPoints-Bold">
    <w:name w:val="Key Points-Bold"/>
    <w:basedOn w:val="Normal"/>
    <w:uiPriority w:val="10"/>
    <w:qFormat/>
    <w:rsid w:val="008A0F9F"/>
    <w:pPr>
      <w:spacing w:before="40" w:after="60" w:line="274" w:lineRule="atLeast"/>
    </w:pPr>
    <w:rPr>
      <w:b/>
      <w:sz w:val="18"/>
    </w:rPr>
  </w:style>
  <w:style w:type="paragraph" w:customStyle="1" w:styleId="Copyrightpage-BodyBold">
    <w:name w:val="Copyright page-Body Bold"/>
    <w:basedOn w:val="Copyrightpage-BodyText"/>
    <w:uiPriority w:val="19"/>
    <w:rsid w:val="008A0F9F"/>
    <w:rPr>
      <w:b/>
    </w:rPr>
  </w:style>
  <w:style w:type="paragraph" w:customStyle="1" w:styleId="KeyPoints-Bullet">
    <w:name w:val="Key Points-Bullet"/>
    <w:basedOn w:val="ListBullet"/>
    <w:uiPriority w:val="10"/>
    <w:qFormat/>
    <w:rsid w:val="008A0F9F"/>
    <w:pPr>
      <w:spacing w:after="60" w:line="274" w:lineRule="atLeast"/>
    </w:pPr>
    <w:rPr>
      <w:sz w:val="18"/>
    </w:rPr>
  </w:style>
  <w:style w:type="paragraph" w:customStyle="1" w:styleId="BodyText-Grey">
    <w:name w:val="Body Text-Grey"/>
    <w:basedOn w:val="BodyText"/>
    <w:link w:val="BodyText-GreyChar"/>
    <w:semiHidden/>
    <w:qFormat/>
    <w:rsid w:val="008A0F9F"/>
    <w:rPr>
      <w:color w:val="58585B"/>
    </w:rPr>
  </w:style>
  <w:style w:type="character" w:customStyle="1" w:styleId="BodyText-GreyChar">
    <w:name w:val="Body Text-Grey Char"/>
    <w:basedOn w:val="BodyTextChar"/>
    <w:link w:val="BodyText-Grey"/>
    <w:semiHidden/>
    <w:rsid w:val="008A0F9F"/>
    <w:rPr>
      <w:rFonts w:ascii="Open Sans" w:hAnsi="Open Sans"/>
      <w:color w:val="58585B"/>
      <w:sz w:val="20"/>
      <w:szCs w:val="20"/>
    </w:rPr>
  </w:style>
  <w:style w:type="paragraph" w:styleId="BalloonText">
    <w:name w:val="Balloon Text"/>
    <w:basedOn w:val="Normal"/>
    <w:link w:val="BalloonTextChar"/>
    <w:uiPriority w:val="99"/>
    <w:semiHidden/>
    <w:unhideWhenUsed/>
    <w:rsid w:val="008A0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F9F"/>
    <w:rPr>
      <w:rFonts w:ascii="Segoe UI" w:hAnsi="Segoe UI" w:cs="Segoe UI"/>
      <w:sz w:val="18"/>
      <w:szCs w:val="18"/>
    </w:rPr>
  </w:style>
  <w:style w:type="character" w:styleId="CommentReference">
    <w:name w:val="annotation reference"/>
    <w:basedOn w:val="DefaultParagraphFont"/>
    <w:uiPriority w:val="99"/>
    <w:semiHidden/>
    <w:unhideWhenUsed/>
    <w:rsid w:val="008A0F9F"/>
    <w:rPr>
      <w:sz w:val="16"/>
      <w:szCs w:val="16"/>
    </w:rPr>
  </w:style>
  <w:style w:type="paragraph" w:styleId="CommentText">
    <w:name w:val="annotation text"/>
    <w:basedOn w:val="Normal"/>
    <w:link w:val="CommentTextChar"/>
    <w:uiPriority w:val="99"/>
    <w:unhideWhenUsed/>
    <w:rsid w:val="008A0F9F"/>
    <w:pPr>
      <w:spacing w:line="240" w:lineRule="auto"/>
    </w:pPr>
  </w:style>
  <w:style w:type="character" w:customStyle="1" w:styleId="CommentTextChar">
    <w:name w:val="Comment Text Char"/>
    <w:basedOn w:val="DefaultParagraphFont"/>
    <w:link w:val="CommentText"/>
    <w:uiPriority w:val="99"/>
    <w:rsid w:val="008A0F9F"/>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8A0F9F"/>
    <w:rPr>
      <w:b/>
      <w:bCs/>
    </w:rPr>
  </w:style>
  <w:style w:type="character" w:customStyle="1" w:styleId="CommentSubjectChar">
    <w:name w:val="Comment Subject Char"/>
    <w:basedOn w:val="CommentTextChar"/>
    <w:link w:val="CommentSubject"/>
    <w:uiPriority w:val="99"/>
    <w:semiHidden/>
    <w:rsid w:val="008A0F9F"/>
    <w:rPr>
      <w:rFonts w:ascii="Open Sans" w:hAnsi="Open Sans"/>
      <w:b/>
      <w:bCs/>
      <w:sz w:val="20"/>
      <w:szCs w:val="20"/>
    </w:rPr>
  </w:style>
  <w:style w:type="character" w:customStyle="1" w:styleId="ColourBlue">
    <w:name w:val="Colour Blue"/>
    <w:basedOn w:val="DefaultParagraphFont"/>
    <w:uiPriority w:val="22"/>
    <w:qFormat/>
    <w:rsid w:val="008A0F9F"/>
    <w:rPr>
      <w:color w:val="2B9AC2" w:themeColor="text2"/>
    </w:rPr>
  </w:style>
  <w:style w:type="character" w:customStyle="1" w:styleId="ColourDarkBlue">
    <w:name w:val="Colour Dark Blue"/>
    <w:basedOn w:val="ColourBlue"/>
    <w:uiPriority w:val="22"/>
    <w:qFormat/>
    <w:rsid w:val="008A0F9F"/>
    <w:rPr>
      <w:color w:val="265A9A" w:themeColor="background2"/>
    </w:rPr>
  </w:style>
  <w:style w:type="paragraph" w:customStyle="1" w:styleId="BodyText-Beforebullet">
    <w:name w:val="Body Text-Before bullet"/>
    <w:basedOn w:val="BodyText"/>
    <w:link w:val="BodyText-BeforebulletChar"/>
    <w:semiHidden/>
    <w:unhideWhenUsed/>
    <w:rsid w:val="008A0F9F"/>
    <w:pPr>
      <w:spacing w:after="20"/>
    </w:pPr>
  </w:style>
  <w:style w:type="paragraph" w:customStyle="1" w:styleId="PullQuote">
    <w:name w:val="Pull Quote"/>
    <w:basedOn w:val="BodyText"/>
    <w:next w:val="BodyText"/>
    <w:uiPriority w:val="10"/>
    <w:qFormat/>
    <w:rsid w:val="008A0F9F"/>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8A0F9F"/>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8A0F9F"/>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8A0F9F"/>
    <w:pPr>
      <w:spacing w:before="60"/>
      <w:jc w:val="right"/>
    </w:pPr>
  </w:style>
  <w:style w:type="paragraph" w:customStyle="1" w:styleId="FigureTableSubheading">
    <w:name w:val="Figure/Table Subheading"/>
    <w:basedOn w:val="FigureTableHeading"/>
    <w:uiPriority w:val="4"/>
    <w:qFormat/>
    <w:rsid w:val="008A0F9F"/>
    <w:pPr>
      <w:spacing w:before="40"/>
    </w:pPr>
    <w:rPr>
      <w:color w:val="58585B"/>
    </w:rPr>
  </w:style>
  <w:style w:type="table" w:customStyle="1" w:styleId="TextTable-Grey">
    <w:name w:val="Text Table-Grey"/>
    <w:basedOn w:val="Texttable-Paleblue"/>
    <w:uiPriority w:val="99"/>
    <w:rsid w:val="008A0F9F"/>
    <w:rPr>
      <w:color w:val="265A9A" w:themeColor="background2"/>
    </w:rPr>
    <w:tblPr/>
    <w:tcPr>
      <w:shd w:val="clear" w:color="auto" w:fill="F2F2F2"/>
    </w:tcPr>
  </w:style>
  <w:style w:type="character" w:customStyle="1" w:styleId="BodyText-BlueChar">
    <w:name w:val="Body Text-Blue Char"/>
    <w:basedOn w:val="BodyTextChar"/>
    <w:link w:val="BodyText-Blue"/>
    <w:semiHidden/>
    <w:rsid w:val="008A0F9F"/>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8A0F9F"/>
  </w:style>
  <w:style w:type="paragraph" w:customStyle="1" w:styleId="Heading1-nobackground">
    <w:name w:val="Heading 1-no background"/>
    <w:basedOn w:val="Heading1"/>
    <w:next w:val="BodyText"/>
    <w:uiPriority w:val="9"/>
    <w:qFormat/>
    <w:rsid w:val="008A0F9F"/>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8A0F9F"/>
    <w:rPr>
      <w:rFonts w:ascii="Open Sans" w:hAnsi="Open Sans"/>
      <w:color w:val="58585B"/>
      <w:sz w:val="20"/>
      <w:szCs w:val="20"/>
    </w:rPr>
  </w:style>
  <w:style w:type="paragraph" w:customStyle="1" w:styleId="TableHeading-numbered">
    <w:name w:val="Table Heading-numbered"/>
    <w:basedOn w:val="Normal"/>
    <w:semiHidden/>
    <w:qFormat/>
    <w:rsid w:val="008A0F9F"/>
    <w:pPr>
      <w:numPr>
        <w:numId w:val="23"/>
      </w:numPr>
      <w:spacing w:before="60"/>
      <w:contextualSpacing/>
    </w:pPr>
    <w:rPr>
      <w:b/>
      <w:color w:val="265A9A" w:themeColor="background2"/>
    </w:rPr>
  </w:style>
  <w:style w:type="numbering" w:customStyle="1" w:styleId="TableList">
    <w:name w:val="TableList"/>
    <w:uiPriority w:val="99"/>
    <w:rsid w:val="008A0F9F"/>
    <w:pPr>
      <w:numPr>
        <w:numId w:val="23"/>
      </w:numPr>
    </w:pPr>
  </w:style>
  <w:style w:type="paragraph" w:customStyle="1" w:styleId="Footer-right">
    <w:name w:val="Footer-right"/>
    <w:basedOn w:val="Footer"/>
    <w:uiPriority w:val="11"/>
    <w:rsid w:val="008A0F9F"/>
    <w:pPr>
      <w:jc w:val="right"/>
    </w:pPr>
    <w:rPr>
      <w:szCs w:val="24"/>
    </w:rPr>
  </w:style>
  <w:style w:type="paragraph" w:customStyle="1" w:styleId="Heading2-nonumber">
    <w:name w:val="Heading 2-no number"/>
    <w:basedOn w:val="Heading2"/>
    <w:uiPriority w:val="9"/>
    <w:qFormat/>
    <w:rsid w:val="008A0F9F"/>
    <w:pPr>
      <w:numPr>
        <w:ilvl w:val="0"/>
        <w:numId w:val="0"/>
      </w:numPr>
    </w:pPr>
  </w:style>
  <w:style w:type="paragraph" w:customStyle="1" w:styleId="Heading-Appendix">
    <w:name w:val="Heading-Appendix"/>
    <w:basedOn w:val="Heading1-nonumber"/>
    <w:next w:val="BodyText"/>
    <w:uiPriority w:val="9"/>
    <w:qFormat/>
    <w:rsid w:val="008A0F9F"/>
    <w:pPr>
      <w:numPr>
        <w:numId w:val="14"/>
      </w:numPr>
    </w:pPr>
  </w:style>
  <w:style w:type="numbering" w:customStyle="1" w:styleId="AppendixHeading">
    <w:name w:val="AppendixHeading"/>
    <w:uiPriority w:val="99"/>
    <w:rsid w:val="008A0F9F"/>
    <w:pPr>
      <w:numPr>
        <w:numId w:val="10"/>
      </w:numPr>
    </w:pPr>
  </w:style>
  <w:style w:type="paragraph" w:customStyle="1" w:styleId="DraftingNote">
    <w:name w:val="Drafting Note"/>
    <w:basedOn w:val="BodyText"/>
    <w:link w:val="DraftingNoteChar"/>
    <w:qFormat/>
    <w:rsid w:val="008A0F9F"/>
    <w:pPr>
      <w:contextualSpacing/>
    </w:pPr>
    <w:rPr>
      <w:color w:val="A22D2B"/>
      <w:sz w:val="24"/>
      <w:u w:val="dotted"/>
    </w:rPr>
  </w:style>
  <w:style w:type="character" w:customStyle="1" w:styleId="DraftingNoteChar">
    <w:name w:val="Drafting Note Char"/>
    <w:basedOn w:val="BodyTextChar"/>
    <w:link w:val="DraftingNote"/>
    <w:rsid w:val="008A0F9F"/>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8A0F9F"/>
    <w:pPr>
      <w:spacing w:after="0"/>
    </w:pPr>
  </w:style>
  <w:style w:type="character" w:styleId="Emphasis">
    <w:name w:val="Emphasis"/>
    <w:basedOn w:val="DefaultParagraphFont"/>
    <w:uiPriority w:val="22"/>
    <w:qFormat/>
    <w:rsid w:val="008A0F9F"/>
    <w:rPr>
      <w:i/>
      <w:iCs/>
    </w:rPr>
  </w:style>
  <w:style w:type="paragraph" w:customStyle="1" w:styleId="Reference">
    <w:name w:val="Reference"/>
    <w:basedOn w:val="BodyText"/>
    <w:qFormat/>
    <w:rsid w:val="008A0F9F"/>
    <w:pPr>
      <w:spacing w:before="0" w:after="60" w:line="200" w:lineRule="exact"/>
    </w:pPr>
    <w:rPr>
      <w:sz w:val="16"/>
    </w:rPr>
  </w:style>
  <w:style w:type="paragraph" w:customStyle="1" w:styleId="Keypoints-heading">
    <w:name w:val="Key points-heading"/>
    <w:basedOn w:val="Heading3"/>
    <w:uiPriority w:val="10"/>
    <w:qFormat/>
    <w:rsid w:val="008A0F9F"/>
    <w:rPr>
      <w:color w:val="auto"/>
    </w:rPr>
  </w:style>
  <w:style w:type="paragraph" w:customStyle="1" w:styleId="Heading2-Appendix">
    <w:name w:val="Heading 2-Appendix"/>
    <w:basedOn w:val="Heading2-nonumber"/>
    <w:next w:val="Normal"/>
    <w:uiPriority w:val="10"/>
    <w:qFormat/>
    <w:rsid w:val="00EC62C6"/>
    <w:pPr>
      <w:numPr>
        <w:ilvl w:val="1"/>
        <w:numId w:val="14"/>
      </w:numPr>
    </w:pPr>
  </w:style>
  <w:style w:type="numbering" w:customStyle="1" w:styleId="AppendixHeadingList">
    <w:name w:val="Appendix Heading List"/>
    <w:uiPriority w:val="99"/>
    <w:rsid w:val="008A0F9F"/>
    <w:pPr>
      <w:numPr>
        <w:numId w:val="9"/>
      </w:numPr>
    </w:pPr>
  </w:style>
  <w:style w:type="paragraph" w:customStyle="1" w:styleId="Space">
    <w:name w:val="Space"/>
    <w:basedOn w:val="BodyText"/>
    <w:uiPriority w:val="1"/>
    <w:rsid w:val="008A0F9F"/>
    <w:pPr>
      <w:spacing w:before="0" w:after="0"/>
    </w:pPr>
  </w:style>
  <w:style w:type="paragraph" w:customStyle="1" w:styleId="QuoteBullet">
    <w:name w:val="Quote Bullet"/>
    <w:basedOn w:val="ListBullet"/>
    <w:link w:val="QuoteBulletChar"/>
    <w:uiPriority w:val="1"/>
    <w:qFormat/>
    <w:rsid w:val="008A0F9F"/>
    <w:pPr>
      <w:spacing w:before="60"/>
      <w:ind w:left="340" w:right="851"/>
    </w:pPr>
    <w:rPr>
      <w:color w:val="58585B"/>
    </w:rPr>
  </w:style>
  <w:style w:type="character" w:customStyle="1" w:styleId="ListBulletChar">
    <w:name w:val="List Bullet Char"/>
    <w:basedOn w:val="DefaultParagraphFont"/>
    <w:link w:val="ListBullet"/>
    <w:uiPriority w:val="1"/>
    <w:rsid w:val="005B749E"/>
    <w:rPr>
      <w:rFonts w:ascii="Open Sans" w:hAnsi="Open Sans"/>
      <w:sz w:val="20"/>
      <w:szCs w:val="20"/>
    </w:rPr>
  </w:style>
  <w:style w:type="character" w:customStyle="1" w:styleId="QuoteBulletChar">
    <w:name w:val="Quote Bullet Char"/>
    <w:basedOn w:val="ListBulletChar"/>
    <w:link w:val="QuoteBullet"/>
    <w:uiPriority w:val="1"/>
    <w:rsid w:val="008A0F9F"/>
    <w:rPr>
      <w:rFonts w:ascii="Open Sans" w:hAnsi="Open Sans"/>
      <w:color w:val="58585B"/>
      <w:sz w:val="20"/>
      <w:szCs w:val="20"/>
    </w:rPr>
  </w:style>
  <w:style w:type="paragraph" w:customStyle="1" w:styleId="Figurecharttitle">
    <w:name w:val="Figure chart title"/>
    <w:basedOn w:val="BodyText"/>
    <w:uiPriority w:val="10"/>
    <w:qFormat/>
    <w:rsid w:val="008A0F9F"/>
    <w:pPr>
      <w:spacing w:before="0" w:after="0"/>
      <w:ind w:left="284" w:hanging="284"/>
    </w:pPr>
    <w:rPr>
      <w:sz w:val="18"/>
      <w:szCs w:val="18"/>
    </w:rPr>
  </w:style>
  <w:style w:type="paragraph" w:customStyle="1" w:styleId="CoverdisclaimerwhiteCover">
    <w:name w:val="Cover – disclaimer (white) (Cover)"/>
    <w:basedOn w:val="Normal"/>
    <w:uiPriority w:val="99"/>
    <w:rsid w:val="008A0F9F"/>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paragraph" w:customStyle="1" w:styleId="PullQuoteNoSpacing">
    <w:name w:val="Pull Quote No Spacing"/>
    <w:basedOn w:val="NoSpacing"/>
    <w:link w:val="PullQuoteNoSpacingChar"/>
    <w:uiPriority w:val="10"/>
    <w:qFormat/>
    <w:rsid w:val="008A0F9F"/>
    <w:pPr>
      <w:spacing w:line="160" w:lineRule="exact"/>
    </w:pPr>
  </w:style>
  <w:style w:type="character" w:customStyle="1" w:styleId="PullQuoteNoSpacingChar">
    <w:name w:val="Pull Quote No Spacing Char"/>
    <w:basedOn w:val="NoSpacingChar"/>
    <w:link w:val="PullQuoteNoSpacing"/>
    <w:uiPriority w:val="10"/>
    <w:rsid w:val="008A0F9F"/>
    <w:rPr>
      <w:rFonts w:ascii="Open Sans" w:hAnsi="Open Sans"/>
      <w:sz w:val="20"/>
      <w:szCs w:val="20"/>
    </w:rPr>
  </w:style>
  <w:style w:type="paragraph" w:customStyle="1" w:styleId="PullQuote-Indigenous">
    <w:name w:val="Pull Quote-Indigenous"/>
    <w:basedOn w:val="PullQuote"/>
    <w:uiPriority w:val="10"/>
    <w:qFormat/>
    <w:rsid w:val="008A0F9F"/>
    <w:pPr>
      <w:ind w:right="680"/>
    </w:pPr>
    <w:rPr>
      <w:rFonts w:ascii="Open Sans" w:hAnsi="Open Sans" w:cs="Arial"/>
      <w:color w:val="auto"/>
      <w:spacing w:val="6"/>
      <w:sz w:val="22"/>
      <w:szCs w:val="22"/>
    </w:rPr>
  </w:style>
  <w:style w:type="paragraph" w:customStyle="1" w:styleId="TableListBullet">
    <w:name w:val="Table List Bullet"/>
    <w:basedOn w:val="ListBullet"/>
    <w:uiPriority w:val="10"/>
    <w:qFormat/>
    <w:rsid w:val="004C70D0"/>
    <w:pPr>
      <w:spacing w:before="46" w:after="46"/>
      <w:ind w:left="170" w:hanging="113"/>
    </w:pPr>
    <w:rPr>
      <w:sz w:val="18"/>
    </w:rPr>
  </w:style>
  <w:style w:type="character" w:styleId="Mention">
    <w:name w:val="Mention"/>
    <w:basedOn w:val="DefaultParagraphFont"/>
    <w:uiPriority w:val="99"/>
    <w:unhideWhenUsed/>
    <w:rsid w:val="002E7954"/>
    <w:rPr>
      <w:color w:val="2B579A"/>
      <w:shd w:val="clear" w:color="auto" w:fill="E1DFDD"/>
    </w:rPr>
  </w:style>
  <w:style w:type="table" w:styleId="PlainTable1">
    <w:name w:val="Plain Table 1"/>
    <w:basedOn w:val="TableNormal"/>
    <w:uiPriority w:val="41"/>
    <w:rsid w:val="00283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283A72"/>
    <w:rPr>
      <w:color w:val="BFBFBF" w:themeColor="followedHyperlink"/>
      <w:u w:val="single"/>
    </w:rPr>
  </w:style>
  <w:style w:type="numbering" w:customStyle="1" w:styleId="Numbering1">
    <w:name w:val="Numbering1"/>
    <w:uiPriority w:val="99"/>
    <w:rsid w:val="00283A72"/>
  </w:style>
  <w:style w:type="numbering" w:customStyle="1" w:styleId="Numbering2">
    <w:name w:val="Numbering2"/>
    <w:uiPriority w:val="99"/>
    <w:rsid w:val="00283A72"/>
  </w:style>
  <w:style w:type="numbering" w:customStyle="1" w:styleId="Numbering3">
    <w:name w:val="Numbering3"/>
    <w:uiPriority w:val="99"/>
    <w:rsid w:val="00283A72"/>
  </w:style>
  <w:style w:type="character" w:styleId="EndnoteReference">
    <w:name w:val="endnote reference"/>
    <w:basedOn w:val="DefaultParagraphFont"/>
    <w:uiPriority w:val="99"/>
    <w:semiHidden/>
    <w:unhideWhenUsed/>
    <w:rsid w:val="00283A72"/>
    <w:rPr>
      <w:vertAlign w:val="superscript"/>
    </w:rPr>
  </w:style>
  <w:style w:type="paragraph" w:styleId="Bibliography">
    <w:name w:val="Bibliography"/>
    <w:basedOn w:val="Normal"/>
    <w:next w:val="Normal"/>
    <w:uiPriority w:val="37"/>
    <w:unhideWhenUsed/>
    <w:rsid w:val="00283A72"/>
    <w:pPr>
      <w:spacing w:after="240" w:line="240" w:lineRule="atLeast"/>
      <w:ind w:left="720" w:hanging="720"/>
    </w:pPr>
  </w:style>
  <w:style w:type="paragraph" w:styleId="EndnoteText">
    <w:name w:val="endnote text"/>
    <w:basedOn w:val="Normal"/>
    <w:link w:val="EndnoteTextChar"/>
    <w:uiPriority w:val="99"/>
    <w:semiHidden/>
    <w:unhideWhenUsed/>
    <w:rsid w:val="00CB4827"/>
    <w:pPr>
      <w:spacing w:before="0" w:after="0" w:line="240" w:lineRule="auto"/>
    </w:pPr>
  </w:style>
  <w:style w:type="character" w:customStyle="1" w:styleId="EndnoteTextChar">
    <w:name w:val="Endnote Text Char"/>
    <w:basedOn w:val="DefaultParagraphFont"/>
    <w:link w:val="EndnoteText"/>
    <w:uiPriority w:val="99"/>
    <w:semiHidden/>
    <w:rsid w:val="00CB4827"/>
    <w:rPr>
      <w:sz w:val="20"/>
      <w:szCs w:val="20"/>
    </w:rPr>
  </w:style>
  <w:style w:type="paragraph" w:customStyle="1" w:styleId="Default">
    <w:name w:val="Default"/>
    <w:rsid w:val="00E04CE5"/>
    <w:pPr>
      <w:autoSpaceDE w:val="0"/>
      <w:autoSpaceDN w:val="0"/>
      <w:adjustRightInd w:val="0"/>
      <w:spacing w:after="0" w:line="240" w:lineRule="auto"/>
    </w:pPr>
    <w:rPr>
      <w:rFonts w:ascii="Open Sans" w:hAnsi="Open Sans" w:cs="Open Sans"/>
      <w:color w:val="000000"/>
      <w:sz w:val="24"/>
      <w:szCs w:val="24"/>
      <w:lang w:bidi="th-TH"/>
    </w:rPr>
  </w:style>
  <w:style w:type="paragraph" w:customStyle="1" w:styleId="OutlineNumbered1">
    <w:name w:val="Outline Numbered 1"/>
    <w:basedOn w:val="Normal"/>
    <w:link w:val="OutlineNumbered1Char"/>
    <w:rsid w:val="00913B3C"/>
    <w:pPr>
      <w:numPr>
        <w:numId w:val="3"/>
      </w:numPr>
      <w:spacing w:before="0" w:after="160" w:line="259" w:lineRule="auto"/>
    </w:pPr>
    <w:rPr>
      <w:sz w:val="24"/>
      <w:szCs w:val="24"/>
    </w:rPr>
  </w:style>
  <w:style w:type="character" w:customStyle="1" w:styleId="OutlineNumbered1Char">
    <w:name w:val="Outline Numbered 1 Char"/>
    <w:basedOn w:val="DefaultParagraphFont"/>
    <w:link w:val="OutlineNumbered1"/>
    <w:rsid w:val="00BB1F00"/>
    <w:rPr>
      <w:rFonts w:ascii="Open Sans" w:hAnsi="Open Sans"/>
      <w:sz w:val="24"/>
      <w:szCs w:val="24"/>
    </w:rPr>
  </w:style>
  <w:style w:type="paragraph" w:customStyle="1" w:styleId="OutlineNumbered2">
    <w:name w:val="Outline Numbered 2"/>
    <w:basedOn w:val="Normal"/>
    <w:link w:val="OutlineNumbered2Char"/>
    <w:rsid w:val="00913B3C"/>
    <w:pPr>
      <w:numPr>
        <w:ilvl w:val="1"/>
        <w:numId w:val="3"/>
      </w:numPr>
      <w:spacing w:before="0" w:after="160" w:line="259" w:lineRule="auto"/>
      <w:ind w:left="1134" w:hanging="1134"/>
    </w:pPr>
    <w:rPr>
      <w:sz w:val="24"/>
      <w:szCs w:val="24"/>
    </w:rPr>
  </w:style>
  <w:style w:type="character" w:customStyle="1" w:styleId="OutlineNumbered2Char">
    <w:name w:val="Outline Numbered 2 Char"/>
    <w:basedOn w:val="DefaultParagraphFont"/>
    <w:link w:val="OutlineNumbered2"/>
    <w:rsid w:val="00BB1F00"/>
    <w:rPr>
      <w:rFonts w:ascii="Open Sans" w:hAnsi="Open Sans"/>
      <w:sz w:val="24"/>
      <w:szCs w:val="24"/>
    </w:rPr>
  </w:style>
  <w:style w:type="paragraph" w:customStyle="1" w:styleId="OutlineNumbered3">
    <w:name w:val="Outline Numbered 3"/>
    <w:basedOn w:val="Normal"/>
    <w:rsid w:val="00913B3C"/>
    <w:pPr>
      <w:numPr>
        <w:ilvl w:val="2"/>
        <w:numId w:val="3"/>
      </w:numPr>
      <w:spacing w:before="0" w:after="160" w:line="259" w:lineRule="auto"/>
      <w:ind w:left="851" w:hanging="851"/>
    </w:pPr>
    <w:rPr>
      <w:sz w:val="24"/>
      <w:szCs w:val="24"/>
    </w:rPr>
  </w:style>
  <w:style w:type="paragraph" w:customStyle="1" w:styleId="Summarytablebody">
    <w:name w:val="Summary table body"/>
    <w:basedOn w:val="BodyText"/>
    <w:uiPriority w:val="10"/>
    <w:qFormat/>
    <w:rsid w:val="00913B3C"/>
    <w:pPr>
      <w:spacing w:before="0"/>
    </w:pPr>
  </w:style>
  <w:style w:type="paragraph" w:customStyle="1" w:styleId="Summarytableheading">
    <w:name w:val="Summary table heading"/>
    <w:basedOn w:val="Normal"/>
    <w:uiPriority w:val="10"/>
    <w:qFormat/>
    <w:rsid w:val="00913B3C"/>
    <w:pPr>
      <w:spacing w:before="0" w:after="0"/>
      <w:ind w:left="-105"/>
    </w:pPr>
    <w:rPr>
      <w:rFonts w:ascii="Arial" w:eastAsia="Arial" w:hAnsi="Arial" w:cs="Arial"/>
      <w:b/>
      <w:bCs/>
    </w:rPr>
  </w:style>
  <w:style w:type="paragraph" w:customStyle="1" w:styleId="Summarytablebullet">
    <w:name w:val="Summary table bullet"/>
    <w:basedOn w:val="ListBullet"/>
    <w:uiPriority w:val="10"/>
    <w:qFormat/>
    <w:rsid w:val="00913B3C"/>
    <w:pPr>
      <w:ind w:left="1418" w:hanging="851"/>
    </w:pPr>
  </w:style>
  <w:style w:type="character" w:customStyle="1" w:styleId="FootnoteTextChar1">
    <w:name w:val="Footnote Text Char1"/>
    <w:basedOn w:val="DefaultParagraphFont"/>
    <w:uiPriority w:val="99"/>
    <w:semiHidden/>
    <w:rsid w:val="00913B3C"/>
    <w:rPr>
      <w:sz w:val="20"/>
      <w:szCs w:val="20"/>
    </w:rPr>
  </w:style>
  <w:style w:type="table" w:customStyle="1" w:styleId="TableGrid1">
    <w:name w:val="Table Grid1"/>
    <w:basedOn w:val="TableNormal"/>
    <w:next w:val="TableGrid"/>
    <w:uiPriority w:val="39"/>
    <w:rsid w:val="00913B3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rsid w:val="00913B3C"/>
    <w:rPr>
      <w:i/>
      <w:iCs/>
      <w:color w:val="2D9AC2" w:themeColor="accent1" w:themeShade="BF"/>
    </w:rPr>
  </w:style>
  <w:style w:type="paragraph" w:styleId="IntenseQuote">
    <w:name w:val="Intense Quote"/>
    <w:basedOn w:val="Normal"/>
    <w:next w:val="Normal"/>
    <w:link w:val="IntenseQuoteChar"/>
    <w:uiPriority w:val="30"/>
    <w:rsid w:val="00913B3C"/>
    <w:pPr>
      <w:pBdr>
        <w:top w:val="single" w:sz="4" w:space="10" w:color="2D9AC2" w:themeColor="accent1" w:themeShade="BF"/>
        <w:bottom w:val="single" w:sz="4" w:space="10" w:color="2D9AC2" w:themeColor="accent1" w:themeShade="BF"/>
      </w:pBdr>
      <w:spacing w:before="360" w:after="360" w:line="278" w:lineRule="auto"/>
      <w:ind w:left="864" w:right="864"/>
      <w:jc w:val="center"/>
    </w:pPr>
    <w:rPr>
      <w:i/>
      <w:iCs/>
      <w:color w:val="2D9AC2"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3B3C"/>
    <w:rPr>
      <w:i/>
      <w:iCs/>
      <w:color w:val="2D9AC2" w:themeColor="accent1" w:themeShade="BF"/>
      <w:kern w:val="2"/>
      <w:sz w:val="24"/>
      <w:szCs w:val="24"/>
      <w14:ligatures w14:val="standardContextual"/>
    </w:rPr>
  </w:style>
  <w:style w:type="character" w:styleId="IntenseReference">
    <w:name w:val="Intense Reference"/>
    <w:basedOn w:val="DefaultParagraphFont"/>
    <w:uiPriority w:val="32"/>
    <w:rsid w:val="00913B3C"/>
    <w:rPr>
      <w:b/>
      <w:bCs/>
      <w:smallCaps/>
      <w:color w:val="2D9AC2" w:themeColor="accent1" w:themeShade="BF"/>
      <w:spacing w:val="5"/>
    </w:rPr>
  </w:style>
  <w:style w:type="numbering" w:customStyle="1" w:styleId="NoList1">
    <w:name w:val="No List1"/>
    <w:next w:val="NoList"/>
    <w:uiPriority w:val="99"/>
    <w:semiHidden/>
    <w:unhideWhenUsed/>
    <w:rsid w:val="00913B3C"/>
  </w:style>
  <w:style w:type="paragraph" w:styleId="TOC5">
    <w:name w:val="toc 5"/>
    <w:basedOn w:val="Normal"/>
    <w:next w:val="Normal"/>
    <w:autoRedefine/>
    <w:uiPriority w:val="39"/>
    <w:unhideWhenUsed/>
    <w:rsid w:val="00913B3C"/>
    <w:pPr>
      <w:spacing w:before="0"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913B3C"/>
    <w:pPr>
      <w:spacing w:before="0"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913B3C"/>
    <w:pPr>
      <w:spacing w:before="0"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913B3C"/>
    <w:pPr>
      <w:spacing w:before="0"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913B3C"/>
    <w:pPr>
      <w:spacing w:before="0" w:after="100" w:line="278" w:lineRule="auto"/>
      <w:ind w:left="1920"/>
    </w:pPr>
    <w:rPr>
      <w:rFonts w:eastAsiaTheme="minorEastAsia"/>
      <w:kern w:val="2"/>
      <w:sz w:val="24"/>
      <w:szCs w:val="24"/>
      <w:lang w:eastAsia="en-AU"/>
      <w14:ligatures w14:val="standardContextual"/>
    </w:rPr>
  </w:style>
  <w:style w:type="character" w:customStyle="1" w:styleId="normaltextrun">
    <w:name w:val="normaltextrun"/>
    <w:basedOn w:val="DefaultParagraphFont"/>
    <w:rsid w:val="007E7D9A"/>
  </w:style>
  <w:style w:type="character" w:customStyle="1" w:styleId="footnotereference0">
    <w:name w:val="footnotereference"/>
    <w:basedOn w:val="DefaultParagraphFont"/>
    <w:rsid w:val="007E7D9A"/>
  </w:style>
  <w:style w:type="character" w:customStyle="1" w:styleId="CommentTextChar1">
    <w:name w:val="Comment Text Char1"/>
    <w:basedOn w:val="DefaultParagraphFont"/>
    <w:uiPriority w:val="99"/>
    <w:rsid w:val="007E7D9A"/>
    <w:rPr>
      <w:sz w:val="20"/>
      <w:szCs w:val="20"/>
    </w:rPr>
  </w:style>
  <w:style w:type="paragraph" w:customStyle="1" w:styleId="Details">
    <w:name w:val="Details"/>
    <w:basedOn w:val="Normal"/>
    <w:uiPriority w:val="3"/>
    <w:qFormat/>
    <w:rsid w:val="00294A97"/>
    <w:pPr>
      <w:spacing w:before="0" w:after="0"/>
    </w:pPr>
    <w:rPr>
      <w:color w:val="FFFFFF" w:themeColor="background1"/>
    </w:rPr>
  </w:style>
  <w:style w:type="paragraph" w:customStyle="1" w:styleId="Footerend">
    <w:name w:val="Footer end"/>
    <w:basedOn w:val="Footer"/>
    <w:uiPriority w:val="4"/>
    <w:semiHidden/>
    <w:unhideWhenUsed/>
    <w:qFormat/>
    <w:rsid w:val="00294A97"/>
    <w:pPr>
      <w:spacing w:line="20" w:lineRule="exact"/>
    </w:pPr>
  </w:style>
  <w:style w:type="paragraph" w:customStyle="1" w:styleId="Securitymarking">
    <w:name w:val="Security marking"/>
    <w:basedOn w:val="Header"/>
    <w:uiPriority w:val="3"/>
    <w:rsid w:val="00294A97"/>
    <w:pPr>
      <w:tabs>
        <w:tab w:val="clear" w:pos="4513"/>
        <w:tab w:val="clear" w:pos="9026"/>
      </w:tabs>
      <w:jc w:val="center"/>
    </w:pPr>
    <w:rPr>
      <w:b/>
      <w:bCs/>
      <w:color w:val="FF0000"/>
    </w:rPr>
  </w:style>
  <w:style w:type="numbering" w:customStyle="1" w:styleId="Style1">
    <w:name w:val="Style1"/>
    <w:uiPriority w:val="99"/>
    <w:rsid w:val="00294A97"/>
    <w:pPr>
      <w:numPr>
        <w:numId w:val="6"/>
      </w:numPr>
    </w:pPr>
  </w:style>
  <w:style w:type="paragraph" w:customStyle="1" w:styleId="FindingRecRequesttitle">
    <w:name w:val="Finding/Rec/Request title"/>
    <w:basedOn w:val="TableHeading"/>
    <w:link w:val="FindingRecRequesttitleChar"/>
    <w:uiPriority w:val="10"/>
    <w:qFormat/>
    <w:rsid w:val="008A0F9F"/>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8A0F9F"/>
    <w:rPr>
      <w:rFonts w:ascii="Open Sans" w:hAnsi="Open Sans"/>
      <w:b/>
      <w:color w:val="265A9A" w:themeColor="background2"/>
      <w:sz w:val="20"/>
      <w:szCs w:val="20"/>
    </w:rPr>
  </w:style>
  <w:style w:type="character" w:customStyle="1" w:styleId="TableHeadingChar">
    <w:name w:val="Table Heading Char"/>
    <w:basedOn w:val="NoSpacingChar"/>
    <w:link w:val="TableHeading"/>
    <w:uiPriority w:val="4"/>
    <w:rsid w:val="008A0F9F"/>
    <w:rPr>
      <w:rFonts w:ascii="Open Sans" w:hAnsi="Open Sans"/>
      <w:b/>
      <w:color w:val="132D4D" w:themeColor="background2" w:themeShade="8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2.emf"/><Relationship Id="rId26" Type="http://schemas.openxmlformats.org/officeDocument/2006/relationships/footer" Target="footer4.xml"/><Relationship Id="rId39" Type="http://schemas.openxmlformats.org/officeDocument/2006/relationships/header" Target="header9.xml"/><Relationship Id="rId21" Type="http://schemas.openxmlformats.org/officeDocument/2006/relationships/image" Target="media/image4.svg"/><Relationship Id="rId34" Type="http://schemas.openxmlformats.org/officeDocument/2006/relationships/image" Target="media/image5.png"/><Relationship Id="rId42" Type="http://schemas.openxmlformats.org/officeDocument/2006/relationships/image" Target="media/image9.png"/><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32" Type="http://schemas.openxmlformats.org/officeDocument/2006/relationships/footer" Target="footer7.xml"/><Relationship Id="rId37" Type="http://schemas.openxmlformats.org/officeDocument/2006/relationships/image" Target="media/image8.emf"/><Relationship Id="rId40" Type="http://schemas.openxmlformats.org/officeDocument/2006/relationships/footer" Target="footer8.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publications@pc.gov.au" TargetMode="External"/><Relationship Id="rId28" Type="http://schemas.openxmlformats.org/officeDocument/2006/relationships/header" Target="header4.xml"/><Relationship Id="rId36" Type="http://schemas.openxmlformats.org/officeDocument/2006/relationships/image" Target="media/image7.emf"/><Relationship Id="rId10" Type="http://schemas.openxmlformats.org/officeDocument/2006/relationships/settings" Target="settings.xml"/><Relationship Id="rId19" Type="http://schemas.openxmlformats.org/officeDocument/2006/relationships/hyperlink" Target="https://www.pc.gov.au/inquiries-and-research/heavy-vehicle-reform/submissions/" TargetMode="External"/><Relationship Id="rId31" Type="http://schemas.openxmlformats.org/officeDocument/2006/relationships/footer" Target="footer6.xml"/><Relationship Id="rId44" Type="http://schemas.openxmlformats.org/officeDocument/2006/relationships/image" Target="media/image11.sv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hyperlink" Target="https://www.pmc.gov.au/government/commonwealth-coat-arms" TargetMode="Externa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image" Target="media/image6.svg"/><Relationship Id="rId43" Type="http://schemas.openxmlformats.org/officeDocument/2006/relationships/image" Target="media/image10.png"/><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header" Target="header8.xml"/><Relationship Id="rId4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MPWT-2140667901-99119</_dlc_DocId>
    <_dlc_DocIdUrl xmlns="20393cdf-440a-4521-8f19-00ba43423d00">
      <Url>https://pcgov.sharepoint.com/sites/sceteam/_layouts/15/DocIdRedir.aspx?ID=MPWT-2140667901-99119</Url>
      <Description>MPWT-2140667901-99119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prelims-study-report","templateDescription":"Prelims for a final study reports","enableDocumentContentUpdater":false,"version":"2.0"}]]></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3501a1292ba8b4b4fb1f1179e230518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326a6daad20af2053f81eb99cda9d1d3"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BFAA6-BFDD-4310-B081-78F7EF6B1AA3}">
  <ds:schemaRefs>
    <ds:schemaRef ds:uri="http://schemas.microsoft.com/sharepoint/v3/contenttype/forms"/>
  </ds:schemaRefs>
</ds:datastoreItem>
</file>

<file path=customXml/itemProps2.xml><?xml version="1.0" encoding="utf-8"?>
<ds:datastoreItem xmlns:ds="http://schemas.openxmlformats.org/officeDocument/2006/customXml" ds:itemID="{43036256-44AD-473E-870D-9342D1E4DDCB}">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3.xml><?xml version="1.0" encoding="utf-8"?>
<ds:datastoreItem xmlns:ds="http://schemas.openxmlformats.org/officeDocument/2006/customXml" ds:itemID="{7E0F4D53-6833-4267-8857-500CD3538BE9}">
  <ds:schemaRefs>
    <ds:schemaRef ds:uri="http://schemas.microsoft.com/sharepoint/events"/>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5CCDCE8C-2FF2-479D-91C1-79A7A7683D3C}">
  <ds:schemaRefs/>
</ds:datastoreItem>
</file>

<file path=customXml/itemProps6.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7.xml><?xml version="1.0" encoding="utf-8"?>
<ds:datastoreItem xmlns:ds="http://schemas.openxmlformats.org/officeDocument/2006/customXml" ds:itemID="{6B8F8F7B-21DE-4208-90FE-9F937BD96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11</TotalTime>
  <Pages>20</Pages>
  <Words>5737</Words>
  <Characters>34142</Characters>
  <Application>Microsoft Office Word</Application>
  <DocSecurity>0</DocSecurity>
  <Lines>656</Lines>
  <Paragraphs>332</Paragraphs>
  <ScaleCrop>false</ScaleCrop>
  <HeadingPairs>
    <vt:vector size="2" baseType="variant">
      <vt:variant>
        <vt:lpstr>Title</vt:lpstr>
      </vt:variant>
      <vt:variant>
        <vt:i4>1</vt:i4>
      </vt:variant>
    </vt:vector>
  </HeadingPairs>
  <TitlesOfParts>
    <vt:vector size="1" baseType="lpstr">
      <vt:lpstr>Overview - Study report - Impacts of heavy vehicle reform</vt:lpstr>
    </vt:vector>
  </TitlesOfParts>
  <Company>Productivity Commission</Company>
  <LinksUpToDate>false</LinksUpToDate>
  <CharactersWithSpaces>39547</CharactersWithSpaces>
  <SharedDoc>false</SharedDoc>
  <HLinks>
    <vt:vector size="36" baseType="variant">
      <vt:variant>
        <vt:i4>2949244</vt:i4>
      </vt:variant>
      <vt:variant>
        <vt:i4>1107</vt:i4>
      </vt:variant>
      <vt:variant>
        <vt:i4>0</vt:i4>
      </vt:variant>
      <vt:variant>
        <vt:i4>5</vt:i4>
      </vt:variant>
      <vt:variant>
        <vt:lpwstr>https://www.pc.gov.au/inquiries-and-research/heavy-vehicle-reform/</vt:lpwstr>
      </vt:variant>
      <vt:variant>
        <vt:lpwstr/>
      </vt:variant>
      <vt:variant>
        <vt:i4>7209067</vt:i4>
      </vt:variant>
      <vt:variant>
        <vt:i4>1095</vt:i4>
      </vt:variant>
      <vt:variant>
        <vt:i4>0</vt:i4>
      </vt:variant>
      <vt:variant>
        <vt:i4>5</vt:i4>
      </vt:variant>
      <vt:variant>
        <vt:lpwstr>https://www.pc.gov.au/inquiries-and-research/heavy-vehicle-reform/submissions/</vt:lpwstr>
      </vt:variant>
      <vt:variant>
        <vt:lpwstr/>
      </vt:variant>
      <vt:variant>
        <vt:i4>7209067</vt:i4>
      </vt:variant>
      <vt:variant>
        <vt:i4>201</vt:i4>
      </vt:variant>
      <vt:variant>
        <vt:i4>0</vt:i4>
      </vt:variant>
      <vt:variant>
        <vt:i4>5</vt:i4>
      </vt:variant>
      <vt:variant>
        <vt:lpwstr>https://www.pc.gov.au/inquiries-and-research/heavy-vehicle-reform/submissions/</vt:lpwstr>
      </vt:variant>
      <vt:variant>
        <vt:lpwstr/>
      </vt:variant>
      <vt:variant>
        <vt:i4>2883655</vt:i4>
      </vt:variant>
      <vt:variant>
        <vt:i4>6</vt:i4>
      </vt:variant>
      <vt:variant>
        <vt:i4>0</vt:i4>
      </vt:variant>
      <vt:variant>
        <vt:i4>5</vt:i4>
      </vt:variant>
      <vt:variant>
        <vt:lpwstr>mailto:publications@pc.gov.au</vt:lpwstr>
      </vt:variant>
      <vt:variant>
        <vt:lpwstr/>
      </vt:variant>
      <vt:variant>
        <vt:i4>5439552</vt:i4>
      </vt:variant>
      <vt:variant>
        <vt:i4>3</vt:i4>
      </vt:variant>
      <vt:variant>
        <vt:i4>0</vt:i4>
      </vt:variant>
      <vt:variant>
        <vt:i4>5</vt:i4>
      </vt:variant>
      <vt:variant>
        <vt:lpwstr>https://www.pmc.gov.au/government/commonwealth-coat-arms</vt:lpwstr>
      </vt:variant>
      <vt:variant>
        <vt:lpwstr/>
      </vt:variant>
      <vt:variant>
        <vt:i4>7209067</vt:i4>
      </vt:variant>
      <vt:variant>
        <vt:i4>0</vt:i4>
      </vt:variant>
      <vt:variant>
        <vt:i4>0</vt:i4>
      </vt:variant>
      <vt:variant>
        <vt:i4>5</vt:i4>
      </vt:variant>
      <vt:variant>
        <vt:lpwstr>https://www.pc.gov.au/inquiries-and-research/heavy-vehicle-reform/submissions/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 Study report - Impacts of heavy vehicle reform</dc:title>
  <dc:subject/>
  <dc:creator>Productivity Commission</dc:creator>
  <cp:keywords/>
  <dc:description/>
  <cp:lastModifiedBy>Chris Alston</cp:lastModifiedBy>
  <cp:revision>4</cp:revision>
  <cp:lastPrinted>2026-07-06T04:46:00Z</cp:lastPrinted>
  <dcterms:created xsi:type="dcterms:W3CDTF">2026-07-08T00:24:00Z</dcterms:created>
  <dcterms:modified xsi:type="dcterms:W3CDTF">2026-07-08T00:35:00Z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MediaServiceImageTags">
    <vt:lpwstr/>
  </property>
  <property fmtid="{D5CDD505-2E9C-101B-9397-08002B2CF9AE}" pid="5" name="ClassificationContentMarkingHeaderShapeIds">
    <vt:lpwstr>23ebc34e,2e323c09,24a4b99f,39ca48f6,665f11c9,5a982299,3cac67c3,3014635b,6738ac42,326e8bee,ed81ea2,69f24521,4234daa3,49a01579,6c96ce9a,6e9f2bd5,1ae1e749,2cfe5f2b</vt:lpwstr>
  </property>
  <property fmtid="{D5CDD505-2E9C-101B-9397-08002B2CF9AE}" pid="6" name="ClassificationContentMarkingHeaderFontProps">
    <vt:lpwstr>#000000,12,Aptos</vt:lpwstr>
  </property>
  <property fmtid="{D5CDD505-2E9C-101B-9397-08002B2CF9AE}" pid="7" name="ClassificationContentMarkingHeaderText">
    <vt:lpwstr>OFFICIAL // FOR INTERNAL USE ONLY</vt:lpwstr>
  </property>
  <property fmtid="{D5CDD505-2E9C-101B-9397-08002B2CF9AE}" pid="8" name="TemplafyTenantId">
    <vt:lpwstr>productivitycommission</vt:lpwstr>
  </property>
  <property fmtid="{D5CDD505-2E9C-101B-9397-08002B2CF9AE}" pid="9" name="TemplafyTemplateId">
    <vt:lpwstr>637734058359382389</vt:lpwstr>
  </property>
  <property fmtid="{D5CDD505-2E9C-101B-9397-08002B2CF9AE}" pid="10" name="TemplafyUserProfileId">
    <vt:lpwstr>637853189818630385</vt:lpwstr>
  </property>
  <property fmtid="{D5CDD505-2E9C-101B-9397-08002B2CF9AE}" pid="11" name="TemplafyFromBlank">
    <vt:bool>false</vt:bool>
  </property>
  <property fmtid="{D5CDD505-2E9C-101B-9397-08002B2CF9AE}" pid="12" name="docLang">
    <vt:lpwstr>en</vt:lpwstr>
  </property>
  <property fmtid="{D5CDD505-2E9C-101B-9397-08002B2CF9AE}" pid="13" name="ZOTERO_PREF_2">
    <vt:lpwstr>ournalAbbreviations" value="true"/&gt;&lt;/prefs&gt;&lt;/data&gt;</vt:lpwstr>
  </property>
  <property fmtid="{D5CDD505-2E9C-101B-9397-08002B2CF9AE}" pid="14" name="ZOTERO_PREF_1">
    <vt:lpwstr>&lt;data data-version="3" zotero-version="9.0.5"&gt;&lt;session id="Gk7mDj6c"/&gt;&lt;style id="http://www.zotero.org/styles/Productivity-Commission" hasBibliography="1" bibliographyStyleHasBeenSet="1"/&gt;&lt;prefs&gt;&lt;pref name="fieldType" value="Field"/&gt;&lt;pref name="automaticJ</vt:lpwstr>
  </property>
  <property fmtid="{D5CDD505-2E9C-101B-9397-08002B2CF9AE}" pid="15" name="MSIP_Label_c1f2b1ce-4212-46db-a901-dd8453f57141_Enabled">
    <vt:lpwstr>true</vt:lpwstr>
  </property>
  <property fmtid="{D5CDD505-2E9C-101B-9397-08002B2CF9AE}" pid="16" name="MSIP_Label_c1f2b1ce-4212-46db-a901-dd8453f57141_SetDate">
    <vt:lpwstr>2026-06-29T10:51:32Z</vt:lpwstr>
  </property>
  <property fmtid="{D5CDD505-2E9C-101B-9397-08002B2CF9AE}" pid="17" name="MSIP_Label_c1f2b1ce-4212-46db-a901-dd8453f57141_Method">
    <vt:lpwstr>Privileged</vt:lpwstr>
  </property>
  <property fmtid="{D5CDD505-2E9C-101B-9397-08002B2CF9AE}" pid="18" name="MSIP_Label_c1f2b1ce-4212-46db-a901-dd8453f57141_Name">
    <vt:lpwstr>Publish</vt:lpwstr>
  </property>
  <property fmtid="{D5CDD505-2E9C-101B-9397-08002B2CF9AE}" pid="19" name="MSIP_Label_c1f2b1ce-4212-46db-a901-dd8453f57141_SiteId">
    <vt:lpwstr>29f9330b-c0fe-4244-830e-ba9f275d6c34</vt:lpwstr>
  </property>
  <property fmtid="{D5CDD505-2E9C-101B-9397-08002B2CF9AE}" pid="20" name="MSIP_Label_c1f2b1ce-4212-46db-a901-dd8453f57141_ActionId">
    <vt:lpwstr>ef4db27e-def4-4beb-8b30-99fc02e227e8</vt:lpwstr>
  </property>
  <property fmtid="{D5CDD505-2E9C-101B-9397-08002B2CF9AE}" pid="21" name="MSIP_Label_c1f2b1ce-4212-46db-a901-dd8453f57141_ContentBits">
    <vt:lpwstr>0</vt:lpwstr>
  </property>
  <property fmtid="{D5CDD505-2E9C-101B-9397-08002B2CF9AE}" pid="22" name="MSIP_Label_c1f2b1ce-4212-46db-a901-dd8453f57141_Tag">
    <vt:lpwstr>10, 0, 1, 1</vt:lpwstr>
  </property>
  <property fmtid="{D5CDD505-2E9C-101B-9397-08002B2CF9AE}" pid="23" name="_dlc_DocIdItemGuid">
    <vt:lpwstr>378ff95e-e601-416f-aa8c-d256651fe26d</vt:lpwstr>
  </property>
</Properties>
</file>