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3B5B" w14:textId="4768E7C1" w:rsidR="007C4AB5" w:rsidRPr="00A2287B" w:rsidRDefault="007C4AB5" w:rsidP="009F70DA">
      <w:pPr>
        <w:pStyle w:val="Title"/>
        <w:ind w:right="1418"/>
        <w:contextualSpacing w:val="0"/>
      </w:pPr>
      <w:r w:rsidRPr="00292290">
        <w:t xml:space="preserve">Housing </w:t>
      </w:r>
      <w:r w:rsidR="00051F3A" w:rsidRPr="00292290">
        <w:t>s</w:t>
      </w:r>
      <w:r w:rsidRPr="00292290">
        <w:t xml:space="preserve">upply </w:t>
      </w:r>
      <w:r w:rsidR="00051F3A" w:rsidRPr="00292290">
        <w:t>r</w:t>
      </w:r>
      <w:r w:rsidRPr="00292290">
        <w:t>egulation</w:t>
      </w:r>
    </w:p>
    <w:sdt>
      <w:sdtPr>
        <w:rPr>
          <w:rFonts w:ascii="Open Sans" w:eastAsiaTheme="minorHAnsi" w:hAnsi="Open Sans" w:cstheme="minorBidi"/>
          <w:color w:val="auto"/>
          <w:kern w:val="0"/>
          <w:sz w:val="20"/>
          <w:szCs w:val="20"/>
        </w:rPr>
        <w:id w:val="-228914026"/>
        <w:docPartObj>
          <w:docPartGallery w:val="Cover Pages"/>
          <w:docPartUnique/>
        </w:docPartObj>
      </w:sdtPr>
      <w:sdtEndPr>
        <w:rPr>
          <w:rStyle w:val="White"/>
          <w:b/>
          <w:color w:val="FFFFFF" w:themeColor="background1"/>
        </w:rPr>
      </w:sdtEndPr>
      <w:sdtContent>
        <w:p w14:paraId="5BC66D47" w14:textId="475A4764" w:rsidR="00B302FA" w:rsidRPr="00292290" w:rsidRDefault="00AB66AE" w:rsidP="00D359B1">
          <w:pPr>
            <w:pStyle w:val="Title"/>
            <w:rPr>
              <w:rStyle w:val="SubtitleChar"/>
            </w:rPr>
          </w:pPr>
          <w:r w:rsidRPr="00292290">
            <w:rPr>
              <w:rStyle w:val="SubtitleChar"/>
            </w:rPr>
            <w:t>I</w:t>
          </w:r>
          <w:r w:rsidR="00A25715" w:rsidRPr="00292290">
            <w:rPr>
              <w:rStyle w:val="SubtitleChar"/>
            </w:rPr>
            <w:t xml:space="preserve">nterim </w:t>
          </w:r>
          <w:r w:rsidR="007453FC" w:rsidRPr="00292290">
            <w:rPr>
              <w:rStyle w:val="SubtitleChar"/>
            </w:rPr>
            <w:t>report</w:t>
          </w:r>
          <w:r w:rsidR="00A873A8">
            <w:rPr>
              <w:rStyle w:val="SubtitleChar"/>
            </w:rPr>
            <w:br/>
          </w:r>
          <w:r w:rsidR="00A873A8" w:rsidRPr="00A873A8">
            <w:rPr>
              <w:rStyle w:val="SubtitleChar"/>
              <w:sz w:val="32"/>
              <w:szCs w:val="32"/>
            </w:rPr>
            <w:t>Overview</w:t>
          </w:r>
        </w:p>
        <w:p w14:paraId="665B2A56" w14:textId="2A9FAED2" w:rsidR="007C11E5" w:rsidRPr="009F70DA" w:rsidRDefault="00DC346E" w:rsidP="009F70DA">
          <w:pPr>
            <w:pStyle w:val="BodyText"/>
          </w:pPr>
          <w:r w:rsidRPr="009F70DA">
            <w:rPr>
              <w:noProof/>
            </w:rPr>
            <mc:AlternateContent>
              <mc:Choice Requires="wps">
                <w:drawing>
                  <wp:anchor distT="0" distB="0" distL="114300" distR="114300" simplePos="0" relativeHeight="251658241" behindDoc="0" locked="0" layoutInCell="1" allowOverlap="1" wp14:anchorId="294FBECB" wp14:editId="041DD9B1">
                    <wp:simplePos x="0" y="0"/>
                    <wp:positionH relativeFrom="margin">
                      <wp:align>left</wp:align>
                    </wp:positionH>
                    <wp:positionV relativeFrom="margin">
                      <wp:posOffset>7278461</wp:posOffset>
                    </wp:positionV>
                    <wp:extent cx="2232992" cy="8979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32992" cy="897980"/>
                            </a:xfrm>
                            <a:prstGeom prst="rect">
                              <a:avLst/>
                            </a:prstGeom>
                            <a:solidFill>
                              <a:srgbClr val="E7F6FD"/>
                            </a:solidFill>
                            <a:ln w="6350">
                              <a:noFill/>
                            </a:ln>
                          </wps:spPr>
                          <wps:txbx>
                            <w:txbxContent>
                              <w:p w14:paraId="077545CB" w14:textId="0F7E2C3D" w:rsidR="00A25715" w:rsidRPr="0066040A" w:rsidRDefault="00A25715" w:rsidP="00EA2F19">
                                <w:pPr>
                                  <w:pStyle w:val="CoverdisclaimerwhiteCover"/>
                                  <w:rPr>
                                    <w:color w:val="1C4373" w:themeColor="background2" w:themeShade="BF"/>
                                    <w:lang w:val="en-AU"/>
                                  </w:rPr>
                                </w:pPr>
                                <w:r w:rsidRPr="0066040A">
                                  <w:rPr>
                                    <w:color w:val="1C4373" w:themeColor="background2" w:themeShade="BF"/>
                                    <w:lang w:val="en-AU"/>
                                  </w:rPr>
                                  <w:t xml:space="preserve">This is </w:t>
                                </w:r>
                                <w:r w:rsidR="00051F3A" w:rsidRPr="0066040A">
                                  <w:rPr>
                                    <w:color w:val="1C4373" w:themeColor="background2" w:themeShade="BF"/>
                                    <w:lang w:val="en-AU"/>
                                  </w:rPr>
                                  <w:t>an interim</w:t>
                                </w:r>
                                <w:r w:rsidRPr="0066040A">
                                  <w:rPr>
                                    <w:color w:val="1C4373" w:themeColor="background2" w:themeShade="BF"/>
                                    <w:lang w:val="en-AU"/>
                                  </w:rPr>
                                  <w:t xml:space="preserve"> report prepared for further public consultation and input. The </w:t>
                                </w:r>
                                <w:r w:rsidR="00DD2F67" w:rsidRPr="0066040A">
                                  <w:rPr>
                                    <w:color w:val="1C4373" w:themeColor="background2" w:themeShade="BF"/>
                                    <w:lang w:val="en-AU"/>
                                  </w:rPr>
                                  <w:t>PC</w:t>
                                </w:r>
                                <w:r w:rsidRPr="0066040A">
                                  <w:rPr>
                                    <w:color w:val="1C4373" w:themeColor="background2" w:themeShade="BF"/>
                                    <w:lang w:val="en-AU"/>
                                  </w:rPr>
                                  <w:t xml:space="preserve"> will finalise its report after these processes have taken place.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FBECB" id="_x0000_t202" coordsize="21600,21600" o:spt="202" path="m,l,21600r21600,l21600,xe">
                    <v:stroke joinstyle="miter"/>
                    <v:path gradientshapeok="t" o:connecttype="rect"/>
                  </v:shapetype>
                  <v:shape id="Text Box 15" o:spid="_x0000_s1026" type="#_x0000_t202" style="position:absolute;margin-left:0;margin-top:573.1pt;width:175.85pt;height:70.7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" fillcolor="#e7f6fd" stroked="f" strokeweight=".5pt">
                    <v:textbox>
                      <w:txbxContent>
                        <w:p w14:paraId="077545CB" w14:textId="0F7E2C3D" w:rsidR="00A25715" w:rsidRPr="0066040A" w:rsidRDefault="00A25715" w:rsidP="00EA2F19">
                          <w:pPr>
                            <w:pStyle w:val="CoverdisclaimerwhiteCover"/>
                            <w:rPr>
                              <w:color w:val="1C4373" w:themeColor="background2" w:themeShade="BF"/>
                              <w:lang w:val="en-AU"/>
                            </w:rPr>
                          </w:pPr>
                          <w:r w:rsidRPr="0066040A">
                            <w:rPr>
                              <w:color w:val="1C4373" w:themeColor="background2" w:themeShade="BF"/>
                              <w:lang w:val="en-AU"/>
                            </w:rPr>
                            <w:t xml:space="preserve">This is </w:t>
                          </w:r>
                          <w:r w:rsidR="00051F3A" w:rsidRPr="0066040A">
                            <w:rPr>
                              <w:color w:val="1C4373" w:themeColor="background2" w:themeShade="BF"/>
                              <w:lang w:val="en-AU"/>
                            </w:rPr>
                            <w:t>an interim</w:t>
                          </w:r>
                          <w:r w:rsidRPr="0066040A">
                            <w:rPr>
                              <w:color w:val="1C4373" w:themeColor="background2" w:themeShade="BF"/>
                              <w:lang w:val="en-AU"/>
                            </w:rPr>
                            <w:t xml:space="preserve"> report prepared for further public consultation and input. The </w:t>
                          </w:r>
                          <w:r w:rsidR="00DD2F67" w:rsidRPr="0066040A">
                            <w:rPr>
                              <w:color w:val="1C4373" w:themeColor="background2" w:themeShade="BF"/>
                              <w:lang w:val="en-AU"/>
                            </w:rPr>
                            <w:t>PC</w:t>
                          </w:r>
                          <w:r w:rsidRPr="0066040A">
                            <w:rPr>
                              <w:color w:val="1C4373" w:themeColor="background2" w:themeShade="BF"/>
                              <w:lang w:val="en-AU"/>
                            </w:rPr>
                            <w:t xml:space="preserve"> will finalise its report after these processes have taken place.</w:t>
                          </w:r>
                        </w:p>
                      </w:txbxContent>
                    </v:textbox>
                    <w10:wrap anchorx="margin" anchory="margin"/>
                  </v:shape>
                </w:pict>
              </mc:Fallback>
            </mc:AlternateContent>
          </w:r>
          <w:r w:rsidRPr="009F70DA">
            <w:rPr>
              <w:noProof/>
            </w:rPr>
            <mc:AlternateContent>
              <mc:Choice Requires="wps">
                <w:drawing>
                  <wp:anchor distT="0" distB="0" distL="114300" distR="114300" simplePos="0" relativeHeight="251658242" behindDoc="0" locked="0" layoutInCell="1" allowOverlap="1" wp14:anchorId="681B397C" wp14:editId="3E761C28">
                    <wp:simplePos x="0" y="0"/>
                    <wp:positionH relativeFrom="margin">
                      <wp:posOffset>4308573</wp:posOffset>
                    </wp:positionH>
                    <wp:positionV relativeFrom="margin">
                      <wp:posOffset>7892415</wp:posOffset>
                    </wp:positionV>
                    <wp:extent cx="1799590" cy="27686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799590" cy="276860"/>
                            </a:xfrm>
                            <a:prstGeom prst="rect">
                              <a:avLst/>
                            </a:prstGeom>
                            <a:noFill/>
                            <a:ln w="6350">
                              <a:noFill/>
                            </a:ln>
                          </wps:spPr>
                          <wps:txbx>
                            <w:txbxContent>
                              <w:p w14:paraId="47E568D5" w14:textId="5355A1D1" w:rsidR="00AD0025" w:rsidRPr="00B825C3" w:rsidRDefault="00B559FF" w:rsidP="00EA2F19">
                                <w:pPr>
                                  <w:pStyle w:val="Coverdate"/>
                                  <w:rPr>
                                    <w:b/>
                                    <w:color w:val="E0F1F7" w:themeColor="accent1" w:themeTint="33"/>
                                  </w:rPr>
                                </w:pPr>
                                <w:r w:rsidRPr="00B825C3">
                                  <w:rPr>
                                    <w:b/>
                                    <w:color w:val="E0F1F7" w:themeColor="accent1" w:themeTint="33"/>
                                  </w:rPr>
                                  <w:t>July</w:t>
                                </w:r>
                                <w:r w:rsidR="00AD0025" w:rsidRPr="00B825C3">
                                  <w:rPr>
                                    <w:b/>
                                    <w:color w:val="E0F1F7" w:themeColor="accent1" w:themeTint="33"/>
                                  </w:rPr>
                                  <w:t xml:space="preserve"> </w:t>
                                </w:r>
                                <w:r w:rsidRPr="00B825C3">
                                  <w:rPr>
                                    <w:b/>
                                    <w:color w:val="E0F1F7" w:themeColor="accent1" w:themeTint="33"/>
                                  </w:rPr>
                                  <w:t>2026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B397C" id="Text Box 1536576944" o:spid="_x0000_s1027" type="#_x0000_t202" style="position:absolute;margin-left:339.25pt;margin-top:621.45pt;width:141.7pt;height:2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" filled="f" stroked="f" strokeweight=".5pt">
                    <v:textbox>
                      <w:txbxContent>
                        <w:p w14:paraId="47E568D5" w14:textId="5355A1D1" w:rsidR="00AD0025" w:rsidRPr="00B825C3" w:rsidRDefault="00B559FF" w:rsidP="00EA2F19">
                          <w:pPr>
                            <w:pStyle w:val="Coverdate"/>
                            <w:rPr>
                              <w:b/>
                              <w:color w:val="E0F1F7" w:themeColor="accent1" w:themeTint="33"/>
                            </w:rPr>
                          </w:pPr>
                          <w:r w:rsidRPr="00B825C3">
                            <w:rPr>
                              <w:b/>
                              <w:color w:val="E0F1F7" w:themeColor="accent1" w:themeTint="33"/>
                            </w:rPr>
                            <w:t>July</w:t>
                          </w:r>
                          <w:r w:rsidR="00AD0025" w:rsidRPr="00B825C3">
                            <w:rPr>
                              <w:b/>
                              <w:color w:val="E0F1F7" w:themeColor="accent1" w:themeTint="33"/>
                            </w:rPr>
                            <w:t xml:space="preserve"> </w:t>
                          </w:r>
                          <w:r w:rsidRPr="00B825C3">
                            <w:rPr>
                              <w:b/>
                              <w:color w:val="E0F1F7" w:themeColor="accent1" w:themeTint="33"/>
                            </w:rPr>
                            <w:t>2026</w:t>
                          </w:r>
                        </w:p>
                      </w:txbxContent>
                    </v:textbox>
                    <w10:wrap anchorx="margin" anchory="margin"/>
                  </v:shape>
                </w:pict>
              </mc:Fallback>
            </mc:AlternateContent>
          </w:r>
        </w:p>
        <w:p w14:paraId="52741483" w14:textId="77777777" w:rsidR="00B302FA" w:rsidRPr="009F70DA" w:rsidRDefault="00B302FA" w:rsidP="009F70DA">
          <w:pPr>
            <w:pStyle w:val="BodyText"/>
            <w:sectPr w:rsidR="00B302FA" w:rsidRPr="009F70DA" w:rsidSect="002E3F19">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rsidRPr="00A873A8" w14:paraId="4F84FE3E" w14:textId="77777777" w:rsidTr="00BA2796">
            <w:trPr>
              <w:trHeight w:hRule="exact" w:val="12756"/>
            </w:trPr>
            <w:tc>
              <w:tcPr>
                <w:tcW w:w="9638" w:type="dxa"/>
                <w:shd w:val="clear" w:color="auto" w:fill="E7F6FD"/>
                <w:tcMar>
                  <w:top w:w="340" w:type="dxa"/>
                </w:tcMar>
                <w:vAlign w:val="top"/>
              </w:tcPr>
              <w:p w14:paraId="4A43B550" w14:textId="77777777" w:rsidR="00682373" w:rsidRPr="000429D1" w:rsidRDefault="00B302FA" w:rsidP="00044DBB">
                <w:pPr>
                  <w:pStyle w:val="Copyrightpage-Heading"/>
                  <w:spacing w:before="120"/>
                </w:pPr>
                <w:r w:rsidRPr="000429D1">
                  <w:rPr>
                    <w:rStyle w:val="White"/>
                  </w:rPr>
                  <w:lastRenderedPageBreak/>
                  <w:br w:type="page"/>
                </w:r>
                <w:r w:rsidR="00682373" w:rsidRPr="000429D1">
                  <w:t>Acknowledgment of Country</w:t>
                </w:r>
              </w:p>
              <w:p w14:paraId="228FA218" w14:textId="77777777" w:rsidR="00682373" w:rsidRPr="000429D1" w:rsidRDefault="00682373" w:rsidP="00682373">
                <w:pPr>
                  <w:pStyle w:val="Copyrightpage-BodyBold"/>
                  <w:ind w:right="-284"/>
                  <w:rPr>
                    <w:rFonts w:cs="Arial"/>
                    <w:b w:val="0"/>
                    <w:bCs/>
                    <w:color w:val="auto"/>
                    <w:spacing w:val="2"/>
                  </w:rPr>
                </w:pPr>
                <w:r w:rsidRPr="000429D1">
                  <w:rPr>
                    <w:rFonts w:cs="Arial"/>
                    <w:b w:val="0"/>
                    <w:bCs/>
                    <w:noProof/>
                    <w:color w:val="auto"/>
                  </w:rPr>
                  <w:drawing>
                    <wp:anchor distT="0" distB="0" distL="114300" distR="114300" simplePos="0" relativeHeight="251658240" behindDoc="0" locked="0" layoutInCell="1" allowOverlap="1" wp14:anchorId="7638DD4C" wp14:editId="787407FC">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429D1">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7B4A3900" w14:textId="77777777" w:rsidR="00682373" w:rsidRPr="000429D1" w:rsidRDefault="00682373" w:rsidP="00682373">
                <w:pPr>
                  <w:pStyle w:val="Copyrightpage-Keylinenotext"/>
                  <w:ind w:right="-284"/>
                  <w:rPr>
                    <w:color w:val="auto"/>
                  </w:rPr>
                </w:pPr>
              </w:p>
              <w:p w14:paraId="69799D5F" w14:textId="77777777" w:rsidR="00C31E23" w:rsidRPr="000429D1" w:rsidRDefault="00BE5E7E" w:rsidP="00BE5E7E">
                <w:pPr>
                  <w:pStyle w:val="Copyrightpage-Heading"/>
                </w:pPr>
                <w:r w:rsidRPr="000429D1">
                  <w:t>About us</w:t>
                </w:r>
              </w:p>
              <w:p w14:paraId="799746C3" w14:textId="70F891CE" w:rsidR="00C31E23" w:rsidRPr="000429D1" w:rsidRDefault="00C31E23" w:rsidP="00BE5E7E">
                <w:pPr>
                  <w:pStyle w:val="Copyrightpage-BodyText"/>
                  <w:rPr>
                    <w:spacing w:val="2"/>
                  </w:rPr>
                </w:pPr>
                <w:r w:rsidRPr="000429D1">
                  <w:rPr>
                    <w:spacing w:val="2"/>
                  </w:rPr>
                  <w:t xml:space="preserve">The </w:t>
                </w:r>
                <w:r w:rsidR="00434A53" w:rsidRPr="000429D1">
                  <w:rPr>
                    <w:spacing w:val="2"/>
                  </w:rPr>
                  <w:t xml:space="preserve">PC </w:t>
                </w:r>
                <w:r w:rsidRPr="000429D1">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0429D1">
                  <w:rPr>
                    <w:spacing w:val="2"/>
                  </w:rPr>
                  <w:t>long</w:t>
                </w:r>
                <w:r w:rsidR="00D12A05">
                  <w:rPr>
                    <w:spacing w:val="2"/>
                  </w:rPr>
                  <w:noBreakHyphen/>
                </w:r>
                <w:r w:rsidR="00BE5E7E" w:rsidRPr="000429D1">
                  <w:rPr>
                    <w:spacing w:val="2"/>
                  </w:rPr>
                  <w:t>term</w:t>
                </w:r>
                <w:r w:rsidRPr="000429D1">
                  <w:rPr>
                    <w:spacing w:val="2"/>
                  </w:rPr>
                  <w:t xml:space="preserve"> interest of the Australian community.</w:t>
                </w:r>
              </w:p>
              <w:p w14:paraId="3B828D58" w14:textId="77777777" w:rsidR="00C31E23" w:rsidRPr="000429D1" w:rsidRDefault="00C31E23" w:rsidP="00BE5E7E">
                <w:pPr>
                  <w:pStyle w:val="Copyrightpage-BodyText"/>
                </w:pPr>
                <w:r w:rsidRPr="000429D1">
                  <w:t xml:space="preserve">The </w:t>
                </w:r>
                <w:r w:rsidR="00BE5E7E" w:rsidRPr="000429D1">
                  <w:t>PC’s</w:t>
                </w:r>
                <w:r w:rsidRPr="000429D1">
                  <w:t xml:space="preserve"> independence is underpinned by an Act of Parliament. Its processes and outputs are open to public scrutiny and are driven by concern for the wellbeing of the </w:t>
                </w:r>
                <w:proofErr w:type="gramStart"/>
                <w:r w:rsidRPr="000429D1">
                  <w:t>community as a whole</w:t>
                </w:r>
                <w:proofErr w:type="gramEnd"/>
                <w:r w:rsidRPr="000429D1">
                  <w:t>.</w:t>
                </w:r>
              </w:p>
              <w:p w14:paraId="1A752F08" w14:textId="77777777" w:rsidR="00C31E23" w:rsidRPr="000429D1" w:rsidRDefault="00682373" w:rsidP="00BE5E7E">
                <w:pPr>
                  <w:pStyle w:val="Copyrightpage-BodyText"/>
                  <w:rPr>
                    <w:u w:val="single"/>
                  </w:rPr>
                </w:pPr>
                <w:r w:rsidRPr="000429D1">
                  <w:t>For more</w:t>
                </w:r>
                <w:r w:rsidR="00C31E23" w:rsidRPr="000429D1">
                  <w:t xml:space="preserve"> information </w:t>
                </w:r>
                <w:r w:rsidRPr="000429D1">
                  <w:t xml:space="preserve">visit our </w:t>
                </w:r>
                <w:r w:rsidR="00C31E23" w:rsidRPr="000429D1">
                  <w:t>website</w:t>
                </w:r>
                <w:r w:rsidRPr="000429D1">
                  <w:t xml:space="preserve">: </w:t>
                </w:r>
                <w:hyperlink r:id="rId21" w:history="1">
                  <w:r w:rsidR="00C31E23" w:rsidRPr="000429D1">
                    <w:rPr>
                      <w:rStyle w:val="Hyperlink"/>
                    </w:rPr>
                    <w:t>www.pc.gov.au</w:t>
                  </w:r>
                </w:hyperlink>
                <w:r w:rsidR="00C31E23" w:rsidRPr="000429D1">
                  <w:rPr>
                    <w:u w:val="single"/>
                  </w:rPr>
                  <w:t>.</w:t>
                </w:r>
              </w:p>
              <w:p w14:paraId="1C99F304" w14:textId="77777777" w:rsidR="00C31E23" w:rsidRPr="000429D1" w:rsidRDefault="00C31E23" w:rsidP="00BE5E7E">
                <w:pPr>
                  <w:pStyle w:val="Copyrightpage-Keylinenotext"/>
                  <w:ind w:right="-284"/>
                  <w:rPr>
                    <w:b/>
                    <w:bCs/>
                    <w:color w:val="auto"/>
                  </w:rPr>
                </w:pPr>
              </w:p>
              <w:p w14:paraId="590CA144" w14:textId="77777777" w:rsidR="00C31E23" w:rsidRPr="000429D1" w:rsidRDefault="00C31E23" w:rsidP="00A84F65">
                <w:pPr>
                  <w:pStyle w:val="Copyrightpage-BodyText"/>
                  <w:spacing w:before="0"/>
                </w:pPr>
                <w:r w:rsidRPr="000429D1">
                  <w:t>© Commonwealth of Australia 202</w:t>
                </w:r>
                <w:r w:rsidR="00D20B05" w:rsidRPr="000429D1">
                  <w:t>6</w:t>
                </w:r>
              </w:p>
              <w:p w14:paraId="54938C1D" w14:textId="77777777" w:rsidR="00C31E23" w:rsidRPr="000429D1" w:rsidRDefault="00C31E23" w:rsidP="00BE5E7E">
                <w:pPr>
                  <w:pStyle w:val="Copyrightpage-Heading2"/>
                  <w:spacing w:before="0"/>
                  <w:ind w:right="-284"/>
                  <w:rPr>
                    <w:bCs/>
                    <w:color w:val="auto"/>
                  </w:rPr>
                </w:pPr>
                <w:r w:rsidRPr="000429D1">
                  <w:rPr>
                    <w:bCs/>
                    <w:noProof/>
                  </w:rPr>
                  <w:drawing>
                    <wp:inline distT="0" distB="0" distL="0" distR="0" wp14:anchorId="1CA98808" wp14:editId="3FAE69C9">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74000" cy="270000"/>
                              </a:xfrm>
                              <a:prstGeom prst="rect">
                                <a:avLst/>
                              </a:prstGeom>
                            </pic:spPr>
                          </pic:pic>
                        </a:graphicData>
                      </a:graphic>
                    </wp:inline>
                  </w:drawing>
                </w:r>
              </w:p>
              <w:p w14:paraId="3B730948" w14:textId="77777777" w:rsidR="00C31E23" w:rsidRPr="000429D1" w:rsidRDefault="00C31E23" w:rsidP="00BE5E7E">
                <w:pPr>
                  <w:pStyle w:val="Copyrightpage-BodyText"/>
                  <w:rPr>
                    <w:spacing w:val="-2"/>
                  </w:rPr>
                </w:pPr>
                <w:proofErr w:type="gramStart"/>
                <w:r w:rsidRPr="000429D1">
                  <w:rPr>
                    <w:spacing w:val="-2"/>
                  </w:rPr>
                  <w:t>With the exception of</w:t>
                </w:r>
                <w:proofErr w:type="gramEnd"/>
                <w:r w:rsidRPr="000429D1">
                  <w:rPr>
                    <w:spacing w:val="-2"/>
                  </w:rPr>
                  <w:t xml:space="preserve"> the Commonwealth Coat of Arms and content supplied by third parties, this copyright work is licensed under a Creative Commons Attribution</w:t>
                </w:r>
                <w:r w:rsidR="007C4801" w:rsidRPr="000429D1">
                  <w:rPr>
                    <w:spacing w:val="-2"/>
                  </w:rPr>
                  <w:t> </w:t>
                </w:r>
                <w:r w:rsidRPr="000429D1">
                  <w:rPr>
                    <w:spacing w:val="-2"/>
                  </w:rPr>
                  <w:t xml:space="preserve">4.0 International licence. In essence, you are free to copy, communicate and adapt the work, </w:t>
                </w:r>
                <w:proofErr w:type="gramStart"/>
                <w:r w:rsidRPr="000429D1">
                  <w:rPr>
                    <w:spacing w:val="-2"/>
                  </w:rPr>
                  <w:t>as long as</w:t>
                </w:r>
                <w:proofErr w:type="gramEnd"/>
                <w:r w:rsidRPr="000429D1">
                  <w:rPr>
                    <w:spacing w:val="-2"/>
                  </w:rPr>
                  <w:t xml:space="preserve"> you attribute the work to the </w:t>
                </w:r>
                <w:r w:rsidR="00BE5E7E" w:rsidRPr="000429D1">
                  <w:rPr>
                    <w:spacing w:val="-2"/>
                  </w:rPr>
                  <w:t xml:space="preserve">PC </w:t>
                </w:r>
                <w:r w:rsidRPr="000429D1">
                  <w:rPr>
                    <w:spacing w:val="-2"/>
                  </w:rPr>
                  <w:t xml:space="preserve">(but not in any way that suggests the </w:t>
                </w:r>
                <w:r w:rsidR="00BE5E7E" w:rsidRPr="000429D1">
                  <w:rPr>
                    <w:spacing w:val="-2"/>
                  </w:rPr>
                  <w:t>PC</w:t>
                </w:r>
                <w:r w:rsidRPr="000429D1">
                  <w:rPr>
                    <w:spacing w:val="-2"/>
                  </w:rPr>
                  <w:t xml:space="preserve"> endorses you or your use) and abide by the other licence terms. The licence can be viewed at: https://creativecommons.org/licenses/by/4.0.</w:t>
                </w:r>
              </w:p>
              <w:p w14:paraId="4737D357" w14:textId="3C6D4FC3" w:rsidR="00C31E23" w:rsidRPr="000429D1" w:rsidRDefault="00C31E23" w:rsidP="00BE5E7E">
                <w:pPr>
                  <w:pStyle w:val="Copyrightpage-BodyText"/>
                </w:pPr>
                <w:r w:rsidRPr="000429D1">
                  <w:t>The terms under which the Coat of Arms can be used are detailed at: www.pmc.gov.au/government/commonwealth</w:t>
                </w:r>
                <w:r w:rsidR="00D12A05">
                  <w:noBreakHyphen/>
                </w:r>
                <w:r w:rsidRPr="000429D1">
                  <w:t>coat</w:t>
                </w:r>
                <w:r w:rsidR="00D12A05">
                  <w:noBreakHyphen/>
                </w:r>
                <w:r w:rsidRPr="000429D1">
                  <w:t>arms.</w:t>
                </w:r>
              </w:p>
              <w:p w14:paraId="43B395AF" w14:textId="77777777" w:rsidR="00C31E23" w:rsidRPr="000429D1" w:rsidRDefault="00C31E23" w:rsidP="00BE5E7E">
                <w:pPr>
                  <w:pStyle w:val="Copyrightpage-BodyText"/>
                </w:pPr>
                <w:r w:rsidRPr="000429D1">
                  <w:t>Wherever a third party holds copyright in this material the copyright remains with that party. Their permission may be required to use the material, please contact them directly.</w:t>
                </w:r>
              </w:p>
              <w:p w14:paraId="5B8235B0" w14:textId="481827B4" w:rsidR="00C31E23" w:rsidRPr="00044DBB" w:rsidRDefault="00C31E23" w:rsidP="00BE5E7E">
                <w:pPr>
                  <w:pStyle w:val="Copyrightpage-BodyText"/>
                  <w:rPr>
                    <w:spacing w:val="-4"/>
                  </w:rPr>
                </w:pPr>
                <w:r w:rsidRPr="000429D1">
                  <w:t>An appropriate reference for this publication is:</w:t>
                </w:r>
                <w:r w:rsidRPr="000429D1">
                  <w:br/>
                </w:r>
                <w:r w:rsidR="00A25715" w:rsidRPr="00044DBB">
                  <w:rPr>
                    <w:spacing w:val="-4"/>
                  </w:rPr>
                  <w:t xml:space="preserve">Productivity Commission 2026, </w:t>
                </w:r>
                <w:sdt>
                  <w:sdtPr>
                    <w:rPr>
                      <w:i/>
                      <w:iCs/>
                      <w:spacing w:val="-4"/>
                    </w:rPr>
                    <w:alias w:val="Title"/>
                    <w:id w:val="93518128"/>
                    <w:placeholder>
                      <w:docPart w:val="249FA56151844F979020595114D16358"/>
                    </w:placeholder>
                    <w:dataBinding w:prefixMappings="xmlns:ns0='http://purl.org/dc/elements/1.1/' xmlns:ns1='http://schemas.openxmlformats.org/package/2006/metadata/core-properties' " w:xpath="/ns1:coreProperties[1]/ns0:title[1]" w:storeItemID="{6C3C8BC8-F283-45AE-878A-BAB7291924A1}"/>
                    <w:text/>
                  </w:sdtPr>
                  <w:sdtContent>
                    <w:r w:rsidR="005B27C9">
                      <w:rPr>
                        <w:i/>
                        <w:iCs/>
                        <w:spacing w:val="-4"/>
                      </w:rPr>
                      <w:t>Overview - Interim report - Housing supply regulation</w:t>
                    </w:r>
                  </w:sdtContent>
                </w:sdt>
                <w:r w:rsidR="00A25715" w:rsidRPr="00044DBB">
                  <w:rPr>
                    <w:spacing w:val="-4"/>
                  </w:rPr>
                  <w:t xml:space="preserve">, </w:t>
                </w:r>
                <w:r w:rsidR="00EE6BE2" w:rsidRPr="00044DBB">
                  <w:rPr>
                    <w:spacing w:val="-4"/>
                  </w:rPr>
                  <w:t>Interim</w:t>
                </w:r>
                <w:r w:rsidR="00A25715" w:rsidRPr="00044DBB">
                  <w:rPr>
                    <w:spacing w:val="-4"/>
                  </w:rPr>
                  <w:t xml:space="preserve"> report, Canberra, </w:t>
                </w:r>
                <w:r w:rsidR="00884008" w:rsidRPr="00044DBB">
                  <w:rPr>
                    <w:spacing w:val="-4"/>
                  </w:rPr>
                  <w:t>July.</w:t>
                </w:r>
              </w:p>
              <w:p w14:paraId="2D5275FC" w14:textId="77777777" w:rsidR="00C31E23" w:rsidRPr="00BB23C3" w:rsidRDefault="00C31E23" w:rsidP="00BE5E7E">
                <w:pPr>
                  <w:pStyle w:val="Copyrightpage-BodyText"/>
                  <w:rPr>
                    <w:lang w:val="fr-CA"/>
                  </w:rPr>
                </w:pPr>
                <w:r w:rsidRPr="00BB23C3">
                  <w:rPr>
                    <w:lang w:val="fr-CA"/>
                  </w:rPr>
                  <w:t xml:space="preserve">Publication enquiries: </w:t>
                </w:r>
                <w:r w:rsidRPr="00BB23C3">
                  <w:rPr>
                    <w:lang w:val="fr-CA"/>
                  </w:rPr>
                  <w:br/>
                </w:r>
                <w:r w:rsidR="00390E05" w:rsidRPr="00BB23C3">
                  <w:rPr>
                    <w:lang w:val="fr-CA"/>
                  </w:rPr>
                  <w:t>P</w:t>
                </w:r>
                <w:r w:rsidRPr="00BB23C3">
                  <w:rPr>
                    <w:lang w:val="fr-CA"/>
                  </w:rPr>
                  <w:t xml:space="preserve">hone 03 9653 2244 | </w:t>
                </w:r>
                <w:proofErr w:type="gramStart"/>
                <w:r w:rsidRPr="00BB23C3">
                  <w:rPr>
                    <w:lang w:val="fr-CA"/>
                  </w:rPr>
                  <w:t>email</w:t>
                </w:r>
                <w:proofErr w:type="gramEnd"/>
                <w:r w:rsidRPr="00BB23C3">
                  <w:rPr>
                    <w:lang w:val="fr-CA"/>
                  </w:rPr>
                  <w:t xml:space="preserve"> </w:t>
                </w:r>
                <w:r w:rsidR="001E2FE4">
                  <w:fldChar w:fldCharType="begin"/>
                </w:r>
                <w:r w:rsidR="001E2FE4" w:rsidRPr="00A873A8">
                  <w:rPr>
                    <w:lang w:val="fr-CA"/>
                  </w:rPr>
                  <w:instrText>HYPERLINK "mailto:publications@pc.gov.au"</w:instrText>
                </w:r>
                <w:r w:rsidR="001E2FE4">
                  <w:fldChar w:fldCharType="separate"/>
                </w:r>
                <w:r w:rsidR="001E2FE4" w:rsidRPr="00BB23C3">
                  <w:rPr>
                    <w:lang w:val="fr-CA"/>
                  </w:rPr>
                  <w:t>publications@pc.gov.au</w:t>
                </w:r>
                <w:r w:rsidR="001E2FE4">
                  <w:fldChar w:fldCharType="end"/>
                </w:r>
              </w:p>
            </w:tc>
          </w:tr>
        </w:tbl>
        <w:p w14:paraId="3C1A651E" w14:textId="77777777" w:rsidR="00E74787" w:rsidRPr="000429D1" w:rsidRDefault="00000000" w:rsidP="00DA3017">
          <w:pPr>
            <w:spacing w:before="0" w:after="160" w:line="259" w:lineRule="auto"/>
            <w:rPr>
              <w:rStyle w:val="White"/>
              <w:b/>
            </w:rPr>
            <w:sectPr w:rsidR="00E74787" w:rsidRPr="000429D1" w:rsidSect="00C138F6">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cols w:space="708"/>
              <w:docGrid w:linePitch="360"/>
            </w:sectPr>
          </w:pPr>
        </w:p>
      </w:sdtContent>
    </w:sdt>
    <w:tbl>
      <w:tblPr>
        <w:tblStyle w:val="NoBorderwithPadding"/>
        <w:tblW w:w="0" w:type="auto"/>
        <w:shd w:val="clear" w:color="auto" w:fill="2B9AC2" w:themeFill="text2"/>
        <w:tblLook w:val="04A0" w:firstRow="1" w:lastRow="0" w:firstColumn="1" w:lastColumn="0" w:noHBand="0" w:noVBand="1"/>
      </w:tblPr>
      <w:tblGrid>
        <w:gridCol w:w="9638"/>
      </w:tblGrid>
      <w:tr w:rsidR="00A25715" w:rsidRPr="000429D1" w14:paraId="442986A6" w14:textId="77777777" w:rsidTr="00EE6BE2">
        <w:trPr>
          <w:trHeight w:hRule="exact" w:val="12756"/>
        </w:trPr>
        <w:tc>
          <w:tcPr>
            <w:tcW w:w="9638" w:type="dxa"/>
            <w:shd w:val="clear" w:color="auto" w:fill="F4F5F6"/>
          </w:tcPr>
          <w:p w14:paraId="5BA60C82" w14:textId="77777777" w:rsidR="00A25715" w:rsidRPr="000429D1" w:rsidRDefault="00A25715">
            <w:pPr>
              <w:pStyle w:val="Heading1-nobackground"/>
            </w:pPr>
            <w:bookmarkStart w:id="0" w:name="_Toc132456074"/>
            <w:bookmarkStart w:id="1" w:name="_Toc235103132"/>
            <w:r w:rsidRPr="000429D1">
              <w:lastRenderedPageBreak/>
              <w:t>Opportunity for comment</w:t>
            </w:r>
            <w:bookmarkEnd w:id="0"/>
            <w:bookmarkEnd w:id="1"/>
          </w:p>
          <w:p w14:paraId="7A194BF0" w14:textId="7C224315" w:rsidR="00AE2B62" w:rsidRPr="000429D1" w:rsidRDefault="00147720">
            <w:pPr>
              <w:pStyle w:val="BodyText"/>
            </w:pPr>
            <w:r w:rsidRPr="000429D1">
              <w:t>The P</w:t>
            </w:r>
            <w:r w:rsidR="00250171">
              <w:t>roductivity Commission</w:t>
            </w:r>
            <w:r w:rsidRPr="000429D1">
              <w:t xml:space="preserve"> thanks all participants for their contribution to this inquiry and now seeks additional input for the final report.</w:t>
            </w:r>
          </w:p>
          <w:p w14:paraId="00ECA3EF" w14:textId="1EE12CF7" w:rsidR="00097AB9" w:rsidRPr="000429D1" w:rsidRDefault="00147720">
            <w:pPr>
              <w:pStyle w:val="BodyText"/>
            </w:pPr>
            <w:r w:rsidRPr="000429D1">
              <w:t xml:space="preserve">You are invited to examine this interim report and comment on it by written submission to the PC, preferably in electronic format, by </w:t>
            </w:r>
            <w:r w:rsidRPr="00B44F5E">
              <w:rPr>
                <w:b/>
                <w:bCs/>
              </w:rPr>
              <w:t>30</w:t>
            </w:r>
            <w:r w:rsidR="00D12A05" w:rsidRPr="00B44F5E">
              <w:rPr>
                <w:b/>
                <w:bCs/>
              </w:rPr>
              <w:t> </w:t>
            </w:r>
            <w:r w:rsidRPr="00B44F5E">
              <w:rPr>
                <w:b/>
                <w:bCs/>
              </w:rPr>
              <w:t>September 202</w:t>
            </w:r>
            <w:r w:rsidR="00B57413" w:rsidRPr="00B44F5E">
              <w:rPr>
                <w:b/>
                <w:bCs/>
              </w:rPr>
              <w:t>6</w:t>
            </w:r>
            <w:r w:rsidRPr="000429D1">
              <w:t>.</w:t>
            </w:r>
          </w:p>
          <w:p w14:paraId="67B0369F" w14:textId="4935AF45" w:rsidR="00A76089" w:rsidRPr="000429D1" w:rsidRDefault="00147720">
            <w:pPr>
              <w:pStyle w:val="BodyText"/>
            </w:pPr>
            <w:r w:rsidRPr="000429D1">
              <w:t xml:space="preserve">Further information on how to provide a submission is included on the website: </w:t>
            </w:r>
            <w:hyperlink r:id="rId29" w:history="1">
              <w:r w:rsidR="00B44F5E" w:rsidRPr="00B458DF">
                <w:rPr>
                  <w:rStyle w:val="Hyperlink"/>
                </w:rPr>
                <w:t>www.pc.gov.au/inquiries-and-research/housing-supply</w:t>
              </w:r>
            </w:hyperlink>
            <w:r w:rsidR="00044DBB">
              <w:t>.</w:t>
            </w:r>
          </w:p>
          <w:p w14:paraId="45930939" w14:textId="5A27BBCA" w:rsidR="00A25715" w:rsidRPr="000429D1" w:rsidRDefault="00147720">
            <w:pPr>
              <w:pStyle w:val="BodyText"/>
            </w:pPr>
            <w:r w:rsidRPr="000429D1">
              <w:t>The PC will prepare the final report after further submissions have been received, and it will hold further discussions with participants.</w:t>
            </w:r>
          </w:p>
          <w:p w14:paraId="321ADF55" w14:textId="4443A707" w:rsidR="00A25715" w:rsidRPr="000429D1" w:rsidRDefault="00A25715" w:rsidP="00B1209F">
            <w:pPr>
              <w:pStyle w:val="Heading2-noTOC"/>
            </w:pPr>
            <w:r w:rsidRPr="000429D1">
              <w:t>Commissioners</w:t>
            </w:r>
          </w:p>
          <w:p w14:paraId="083D2E56" w14:textId="5B196DC0" w:rsidR="00A25715" w:rsidRPr="000429D1" w:rsidRDefault="00A25715">
            <w:pPr>
              <w:pStyle w:val="BodyText"/>
            </w:pPr>
            <w:r w:rsidRPr="000429D1">
              <w:t xml:space="preserve">For the purposes of this inquiry and </w:t>
            </w:r>
            <w:r w:rsidR="00B44F5E">
              <w:t>interim</w:t>
            </w:r>
            <w:r w:rsidRPr="000429D1">
              <w:t xml:space="preserve"> report, in accordance with section</w:t>
            </w:r>
            <w:r w:rsidR="00D12A05">
              <w:t> </w:t>
            </w:r>
            <w:r w:rsidRPr="000429D1">
              <w:t xml:space="preserve">40 of the </w:t>
            </w:r>
            <w:r w:rsidRPr="000429D1">
              <w:rPr>
                <w:i/>
              </w:rPr>
              <w:t>Productivity Commission Act 1998</w:t>
            </w:r>
            <w:r w:rsidRPr="000429D1">
              <w:t xml:space="preserve"> the powers of the PC have been exercised by:</w:t>
            </w:r>
          </w:p>
          <w:tbl>
            <w:tblPr>
              <w:tblW w:w="0" w:type="auto"/>
              <w:tblLook w:val="01E0" w:firstRow="1" w:lastRow="1" w:firstColumn="1" w:lastColumn="1" w:noHBand="0" w:noVBand="0"/>
            </w:tblPr>
            <w:tblGrid>
              <w:gridCol w:w="1987"/>
              <w:gridCol w:w="6802"/>
            </w:tblGrid>
            <w:tr w:rsidR="00A25715" w:rsidRPr="000429D1" w14:paraId="5C26469E" w14:textId="77777777" w:rsidTr="00044DBB">
              <w:tc>
                <w:tcPr>
                  <w:tcW w:w="1987" w:type="dxa"/>
                  <w:tcMar>
                    <w:left w:w="0" w:type="dxa"/>
                    <w:right w:w="0" w:type="dxa"/>
                  </w:tcMar>
                </w:tcPr>
                <w:p w14:paraId="2E2740E1" w14:textId="51C6C4FB" w:rsidR="00A25715" w:rsidRPr="000429D1" w:rsidRDefault="008C7E73">
                  <w:pPr>
                    <w:pStyle w:val="BodyText"/>
                  </w:pPr>
                  <w:r w:rsidRPr="000429D1">
                    <w:t>Danielle Wood</w:t>
                  </w:r>
                </w:p>
              </w:tc>
              <w:tc>
                <w:tcPr>
                  <w:tcW w:w="6802" w:type="dxa"/>
                </w:tcPr>
                <w:p w14:paraId="32F0D4F3" w14:textId="511D3784" w:rsidR="00A25715" w:rsidRPr="000429D1" w:rsidRDefault="00044DBB">
                  <w:pPr>
                    <w:pStyle w:val="BodyText"/>
                  </w:pPr>
                  <w:r>
                    <w:t>Chair</w:t>
                  </w:r>
                </w:p>
              </w:tc>
            </w:tr>
            <w:tr w:rsidR="00A25715" w:rsidRPr="000429D1" w14:paraId="2207D022" w14:textId="77777777" w:rsidTr="00044DBB">
              <w:tc>
                <w:tcPr>
                  <w:tcW w:w="1987" w:type="dxa"/>
                  <w:tcMar>
                    <w:left w:w="0" w:type="dxa"/>
                    <w:right w:w="0" w:type="dxa"/>
                  </w:tcMar>
                </w:tcPr>
                <w:p w14:paraId="436FFB28" w14:textId="02B737AA" w:rsidR="00A25715" w:rsidRPr="000429D1" w:rsidRDefault="008C7E73">
                  <w:pPr>
                    <w:pStyle w:val="BodyText"/>
                  </w:pPr>
                  <w:r w:rsidRPr="000429D1">
                    <w:t>Alison Roberts</w:t>
                  </w:r>
                </w:p>
              </w:tc>
              <w:tc>
                <w:tcPr>
                  <w:tcW w:w="6802" w:type="dxa"/>
                </w:tcPr>
                <w:p w14:paraId="3A030C9E" w14:textId="77777777" w:rsidR="00A25715" w:rsidRPr="000429D1" w:rsidRDefault="00A25715">
                  <w:pPr>
                    <w:pStyle w:val="BodyText"/>
                  </w:pPr>
                  <w:r w:rsidRPr="000429D1">
                    <w:t>Commissioner</w:t>
                  </w:r>
                </w:p>
              </w:tc>
            </w:tr>
          </w:tbl>
          <w:p w14:paraId="20C86DD0" w14:textId="77777777" w:rsidR="00A25715" w:rsidRPr="000429D1" w:rsidRDefault="00A25715">
            <w:pPr>
              <w:pStyle w:val="BodyText"/>
            </w:pPr>
          </w:p>
        </w:tc>
      </w:tr>
    </w:tbl>
    <w:p w14:paraId="081F7017" w14:textId="77777777" w:rsidR="00E76EEC" w:rsidRPr="000429D1" w:rsidRDefault="00E76EEC" w:rsidP="00E76EEC">
      <w:pPr>
        <w:pStyle w:val="BodyText"/>
        <w:sectPr w:rsidR="00E76EEC" w:rsidRPr="000429D1" w:rsidSect="00E76EEC">
          <w:headerReference w:type="even" r:id="rId30"/>
          <w:headerReference w:type="default" r:id="rId31"/>
          <w:footerReference w:type="even" r:id="rId32"/>
          <w:footerReference w:type="default" r:id="rId33"/>
          <w:headerReference w:type="first" r:id="rId34"/>
          <w:type w:val="oddPage"/>
          <w:pgSz w:w="11906" w:h="16838" w:code="9"/>
          <w:pgMar w:top="1134" w:right="1134" w:bottom="1134" w:left="1134" w:header="794" w:footer="510" w:gutter="0"/>
          <w:pgNumType w:fmt="lowerRoman" w:start="2"/>
          <w:cols w:space="708"/>
          <w:docGrid w:linePitch="360"/>
        </w:sectPr>
      </w:pPr>
    </w:p>
    <w:p w14:paraId="77506B5B" w14:textId="77777777" w:rsidR="00E76EEC" w:rsidRPr="000429D1" w:rsidRDefault="00E76EEC" w:rsidP="00EA07EA">
      <w:pPr>
        <w:pStyle w:val="Heading1-nobackground"/>
      </w:pPr>
      <w:bookmarkStart w:id="2" w:name="_Toc87865131"/>
      <w:bookmarkStart w:id="3" w:name="_Toc226473600"/>
      <w:bookmarkStart w:id="4" w:name="_Toc226474526"/>
      <w:bookmarkStart w:id="5" w:name="_Toc226548683"/>
      <w:bookmarkStart w:id="6" w:name="_Toc235103134"/>
      <w:r w:rsidRPr="000429D1">
        <w:lastRenderedPageBreak/>
        <w:t>Contents</w:t>
      </w:r>
      <w:bookmarkEnd w:id="2"/>
      <w:bookmarkEnd w:id="3"/>
      <w:bookmarkEnd w:id="4"/>
      <w:bookmarkEnd w:id="5"/>
      <w:bookmarkEnd w:id="6"/>
    </w:p>
    <w:sdt>
      <w:sdtPr>
        <w:rPr>
          <w:rFonts w:asciiTheme="minorHAnsi" w:hAnsiTheme="minorHAnsi"/>
          <w:b/>
          <w:color w:val="auto"/>
        </w:rPr>
        <w:id w:val="-896974578"/>
        <w:docPartObj>
          <w:docPartGallery w:val="Table of Contents"/>
          <w:docPartUnique/>
        </w:docPartObj>
      </w:sdtPr>
      <w:sdtEndPr>
        <w:rPr>
          <w:rFonts w:ascii="Open Sans" w:hAnsi="Open Sans"/>
          <w:b w:val="0"/>
          <w:bCs/>
        </w:rPr>
      </w:sdtEndPr>
      <w:sdtContent>
        <w:p w14:paraId="08D0A46C" w14:textId="6B8FD61F" w:rsidR="00607B17" w:rsidRDefault="00E76EEC" w:rsidP="005E5CE4">
          <w:pPr>
            <w:pStyle w:val="TOC1"/>
            <w:rPr>
              <w:rFonts w:asciiTheme="minorHAnsi" w:eastAsiaTheme="minorEastAsia" w:hAnsiTheme="minorHAnsi"/>
              <w:noProof/>
              <w:color w:val="auto"/>
              <w:kern w:val="2"/>
              <w:sz w:val="24"/>
              <w:szCs w:val="24"/>
              <w:lang w:eastAsia="en-AU"/>
              <w14:ligatures w14:val="standardContextual"/>
            </w:rPr>
          </w:pPr>
          <w:r w:rsidRPr="000429D1">
            <w:rPr>
              <w:rFonts w:asciiTheme="majorHAnsi" w:hAnsiTheme="majorHAnsi"/>
              <w:color w:val="265A9A" w:themeColor="background2"/>
            </w:rPr>
            <w:fldChar w:fldCharType="begin"/>
          </w:r>
          <w:r w:rsidRPr="000429D1">
            <w:instrText xml:space="preserve"> TOC \\h \z \t "Heading 1,1,Heading-Appendix,1, Heading 1-no number,1, Heading 1-no background,1, Heading 1-Section blue background,3, Heading 1-Section-full page,3,Heading 2,2,Heading 2-no number,2,Heading 2-Appendix,2,Heading 1 - Intro,3,Heading 1-numbered,3,Section Heading-pale blue,3" </w:instrText>
          </w:r>
          <w:r w:rsidRPr="000429D1">
            <w:rPr>
              <w:rFonts w:asciiTheme="majorHAnsi" w:hAnsiTheme="majorHAnsi"/>
              <w:color w:val="265A9A" w:themeColor="background2"/>
            </w:rPr>
            <w:fldChar w:fldCharType="separate"/>
          </w:r>
          <w:r w:rsidR="00607B17">
            <w:rPr>
              <w:noProof/>
            </w:rPr>
            <w:t>Opportunity for comment</w:t>
          </w:r>
          <w:r w:rsidR="00607B17">
            <w:rPr>
              <w:noProof/>
              <w:webHidden/>
            </w:rPr>
            <w:tab/>
          </w:r>
          <w:r w:rsidR="00607B17">
            <w:rPr>
              <w:noProof/>
              <w:webHidden/>
            </w:rPr>
            <w:fldChar w:fldCharType="begin"/>
          </w:r>
          <w:r w:rsidR="00607B17">
            <w:rPr>
              <w:noProof/>
              <w:webHidden/>
            </w:rPr>
            <w:instrText xml:space="preserve"> PAGEREF _Toc235103132 \h </w:instrText>
          </w:r>
          <w:r w:rsidR="00607B17">
            <w:rPr>
              <w:noProof/>
              <w:webHidden/>
            </w:rPr>
          </w:r>
          <w:r w:rsidR="00607B17">
            <w:rPr>
              <w:noProof/>
              <w:webHidden/>
            </w:rPr>
            <w:fldChar w:fldCharType="separate"/>
          </w:r>
          <w:r w:rsidR="00321142">
            <w:rPr>
              <w:noProof/>
              <w:webHidden/>
            </w:rPr>
            <w:t>iii</w:t>
          </w:r>
          <w:r w:rsidR="00607B17">
            <w:rPr>
              <w:noProof/>
              <w:webHidden/>
            </w:rPr>
            <w:fldChar w:fldCharType="end"/>
          </w:r>
        </w:p>
        <w:p w14:paraId="68DC4D1B" w14:textId="059E5FD0" w:rsidR="00607B17" w:rsidRPr="005E5CE4" w:rsidRDefault="00607B17">
          <w:pPr>
            <w:pStyle w:val="TOC3"/>
            <w:rPr>
              <w:rFonts w:ascii="Open Sans Extrabold" w:hAnsi="Open Sans Extrabold"/>
              <w:noProof/>
            </w:rPr>
          </w:pPr>
          <w:r w:rsidRPr="005E5CE4">
            <w:rPr>
              <w:rFonts w:ascii="Open Sans Extrabold" w:hAnsi="Open Sans Extrabold"/>
              <w:noProof/>
            </w:rPr>
            <w:t>Overview</w:t>
          </w:r>
          <w:r w:rsidRPr="005E5CE4">
            <w:rPr>
              <w:rFonts w:ascii="Open Sans Extrabold" w:hAnsi="Open Sans Extrabold"/>
              <w:noProof/>
              <w:webHidden/>
            </w:rPr>
            <w:tab/>
          </w:r>
          <w:r w:rsidRPr="005E5CE4">
            <w:rPr>
              <w:rFonts w:ascii="Open Sans Extrabold" w:hAnsi="Open Sans Extrabold"/>
              <w:noProof/>
              <w:webHidden/>
            </w:rPr>
            <w:fldChar w:fldCharType="begin"/>
          </w:r>
          <w:r w:rsidRPr="005E5CE4">
            <w:rPr>
              <w:rFonts w:ascii="Open Sans Extrabold" w:hAnsi="Open Sans Extrabold"/>
              <w:noProof/>
              <w:webHidden/>
            </w:rPr>
            <w:instrText xml:space="preserve"> PAGEREF _Toc235103135 \h </w:instrText>
          </w:r>
          <w:r w:rsidRPr="005E5CE4">
            <w:rPr>
              <w:rFonts w:ascii="Open Sans Extrabold" w:hAnsi="Open Sans Extrabold"/>
              <w:noProof/>
              <w:webHidden/>
            </w:rPr>
          </w:r>
          <w:r w:rsidRPr="005E5CE4">
            <w:rPr>
              <w:rFonts w:ascii="Open Sans Extrabold" w:hAnsi="Open Sans Extrabold"/>
              <w:noProof/>
              <w:webHidden/>
            </w:rPr>
            <w:fldChar w:fldCharType="separate"/>
          </w:r>
          <w:r w:rsidR="00321142">
            <w:rPr>
              <w:rFonts w:ascii="Open Sans Extrabold" w:hAnsi="Open Sans Extrabold"/>
              <w:noProof/>
              <w:webHidden/>
            </w:rPr>
            <w:t>1</w:t>
          </w:r>
          <w:r w:rsidRPr="005E5CE4">
            <w:rPr>
              <w:rFonts w:ascii="Open Sans Extrabold" w:hAnsi="Open Sans Extrabold"/>
              <w:noProof/>
              <w:webHidden/>
            </w:rPr>
            <w:fldChar w:fldCharType="end"/>
          </w:r>
        </w:p>
        <w:p w14:paraId="6686F37A" w14:textId="3614EE77" w:rsidR="00607B17" w:rsidRDefault="00607B17">
          <w:pPr>
            <w:pStyle w:val="TOC2"/>
            <w:rPr>
              <w:rFonts w:asciiTheme="minorHAnsi" w:eastAsiaTheme="minorEastAsia" w:hAnsiTheme="minorHAnsi"/>
              <w:kern w:val="2"/>
              <w:sz w:val="24"/>
              <w:szCs w:val="24"/>
              <w:lang w:eastAsia="en-AU"/>
              <w14:ligatures w14:val="standardContextual"/>
            </w:rPr>
          </w:pPr>
          <w:r>
            <w:t>Australia needs more homes in the right places</w:t>
          </w:r>
          <w:r>
            <w:rPr>
              <w:webHidden/>
            </w:rPr>
            <w:tab/>
          </w:r>
          <w:r>
            <w:rPr>
              <w:webHidden/>
            </w:rPr>
            <w:fldChar w:fldCharType="begin"/>
          </w:r>
          <w:r>
            <w:rPr>
              <w:webHidden/>
            </w:rPr>
            <w:instrText xml:space="preserve"> PAGEREF _Toc235103136 \h </w:instrText>
          </w:r>
          <w:r>
            <w:rPr>
              <w:webHidden/>
            </w:rPr>
          </w:r>
          <w:r>
            <w:rPr>
              <w:webHidden/>
            </w:rPr>
            <w:fldChar w:fldCharType="separate"/>
          </w:r>
          <w:r w:rsidR="00321142">
            <w:rPr>
              <w:webHidden/>
            </w:rPr>
            <w:t>3</w:t>
          </w:r>
          <w:r>
            <w:rPr>
              <w:webHidden/>
            </w:rPr>
            <w:fldChar w:fldCharType="end"/>
          </w:r>
        </w:p>
        <w:p w14:paraId="62377406" w14:textId="7F84D302" w:rsidR="00607B17" w:rsidRDefault="00607B17">
          <w:pPr>
            <w:pStyle w:val="TOC2"/>
            <w:rPr>
              <w:rFonts w:asciiTheme="minorHAnsi" w:eastAsiaTheme="minorEastAsia" w:hAnsiTheme="minorHAnsi"/>
              <w:kern w:val="2"/>
              <w:sz w:val="24"/>
              <w:szCs w:val="24"/>
              <w:lang w:eastAsia="en-AU"/>
              <w14:ligatures w14:val="standardContextual"/>
            </w:rPr>
          </w:pPr>
          <w:r>
            <w:t>Reforming regulation to build more homes, faster</w:t>
          </w:r>
          <w:r>
            <w:rPr>
              <w:webHidden/>
            </w:rPr>
            <w:tab/>
          </w:r>
          <w:r>
            <w:rPr>
              <w:webHidden/>
            </w:rPr>
            <w:fldChar w:fldCharType="begin"/>
          </w:r>
          <w:r>
            <w:rPr>
              <w:webHidden/>
            </w:rPr>
            <w:instrText xml:space="preserve"> PAGEREF _Toc235103137 \h </w:instrText>
          </w:r>
          <w:r>
            <w:rPr>
              <w:webHidden/>
            </w:rPr>
          </w:r>
          <w:r>
            <w:rPr>
              <w:webHidden/>
            </w:rPr>
            <w:fldChar w:fldCharType="separate"/>
          </w:r>
          <w:r w:rsidR="00321142">
            <w:rPr>
              <w:webHidden/>
            </w:rPr>
            <w:t>5</w:t>
          </w:r>
          <w:r>
            <w:rPr>
              <w:webHidden/>
            </w:rPr>
            <w:fldChar w:fldCharType="end"/>
          </w:r>
        </w:p>
        <w:p w14:paraId="046AE8D1" w14:textId="054C588D"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Information requests</w:t>
          </w:r>
          <w:r>
            <w:rPr>
              <w:noProof/>
              <w:webHidden/>
            </w:rPr>
            <w:tab/>
          </w:r>
          <w:r>
            <w:rPr>
              <w:noProof/>
              <w:webHidden/>
            </w:rPr>
            <w:fldChar w:fldCharType="begin"/>
          </w:r>
          <w:r>
            <w:rPr>
              <w:noProof/>
              <w:webHidden/>
            </w:rPr>
            <w:instrText xml:space="preserve"> PAGEREF _Toc235103138 \h </w:instrText>
          </w:r>
          <w:r>
            <w:rPr>
              <w:noProof/>
              <w:webHidden/>
            </w:rPr>
          </w:r>
          <w:r>
            <w:rPr>
              <w:noProof/>
              <w:webHidden/>
            </w:rPr>
            <w:fldChar w:fldCharType="separate"/>
          </w:r>
          <w:r w:rsidR="00321142">
            <w:rPr>
              <w:noProof/>
              <w:webHidden/>
            </w:rPr>
            <w:t>16</w:t>
          </w:r>
          <w:r>
            <w:rPr>
              <w:noProof/>
              <w:webHidden/>
            </w:rPr>
            <w:fldChar w:fldCharType="end"/>
          </w:r>
        </w:p>
        <w:p w14:paraId="5D8FE191" w14:textId="5400B911" w:rsidR="00E76EEC" w:rsidRPr="000429D1" w:rsidRDefault="00E76EEC" w:rsidP="00E76EEC">
          <w:pPr>
            <w:rPr>
              <w:bCs/>
            </w:rPr>
          </w:pPr>
          <w:r w:rsidRPr="000429D1">
            <w:rPr>
              <w:sz w:val="18"/>
            </w:rPr>
            <w:fldChar w:fldCharType="end"/>
          </w:r>
        </w:p>
      </w:sdtContent>
    </w:sdt>
    <w:p w14:paraId="36468EBD" w14:textId="77777777" w:rsidR="00754A11" w:rsidRPr="000429D1" w:rsidRDefault="00754A11" w:rsidP="00E76EEC">
      <w:pPr>
        <w:pStyle w:val="BodyText"/>
      </w:pPr>
    </w:p>
    <w:p w14:paraId="6198E5FC" w14:textId="77777777" w:rsidR="00E76EEC" w:rsidRPr="000429D1" w:rsidRDefault="00E76EEC" w:rsidP="00E76EEC">
      <w:pPr>
        <w:pStyle w:val="BodyText"/>
        <w:sectPr w:rsidR="00E76EEC" w:rsidRPr="000429D1" w:rsidSect="00E76EEC">
          <w:headerReference w:type="even" r:id="rId35"/>
          <w:headerReference w:type="default" r:id="rId36"/>
          <w:footerReference w:type="even" r:id="rId37"/>
          <w:footerReference w:type="default" r:id="rId38"/>
          <w:headerReference w:type="first" r:id="rId39"/>
          <w:pgSz w:w="11906" w:h="16838" w:code="9"/>
          <w:pgMar w:top="1134" w:right="1134" w:bottom="1134" w:left="1134" w:header="794" w:footer="510" w:gutter="0"/>
          <w:pgNumType w:fmt="lowerRoman"/>
          <w:cols w:space="708"/>
          <w:docGrid w:linePitch="360"/>
        </w:sectPr>
      </w:pPr>
    </w:p>
    <w:p w14:paraId="573387C6" w14:textId="77777777" w:rsidR="00A450D6" w:rsidRDefault="00A450D6">
      <w:pPr>
        <w:pStyle w:val="Heading1-Section-fullpage"/>
        <w:framePr w:wrap="around"/>
      </w:pPr>
      <w:bookmarkStart w:id="7" w:name="_Toc235103135"/>
      <w:r>
        <w:lastRenderedPageBreak/>
        <w:t>Overview</w:t>
      </w:r>
      <w:bookmarkEnd w:id="7"/>
    </w:p>
    <w:tbl>
      <w:tblPr>
        <w:tblStyle w:val="Texttable-Paleblue"/>
        <w:tblW w:w="5000" w:type="pct"/>
        <w:shd w:val="clear" w:color="auto" w:fill="E7F6FD"/>
        <w:tblLook w:val="04A0" w:firstRow="1" w:lastRow="0" w:firstColumn="1" w:lastColumn="0" w:noHBand="0" w:noVBand="1"/>
      </w:tblPr>
      <w:tblGrid>
        <w:gridCol w:w="575"/>
        <w:gridCol w:w="9063"/>
      </w:tblGrid>
      <w:tr w:rsidR="00A450D6" w:rsidRPr="002F759A" w14:paraId="039A7154" w14:textId="77777777">
        <w:tc>
          <w:tcPr>
            <w:tcW w:w="9638" w:type="dxa"/>
            <w:gridSpan w:val="2"/>
            <w:shd w:val="clear" w:color="auto" w:fill="E7F6FD"/>
            <w:tcMar>
              <w:left w:w="170" w:type="dxa"/>
            </w:tcMar>
          </w:tcPr>
          <w:p w14:paraId="6EEC8AEC" w14:textId="77777777" w:rsidR="00A450D6" w:rsidRPr="002F759A" w:rsidRDefault="00A450D6">
            <w:pPr>
              <w:pStyle w:val="Keypoints-heading"/>
            </w:pPr>
            <w:r w:rsidRPr="002F759A">
              <w:lastRenderedPageBreak/>
              <w:t>Key points</w:t>
            </w:r>
          </w:p>
        </w:tc>
      </w:tr>
      <w:tr w:rsidR="00A450D6" w14:paraId="4BD423BF" w14:textId="77777777">
        <w:tc>
          <w:tcPr>
            <w:tcW w:w="575" w:type="dxa"/>
            <w:shd w:val="clear" w:color="auto" w:fill="E7F6FD"/>
            <w:tcMar>
              <w:top w:w="0" w:type="dxa"/>
              <w:bottom w:w="0" w:type="dxa"/>
              <w:right w:w="113" w:type="dxa"/>
            </w:tcMar>
          </w:tcPr>
          <w:p w14:paraId="56FA6514" w14:textId="77777777" w:rsidR="00A450D6" w:rsidRDefault="00A450D6" w:rsidP="000C6B77">
            <w:pPr>
              <w:pStyle w:val="KeyPointsicon"/>
            </w:pPr>
            <w:r w:rsidRPr="00A51374">
              <w:rPr>
                <w:noProof/>
              </w:rPr>
              <w:drawing>
                <wp:inline distT="0" distB="0" distL="0" distR="0" wp14:anchorId="47C3894E" wp14:editId="337741FD">
                  <wp:extent cx="180000" cy="180000"/>
                  <wp:effectExtent l="0" t="0" r="0" b="0"/>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5F0487A1" w14:textId="77777777" w:rsidR="00A450D6" w:rsidRDefault="00A450D6" w:rsidP="00197C88">
            <w:pPr>
              <w:pStyle w:val="KeyPoints-Bold"/>
              <w:spacing w:before="0"/>
            </w:pPr>
            <w:r>
              <w:t>Australia doesn’t build enough homes in the areas where people want to live. This has made housing unaffordable in many parts of the country. Increasing housing supply would help put downward pressure on prices and support more people to live in housing that meets their needs.</w:t>
            </w:r>
          </w:p>
        </w:tc>
      </w:tr>
      <w:tr w:rsidR="00A450D6" w14:paraId="09D4AFCA" w14:textId="77777777">
        <w:tc>
          <w:tcPr>
            <w:tcW w:w="575" w:type="dxa"/>
            <w:shd w:val="clear" w:color="auto" w:fill="E7F6FD"/>
            <w:tcMar>
              <w:top w:w="0" w:type="dxa"/>
              <w:bottom w:w="0" w:type="dxa"/>
              <w:right w:w="113" w:type="dxa"/>
            </w:tcMar>
          </w:tcPr>
          <w:p w14:paraId="246C44AF" w14:textId="77777777" w:rsidR="00A450D6" w:rsidRPr="00A51374" w:rsidRDefault="00A450D6" w:rsidP="000C6B77">
            <w:pPr>
              <w:pStyle w:val="KeyPointsicon"/>
            </w:pPr>
            <w:r w:rsidRPr="00F31E73">
              <w:rPr>
                <w:noProof/>
              </w:rPr>
              <w:drawing>
                <wp:inline distT="0" distB="0" distL="0" distR="0" wp14:anchorId="012B59C9" wp14:editId="77202372">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6893AF6F" w14:textId="77777777" w:rsidR="00A450D6" w:rsidRDefault="00A450D6" w:rsidP="00197C88">
            <w:pPr>
              <w:pStyle w:val="KeyPoints-Bold"/>
              <w:spacing w:before="0"/>
            </w:pPr>
            <w:r>
              <w:t xml:space="preserve">Regulation limits housing </w:t>
            </w:r>
            <w:proofErr w:type="gramStart"/>
            <w:r>
              <w:t>development, and</w:t>
            </w:r>
            <w:proofErr w:type="gramEnd"/>
            <w:r>
              <w:t xml:space="preserve"> improving it is a key lever for governments. While some regulation is necessary to ensure the safety, quality and liveability of new housing stock, too much or unnecessary regulation constrains housing supply.</w:t>
            </w:r>
          </w:p>
          <w:p w14:paraId="04BE2891" w14:textId="77777777" w:rsidR="00A450D6" w:rsidRDefault="00A450D6" w:rsidP="00A450D6">
            <w:pPr>
              <w:pStyle w:val="KeyPoints-Bullet"/>
              <w:spacing w:before="0"/>
            </w:pPr>
            <w:r>
              <w:t>Regulation can stop certain housing development occurring altogether. It can also deter development due to slow, cumbersome and expensive processes and uncertainty.</w:t>
            </w:r>
          </w:p>
          <w:p w14:paraId="0E270417" w14:textId="77777777" w:rsidR="00A450D6" w:rsidRPr="00610627" w:rsidRDefault="00A450D6" w:rsidP="00A450D6">
            <w:pPr>
              <w:pStyle w:val="KeyPoints-Bullet"/>
              <w:spacing w:before="0"/>
            </w:pPr>
            <w:r>
              <w:t>The number and interaction of different regulatory requirements can also limit housing construction.</w:t>
            </w:r>
          </w:p>
        </w:tc>
      </w:tr>
      <w:tr w:rsidR="00A450D6" w14:paraId="64FC0B4D" w14:textId="77777777">
        <w:tc>
          <w:tcPr>
            <w:tcW w:w="575" w:type="dxa"/>
            <w:shd w:val="clear" w:color="auto" w:fill="E7F6FD"/>
            <w:tcMar>
              <w:top w:w="0" w:type="dxa"/>
              <w:bottom w:w="0" w:type="dxa"/>
              <w:right w:w="113" w:type="dxa"/>
            </w:tcMar>
          </w:tcPr>
          <w:p w14:paraId="3F688C29" w14:textId="77777777" w:rsidR="00A450D6" w:rsidRPr="00A51374" w:rsidRDefault="00A450D6" w:rsidP="000C6B77">
            <w:pPr>
              <w:pStyle w:val="KeyPointsicon"/>
            </w:pPr>
            <w:r w:rsidRPr="00F31E73">
              <w:rPr>
                <w:noProof/>
              </w:rPr>
              <w:drawing>
                <wp:inline distT="0" distB="0" distL="0" distR="0" wp14:anchorId="26FCCBCC" wp14:editId="4B230808">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368A4C8D" w14:textId="77777777" w:rsidR="00590FBA" w:rsidRDefault="00590FBA" w:rsidP="00590FBA">
            <w:pPr>
              <w:pStyle w:val="KeyPoints-Bold"/>
              <w:spacing w:before="0"/>
            </w:pPr>
            <w:r w:rsidRPr="00AD63B7">
              <w:t xml:space="preserve">We set out </w:t>
            </w:r>
            <w:r>
              <w:t>4</w:t>
            </w:r>
            <w:r w:rsidRPr="00AD63B7">
              <w:t xml:space="preserve"> principles of </w:t>
            </w:r>
            <w:r>
              <w:t>a best practice regulatory system for housing</w:t>
            </w:r>
            <w:r w:rsidRPr="00AD63B7">
              <w:t>: adopt a ‘build’ mindset; only regulate when necessary; coordinate with infrastructure; and keep the process simple</w:t>
            </w:r>
            <w:r>
              <w:t>.</w:t>
            </w:r>
          </w:p>
          <w:p w14:paraId="18F75EC9" w14:textId="72A79CAE" w:rsidR="00A450D6" w:rsidRPr="00610627" w:rsidRDefault="00590FBA" w:rsidP="00590FBA">
            <w:pPr>
              <w:pStyle w:val="KeyPoints-Bullet"/>
              <w:spacing w:before="0"/>
            </w:pPr>
            <w:r>
              <w:t>These principles underpin an overarching objective: a well</w:t>
            </w:r>
            <w:r>
              <w:noBreakHyphen/>
            </w:r>
            <w:r w:rsidRPr="00AD63B7">
              <w:t xml:space="preserve">functioning housing </w:t>
            </w:r>
            <w:r>
              <w:t>and planning regulatory</w:t>
            </w:r>
            <w:r w:rsidRPr="00AD63B7">
              <w:t xml:space="preserve"> </w:t>
            </w:r>
            <w:r>
              <w:t>system that</w:t>
            </w:r>
            <w:r w:rsidRPr="00AD63B7">
              <w:t xml:space="preserve"> enable</w:t>
            </w:r>
            <w:r>
              <w:t>s</w:t>
            </w:r>
            <w:r w:rsidRPr="00AD63B7">
              <w:t xml:space="preserve"> enough housing to meet people’s needs in the places where it delivers the greatest </w:t>
            </w:r>
            <w:r>
              <w:t xml:space="preserve">net </w:t>
            </w:r>
            <w:r w:rsidRPr="00AD63B7">
              <w:t>benefit to the Australian community.</w:t>
            </w:r>
          </w:p>
        </w:tc>
      </w:tr>
      <w:tr w:rsidR="00A450D6" w14:paraId="06B3E019" w14:textId="77777777">
        <w:tc>
          <w:tcPr>
            <w:tcW w:w="575" w:type="dxa"/>
            <w:shd w:val="clear" w:color="auto" w:fill="E7F6FD"/>
            <w:tcMar>
              <w:top w:w="0" w:type="dxa"/>
              <w:bottom w:w="0" w:type="dxa"/>
              <w:right w:w="113" w:type="dxa"/>
            </w:tcMar>
          </w:tcPr>
          <w:p w14:paraId="344A7159" w14:textId="77777777" w:rsidR="00A450D6" w:rsidRPr="00F31E73" w:rsidRDefault="00A450D6" w:rsidP="000C6B77">
            <w:pPr>
              <w:pStyle w:val="KeyPointsicon"/>
              <w:rPr>
                <w:noProof/>
              </w:rPr>
            </w:pPr>
            <w:r w:rsidRPr="00F31E73">
              <w:rPr>
                <w:noProof/>
              </w:rPr>
              <w:drawing>
                <wp:inline distT="0" distB="0" distL="0" distR="0" wp14:anchorId="19F7FA38" wp14:editId="5946EB9E">
                  <wp:extent cx="180000" cy="180000"/>
                  <wp:effectExtent l="0" t="0" r="0" b="0"/>
                  <wp:docPr id="497668653" name="Graphic 497668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26EB3E26" w14:textId="77777777" w:rsidR="00A450D6" w:rsidRDefault="00A450D6" w:rsidP="004A1C15">
            <w:pPr>
              <w:pStyle w:val="KeyPoints-Bold"/>
              <w:spacing w:before="0"/>
            </w:pPr>
            <w:r>
              <w:t>Land</w:t>
            </w:r>
            <w:r>
              <w:noBreakHyphen/>
              <w:t xml:space="preserve">use controls prevent housing being </w:t>
            </w:r>
            <w:proofErr w:type="gramStart"/>
            <w:r>
              <w:t>built, or</w:t>
            </w:r>
            <w:proofErr w:type="gramEnd"/>
            <w:r>
              <w:t xml:space="preserve"> limit the form it can take. Relaxing these controls would have the greatest effect on housing supply of all our reform directions. </w:t>
            </w:r>
          </w:p>
          <w:p w14:paraId="29BBF0FA" w14:textId="77777777" w:rsidR="00A450D6" w:rsidRDefault="00A450D6" w:rsidP="00A450D6">
            <w:pPr>
              <w:pStyle w:val="KeyPoints-Bullet"/>
              <w:spacing w:before="0"/>
            </w:pPr>
            <w:r w:rsidRPr="0062420C">
              <w:t>Governments should commit to broad</w:t>
            </w:r>
            <w:r>
              <w:noBreakHyphen/>
            </w:r>
            <w:r w:rsidRPr="0062420C">
              <w:t>based upzoning in cities, including</w:t>
            </w:r>
            <w:r>
              <w:t xml:space="preserve"> </w:t>
            </w:r>
            <w:r w:rsidRPr="00D322CB">
              <w:t>by</w:t>
            </w:r>
            <w:r w:rsidRPr="0062420C">
              <w:t xml:space="preserve"> allowing </w:t>
            </w:r>
            <w:r>
              <w:t>3</w:t>
            </w:r>
            <w:r>
              <w:noBreakHyphen/>
            </w:r>
            <w:r w:rsidRPr="0062420C">
              <w:t>storey development on most residential land, reducing minimum lot sizes, using more mixed commercial and residential zones, and allowing more mid</w:t>
            </w:r>
            <w:r>
              <w:noBreakHyphen/>
              <w:t xml:space="preserve"> and/or</w:t>
            </w:r>
            <w:r w:rsidRPr="0062420C">
              <w:t xml:space="preserve"> high</w:t>
            </w:r>
            <w:r>
              <w:noBreakHyphen/>
            </w:r>
            <w:r w:rsidRPr="0062420C">
              <w:t>rise development in high</w:t>
            </w:r>
            <w:r>
              <w:noBreakHyphen/>
            </w:r>
            <w:r w:rsidRPr="0062420C">
              <w:t>demand areas.</w:t>
            </w:r>
          </w:p>
          <w:p w14:paraId="2A187100" w14:textId="77777777" w:rsidR="00A450D6" w:rsidRPr="00AD63B7" w:rsidRDefault="00A450D6" w:rsidP="00A450D6">
            <w:pPr>
              <w:pStyle w:val="KeyPoints-Bullet"/>
              <w:spacing w:before="0"/>
            </w:pPr>
            <w:r>
              <w:t>This upzoning should be supported by reducing restrictive land</w:t>
            </w:r>
            <w:r>
              <w:noBreakHyphen/>
              <w:t>use and built</w:t>
            </w:r>
            <w:r>
              <w:noBreakHyphen/>
              <w:t>form controls that lower development feasibility, limit choice or impose costs that outweigh their benefits, such as maximum floor</w:t>
            </w:r>
            <w:r>
              <w:noBreakHyphen/>
              <w:t>space ratios or minimum car parking requirements.</w:t>
            </w:r>
          </w:p>
        </w:tc>
      </w:tr>
      <w:tr w:rsidR="00A450D6" w14:paraId="389D0878" w14:textId="77777777">
        <w:tc>
          <w:tcPr>
            <w:tcW w:w="575" w:type="dxa"/>
            <w:shd w:val="clear" w:color="auto" w:fill="E7F6FD"/>
            <w:tcMar>
              <w:top w:w="0" w:type="dxa"/>
              <w:bottom w:w="0" w:type="dxa"/>
              <w:right w:w="113" w:type="dxa"/>
            </w:tcMar>
          </w:tcPr>
          <w:p w14:paraId="3DA8E36B" w14:textId="77777777" w:rsidR="00A450D6" w:rsidRPr="00A51374" w:rsidRDefault="00A450D6" w:rsidP="000C6B77">
            <w:pPr>
              <w:pStyle w:val="KeyPointsicon"/>
            </w:pPr>
            <w:r w:rsidRPr="00F31E73">
              <w:rPr>
                <w:noProof/>
              </w:rPr>
              <w:drawing>
                <wp:inline distT="0" distB="0" distL="0" distR="0" wp14:anchorId="10C9EBDC" wp14:editId="2D6A1A22">
                  <wp:extent cx="180000" cy="180000"/>
                  <wp:effectExtent l="0" t="0" r="0" b="0"/>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13294C87" w14:textId="77777777" w:rsidR="00A450D6" w:rsidRDefault="00A450D6" w:rsidP="004A1C15">
            <w:pPr>
              <w:pStyle w:val="KeyPoints-Bold"/>
              <w:spacing w:before="0"/>
            </w:pPr>
            <w:r>
              <w:t>If housing is not coordinated with infrastructure, it can delay or limit new dwellings. Infrastructure planning is often the main constraint on building houses in new areas (greenfield sites), so it should be a high priority for reform.</w:t>
            </w:r>
          </w:p>
          <w:p w14:paraId="3269838D" w14:textId="77777777" w:rsidR="00A450D6" w:rsidRDefault="00A450D6" w:rsidP="00A450D6">
            <w:pPr>
              <w:pStyle w:val="KeyPoints-Bullet"/>
              <w:spacing w:before="0"/>
            </w:pPr>
            <w:r>
              <w:t>Governments should better align infrastructure plans with housing and show how infrastructure provision will be funded and sequenced with land availability. They should also make planning more consistent across levels of government, between councils, and with infrastructure service providers.</w:t>
            </w:r>
          </w:p>
          <w:p w14:paraId="14E88E05" w14:textId="77777777" w:rsidR="00A450D6" w:rsidRPr="00610627" w:rsidRDefault="00A450D6" w:rsidP="00A450D6">
            <w:pPr>
              <w:pStyle w:val="KeyPoints-Bullet"/>
              <w:spacing w:before="0"/>
            </w:pPr>
            <w:r>
              <w:t>Developers should contribute to funding infrastructure, but it should be done efficiently and only where there is a clear link between infrastructure and development. Governments should ensure contributions are predictable and consistent, and their timing is aligned to development finance.</w:t>
            </w:r>
          </w:p>
        </w:tc>
      </w:tr>
      <w:tr w:rsidR="00A450D6" w14:paraId="35B29740" w14:textId="77777777">
        <w:tc>
          <w:tcPr>
            <w:tcW w:w="575" w:type="dxa"/>
            <w:shd w:val="clear" w:color="auto" w:fill="E7F6FD"/>
            <w:tcMar>
              <w:top w:w="0" w:type="dxa"/>
              <w:bottom w:w="0" w:type="dxa"/>
              <w:right w:w="113" w:type="dxa"/>
            </w:tcMar>
          </w:tcPr>
          <w:p w14:paraId="7B5AB556" w14:textId="77777777" w:rsidR="00A450D6" w:rsidRPr="00A51374" w:rsidRDefault="00A450D6" w:rsidP="000C6B77">
            <w:pPr>
              <w:pStyle w:val="KeyPointsicon"/>
            </w:pPr>
            <w:r w:rsidRPr="00A51374">
              <w:rPr>
                <w:noProof/>
              </w:rPr>
              <w:drawing>
                <wp:inline distT="0" distB="0" distL="0" distR="0" wp14:anchorId="5A796191" wp14:editId="7DA0E1FF">
                  <wp:extent cx="180000" cy="180000"/>
                  <wp:effectExtent l="0" t="0" r="0" b="0"/>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61EBAAF6" w14:textId="77777777" w:rsidR="00A450D6" w:rsidRDefault="00A450D6" w:rsidP="004A1C15">
            <w:pPr>
              <w:pStyle w:val="KeyPoints-Bold"/>
              <w:spacing w:before="0"/>
            </w:pPr>
            <w:r>
              <w:t>Slow and complex approvals delay new housing and make some developments unviable. Making approvals more efficient can help deliver homes faster, but these reforms on their own will not be sufficient.</w:t>
            </w:r>
          </w:p>
          <w:p w14:paraId="290A8FFC" w14:textId="77777777" w:rsidR="00A450D6" w:rsidRDefault="00A450D6" w:rsidP="00A450D6">
            <w:pPr>
              <w:pStyle w:val="KeyPoints-Bullet"/>
              <w:spacing w:before="0"/>
            </w:pPr>
            <w:r>
              <w:t xml:space="preserve">Governments should enhance strategic planning processes to consider </w:t>
            </w:r>
            <w:r w:rsidRPr="00087D5D">
              <w:t>infrastructure requirements and trade</w:t>
            </w:r>
            <w:r>
              <w:noBreakHyphen/>
            </w:r>
            <w:r w:rsidRPr="00087D5D">
              <w:t>offs associated with development early</w:t>
            </w:r>
            <w:r>
              <w:t>, rather than during the approval process.</w:t>
            </w:r>
          </w:p>
          <w:p w14:paraId="1542909D" w14:textId="77777777" w:rsidR="00A450D6" w:rsidRPr="00610627" w:rsidRDefault="00A450D6" w:rsidP="00A450D6">
            <w:pPr>
              <w:pStyle w:val="KeyPoints-Bullet"/>
              <w:spacing w:before="0"/>
            </w:pPr>
            <w:r>
              <w:t>Governments should make greater use of risk</w:t>
            </w:r>
            <w:r>
              <w:noBreakHyphen/>
              <w:t>based assessment pathways such as fast</w:t>
            </w:r>
            <w:r>
              <w:noBreakHyphen/>
              <w:t>track and state</w:t>
            </w:r>
            <w:r>
              <w:noBreakHyphen/>
              <w:t>significant development. Pathways should be supported by coordination bodies with power to resolve disputes; improved use of technology; and transparent reporting of approval outcomes.</w:t>
            </w:r>
          </w:p>
        </w:tc>
      </w:tr>
    </w:tbl>
    <w:p w14:paraId="1F613F47" w14:textId="77777777" w:rsidR="00A450D6" w:rsidRDefault="00A450D6">
      <w:pPr>
        <w:pStyle w:val="Heading2-nonumber"/>
      </w:pPr>
      <w:bookmarkStart w:id="8" w:name="_Toc235103136"/>
      <w:r>
        <w:lastRenderedPageBreak/>
        <w:t>Australia needs more homes in the right places</w:t>
      </w:r>
      <w:bookmarkEnd w:id="8"/>
    </w:p>
    <w:p w14:paraId="70C55624" w14:textId="77777777" w:rsidR="00A450D6" w:rsidRPr="00033052" w:rsidRDefault="00A450D6">
      <w:pPr>
        <w:pStyle w:val="Heading3"/>
      </w:pPr>
      <w:r>
        <w:t>It’s become harder to afford a home</w:t>
      </w:r>
    </w:p>
    <w:p w14:paraId="5D868AA1" w14:textId="77777777" w:rsidR="00A450D6" w:rsidRDefault="00A450D6">
      <w:pPr>
        <w:pStyle w:val="BodyText"/>
      </w:pPr>
      <w:r>
        <w:t>People need stable housing to flourish – it provides safety and security, and it shapes our access to employment, education and social connection. Yet for many Australians, obtaining suitable housing in desirable locations has become increasingly out of reach.</w:t>
      </w:r>
    </w:p>
    <w:p w14:paraId="0D811D88" w14:textId="4DC179FA" w:rsidR="00A450D6" w:rsidRDefault="00A450D6">
      <w:pPr>
        <w:pStyle w:val="BodyText"/>
      </w:pPr>
      <w:r>
        <w:t>Over the last two decades, property prices have grown substantially faster than wages</w:t>
      </w:r>
      <w:r w:rsidRPr="00FA432A">
        <w:t>.</w:t>
      </w:r>
      <w:r>
        <w:t xml:space="preserve"> </w:t>
      </w:r>
      <w:r w:rsidRPr="00FA432A">
        <w:t xml:space="preserve">The result is </w:t>
      </w:r>
      <w:r>
        <w:t>obvious</w:t>
      </w:r>
      <w:r w:rsidRPr="00FA432A">
        <w:t xml:space="preserve">: </w:t>
      </w:r>
      <w:r>
        <w:t xml:space="preserve">it has become harder for first homebuyers to get on to the property ladder (figure 1). It currently takes 11 years for the average household to save for a 20% deposit on the typical home, up from 8 years in 2005 </w:t>
      </w:r>
      <w:r w:rsidRPr="00976372">
        <w:fldChar w:fldCharType="begin"/>
      </w:r>
      <w:r w:rsidR="008F2F22">
        <w:instrText xml:space="preserve"> ADDIN ZOTERO_ITEM CSL_CITATION {"citationID":"YJrbSsRM","properties":{"unsorted":false,"formattedCitation":"(Cotality\\uc0\\u160{}2025, fig.\\uc0\\u160{}2)","plainCitation":"(Cotality 2025, fig. 2)","noteIndex":0},"citationItems":[{"id":8436,"uris":["http://zotero.org/groups/6391232/items/89SC5X22"],"itemData":{"id":8436,"type":"report","title":"Housing affordability report Australia","URL":"https://discover.cotality.com/hubfs/Article-Reports/2511-Cotality-Housing-Affordability-Report-November-FINAL.pdf","author":[{"family":"Cotality","given":""}],"issued":{"date-parts":[["2025",11]]}},"locator":"2","label":"figure"}],"schema":"https://github.com/citation-style-language/schema/raw/master/csl-citation.json"} </w:instrText>
      </w:r>
      <w:r w:rsidRPr="00976372">
        <w:fldChar w:fldCharType="separate"/>
      </w:r>
      <w:r w:rsidRPr="00976372">
        <w:t>(Cotality 2025, fig. 2)</w:t>
      </w:r>
      <w:r w:rsidRPr="00976372">
        <w:fldChar w:fldCharType="end"/>
      </w:r>
      <w:r>
        <w:t>.</w:t>
      </w:r>
    </w:p>
    <w:p w14:paraId="2D56921F" w14:textId="6B0733F2" w:rsidR="00A450D6" w:rsidRDefault="00A450D6">
      <w:pPr>
        <w:pStyle w:val="BodyText"/>
      </w:pPr>
      <w:r>
        <w:t>The lack of affordability is most clearly being felt by young people. Between 1981 and 2021, home ownership rates fell 17</w:t>
      </w:r>
      <w:r w:rsidR="006A0411">
        <w:t>–</w:t>
      </w:r>
      <w:r>
        <w:t xml:space="preserve">18 percentage points for those between the ages of 25 and 34 </w:t>
      </w:r>
      <w:r w:rsidRPr="00976372">
        <w:fldChar w:fldCharType="begin"/>
      </w:r>
      <w:r w:rsidR="008F2F22">
        <w:instrText xml:space="preserve"> ADDIN ZOTERO_ITEM CSL_CITATION {"citationID":"3TXtkYBN","properties":{"unsorted":false,"formattedCitation":"(Treasury\\uc0\\u160{}2023, p.\\uc0\\u160{}172)","plainCitation":"(Treasury 2023, p. 172)","dontUpdate":true,"noteIndex":0},"citationItems":[{"id":"d5T1O1x6/Kw96xmct","uris":["http://zotero.org/groups/6031286/items/V3CHQK9J"],"itemData":{"id":2859,"type":"report","publisher":"The Commonwealth of Australia","publisher-place":"Canberra","title":"Intergenerational report 2023: Australia's future to 2063","author":[{"family":"Australian Government Treasury","given":""}],"translator":[{"literal":"Treasury"}],"issued":{"date-parts":[["2023"]]}},"locator":"172","label":"page"}],"schema":"https://github.com/citation-style-language/schema/raw/master/csl-citation.json"} </w:instrText>
      </w:r>
      <w:r w:rsidRPr="00976372">
        <w:fldChar w:fldCharType="separate"/>
      </w:r>
      <w:r w:rsidRPr="00976372">
        <w:t>(figure</w:t>
      </w:r>
      <w:r>
        <w:t> </w:t>
      </w:r>
      <w:r w:rsidRPr="00976372">
        <w:t>1; Treasury 2023, p. 172)</w:t>
      </w:r>
      <w:r w:rsidRPr="00976372">
        <w:fldChar w:fldCharType="end"/>
      </w:r>
      <w:r w:rsidRPr="00FA432A">
        <w:t>.</w:t>
      </w:r>
      <w:r w:rsidRPr="00B22911">
        <w:t xml:space="preserve"> </w:t>
      </w:r>
      <w:r>
        <w:t>Those</w:t>
      </w:r>
      <w:r w:rsidDel="00806F8B">
        <w:t xml:space="preserve"> </w:t>
      </w:r>
      <w:r>
        <w:t xml:space="preserve">who do purchase a home are servicing larger mortgages. Australia’s housing debt is some of the highest per capita in the world </w:t>
      </w:r>
      <w:r>
        <w:fldChar w:fldCharType="begin"/>
      </w:r>
      <w:r w:rsidR="008F2F22">
        <w:instrText xml:space="preserve"> ADDIN ZOTERO_ITEM CSL_CITATION {"citationID":"sZVmIxZ1","properties":{"unsorted":false,"formattedCitation":"(van Hoenselaar et al.\\uc0\\u160{}2021, fig.\\uc0\\u160{}9A)","plainCitation":"(van Hoenselaar et al. 2021, fig. 9A)","noteIndex":0},"citationItems":[{"id":9638,"uris":["http://zotero.org/groups/6391232/items/3M7EK4YT"],"itemData":{"id":9638,"type":"report","DOI":"10.1787/f97d7fe0-en","genre":"OECD Economics Department Working Papers","note":"collection-title: OECD Economics Department Working Papers\nvolume: 1693\nDOI: 10.1787/f97d7fe0-en","number":"1693","title":"Mortgage finance across OECD countries","URL":"https://www.oecd.org/en/publications/mortgage-finance-across-oecd-countries_f97d7fe0-en.html","author":[{"family":"Hoenselaar","given":"Frank","non-dropping-particle":"van"},{"family":"Cournede","given":"Boris"},{"family":"De Pace","given":"Federica"},{"family":"Ziemann","given":"Volker"}],"issued":{"date-parts":[["2021",12,14]]}},"locator":"9A","label":"figure"}],"schema":"https://github.com/citation-style-language/schema/raw/master/csl-citation.json"} </w:instrText>
      </w:r>
      <w:r>
        <w:fldChar w:fldCharType="separate"/>
      </w:r>
      <w:r w:rsidRPr="00AE0E31">
        <w:rPr>
          <w:rFonts w:cs="Open Sans"/>
        </w:rPr>
        <w:t>(van Hoenselaar et al. 2021, fig. 9A)</w:t>
      </w:r>
      <w:r>
        <w:fldChar w:fldCharType="end"/>
      </w:r>
      <w:r w:rsidRPr="00976372">
        <w:t>.</w:t>
      </w:r>
    </w:p>
    <w:p w14:paraId="6D306D13" w14:textId="233CAEBB" w:rsidR="00A450D6" w:rsidRPr="00146382" w:rsidRDefault="00A450D6">
      <w:pPr>
        <w:pStyle w:val="FigureTableHeading"/>
      </w:pPr>
      <w:bookmarkStart w:id="9" w:name="_Toc30502221"/>
      <w:r>
        <w:t>Figure </w:t>
      </w:r>
      <w:r w:rsidRPr="69786B34">
        <w:fldChar w:fldCharType="begin"/>
      </w:r>
      <w:r>
        <w:instrText xml:space="preserve"> STYLEREF 1 \s </w:instrText>
      </w:r>
      <w:r w:rsidRPr="69786B34">
        <w:fldChar w:fldCharType="separate"/>
      </w:r>
      <w:r w:rsidR="00CB06D8">
        <w:rPr>
          <w:noProof/>
        </w:rPr>
        <w:t>1</w:t>
      </w:r>
      <w:r w:rsidRPr="69786B34">
        <w:rPr>
          <w:noProof/>
        </w:rPr>
        <w:fldChar w:fldCharType="end"/>
      </w:r>
      <w:r>
        <w:rPr>
          <w:noProof/>
        </w:rPr>
        <w:t xml:space="preserve"> </w:t>
      </w:r>
      <w:r>
        <w:t>– Growing dwelling prices relative to income have created an affordability problem</w:t>
      </w:r>
    </w:p>
    <w:p w14:paraId="75D56C7B" w14:textId="56886CCB" w:rsidR="00A450D6" w:rsidRDefault="00DD1240" w:rsidP="0035074A">
      <w:pPr>
        <w:pStyle w:val="BodyText"/>
        <w:spacing w:after="0"/>
      </w:pPr>
      <w:r w:rsidRPr="00DD1240">
        <w:rPr>
          <w:noProof/>
        </w:rPr>
        <w:drawing>
          <wp:inline distT="0" distB="0" distL="0" distR="0" wp14:anchorId="371B85BD" wp14:editId="057F294E">
            <wp:extent cx="6090920" cy="2944495"/>
            <wp:effectExtent l="0" t="0" r="0" b="0"/>
            <wp:docPr id="352435286" name="Picture 28" descr="This figure is two charts showing how housing affordability and home ownership rates have changed over time. The left chart plots the % of median income needed to pay for a 20% deposit on a median-priced home over time. The chart shows that this has risen from 110-100% in 2002 to over 150% in the early 2020s. &#10;The right chart plots home ownership rates by age cohort over time. It shows that since the early 1980s home ownership rates have decreased, particularly for the 25-34 age cohort (down from 60% in 1981 to under 45% in 2021) and the 35-44 age cohort (down from 73% in 1981 to just over 6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35286" name="Picture 28" descr="This figure is two charts showing how housing affordability and home ownership rates have changed over time. The left chart plots the % of median income needed to pay for a 20% deposit on a median-priced home over time. The chart shows that this has risen from 110-100% in 2002 to over 150% in the early 2020s. &#10;The right chart plots home ownership rates by age cohort over time. It shows that since the early 1980s home ownership rates have decreased, particularly for the 25-34 age cohort (down from 60% in 1981 to under 45% in 2021) and the 35-44 age cohort (down from 73% in 1981 to just over 60% in 20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90920" cy="2944495"/>
                    </a:xfrm>
                    <a:prstGeom prst="rect">
                      <a:avLst/>
                    </a:prstGeom>
                    <a:noFill/>
                    <a:ln>
                      <a:noFill/>
                    </a:ln>
                  </pic:spPr>
                </pic:pic>
              </a:graphicData>
            </a:graphic>
          </wp:inline>
        </w:drawing>
      </w:r>
    </w:p>
    <w:p w14:paraId="17AFB12F" w14:textId="67D16E27" w:rsidR="00A450D6" w:rsidRDefault="00A450D6">
      <w:pPr>
        <w:pStyle w:val="Note"/>
      </w:pPr>
      <w:r>
        <w:t xml:space="preserve">Deposit amount is assumed to be 20% of the national median sale price for established dwellings. The national median sale price is a </w:t>
      </w:r>
      <w:r w:rsidRPr="00D6382A">
        <w:t>transaction</w:t>
      </w:r>
      <w:r>
        <w:noBreakHyphen/>
      </w:r>
      <w:r w:rsidRPr="00D6382A">
        <w:t>weighted average of median prices for established dwellings in capital cities</w:t>
      </w:r>
      <w:r>
        <w:t>.</w:t>
      </w:r>
      <w:r w:rsidR="00FE4627">
        <w:t xml:space="preserve"> </w:t>
      </w:r>
      <w:r>
        <w:t xml:space="preserve">Home ownership includes those who own their own home outright, own it with a mortgage or are purchasing under a shared equity scheme. </w:t>
      </w:r>
      <w:r w:rsidRPr="00994B52">
        <w:t>Aboriginal and Torres Strait Islander people are excluded from Census counts prior to 1971 due to institutional racism.</w:t>
      </w:r>
    </w:p>
    <w:bookmarkEnd w:id="9"/>
    <w:p w14:paraId="4A2D0D59" w14:textId="5351CDAB" w:rsidR="00A450D6" w:rsidRDefault="00A450D6">
      <w:pPr>
        <w:pStyle w:val="Source"/>
      </w:pPr>
      <w:r w:rsidRPr="00985807">
        <w:t xml:space="preserve">Source: </w:t>
      </w:r>
      <w:r w:rsidR="00B67627">
        <w:t xml:space="preserve">PC </w:t>
      </w:r>
      <w:r w:rsidRPr="00985807">
        <w:t xml:space="preserve">estimates using Housing, Income and Labour Dynamics of Australia, wave 24; ABS (2026, Total Value of Dwellings, </w:t>
      </w:r>
      <w:r>
        <w:t>t</w:t>
      </w:r>
      <w:r w:rsidRPr="00985807">
        <w:t>able</w:t>
      </w:r>
      <w:r>
        <w:t> </w:t>
      </w:r>
      <w:r w:rsidRPr="00985807">
        <w:t xml:space="preserve">2, Cat no. 6416.0); ABS (Census of Population and Housing, Australia, 2016, 2021, Cat no. 2901.0, TableBuilder); </w:t>
      </w:r>
      <w:r w:rsidR="00947D43">
        <w:t xml:space="preserve">Yates </w:t>
      </w:r>
      <w:r w:rsidR="008F2F22">
        <w:fldChar w:fldCharType="begin"/>
      </w:r>
      <w:r w:rsidR="008F2F22">
        <w:instrText xml:space="preserve"> ADDIN ZOTERO_ITEM CSL_CITATION {"citationID":"AGOu1Z23","properties":{"unsorted":false,"formattedCitation":"(2015)","plainCitation":"(2015)","noteIndex":0},"citationItems":[{"id":9524,"uris":["http://zotero.org/groups/6391232/items/X42AJHQR"],"itemData":{"id":9524,"type":"report","genre":"Submission to the Standing Committee on Economics Inquiry into Home Ownership","publisher":"University of Sydney","title":"Trends in home ownership: causes, consequences and solutions","author":[{"family":"Yates","given":"Judith"}],"issued":{"date-parts":[["2015"]]}},"suppress-author":true}],"schema":"https://github.com/citation-style-language/schema/raw/master/csl-citation.json"} </w:instrText>
      </w:r>
      <w:r w:rsidR="008F2F22">
        <w:fldChar w:fldCharType="separate"/>
      </w:r>
      <w:r w:rsidR="008F2F22" w:rsidRPr="008F2F22">
        <w:rPr>
          <w:rFonts w:cs="Open Sans"/>
        </w:rPr>
        <w:t>(2015)</w:t>
      </w:r>
      <w:r w:rsidR="008F2F22">
        <w:fldChar w:fldCharType="end"/>
      </w:r>
      <w:r w:rsidRPr="00985807">
        <w:t>.</w:t>
      </w:r>
    </w:p>
    <w:p w14:paraId="3D65EECB" w14:textId="6F5DC4C1" w:rsidR="00A450D6" w:rsidRDefault="00A450D6">
      <w:pPr>
        <w:pStyle w:val="BodyText"/>
      </w:pPr>
      <w:r w:rsidRPr="00A20B77">
        <w:t xml:space="preserve">Renters are also under strain. </w:t>
      </w:r>
      <w:r>
        <w:t>A middle</w:t>
      </w:r>
      <w:r>
        <w:noBreakHyphen/>
        <w:t xml:space="preserve">income household will typically pay a third of their income to secure a new rental home in the current market </w:t>
      </w:r>
      <w:r w:rsidRPr="00976372">
        <w:fldChar w:fldCharType="begin"/>
      </w:r>
      <w:r w:rsidR="008F2F22">
        <w:instrText xml:space="preserve"> ADDIN ZOTERO_ITEM CSL_CITATION {"citationID":"Rv4EF9c2","properties":{"unsorted":false,"formattedCitation":"(Cotality\\uc0\\u160{}2025, fig.\\uc0\\u160{}2)","plainCitation":"(Cotality 2025, fig. 2)","noteIndex":0},"citationItems":[{"id":8436,"uris":["http://zotero.org/groups/6391232/items/89SC5X22"],"itemData":{"id":8436,"type":"report","title":"Housing affordability report Australia","URL":"https://discover.cotality.com/hubfs/Article-Reports/2511-Cotality-Housing-Affordability-Report-November-FINAL.pdf","author":[{"family":"Cotality","given":""}],"issued":{"date-parts":[["2025",11]]}},"locator":"2","label":"figure"}],"schema":"https://github.com/citation-style-language/schema/raw/master/csl-citation.json"} </w:instrText>
      </w:r>
      <w:r w:rsidRPr="00976372">
        <w:fldChar w:fldCharType="separate"/>
      </w:r>
      <w:r w:rsidRPr="00976372">
        <w:t>(Cotality 2025, fig. 2)</w:t>
      </w:r>
      <w:r w:rsidRPr="00976372">
        <w:fldChar w:fldCharType="end"/>
      </w:r>
      <w:r>
        <w:t>. And renters on very low incomes are especially vulnerable to higher costs. P</w:t>
      </w:r>
      <w:r w:rsidRPr="00A20B77">
        <w:t xml:space="preserve">eople on working age payments like </w:t>
      </w:r>
      <w:proofErr w:type="spellStart"/>
      <w:r w:rsidRPr="00A20B77">
        <w:t>JobSeeker</w:t>
      </w:r>
      <w:proofErr w:type="spellEnd"/>
      <w:r w:rsidRPr="00A20B77">
        <w:t xml:space="preserve"> and Youth </w:t>
      </w:r>
      <w:r w:rsidRPr="00A20B77">
        <w:lastRenderedPageBreak/>
        <w:t xml:space="preserve">Allowance can only afford a handful of available rental properties </w:t>
      </w:r>
      <w:r>
        <w:t>without housing stress</w:t>
      </w:r>
      <w:r w:rsidRPr="00A20B77">
        <w:t xml:space="preserve"> </w:t>
      </w:r>
      <w:r>
        <w:t xml:space="preserve">in high demand areas like Sydney </w:t>
      </w:r>
      <w:r w:rsidRPr="00976372">
        <w:fldChar w:fldCharType="begin"/>
      </w:r>
      <w:r w:rsidR="008F2F22">
        <w:instrText xml:space="preserve"> ADDIN ZOTERO_ITEM CSL_CITATION {"citationID":"1U8puPnG","properties":{"unsorted":false,"formattedCitation":"(Anglicare Australia\\uc0\\u160{}2026, p.\\uc0\\u160{}6,8)","plainCitation":"(Anglicare Australia 2026, p. 6,8)","noteIndex":0},"citationItems":[{"id":9123,"uris":["http://zotero.org/groups/6391232/items/N943QFSI"],"itemData":{"id":9123,"type":"report","genre":"National Report","number":"17","publisher":"Anglicare Australia","title":"Rental affordability snapshot","author":[{"family":"Anglicare Australia","given":""}],"issued":{"date-parts":[["2026"]]}},"locator":"6,8","label":"page"}],"schema":"https://github.com/citation-style-language/schema/raw/master/csl-citation.json"} </w:instrText>
      </w:r>
      <w:r w:rsidRPr="00976372">
        <w:fldChar w:fldCharType="separate"/>
      </w:r>
      <w:r w:rsidR="00877EF9" w:rsidRPr="00877EF9">
        <w:rPr>
          <w:rFonts w:cs="Open Sans"/>
        </w:rPr>
        <w:t>(Anglicare Australia 2026, p. 6,8)</w:t>
      </w:r>
      <w:r w:rsidRPr="00976372">
        <w:fldChar w:fldCharType="end"/>
      </w:r>
      <w:r w:rsidRPr="00976372">
        <w:t>.</w:t>
      </w:r>
    </w:p>
    <w:p w14:paraId="0A86A4F6" w14:textId="77777777" w:rsidR="00A450D6" w:rsidRDefault="00A450D6">
      <w:pPr>
        <w:pStyle w:val="Heading3"/>
      </w:pPr>
      <w:r>
        <w:t>Too few homes are available where people want to live and work</w:t>
      </w:r>
    </w:p>
    <w:p w14:paraId="6A732238" w14:textId="77777777" w:rsidR="00A450D6" w:rsidRPr="00FE4627" w:rsidRDefault="00A450D6">
      <w:pPr>
        <w:pStyle w:val="BodyText"/>
        <w:rPr>
          <w:spacing w:val="-2"/>
        </w:rPr>
      </w:pPr>
      <w:r w:rsidRPr="00FE4627">
        <w:rPr>
          <w:spacing w:val="-2"/>
        </w:rPr>
        <w:t xml:space="preserve">A key reason for the affordability challenge is that we have not built enough homes in the places people want to live. There is a strong causal link between supply, location and affordability (box 1). </w:t>
      </w:r>
      <w:proofErr w:type="gramStart"/>
      <w:r w:rsidRPr="00FE4627">
        <w:rPr>
          <w:spacing w:val="-2"/>
        </w:rPr>
        <w:t>Well</w:t>
      </w:r>
      <w:proofErr w:type="gramEnd"/>
      <w:r w:rsidRPr="00FE4627">
        <w:rPr>
          <w:spacing w:val="-2"/>
        </w:rPr>
        <w:noBreakHyphen/>
        <w:t xml:space="preserve">located housing not only promotes </w:t>
      </w:r>
      <w:proofErr w:type="gramStart"/>
      <w:r w:rsidRPr="00FE4627">
        <w:rPr>
          <w:spacing w:val="-2"/>
        </w:rPr>
        <w:t>affordability, but</w:t>
      </w:r>
      <w:proofErr w:type="gramEnd"/>
      <w:r w:rsidRPr="00FE4627">
        <w:rPr>
          <w:spacing w:val="-2"/>
        </w:rPr>
        <w:t xml:space="preserve"> can improve social cohesion and the sharing of ideas, supporting innovation and productivity.</w:t>
      </w:r>
    </w:p>
    <w:p w14:paraId="5DF4A8AA" w14:textId="22511009" w:rsidR="00A450D6" w:rsidRDefault="00A450D6">
      <w:pPr>
        <w:pStyle w:val="BodyText"/>
      </w:pPr>
      <w:r w:rsidRPr="00976372">
        <w:t xml:space="preserve">We can see the effects of low housing supply when comparing the price people pay to buy apartments and the cost of supplying additional apartments – when the former is much higher than the latter, it shows that supply is not keeping pace with demand. Studies have found evidence of excess demand for apartments across many Australian suburbs </w:t>
      </w:r>
      <w:r w:rsidRPr="00976372">
        <w:fldChar w:fldCharType="begin"/>
      </w:r>
      <w:r w:rsidR="008F2F22">
        <w:instrText xml:space="preserve"> ADDIN ZOTERO_ITEM CSL_CITATION {"citationID":"bE8TbCfQ","properties":{"unsorted":false,"formattedCitation":"(CIE\\uc0\\u160{}2024, p.\\uc0\\u160{}18; Coates et al.\\uc0\\u160{}2025, pp.\\uc0\\u160{}31\\uc0\\u8211{}32; Jenner and Tulip\\uc0\\u160{}2020, p.\\uc0\\u160{}1)","plainCitation":"(CIE 2024, p. 18; Coates et al. 2025, pp. 31–32; Jenner and Tulip 2020, p. 1)","noteIndex":0},"citationItems":[{"id":8449,"uris":["http://zotero.org/groups/6391232/items/AQ9B6ATG"],"itemData":{"id":8449,"type":"report","title":"Cost and feasibility estimates for supplying new residential dwellings in New South Wales","URL":"https://www.thecie.com.au/publications-archive/cost-and-feasibility-estimates-for-supplying-new-residential-dwellings-in-nsw","author":[{"family":"The Centre for International Economics","given":""}],"translator":[{"literal":"CIE"}],"issued":{"date-parts":[["2024"]]}},"locator":"18","label":"page"},{"id":8420,"uris":["http://zotero.org/groups/6391232/items/THBW442H"],"itemData":{"id":8420,"type":"report","language":"en","publisher":"Grattan Institute","title":"More homes, better cities: Letting more people live where they want","URL":"https://grattan.edu.au/wp-content/uploads/2025/11/More-homes-better-cities-Grattan-2025-report.pdf","author":[{"family":"Coates","given":"Brendan"},{"family":"Moloney","given":"Joey"},{"family":"Bowes","given":"Matthew"}],"issued":{"date-parts":[["2025"]]}},"locator":"31-32","label":"page"},{"id":8424,"uris":["http://zotero.org/groups/6391232/items/M3R9CLQK"],"itemData":{"id":8424,"type":"report","genre":"Research Discussion Paper","language":"en","publisher":"Reserve Bank of Australia","source":"Zotero","title":"The apartment shortage","URL":"https://www.rba.gov.au/publications/rdp/2020/pdf/rdp2020-04.pdf","author":[{"family":"Jenner","given":"Keaton"},{"family":"Tulip","given":"Peter"}],"issued":{"date-parts":[["2020"]]}},"locator":"1","label":"page"}],"schema":"https://github.com/citation-style-language/schema/raw/master/csl-citation.json"} </w:instrText>
      </w:r>
      <w:r w:rsidRPr="00976372">
        <w:fldChar w:fldCharType="separate"/>
      </w:r>
      <w:r w:rsidRPr="00976372">
        <w:t>(CIE 2024, p. 18; Coates et al. 2025, pp. 31–32; Jenner and Tulip 2020, p. 1)</w:t>
      </w:r>
      <w:r w:rsidRPr="00976372">
        <w:fldChar w:fldCharType="end"/>
      </w:r>
      <w:r w:rsidRPr="00976372">
        <w:t>.</w:t>
      </w:r>
    </w:p>
    <w:p w14:paraId="0DF7784C" w14:textId="2021D101" w:rsidR="00A450D6" w:rsidRPr="00F82BD9" w:rsidRDefault="00A450D6">
      <w:pPr>
        <w:pStyle w:val="NoSpacing"/>
      </w:pPr>
    </w:p>
    <w:tbl>
      <w:tblPr>
        <w:tblStyle w:val="Boxtable"/>
        <w:tblW w:w="5000" w:type="pct"/>
        <w:tblLook w:val="04A0" w:firstRow="1" w:lastRow="0" w:firstColumn="1" w:lastColumn="0" w:noHBand="0" w:noVBand="1"/>
      </w:tblPr>
      <w:tblGrid>
        <w:gridCol w:w="9638"/>
      </w:tblGrid>
      <w:tr w:rsidR="00A450D6" w14:paraId="3B2AD921" w14:textId="77777777">
        <w:trPr>
          <w:tblHeader/>
        </w:trPr>
        <w:tc>
          <w:tcPr>
            <w:tcW w:w="9638" w:type="dxa"/>
            <w:shd w:val="clear" w:color="auto" w:fill="EBEBEB"/>
            <w:tcMar>
              <w:top w:w="170" w:type="dxa"/>
              <w:left w:w="170" w:type="dxa"/>
              <w:bottom w:w="113" w:type="dxa"/>
              <w:right w:w="170" w:type="dxa"/>
            </w:tcMar>
            <w:hideMark/>
          </w:tcPr>
          <w:p w14:paraId="69CEBCB8" w14:textId="11BA236C" w:rsidR="00A450D6" w:rsidRDefault="00A450D6">
            <w:pPr>
              <w:pStyle w:val="BoxHeading1"/>
            </w:pPr>
            <w:bookmarkStart w:id="10" w:name="_Ref78902111"/>
            <w:r>
              <w:t>Box </w:t>
            </w:r>
            <w:r>
              <w:fldChar w:fldCharType="begin"/>
            </w:r>
            <w:r>
              <w:instrText>SEQ Box \* ARABIC \s 1</w:instrText>
            </w:r>
            <w:r>
              <w:fldChar w:fldCharType="separate"/>
            </w:r>
            <w:r w:rsidR="00CB06D8">
              <w:rPr>
                <w:noProof/>
              </w:rPr>
              <w:t>1</w:t>
            </w:r>
            <w:r>
              <w:fldChar w:fldCharType="end"/>
            </w:r>
            <w:r>
              <w:t xml:space="preserve"> – </w:t>
            </w:r>
            <w:bookmarkEnd w:id="10"/>
            <w:r>
              <w:t>The effect of housing supply on prices</w:t>
            </w:r>
          </w:p>
        </w:tc>
      </w:tr>
      <w:tr w:rsidR="00A450D6" w14:paraId="4AFF7149" w14:textId="77777777">
        <w:tc>
          <w:tcPr>
            <w:tcW w:w="9638" w:type="dxa"/>
            <w:shd w:val="clear" w:color="auto" w:fill="EBEBEB"/>
            <w:tcMar>
              <w:top w:w="28" w:type="dxa"/>
              <w:left w:w="170" w:type="dxa"/>
              <w:bottom w:w="170" w:type="dxa"/>
              <w:right w:w="170" w:type="dxa"/>
            </w:tcMar>
            <w:hideMark/>
          </w:tcPr>
          <w:p w14:paraId="75D88B3F" w14:textId="2018398B" w:rsidR="00A450D6" w:rsidRDefault="00A450D6">
            <w:pPr>
              <w:pStyle w:val="BodyText"/>
            </w:pPr>
            <w:r>
              <w:t>E</w:t>
            </w:r>
            <w:r w:rsidRPr="00976372">
              <w:t>conomic theory would suggest that an increase in housing supply, for a given level of demand, should reduce housing prices across the relevant market, usually a city. Empirical research confirms this. Many studies using robust causal methods find that, over the long term, increase</w:t>
            </w:r>
            <w:r>
              <w:t>d</w:t>
            </w:r>
            <w:r w:rsidRPr="00976372" w:rsidDel="00403E4D">
              <w:t xml:space="preserve"> </w:t>
            </w:r>
            <w:r w:rsidRPr="00976372">
              <w:t>housing supply leads to lower city</w:t>
            </w:r>
            <w:r>
              <w:t>-</w:t>
            </w:r>
            <w:r w:rsidRPr="00976372">
              <w:t xml:space="preserve">wide </w:t>
            </w:r>
            <w:r>
              <w:t>dwelling</w:t>
            </w:r>
            <w:r w:rsidRPr="00976372">
              <w:t xml:space="preserve"> prices and rents relative to what they otherwise would have been (</w:t>
            </w:r>
            <w:proofErr w:type="spellStart"/>
            <w:r w:rsidRPr="00976372">
              <w:t>Anagol</w:t>
            </w:r>
            <w:proofErr w:type="spellEnd"/>
            <w:r w:rsidRPr="00976372">
              <w:t xml:space="preserve"> et al. 2021; Greenaway-</w:t>
            </w:r>
            <w:proofErr w:type="spellStart"/>
            <w:r w:rsidRPr="00976372">
              <w:t>McGrevy</w:t>
            </w:r>
            <w:proofErr w:type="spellEnd"/>
            <w:r w:rsidRPr="00976372">
              <w:t xml:space="preserve"> and So 202</w:t>
            </w:r>
            <w:r w:rsidR="00201F5E">
              <w:t>6</w:t>
            </w:r>
            <w:r w:rsidRPr="00976372">
              <w:t>; Maltman and Greenaway-McGrevy 2025; Rollet 2025; Saunders and Tulip 2020, pp. 28–29).</w:t>
            </w:r>
            <w:proofErr w:type="spellStart"/>
            <w:r w:rsidRPr="00F8018F">
              <w:rPr>
                <w:b/>
                <w:bCs/>
                <w:vertAlign w:val="superscript"/>
              </w:rPr>
              <w:t>a</w:t>
            </w:r>
            <w:proofErr w:type="spellEnd"/>
            <w:r>
              <w:t xml:space="preserve"> In most cases, this appears as lower price growth, rather than an absolute decline in prices.</w:t>
            </w:r>
          </w:p>
          <w:p w14:paraId="0F62DBF0" w14:textId="4BAE0F6B" w:rsidR="00A450D6" w:rsidRPr="00123A86" w:rsidRDefault="00A450D6">
            <w:pPr>
              <w:pStyle w:val="BodyText"/>
              <w:rPr>
                <w:iCs/>
              </w:rPr>
            </w:pPr>
            <w:r w:rsidRPr="00976372">
              <w:t>A common counter argument is that new housing tends to be expensive and therefore does little to improve affordability. But when new homes are built, the households that move into them usually vacate existing homes, creating a chain of moves through the housing market. This process, known as filtering, increases available housing across different price points and can lower prices and rents across the market, not only for higher</w:t>
            </w:r>
            <w:r w:rsidRPr="00976372">
              <w:noBreakHyphen/>
              <w:t xml:space="preserve">priced dwellings </w:t>
            </w:r>
            <w:r w:rsidRPr="00976372">
              <w:fldChar w:fldCharType="begin"/>
            </w:r>
            <w:r w:rsidR="008F2F22">
              <w:instrText xml:space="preserve"> ADDIN ZOTERO_ITEM CSL_CITATION {"citationID":"O9wH5xDW","properties":{"unsorted":false,"formattedCitation":"(Bratu et al.\\uc0\\u160{}2023; Mast\\uc0\\u160{}2019; Mense\\uc0\\u160{}2025)","plainCitation":"(Bratu et al. 2023; Mast 2019; Mense 2025)","noteIndex":0},"citationItems":[{"id":9457,"uris":["http://zotero.org/groups/6391232/items/ZBFZPIZZ"],"itemData":{"id":9457,"type":"article-journal","abstract":"We study the city-wide effects of new, centrally-located market-rate housing supply using geo-coded population-wide register data from the Helsinki Metropolitan Area. The supply of new market rate units triggers moving chains that quickly reach middle- and low-income neighborhoods and individuals. Thus, new market-rate construction loosens the housing market in middle- and low-income areas even in the short run. Market-rate supply is likely to improve affordability outside the sub-markets where new construction occurs and to benefit low-income people.","collection-title":"Special Issue: JUE Insight Shorter Papers","container-title":"Journal of Urban Economics","DOI":"10.1016/j.jue.2022.103528","ISSN":"0094-1190","journalAbbreviation":"Journal of Urban Economics","page":"103528","source":"ScienceDirect","title":"JUE Insight: City-wide effects of new housing supply: Evidence from moving chains","title-short":"JUE Insight","volume":"133","author":[{"family":"Bratu","given":"Cristina"},{"family":"Harjunen","given":"Oskari"},{"family":"Saarimaa","given":"Tuukka"}],"issued":{"date-parts":[["2023",1,1]]}}},{"id":9458,"uris":["http://zotero.org/groups/6391232/items/JUC8U85G"],"itemData":{"id":9458,"type":"article-journal","container-title":"Upjohn Institute Working Papers","DOI":"10.17848/wp19-307","source":"COinS","title":"The effect of new market-rate housing construction on the low-income housing market","URL":"https://research.upjohn.org/up_workingpapers/307","author":[{"family":"Mast","given":"Evan"}],"issued":{"date-parts":[["2019"]]}}},{"id":9459,"uris":["http://zotero.org/groups/6391232/items/8BAIIFZX"],"itemData":{"id":9459,"type":"article-journal","abstract":"I estimate the impact of new housing supply on the local rent distribution, exploiting delays in housing completions caused by weather shocks. A 1% increase in new supply (i) lowers average rents by 0.19%, (ii) effectively reduces rents of lower-quality units, and (iii) disproportionately increases the number of second-hand units available for rent. Moreover, the impact on rents is equally strong in high-demand markets. Employing a quantitative model, I explain these results by second-hand supply: New supply triggers moving chains that free up units in all market segments. The estimate translates into a short-run demand price elasticity of −0.025.","container-title":"Journal of Political Economy Macroeconomics","DOI":"10.1086/733977","issue":"1","page":"1-42","publisher":"The University of Chicago Press","source":"journals.uchicago.edu (Atypon)","title":"The impact of new housing supply on the distribution of rents","volume":"3","author":[{"family":"Mense","given":"Andreas"}],"issued":{"date-parts":[["2025",3]]}}}],"schema":"https://github.com/citation-style-language/schema/raw/master/csl-citation.json"} </w:instrText>
            </w:r>
            <w:r w:rsidRPr="00976372">
              <w:fldChar w:fldCharType="separate"/>
            </w:r>
            <w:r w:rsidRPr="00976372">
              <w:t>(Bratu et al. 2023; Mast 2019; Mense 2025)</w:t>
            </w:r>
            <w:r w:rsidRPr="00976372">
              <w:fldChar w:fldCharType="end"/>
            </w:r>
            <w:r w:rsidRPr="00976372">
              <w:t>.</w:t>
            </w:r>
          </w:p>
          <w:p w14:paraId="5E9C36F7" w14:textId="356DF770" w:rsidR="00A450D6" w:rsidRDefault="00A450D6">
            <w:pPr>
              <w:pStyle w:val="BodyText"/>
            </w:pPr>
            <w:r w:rsidRPr="00976372">
              <w:t>While higher housing supply reduces city</w:t>
            </w:r>
            <w:r w:rsidRPr="00976372">
              <w:noBreakHyphen/>
              <w:t xml:space="preserve">wide prices and rents, the effects on prices in the neighbourhoods where additional supply is unlocked can vary </w:t>
            </w:r>
            <w:r w:rsidRPr="00976372">
              <w:fldChar w:fldCharType="begin"/>
            </w:r>
            <w:r w:rsidR="008F2F22">
              <w:instrText xml:space="preserve"> ADDIN ZOTERO_ITEM CSL_CITATION {"citationID":"ZtFmF6Iv","properties":{"unsorted":false,"formattedCitation":"(Been et al.\\uc0\\u160{}2025, pp.\\uc0\\u160{}99\\uc0\\u8211{}100; Phillips et al.\\uc0\\u160{}2021)","plainCitation":"(Been et al. 2025, pp. 99–100; Phillips et al. 2021)","noteIndex":0},"citationItems":[{"id":8384,"uris":["http://zotero.org/groups/6391232/items/F6IC9IYC"],"itemData":{"id":8384,"type":"article-journal","abstract":"Although “supply skeptics” claim that new housing supply does not slow growth in rents, our review of rigorous recent studies finds that: (a) increases in housing supply reduce rents or slow the growth in rents in the region; (b) in some circumstances, new construction also reduces rents or rent growth in the surrounding neighborhood; (c) while new supply is associated with measures of gentrification, it has not been shown to heighten displacement of lower income households; and (d) the chains of moves resulting from new supply free up both for-sale and rented dwelling units that are then occupied by households across the income spectrum, and provide higher income households with alternatives to the older units for which they might otherwise outbid lower income residents.","container-title":"Housing Policy Debate","DOI":"10.1080/10511482.2024.2418044","ISSN":"1051-1482","issue":"1","note":"_eprint: https://doi.org/10.1080/10511482.2024.2418044","page":"96-113","publisher":"Routledge","source":"Taylor and Francis+NEJM","title":"Supply skepticism revisited","volume":"35","author":[{"family":"Been","given":"Vicki"},{"family":"Ellen","given":"Ingrid Gould"},{"family":"O’Regan","given":"Katherine"}],"issued":{"date-parts":[["2025",1,2]]}},"locator":"99-100","label":"page"},{"id":9453,"uris":["http://zotero.org/groups/6391232/items/IZFKZBKI"],"itemData":{"id":9453,"type":"report","abstract":"A roundup of recent research that has delved into the neighborhood-level impacts of market-rate housing.","language":"en-US","publisher":"UCLA Lewis Center for Regional Policy Studies","title":"Research roundup: The effect of market-rate development on neighborhood rents","title-short":"Research roundup","URL":"https://lewis.ucla.edu/research/market-rate-development-impacts/","author":[{"family":"Phillips","given":"Shane"},{"family":"Manville","given":"Michael"},{"family":"Lens","given":"Michael"}],"issued":{"date-parts":[["2021"]]}}}],"schema":"https://github.com/citation-style-language/schema/raw/master/csl-citation.json"} </w:instrText>
            </w:r>
            <w:r w:rsidRPr="00976372">
              <w:fldChar w:fldCharType="separate"/>
            </w:r>
            <w:r w:rsidRPr="00976372">
              <w:t>(Been et al. 2025, pp. 99–100; Phillips et al. 2021)</w:t>
            </w:r>
            <w:r w:rsidRPr="00976372">
              <w:fldChar w:fldCharType="end"/>
            </w:r>
            <w:r w:rsidRPr="00976372">
              <w:t>. Local price effects depend not only on the increase in supply, but also on how new development affects neighbourhood quality and amenity, which can affect demand. Many studies find evidence of positive amenity effects, such as increased business activity, but generally conclude that the supply</w:t>
            </w:r>
            <w:r w:rsidRPr="00976372">
              <w:noBreakHyphen/>
              <w:t>side effect</w:t>
            </w:r>
            <w:r>
              <w:t>s</w:t>
            </w:r>
            <w:r w:rsidRPr="00976372">
              <w:t xml:space="preserve"> on reducing rents tend to outweigh any potential demand effects from improved local amenity </w:t>
            </w:r>
            <w:r w:rsidRPr="00976372">
              <w:fldChar w:fldCharType="begin"/>
            </w:r>
            <w:r w:rsidR="008F2F22">
              <w:instrText xml:space="preserve"> ADDIN ZOTERO_ITEM CSL_CITATION {"citationID":"MlEjLRxC","properties":{"unsorted":false,"formattedCitation":"(Been et al.\\uc0\\u160{}2025, p.\\uc0\\u160{}100; Phillips et al.\\uc0\\u160{}2021)","plainCitation":"(Been et al. 2025, p. 100; Phillips et al. 2021)","noteIndex":0},"citationItems":[{"id":8384,"uris":["http://zotero.org/groups/6391232/items/F6IC9IYC"],"itemData":{"id":8384,"type":"article-journal","abstract":"Although “supply skeptics” claim that new housing supply does not slow growth in rents, our review of rigorous recent studies finds that: (a) increases in housing supply reduce rents or slow the growth in rents in the region; (b) in some circumstances, new construction also reduces rents or rent growth in the surrounding neighborhood; (c) while new supply is associated with measures of gentrification, it has not been shown to heighten displacement of lower income households; and (d) the chains of moves resulting from new supply free up both for-sale and rented dwelling units that are then occupied by households across the income spectrum, and provide higher income households with alternatives to the older units for which they might otherwise outbid lower income residents.","container-title":"Housing Policy Debate","DOI":"10.1080/10511482.2024.2418044","ISSN":"1051-1482","issue":"1","note":"_eprint: https://doi.org/10.1080/10511482.2024.2418044","page":"96-113","publisher":"Routledge","source":"Taylor and Francis+NEJM","title":"Supply skepticism revisited","volume":"35","author":[{"family":"Been","given":"Vicki"},{"family":"Ellen","given":"Ingrid Gould"},{"family":"O’Regan","given":"Katherine"}],"issued":{"date-parts":[["2025",1,2]]}},"locator":"100","label":"page"},{"id":9453,"uris":["http://zotero.org/groups/6391232/items/IZFKZBKI"],"itemData":{"id":9453,"type":"report","abstract":"A roundup of recent research that has delved into the neighborhood-level impacts of market-rate housing.","language":"en-US","publisher":"UCLA Lewis Center for Regional Policy Studies","title":"Research roundup: The effect of market-rate development on neighborhood rents","title-short":"Research roundup","URL":"https://lewis.ucla.edu/research/market-rate-development-impacts/","author":[{"family":"Phillips","given":"Shane"},{"family":"Manville","given":"Michael"},{"family":"Lens","given":"Michael"}],"issued":{"date-parts":[["2021"]]}}}],"schema":"https://github.com/citation-style-language/schema/raw/master/csl-citation.json"} </w:instrText>
            </w:r>
            <w:r w:rsidRPr="00976372">
              <w:fldChar w:fldCharType="separate"/>
            </w:r>
            <w:r w:rsidRPr="00976372">
              <w:t>(Been et al. 2025, p. 100; Phillips et al. 2021)</w:t>
            </w:r>
            <w:r w:rsidRPr="00976372">
              <w:fldChar w:fldCharType="end"/>
            </w:r>
            <w:r w:rsidRPr="00976372">
              <w:t>.</w:t>
            </w:r>
          </w:p>
          <w:p w14:paraId="29F58516" w14:textId="4F02743E" w:rsidR="00A450D6" w:rsidRPr="00AF6081" w:rsidRDefault="00A450D6">
            <w:pPr>
              <w:pStyle w:val="Note"/>
            </w:pPr>
            <w:r w:rsidRPr="001F591C">
              <w:rPr>
                <w:b/>
                <w:bCs/>
              </w:rPr>
              <w:t>a.</w:t>
            </w:r>
            <w:r>
              <w:t xml:space="preserve"> </w:t>
            </w:r>
            <w:r w:rsidRPr="00976372">
              <w:t xml:space="preserve">Some studies find more mixed relationships between new supply and prices </w:t>
            </w:r>
            <w:r w:rsidRPr="00976372">
              <w:fldChar w:fldCharType="begin"/>
            </w:r>
            <w:r w:rsidR="008F2F22">
              <w:instrText xml:space="preserve"> ADDIN ZOTERO_ITEM CSL_CITATION {"citationID":"4tj0Cioz","properties":{"unsorted":false,"formattedCitation":"(Garvin\\uc0\\u160{}2026; Murray and Limb\\uc0\\u160{}2023)","plainCitation":"(Garvin 2026; Murray and Limb 2023)","noteIndex":0},"citationItems":[{"id":9601,"uris":["http://zotero.org/groups/6391232/items/SKDMVN4D"],"itemData":{"id":9601,"type":"report","language":"en-US","publisher":"e61 Institute","source":"e61.in","title":"When housing supply hits the market: Apartment presales and Sydney price trends","title-short":"It’s about IP and not IT","URL":"https://e61.in/when-housing-supply-hits-the-market-apartment-presales-and-sydney-price-trends/","author":[{"family":"Garvin","given":"Nicholas"}],"issued":{"date-parts":[["2026"]]}}},{"id":8426,"uris":["http://zotero.org/groups/6391232/items/BFRHXGPU"],"itemData":{"id":8426,"type":"article-journal","abstract":"Does planning for higher density increase housing development and decrease prices? We study nineteen repeatedly upzoned densification areas in Brisbane, Australia. We create a site-level dataset on dwelling stock, planning regulations, and prices, comprising all 25,775 sites in these areas. Only 2% of the zoned capacity was used in any five-year period. Zoned capacity doubled over the twenty-year study period, but 78% of sites with zoned capacity in the first period remained undeveloped. Higher rates of new housing supply are robustly related to higher prices. Zoned capacity has no relationship to price across numerous regression models.","container-title":"Urban Policy and Research","DOI":"10.1080/08111146.2022.2124966","ISSN":"0811-1146","issue":"2","note":"_eprint: https://doi.org/10.1080/08111146.2022.2124966","page":"129-147","publisher":"Routledge","source":"Taylor and Francis+NEJM","title":"We zoned for density and got higher house prices: Supply and price effects of upzoning over 20 years","title-short":"We zoned for density and got higher house prices","volume":"41","author":[{"family":"Murray","given":"Cameron"},{"family":"Limb","given":"Mark"}],"issued":{"date-parts":[["2023",4,3]]}}}],"schema":"https://github.com/citation-style-language/schema/raw/master/csl-citation.json"} </w:instrText>
            </w:r>
            <w:r w:rsidRPr="00976372">
              <w:fldChar w:fldCharType="separate"/>
            </w:r>
            <w:r w:rsidRPr="00976372">
              <w:t>(Garvin 2026; Murray and Limb 2023)</w:t>
            </w:r>
            <w:r w:rsidRPr="00976372">
              <w:fldChar w:fldCharType="end"/>
            </w:r>
            <w:r w:rsidRPr="00976372">
              <w:t>, but we give more weight to studies that estimate the effect of new supply using causal methods and capture long</w:t>
            </w:r>
            <w:r>
              <w:noBreakHyphen/>
            </w:r>
            <w:r w:rsidRPr="00976372">
              <w:t>term city</w:t>
            </w:r>
            <w:r>
              <w:t>-</w:t>
            </w:r>
            <w:r w:rsidRPr="00976372">
              <w:t>wide effects, rather than short</w:t>
            </w:r>
            <w:r>
              <w:noBreakHyphen/>
            </w:r>
            <w:r w:rsidRPr="00976372">
              <w:t>term or local effects.</w:t>
            </w:r>
          </w:p>
        </w:tc>
      </w:tr>
      <w:tr w:rsidR="00A450D6" w14:paraId="44B47F34" w14:textId="77777777">
        <w:trPr>
          <w:hidden/>
        </w:trPr>
        <w:tc>
          <w:tcPr>
            <w:tcW w:w="9638" w:type="dxa"/>
            <w:shd w:val="clear" w:color="auto" w:fill="auto"/>
            <w:tcMar>
              <w:top w:w="0" w:type="dxa"/>
              <w:left w:w="170" w:type="dxa"/>
              <w:bottom w:w="0" w:type="dxa"/>
              <w:right w:w="170" w:type="dxa"/>
            </w:tcMar>
          </w:tcPr>
          <w:p w14:paraId="44A9E49F" w14:textId="4C5BD42D" w:rsidR="00A450D6" w:rsidRPr="00465191" w:rsidRDefault="00A450D6">
            <w:pPr>
              <w:pStyle w:val="BodyText"/>
              <w:spacing w:before="0" w:after="0" w:line="80" w:lineRule="atLeast"/>
              <w:rPr>
                <w:smallCaps/>
                <w:vanish/>
              </w:rPr>
            </w:pPr>
          </w:p>
        </w:tc>
      </w:tr>
    </w:tbl>
    <w:p w14:paraId="5B80C6C1" w14:textId="77777777" w:rsidR="00A450D6" w:rsidRDefault="00A450D6">
      <w:pPr>
        <w:spacing w:before="0" w:after="160" w:line="259" w:lineRule="auto"/>
      </w:pPr>
      <w:r>
        <w:br w:type="page"/>
      </w:r>
    </w:p>
    <w:p w14:paraId="7655C449" w14:textId="6F182EEB" w:rsidR="00A450D6" w:rsidRPr="00762BCE" w:rsidRDefault="00A450D6">
      <w:pPr>
        <w:pStyle w:val="BodyText"/>
      </w:pPr>
      <w:r w:rsidRPr="00976372">
        <w:lastRenderedPageBreak/>
        <w:t xml:space="preserve">When housing </w:t>
      </w:r>
      <w:r>
        <w:t xml:space="preserve">is expensive and choices are limited, </w:t>
      </w:r>
      <w:r w:rsidRPr="00976372">
        <w:t xml:space="preserve">the only affordable options for many may be on urban fringes, </w:t>
      </w:r>
      <w:r>
        <w:t>where</w:t>
      </w:r>
      <w:r w:rsidRPr="00976372">
        <w:t xml:space="preserve"> services, amenity and jobs </w:t>
      </w:r>
      <w:r>
        <w:t xml:space="preserve">are harder to access </w:t>
      </w:r>
      <w:r w:rsidRPr="00976372">
        <w:fldChar w:fldCharType="begin"/>
      </w:r>
      <w:r w:rsidR="008F2F22">
        <w:instrText xml:space="preserve"> ADDIN ZOTERO_ITEM CSL_CITATION {"citationID":"tDkFMzf3","properties":{"unsorted":false,"formattedCitation":"(NGAA\\uc0\\u160{}2024)","plainCitation":"(NGAA 2024)","noteIndex":0},"citationItems":[{"id":9472,"uris":["http://zotero.org/groups/6391232/items/U85KNCDC"],"itemData":{"id":9472,"type":"webpage","title":"Population boom &amp; gloom: infrastructure funding fails fastest growing communities","URL":"https://www.ngaa.org.au/resources/population-boom---gloom-infrastructure-funding-fails-fastest-growing-communities","author":[{"literal":"National Growth Areas Alliance"}],"translator":[{"literal":"NGAA"}],"accessed":{"date-parts":[["2026",6,17]]},"issued":{"date-parts":[["2024",11,22]]}}}],"schema":"https://github.com/citation-style-language/schema/raw/master/csl-citation.json"} </w:instrText>
      </w:r>
      <w:r w:rsidRPr="00976372">
        <w:fldChar w:fldCharType="separate"/>
      </w:r>
      <w:r w:rsidRPr="00976372">
        <w:t>(NGAA 2024)</w:t>
      </w:r>
      <w:r w:rsidRPr="00976372">
        <w:fldChar w:fldCharType="end"/>
      </w:r>
      <w:r w:rsidRPr="00976372">
        <w:t xml:space="preserve">. People living in these locations may </w:t>
      </w:r>
      <w:r>
        <w:t>find it harder to</w:t>
      </w:r>
      <w:r w:rsidRPr="00976372">
        <w:t xml:space="preserve"> a</w:t>
      </w:r>
      <w:r>
        <w:t>c</w:t>
      </w:r>
      <w:r w:rsidRPr="00976372">
        <w:t xml:space="preserve">cess jobs that </w:t>
      </w:r>
      <w:r>
        <w:t>match their skills</w:t>
      </w:r>
      <w:r w:rsidRPr="00976372">
        <w:t xml:space="preserve"> </w:t>
      </w:r>
      <w:r w:rsidRPr="00976372">
        <w:fldChar w:fldCharType="begin"/>
      </w:r>
      <w:r w:rsidR="008F2F22">
        <w:instrText xml:space="preserve"> ADDIN ZOTERO_ITEM CSL_CITATION {"citationID":"RmPSFaUV","properties":{"unsorted":false,"formattedCitation":"(SGS Economics and Planning\\uc0\\u160{}2023, pp.\\uc0\\u160{}15\\uc0\\u8211{}16)","plainCitation":"(SGS Economics and Planning 2023, pp. 15–16)","noteIndex":0},"citationItems":[{"id":9471,"uris":["http://zotero.org/groups/6391232/items/LY6XRJ58"],"itemData":{"id":9471,"type":"report","language":"en","source":"Zotero","title":"Melbourne’s growth management opportunity","URL":"https://1af15960-970d-48bc-b9ec-4c90688663c1.usrfiles.com/ugd/1af159_81696e1438d54a82b672c157c36bbc46.pdf","author":[{"literal":"SGS Economics and Planning"}],"issued":{"date-parts":[["2023",8,16]]}},"locator":"15-16","label":"page"}],"schema":"https://github.com/citation-style-language/schema/raw/master/csl-citation.json"} </w:instrText>
      </w:r>
      <w:r w:rsidRPr="00976372">
        <w:fldChar w:fldCharType="separate"/>
      </w:r>
      <w:r w:rsidRPr="00976372">
        <w:t>(SGS Economics and Planning 2023, pp. 15–16)</w:t>
      </w:r>
      <w:r w:rsidRPr="00976372">
        <w:fldChar w:fldCharType="end"/>
      </w:r>
      <w:r w:rsidRPr="00976372">
        <w:t>, reducing their earning potential</w:t>
      </w:r>
      <w:r>
        <w:t xml:space="preserve"> </w:t>
      </w:r>
      <w:r w:rsidRPr="00976372">
        <w:t>and society’s productivity</w:t>
      </w:r>
      <w:r>
        <w:t>. They may also face</w:t>
      </w:r>
      <w:r w:rsidRPr="00976372">
        <w:t xml:space="preserve"> long commutes which can substantially reduce their wellbeing </w:t>
      </w:r>
      <w:r w:rsidRPr="00976372">
        <w:fldChar w:fldCharType="begin"/>
      </w:r>
      <w:r w:rsidR="008F2F22">
        <w:instrText xml:space="preserve"> ADDIN ZOTERO_ITEM CSL_CITATION {"citationID":"ecEvaV7c","properties":{"unsorted":false,"formattedCitation":"(Han et al.\\uc0\\u160{}2022)","plainCitation":"(Han et al. 2022)","noteIndex":0},"citationItems":[{"id":9470,"uris":["http://zotero.org/groups/6391232/items/6TMYZE7Z"],"itemData":{"id":9470,"type":"article-journal","abstract":"This study examines the effect of commuting time on quality of life. We find that the longer the commute time workers use, the lower satisfaction with work and life they have; the long commute also causes health damage, affecting physical health and causing inactivity. However, better public transportation infrastructure can decrease commuting time, especially the construction of subways.","container-title":"International Journal of Environmental Research and Public Health","DOI":"10.3390/ijerph20010573","ISSN":"1660-4601","issue":"1","journalAbbreviation":"IJERPH","language":"en","page":"573","source":"DOI.org (Crossref)","title":"The effect of commuting time on quality of life: Evidence from china","title-short":"The effect of commuting time on quality of life","volume":"20","author":[{"family":"Han","given":"Libin"},{"family":"Peng","given":"Chong"},{"family":"Xu","given":"Zhenyu"}],"issued":{"date-parts":[["2022",12,29]]}}}],"schema":"https://github.com/citation-style-language/schema/raw/master/csl-citation.json"} </w:instrText>
      </w:r>
      <w:r w:rsidRPr="00976372">
        <w:fldChar w:fldCharType="separate"/>
      </w:r>
      <w:r w:rsidRPr="00976372">
        <w:t>(Han et al. 2022)</w:t>
      </w:r>
      <w:r w:rsidRPr="00976372">
        <w:fldChar w:fldCharType="end"/>
      </w:r>
      <w:r w:rsidRPr="00976372">
        <w:t>.</w:t>
      </w:r>
    </w:p>
    <w:p w14:paraId="53580D1E" w14:textId="244686D3" w:rsidR="00A450D6" w:rsidRPr="00762BCE" w:rsidRDefault="00A450D6">
      <w:pPr>
        <w:pStyle w:val="BodyText"/>
      </w:pPr>
      <w:r>
        <w:t xml:space="preserve">High housing costs also constrain people’s choices in other ways, such as adult children living with their parents for longer, or people forming larger households than would otherwise be their preference </w:t>
      </w:r>
      <w:r>
        <w:fldChar w:fldCharType="begin"/>
      </w:r>
      <w:r w:rsidR="008F2F22">
        <w:instrText xml:space="preserve"> ADDIN ZOTERO_ITEM CSL_CITATION {"citationID":"apzBOGo9","properties":{"unsorted":false,"formattedCitation":"(NHSAC\\uc0\\u160{}2026b, p.\\uc0\\u160{}44)","plainCitation":"(NHSAC 2026b, p. 44)","noteIndex":0},"citationItems":[{"id":8977,"uris":["http://zotero.org/groups/6391232/items/CM8WCMDU"],"itemData":{"id":8977,"type":"report","language":"en","source":"Zotero","title":"State of the Housing System 2026","URL":"https://nhsac.gov.au/sites/nhsac.gov.au/files/2026-04/ar-state-housing-system-2026.pdf","author":[{"literal":"National Housing Supply and Affordability Council"}],"translator":[{"literal":"NHSAC"}],"issued":{"date-parts":[["2026",4,20]]}},"locator":"44","label":"page"}],"schema":"https://github.com/citation-style-language/schema/raw/master/csl-citation.json"} </w:instrText>
      </w:r>
      <w:r>
        <w:fldChar w:fldCharType="separate"/>
      </w:r>
      <w:r w:rsidRPr="00F713B0">
        <w:rPr>
          <w:rFonts w:cs="Open Sans"/>
        </w:rPr>
        <w:t>(NHSAC 2026b, p. 44)</w:t>
      </w:r>
      <w:r>
        <w:fldChar w:fldCharType="end"/>
      </w:r>
      <w:r>
        <w:t>.</w:t>
      </w:r>
    </w:p>
    <w:p w14:paraId="73FC279D" w14:textId="77777777" w:rsidR="00A450D6" w:rsidRPr="00762BCE" w:rsidRDefault="00A450D6">
      <w:pPr>
        <w:pStyle w:val="BodyText"/>
      </w:pPr>
      <w:r>
        <w:t>While housing costs are driven by many factors, one important</w:t>
      </w:r>
      <w:r w:rsidRPr="00762BCE">
        <w:t xml:space="preserve"> answer is to shift policy to make more housing supply available.</w:t>
      </w:r>
    </w:p>
    <w:p w14:paraId="2B88AB92" w14:textId="77777777" w:rsidR="00A450D6" w:rsidRDefault="00A450D6">
      <w:pPr>
        <w:pStyle w:val="Heading3"/>
      </w:pPr>
      <w:r>
        <w:t>Recent supply reforms are welcome, but there is more to do</w:t>
      </w:r>
    </w:p>
    <w:p w14:paraId="352ACB7E" w14:textId="12756D83" w:rsidR="00A450D6" w:rsidRDefault="00A450D6">
      <w:pPr>
        <w:pStyle w:val="BodyText"/>
      </w:pPr>
      <w:r w:rsidRPr="00976372">
        <w:t xml:space="preserve">Australian governments have initiated a raft of reforms to increase </w:t>
      </w:r>
      <w:r>
        <w:t>the</w:t>
      </w:r>
      <w:r w:rsidRPr="00976372">
        <w:t xml:space="preserve"> supply and affordability</w:t>
      </w:r>
      <w:r>
        <w:t xml:space="preserve"> of housing</w:t>
      </w:r>
      <w:r w:rsidRPr="00976372">
        <w:t xml:space="preserve">. Under the </w:t>
      </w:r>
      <w:r w:rsidRPr="008B2AB2">
        <w:rPr>
          <w:i/>
        </w:rPr>
        <w:t>National Housing Accord</w:t>
      </w:r>
      <w:r w:rsidRPr="00976372">
        <w:t xml:space="preserve"> reforms agreed by the National Cabinet, state and territory governments committed to working with the Australian Government to build 1.2 million new homes by the end of the decade </w:t>
      </w:r>
      <w:r w:rsidRPr="00976372">
        <w:fldChar w:fldCharType="begin"/>
      </w:r>
      <w:r w:rsidR="008F2F22">
        <w:instrText xml:space="preserve"> ADDIN ZOTERO_ITEM CSL_CITATION {"citationID":"ZFh4k02o","properties":{"unsorted":false,"formattedCitation":"(Treasury\\uc0\\u160{}2024)","plainCitation":"(Treasury 2024)","noteIndex":0},"citationItems":[{"id":9580,"uris":["http://zotero.org/groups/6391232/items/TTX6VDGR"],"itemData":{"id":9580,"type":"webpage","abstract":"The Australian Government has agreed to a National Housing Accord (Accord) with states and territories, local government, institutional investors and the construction sector.","genre":"text","language":"en","publisher":"Department of the Treasury","title":"Delivering the National Housing Accord | Treasury.gov.au","URL":"https://treasury.gov.au/policy-topics/housing/accord","author":[{"literal":"Australian Government Treasury"}],"translator":[{"literal":"Treasury"}],"accessed":{"date-parts":[["2026",7,2]]},"issued":{"date-parts":[["2024",7,8]]}}}],"schema":"https://github.com/citation-style-language/schema/raw/master/csl-citation.json"} </w:instrText>
      </w:r>
      <w:r w:rsidRPr="00976372">
        <w:fldChar w:fldCharType="separate"/>
      </w:r>
      <w:r w:rsidRPr="00976372">
        <w:t>(Treasury 2024)</w:t>
      </w:r>
      <w:r w:rsidRPr="00976372">
        <w:fldChar w:fldCharType="end"/>
      </w:r>
      <w:r w:rsidRPr="00976372">
        <w:t>. However, progress has been slow. We</w:t>
      </w:r>
      <w:r>
        <w:t xml:space="preserve"> </w:t>
      </w:r>
      <w:r w:rsidRPr="00976372">
        <w:t xml:space="preserve">are forecast to undershoot by 220,000 or more homes by June 2029 </w:t>
      </w:r>
      <w:r w:rsidRPr="00976372">
        <w:fldChar w:fldCharType="begin"/>
      </w:r>
      <w:r w:rsidR="008F2F22">
        <w:instrText xml:space="preserve"> ADDIN ZOTERO_ITEM CSL_CITATION {"citationID":"TaOI3lSU","properties":{"unsorted":false,"formattedCitation":"(NHSAC\\uc0\\u160{}2026b, pp.\\uc0\\u160{}63\\uc0\\u8211{}64)","plainCitation":"(NHSAC 2026b, pp. 63–64)","noteIndex":0},"citationItems":[{"id":8977,"uris":["http://zotero.org/groups/6391232/items/CM8WCMDU"],"itemData":{"id":8977,"type":"report","language":"en","source":"Zotero","title":"State of the Housing System 2026","URL":"https://nhsac.gov.au/sites/nhsac.gov.au/files/2026-04/ar-state-housing-system-2026.pdf","author":[{"literal":"National Housing Supply and Affordability Council"}],"translator":[{"literal":"NHSAC"}],"issued":{"date-parts":[["2026",4,20]]}},"locator":"63-64","label":"page"}],"schema":"https://github.com/citation-style-language/schema/raw/master/csl-citation.json"} </w:instrText>
      </w:r>
      <w:r w:rsidRPr="00976372">
        <w:fldChar w:fldCharType="separate"/>
      </w:r>
      <w:r w:rsidRPr="00976372">
        <w:t>(NHSAC 2026b, pp. 63–64)</w:t>
      </w:r>
      <w:r w:rsidRPr="00976372">
        <w:fldChar w:fldCharType="end"/>
      </w:r>
      <w:r w:rsidRPr="00976372">
        <w:t>.</w:t>
      </w:r>
    </w:p>
    <w:p w14:paraId="45CD773E" w14:textId="32C3BFAC" w:rsidR="00A450D6" w:rsidRPr="008570AC" w:rsidRDefault="00A450D6">
      <w:pPr>
        <w:pStyle w:val="BodyText"/>
      </w:pPr>
      <w:r>
        <w:t xml:space="preserve">Interest rates and the cost of construction have increased since the start of the Accord, partly due to broader economic and geopolitical uncertainty, making many projects less financially feasible </w:t>
      </w:r>
      <w:r w:rsidRPr="00976372">
        <w:fldChar w:fldCharType="begin"/>
      </w:r>
      <w:r w:rsidR="008F2F22">
        <w:instrText xml:space="preserve"> ADDIN ZOTERO_ITEM CSL_CITATION {"citationID":"CwfAH2nh","properties":{"unsorted":false,"formattedCitation":"(Bryant et al.\\uc0\\u160{}2026; Hamilton Bardin\\uc0\\u160{}2026)","plainCitation":"(Bryant et al. 2026; Hamilton Bardin 2026)","noteIndex":0},"citationItems":[{"id":9411,"uris":["http://zotero.org/groups/6391232/items/4ST4MHCA"],"itemData":{"id":9411,"type":"webpage","abstract":"Home builders with fixed price contracts can only absorb so much cost pressure. Research shows which builders were already at most risk, even before the war started.","container-title":"The Conversation","DOI":"10.64628/AA.adfpju9t9","language":"en-AU","note":"DOI: 10.64628/AA.adfpju9t9","title":"Housing construction costs are already rising, increasing risks of builders going bust","URL":"https://theconversation.com/housing-construction-costs-are-already-rising-increasing-risks-of-builders-going-bust-279329","author":[{"family":"Bryant","given":"Lyndall"},{"family":"Bull","given":"Amanda"},{"family":"Streten","given":"Elizabeth"},{"family":"Cheung","given":"Fiona"},{"family":"O'Neill","given":"Morgan"}],"accessed":{"date-parts":[["2026",6,16]]},"issued":{"date-parts":[["2026",4,1]]}}},{"id":9579,"uris":["http://zotero.org/groups/6391232/items/R5LBQK38"],"itemData":{"id":9579,"type":"webpage","abstract":"Interest rates play a crucial role in shaping Melbourne's housing market.","language":"en_US","title":"The impact of interest rates on home building in Melbourne","URL":"https://hamiltonbardin.com.au/the-impact-of-interest-rates-on-home-building-in-melbourne/","author":[{"literal":"Hamilton Bardin"}],"accessed":{"date-parts":[["2026",7,2]]},"issued":{"date-parts":[["2026",1,30]]}}}],"schema":"https://github.com/citation-style-language/schema/raw/master/csl-citation.json"} </w:instrText>
      </w:r>
      <w:r w:rsidRPr="00976372">
        <w:fldChar w:fldCharType="separate"/>
      </w:r>
      <w:r w:rsidRPr="00976372">
        <w:t>(Bryant et al. 2026; Hamilton Bardin 2026)</w:t>
      </w:r>
      <w:r w:rsidRPr="00976372">
        <w:fldChar w:fldCharType="end"/>
      </w:r>
      <w:r w:rsidRPr="00976372">
        <w:t>.</w:t>
      </w:r>
      <w:r>
        <w:t xml:space="preserve"> S</w:t>
      </w:r>
      <w:r w:rsidRPr="00976372">
        <w:t>tates and territories have</w:t>
      </w:r>
      <w:r w:rsidRPr="00976372" w:rsidDel="00997E6F">
        <w:t xml:space="preserve"> </w:t>
      </w:r>
      <w:r w:rsidRPr="00976372">
        <w:t xml:space="preserve">initiated </w:t>
      </w:r>
      <w:r>
        <w:t>welcome</w:t>
      </w:r>
      <w:r w:rsidRPr="00976372">
        <w:t xml:space="preserve"> reforms to planning systems and specific planning policies </w:t>
      </w:r>
      <w:r>
        <w:t>in support of the Accord</w:t>
      </w:r>
      <w:r w:rsidRPr="00976372">
        <w:t xml:space="preserve"> </w:t>
      </w:r>
      <w:r w:rsidRPr="00976372">
        <w:fldChar w:fldCharType="begin"/>
      </w:r>
      <w:r w:rsidR="008F2F22">
        <w:instrText xml:space="preserve"> ADDIN ZOTERO_ITEM CSL_CITATION {"citationID":"Qh8Ff1Q1","properties":{"unsorted":false,"formattedCitation":"(NHSAC\\uc0\\u160{}2026a)","plainCitation":"(NHSAC 2026a)","noteIndex":0},"citationItems":[{"id":9413,"uris":["http://zotero.org/groups/6391232/items/4RA86YQP"],"itemData":{"id":9413,"type":"webpage","abstract":"The National Housing Supply and Affordability Council (Council) has released its first Quarterly Report. It shows how Australia is progressing towards the National Housing Accord target.Under the National Housing Accord, all levels of government agreed to an ambitious target to build 1.2 million new homes over 5 years to June 2029.","genre":"Text","language":"en","publisher":"National Housing Supply and Affordability Council","title":"Quarterly Report – March 2026","URL":"https://nhsac.gov.au/reports-and-submissions/quarterly-report-march-2026","author":[{"literal":"National Housing Supply and Affordability Council"}],"translator":[{"literal":"NHSAC"}],"accessed":{"date-parts":[["2026",6,16]]},"issued":{"date-parts":[["2026",3,25]]}}}],"schema":"https://github.com/citation-style-language/schema/raw/master/csl-citation.json"} </w:instrText>
      </w:r>
      <w:r w:rsidRPr="00976372">
        <w:fldChar w:fldCharType="separate"/>
      </w:r>
      <w:r w:rsidRPr="00976372">
        <w:t>(NHSAC 2026a)</w:t>
      </w:r>
      <w:r w:rsidRPr="00976372">
        <w:fldChar w:fldCharType="end"/>
      </w:r>
      <w:r w:rsidRPr="00976372">
        <w:t xml:space="preserve">, </w:t>
      </w:r>
      <w:r>
        <w:t xml:space="preserve">but </w:t>
      </w:r>
      <w:r w:rsidRPr="00976372">
        <w:t xml:space="preserve">in most cases </w:t>
      </w:r>
      <w:r>
        <w:t xml:space="preserve">these </w:t>
      </w:r>
      <w:r w:rsidRPr="00976372">
        <w:t xml:space="preserve">reforms do not go far enough. </w:t>
      </w:r>
    </w:p>
    <w:p w14:paraId="76645086" w14:textId="77777777" w:rsidR="00A450D6" w:rsidRDefault="00A450D6">
      <w:pPr>
        <w:pStyle w:val="Heading2-nonumber"/>
      </w:pPr>
      <w:bookmarkStart w:id="11" w:name="_Toc235103137"/>
      <w:r>
        <w:t>Reforming regulation to build more homes, faster</w:t>
      </w:r>
      <w:bookmarkEnd w:id="11"/>
    </w:p>
    <w:p w14:paraId="01721E11" w14:textId="77777777" w:rsidR="00A450D6" w:rsidRDefault="00A450D6">
      <w:pPr>
        <w:pStyle w:val="BodyText"/>
      </w:pPr>
      <w:r>
        <w:t>Governments cannot control every factor affecting housing supply, but policy reform will make a difference over time. One of the key levers for governments is regulation.</w:t>
      </w:r>
    </w:p>
    <w:p w14:paraId="11F82F8C" w14:textId="77777777" w:rsidR="00A450D6" w:rsidRDefault="00A450D6">
      <w:pPr>
        <w:pStyle w:val="BodyText"/>
      </w:pPr>
      <w:r>
        <w:t>Federal, state, territory and local governments all play a role in determining how much housing can be built by setting regulations that affect how land can be used for housing, and what kind of housing is allowed to be built.</w:t>
      </w:r>
    </w:p>
    <w:p w14:paraId="7944B844" w14:textId="60B221B3" w:rsidR="00A450D6" w:rsidRDefault="00A450D6">
      <w:pPr>
        <w:pStyle w:val="BodyText"/>
      </w:pPr>
      <w:r w:rsidRPr="00976372">
        <w:t xml:space="preserve">Regulatory settings broadly affect housing supply through two mechanisms </w:t>
      </w:r>
      <w:r w:rsidRPr="00976372">
        <w:fldChar w:fldCharType="begin"/>
      </w:r>
      <w:r w:rsidR="008F2F22">
        <w:instrText xml:space="preserve"> ADDIN ZOTERO_ITEM CSL_CITATION {"citationID":"7W7qGZGZ","properties":{"unsorted":false,"formattedCitation":"(Maltman\\uc0\\u160{}2025)","plainCitation":"(Maltman 2025)","noteIndex":0},"citationItems":[{"id":9156,"uris":["http://zotero.org/groups/6391232/items/Q8IT8Y94"],"itemData":{"id":9156,"type":"webpage","abstract":"To maximise the impact of supply-side policy, reform should focus on bans over burdens, and markets over individual firms.","language":"en","publisher":"Inflection Points","title":"Best practice for supply-side reform","URL":"https://inflectionpoints.work/articles/best-practice-for-supply-side-reform","author":[{"family":"Maltman","given":"Matthew"}],"accessed":{"date-parts":[["2026",5,20]]},"issued":{"date-parts":[["2025",11]]}}}],"schema":"https://github.com/citation-style-language/schema/raw/master/csl-citation.json"} </w:instrText>
      </w:r>
      <w:r w:rsidRPr="00976372">
        <w:fldChar w:fldCharType="separate"/>
      </w:r>
      <w:r w:rsidRPr="00976372">
        <w:t>(Maltman 2025)</w:t>
      </w:r>
      <w:r w:rsidRPr="00976372">
        <w:fldChar w:fldCharType="end"/>
      </w:r>
      <w:r>
        <w:t>:</w:t>
      </w:r>
    </w:p>
    <w:p w14:paraId="5C5E0D10" w14:textId="77777777" w:rsidR="00A450D6" w:rsidRDefault="00A450D6" w:rsidP="00E11D04">
      <w:pPr>
        <w:pStyle w:val="ListBullet"/>
      </w:pPr>
      <w:r>
        <w:t>They stop certain housing development occurring (regulatory bans). This commonly occurs in land</w:t>
      </w:r>
      <w:r>
        <w:noBreakHyphen/>
        <w:t>use controls – the rules that set where housing can be built, and what form it can take.</w:t>
      </w:r>
    </w:p>
    <w:p w14:paraId="1F2806E4" w14:textId="77777777" w:rsidR="00A450D6" w:rsidRPr="00DC50B5" w:rsidRDefault="00A450D6" w:rsidP="00E11D04">
      <w:pPr>
        <w:pStyle w:val="ListBullet"/>
      </w:pPr>
      <w:r>
        <w:rPr>
          <w:rFonts w:cstheme="minorHAnsi"/>
        </w:rPr>
        <w:t xml:space="preserve">They can impede development by making it slower or more costly </w:t>
      </w:r>
      <w:r>
        <w:t>(regulatory burdens). Regulatory burdens often arise from slow, burdensome or cumbersome approvals processes, or where regulatory settings act as a bottleneck to connecting new housing developments to essential supporting infrastructure.</w:t>
      </w:r>
    </w:p>
    <w:p w14:paraId="5D9D17C4" w14:textId="77777777" w:rsidR="00A450D6" w:rsidRDefault="00A450D6">
      <w:pPr>
        <w:pStyle w:val="BodyText"/>
      </w:pPr>
      <w:r>
        <w:t>The interaction between regulatory requirements also affects housing supply. Multiple sets of controls can create ‘thickets’ of regulatory requirements and restrictions that impede development or limit the type and number of dwellings that can be built on a parcel of land.</w:t>
      </w:r>
    </w:p>
    <w:p w14:paraId="6EA5AA38" w14:textId="77777777" w:rsidR="00A450D6" w:rsidRDefault="00A450D6">
      <w:pPr>
        <w:pStyle w:val="Heading3"/>
      </w:pPr>
      <w:r>
        <w:lastRenderedPageBreak/>
        <w:t>This inquiry will identify ways to improve housing regulation</w:t>
      </w:r>
    </w:p>
    <w:p w14:paraId="64801563" w14:textId="77777777" w:rsidR="00A450D6" w:rsidRPr="00B3201F" w:rsidRDefault="00A450D6">
      <w:pPr>
        <w:pStyle w:val="BodyText"/>
        <w:rPr>
          <w:b/>
        </w:rPr>
      </w:pPr>
      <w:r>
        <w:t xml:space="preserve">The Australian Government has asked the PC to undertake an inquiry into the rules and </w:t>
      </w:r>
      <w:r w:rsidRPr="00305E9D">
        <w:t xml:space="preserve">regulations </w:t>
      </w:r>
      <w:r>
        <w:t xml:space="preserve">that impact </w:t>
      </w:r>
      <w:r w:rsidRPr="00305E9D">
        <w:t>housing supply</w:t>
      </w:r>
      <w:r>
        <w:t>. T</w:t>
      </w:r>
      <w:r w:rsidRPr="00C553E0">
        <w:t>he</w:t>
      </w:r>
      <w:r>
        <w:t>y have asked us to identify examples of regulations that most affect housing supply, housing affordability and construction productivity, and propose prioritised reforms to enhance supply and build more homes quickly.</w:t>
      </w:r>
    </w:p>
    <w:p w14:paraId="20C1584D" w14:textId="77777777" w:rsidR="00A450D6" w:rsidRDefault="00A450D6">
      <w:pPr>
        <w:pStyle w:val="Heading4"/>
      </w:pPr>
      <w:r>
        <w:t>Best practice for housing regulatory systems</w:t>
      </w:r>
    </w:p>
    <w:p w14:paraId="34653394" w14:textId="77777777" w:rsidR="00A450D6" w:rsidRDefault="00A450D6">
      <w:pPr>
        <w:pStyle w:val="BodyText"/>
      </w:pPr>
      <w:r>
        <w:t>The government has asked the PC to assess recent reform efforts against features of a ‘best</w:t>
      </w:r>
      <w:r>
        <w:noBreakHyphen/>
        <w:t xml:space="preserve">practice regulatory system’ for </w:t>
      </w:r>
      <w:proofErr w:type="gramStart"/>
      <w:r>
        <w:t>housing, and</w:t>
      </w:r>
      <w:proofErr w:type="gramEnd"/>
      <w:r>
        <w:t xml:space="preserve"> identify opportunities for the next stage of reforms.</w:t>
      </w:r>
    </w:p>
    <w:p w14:paraId="297871AF" w14:textId="77777777" w:rsidR="00A450D6" w:rsidRDefault="00A450D6">
      <w:pPr>
        <w:pStyle w:val="BodyText"/>
      </w:pPr>
      <w:r w:rsidRPr="00643B9A">
        <w:t xml:space="preserve">The goal of the inquiry is not to strip away ‘red tape’ for the sake of </w:t>
      </w:r>
      <w:r>
        <w:t>it</w:t>
      </w:r>
      <w:r w:rsidRPr="00643B9A">
        <w:t xml:space="preserve">. Instead, we are </w:t>
      </w:r>
      <w:r>
        <w:t xml:space="preserve">focusing on </w:t>
      </w:r>
      <w:r w:rsidRPr="00643B9A">
        <w:t xml:space="preserve">areas where housing regulation can be made less limiting </w:t>
      </w:r>
      <w:r>
        <w:t>to provide a</w:t>
      </w:r>
      <w:r w:rsidRPr="00643B9A">
        <w:t xml:space="preserve"> net benefit, and where efficiencies can be found without compromising important regulatory outcomes.</w:t>
      </w:r>
    </w:p>
    <w:p w14:paraId="0CAE13E7" w14:textId="77777777" w:rsidR="00A450D6" w:rsidRPr="00AE291D" w:rsidRDefault="00A450D6">
      <w:pPr>
        <w:pStyle w:val="BodyText"/>
        <w:rPr>
          <w:spacing w:val="-2"/>
        </w:rPr>
      </w:pPr>
      <w:r w:rsidRPr="00AE291D">
        <w:rPr>
          <w:spacing w:val="-2"/>
        </w:rPr>
        <w:t>To guide our consideration of reform directions for this inquiry, the PC has identified an objective and principles for best practice housing regulation. This will help ensure our recommendations balance housing outcomes with other important goals, including economic prosperity, safety, social welfare, equity, climate change adaptation, and cultural and environmental preservation (figure 2). Chapter 1 of this report explains the reasons for the objective and principles, and how they can be applied in practice.</w:t>
      </w:r>
    </w:p>
    <w:p w14:paraId="0D3E49C8" w14:textId="77777777" w:rsidR="00A450D6" w:rsidRPr="00146382" w:rsidRDefault="00A450D6">
      <w:pPr>
        <w:pStyle w:val="FigureTableHeading"/>
      </w:pPr>
      <w:r>
        <w:t>Figure 2</w:t>
      </w:r>
      <w:r>
        <w:rPr>
          <w:noProof/>
        </w:rPr>
        <w:t xml:space="preserve"> </w:t>
      </w:r>
      <w:r>
        <w:t>– Principles for best practice housing regulation</w:t>
      </w:r>
    </w:p>
    <w:p w14:paraId="29A12E5D" w14:textId="14B30EAC" w:rsidR="00A450D6" w:rsidRPr="007440FF" w:rsidRDefault="00AE2980" w:rsidP="007440FF">
      <w:pPr>
        <w:pStyle w:val="BodyText"/>
      </w:pPr>
      <w:r w:rsidRPr="00AE2980">
        <w:rPr>
          <w:noProof/>
        </w:rPr>
        <w:drawing>
          <wp:inline distT="0" distB="0" distL="0" distR="0" wp14:anchorId="4EE4F685" wp14:editId="4EDBEF57">
            <wp:extent cx="6120130" cy="4101465"/>
            <wp:effectExtent l="0" t="0" r="0" b="0"/>
            <wp:docPr id="1936309757" name="Picture 5"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9757" name="Picture 5"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101465"/>
                    </a:xfrm>
                    <a:prstGeom prst="rect">
                      <a:avLst/>
                    </a:prstGeom>
                    <a:noFill/>
                    <a:ln>
                      <a:noFill/>
                    </a:ln>
                  </pic:spPr>
                </pic:pic>
              </a:graphicData>
            </a:graphic>
          </wp:inline>
        </w:drawing>
      </w:r>
    </w:p>
    <w:p w14:paraId="277C5BCF" w14:textId="77777777" w:rsidR="00A450D6" w:rsidRDefault="00A450D6">
      <w:pPr>
        <w:pStyle w:val="Heading3"/>
      </w:pPr>
      <w:r>
        <w:lastRenderedPageBreak/>
        <w:t>Targeted reform can improve housing supply</w:t>
      </w:r>
    </w:p>
    <w:p w14:paraId="68DAEC9D" w14:textId="77777777" w:rsidR="00A450D6" w:rsidRDefault="00A450D6">
      <w:pPr>
        <w:pStyle w:val="BodyText"/>
      </w:pPr>
      <w:r>
        <w:t>Our reform directions in this report are based on our review of the existing literature and initial consultation. We have prioritised reform directions that are likely to have the greatest effect on housing supply, based on the evidence we have to date. We seek feedback on these directions, noting that further quantitative work and consultation will inform the recommendations in our final report.</w:t>
      </w:r>
    </w:p>
    <w:p w14:paraId="31B429C3" w14:textId="77777777" w:rsidR="00A450D6" w:rsidRDefault="00A450D6">
      <w:pPr>
        <w:pStyle w:val="Heading4"/>
      </w:pPr>
      <w:r>
        <w:t>Relax land</w:t>
      </w:r>
      <w:r>
        <w:noBreakHyphen/>
        <w:t>use rules where people want to live</w:t>
      </w:r>
    </w:p>
    <w:p w14:paraId="67B2F8CD" w14:textId="50954B81" w:rsidR="00A450D6" w:rsidRDefault="00A450D6">
      <w:pPr>
        <w:pStyle w:val="BodyText"/>
      </w:pPr>
      <w:r w:rsidRPr="006F2D22">
        <w:t>Land</w:t>
      </w:r>
      <w:r>
        <w:noBreakHyphen/>
      </w:r>
      <w:r w:rsidRPr="006F2D22">
        <w:t>use controls include requirements about where people can and can’t buil</w:t>
      </w:r>
      <w:r>
        <w:t>d</w:t>
      </w:r>
      <w:r w:rsidRPr="006F2D22">
        <w:t xml:space="preserve"> housing (zoning), and the design and built form requirements for new homes. These controls provide protections for households and neighbourhoods – particularly where development would impose significant social, cultural, </w:t>
      </w:r>
      <w:r>
        <w:t xml:space="preserve">climate resilience </w:t>
      </w:r>
      <w:r w:rsidRPr="006F2D22">
        <w:t>or environmental costs. At the same time, land</w:t>
      </w:r>
      <w:r>
        <w:noBreakHyphen/>
      </w:r>
      <w:r w:rsidRPr="006F2D22">
        <w:t xml:space="preserve">use controls often impose binding constraints on new development, </w:t>
      </w:r>
      <w:r>
        <w:t>limiting the supply of new housing, even when prices (and hence incentives for development) are high</w:t>
      </w:r>
      <w:r w:rsidRPr="006F2D22">
        <w:t xml:space="preserve">. </w:t>
      </w:r>
      <w:r>
        <w:t>For example,</w:t>
      </w:r>
      <w:r w:rsidRPr="006F2D22">
        <w:t xml:space="preserve"> </w:t>
      </w:r>
      <w:r>
        <w:t xml:space="preserve">heritage protections cover at least 50% of residential land in 50 suburbs across greater Sydney </w:t>
      </w:r>
      <w:r w:rsidRPr="00976372">
        <w:fldChar w:fldCharType="begin"/>
      </w:r>
      <w:r w:rsidR="008F2F22">
        <w:instrText xml:space="preserve"> ADDIN ZOTERO_ITEM CSL_CITATION {"citationID":"a9giA4rX","properties":{"unsorted":false,"formattedCitation":"(NSW PEC\\uc0\\u160{}2024b, p.\\uc0\\u160{}42)","plainCitation":"(NSW PEC 2024b, p. 42)","noteIndex":0},"citationItems":[{"id":8902,"uris":["http://zotero.org/groups/6391232/items/LRDV7F9M"],"itemData":{"id":8902,"type":"report","title":"What we gain by building more homes in the right places","URL":"https://www.nsw.gov.au/sites/default/files/noindex/2025-09/nsw-pec-what-we-gain-by-building-more-homes-in-the-right-places.pdf","author":[{"family":"New South Wales Productivity and Equality Commission","given":""}],"translator":[{"family":"NSW PEC","given":""}],"issued":{"date-parts":[["2024"]]}},"locator":"42","label":"page"}],"schema":"https://github.com/citation-style-language/schema/raw/master/csl-citation.json"} </w:instrText>
      </w:r>
      <w:r w:rsidRPr="00976372">
        <w:fldChar w:fldCharType="separate"/>
      </w:r>
      <w:r w:rsidR="00877EF9" w:rsidRPr="00877EF9">
        <w:rPr>
          <w:rFonts w:cs="Open Sans"/>
        </w:rPr>
        <w:t>(NSW PEC 2024b, p. 42)</w:t>
      </w:r>
      <w:r w:rsidRPr="00976372">
        <w:fldChar w:fldCharType="end"/>
      </w:r>
      <w:r>
        <w:t>.</w:t>
      </w:r>
    </w:p>
    <w:p w14:paraId="57FFBDF1" w14:textId="77777777" w:rsidR="00A450D6" w:rsidRDefault="00A450D6">
      <w:pPr>
        <w:pStyle w:val="BodyText"/>
      </w:pPr>
      <w:r w:rsidRPr="003324FF">
        <w:t>Chapter</w:t>
      </w:r>
      <w:r>
        <w:t> </w:t>
      </w:r>
      <w:r w:rsidRPr="00517DDD">
        <w:t>2 of this report examines how land</w:t>
      </w:r>
      <w:r>
        <w:noBreakHyphen/>
      </w:r>
      <w:r w:rsidRPr="00517DDD">
        <w:t xml:space="preserve">use regulations </w:t>
      </w:r>
      <w:r>
        <w:t>can block new development or make it commercially unfeasible.</w:t>
      </w:r>
      <w:r w:rsidRPr="00517DDD">
        <w:t xml:space="preserve"> We examine which controls most constrain supply, and where the benefits of relaxing controls</w:t>
      </w:r>
      <w:r>
        <w:t xml:space="preserve"> within our cities (infill) and at their margins (greenfield sites) exceed the downsides of development.</w:t>
      </w:r>
    </w:p>
    <w:p w14:paraId="0926AEDB" w14:textId="77777777" w:rsidR="00A450D6" w:rsidRDefault="00A450D6">
      <w:pPr>
        <w:pStyle w:val="BodyText"/>
      </w:pPr>
      <w:r>
        <w:t>Our priority reform directions are:</w:t>
      </w:r>
    </w:p>
    <w:p w14:paraId="2C0EB50B" w14:textId="460F0738"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30F85287" w14:textId="77777777">
        <w:trPr>
          <w:tblHeader/>
        </w:trPr>
        <w:tc>
          <w:tcPr>
            <w:tcW w:w="713" w:type="dxa"/>
            <w:shd w:val="clear" w:color="auto" w:fill="E7F6FD"/>
            <w:tcMar>
              <w:top w:w="0" w:type="dxa"/>
              <w:bottom w:w="0" w:type="dxa"/>
            </w:tcMar>
            <w:vAlign w:val="center"/>
          </w:tcPr>
          <w:p w14:paraId="4B442449" w14:textId="77777777" w:rsidR="00A450D6" w:rsidRDefault="00A450D6">
            <w:pPr>
              <w:keepLines/>
              <w:jc w:val="center"/>
            </w:pPr>
            <w:r w:rsidRPr="00A51374">
              <w:rPr>
                <w:noProof/>
              </w:rPr>
              <w:drawing>
                <wp:inline distT="0" distB="0" distL="0" distR="0" wp14:anchorId="6F4CFC07" wp14:editId="776D8EDA">
                  <wp:extent cx="288000" cy="288000"/>
                  <wp:effectExtent l="0" t="0" r="0" b="0"/>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030F4B1" w14:textId="62478773" w:rsidR="00A450D6" w:rsidRPr="00715040" w:rsidRDefault="00A450D6">
            <w:pPr>
              <w:pStyle w:val="FindingRecRequesttitle"/>
            </w:pPr>
            <w:r w:rsidRPr="00715040">
              <w:t>Re</w:t>
            </w:r>
            <w:r>
              <w:t>form direction</w:t>
            </w:r>
            <w:r w:rsidRPr="00715040">
              <w:t xml:space="preserve"> </w:t>
            </w:r>
            <w:r>
              <w:t>2</w:t>
            </w:r>
            <w:r w:rsidRPr="00715040">
              <w:t>.</w:t>
            </w:r>
            <w:r>
              <w:fldChar w:fldCharType="begin"/>
            </w:r>
            <w:r>
              <w:instrText>SEQ Recommendation \* ARABIC \s 1</w:instrText>
            </w:r>
            <w:r>
              <w:fldChar w:fldCharType="separate"/>
            </w:r>
            <w:r w:rsidR="00CB06D8">
              <w:rPr>
                <w:noProof/>
              </w:rPr>
              <w:t>1</w:t>
            </w:r>
            <w:r>
              <w:fldChar w:fldCharType="end"/>
            </w:r>
          </w:p>
          <w:p w14:paraId="4127DA8E" w14:textId="77777777" w:rsidR="00A450D6" w:rsidRPr="00715040" w:rsidRDefault="00A450D6">
            <w:pPr>
              <w:pStyle w:val="FindingRecRequesttitle"/>
            </w:pPr>
            <w:r w:rsidRPr="0008600B">
              <w:t xml:space="preserve">Allow up to </w:t>
            </w:r>
            <w:r>
              <w:t>3</w:t>
            </w:r>
            <w:r>
              <w:noBreakHyphen/>
            </w:r>
            <w:r w:rsidRPr="0008600B">
              <w:t>storey developments across most residential land</w:t>
            </w:r>
          </w:p>
        </w:tc>
      </w:tr>
      <w:tr w:rsidR="00A450D6" w14:paraId="526B8FC4" w14:textId="77777777">
        <w:tc>
          <w:tcPr>
            <w:tcW w:w="9638" w:type="dxa"/>
            <w:gridSpan w:val="2"/>
            <w:shd w:val="clear" w:color="auto" w:fill="E7F6FD"/>
            <w:tcMar>
              <w:top w:w="0" w:type="dxa"/>
            </w:tcMar>
          </w:tcPr>
          <w:p w14:paraId="4182CFD2" w14:textId="77777777" w:rsidR="00A450D6" w:rsidRPr="00767EAE" w:rsidRDefault="00A450D6">
            <w:pPr>
              <w:pStyle w:val="BodyText"/>
            </w:pPr>
            <w:r>
              <w:t>State and territory governments should allow up to 3</w:t>
            </w:r>
            <w:r>
              <w:noBreakHyphen/>
              <w:t>storey developments across all residential land, with exceptions made for areas with environmental protection, hazard</w:t>
            </w:r>
            <w:r>
              <w:noBreakHyphen/>
              <w:t>related overlays or heritage listed buildings only where the benefits of exceptions outweigh the costs.</w:t>
            </w:r>
          </w:p>
        </w:tc>
      </w:tr>
      <w:tr w:rsidR="00A450D6" w14:paraId="11372D43" w14:textId="77777777">
        <w:trPr>
          <w:trHeight w:val="93"/>
        </w:trPr>
        <w:tc>
          <w:tcPr>
            <w:tcW w:w="9638" w:type="dxa"/>
            <w:gridSpan w:val="2"/>
            <w:shd w:val="clear" w:color="auto" w:fill="auto"/>
            <w:tcMar>
              <w:top w:w="0" w:type="dxa"/>
              <w:bottom w:w="0" w:type="dxa"/>
            </w:tcMar>
          </w:tcPr>
          <w:p w14:paraId="0377424D" w14:textId="4994D9F7" w:rsidR="00A450D6" w:rsidRPr="007E0EA8" w:rsidRDefault="00A450D6">
            <w:pPr>
              <w:pStyle w:val="NoSpacing"/>
              <w:spacing w:line="200" w:lineRule="exact"/>
            </w:pPr>
          </w:p>
        </w:tc>
      </w:tr>
    </w:tbl>
    <w:p w14:paraId="0CD01A0A" w14:textId="76DBDD48"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47093332" w14:textId="77777777">
        <w:trPr>
          <w:tblHeader/>
        </w:trPr>
        <w:tc>
          <w:tcPr>
            <w:tcW w:w="713" w:type="dxa"/>
            <w:shd w:val="clear" w:color="auto" w:fill="E7F6FD"/>
            <w:tcMar>
              <w:top w:w="0" w:type="dxa"/>
              <w:bottom w:w="0" w:type="dxa"/>
            </w:tcMar>
            <w:vAlign w:val="center"/>
          </w:tcPr>
          <w:p w14:paraId="2683BC0A" w14:textId="77777777" w:rsidR="00A450D6" w:rsidRDefault="00A450D6">
            <w:pPr>
              <w:keepLines/>
              <w:jc w:val="center"/>
            </w:pPr>
            <w:r w:rsidRPr="00A51374">
              <w:rPr>
                <w:noProof/>
              </w:rPr>
              <w:drawing>
                <wp:inline distT="0" distB="0" distL="0" distR="0" wp14:anchorId="410E3A34" wp14:editId="59DBC437">
                  <wp:extent cx="288000" cy="288000"/>
                  <wp:effectExtent l="0" t="0" r="0" b="0"/>
                  <wp:docPr id="2120260852" name="Graphic 21202608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6D18D46" w14:textId="77777777" w:rsidR="00A450D6" w:rsidRPr="00715040" w:rsidRDefault="00A450D6">
            <w:pPr>
              <w:pStyle w:val="FindingRecRequesttitle"/>
            </w:pPr>
            <w:r w:rsidRPr="00715040">
              <w:t>Re</w:t>
            </w:r>
            <w:r>
              <w:t>form direction 2.2</w:t>
            </w:r>
          </w:p>
          <w:p w14:paraId="50256E67" w14:textId="77777777" w:rsidR="00A450D6" w:rsidRPr="00715040" w:rsidRDefault="00A450D6">
            <w:pPr>
              <w:pStyle w:val="FindingRecRequesttitle"/>
            </w:pPr>
            <w:r w:rsidRPr="0008600B">
              <w:t>Allow mid</w:t>
            </w:r>
            <w:r>
              <w:noBreakHyphen/>
            </w:r>
            <w:r w:rsidRPr="0008600B">
              <w:t>rise or high</w:t>
            </w:r>
            <w:r>
              <w:noBreakHyphen/>
            </w:r>
            <w:r w:rsidRPr="0008600B">
              <w:t>rise apartments in high</w:t>
            </w:r>
            <w:r>
              <w:noBreakHyphen/>
            </w:r>
            <w:r w:rsidRPr="0008600B">
              <w:t>demand areas</w:t>
            </w:r>
          </w:p>
        </w:tc>
      </w:tr>
      <w:tr w:rsidR="00A450D6" w14:paraId="11C0594D" w14:textId="77777777">
        <w:tc>
          <w:tcPr>
            <w:tcW w:w="9638" w:type="dxa"/>
            <w:gridSpan w:val="2"/>
            <w:shd w:val="clear" w:color="auto" w:fill="E7F6FD"/>
            <w:tcMar>
              <w:top w:w="0" w:type="dxa"/>
            </w:tcMar>
          </w:tcPr>
          <w:p w14:paraId="46FDCD78" w14:textId="0E581BA9" w:rsidR="00A450D6" w:rsidRPr="00767EAE" w:rsidRDefault="00A450D6">
            <w:pPr>
              <w:pStyle w:val="BodyText"/>
            </w:pPr>
            <w:r>
              <w:t>State, territory and local governments should update planning schemes to allow mid</w:t>
            </w:r>
            <w:r>
              <w:noBreakHyphen/>
              <w:t xml:space="preserve">rise </w:t>
            </w:r>
            <w:r w:rsidR="00816C30">
              <w:br/>
            </w:r>
            <w:r>
              <w:t>(</w:t>
            </w:r>
            <w:r w:rsidRPr="00F11DB0">
              <w:t>4</w:t>
            </w:r>
            <w:r w:rsidR="00816C30">
              <w:t>–</w:t>
            </w:r>
            <w:r w:rsidRPr="00F11DB0">
              <w:t>9 storeys</w:t>
            </w:r>
            <w:r>
              <w:t>) and/or high</w:t>
            </w:r>
            <w:r>
              <w:noBreakHyphen/>
              <w:t>rise (10+ storeys) apartments in high</w:t>
            </w:r>
            <w:r>
              <w:noBreakHyphen/>
              <w:t xml:space="preserve">demand areas </w:t>
            </w:r>
            <w:r w:rsidRPr="00990F44">
              <w:t>with existing or readily expandable transportation infrastructure</w:t>
            </w:r>
            <w:r>
              <w:t>. This will require changes to a variety of land</w:t>
            </w:r>
            <w:r>
              <w:noBreakHyphen/>
              <w:t>use controls which will vary by local government area and/or state and should be implemented in conjunction with reform direction 2.6.</w:t>
            </w:r>
          </w:p>
        </w:tc>
      </w:tr>
      <w:tr w:rsidR="00A450D6" w14:paraId="656D0F2C" w14:textId="77777777">
        <w:tc>
          <w:tcPr>
            <w:tcW w:w="9638" w:type="dxa"/>
            <w:gridSpan w:val="2"/>
            <w:shd w:val="clear" w:color="auto" w:fill="auto"/>
            <w:tcMar>
              <w:top w:w="0" w:type="dxa"/>
              <w:bottom w:w="0" w:type="dxa"/>
            </w:tcMar>
          </w:tcPr>
          <w:p w14:paraId="1B2E973F" w14:textId="6BC50F03" w:rsidR="00A450D6" w:rsidRPr="007E0EA8" w:rsidRDefault="00A450D6">
            <w:pPr>
              <w:pStyle w:val="NoSpacing"/>
              <w:spacing w:line="200" w:lineRule="exact"/>
            </w:pPr>
          </w:p>
        </w:tc>
      </w:tr>
    </w:tbl>
    <w:p w14:paraId="23EBE92C" w14:textId="348E8E65"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294BCF5D" w14:textId="77777777">
        <w:trPr>
          <w:tblHeader/>
        </w:trPr>
        <w:tc>
          <w:tcPr>
            <w:tcW w:w="709" w:type="dxa"/>
            <w:shd w:val="clear" w:color="auto" w:fill="E7F6FD"/>
            <w:tcMar>
              <w:top w:w="0" w:type="dxa"/>
              <w:bottom w:w="0" w:type="dxa"/>
            </w:tcMar>
            <w:vAlign w:val="center"/>
          </w:tcPr>
          <w:p w14:paraId="2C5CFCD3" w14:textId="77777777" w:rsidR="00A450D6" w:rsidRDefault="00A450D6">
            <w:pPr>
              <w:keepLines/>
              <w:jc w:val="center"/>
            </w:pPr>
            <w:r w:rsidRPr="00A51374">
              <w:rPr>
                <w:noProof/>
              </w:rPr>
              <w:lastRenderedPageBreak/>
              <w:drawing>
                <wp:inline distT="0" distB="0" distL="0" distR="0" wp14:anchorId="5F035E53" wp14:editId="1F468905">
                  <wp:extent cx="288000" cy="288000"/>
                  <wp:effectExtent l="0" t="0" r="0" b="0"/>
                  <wp:docPr id="922927184" name="Graphic 922927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065BFB34" w14:textId="77777777" w:rsidR="00A450D6" w:rsidRPr="00715040" w:rsidRDefault="00A450D6">
            <w:pPr>
              <w:pStyle w:val="FindingRecRequesttitle"/>
            </w:pPr>
            <w:r>
              <w:t xml:space="preserve">Reform direction 2.3 </w:t>
            </w:r>
          </w:p>
          <w:p w14:paraId="11C0B77C" w14:textId="77777777" w:rsidR="00A450D6" w:rsidRPr="00715040" w:rsidRDefault="00A450D6">
            <w:pPr>
              <w:pStyle w:val="FindingRecRequesttitle"/>
            </w:pPr>
            <w:r w:rsidRPr="0008600B">
              <w:t xml:space="preserve">Reduce </w:t>
            </w:r>
            <w:r w:rsidRPr="005D7DB5">
              <w:t>or remove</w:t>
            </w:r>
            <w:r>
              <w:t xml:space="preserve"> </w:t>
            </w:r>
            <w:r w:rsidRPr="0008600B">
              <w:t>minimum lot size requirements</w:t>
            </w:r>
          </w:p>
        </w:tc>
      </w:tr>
      <w:tr w:rsidR="00A450D6" w14:paraId="401A59CF" w14:textId="77777777">
        <w:tc>
          <w:tcPr>
            <w:tcW w:w="9583" w:type="dxa"/>
            <w:gridSpan w:val="2"/>
            <w:shd w:val="clear" w:color="auto" w:fill="E7F6FD"/>
            <w:tcMar>
              <w:top w:w="0" w:type="dxa"/>
            </w:tcMar>
          </w:tcPr>
          <w:p w14:paraId="5C5EE8EB" w14:textId="77777777" w:rsidR="00A450D6" w:rsidRPr="00767EAE" w:rsidRDefault="00A450D6">
            <w:pPr>
              <w:pStyle w:val="BodyText"/>
            </w:pPr>
            <w:r>
              <w:t>State, territory and local governments should recognise where minimum lot size requirements are reducing commercially feasible capacity, particularly in high</w:t>
            </w:r>
            <w:r>
              <w:noBreakHyphen/>
              <w:t xml:space="preserve">demand areas, and </w:t>
            </w:r>
            <w:r w:rsidRPr="005D7DB5">
              <w:t>remove or</w:t>
            </w:r>
            <w:r>
              <w:t xml:space="preserve"> reduce requirements in those places. Subdivision requirements need to be permissive to enable this reform to have its full effect.</w:t>
            </w:r>
          </w:p>
        </w:tc>
      </w:tr>
      <w:tr w:rsidR="00A450D6" w14:paraId="2DDEC566" w14:textId="77777777">
        <w:tc>
          <w:tcPr>
            <w:tcW w:w="9583" w:type="dxa"/>
            <w:gridSpan w:val="2"/>
            <w:shd w:val="clear" w:color="auto" w:fill="auto"/>
            <w:tcMar>
              <w:top w:w="0" w:type="dxa"/>
              <w:bottom w:w="0" w:type="dxa"/>
            </w:tcMar>
          </w:tcPr>
          <w:p w14:paraId="4DF43D41" w14:textId="5BF99A66" w:rsidR="00A450D6" w:rsidRPr="007E0EA8" w:rsidRDefault="00A450D6">
            <w:pPr>
              <w:pStyle w:val="NoSpacing"/>
              <w:spacing w:line="200" w:lineRule="exact"/>
            </w:pPr>
          </w:p>
        </w:tc>
      </w:tr>
    </w:tbl>
    <w:p w14:paraId="5647AB47" w14:textId="07C2E87A"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571E9038" w14:textId="77777777">
        <w:trPr>
          <w:tblHeader/>
        </w:trPr>
        <w:tc>
          <w:tcPr>
            <w:tcW w:w="709" w:type="dxa"/>
            <w:shd w:val="clear" w:color="auto" w:fill="E7F6FD"/>
            <w:tcMar>
              <w:top w:w="0" w:type="dxa"/>
              <w:bottom w:w="0" w:type="dxa"/>
            </w:tcMar>
            <w:vAlign w:val="center"/>
          </w:tcPr>
          <w:p w14:paraId="168298BD" w14:textId="77777777" w:rsidR="00A450D6" w:rsidRDefault="00A450D6">
            <w:pPr>
              <w:keepLines/>
              <w:jc w:val="center"/>
            </w:pPr>
            <w:r w:rsidRPr="00A51374">
              <w:rPr>
                <w:noProof/>
              </w:rPr>
              <w:drawing>
                <wp:inline distT="0" distB="0" distL="0" distR="0" wp14:anchorId="700349BF" wp14:editId="493128C9">
                  <wp:extent cx="288000" cy="288000"/>
                  <wp:effectExtent l="0" t="0" r="0" b="0"/>
                  <wp:docPr id="864818063" name="Graphic 864818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B2A4B40" w14:textId="77777777" w:rsidR="00A450D6" w:rsidRPr="00715040" w:rsidRDefault="00A450D6">
            <w:pPr>
              <w:pStyle w:val="FindingRecRequesttitle"/>
            </w:pPr>
            <w:r>
              <w:t>Reform direction</w:t>
            </w:r>
            <w:r w:rsidRPr="00715040">
              <w:t xml:space="preserve"> </w:t>
            </w:r>
            <w:r>
              <w:t>2</w:t>
            </w:r>
            <w:r w:rsidRPr="00715040">
              <w:t>.</w:t>
            </w:r>
            <w:r>
              <w:t>4</w:t>
            </w:r>
          </w:p>
          <w:p w14:paraId="10959FC2" w14:textId="77777777" w:rsidR="00A450D6" w:rsidRPr="00715040" w:rsidRDefault="00A450D6">
            <w:pPr>
              <w:pStyle w:val="FindingRecRequesttitle"/>
            </w:pPr>
            <w:r w:rsidRPr="00AD7E3B">
              <w:t xml:space="preserve">Allow residential development in commercial zones, unless there is a clear rationale for excluding </w:t>
            </w:r>
            <w:r>
              <w:t>it</w:t>
            </w:r>
          </w:p>
        </w:tc>
      </w:tr>
      <w:tr w:rsidR="00A450D6" w14:paraId="02A457DA" w14:textId="77777777">
        <w:tc>
          <w:tcPr>
            <w:tcW w:w="9583" w:type="dxa"/>
            <w:gridSpan w:val="2"/>
            <w:shd w:val="clear" w:color="auto" w:fill="E7F6FD"/>
            <w:tcMar>
              <w:top w:w="0" w:type="dxa"/>
            </w:tcMar>
          </w:tcPr>
          <w:p w14:paraId="4A8F9DC4" w14:textId="77777777" w:rsidR="00A450D6" w:rsidRPr="00767EAE" w:rsidRDefault="00A450D6">
            <w:pPr>
              <w:pStyle w:val="BodyText"/>
            </w:pPr>
            <w:r>
              <w:t xml:space="preserve">State and territory governments should review all commercial zones that restrict residential development and change </w:t>
            </w:r>
            <w:proofErr w:type="gramStart"/>
            <w:r>
              <w:t>them</w:t>
            </w:r>
            <w:proofErr w:type="gramEnd"/>
            <w:r>
              <w:t xml:space="preserve"> so they restrict residential development only where there is a clear rationale to do so and there is a net benefit from restriction.</w:t>
            </w:r>
          </w:p>
        </w:tc>
      </w:tr>
      <w:tr w:rsidR="00A450D6" w14:paraId="04CDE4B3" w14:textId="77777777">
        <w:tc>
          <w:tcPr>
            <w:tcW w:w="9583" w:type="dxa"/>
            <w:gridSpan w:val="2"/>
            <w:shd w:val="clear" w:color="auto" w:fill="auto"/>
            <w:tcMar>
              <w:top w:w="0" w:type="dxa"/>
              <w:bottom w:w="0" w:type="dxa"/>
            </w:tcMar>
          </w:tcPr>
          <w:p w14:paraId="75CAEC08" w14:textId="5B5D39FB" w:rsidR="00A450D6" w:rsidRPr="007E0EA8" w:rsidRDefault="00A450D6">
            <w:pPr>
              <w:pStyle w:val="NoSpacing"/>
              <w:spacing w:line="200" w:lineRule="exact"/>
            </w:pPr>
          </w:p>
        </w:tc>
      </w:tr>
    </w:tbl>
    <w:p w14:paraId="69CB5FE5" w14:textId="1048345F" w:rsidR="00A450D6" w:rsidRPr="003B3CD4" w:rsidRDefault="00A450D6" w:rsidP="003B3CD4">
      <w:pPr>
        <w:pStyle w:val="NoSpacing"/>
      </w:pPr>
    </w:p>
    <w:tbl>
      <w:tblPr>
        <w:tblStyle w:val="Texttable-Paleblue"/>
        <w:tblW w:w="5000" w:type="pct"/>
        <w:tblLook w:val="04A0" w:firstRow="1" w:lastRow="0" w:firstColumn="1" w:lastColumn="0" w:noHBand="0" w:noVBand="1"/>
      </w:tblPr>
      <w:tblGrid>
        <w:gridCol w:w="713"/>
        <w:gridCol w:w="8925"/>
      </w:tblGrid>
      <w:tr w:rsidR="00A450D6" w14:paraId="569FAB95" w14:textId="77777777">
        <w:trPr>
          <w:tblHeader/>
        </w:trPr>
        <w:tc>
          <w:tcPr>
            <w:tcW w:w="713" w:type="dxa"/>
            <w:shd w:val="clear" w:color="auto" w:fill="E7F6FD"/>
            <w:tcMar>
              <w:top w:w="0" w:type="dxa"/>
              <w:bottom w:w="0" w:type="dxa"/>
            </w:tcMar>
            <w:vAlign w:val="center"/>
          </w:tcPr>
          <w:p w14:paraId="3A2ACF39" w14:textId="77777777" w:rsidR="00A450D6" w:rsidRDefault="00A450D6">
            <w:pPr>
              <w:keepLines/>
              <w:jc w:val="center"/>
            </w:pPr>
            <w:r w:rsidRPr="00A51374">
              <w:rPr>
                <w:noProof/>
              </w:rPr>
              <w:drawing>
                <wp:inline distT="0" distB="0" distL="0" distR="0" wp14:anchorId="7DF67F5B" wp14:editId="7480CC2D">
                  <wp:extent cx="288000" cy="288000"/>
                  <wp:effectExtent l="0" t="0" r="0" b="0"/>
                  <wp:docPr id="2119379353" name="Graphic 2119379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75CA14A" w14:textId="77777777" w:rsidR="00A450D6" w:rsidRPr="00715040" w:rsidRDefault="00A450D6">
            <w:pPr>
              <w:pStyle w:val="FindingRecRequesttitle"/>
            </w:pPr>
            <w:r w:rsidRPr="00715040">
              <w:t>Re</w:t>
            </w:r>
            <w:r>
              <w:t>form direction</w:t>
            </w:r>
            <w:r w:rsidRPr="00715040">
              <w:t xml:space="preserve"> </w:t>
            </w:r>
            <w:r>
              <w:t>2.5</w:t>
            </w:r>
          </w:p>
          <w:p w14:paraId="57A456B8" w14:textId="77777777" w:rsidR="00A450D6" w:rsidRPr="00715040" w:rsidRDefault="00A450D6">
            <w:pPr>
              <w:pStyle w:val="FindingRecRequesttitle"/>
            </w:pPr>
            <w:r>
              <w:t>Review, reduce and remove land</w:t>
            </w:r>
            <w:r>
              <w:noBreakHyphen/>
              <w:t>use controls that reduce commercial feasibility and do not adhere to best practice principles</w:t>
            </w:r>
          </w:p>
        </w:tc>
      </w:tr>
      <w:tr w:rsidR="00A450D6" w14:paraId="27429FE5" w14:textId="77777777">
        <w:tc>
          <w:tcPr>
            <w:tcW w:w="9638" w:type="dxa"/>
            <w:gridSpan w:val="2"/>
            <w:shd w:val="clear" w:color="auto" w:fill="E7F6FD"/>
            <w:tcMar>
              <w:top w:w="0" w:type="dxa"/>
            </w:tcMar>
          </w:tcPr>
          <w:p w14:paraId="46864BB2" w14:textId="77777777" w:rsidR="00A450D6" w:rsidRDefault="00A450D6">
            <w:pPr>
              <w:pStyle w:val="BodyText"/>
            </w:pPr>
            <w:r>
              <w:t>State, territory and local governments should identify and reduce controls that reduce commercial feasibility and do not adhere to best practice principles.</w:t>
            </w:r>
          </w:p>
          <w:p w14:paraId="2912B9F7" w14:textId="77777777" w:rsidR="00A450D6" w:rsidRPr="004F27FE" w:rsidRDefault="00A450D6" w:rsidP="00E11D04">
            <w:pPr>
              <w:pStyle w:val="ListBullet"/>
            </w:pPr>
            <w:r w:rsidRPr="004F27FE">
              <w:rPr>
                <w:b/>
              </w:rPr>
              <w:t>Remove or reduce parking requirements.</w:t>
            </w:r>
            <w:r w:rsidRPr="004F27FE">
              <w:t xml:space="preserve"> </w:t>
            </w:r>
            <w:r>
              <w:t>Governments should remove or reduce</w:t>
            </w:r>
            <w:r w:rsidRPr="004F27FE">
              <w:t xml:space="preserve"> off</w:t>
            </w:r>
            <w:r>
              <w:noBreakHyphen/>
            </w:r>
            <w:r w:rsidRPr="004F27FE">
              <w:t>street parking requirements (especially minimum requirements) in areas where there is evidence of underused parking sp</w:t>
            </w:r>
            <w:r>
              <w:t>aces</w:t>
            </w:r>
            <w:r w:rsidRPr="004F27FE">
              <w:t xml:space="preserve"> and sufficient public transport connectivity.</w:t>
            </w:r>
          </w:p>
          <w:p w14:paraId="4E750B73" w14:textId="77777777" w:rsidR="00A450D6" w:rsidRPr="004F27FE" w:rsidRDefault="00A450D6" w:rsidP="00E11D04">
            <w:pPr>
              <w:pStyle w:val="ListBullet"/>
            </w:pPr>
            <w:r w:rsidRPr="004F27FE">
              <w:rPr>
                <w:b/>
              </w:rPr>
              <w:t>Replace broad heritage protections with more targeted heritage listings with cost</w:t>
            </w:r>
            <w:r>
              <w:rPr>
                <w:b/>
              </w:rPr>
              <w:noBreakHyphen/>
            </w:r>
            <w:r w:rsidRPr="004F27FE">
              <w:rPr>
                <w:b/>
              </w:rPr>
              <w:t xml:space="preserve">benefit analysis and review processes. </w:t>
            </w:r>
            <w:r w:rsidRPr="004F27FE">
              <w:t>Blanket heritage areas should be replaced by heritage listings for specific buildings</w:t>
            </w:r>
            <w:r>
              <w:t xml:space="preserve"> or small areas</w:t>
            </w:r>
            <w:r w:rsidRPr="004F27FE">
              <w:t>. Targeted heritage listings should be justified by cost</w:t>
            </w:r>
            <w:r>
              <w:noBreakHyphen/>
            </w:r>
            <w:r w:rsidRPr="004F27FE">
              <w:t xml:space="preserve">benefit analysis and </w:t>
            </w:r>
            <w:r>
              <w:t>there should be more robust mechanisms to review and delist buildings</w:t>
            </w:r>
            <w:r w:rsidRPr="004F27FE">
              <w:t>.</w:t>
            </w:r>
          </w:p>
          <w:p w14:paraId="7B4528FE" w14:textId="77777777" w:rsidR="00A450D6" w:rsidRPr="00767EAE" w:rsidRDefault="00A450D6" w:rsidP="00E11D04">
            <w:pPr>
              <w:pStyle w:val="ListBullet"/>
            </w:pPr>
            <w:r w:rsidRPr="004F27FE">
              <w:rPr>
                <w:b/>
                <w:color w:val="000000" w:themeColor="text1"/>
              </w:rPr>
              <w:t xml:space="preserve">Review and reduce neighbourhood character restrictions. </w:t>
            </w:r>
            <w:r w:rsidRPr="004F27FE">
              <w:t xml:space="preserve">Restrictive overlays which apply blanket restrictions to entire streets or </w:t>
            </w:r>
            <w:r>
              <w:t>local government areas</w:t>
            </w:r>
            <w:r w:rsidRPr="004F27FE">
              <w:t xml:space="preserve"> should be reviewed and replaced by targeted protections where possible.</w:t>
            </w:r>
          </w:p>
        </w:tc>
      </w:tr>
      <w:tr w:rsidR="00A450D6" w14:paraId="1DF70995" w14:textId="77777777">
        <w:tc>
          <w:tcPr>
            <w:tcW w:w="9638" w:type="dxa"/>
            <w:gridSpan w:val="2"/>
            <w:shd w:val="clear" w:color="auto" w:fill="auto"/>
            <w:tcMar>
              <w:top w:w="0" w:type="dxa"/>
              <w:bottom w:w="0" w:type="dxa"/>
            </w:tcMar>
          </w:tcPr>
          <w:p w14:paraId="41FCE557" w14:textId="3D0DE406" w:rsidR="00A450D6" w:rsidRPr="007E0EA8" w:rsidRDefault="00A450D6">
            <w:pPr>
              <w:pStyle w:val="NoSpacing"/>
              <w:spacing w:line="200" w:lineRule="exact"/>
            </w:pPr>
          </w:p>
        </w:tc>
      </w:tr>
    </w:tbl>
    <w:p w14:paraId="29375DD7" w14:textId="44D14C1F"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63ADB51C" w14:textId="77777777">
        <w:trPr>
          <w:tblHeader/>
        </w:trPr>
        <w:tc>
          <w:tcPr>
            <w:tcW w:w="709" w:type="dxa"/>
            <w:shd w:val="clear" w:color="auto" w:fill="E7F6FD"/>
            <w:tcMar>
              <w:top w:w="0" w:type="dxa"/>
              <w:bottom w:w="0" w:type="dxa"/>
            </w:tcMar>
            <w:vAlign w:val="center"/>
          </w:tcPr>
          <w:p w14:paraId="4C17CA3C" w14:textId="77777777" w:rsidR="00A450D6" w:rsidRDefault="00A450D6">
            <w:pPr>
              <w:keepLines/>
              <w:jc w:val="center"/>
            </w:pPr>
            <w:r w:rsidRPr="00A51374">
              <w:rPr>
                <w:noProof/>
              </w:rPr>
              <w:lastRenderedPageBreak/>
              <w:drawing>
                <wp:inline distT="0" distB="0" distL="0" distR="0" wp14:anchorId="0C25DFF3" wp14:editId="240D1BA9">
                  <wp:extent cx="288000" cy="288000"/>
                  <wp:effectExtent l="0" t="0" r="0" b="0"/>
                  <wp:docPr id="1152293035" name="Graphic 1152293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47B6446D" w14:textId="77777777" w:rsidR="00A450D6" w:rsidRPr="00715040" w:rsidRDefault="00A450D6">
            <w:pPr>
              <w:pStyle w:val="FindingRecRequesttitle"/>
            </w:pPr>
            <w:r>
              <w:t>Reform direction</w:t>
            </w:r>
            <w:r w:rsidRPr="00715040">
              <w:t xml:space="preserve"> </w:t>
            </w:r>
            <w:r>
              <w:t>2</w:t>
            </w:r>
            <w:r w:rsidRPr="00715040">
              <w:t>.</w:t>
            </w:r>
            <w:r>
              <w:t>6</w:t>
            </w:r>
          </w:p>
          <w:p w14:paraId="366BE144" w14:textId="77777777" w:rsidR="00A450D6" w:rsidRPr="00715040" w:rsidRDefault="00A450D6">
            <w:pPr>
              <w:pStyle w:val="FindingRecRequesttitle"/>
            </w:pPr>
            <w:r w:rsidRPr="00DF27A7">
              <w:rPr>
                <w:bCs/>
              </w:rPr>
              <w:t xml:space="preserve">Relax or remove </w:t>
            </w:r>
            <w:r>
              <w:rPr>
                <w:bCs/>
              </w:rPr>
              <w:t>built</w:t>
            </w:r>
            <w:r>
              <w:rPr>
                <w:bCs/>
              </w:rPr>
              <w:noBreakHyphen/>
              <w:t>form</w:t>
            </w:r>
            <w:r w:rsidRPr="00DF27A7">
              <w:rPr>
                <w:bCs/>
              </w:rPr>
              <w:t xml:space="preserve"> controls </w:t>
            </w:r>
            <w:r>
              <w:rPr>
                <w:bCs/>
              </w:rPr>
              <w:t>that limit flexibility and choice for households</w:t>
            </w:r>
          </w:p>
        </w:tc>
      </w:tr>
      <w:tr w:rsidR="00A450D6" w14:paraId="4332CED3" w14:textId="77777777">
        <w:trPr>
          <w:trHeight w:val="4252"/>
        </w:trPr>
        <w:tc>
          <w:tcPr>
            <w:tcW w:w="9583" w:type="dxa"/>
            <w:gridSpan w:val="2"/>
            <w:shd w:val="clear" w:color="auto" w:fill="E7F6FD"/>
            <w:tcMar>
              <w:top w:w="0" w:type="dxa"/>
            </w:tcMar>
          </w:tcPr>
          <w:p w14:paraId="1A09D0FC" w14:textId="77777777" w:rsidR="00A450D6" w:rsidRDefault="00A450D6">
            <w:pPr>
              <w:pStyle w:val="BodyText"/>
            </w:pPr>
            <w:r>
              <w:t>State, territory and local governments should identify and reduce or remove built</w:t>
            </w:r>
            <w:r>
              <w:noBreakHyphen/>
              <w:t>form controls that limit the range of dwelling types available to households.</w:t>
            </w:r>
          </w:p>
          <w:p w14:paraId="05A316E9" w14:textId="77777777" w:rsidR="00A450D6" w:rsidRPr="004F27FE" w:rsidRDefault="00A450D6" w:rsidP="00E11D04">
            <w:pPr>
              <w:pStyle w:val="ListBullet"/>
            </w:pPr>
            <w:r w:rsidRPr="004F27FE">
              <w:rPr>
                <w:b/>
              </w:rPr>
              <w:t>Modify controls as required to enable townhouse and apartment reform</w:t>
            </w:r>
            <w:r w:rsidRPr="004F27FE">
              <w:rPr>
                <w:b/>
                <w:bCs/>
              </w:rPr>
              <w:t xml:space="preserve">. </w:t>
            </w:r>
            <w:r w:rsidRPr="004F27FE">
              <w:t>In areas suitable for townhouse</w:t>
            </w:r>
            <w:r>
              <w:t>s</w:t>
            </w:r>
            <w:r w:rsidRPr="004F27FE">
              <w:t xml:space="preserve"> and apartments, controls such as</w:t>
            </w:r>
            <w:r w:rsidRPr="00EE3E36">
              <w:t xml:space="preserve"> </w:t>
            </w:r>
            <w:r w:rsidRPr="004F27FE">
              <w:t>site coverage ratios, setback requirements and height restrictions should be modified to enable reform uptake.</w:t>
            </w:r>
          </w:p>
          <w:p w14:paraId="5CB2A76F" w14:textId="77777777" w:rsidR="00A450D6" w:rsidRPr="004F27FE" w:rsidRDefault="00A450D6" w:rsidP="00E11D04">
            <w:pPr>
              <w:pStyle w:val="ListBullet"/>
            </w:pPr>
            <w:r w:rsidRPr="004F27FE">
              <w:rPr>
                <w:b/>
                <w:bCs/>
              </w:rPr>
              <w:t>Remove m</w:t>
            </w:r>
            <w:r>
              <w:rPr>
                <w:b/>
                <w:bCs/>
              </w:rPr>
              <w:t>aximum</w:t>
            </w:r>
            <w:r w:rsidRPr="004F27FE">
              <w:rPr>
                <w:b/>
                <w:bCs/>
              </w:rPr>
              <w:t xml:space="preserve"> </w:t>
            </w:r>
            <w:r w:rsidRPr="00EE3E36">
              <w:rPr>
                <w:b/>
                <w:bCs/>
              </w:rPr>
              <w:t>floor</w:t>
            </w:r>
            <w:r>
              <w:rPr>
                <w:b/>
                <w:bCs/>
              </w:rPr>
              <w:noBreakHyphen/>
            </w:r>
            <w:r w:rsidRPr="00EE3E36">
              <w:rPr>
                <w:b/>
                <w:bCs/>
              </w:rPr>
              <w:t>space</w:t>
            </w:r>
            <w:r w:rsidRPr="004F27FE">
              <w:rPr>
                <w:b/>
                <w:bCs/>
              </w:rPr>
              <w:t xml:space="preserve"> ratios. </w:t>
            </w:r>
            <w:r w:rsidRPr="004F27FE">
              <w:t>State</w:t>
            </w:r>
            <w:r>
              <w:t xml:space="preserve">, </w:t>
            </w:r>
            <w:r w:rsidRPr="004F27FE">
              <w:t xml:space="preserve">territory </w:t>
            </w:r>
            <w:r>
              <w:t xml:space="preserve">and local </w:t>
            </w:r>
            <w:r w:rsidRPr="004F27FE">
              <w:t xml:space="preserve">governments should avoid using </w:t>
            </w:r>
            <w:r>
              <w:t>maximum floor</w:t>
            </w:r>
            <w:r>
              <w:noBreakHyphen/>
              <w:t>space ratios</w:t>
            </w:r>
            <w:r w:rsidRPr="004F27FE">
              <w:t xml:space="preserve"> to manage density where the desired outcome can be achieved through height restrictions or other built</w:t>
            </w:r>
            <w:r>
              <w:noBreakHyphen/>
            </w:r>
            <w:r w:rsidRPr="004F27FE">
              <w:t>form controls.</w:t>
            </w:r>
          </w:p>
          <w:p w14:paraId="4CCE2F68" w14:textId="77777777" w:rsidR="00A450D6" w:rsidRPr="003B3CD4" w:rsidRDefault="00A450D6" w:rsidP="00E11D04">
            <w:pPr>
              <w:pStyle w:val="ListBullet"/>
            </w:pPr>
            <w:r w:rsidRPr="003B3CD4">
              <w:rPr>
                <w:b/>
                <w:bCs/>
              </w:rPr>
              <w:t>Remove restrictions</w:t>
            </w:r>
            <w:r w:rsidRPr="003B3CD4">
              <w:rPr>
                <w:b/>
              </w:rPr>
              <w:t xml:space="preserve"> on housing types. </w:t>
            </w:r>
            <w:r w:rsidRPr="003B3CD4">
              <w:t>State, territory and local governments should avoid restricting certain dwelling types as desired outcomes can be better managed by other built</w:t>
            </w:r>
            <w:r w:rsidRPr="003B3CD4">
              <w:noBreakHyphen/>
              <w:t>form controls.</w:t>
            </w:r>
          </w:p>
          <w:p w14:paraId="1CFD79B5" w14:textId="77777777" w:rsidR="00A450D6" w:rsidRPr="00767EAE" w:rsidRDefault="00A450D6" w:rsidP="00E11D04">
            <w:pPr>
              <w:pStyle w:val="ListBullet"/>
            </w:pPr>
            <w:r w:rsidRPr="004F27FE">
              <w:rPr>
                <w:b/>
                <w:bCs/>
              </w:rPr>
              <w:t xml:space="preserve">Remove restrictions on minimum dwelling sizes, minimum balcony sizes and storage requirements for apartments. </w:t>
            </w:r>
            <w:r w:rsidRPr="004F27FE">
              <w:t>State</w:t>
            </w:r>
            <w:r>
              <w:t xml:space="preserve">, </w:t>
            </w:r>
            <w:r w:rsidRPr="004F27FE">
              <w:t xml:space="preserve">territory </w:t>
            </w:r>
            <w:r>
              <w:t xml:space="preserve">and local </w:t>
            </w:r>
            <w:r w:rsidRPr="004F27FE">
              <w:t xml:space="preserve">governments should avoid regulating observable characteristics that do not negatively affect </w:t>
            </w:r>
            <w:r>
              <w:t xml:space="preserve">the wider community. </w:t>
            </w:r>
          </w:p>
        </w:tc>
      </w:tr>
      <w:tr w:rsidR="00A450D6" w14:paraId="09C0B894" w14:textId="77777777">
        <w:tc>
          <w:tcPr>
            <w:tcW w:w="9583" w:type="dxa"/>
            <w:gridSpan w:val="2"/>
            <w:shd w:val="clear" w:color="auto" w:fill="auto"/>
            <w:tcMar>
              <w:top w:w="0" w:type="dxa"/>
              <w:bottom w:w="0" w:type="dxa"/>
            </w:tcMar>
          </w:tcPr>
          <w:p w14:paraId="0F3545BA" w14:textId="2C6212EF" w:rsidR="00A450D6" w:rsidRPr="007E0EA8" w:rsidRDefault="00A450D6">
            <w:pPr>
              <w:pStyle w:val="NoSpacing"/>
              <w:spacing w:line="200" w:lineRule="exact"/>
            </w:pPr>
          </w:p>
        </w:tc>
      </w:tr>
    </w:tbl>
    <w:p w14:paraId="630C75F5" w14:textId="77777777" w:rsidR="00CE7062" w:rsidRDefault="00CE7062">
      <w:pPr>
        <w:pStyle w:val="Heading4"/>
      </w:pPr>
      <w:r>
        <w:br w:type="page"/>
      </w:r>
    </w:p>
    <w:p w14:paraId="4175CE99" w14:textId="468E7ADE" w:rsidR="00A450D6" w:rsidRDefault="00A450D6">
      <w:pPr>
        <w:pStyle w:val="Heading4"/>
      </w:pPr>
      <w:r>
        <w:lastRenderedPageBreak/>
        <w:t>Make approvals faster and easier</w:t>
      </w:r>
    </w:p>
    <w:p w14:paraId="5F838C56" w14:textId="77777777" w:rsidR="00A450D6" w:rsidRDefault="00A450D6">
      <w:pPr>
        <w:pStyle w:val="BodyText"/>
      </w:pPr>
      <w:r w:rsidRPr="009C3163">
        <w:t xml:space="preserve">The process for </w:t>
      </w:r>
      <w:r>
        <w:t>obtaining</w:t>
      </w:r>
      <w:r w:rsidRPr="009C3163">
        <w:t xml:space="preserve"> regulatory approvals for housing, while important for ensuring new housing meets required standards, can be convoluted and slow. </w:t>
      </w:r>
      <w:r>
        <w:t xml:space="preserve">This becomes a </w:t>
      </w:r>
      <w:r w:rsidRPr="002C544C">
        <w:t xml:space="preserve">regulatory burden </w:t>
      </w:r>
      <w:r>
        <w:t xml:space="preserve">that </w:t>
      </w:r>
      <w:r w:rsidRPr="002C544C">
        <w:t>can slow development or</w:t>
      </w:r>
      <w:r>
        <w:t xml:space="preserve"> prevent</w:t>
      </w:r>
      <w:r w:rsidRPr="002C544C">
        <w:t xml:space="preserve"> </w:t>
      </w:r>
      <w:r>
        <w:t>it</w:t>
      </w:r>
      <w:r w:rsidRPr="002C544C">
        <w:t xml:space="preserve"> altogether</w:t>
      </w:r>
      <w:r>
        <w:t>, increasing the cost of housing</w:t>
      </w:r>
      <w:r w:rsidRPr="002C544C">
        <w:t>.</w:t>
      </w:r>
    </w:p>
    <w:p w14:paraId="54ABA764" w14:textId="77777777" w:rsidR="00A450D6" w:rsidRDefault="00A450D6">
      <w:pPr>
        <w:pStyle w:val="BodyText"/>
      </w:pPr>
      <w:r>
        <w:t xml:space="preserve">Many of the biggest issues arise when different decision makers set conflicting or unclear requirements on a proposed development, which take time and effort from the developer to resolve. The PC heard </w:t>
      </w:r>
      <w:r w:rsidRPr="004B50C6">
        <w:t>of</w:t>
      </w:r>
      <w:r>
        <w:t xml:space="preserve"> one developer who was </w:t>
      </w:r>
      <w:r w:rsidRPr="004B50C6">
        <w:t xml:space="preserve">informed by the </w:t>
      </w:r>
      <w:r>
        <w:t xml:space="preserve">council that they needed to </w:t>
      </w:r>
      <w:r w:rsidRPr="004B50C6">
        <w:t>plant native</w:t>
      </w:r>
      <w:r>
        <w:t xml:space="preserve"> trees </w:t>
      </w:r>
      <w:r w:rsidRPr="004B50C6">
        <w:t xml:space="preserve">and vegetation to support the local </w:t>
      </w:r>
      <w:proofErr w:type="gramStart"/>
      <w:r w:rsidRPr="004B50C6">
        <w:t>environment</w:t>
      </w:r>
      <w:r>
        <w:t>, but</w:t>
      </w:r>
      <w:proofErr w:type="gramEnd"/>
      <w:r>
        <w:t xml:space="preserve"> was also told by the local fire authority that they </w:t>
      </w:r>
      <w:r w:rsidRPr="004B50C6">
        <w:t>needed</w:t>
      </w:r>
      <w:r>
        <w:t xml:space="preserve"> to </w:t>
      </w:r>
      <w:r w:rsidRPr="004B50C6">
        <w:t xml:space="preserve">minimise the tree canopy around the property to </w:t>
      </w:r>
      <w:r>
        <w:t>manage bushfire risk</w:t>
      </w:r>
      <w:r w:rsidRPr="004B50C6">
        <w:t>. The developer required approval for the project to be non</w:t>
      </w:r>
      <w:r w:rsidRPr="004B50C6">
        <w:noBreakHyphen/>
        <w:t xml:space="preserve">compliant with the council’s landscape controls </w:t>
      </w:r>
      <w:proofErr w:type="gramStart"/>
      <w:r w:rsidRPr="004B50C6">
        <w:t>in order to</w:t>
      </w:r>
      <w:proofErr w:type="gramEnd"/>
      <w:r w:rsidRPr="004B50C6">
        <w:t xml:space="preserve"> proceed ([name withheld], personal communication, July 2026). </w:t>
      </w:r>
      <w:r>
        <w:t>Other issues include poor sequencing of inputs, onerous and highly technical reporting requirements, and subjective rules (such as neighbourhood character considerations) creating uncertainty about what is required for a project to go ahead.</w:t>
      </w:r>
    </w:p>
    <w:p w14:paraId="58419399" w14:textId="2C83C65E" w:rsidR="00373CB6" w:rsidRDefault="00A450D6">
      <w:pPr>
        <w:pStyle w:val="BodyText"/>
      </w:pPr>
      <w:r w:rsidRPr="002C544C">
        <w:t>Chapter</w:t>
      </w:r>
      <w:r>
        <w:t> </w:t>
      </w:r>
      <w:r w:rsidRPr="002C544C">
        <w:t xml:space="preserve">3 </w:t>
      </w:r>
      <w:r>
        <w:t>of this report considers</w:t>
      </w:r>
      <w:r w:rsidRPr="002C544C">
        <w:t xml:space="preserve"> how approval processes can be streamlined and become more transparent, and how </w:t>
      </w:r>
      <w:r>
        <w:t>assessments</w:t>
      </w:r>
      <w:r w:rsidRPr="002C544C">
        <w:t xml:space="preserve"> can be more proportionate to risk.</w:t>
      </w:r>
      <w:r>
        <w:t xml:space="preserve"> We also review how the housing regulatory system can support more productive methods of construction such as prefabricated and modular housing.</w:t>
      </w:r>
    </w:p>
    <w:p w14:paraId="66C8407A" w14:textId="77777777" w:rsidR="00A450D6" w:rsidRDefault="00A450D6" w:rsidP="00BB65C5">
      <w:pPr>
        <w:pStyle w:val="BodyText"/>
        <w:keepNext/>
      </w:pPr>
      <w:r>
        <w:t>Our priority reform directions are:</w:t>
      </w:r>
    </w:p>
    <w:p w14:paraId="2B5E77BE" w14:textId="6348F034"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28733B71" w14:textId="77777777">
        <w:trPr>
          <w:tblHeader/>
        </w:trPr>
        <w:tc>
          <w:tcPr>
            <w:tcW w:w="713" w:type="dxa"/>
            <w:shd w:val="clear" w:color="auto" w:fill="E7F6FD"/>
            <w:tcMar>
              <w:top w:w="0" w:type="dxa"/>
              <w:bottom w:w="0" w:type="dxa"/>
            </w:tcMar>
            <w:vAlign w:val="center"/>
          </w:tcPr>
          <w:p w14:paraId="62246B52" w14:textId="77777777" w:rsidR="00A450D6" w:rsidRDefault="00A450D6">
            <w:pPr>
              <w:keepLines/>
              <w:jc w:val="center"/>
            </w:pPr>
            <w:r w:rsidRPr="00A51374">
              <w:rPr>
                <w:noProof/>
              </w:rPr>
              <w:drawing>
                <wp:inline distT="0" distB="0" distL="0" distR="0" wp14:anchorId="25EAE695" wp14:editId="3F9CA0D8">
                  <wp:extent cx="288000" cy="288000"/>
                  <wp:effectExtent l="0" t="0" r="0" b="0"/>
                  <wp:docPr id="574229213" name="Graphic 574229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A360494" w14:textId="72855810" w:rsidR="00A450D6" w:rsidRPr="00715040" w:rsidRDefault="00A450D6">
            <w:pPr>
              <w:pStyle w:val="FindingRecRequesttitle"/>
            </w:pPr>
            <w:r w:rsidRPr="00715040">
              <w:t>Re</w:t>
            </w:r>
            <w:r>
              <w:t>form direction</w:t>
            </w:r>
            <w:r w:rsidRPr="00715040">
              <w:t xml:space="preserve"> </w:t>
            </w:r>
            <w:r w:rsidR="009219FD">
              <w:t>3.1</w:t>
            </w:r>
          </w:p>
          <w:p w14:paraId="755A68CB" w14:textId="77777777" w:rsidR="00A450D6" w:rsidRPr="00715040" w:rsidRDefault="00A450D6">
            <w:pPr>
              <w:pStyle w:val="FindingRecRequesttitle"/>
            </w:pPr>
            <w:r>
              <w:t>Consider infrastructure requirements and trade</w:t>
            </w:r>
            <w:r>
              <w:noBreakHyphen/>
              <w:t>offs associated with development early through strategic planning</w:t>
            </w:r>
          </w:p>
        </w:tc>
      </w:tr>
      <w:tr w:rsidR="00A450D6" w14:paraId="6A1FB9CD" w14:textId="77777777">
        <w:tc>
          <w:tcPr>
            <w:tcW w:w="9638" w:type="dxa"/>
            <w:gridSpan w:val="2"/>
            <w:shd w:val="clear" w:color="auto" w:fill="E7F6FD"/>
            <w:tcMar>
              <w:top w:w="0" w:type="dxa"/>
            </w:tcMar>
          </w:tcPr>
          <w:p w14:paraId="3A73FA9B" w14:textId="3B865BD5" w:rsidR="00A450D6" w:rsidRDefault="00A450D6">
            <w:pPr>
              <w:pStyle w:val="BodyText"/>
            </w:pPr>
            <w:r>
              <w:t>State and territory governments should seek to lift the burden from approvals by assessing development conditions and determining trade</w:t>
            </w:r>
            <w:r>
              <w:noBreakHyphen/>
              <w:t>offs efficiently and upfront rather than through the development approval process.</w:t>
            </w:r>
            <w:r w:rsidR="009219FD">
              <w:t xml:space="preserve"> </w:t>
            </w:r>
            <w:r>
              <w:t>This includes:</w:t>
            </w:r>
          </w:p>
          <w:p w14:paraId="0E61D584" w14:textId="77777777" w:rsidR="00A450D6" w:rsidRDefault="00A450D6" w:rsidP="00E11D04">
            <w:pPr>
              <w:pStyle w:val="ListBullet"/>
            </w:pPr>
            <w:r>
              <w:t xml:space="preserve">identifying suburbs and localities where there is high expected demand for new housing, </w:t>
            </w:r>
            <w:r w:rsidRPr="000F6864">
              <w:t>and making</w:t>
            </w:r>
            <w:r>
              <w:t xml:space="preserve"> it </w:t>
            </w:r>
            <w:r w:rsidRPr="000F6864">
              <w:t>an explicit performance</w:t>
            </w:r>
            <w:r>
              <w:t xml:space="preserve"> goal for </w:t>
            </w:r>
            <w:r w:rsidRPr="000F6864">
              <w:t xml:space="preserve">councils, relevant agencies and regulated </w:t>
            </w:r>
            <w:r>
              <w:t xml:space="preserve">infrastructure service providers to facilitate </w:t>
            </w:r>
            <w:r w:rsidRPr="000F6864">
              <w:t>new housing in these areas</w:t>
            </w:r>
          </w:p>
          <w:p w14:paraId="5A48EE30" w14:textId="77777777" w:rsidR="00A450D6" w:rsidRDefault="00A450D6" w:rsidP="00E11D04">
            <w:pPr>
              <w:pStyle w:val="ListBullet"/>
            </w:pPr>
            <w:r>
              <w:t>completing technical studies (e.g. flood risk, bushfire risk, biodiversity mapping) across suburbs and localities with high expected demand for new housing, and considering how the impacts of the expected uplift in housing development can be managed across these areas</w:t>
            </w:r>
          </w:p>
          <w:p w14:paraId="3AE67AFC" w14:textId="77777777" w:rsidR="00A450D6" w:rsidRDefault="00A450D6" w:rsidP="00E11D04">
            <w:pPr>
              <w:pStyle w:val="ListBullet"/>
            </w:pPr>
            <w:r>
              <w:t>fully considering how any required housing</w:t>
            </w:r>
            <w:r>
              <w:noBreakHyphen/>
              <w:t>enabling infrastructure will interact with existing infrastructure, including by engaging with referral agencies or owners of existing infrastructure to identify potential barriers to development early (in conjunction with reform directions 4.1 and 4.2)</w:t>
            </w:r>
          </w:p>
          <w:p w14:paraId="3708DD54" w14:textId="77777777" w:rsidR="00A450D6" w:rsidRPr="009219FD" w:rsidRDefault="00A450D6" w:rsidP="00E11D04">
            <w:pPr>
              <w:pStyle w:val="ListBullet"/>
              <w:rPr>
                <w:spacing w:val="-4"/>
              </w:rPr>
            </w:pPr>
            <w:r w:rsidRPr="009219FD">
              <w:rPr>
                <w:spacing w:val="-4"/>
              </w:rPr>
              <w:t xml:space="preserve">incorporating the outcomes of these assessments into planning schemes as clear and codified requirements for </w:t>
            </w:r>
            <w:proofErr w:type="gramStart"/>
            <w:r w:rsidRPr="009219FD">
              <w:rPr>
                <w:spacing w:val="-4"/>
              </w:rPr>
              <w:t>development, and</w:t>
            </w:r>
            <w:proofErr w:type="gramEnd"/>
            <w:r w:rsidRPr="009219FD">
              <w:rPr>
                <w:spacing w:val="-4"/>
              </w:rPr>
              <w:t xml:space="preserve"> avoiding site-specific assessments of trade</w:t>
            </w:r>
            <w:r w:rsidRPr="009219FD">
              <w:rPr>
                <w:spacing w:val="-4"/>
              </w:rPr>
              <w:noBreakHyphen/>
              <w:t>offs where possible.</w:t>
            </w:r>
          </w:p>
        </w:tc>
      </w:tr>
      <w:tr w:rsidR="00A450D6" w14:paraId="3C20BFAB" w14:textId="77777777">
        <w:tc>
          <w:tcPr>
            <w:tcW w:w="9638" w:type="dxa"/>
            <w:gridSpan w:val="2"/>
            <w:shd w:val="clear" w:color="auto" w:fill="auto"/>
            <w:tcMar>
              <w:top w:w="0" w:type="dxa"/>
              <w:bottom w:w="0" w:type="dxa"/>
            </w:tcMar>
          </w:tcPr>
          <w:p w14:paraId="5E27E8F4" w14:textId="0033ED03" w:rsidR="00A450D6" w:rsidRPr="007E0EA8" w:rsidRDefault="00A450D6">
            <w:pPr>
              <w:pStyle w:val="NoSpacing"/>
              <w:spacing w:line="200" w:lineRule="exact"/>
            </w:pPr>
          </w:p>
        </w:tc>
      </w:tr>
    </w:tbl>
    <w:p w14:paraId="4F65D398" w14:textId="3237A747"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5B9B8468" w14:textId="77777777">
        <w:trPr>
          <w:tblHeader/>
        </w:trPr>
        <w:tc>
          <w:tcPr>
            <w:tcW w:w="713" w:type="dxa"/>
            <w:shd w:val="clear" w:color="auto" w:fill="E7F6FD"/>
            <w:tcMar>
              <w:top w:w="0" w:type="dxa"/>
              <w:bottom w:w="0" w:type="dxa"/>
            </w:tcMar>
            <w:vAlign w:val="center"/>
          </w:tcPr>
          <w:p w14:paraId="10734B35" w14:textId="77777777" w:rsidR="00A450D6" w:rsidRDefault="00A450D6">
            <w:pPr>
              <w:keepLines/>
              <w:jc w:val="center"/>
            </w:pPr>
            <w:r w:rsidRPr="00A51374">
              <w:rPr>
                <w:noProof/>
              </w:rPr>
              <w:lastRenderedPageBreak/>
              <w:drawing>
                <wp:inline distT="0" distB="0" distL="0" distR="0" wp14:anchorId="76D35994" wp14:editId="25207E2D">
                  <wp:extent cx="288000" cy="288000"/>
                  <wp:effectExtent l="0" t="0" r="0" b="0"/>
                  <wp:docPr id="891935335" name="Graphic 891935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3218F3B1" w14:textId="77777777" w:rsidR="00A450D6" w:rsidRPr="00715040" w:rsidRDefault="00A450D6">
            <w:pPr>
              <w:pStyle w:val="FindingRecRequesttitle"/>
            </w:pPr>
            <w:r>
              <w:t>Reform direction</w:t>
            </w:r>
            <w:r w:rsidRPr="00715040">
              <w:t xml:space="preserve"> </w:t>
            </w:r>
            <w:r>
              <w:t>3.2</w:t>
            </w:r>
          </w:p>
          <w:p w14:paraId="02499310" w14:textId="77777777" w:rsidR="00A450D6" w:rsidRPr="00715040" w:rsidRDefault="00A450D6">
            <w:pPr>
              <w:pStyle w:val="FindingRecRequesttitle"/>
            </w:pPr>
            <w:r>
              <w:t>Expand the use of fast</w:t>
            </w:r>
            <w:r>
              <w:noBreakHyphen/>
              <w:t>track pathways to assess simple developments</w:t>
            </w:r>
          </w:p>
        </w:tc>
      </w:tr>
      <w:tr w:rsidR="00A450D6" w14:paraId="6A9AF857" w14:textId="77777777">
        <w:trPr>
          <w:trHeight w:val="2665"/>
        </w:trPr>
        <w:tc>
          <w:tcPr>
            <w:tcW w:w="9638" w:type="dxa"/>
            <w:gridSpan w:val="2"/>
            <w:shd w:val="clear" w:color="auto" w:fill="E7F6FD"/>
            <w:tcMar>
              <w:top w:w="0" w:type="dxa"/>
            </w:tcMar>
          </w:tcPr>
          <w:p w14:paraId="78338171" w14:textId="77777777" w:rsidR="00A450D6" w:rsidRDefault="00A450D6">
            <w:pPr>
              <w:pStyle w:val="BodyText"/>
              <w:keepLines/>
            </w:pPr>
            <w:r>
              <w:t>State, territory and local governments should improve fast</w:t>
            </w:r>
            <w:r>
              <w:noBreakHyphen/>
              <w:t>track assessment pathways by:</w:t>
            </w:r>
          </w:p>
          <w:p w14:paraId="6AF9BFF6" w14:textId="77777777" w:rsidR="00A450D6" w:rsidRDefault="00A450D6" w:rsidP="00E11D04">
            <w:pPr>
              <w:pStyle w:val="ListBullet"/>
            </w:pPr>
            <w:r>
              <w:t>e</w:t>
            </w:r>
            <w:r w:rsidRPr="00C65333">
              <w:t>xpand</w:t>
            </w:r>
            <w:r>
              <w:t xml:space="preserve">ing their use </w:t>
            </w:r>
            <w:r w:rsidRPr="00EE3E36">
              <w:t xml:space="preserve">to </w:t>
            </w:r>
            <w:r>
              <w:t xml:space="preserve">cover </w:t>
            </w:r>
            <w:proofErr w:type="gramStart"/>
            <w:r>
              <w:t>more low</w:t>
            </w:r>
            <w:proofErr w:type="gramEnd"/>
            <w:r>
              <w:noBreakHyphen/>
              <w:t>complexity developments, using deemed</w:t>
            </w:r>
            <w:r>
              <w:noBreakHyphen/>
              <w:t>to</w:t>
            </w:r>
            <w:r>
              <w:noBreakHyphen/>
              <w:t>comply assessment against codified rules, with minimal third</w:t>
            </w:r>
            <w:r>
              <w:noBreakHyphen/>
              <w:t>party inputs</w:t>
            </w:r>
          </w:p>
          <w:p w14:paraId="0A464093" w14:textId="77777777" w:rsidR="00A450D6" w:rsidRDefault="00A450D6" w:rsidP="00E11D04">
            <w:pPr>
              <w:pStyle w:val="ListBullet"/>
            </w:pPr>
            <w:r>
              <w:t>increasing the use of pattern books, with templates eligible for fast</w:t>
            </w:r>
            <w:r>
              <w:noBreakHyphen/>
              <w:t>track approval</w:t>
            </w:r>
          </w:p>
          <w:p w14:paraId="4427F2C9" w14:textId="77777777" w:rsidR="00A450D6" w:rsidRDefault="00A450D6" w:rsidP="00E11D04">
            <w:pPr>
              <w:pStyle w:val="ListBullet"/>
            </w:pPr>
            <w:r>
              <w:t>using hybrid assessment for developments which narrowly fail to comply with fast</w:t>
            </w:r>
            <w:r>
              <w:noBreakHyphen/>
              <w:t>track criteria, where non</w:t>
            </w:r>
            <w:r>
              <w:noBreakHyphen/>
              <w:t>complying criteria are assessed using standard techniques</w:t>
            </w:r>
          </w:p>
          <w:p w14:paraId="4B99E960" w14:textId="77777777" w:rsidR="00A450D6" w:rsidRPr="00767EAE" w:rsidRDefault="00A450D6" w:rsidP="00E11D04">
            <w:pPr>
              <w:pStyle w:val="ListBullet"/>
            </w:pPr>
            <w:r>
              <w:t>approving</w:t>
            </w:r>
            <w:r w:rsidRPr="00C65333">
              <w:t xml:space="preserve"> fast</w:t>
            </w:r>
            <w:r>
              <w:noBreakHyphen/>
            </w:r>
            <w:r w:rsidRPr="00C65333">
              <w:t xml:space="preserve">track developments </w:t>
            </w:r>
            <w:r w:rsidRPr="004632D0">
              <w:t>quickly</w:t>
            </w:r>
            <w:r w:rsidRPr="00C65333">
              <w:t>, with incentives for councils to increase speed of assessment</w:t>
            </w:r>
            <w:r>
              <w:t>.</w:t>
            </w:r>
          </w:p>
        </w:tc>
      </w:tr>
      <w:tr w:rsidR="00A450D6" w14:paraId="73ADCB89" w14:textId="77777777">
        <w:trPr>
          <w:trHeight w:val="95"/>
        </w:trPr>
        <w:tc>
          <w:tcPr>
            <w:tcW w:w="9638" w:type="dxa"/>
            <w:gridSpan w:val="2"/>
            <w:shd w:val="clear" w:color="auto" w:fill="auto"/>
            <w:tcMar>
              <w:top w:w="0" w:type="dxa"/>
              <w:bottom w:w="0" w:type="dxa"/>
            </w:tcMar>
          </w:tcPr>
          <w:p w14:paraId="56361418" w14:textId="1C190B56" w:rsidR="00A450D6" w:rsidRPr="007E0EA8" w:rsidRDefault="00A450D6">
            <w:pPr>
              <w:pStyle w:val="NoSpacing"/>
              <w:spacing w:line="200" w:lineRule="exact"/>
            </w:pPr>
          </w:p>
        </w:tc>
      </w:tr>
    </w:tbl>
    <w:p w14:paraId="6D663968" w14:textId="18278D33" w:rsidR="00BB65C5" w:rsidRDefault="00BB65C5">
      <w:pPr>
        <w:pStyle w:val="NoSpacing"/>
      </w:pPr>
    </w:p>
    <w:tbl>
      <w:tblPr>
        <w:tblStyle w:val="Texttable-Paleblue"/>
        <w:tblW w:w="5000" w:type="pct"/>
        <w:tblLook w:val="04A0" w:firstRow="1" w:lastRow="0" w:firstColumn="1" w:lastColumn="0" w:noHBand="0" w:noVBand="1"/>
      </w:tblPr>
      <w:tblGrid>
        <w:gridCol w:w="713"/>
        <w:gridCol w:w="8925"/>
      </w:tblGrid>
      <w:tr w:rsidR="00A450D6" w14:paraId="1029337F" w14:textId="77777777" w:rsidTr="00373CB6">
        <w:trPr>
          <w:tblHeader/>
        </w:trPr>
        <w:tc>
          <w:tcPr>
            <w:tcW w:w="713" w:type="dxa"/>
            <w:shd w:val="clear" w:color="auto" w:fill="E7F6FD"/>
            <w:tcMar>
              <w:top w:w="0" w:type="dxa"/>
              <w:bottom w:w="0" w:type="dxa"/>
            </w:tcMar>
            <w:vAlign w:val="center"/>
          </w:tcPr>
          <w:p w14:paraId="05B547B1" w14:textId="77777777" w:rsidR="00A450D6" w:rsidRDefault="00A450D6">
            <w:pPr>
              <w:keepLines/>
              <w:jc w:val="center"/>
            </w:pPr>
            <w:r w:rsidRPr="00A51374">
              <w:rPr>
                <w:noProof/>
              </w:rPr>
              <w:drawing>
                <wp:inline distT="0" distB="0" distL="0" distR="0" wp14:anchorId="6A953E1D" wp14:editId="7A7CE075">
                  <wp:extent cx="288000" cy="288000"/>
                  <wp:effectExtent l="0" t="0" r="0" b="0"/>
                  <wp:docPr id="1661425166" name="Graphic 1661425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68BFCFD" w14:textId="77777777" w:rsidR="00A450D6" w:rsidRPr="00715040" w:rsidRDefault="00A450D6">
            <w:pPr>
              <w:pStyle w:val="FindingRecRequesttitle"/>
            </w:pPr>
            <w:r>
              <w:t>Reform direction 3.3</w:t>
            </w:r>
          </w:p>
          <w:p w14:paraId="1375256B" w14:textId="77777777" w:rsidR="00A450D6" w:rsidRPr="00715040" w:rsidRDefault="00A450D6">
            <w:pPr>
              <w:pStyle w:val="FindingRecRequesttitle"/>
            </w:pPr>
            <w:r>
              <w:t>Use state</w:t>
            </w:r>
            <w:r>
              <w:noBreakHyphen/>
              <w:t>significant pathways to approve developments with a clear need for state</w:t>
            </w:r>
            <w:r>
              <w:noBreakHyphen/>
              <w:t>led assessment</w:t>
            </w:r>
          </w:p>
        </w:tc>
      </w:tr>
      <w:tr w:rsidR="00A450D6" w14:paraId="2D07BACE" w14:textId="77777777" w:rsidTr="00373CB6">
        <w:tc>
          <w:tcPr>
            <w:tcW w:w="9638" w:type="dxa"/>
            <w:gridSpan w:val="2"/>
            <w:shd w:val="clear" w:color="auto" w:fill="E7F6FD"/>
            <w:tcMar>
              <w:top w:w="0" w:type="dxa"/>
            </w:tcMar>
          </w:tcPr>
          <w:p w14:paraId="17A93667" w14:textId="77777777" w:rsidR="00A450D6" w:rsidRDefault="00A450D6">
            <w:pPr>
              <w:pStyle w:val="BodyText"/>
              <w:keepLines/>
            </w:pPr>
            <w:r>
              <w:t>State and territory governments should improve the assessment of large, complex and important developments by:</w:t>
            </w:r>
          </w:p>
          <w:p w14:paraId="5198C7C9" w14:textId="77777777" w:rsidR="00A450D6" w:rsidRPr="00A90385" w:rsidRDefault="00A450D6" w:rsidP="00E11D04">
            <w:pPr>
              <w:pStyle w:val="ListBullet"/>
            </w:pPr>
            <w:r w:rsidRPr="00A90385">
              <w:t>using state</w:t>
            </w:r>
            <w:r w:rsidRPr="00A90385">
              <w:noBreakHyphen/>
              <w:t>significant pathways when a clear need for state</w:t>
            </w:r>
            <w:r w:rsidRPr="00A90385">
              <w:noBreakHyphen/>
              <w:t>led assessment is demonstrated, with transparent and defined criteria for inclusion in the pathway</w:t>
            </w:r>
          </w:p>
          <w:p w14:paraId="6D3556F6" w14:textId="77777777" w:rsidR="00A450D6" w:rsidRPr="00A90385" w:rsidRDefault="00A450D6" w:rsidP="00E11D04">
            <w:pPr>
              <w:pStyle w:val="ListBullet"/>
            </w:pPr>
            <w:r w:rsidRPr="00A90385">
              <w:t>giving assessment authorities clear decision</w:t>
            </w:r>
            <w:r w:rsidRPr="00A90385">
              <w:noBreakHyphen/>
              <w:t>making powers, which are not bound by council planning schemes</w:t>
            </w:r>
          </w:p>
          <w:p w14:paraId="32561F9E" w14:textId="77777777" w:rsidR="00A450D6" w:rsidRPr="00767EAE" w:rsidRDefault="00A450D6" w:rsidP="00E11D04">
            <w:pPr>
              <w:pStyle w:val="ListBullet"/>
            </w:pPr>
            <w:r w:rsidRPr="00A90385">
              <w:t>using early and targeted consultation to meaningfully engage third parties where their inputs are required.</w:t>
            </w:r>
          </w:p>
        </w:tc>
      </w:tr>
      <w:tr w:rsidR="00A450D6" w14:paraId="491B2A4B" w14:textId="77777777" w:rsidTr="00373CB6">
        <w:tc>
          <w:tcPr>
            <w:tcW w:w="9638" w:type="dxa"/>
            <w:gridSpan w:val="2"/>
            <w:shd w:val="clear" w:color="auto" w:fill="auto"/>
            <w:tcMar>
              <w:top w:w="0" w:type="dxa"/>
              <w:bottom w:w="0" w:type="dxa"/>
            </w:tcMar>
          </w:tcPr>
          <w:p w14:paraId="1C96327A" w14:textId="1661177C" w:rsidR="00A450D6" w:rsidRPr="007E0EA8" w:rsidRDefault="00A450D6">
            <w:pPr>
              <w:pStyle w:val="NoSpacing"/>
              <w:spacing w:line="200" w:lineRule="exact"/>
            </w:pPr>
          </w:p>
        </w:tc>
      </w:tr>
    </w:tbl>
    <w:p w14:paraId="32324D06" w14:textId="06695A91"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6FDF7153" w14:textId="77777777">
        <w:trPr>
          <w:tblHeader/>
        </w:trPr>
        <w:tc>
          <w:tcPr>
            <w:tcW w:w="713" w:type="dxa"/>
            <w:shd w:val="clear" w:color="auto" w:fill="E7F6FD"/>
            <w:tcMar>
              <w:top w:w="0" w:type="dxa"/>
              <w:bottom w:w="0" w:type="dxa"/>
            </w:tcMar>
            <w:vAlign w:val="center"/>
          </w:tcPr>
          <w:p w14:paraId="4EC1A77C" w14:textId="77777777" w:rsidR="00A450D6" w:rsidRDefault="00A450D6">
            <w:pPr>
              <w:keepLines/>
              <w:jc w:val="center"/>
            </w:pPr>
            <w:r w:rsidRPr="00A51374">
              <w:rPr>
                <w:noProof/>
              </w:rPr>
              <w:drawing>
                <wp:inline distT="0" distB="0" distL="0" distR="0" wp14:anchorId="23BBE75C" wp14:editId="7AA77BD3">
                  <wp:extent cx="288000" cy="288000"/>
                  <wp:effectExtent l="0" t="0" r="0" b="0"/>
                  <wp:docPr id="1751658962" name="Graphic 1751658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764324BF" w14:textId="77777777" w:rsidR="00A450D6" w:rsidRPr="00BB6B1F" w:rsidRDefault="00A450D6">
            <w:pPr>
              <w:pStyle w:val="FindingRecRequesttitle"/>
            </w:pPr>
            <w:r w:rsidRPr="00BB6B1F">
              <w:t xml:space="preserve">Reform direction </w:t>
            </w:r>
            <w:r>
              <w:t>3</w:t>
            </w:r>
            <w:r w:rsidRPr="00BB6B1F">
              <w:t>.4</w:t>
            </w:r>
          </w:p>
          <w:p w14:paraId="08E5B863" w14:textId="77777777" w:rsidR="00A450D6" w:rsidRPr="00715040" w:rsidRDefault="00A450D6">
            <w:pPr>
              <w:pStyle w:val="FindingRecRequesttitle"/>
            </w:pPr>
            <w:r>
              <w:t>Improve</w:t>
            </w:r>
            <w:r w:rsidRPr="00BB6B1F">
              <w:t xml:space="preserve"> housing approval assessments with </w:t>
            </w:r>
            <w:r>
              <w:t>better</w:t>
            </w:r>
            <w:r w:rsidRPr="00BB6B1F">
              <w:t xml:space="preserve"> coordination of referrals, use of </w:t>
            </w:r>
            <w:r>
              <w:t xml:space="preserve">technology including </w:t>
            </w:r>
            <w:r w:rsidRPr="00BB6B1F">
              <w:t>AI</w:t>
            </w:r>
            <w:r>
              <w:t xml:space="preserve">, </w:t>
            </w:r>
            <w:r w:rsidRPr="00BB6B1F">
              <w:t>and transparent reporting</w:t>
            </w:r>
          </w:p>
        </w:tc>
      </w:tr>
      <w:tr w:rsidR="00A450D6" w14:paraId="61CE2F30" w14:textId="77777777">
        <w:tc>
          <w:tcPr>
            <w:tcW w:w="9638" w:type="dxa"/>
            <w:gridSpan w:val="2"/>
            <w:shd w:val="clear" w:color="auto" w:fill="E7F6FD"/>
            <w:tcMar>
              <w:top w:w="0" w:type="dxa"/>
            </w:tcMar>
          </w:tcPr>
          <w:p w14:paraId="6A0B624E" w14:textId="77777777" w:rsidR="00A450D6" w:rsidRDefault="00A450D6">
            <w:pPr>
              <w:pStyle w:val="BodyText"/>
            </w:pPr>
            <w:r>
              <w:t xml:space="preserve">State, territory </w:t>
            </w:r>
            <w:r w:rsidRPr="00F5414E">
              <w:t>and local</w:t>
            </w:r>
            <w:r>
              <w:t xml:space="preserve"> governments should improve housing approval assessments by:</w:t>
            </w:r>
          </w:p>
          <w:p w14:paraId="51C72C91" w14:textId="77777777" w:rsidR="00A450D6" w:rsidRPr="005537FE" w:rsidRDefault="00A450D6" w:rsidP="00E11D04">
            <w:pPr>
              <w:pStyle w:val="ListBullet"/>
            </w:pPr>
            <w:r>
              <w:t>u</w:t>
            </w:r>
            <w:r w:rsidRPr="005537FE">
              <w:t>sing coordination bodies to manage and sequence referrals from government agencies and third parties. These bodies should have decision</w:t>
            </w:r>
            <w:r w:rsidRPr="00E60845">
              <w:rPr>
                <w:rFonts w:ascii="Cambria Math" w:hAnsi="Cambria Math" w:cs="Cambria Math"/>
              </w:rPr>
              <w:t>‑</w:t>
            </w:r>
            <w:r w:rsidRPr="005537FE">
              <w:t>making power in the event of conflicting advice</w:t>
            </w:r>
            <w:r w:rsidRPr="464081CA">
              <w:t> </w:t>
            </w:r>
          </w:p>
          <w:p w14:paraId="61059589" w14:textId="77777777" w:rsidR="00A450D6" w:rsidRPr="005537FE" w:rsidRDefault="00A450D6" w:rsidP="00E11D04">
            <w:pPr>
              <w:pStyle w:val="ListBullet"/>
            </w:pPr>
            <w:r>
              <w:t>i</w:t>
            </w:r>
            <w:r w:rsidRPr="005537FE">
              <w:t>ncreasing use of technology including AI to help decision makers and applicants understand regulatory requirements and identify potential problems with applications</w:t>
            </w:r>
          </w:p>
          <w:p w14:paraId="2E4680F6" w14:textId="77777777" w:rsidR="00A450D6" w:rsidRPr="00767EAE" w:rsidRDefault="00A450D6" w:rsidP="00E11D04">
            <w:pPr>
              <w:pStyle w:val="ListBullet"/>
            </w:pPr>
            <w:r>
              <w:t>s</w:t>
            </w:r>
            <w:r w:rsidRPr="005537FE">
              <w:t>trengthening performance reporting so that it more meaningfully captures the end</w:t>
            </w:r>
            <w:r w:rsidRPr="005537FE">
              <w:noBreakHyphen/>
              <w:t>to</w:t>
            </w:r>
            <w:r w:rsidRPr="005537FE">
              <w:noBreakHyphen/>
              <w:t>end burden of the approvals process. This includes public reporting on outcomes by council.</w:t>
            </w:r>
          </w:p>
        </w:tc>
      </w:tr>
      <w:tr w:rsidR="00A450D6" w14:paraId="019CC431" w14:textId="77777777">
        <w:tc>
          <w:tcPr>
            <w:tcW w:w="9638" w:type="dxa"/>
            <w:gridSpan w:val="2"/>
            <w:shd w:val="clear" w:color="auto" w:fill="auto"/>
            <w:tcMar>
              <w:top w:w="0" w:type="dxa"/>
              <w:bottom w:w="0" w:type="dxa"/>
            </w:tcMar>
          </w:tcPr>
          <w:p w14:paraId="3DF52BC4" w14:textId="12C423AD" w:rsidR="00A450D6" w:rsidRPr="007E0EA8" w:rsidRDefault="00A450D6">
            <w:pPr>
              <w:pStyle w:val="NoSpacing"/>
              <w:spacing w:line="200" w:lineRule="exact"/>
            </w:pPr>
          </w:p>
        </w:tc>
      </w:tr>
    </w:tbl>
    <w:p w14:paraId="4617655B" w14:textId="77777777" w:rsidR="00CE7062" w:rsidRDefault="00CE7062" w:rsidP="00656E0D">
      <w:pPr>
        <w:pStyle w:val="BodyText"/>
      </w:pPr>
      <w:r>
        <w:br w:type="page"/>
      </w:r>
    </w:p>
    <w:p w14:paraId="761F31F0" w14:textId="7CB1A517" w:rsidR="00A450D6" w:rsidRPr="000225D4" w:rsidRDefault="00A450D6">
      <w:pPr>
        <w:pStyle w:val="Heading4"/>
      </w:pPr>
      <w:r w:rsidRPr="000225D4">
        <w:lastRenderedPageBreak/>
        <w:t>Better coordinate infrastructure planning and charging with delivery</w:t>
      </w:r>
    </w:p>
    <w:p w14:paraId="25CBAF7D" w14:textId="2B47BF40" w:rsidR="00A450D6" w:rsidRDefault="00A450D6" w:rsidP="00151F4A">
      <w:pPr>
        <w:pStyle w:val="BodyText"/>
        <w:spacing w:line="260" w:lineRule="atLeast"/>
      </w:pPr>
      <w:r w:rsidRPr="009C3163">
        <w:t>The provision and coordination of infrastructure for</w:t>
      </w:r>
      <w:r w:rsidRPr="00976372">
        <w:t xml:space="preserve"> </w:t>
      </w:r>
      <w:r w:rsidRPr="009C3163">
        <w:t xml:space="preserve">housing also determines where and how quickly new housing can be built, and at what cost. Poorly coordinated infrastructure </w:t>
      </w:r>
      <w:r>
        <w:t xml:space="preserve">arrangements can prevent essential infrastructure being delivered where it is required, delaying or constraining </w:t>
      </w:r>
      <w:r w:rsidRPr="009C3163">
        <w:t>development</w:t>
      </w:r>
      <w:r>
        <w:t xml:space="preserve"> of new </w:t>
      </w:r>
      <w:r w:rsidRPr="009C3163">
        <w:t>dwellings</w:t>
      </w:r>
      <w:r>
        <w:t>, particularly in greenfield sites</w:t>
      </w:r>
      <w:r w:rsidRPr="009C3163">
        <w:t>.</w:t>
      </w:r>
      <w:r>
        <w:t xml:space="preserve"> A telling example is</w:t>
      </w:r>
      <w:r w:rsidRPr="00976372">
        <w:t xml:space="preserve"> Torana Estate in Sydney</w:t>
      </w:r>
      <w:r>
        <w:t>,</w:t>
      </w:r>
      <w:r w:rsidRPr="00976372">
        <w:t xml:space="preserve"> a greenfield housing development that was rezoned for housing in 2013</w:t>
      </w:r>
      <w:r>
        <w:t xml:space="preserve">. After parcels of land were purchased on the site in 2020, </w:t>
      </w:r>
      <w:r w:rsidRPr="00976372">
        <w:t xml:space="preserve">housing construction was </w:t>
      </w:r>
      <w:r>
        <w:t>postponed</w:t>
      </w:r>
      <w:r w:rsidRPr="00976372">
        <w:t xml:space="preserve"> </w:t>
      </w:r>
      <w:r>
        <w:t>for</w:t>
      </w:r>
      <w:r w:rsidRPr="00976372">
        <w:t xml:space="preserve"> several years </w:t>
      </w:r>
      <w:r>
        <w:t>by</w:t>
      </w:r>
      <w:r w:rsidRPr="00976372">
        <w:t xml:space="preserve"> </w:t>
      </w:r>
      <w:r>
        <w:t>delayed</w:t>
      </w:r>
      <w:r w:rsidRPr="00976372">
        <w:t xml:space="preserve"> sewerage connections</w:t>
      </w:r>
      <w:r>
        <w:t xml:space="preserve"> </w:t>
      </w:r>
      <w:r w:rsidRPr="00976372">
        <w:fldChar w:fldCharType="begin"/>
      </w:r>
      <w:r w:rsidR="008F2F22">
        <w:instrText xml:space="preserve"> ADDIN ZOTERO_ITEM CSL_CITATION {"citationID":"qkto2ovL","properties":{"unsorted":false,"formattedCitation":"(Hanrahan and Gock\\uc0\\u160{}2022)","plainCitation":"(Hanrahan and Gock 2022)","noteIndex":0},"citationItems":[{"id":9615,"uris":["http://zotero.org/groups/6391232/items/S2956V9H"],"itemData":{"id":9615,"type":"article-newspaper","container-title":"Australian Broadcasting Commission","title":"Sydney property development with no sewerage connection turns dream into nightmare","URL":"https://www.abc.net.au/news/2022-02-23/sewerage-connection-delays-sour-property-dreams-at-torana-estate/100847266","author":[{"family":"Hanrahan","given":"Catherine"},{"family":"Gock","given":"Kamin"}],"issued":{"date-parts":[["2022",2,23]]}}}],"schema":"https://github.com/citation-style-language/schema/raw/master/csl-citation.json"} </w:instrText>
      </w:r>
      <w:r w:rsidRPr="00976372">
        <w:fldChar w:fldCharType="separate"/>
      </w:r>
      <w:r w:rsidRPr="00976372">
        <w:t>(Hanrahan and Gock 2022)</w:t>
      </w:r>
      <w:r w:rsidRPr="00976372">
        <w:fldChar w:fldCharType="end"/>
      </w:r>
      <w:r w:rsidRPr="00976372">
        <w:t xml:space="preserve">. </w:t>
      </w:r>
    </w:p>
    <w:p w14:paraId="121811A0" w14:textId="77777777" w:rsidR="00A450D6" w:rsidRDefault="00A450D6" w:rsidP="00151F4A">
      <w:pPr>
        <w:pStyle w:val="BodyText"/>
        <w:spacing w:line="260" w:lineRule="atLeast"/>
      </w:pPr>
      <w:r w:rsidRPr="000225D4">
        <w:t>Chapter</w:t>
      </w:r>
      <w:r>
        <w:t> </w:t>
      </w:r>
      <w:r w:rsidRPr="000225D4">
        <w:t>4</w:t>
      </w:r>
      <w:r>
        <w:t xml:space="preserve"> of this report</w:t>
      </w:r>
      <w:r w:rsidRPr="000225D4">
        <w:t xml:space="preserve"> looks at how </w:t>
      </w:r>
      <w:r>
        <w:t>to enhance the supply of new housing through better arrangements for housing</w:t>
      </w:r>
      <w:r>
        <w:noBreakHyphen/>
        <w:t xml:space="preserve">enabling </w:t>
      </w:r>
      <w:r w:rsidRPr="000225D4">
        <w:t xml:space="preserve">infrastructure. We examine options to improve </w:t>
      </w:r>
      <w:r>
        <w:t xml:space="preserve">planning and </w:t>
      </w:r>
      <w:r w:rsidRPr="000225D4">
        <w:t>coordination</w:t>
      </w:r>
      <w:r>
        <w:t xml:space="preserve"> of infrastructure with new housing, who should pay for infrastructure</w:t>
      </w:r>
      <w:r w:rsidRPr="000225D4">
        <w:t xml:space="preserve"> </w:t>
      </w:r>
      <w:r>
        <w:t>and</w:t>
      </w:r>
      <w:r w:rsidRPr="000225D4">
        <w:t xml:space="preserve"> how developer </w:t>
      </w:r>
      <w:r>
        <w:t>contributions</w:t>
      </w:r>
      <w:r w:rsidRPr="000225D4">
        <w:t xml:space="preserve"> can affect the feasibility of development.</w:t>
      </w:r>
    </w:p>
    <w:p w14:paraId="4068D7FB" w14:textId="690D2C89" w:rsidR="00A450D6" w:rsidRDefault="00A450D6" w:rsidP="00151F4A">
      <w:pPr>
        <w:pStyle w:val="BodyText"/>
        <w:keepNext/>
        <w:spacing w:after="0" w:line="260" w:lineRule="atLeast"/>
      </w:pPr>
      <w:r>
        <w:t>Our priority reform directions are:</w:t>
      </w:r>
    </w:p>
    <w:p w14:paraId="11327C26" w14:textId="7FC2E6CF" w:rsidR="00A450D6" w:rsidRDefault="00A450D6" w:rsidP="00373CB6">
      <w:pPr>
        <w:pStyle w:val="NoSpacing"/>
      </w:pPr>
    </w:p>
    <w:tbl>
      <w:tblPr>
        <w:tblStyle w:val="Texttable-Paleblue"/>
        <w:tblW w:w="5000" w:type="pct"/>
        <w:tblLook w:val="04A0" w:firstRow="1" w:lastRow="0" w:firstColumn="1" w:lastColumn="0" w:noHBand="0" w:noVBand="1"/>
      </w:tblPr>
      <w:tblGrid>
        <w:gridCol w:w="713"/>
        <w:gridCol w:w="8925"/>
      </w:tblGrid>
      <w:tr w:rsidR="00A450D6" w14:paraId="1DD93BE2" w14:textId="77777777">
        <w:trPr>
          <w:tblHeader/>
        </w:trPr>
        <w:tc>
          <w:tcPr>
            <w:tcW w:w="713" w:type="dxa"/>
            <w:shd w:val="clear" w:color="auto" w:fill="E7F6FD"/>
            <w:tcMar>
              <w:top w:w="0" w:type="dxa"/>
              <w:bottom w:w="0" w:type="dxa"/>
            </w:tcMar>
            <w:vAlign w:val="center"/>
          </w:tcPr>
          <w:p w14:paraId="7480D982" w14:textId="77777777" w:rsidR="00A450D6" w:rsidRDefault="00A450D6">
            <w:pPr>
              <w:keepLines/>
              <w:jc w:val="center"/>
            </w:pPr>
            <w:r w:rsidRPr="00A51374">
              <w:rPr>
                <w:noProof/>
              </w:rPr>
              <w:drawing>
                <wp:inline distT="0" distB="0" distL="0" distR="0" wp14:anchorId="064651D4" wp14:editId="52BDF560">
                  <wp:extent cx="288000" cy="288000"/>
                  <wp:effectExtent l="0" t="0" r="0" b="0"/>
                  <wp:docPr id="1180793423" name="Graphic 1180793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0E254A83" w14:textId="77777777" w:rsidR="00A450D6" w:rsidRPr="00623AD7" w:rsidRDefault="00A450D6">
            <w:pPr>
              <w:pStyle w:val="FindingRecRequesttitle"/>
            </w:pPr>
            <w:r w:rsidRPr="00623AD7">
              <w:t>Reform direction 4.</w:t>
            </w:r>
            <w:r>
              <w:t>1</w:t>
            </w:r>
          </w:p>
          <w:p w14:paraId="47A847D9" w14:textId="77777777" w:rsidR="00A450D6" w:rsidRPr="00715040" w:rsidRDefault="00A450D6">
            <w:pPr>
              <w:pStyle w:val="FindingRecRequesttitle"/>
            </w:pPr>
            <w:r>
              <w:t>Coordinate</w:t>
            </w:r>
            <w:r w:rsidRPr="00623AD7">
              <w:t xml:space="preserve"> </w:t>
            </w:r>
            <w:r>
              <w:t>strategic planning for</w:t>
            </w:r>
            <w:r w:rsidRPr="00623AD7">
              <w:t xml:space="preserve"> infrastructure </w:t>
            </w:r>
            <w:r>
              <w:t>with housing objectives</w:t>
            </w:r>
          </w:p>
        </w:tc>
      </w:tr>
      <w:tr w:rsidR="00A450D6" w14:paraId="12F23F94" w14:textId="77777777">
        <w:tc>
          <w:tcPr>
            <w:tcW w:w="9638" w:type="dxa"/>
            <w:gridSpan w:val="2"/>
            <w:shd w:val="clear" w:color="auto" w:fill="E7F6FD"/>
            <w:tcMar>
              <w:top w:w="0" w:type="dxa"/>
            </w:tcMar>
          </w:tcPr>
          <w:p w14:paraId="31DAFDBB" w14:textId="77777777" w:rsidR="00A450D6" w:rsidRDefault="00A450D6" w:rsidP="00151F4A">
            <w:pPr>
              <w:pStyle w:val="BodyText"/>
              <w:spacing w:line="260" w:lineRule="atLeast"/>
            </w:pPr>
            <w:r>
              <w:t>State, territory and local governments should improve their infrastructure planning by:</w:t>
            </w:r>
          </w:p>
          <w:p w14:paraId="3944C45A" w14:textId="77777777" w:rsidR="00A450D6" w:rsidRPr="006071FF" w:rsidRDefault="00A450D6" w:rsidP="00151F4A">
            <w:pPr>
              <w:pStyle w:val="ListBullet"/>
              <w:spacing w:line="260" w:lineRule="atLeast"/>
              <w:rPr>
                <w:spacing w:val="-4"/>
              </w:rPr>
            </w:pPr>
            <w:r w:rsidRPr="006071FF">
              <w:rPr>
                <w:spacing w:val="-4"/>
              </w:rPr>
              <w:t>documenting how infrastructure planning supports housing objectives, including any interdependencies with third parties such as infrastructure service providers. This should be prioritised for areas identified as having high expected demand for new housing (reform direction 3.1)</w:t>
            </w:r>
          </w:p>
          <w:p w14:paraId="1E2D8D3C" w14:textId="77777777" w:rsidR="00A450D6" w:rsidRPr="00EE3E36" w:rsidRDefault="00A450D6" w:rsidP="00151F4A">
            <w:pPr>
              <w:pStyle w:val="ListBullet"/>
              <w:spacing w:line="260" w:lineRule="atLeast"/>
            </w:pPr>
            <w:r>
              <w:t>ensuring infrastructure planning documents are kept current</w:t>
            </w:r>
          </w:p>
          <w:p w14:paraId="548FF6C9" w14:textId="77777777" w:rsidR="00A450D6" w:rsidRPr="00327C1B" w:rsidRDefault="00A450D6" w:rsidP="00151F4A">
            <w:pPr>
              <w:pStyle w:val="ListBullet"/>
              <w:spacing w:line="260" w:lineRule="atLeast"/>
            </w:pPr>
            <w:r>
              <w:t>reporting</w:t>
            </w:r>
            <w:r w:rsidRPr="05013D34">
              <w:t xml:space="preserve"> the level of funding allocated to individual infrastructure projects and the expected costs and benefits of </w:t>
            </w:r>
            <w:r>
              <w:t>major road and transport projects</w:t>
            </w:r>
          </w:p>
          <w:p w14:paraId="31FB5B81" w14:textId="77777777" w:rsidR="00A450D6" w:rsidRPr="00767EAE" w:rsidRDefault="00A450D6" w:rsidP="00151F4A">
            <w:pPr>
              <w:pStyle w:val="ListBullet"/>
              <w:spacing w:line="260" w:lineRule="atLeast"/>
            </w:pPr>
            <w:r w:rsidRPr="00EE3E36">
              <w:t xml:space="preserve">ensuring there is a consistent approach </w:t>
            </w:r>
            <w:r>
              <w:t xml:space="preserve">to infrastructure planning </w:t>
            </w:r>
            <w:r w:rsidRPr="00EE3E36">
              <w:t xml:space="preserve">across local governments within jurisdictions, and that local </w:t>
            </w:r>
            <w:r>
              <w:t>planning aligns</w:t>
            </w:r>
            <w:r w:rsidRPr="00EE3E36">
              <w:t xml:space="preserve"> with state</w:t>
            </w:r>
            <w:r>
              <w:noBreakHyphen/>
            </w:r>
            <w:r w:rsidRPr="00EE3E36">
              <w:t>level infrastructure and housing objectives and projections</w:t>
            </w:r>
            <w:r>
              <w:t xml:space="preserve"> (and supports reform direction 4.2).</w:t>
            </w:r>
          </w:p>
        </w:tc>
      </w:tr>
      <w:tr w:rsidR="00A450D6" w14:paraId="5FC13A78" w14:textId="77777777">
        <w:trPr>
          <w:trHeight w:val="93"/>
        </w:trPr>
        <w:tc>
          <w:tcPr>
            <w:tcW w:w="9638" w:type="dxa"/>
            <w:gridSpan w:val="2"/>
            <w:shd w:val="clear" w:color="auto" w:fill="auto"/>
            <w:tcMar>
              <w:top w:w="0" w:type="dxa"/>
              <w:bottom w:w="0" w:type="dxa"/>
            </w:tcMar>
          </w:tcPr>
          <w:p w14:paraId="727DD0D4" w14:textId="5C480DE4" w:rsidR="00A450D6" w:rsidRPr="007E0EA8" w:rsidRDefault="00A450D6">
            <w:pPr>
              <w:pStyle w:val="NoSpacing"/>
              <w:spacing w:line="200" w:lineRule="exact"/>
            </w:pPr>
          </w:p>
        </w:tc>
      </w:tr>
    </w:tbl>
    <w:p w14:paraId="12ECE556" w14:textId="50D2A5B6"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38A35AFD" w14:textId="77777777" w:rsidTr="00C60B92">
        <w:trPr>
          <w:tblHeader/>
        </w:trPr>
        <w:tc>
          <w:tcPr>
            <w:tcW w:w="713" w:type="dxa"/>
            <w:shd w:val="clear" w:color="auto" w:fill="E7F6FD"/>
            <w:tcMar>
              <w:top w:w="0" w:type="dxa"/>
              <w:bottom w:w="0" w:type="dxa"/>
            </w:tcMar>
            <w:vAlign w:val="center"/>
          </w:tcPr>
          <w:p w14:paraId="2526E29F" w14:textId="77777777" w:rsidR="00A450D6" w:rsidRDefault="00A450D6">
            <w:pPr>
              <w:keepLines/>
              <w:jc w:val="center"/>
            </w:pPr>
            <w:r w:rsidRPr="00A51374">
              <w:rPr>
                <w:noProof/>
              </w:rPr>
              <w:drawing>
                <wp:inline distT="0" distB="0" distL="0" distR="0" wp14:anchorId="5C7B4907" wp14:editId="00AD73A1">
                  <wp:extent cx="288000" cy="288000"/>
                  <wp:effectExtent l="0" t="0" r="0" b="0"/>
                  <wp:docPr id="604950766" name="Graphic 604950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5FD0A116" w14:textId="77777777" w:rsidR="00A450D6" w:rsidRPr="00715040" w:rsidRDefault="00A450D6">
            <w:pPr>
              <w:pStyle w:val="FindingRecRequesttitle"/>
            </w:pPr>
            <w:r w:rsidRPr="00715040">
              <w:t>Re</w:t>
            </w:r>
            <w:r>
              <w:t>form direction 4.2</w:t>
            </w:r>
          </w:p>
          <w:p w14:paraId="61C0B317" w14:textId="77777777" w:rsidR="00A450D6" w:rsidRPr="00715040" w:rsidRDefault="00A450D6">
            <w:pPr>
              <w:pStyle w:val="FindingRecRequesttitle"/>
            </w:pPr>
            <w:r>
              <w:t>Improve infrastructure sequencing with housing development</w:t>
            </w:r>
          </w:p>
        </w:tc>
      </w:tr>
      <w:tr w:rsidR="00A450D6" w14:paraId="7C132877" w14:textId="77777777" w:rsidTr="00C60B92">
        <w:tc>
          <w:tcPr>
            <w:tcW w:w="9638" w:type="dxa"/>
            <w:gridSpan w:val="2"/>
            <w:shd w:val="clear" w:color="auto" w:fill="E7F6FD"/>
            <w:tcMar>
              <w:top w:w="0" w:type="dxa"/>
            </w:tcMar>
          </w:tcPr>
          <w:p w14:paraId="6DE66962" w14:textId="77777777" w:rsidR="00A450D6" w:rsidRDefault="00A450D6">
            <w:pPr>
              <w:pStyle w:val="BodyText"/>
            </w:pPr>
            <w:r>
              <w:t>State and territory governments should improve how infrastructure is sequenced with housing. This includes:</w:t>
            </w:r>
          </w:p>
          <w:p w14:paraId="3B65CDC3" w14:textId="77777777" w:rsidR="00A450D6" w:rsidRDefault="00A450D6" w:rsidP="00E11D04">
            <w:pPr>
              <w:pStyle w:val="ListBullet"/>
              <w:rPr>
                <w:rFonts w:cstheme="minorHAnsi"/>
              </w:rPr>
            </w:pPr>
            <w:r w:rsidRPr="00EE3E36">
              <w:t>ensuring the timing of rezoning and infrastructure planning accounts for the lead times of each and that this is reflected in infrastructure plans</w:t>
            </w:r>
            <w:r>
              <w:rPr>
                <w:rFonts w:cstheme="minorHAnsi"/>
              </w:rPr>
              <w:t>, to ensure land for housing is released once a plan to deliver timely supporting infrastructure has been made</w:t>
            </w:r>
          </w:p>
          <w:p w14:paraId="4B9380BD" w14:textId="77777777" w:rsidR="00A450D6" w:rsidRPr="00EE3E36" w:rsidRDefault="00A450D6" w:rsidP="00E11D04">
            <w:pPr>
              <w:pStyle w:val="ListBullet"/>
            </w:pPr>
            <w:r>
              <w:t>ensuring infrastructure upgrades to support additional housing coincide with required changes to support housing, such as upzoning</w:t>
            </w:r>
          </w:p>
          <w:p w14:paraId="74BEB6C3" w14:textId="77777777" w:rsidR="00A450D6" w:rsidRPr="00EE3E36" w:rsidRDefault="00A450D6" w:rsidP="00E11D04">
            <w:pPr>
              <w:pStyle w:val="ListBullet"/>
            </w:pPr>
            <w:r w:rsidRPr="00EE3E36">
              <w:t xml:space="preserve">developing an accountability framework with clear responsibilities for each level of government and other parties such as </w:t>
            </w:r>
            <w:r>
              <w:t>regulators and infrastructure service</w:t>
            </w:r>
            <w:r w:rsidRPr="00EE3E36">
              <w:t xml:space="preserve"> providers, to set out how they will work together to deliver timely infrastructure to support housing</w:t>
            </w:r>
          </w:p>
          <w:p w14:paraId="53764A74" w14:textId="77777777" w:rsidR="00A450D6" w:rsidRPr="00767EAE" w:rsidRDefault="00A450D6" w:rsidP="00E11D04">
            <w:pPr>
              <w:pStyle w:val="ListBullet"/>
            </w:pPr>
            <w:r w:rsidRPr="00EE3E36">
              <w:t>considering how sequencing can improve certainty for other parts of the development process, including approvals (reform direction 3.1</w:t>
            </w:r>
            <w:r>
              <w:rPr>
                <w:rFonts w:cstheme="minorHAnsi"/>
              </w:rPr>
              <w:t>)</w:t>
            </w:r>
            <w:r w:rsidRPr="00327C1B">
              <w:rPr>
                <w:rFonts w:cstheme="minorHAnsi"/>
              </w:rPr>
              <w:t>.</w:t>
            </w:r>
          </w:p>
        </w:tc>
      </w:tr>
    </w:tbl>
    <w:p w14:paraId="7F38017F" w14:textId="16211574" w:rsidR="00A450D6" w:rsidRPr="00C60B92" w:rsidRDefault="00A450D6" w:rsidP="00C60B92">
      <w:pPr>
        <w:pStyle w:val="NoSpacing"/>
        <w:spacing w:line="20" w:lineRule="atLeast"/>
        <w:rPr>
          <w:sz w:val="2"/>
          <w:szCs w:val="2"/>
        </w:rPr>
      </w:pPr>
    </w:p>
    <w:tbl>
      <w:tblPr>
        <w:tblStyle w:val="Texttable-Paleblue"/>
        <w:tblW w:w="5000" w:type="pct"/>
        <w:tblLook w:val="04A0" w:firstRow="1" w:lastRow="0" w:firstColumn="1" w:lastColumn="0" w:noHBand="0" w:noVBand="1"/>
      </w:tblPr>
      <w:tblGrid>
        <w:gridCol w:w="713"/>
        <w:gridCol w:w="8925"/>
      </w:tblGrid>
      <w:tr w:rsidR="00A450D6" w14:paraId="6C975D99" w14:textId="77777777">
        <w:trPr>
          <w:tblHeader/>
        </w:trPr>
        <w:tc>
          <w:tcPr>
            <w:tcW w:w="709" w:type="dxa"/>
            <w:shd w:val="clear" w:color="auto" w:fill="E7F6FD"/>
            <w:tcMar>
              <w:top w:w="0" w:type="dxa"/>
              <w:bottom w:w="0" w:type="dxa"/>
            </w:tcMar>
            <w:vAlign w:val="center"/>
          </w:tcPr>
          <w:p w14:paraId="229E5DC6" w14:textId="77777777" w:rsidR="00A450D6" w:rsidRDefault="00A450D6">
            <w:pPr>
              <w:keepLines/>
              <w:jc w:val="center"/>
            </w:pPr>
            <w:r w:rsidRPr="00A51374">
              <w:rPr>
                <w:noProof/>
              </w:rPr>
              <w:drawing>
                <wp:inline distT="0" distB="0" distL="0" distR="0" wp14:anchorId="1939920D" wp14:editId="50A4B6CB">
                  <wp:extent cx="288000" cy="288000"/>
                  <wp:effectExtent l="0" t="0" r="0" b="0"/>
                  <wp:docPr id="1771396552" name="Graphic 1771396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3080397E" w14:textId="77777777" w:rsidR="00A450D6" w:rsidRPr="00715040" w:rsidRDefault="00A450D6">
            <w:pPr>
              <w:pStyle w:val="FindingRecRequesttitle"/>
            </w:pPr>
            <w:r w:rsidRPr="00715040">
              <w:t>Re</w:t>
            </w:r>
            <w:r>
              <w:t>form direction</w:t>
            </w:r>
            <w:r w:rsidRPr="00715040">
              <w:t xml:space="preserve"> </w:t>
            </w:r>
            <w:r>
              <w:t>4.3</w:t>
            </w:r>
          </w:p>
          <w:p w14:paraId="422A51F8" w14:textId="77777777" w:rsidR="00A450D6" w:rsidRPr="00715040" w:rsidRDefault="00A450D6">
            <w:pPr>
              <w:pStyle w:val="FindingRecRequesttitle"/>
            </w:pPr>
            <w:r>
              <w:t>Ensure developer contributions reflect the accurate cost of providing infrastructure</w:t>
            </w:r>
          </w:p>
        </w:tc>
      </w:tr>
      <w:tr w:rsidR="00A450D6" w14:paraId="67A097BC" w14:textId="77777777">
        <w:tc>
          <w:tcPr>
            <w:tcW w:w="9583" w:type="dxa"/>
            <w:gridSpan w:val="2"/>
            <w:shd w:val="clear" w:color="auto" w:fill="E7F6FD"/>
            <w:tcMar>
              <w:top w:w="0" w:type="dxa"/>
            </w:tcMar>
          </w:tcPr>
          <w:p w14:paraId="05EEB3DE" w14:textId="77777777" w:rsidR="00A450D6" w:rsidRPr="008704A9" w:rsidRDefault="00A450D6">
            <w:pPr>
              <w:pStyle w:val="BodyText"/>
              <w:rPr>
                <w:rFonts w:cstheme="minorHAnsi"/>
              </w:rPr>
            </w:pPr>
            <w:r>
              <w:rPr>
                <w:rFonts w:cstheme="minorHAnsi"/>
              </w:rPr>
              <w:t>State, territory</w:t>
            </w:r>
            <w:r w:rsidRPr="008704A9">
              <w:rPr>
                <w:rFonts w:cstheme="minorHAnsi"/>
              </w:rPr>
              <w:t xml:space="preserve"> and local </w:t>
            </w:r>
            <w:r>
              <w:rPr>
                <w:rFonts w:cstheme="minorHAnsi"/>
              </w:rPr>
              <w:t xml:space="preserve">governments should: </w:t>
            </w:r>
          </w:p>
          <w:p w14:paraId="3176F3BC" w14:textId="77777777" w:rsidR="00A450D6" w:rsidRPr="00EE3E36" w:rsidRDefault="00A450D6" w:rsidP="00E11D04">
            <w:pPr>
              <w:pStyle w:val="ListBullet"/>
            </w:pPr>
            <w:r w:rsidRPr="00EE3E36">
              <w:t>use developer contributions for all infrastructure with a close nexus to the development, when the development has also created a demonstrated need</w:t>
            </w:r>
          </w:p>
          <w:p w14:paraId="3B7153F4" w14:textId="77777777" w:rsidR="00A450D6" w:rsidRPr="00EE3E36" w:rsidRDefault="00A450D6" w:rsidP="00E11D04">
            <w:pPr>
              <w:pStyle w:val="ListBullet"/>
            </w:pPr>
            <w:r w:rsidRPr="00EE3E36">
              <w:t>apportion contributions for infrastructure when beneficiaries are dispersed beyond the development site</w:t>
            </w:r>
          </w:p>
          <w:p w14:paraId="05AE9D9F" w14:textId="77777777" w:rsidR="00A450D6" w:rsidRPr="00EE3E36" w:rsidRDefault="00A450D6" w:rsidP="00E11D04">
            <w:pPr>
              <w:pStyle w:val="ListBullet"/>
            </w:pPr>
            <w:r w:rsidRPr="00EE3E36">
              <w:t>remove contributions when there is no demonstrable nexus between a development and infrastructure</w:t>
            </w:r>
          </w:p>
          <w:p w14:paraId="16E19868" w14:textId="77777777" w:rsidR="00A450D6" w:rsidRPr="006071FF" w:rsidRDefault="00A450D6" w:rsidP="00E11D04">
            <w:pPr>
              <w:pStyle w:val="ListBullet"/>
              <w:rPr>
                <w:spacing w:val="-4"/>
              </w:rPr>
            </w:pPr>
            <w:r w:rsidRPr="006071FF">
              <w:rPr>
                <w:spacing w:val="-4"/>
              </w:rPr>
              <w:t>use cost</w:t>
            </w:r>
            <w:r w:rsidRPr="006071FF">
              <w:rPr>
                <w:spacing w:val="-4"/>
              </w:rPr>
              <w:noBreakHyphen/>
              <w:t>reflective developer contributions where possible, unless there are significant administrative burdens for local government or accurate cost estimates cannot be provided upfront.</w:t>
            </w:r>
          </w:p>
        </w:tc>
      </w:tr>
      <w:tr w:rsidR="00A450D6" w14:paraId="2709DAE5" w14:textId="77777777">
        <w:tc>
          <w:tcPr>
            <w:tcW w:w="9583" w:type="dxa"/>
            <w:gridSpan w:val="2"/>
            <w:shd w:val="clear" w:color="auto" w:fill="auto"/>
            <w:tcMar>
              <w:top w:w="0" w:type="dxa"/>
              <w:bottom w:w="0" w:type="dxa"/>
            </w:tcMar>
          </w:tcPr>
          <w:p w14:paraId="16E9EBDA" w14:textId="0E40BA11" w:rsidR="00A450D6" w:rsidRPr="007E0EA8" w:rsidRDefault="00A450D6">
            <w:pPr>
              <w:pStyle w:val="NoSpacing"/>
              <w:spacing w:line="200" w:lineRule="exact"/>
            </w:pPr>
          </w:p>
        </w:tc>
      </w:tr>
    </w:tbl>
    <w:p w14:paraId="401F4EB8" w14:textId="73FF9BE5"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0B5CCAC1" w14:textId="77777777">
        <w:trPr>
          <w:tblHeader/>
        </w:trPr>
        <w:tc>
          <w:tcPr>
            <w:tcW w:w="709" w:type="dxa"/>
            <w:shd w:val="clear" w:color="auto" w:fill="E7F6FD"/>
            <w:tcMar>
              <w:top w:w="0" w:type="dxa"/>
              <w:bottom w:w="0" w:type="dxa"/>
            </w:tcMar>
            <w:vAlign w:val="center"/>
          </w:tcPr>
          <w:p w14:paraId="0C1BC648" w14:textId="77777777" w:rsidR="00A450D6" w:rsidRDefault="00A450D6">
            <w:pPr>
              <w:keepLines/>
              <w:jc w:val="center"/>
            </w:pPr>
            <w:r w:rsidRPr="00A51374">
              <w:rPr>
                <w:noProof/>
              </w:rPr>
              <w:drawing>
                <wp:inline distT="0" distB="0" distL="0" distR="0" wp14:anchorId="5A056652" wp14:editId="1C332E69">
                  <wp:extent cx="288000" cy="288000"/>
                  <wp:effectExtent l="0" t="0" r="0" b="0"/>
                  <wp:docPr id="1021337877" name="Graphic 1021337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0927F0A" w14:textId="77777777" w:rsidR="00A450D6" w:rsidRPr="00300CEB" w:rsidRDefault="00A450D6">
            <w:pPr>
              <w:pStyle w:val="FindingRecRequesttitle"/>
            </w:pPr>
            <w:r w:rsidRPr="00300CEB">
              <w:t xml:space="preserve">Reform direction </w:t>
            </w:r>
            <w:r>
              <w:t>4.4</w:t>
            </w:r>
          </w:p>
          <w:p w14:paraId="2F207608" w14:textId="77777777" w:rsidR="00A450D6" w:rsidRPr="00715040" w:rsidRDefault="00A450D6">
            <w:pPr>
              <w:pStyle w:val="FindingRecRequesttitle"/>
            </w:pPr>
            <w:r w:rsidRPr="00300CEB">
              <w:t>Enhance design of developer contribution frameworks towards best practice</w:t>
            </w:r>
          </w:p>
        </w:tc>
      </w:tr>
      <w:tr w:rsidR="00A450D6" w14:paraId="2CDF203C" w14:textId="77777777">
        <w:tc>
          <w:tcPr>
            <w:tcW w:w="9583" w:type="dxa"/>
            <w:gridSpan w:val="2"/>
            <w:shd w:val="clear" w:color="auto" w:fill="E7F6FD"/>
            <w:tcMar>
              <w:top w:w="0" w:type="dxa"/>
            </w:tcMar>
          </w:tcPr>
          <w:p w14:paraId="01DB0A49" w14:textId="77777777" w:rsidR="00A450D6" w:rsidRPr="008704A9" w:rsidRDefault="00A450D6">
            <w:pPr>
              <w:pStyle w:val="BodyText"/>
              <w:rPr>
                <w:rFonts w:cstheme="minorHAnsi"/>
              </w:rPr>
            </w:pPr>
            <w:r>
              <w:rPr>
                <w:rFonts w:cstheme="minorHAnsi"/>
              </w:rPr>
              <w:t>State, territory and local governments should u</w:t>
            </w:r>
            <w:r w:rsidRPr="008704A9">
              <w:rPr>
                <w:rFonts w:cstheme="minorHAnsi"/>
              </w:rPr>
              <w:t>pdate the design of developer contribution frameworks to:</w:t>
            </w:r>
          </w:p>
          <w:p w14:paraId="4B264086" w14:textId="77777777" w:rsidR="00A450D6" w:rsidRPr="00EE3E36" w:rsidRDefault="00A450D6" w:rsidP="00E11D04">
            <w:pPr>
              <w:pStyle w:val="ListBullet"/>
            </w:pPr>
            <w:r w:rsidRPr="00EE3E36">
              <w:t>include upfront estimates of contributions prior to land release or land acquisition, and make available online contribution estimation tools</w:t>
            </w:r>
          </w:p>
          <w:p w14:paraId="158642C1" w14:textId="77777777" w:rsidR="00A450D6" w:rsidRPr="00EE3E36" w:rsidRDefault="00A450D6" w:rsidP="00E11D04">
            <w:pPr>
              <w:pStyle w:val="ListBullet"/>
            </w:pPr>
            <w:r w:rsidRPr="00EE3E36">
              <w:t xml:space="preserve">allow </w:t>
            </w:r>
            <w:r>
              <w:t>contribution payments</w:t>
            </w:r>
            <w:r w:rsidRPr="00EE3E36">
              <w:t xml:space="preserve"> to be </w:t>
            </w:r>
            <w:r>
              <w:t xml:space="preserve">staged or </w:t>
            </w:r>
            <w:r w:rsidRPr="00EE3E36">
              <w:t>due later in the development process</w:t>
            </w:r>
          </w:p>
          <w:p w14:paraId="5ABBAA12" w14:textId="77777777" w:rsidR="00A450D6" w:rsidRPr="00EE3E36" w:rsidRDefault="00A450D6" w:rsidP="00E11D04">
            <w:pPr>
              <w:pStyle w:val="ListBullet"/>
            </w:pPr>
            <w:r w:rsidRPr="00EE3E36">
              <w:t>take a consistent approach across all local governments within each state and territory in how charges are administered and calculated</w:t>
            </w:r>
          </w:p>
          <w:p w14:paraId="6C786B13" w14:textId="77777777" w:rsidR="00A450D6" w:rsidRDefault="00A450D6" w:rsidP="00E11D04">
            <w:pPr>
              <w:pStyle w:val="ListBullet"/>
            </w:pPr>
            <w:r w:rsidRPr="00EE3E36">
              <w:t>reduce the number of different contributions levied on developers</w:t>
            </w:r>
            <w:r w:rsidRPr="00EE3E36" w:rsidDel="002770EA">
              <w:t xml:space="preserve"> </w:t>
            </w:r>
            <w:r w:rsidRPr="00EE3E36">
              <w:t>by bundling different contributions into single levies where possible</w:t>
            </w:r>
          </w:p>
          <w:p w14:paraId="62B09F60" w14:textId="77777777" w:rsidR="00A450D6" w:rsidRPr="006A19DA" w:rsidRDefault="00A450D6" w:rsidP="00E11D04">
            <w:pPr>
              <w:pStyle w:val="ListBullet"/>
            </w:pPr>
            <w:r w:rsidRPr="006A19DA">
              <w:t>adopt transparent, centralised reporting of funds collected at the development, local government and state levels and progress reports against planned infrastructure delivery and housing supply objectives.</w:t>
            </w:r>
          </w:p>
        </w:tc>
      </w:tr>
      <w:tr w:rsidR="00A450D6" w14:paraId="039DF31C" w14:textId="77777777">
        <w:tc>
          <w:tcPr>
            <w:tcW w:w="9583" w:type="dxa"/>
            <w:gridSpan w:val="2"/>
            <w:shd w:val="clear" w:color="auto" w:fill="auto"/>
            <w:tcMar>
              <w:top w:w="0" w:type="dxa"/>
              <w:bottom w:w="0" w:type="dxa"/>
            </w:tcMar>
          </w:tcPr>
          <w:p w14:paraId="06E46907" w14:textId="300CA604" w:rsidR="00A450D6" w:rsidRPr="007E0EA8" w:rsidRDefault="00A450D6">
            <w:pPr>
              <w:pStyle w:val="NoSpacing"/>
              <w:spacing w:line="200" w:lineRule="exact"/>
            </w:pPr>
          </w:p>
        </w:tc>
      </w:tr>
    </w:tbl>
    <w:p w14:paraId="7B248742" w14:textId="77777777" w:rsidR="00656E0D" w:rsidRDefault="00656E0D" w:rsidP="00656E0D">
      <w:pPr>
        <w:pStyle w:val="BodyText"/>
      </w:pPr>
      <w:r>
        <w:br w:type="page"/>
      </w:r>
    </w:p>
    <w:p w14:paraId="5D842A2C" w14:textId="0420D8A9" w:rsidR="00A450D6" w:rsidRDefault="00A450D6" w:rsidP="006071FF">
      <w:pPr>
        <w:pStyle w:val="Heading4"/>
        <w:spacing w:before="360"/>
      </w:pPr>
      <w:r>
        <w:lastRenderedPageBreak/>
        <w:t>Land</w:t>
      </w:r>
      <w:r>
        <w:noBreakHyphen/>
        <w:t>use reforms and infrastructure coordination will have the biggest effect on housing supply</w:t>
      </w:r>
    </w:p>
    <w:p w14:paraId="3252D23F" w14:textId="77777777" w:rsidR="00A450D6" w:rsidRPr="00C60B92" w:rsidRDefault="00A450D6">
      <w:pPr>
        <w:pStyle w:val="BodyText"/>
        <w:rPr>
          <w:spacing w:val="-4"/>
        </w:rPr>
      </w:pPr>
      <w:r w:rsidRPr="00C60B92">
        <w:rPr>
          <w:spacing w:val="-4"/>
        </w:rPr>
        <w:t>Of all the housing supply reform areas in our terms of reference, reforming land</w:t>
      </w:r>
      <w:r w:rsidRPr="00C60B92">
        <w:rPr>
          <w:spacing w:val="-4"/>
        </w:rPr>
        <w:noBreakHyphen/>
        <w:t>use controls to increase housing density in cities is likely to have the greatest impact on supply. We base this conclusion on evidence from literature, initial modelling and consultation (including meetings, submissions and roundtables).</w:t>
      </w:r>
    </w:p>
    <w:p w14:paraId="2E5882D2" w14:textId="77777777" w:rsidR="00A450D6" w:rsidRDefault="00A450D6">
      <w:pPr>
        <w:pStyle w:val="BodyText"/>
      </w:pPr>
      <w:r w:rsidRPr="00035DBE">
        <w:t>The effect of land</w:t>
      </w:r>
      <w:r>
        <w:noBreakHyphen/>
      </w:r>
      <w:r w:rsidRPr="00035DBE">
        <w:t xml:space="preserve">use controls may be more limited in greenfield areas where land has already been released. </w:t>
      </w:r>
      <w:r>
        <w:t>Land release in and of itself is not a problem in many greenfield areas, but r</w:t>
      </w:r>
      <w:r w:rsidRPr="002936AF">
        <w:t>eleased</w:t>
      </w:r>
      <w:r w:rsidRPr="002B1C79" w:rsidDel="006F7F97">
        <w:t xml:space="preserve"> </w:t>
      </w:r>
      <w:r w:rsidRPr="002936AF">
        <w:t>land can only translate into housing</w:t>
      </w:r>
      <w:r>
        <w:t xml:space="preserve"> supply </w:t>
      </w:r>
      <w:r w:rsidRPr="002936AF">
        <w:t>when it is supported by enabling infrastructure</w:t>
      </w:r>
      <w:r w:rsidRPr="00035DBE">
        <w:t>, which we</w:t>
      </w:r>
      <w:r>
        <w:t xml:space="preserve"> have heard </w:t>
      </w:r>
      <w:r w:rsidRPr="00035DBE">
        <w:t xml:space="preserve">is </w:t>
      </w:r>
      <w:r>
        <w:t xml:space="preserve">often </w:t>
      </w:r>
      <w:r w:rsidRPr="00035DBE">
        <w:t xml:space="preserve">a constraint </w:t>
      </w:r>
      <w:r>
        <w:t>for new developments in these locations. Better strategic planning would help governments navigate infrastructure coordination challenges, both for infill and greenfield locations, and could also unlock significant supply.</w:t>
      </w:r>
    </w:p>
    <w:p w14:paraId="149F7427" w14:textId="77777777" w:rsidR="00A450D6" w:rsidRDefault="00A450D6">
      <w:pPr>
        <w:pStyle w:val="BodyText"/>
      </w:pPr>
      <w:r>
        <w:t>In contrast, reducing regulatory burdens by, for example, improving approval timeframes and enhancing developer contribution frameworks is likely to have less effect on overall supply</w:t>
      </w:r>
      <w:r w:rsidRPr="002B1C79">
        <w:t>.</w:t>
      </w:r>
      <w:r>
        <w:t xml:space="preserve"> While there are clear opportunities for improvement, </w:t>
      </w:r>
      <w:r w:rsidRPr="002B1C79">
        <w:t xml:space="preserve">governments should not rely on these types of reforms alone to address </w:t>
      </w:r>
      <w:r w:rsidRPr="002B1C79" w:rsidDel="006F0339">
        <w:t>the</w:t>
      </w:r>
      <w:r w:rsidRPr="002B1C79">
        <w:t xml:space="preserve"> supply challenge.</w:t>
      </w:r>
    </w:p>
    <w:p w14:paraId="4437C90B" w14:textId="77777777" w:rsidR="00A450D6" w:rsidRDefault="00A450D6">
      <w:pPr>
        <w:pStyle w:val="Heading4"/>
      </w:pPr>
      <w:r>
        <w:t>The role of the Australian Government</w:t>
      </w:r>
    </w:p>
    <w:p w14:paraId="2B2892C6" w14:textId="77777777" w:rsidR="00A450D6" w:rsidRDefault="00A450D6">
      <w:pPr>
        <w:pStyle w:val="BodyText"/>
      </w:pPr>
      <w:r>
        <w:t>States</w:t>
      </w:r>
      <w:r w:rsidRPr="00393AF0">
        <w:t xml:space="preserve"> and territor</w:t>
      </w:r>
      <w:r>
        <w:t>ies</w:t>
      </w:r>
      <w:r w:rsidRPr="00393AF0">
        <w:t xml:space="preserve"> are responsible for setting </w:t>
      </w:r>
      <w:r>
        <w:t>most</w:t>
      </w:r>
      <w:r w:rsidRPr="00393AF0">
        <w:t xml:space="preserve"> housing regulations, </w:t>
      </w:r>
      <w:r>
        <w:t>and local governments are typically responsible for applying them. As such, most of our reform directions target actions that can be taken by state, territory and local governments.</w:t>
      </w:r>
    </w:p>
    <w:p w14:paraId="4E937F5C" w14:textId="77777777" w:rsidR="00A450D6" w:rsidRDefault="00A450D6">
      <w:pPr>
        <w:pStyle w:val="BodyText"/>
      </w:pPr>
      <w:r>
        <w:t>However, the Australian Government sets housing</w:t>
      </w:r>
      <w:r w:rsidRPr="00393AF0">
        <w:t xml:space="preserve"> </w:t>
      </w:r>
      <w:r>
        <w:t xml:space="preserve">policy </w:t>
      </w:r>
      <w:r w:rsidRPr="00393AF0">
        <w:t xml:space="preserve">priorities </w:t>
      </w:r>
      <w:r>
        <w:t>in</w:t>
      </w:r>
      <w:r w:rsidRPr="00393AF0">
        <w:t xml:space="preserve"> national plans, policies</w:t>
      </w:r>
      <w:r>
        <w:t xml:space="preserve">, </w:t>
      </w:r>
      <w:r w:rsidRPr="00393AF0">
        <w:t>funding</w:t>
      </w:r>
      <w:r>
        <w:t xml:space="preserve"> and legislation, and therefore has an essential role in supporting states, territories and local governments to move toward best practice and implement reforms.</w:t>
      </w:r>
    </w:p>
    <w:p w14:paraId="0B89C690" w14:textId="77777777" w:rsidR="00A450D6" w:rsidRPr="006A19DA" w:rsidRDefault="00A450D6">
      <w:pPr>
        <w:pStyle w:val="BodyText"/>
        <w:rPr>
          <w:spacing w:val="-2"/>
        </w:rPr>
      </w:pPr>
      <w:r w:rsidRPr="006A19DA">
        <w:rPr>
          <w:spacing w:val="-2"/>
        </w:rPr>
        <w:t>The Australian Government could also have a more direct role, particularly for infrastructure development, helping to provide finance such as low or no</w:t>
      </w:r>
      <w:r w:rsidRPr="006A19DA">
        <w:rPr>
          <w:spacing w:val="-2"/>
        </w:rPr>
        <w:noBreakHyphen/>
        <w:t>interest loans, managing funding shortfalls and underwriting risks in the infrastructure sequencing process. The PC is seeking feedback on how the Australian Government can support housing regulatory reform and operationalise the reform directions.</w:t>
      </w:r>
    </w:p>
    <w:p w14:paraId="3F93497F" w14:textId="77777777" w:rsidR="00A450D6" w:rsidRDefault="00A450D6">
      <w:pPr>
        <w:pStyle w:val="Heading4"/>
      </w:pPr>
      <w:r>
        <w:t>What we are not looking at</w:t>
      </w:r>
    </w:p>
    <w:p w14:paraId="1077560C" w14:textId="77777777" w:rsidR="00A450D6" w:rsidRPr="00C60B92" w:rsidRDefault="00A450D6">
      <w:pPr>
        <w:pStyle w:val="BodyText"/>
        <w:rPr>
          <w:spacing w:val="-4"/>
        </w:rPr>
      </w:pPr>
      <w:r w:rsidRPr="00C60B92">
        <w:rPr>
          <w:spacing w:val="-4"/>
        </w:rPr>
        <w:t>The terms of reference for this inquiry, and hence our reform directions, do not cover every policy issue that affects housing supply. For example, the National Construction Code is out of scope for this inquiry, as are policies that may affect construction costs, labour supply in the construction industry, or demand for housing. Other reviews and past PC work are examining, or have recently examined, many of these issues.</w:t>
      </w:r>
      <w:r w:rsidRPr="00C60B92">
        <w:rPr>
          <w:rStyle w:val="FootnoteReference"/>
          <w:spacing w:val="-4"/>
        </w:rPr>
        <w:footnoteReference w:id="2"/>
      </w:r>
    </w:p>
    <w:p w14:paraId="4D2CB3B8" w14:textId="77777777" w:rsidR="00A450D6" w:rsidRDefault="00A450D6">
      <w:pPr>
        <w:pStyle w:val="BodyText"/>
      </w:pPr>
      <w:r w:rsidRPr="00775E0A">
        <w:t>Broader policy settings</w:t>
      </w:r>
      <w:r>
        <w:t xml:space="preserve"> such as taxes (including stamp duty), interest rate setting and finance</w:t>
      </w:r>
      <w:r w:rsidRPr="00775E0A">
        <w:t xml:space="preserve"> affect investment decisions for housing development</w:t>
      </w:r>
      <w:r>
        <w:t>. These are not covered by this inquiry</w:t>
      </w:r>
      <w:r w:rsidRPr="00775E0A">
        <w:t>. We are also not looking at broader economic conditions that affect suppl</w:t>
      </w:r>
      <w:r>
        <w:t>y</w:t>
      </w:r>
      <w:r w:rsidRPr="00775E0A">
        <w:t xml:space="preserve">, such as supply chains and the cost of building materials, or crowding out of investment in new housing due to competition with </w:t>
      </w:r>
      <w:r>
        <w:t xml:space="preserve">major </w:t>
      </w:r>
      <w:r w:rsidRPr="00775E0A">
        <w:lastRenderedPageBreak/>
        <w:t>infrastructure projects.</w:t>
      </w:r>
      <w:r>
        <w:t xml:space="preserve"> Nor are we examining the growth of demand for housing or the reasons for it, including migration and demographic change.</w:t>
      </w:r>
    </w:p>
    <w:p w14:paraId="1FA4C0A9" w14:textId="77777777" w:rsidR="00A450D6" w:rsidRPr="007D539B" w:rsidRDefault="00A450D6">
      <w:pPr>
        <w:pStyle w:val="Heading3"/>
        <w:rPr>
          <w:spacing w:val="-4"/>
        </w:rPr>
      </w:pPr>
      <w:r w:rsidRPr="007D539B">
        <w:rPr>
          <w:spacing w:val="-4"/>
        </w:rPr>
        <w:t>Your input will help us provide a direction for Australia’s housing supply</w:t>
      </w:r>
    </w:p>
    <w:p w14:paraId="0E7FD569" w14:textId="77777777" w:rsidR="00A450D6" w:rsidRDefault="00A450D6">
      <w:pPr>
        <w:pStyle w:val="BodyText"/>
      </w:pPr>
      <w:r w:rsidRPr="00815CC7">
        <w:t xml:space="preserve">Our final report, due in March 2027, will include </w:t>
      </w:r>
      <w:r>
        <w:t>an assessment of recent and upcoming housing reforms by states and territories against the features of a best practice housing system and their anticipated effect on housing supply. It will also include</w:t>
      </w:r>
      <w:r w:rsidRPr="00815CC7">
        <w:t xml:space="preserve"> </w:t>
      </w:r>
      <w:r>
        <w:t>more</w:t>
      </w:r>
      <w:r w:rsidRPr="00815CC7">
        <w:t xml:space="preserve"> detailed recommendations</w:t>
      </w:r>
      <w:r>
        <w:t>,</w:t>
      </w:r>
      <w:r w:rsidRPr="00815CC7">
        <w:t xml:space="preserve"> including for states and territories</w:t>
      </w:r>
      <w:r>
        <w:t>, with the aim of identifying further opportunities to move towards best practice, filling reform gaps and enhancing housing supply in each jurisdiction.</w:t>
      </w:r>
    </w:p>
    <w:p w14:paraId="592AD198" w14:textId="77777777" w:rsidR="00A450D6" w:rsidRPr="00815CC7" w:rsidRDefault="00A450D6">
      <w:pPr>
        <w:pStyle w:val="BodyText"/>
      </w:pPr>
      <w:r>
        <w:t xml:space="preserve">To inform these recommendations, we will do </w:t>
      </w:r>
      <w:r w:rsidRPr="00815CC7">
        <w:t>more quantitative analysis</w:t>
      </w:r>
      <w:r>
        <w:t>, including modelling of zoning and land</w:t>
      </w:r>
      <w:r>
        <w:noBreakHyphen/>
        <w:t>use controls in capital cities to identify which changes could lead to the greatest supply response. We will also consult extensively with</w:t>
      </w:r>
      <w:r w:rsidRPr="00815CC7" w:rsidDel="00C24EA7">
        <w:t xml:space="preserve"> </w:t>
      </w:r>
      <w:r>
        <w:t>industry representative groups; representatives from relevant parts of government; subject</w:t>
      </w:r>
      <w:r>
        <w:noBreakHyphen/>
        <w:t>matter experts; and individuals and organisations with experience of housing regulation, including Aboriginal and Torres Strait Islander organisations.</w:t>
      </w:r>
    </w:p>
    <w:p w14:paraId="5AB793C0" w14:textId="77777777" w:rsidR="00A450D6" w:rsidRDefault="00A450D6">
      <w:pPr>
        <w:pStyle w:val="BodyText"/>
      </w:pPr>
      <w:r>
        <w:t xml:space="preserve">As part of this consultation, we plan to conduct a detailed survey of housing developers about their experiences of receiving approvals for housing development. This will help us identify significant pain points and determine the parts of the system where reform could have the most effect. </w:t>
      </w:r>
    </w:p>
    <w:p w14:paraId="4FAC1D4B" w14:textId="77777777" w:rsidR="00A450D6" w:rsidRPr="00815CC7" w:rsidRDefault="00A450D6">
      <w:pPr>
        <w:pStyle w:val="BodyText"/>
      </w:pPr>
      <w:r>
        <w:t>We are also seeking your input to help build our knowledge and evidence base. Your responses to the information requests throughout this report will contribute to our final recommendations.</w:t>
      </w:r>
    </w:p>
    <w:p w14:paraId="18EC9958" w14:textId="77777777" w:rsidR="00A450D6" w:rsidRDefault="00A450D6">
      <w:pPr>
        <w:pStyle w:val="BodyText"/>
      </w:pPr>
      <w:r w:rsidRPr="00815CC7">
        <w:t>Taken together, the goal for our inquiry is to propose reforms that will reshape Australia’s planning systems to build enough housing</w:t>
      </w:r>
      <w:r>
        <w:t>, more quickly, and</w:t>
      </w:r>
      <w:r w:rsidRPr="00815CC7">
        <w:t xml:space="preserve"> where people need it most</w:t>
      </w:r>
      <w:r>
        <w:t>.</w:t>
      </w:r>
    </w:p>
    <w:p w14:paraId="5EA2D852" w14:textId="77777777" w:rsidR="00A450D6" w:rsidRDefault="00A450D6" w:rsidP="00E76EEC">
      <w:pPr>
        <w:pStyle w:val="BodyText"/>
        <w:sectPr w:rsidR="00A450D6" w:rsidSect="00E76EEC">
          <w:headerReference w:type="even" r:id="rId46"/>
          <w:headerReference w:type="default" r:id="rId47"/>
          <w:headerReference w:type="first" r:id="rId48"/>
          <w:type w:val="oddPage"/>
          <w:pgSz w:w="11906" w:h="16838" w:code="9"/>
          <w:pgMar w:top="1134" w:right="1134" w:bottom="1134" w:left="1134" w:header="794" w:footer="510" w:gutter="0"/>
          <w:pgNumType w:start="1"/>
          <w:cols w:space="708"/>
          <w:docGrid w:linePitch="360"/>
        </w:sectPr>
      </w:pPr>
    </w:p>
    <w:p w14:paraId="342D4939" w14:textId="77777777" w:rsidR="00046C48" w:rsidRDefault="00046C48">
      <w:pPr>
        <w:pStyle w:val="Heading1-nonumber"/>
      </w:pPr>
      <w:bookmarkStart w:id="12" w:name="_Toc235103138"/>
      <w:r>
        <w:lastRenderedPageBreak/>
        <w:t>Information requests</w:t>
      </w:r>
      <w:bookmarkEnd w:id="12"/>
    </w:p>
    <w:p w14:paraId="485EE979" w14:textId="1E095CFB"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194DB21" w14:textId="77777777">
        <w:trPr>
          <w:trHeight w:val="765"/>
          <w:tblHeader/>
        </w:trPr>
        <w:tc>
          <w:tcPr>
            <w:tcW w:w="366" w:type="pct"/>
            <w:shd w:val="clear" w:color="auto" w:fill="EBEBEB"/>
            <w:tcMar>
              <w:bottom w:w="0" w:type="dxa"/>
            </w:tcMar>
            <w:vAlign w:val="center"/>
          </w:tcPr>
          <w:p w14:paraId="7C2F91A8" w14:textId="77777777" w:rsidR="00046C48" w:rsidRDefault="00046C48">
            <w:pPr>
              <w:pStyle w:val="NoSpacing"/>
              <w:keepNext/>
              <w:keepLines/>
              <w:jc w:val="right"/>
            </w:pPr>
            <w:r w:rsidRPr="00A51374">
              <w:rPr>
                <w:noProof/>
              </w:rPr>
              <w:drawing>
                <wp:inline distT="0" distB="0" distL="0" distR="0" wp14:anchorId="5021F513" wp14:editId="41C3CC8B">
                  <wp:extent cx="288000" cy="288000"/>
                  <wp:effectExtent l="0" t="0" r="0" b="0"/>
                  <wp:docPr id="1019963472" name="Graphic 1019963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7F3DDE8" w14:textId="2F72EFE4" w:rsidR="00046C48" w:rsidRPr="002530FF" w:rsidRDefault="00046C48">
            <w:pPr>
              <w:pStyle w:val="FindingRecRequesttitle"/>
            </w:pPr>
            <w:r w:rsidRPr="000B0B71">
              <w:t xml:space="preserve">Information request </w:t>
            </w:r>
            <w:r>
              <w:fldChar w:fldCharType="begin"/>
            </w:r>
            <w:r>
              <w:instrText>STYLEREF 1 \s</w:instrText>
            </w:r>
            <w:r>
              <w:fldChar w:fldCharType="separate"/>
            </w:r>
            <w:r w:rsidR="00CB06D8">
              <w:rPr>
                <w:noProof/>
              </w:rPr>
              <w:t>1</w:t>
            </w:r>
            <w:r>
              <w:fldChar w:fldCharType="end"/>
            </w:r>
            <w:r w:rsidRPr="00DF7217">
              <w:t>.</w:t>
            </w:r>
            <w:r>
              <w:fldChar w:fldCharType="begin"/>
            </w:r>
            <w:r>
              <w:instrText>SEQ Information \* ARABIC \s 1</w:instrText>
            </w:r>
            <w:r>
              <w:fldChar w:fldCharType="separate"/>
            </w:r>
            <w:r w:rsidR="00CB06D8">
              <w:rPr>
                <w:noProof/>
              </w:rPr>
              <w:t>1</w:t>
            </w:r>
            <w:r>
              <w:fldChar w:fldCharType="end"/>
            </w:r>
          </w:p>
        </w:tc>
      </w:tr>
      <w:tr w:rsidR="00046C48" w:rsidRPr="0083069E" w14:paraId="45869694" w14:textId="77777777">
        <w:tc>
          <w:tcPr>
            <w:tcW w:w="5000" w:type="pct"/>
            <w:gridSpan w:val="2"/>
            <w:shd w:val="clear" w:color="auto" w:fill="EBEBEB"/>
          </w:tcPr>
          <w:p w14:paraId="76A7769F" w14:textId="77777777" w:rsidR="00046C48" w:rsidRPr="0083069E" w:rsidRDefault="00046C48" w:rsidP="00E11D04">
            <w:pPr>
              <w:pStyle w:val="ListBullet"/>
              <w:rPr>
                <w:color w:val="265A9A" w:themeColor="background2"/>
              </w:rPr>
            </w:pPr>
            <w:r w:rsidRPr="0083069E">
              <w:rPr>
                <w:color w:val="265A9A" w:themeColor="background2"/>
              </w:rPr>
              <w:t>How do housing regulatory systems, specifically, land</w:t>
            </w:r>
            <w:r w:rsidRPr="0083069E">
              <w:rPr>
                <w:color w:val="265A9A" w:themeColor="background2"/>
              </w:rPr>
              <w:noBreakHyphen/>
              <w:t>use controls, housing</w:t>
            </w:r>
            <w:r w:rsidRPr="0083069E">
              <w:rPr>
                <w:color w:val="265A9A" w:themeColor="background2"/>
              </w:rPr>
              <w:noBreakHyphen/>
              <w:t xml:space="preserve">enabling infrastructure and approval processes, affect Aboriginal and Torres Strait Islander people and communities’ access to appropriate housing? Case studies and examples are encouraged. </w:t>
            </w:r>
          </w:p>
          <w:p w14:paraId="117EB8DC" w14:textId="77777777" w:rsidR="00046C48" w:rsidRPr="0083069E" w:rsidRDefault="00046C48" w:rsidP="00E11D04">
            <w:pPr>
              <w:pStyle w:val="ListBullet"/>
              <w:rPr>
                <w:color w:val="265A9A" w:themeColor="background2"/>
              </w:rPr>
            </w:pPr>
            <w:r w:rsidRPr="0083069E">
              <w:rPr>
                <w:color w:val="265A9A" w:themeColor="background2"/>
              </w:rPr>
              <w:t>How can governments improve housing regulatory systems to better meet the housing needs of Aboriginal and Torres Strait Islander people and communities, in alignment with outcome 9 of the National Agreement on Closing the Gap?</w:t>
            </w:r>
          </w:p>
        </w:tc>
      </w:tr>
      <w:tr w:rsidR="00046C48" w14:paraId="08F7E9F9" w14:textId="77777777">
        <w:tc>
          <w:tcPr>
            <w:tcW w:w="5000" w:type="pct"/>
            <w:gridSpan w:val="2"/>
            <w:tcMar>
              <w:bottom w:w="0" w:type="dxa"/>
            </w:tcMar>
          </w:tcPr>
          <w:p w14:paraId="574B909E" w14:textId="6840BB02" w:rsidR="00046C48" w:rsidRDefault="00046C48">
            <w:pPr>
              <w:pStyle w:val="NoSpacing"/>
              <w:spacing w:line="200" w:lineRule="atLeast"/>
            </w:pPr>
          </w:p>
        </w:tc>
      </w:tr>
    </w:tbl>
    <w:p w14:paraId="29D7B081" w14:textId="10FB58F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176E4BF" w14:textId="77777777">
        <w:trPr>
          <w:trHeight w:val="765"/>
          <w:tblHeader/>
        </w:trPr>
        <w:tc>
          <w:tcPr>
            <w:tcW w:w="366" w:type="pct"/>
            <w:shd w:val="clear" w:color="auto" w:fill="EBEBEB"/>
            <w:tcMar>
              <w:bottom w:w="0" w:type="dxa"/>
            </w:tcMar>
            <w:vAlign w:val="center"/>
          </w:tcPr>
          <w:p w14:paraId="529AFD6F" w14:textId="77777777" w:rsidR="00046C48" w:rsidRDefault="00046C48">
            <w:pPr>
              <w:pStyle w:val="NoSpacing"/>
              <w:keepNext/>
              <w:keepLines/>
              <w:jc w:val="right"/>
            </w:pPr>
            <w:r w:rsidRPr="00A51374">
              <w:rPr>
                <w:noProof/>
              </w:rPr>
              <w:drawing>
                <wp:inline distT="0" distB="0" distL="0" distR="0" wp14:anchorId="0F8AC6E4" wp14:editId="59FCDCDD">
                  <wp:extent cx="288000" cy="288000"/>
                  <wp:effectExtent l="0" t="0" r="0" b="0"/>
                  <wp:docPr id="1910483390" name="Graphic 1910483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EF96A7C" w14:textId="62BD0A34" w:rsidR="00046C48" w:rsidRPr="002530FF" w:rsidRDefault="00046C48">
            <w:pPr>
              <w:pStyle w:val="FindingRecRequesttitle"/>
            </w:pPr>
            <w:r w:rsidRPr="000B0B71">
              <w:t xml:space="preserve">Information request </w:t>
            </w:r>
            <w:r>
              <w:fldChar w:fldCharType="begin"/>
            </w:r>
            <w:r>
              <w:instrText>STYLEREF 1 \s</w:instrText>
            </w:r>
            <w:r>
              <w:fldChar w:fldCharType="separate"/>
            </w:r>
            <w:r w:rsidR="00CB06D8">
              <w:rPr>
                <w:noProof/>
              </w:rPr>
              <w:t>1</w:t>
            </w:r>
            <w:r>
              <w:fldChar w:fldCharType="end"/>
            </w:r>
            <w:r w:rsidRPr="00DF7217">
              <w:t>.</w:t>
            </w:r>
            <w:r>
              <w:t>2</w:t>
            </w:r>
          </w:p>
        </w:tc>
      </w:tr>
      <w:tr w:rsidR="00046C48" w:rsidRPr="00F179F6" w14:paraId="7AF66563" w14:textId="77777777">
        <w:tc>
          <w:tcPr>
            <w:tcW w:w="5000" w:type="pct"/>
            <w:gridSpan w:val="2"/>
            <w:shd w:val="clear" w:color="auto" w:fill="EBEBEB"/>
          </w:tcPr>
          <w:p w14:paraId="29325B17" w14:textId="77777777" w:rsidR="00046C48" w:rsidRPr="00F179F6" w:rsidRDefault="00046C48" w:rsidP="00E11D04">
            <w:pPr>
              <w:pStyle w:val="ListBullet"/>
              <w:rPr>
                <w:color w:val="265A9A" w:themeColor="background2"/>
              </w:rPr>
            </w:pPr>
            <w:r w:rsidRPr="00F179F6">
              <w:rPr>
                <w:color w:val="265A9A" w:themeColor="background2"/>
              </w:rPr>
              <w:t xml:space="preserve">What features should governments have in mind when evaluating reforms to move housing regulatory systems towards best practice? </w:t>
            </w:r>
          </w:p>
          <w:p w14:paraId="0BDD43D2" w14:textId="77777777" w:rsidR="00046C48" w:rsidRPr="00F179F6" w:rsidRDefault="00046C48" w:rsidP="00E11D04">
            <w:pPr>
              <w:pStyle w:val="ListBullet"/>
              <w:rPr>
                <w:color w:val="265A9A" w:themeColor="background2"/>
              </w:rPr>
            </w:pPr>
            <w:r w:rsidRPr="00F179F6">
              <w:rPr>
                <w:color w:val="265A9A" w:themeColor="background2"/>
              </w:rPr>
              <w:t>Are the best practice principles and overarching objective (figure 1.2) we have identified appropriate? If not, what changes should be made?</w:t>
            </w:r>
          </w:p>
          <w:p w14:paraId="427F8730" w14:textId="77777777" w:rsidR="00046C48" w:rsidRPr="00F179F6" w:rsidRDefault="00046C48" w:rsidP="00E11D04">
            <w:pPr>
              <w:pStyle w:val="ListBullet"/>
              <w:rPr>
                <w:color w:val="265A9A" w:themeColor="background2"/>
                <w:spacing w:val="-4"/>
              </w:rPr>
            </w:pPr>
            <w:r w:rsidRPr="00F179F6">
              <w:rPr>
                <w:color w:val="265A9A" w:themeColor="background2"/>
                <w:spacing w:val="-4"/>
              </w:rPr>
              <w:t xml:space="preserve">What are some examples of specific housing supply regulations </w:t>
            </w:r>
            <w:r w:rsidRPr="00F179F6" w:rsidDel="009A5578">
              <w:rPr>
                <w:color w:val="265A9A" w:themeColor="background2"/>
                <w:spacing w:val="-4"/>
              </w:rPr>
              <w:t>(in Australia or internationally)</w:t>
            </w:r>
            <w:r w:rsidRPr="00F179F6">
              <w:rPr>
                <w:color w:val="265A9A" w:themeColor="background2"/>
                <w:spacing w:val="-4"/>
              </w:rPr>
              <w:t xml:space="preserve"> that:</w:t>
            </w:r>
          </w:p>
          <w:p w14:paraId="3172033F" w14:textId="77777777" w:rsidR="00046C48" w:rsidRPr="00F179F6" w:rsidRDefault="00046C48">
            <w:pPr>
              <w:pStyle w:val="ListNumber"/>
              <w:numPr>
                <w:ilvl w:val="0"/>
                <w:numId w:val="0"/>
              </w:numPr>
              <w:ind w:left="340"/>
              <w:rPr>
                <w:color w:val="265A9A" w:themeColor="background2"/>
              </w:rPr>
            </w:pPr>
            <w:r w:rsidRPr="00F179F6">
              <w:rPr>
                <w:color w:val="265A9A" w:themeColor="background2"/>
              </w:rPr>
              <w:t>a) exemplify the features of a best practice system for housing regulation</w:t>
            </w:r>
          </w:p>
          <w:p w14:paraId="7DF3544F" w14:textId="77777777" w:rsidR="00046C48" w:rsidRPr="00F179F6" w:rsidRDefault="00046C48">
            <w:pPr>
              <w:pStyle w:val="ListNumber"/>
              <w:numPr>
                <w:ilvl w:val="0"/>
                <w:numId w:val="0"/>
              </w:numPr>
              <w:ind w:left="340"/>
              <w:rPr>
                <w:color w:val="265A9A" w:themeColor="background2"/>
              </w:rPr>
            </w:pPr>
            <w:r w:rsidRPr="00F179F6">
              <w:rPr>
                <w:color w:val="265A9A" w:themeColor="background2"/>
              </w:rPr>
              <w:t>b) clearly do not reflect these features?</w:t>
            </w:r>
          </w:p>
        </w:tc>
      </w:tr>
      <w:tr w:rsidR="00046C48" w14:paraId="663C3FE2" w14:textId="77777777">
        <w:tc>
          <w:tcPr>
            <w:tcW w:w="5000" w:type="pct"/>
            <w:gridSpan w:val="2"/>
            <w:tcMar>
              <w:bottom w:w="0" w:type="dxa"/>
            </w:tcMar>
          </w:tcPr>
          <w:p w14:paraId="599C8F8F" w14:textId="15910E71" w:rsidR="00046C48" w:rsidRDefault="00046C48">
            <w:pPr>
              <w:pStyle w:val="NoSpacing"/>
              <w:spacing w:line="200" w:lineRule="atLeast"/>
            </w:pPr>
          </w:p>
        </w:tc>
      </w:tr>
    </w:tbl>
    <w:p w14:paraId="306BA043" w14:textId="56EAF985"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420C8B4" w14:textId="77777777">
        <w:trPr>
          <w:trHeight w:val="765"/>
          <w:tblHeader/>
        </w:trPr>
        <w:tc>
          <w:tcPr>
            <w:tcW w:w="366" w:type="pct"/>
            <w:shd w:val="clear" w:color="auto" w:fill="EBEBEB"/>
            <w:tcMar>
              <w:bottom w:w="0" w:type="dxa"/>
            </w:tcMar>
            <w:vAlign w:val="center"/>
          </w:tcPr>
          <w:p w14:paraId="2BEFF80B" w14:textId="77777777" w:rsidR="00046C48" w:rsidRDefault="00046C48">
            <w:pPr>
              <w:pStyle w:val="NoSpacing"/>
              <w:keepNext/>
              <w:keepLines/>
              <w:jc w:val="right"/>
            </w:pPr>
            <w:r w:rsidRPr="00A51374">
              <w:rPr>
                <w:noProof/>
              </w:rPr>
              <w:drawing>
                <wp:inline distT="0" distB="0" distL="0" distR="0" wp14:anchorId="54B1E16D" wp14:editId="4721F5F4">
                  <wp:extent cx="288000" cy="288000"/>
                  <wp:effectExtent l="0" t="0" r="0" b="0"/>
                  <wp:docPr id="208990844" name="Graphic 208990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00B7F56" w14:textId="50810780" w:rsidR="00046C48" w:rsidRPr="002530FF" w:rsidRDefault="00046C48">
            <w:pPr>
              <w:pStyle w:val="FindingRecRequesttitle"/>
            </w:pPr>
            <w:r w:rsidRPr="000B0B71">
              <w:t>Information request</w:t>
            </w:r>
            <w:r>
              <w:t xml:space="preserve"> 2</w:t>
            </w:r>
            <w:r w:rsidRPr="00DF7217">
              <w:t>.</w:t>
            </w:r>
            <w:r w:rsidR="00F179F6">
              <w:t>1</w:t>
            </w:r>
          </w:p>
        </w:tc>
      </w:tr>
      <w:tr w:rsidR="00046C48" w:rsidRPr="00F179F6" w14:paraId="034F5525" w14:textId="77777777">
        <w:tc>
          <w:tcPr>
            <w:tcW w:w="5000" w:type="pct"/>
            <w:gridSpan w:val="2"/>
            <w:shd w:val="clear" w:color="auto" w:fill="EBEBEB"/>
          </w:tcPr>
          <w:p w14:paraId="38C07FA7" w14:textId="7154E00E" w:rsidR="00046C48" w:rsidRPr="00F179F6" w:rsidRDefault="00046C48" w:rsidP="00E11D04">
            <w:pPr>
              <w:pStyle w:val="ListBullet"/>
              <w:rPr>
                <w:color w:val="265A9A" w:themeColor="background2"/>
              </w:rPr>
            </w:pPr>
            <w:r w:rsidRPr="00F179F6">
              <w:rPr>
                <w:color w:val="265A9A" w:themeColor="background2"/>
              </w:rPr>
              <w:t>Do design</w:t>
            </w:r>
            <w:r w:rsidRPr="00F179F6">
              <w:rPr>
                <w:color w:val="265A9A" w:themeColor="background2"/>
              </w:rPr>
              <w:noBreakHyphen/>
              <w:t xml:space="preserve">focused regulations (e.g. tree canopy requirements, apartment layout and storage) directly impact commercially feasible capacity? </w:t>
            </w:r>
          </w:p>
          <w:p w14:paraId="4BEDF07A" w14:textId="77777777" w:rsidR="00046C48" w:rsidRPr="00F179F6" w:rsidRDefault="00046C48" w:rsidP="00E11D04">
            <w:pPr>
              <w:pStyle w:val="ListBullet"/>
              <w:rPr>
                <w:color w:val="265A9A" w:themeColor="background2"/>
              </w:rPr>
            </w:pPr>
            <w:r w:rsidRPr="00F179F6">
              <w:rPr>
                <w:color w:val="265A9A" w:themeColor="background2"/>
              </w:rPr>
              <w:t xml:space="preserve">What impact would </w:t>
            </w:r>
            <w:proofErr w:type="gramStart"/>
            <w:r w:rsidRPr="00F179F6">
              <w:rPr>
                <w:color w:val="265A9A" w:themeColor="background2"/>
              </w:rPr>
              <w:t>reducing</w:t>
            </w:r>
            <w:proofErr w:type="gramEnd"/>
            <w:r w:rsidRPr="00F179F6">
              <w:rPr>
                <w:color w:val="265A9A" w:themeColor="background2"/>
              </w:rPr>
              <w:t xml:space="preserve"> the coverage of heritage overlays have on housing supply? </w:t>
            </w:r>
          </w:p>
          <w:p w14:paraId="022F44C0" w14:textId="77777777" w:rsidR="00046C48" w:rsidRPr="00F179F6" w:rsidRDefault="00046C48" w:rsidP="00E11D04">
            <w:pPr>
              <w:pStyle w:val="ListBullet"/>
              <w:rPr>
                <w:color w:val="265A9A" w:themeColor="background2"/>
              </w:rPr>
            </w:pPr>
            <w:r w:rsidRPr="00F179F6">
              <w:rPr>
                <w:color w:val="265A9A" w:themeColor="background2"/>
              </w:rPr>
              <w:t>What land</w:t>
            </w:r>
            <w:r w:rsidRPr="00F179F6">
              <w:rPr>
                <w:color w:val="265A9A" w:themeColor="background2"/>
              </w:rPr>
              <w:noBreakHyphen/>
              <w:t xml:space="preserve">use controls need to change to enable more alternative dwelling types to be built? What impact would such reforms have on housing supply? </w:t>
            </w:r>
          </w:p>
          <w:p w14:paraId="6A6D37B7" w14:textId="77777777" w:rsidR="00046C48" w:rsidRPr="00F179F6" w:rsidRDefault="00046C48" w:rsidP="00E11D04">
            <w:pPr>
              <w:pStyle w:val="ListBullet"/>
              <w:rPr>
                <w:color w:val="265A9A" w:themeColor="background2"/>
              </w:rPr>
            </w:pPr>
            <w:r w:rsidRPr="00F179F6">
              <w:rPr>
                <w:color w:val="265A9A" w:themeColor="background2"/>
              </w:rPr>
              <w:t xml:space="preserve">Is there a need for further reforms to enable a greater supply of small secondary dwellings such as granny flats? </w:t>
            </w:r>
          </w:p>
          <w:p w14:paraId="7AFF49A3" w14:textId="77777777" w:rsidR="00046C48" w:rsidRPr="00F179F6" w:rsidRDefault="00046C48" w:rsidP="00E11D04">
            <w:pPr>
              <w:pStyle w:val="ListBullet"/>
              <w:rPr>
                <w:color w:val="265A9A" w:themeColor="background2"/>
              </w:rPr>
            </w:pPr>
            <w:r w:rsidRPr="00F179F6">
              <w:rPr>
                <w:color w:val="265A9A" w:themeColor="background2"/>
              </w:rPr>
              <w:t>Are there other land</w:t>
            </w:r>
            <w:r w:rsidRPr="00F179F6">
              <w:rPr>
                <w:color w:val="265A9A" w:themeColor="background2"/>
              </w:rPr>
              <w:noBreakHyphen/>
              <w:t>use controls which significantly impact supply?</w:t>
            </w:r>
          </w:p>
          <w:p w14:paraId="2EB8E11C" w14:textId="77777777" w:rsidR="00046C48" w:rsidRPr="00F179F6" w:rsidRDefault="00046C48" w:rsidP="00E11D04">
            <w:pPr>
              <w:pStyle w:val="ListBullet"/>
              <w:rPr>
                <w:color w:val="265A9A" w:themeColor="background2"/>
              </w:rPr>
            </w:pPr>
            <w:r w:rsidRPr="00F179F6">
              <w:rPr>
                <w:color w:val="265A9A" w:themeColor="background2"/>
              </w:rPr>
              <w:lastRenderedPageBreak/>
              <w:t xml:space="preserve">Can you provide information, data, or analysis on development cost stacks across different housing typologies and geographic areas (for example, construction cost information)? </w:t>
            </w:r>
          </w:p>
          <w:p w14:paraId="05A0C26C" w14:textId="77777777" w:rsidR="00046C48" w:rsidRPr="00F179F6" w:rsidRDefault="00046C48" w:rsidP="00E11D04">
            <w:pPr>
              <w:pStyle w:val="ListBullet"/>
              <w:rPr>
                <w:color w:val="265A9A" w:themeColor="background2"/>
              </w:rPr>
            </w:pPr>
            <w:r w:rsidRPr="00F179F6">
              <w:rPr>
                <w:color w:val="265A9A" w:themeColor="background2"/>
              </w:rPr>
              <w:t>Can you provide information, data, or analysis on the extent to which dense housing typologies differ in commercial feasibility (for example, comparisons between apartment and townhouse developments)?</w:t>
            </w:r>
          </w:p>
        </w:tc>
      </w:tr>
      <w:tr w:rsidR="00046C48" w14:paraId="3E98EED1" w14:textId="77777777">
        <w:tc>
          <w:tcPr>
            <w:tcW w:w="5000" w:type="pct"/>
            <w:gridSpan w:val="2"/>
            <w:tcMar>
              <w:bottom w:w="0" w:type="dxa"/>
            </w:tcMar>
          </w:tcPr>
          <w:p w14:paraId="158230DB" w14:textId="0F73415B" w:rsidR="00046C48" w:rsidRDefault="00046C48">
            <w:pPr>
              <w:pStyle w:val="NoSpacing"/>
              <w:spacing w:line="200" w:lineRule="atLeast"/>
            </w:pPr>
          </w:p>
        </w:tc>
      </w:tr>
    </w:tbl>
    <w:p w14:paraId="0C0EADAF" w14:textId="13B5432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11C954AC" w14:textId="77777777">
        <w:trPr>
          <w:trHeight w:val="765"/>
          <w:tblHeader/>
        </w:trPr>
        <w:tc>
          <w:tcPr>
            <w:tcW w:w="366" w:type="pct"/>
            <w:shd w:val="clear" w:color="auto" w:fill="EBEBEB"/>
            <w:tcMar>
              <w:bottom w:w="0" w:type="dxa"/>
            </w:tcMar>
            <w:vAlign w:val="center"/>
          </w:tcPr>
          <w:p w14:paraId="2A29B950" w14:textId="77777777" w:rsidR="00046C48" w:rsidRDefault="00046C48">
            <w:pPr>
              <w:pStyle w:val="NoSpacing"/>
              <w:keepNext/>
              <w:keepLines/>
              <w:jc w:val="right"/>
            </w:pPr>
            <w:r w:rsidRPr="00A51374">
              <w:rPr>
                <w:noProof/>
              </w:rPr>
              <w:drawing>
                <wp:inline distT="0" distB="0" distL="0" distR="0" wp14:anchorId="7CE565EE" wp14:editId="078468EE">
                  <wp:extent cx="288000" cy="288000"/>
                  <wp:effectExtent l="0" t="0" r="0" b="0"/>
                  <wp:docPr id="75507659" name="Graphic 75507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DB70862" w14:textId="2D4D29C2" w:rsidR="00046C48" w:rsidRPr="002530FF" w:rsidRDefault="00046C48">
            <w:pPr>
              <w:pStyle w:val="FindingRecRequesttitle"/>
            </w:pPr>
            <w:r w:rsidRPr="000B0B71">
              <w:t xml:space="preserve">Information request </w:t>
            </w:r>
            <w:r>
              <w:t>2</w:t>
            </w:r>
            <w:r w:rsidRPr="00DF7217">
              <w:t>.</w:t>
            </w:r>
            <w:r w:rsidR="00F179F6">
              <w:t>2</w:t>
            </w:r>
          </w:p>
        </w:tc>
      </w:tr>
      <w:tr w:rsidR="00046C48" w:rsidRPr="00F179F6" w14:paraId="3FCE3534" w14:textId="77777777">
        <w:tc>
          <w:tcPr>
            <w:tcW w:w="5000" w:type="pct"/>
            <w:gridSpan w:val="2"/>
            <w:shd w:val="clear" w:color="auto" w:fill="EBEBEB"/>
          </w:tcPr>
          <w:p w14:paraId="73C1FF62" w14:textId="77777777" w:rsidR="00046C48" w:rsidRPr="00F179F6" w:rsidRDefault="00046C48" w:rsidP="00E11D04">
            <w:pPr>
              <w:pStyle w:val="ListBullet"/>
              <w:rPr>
                <w:color w:val="265A9A" w:themeColor="background2"/>
              </w:rPr>
            </w:pPr>
            <w:r w:rsidRPr="00F179F6">
              <w:rPr>
                <w:color w:val="265A9A" w:themeColor="background2"/>
              </w:rPr>
              <w:t>Can you provide information, data or analysis on the degree to which available land is a barrier to new housing supply?</w:t>
            </w:r>
          </w:p>
          <w:p w14:paraId="746F3594" w14:textId="77777777" w:rsidR="00046C48" w:rsidRPr="00F179F6" w:rsidRDefault="00046C48" w:rsidP="00E11D04">
            <w:pPr>
              <w:pStyle w:val="ListBullet"/>
              <w:rPr>
                <w:color w:val="265A9A" w:themeColor="background2"/>
              </w:rPr>
            </w:pPr>
            <w:r w:rsidRPr="00F179F6">
              <w:rPr>
                <w:color w:val="265A9A" w:themeColor="background2"/>
              </w:rPr>
              <w:t>Can you provide examples of released land that has not been able to be developed for housing, and explain the barriers to development in these cases?</w:t>
            </w:r>
          </w:p>
          <w:p w14:paraId="69676D05" w14:textId="77777777" w:rsidR="00046C48" w:rsidRPr="00F179F6" w:rsidRDefault="00046C48" w:rsidP="00E11D04">
            <w:pPr>
              <w:pStyle w:val="ListBullet"/>
              <w:rPr>
                <w:color w:val="265A9A" w:themeColor="background2"/>
              </w:rPr>
            </w:pPr>
            <w:r w:rsidRPr="00F179F6">
              <w:rPr>
                <w:color w:val="265A9A" w:themeColor="background2"/>
              </w:rPr>
              <w:t>Would it be helpful for governments to report a land measure which distinguishes land that is zoned residential, from land that is serviced, approved, infrastructure-ready and commercially feasible to develop?</w:t>
            </w:r>
          </w:p>
        </w:tc>
      </w:tr>
      <w:tr w:rsidR="00046C48" w14:paraId="62D26B10" w14:textId="77777777">
        <w:tc>
          <w:tcPr>
            <w:tcW w:w="5000" w:type="pct"/>
            <w:gridSpan w:val="2"/>
            <w:tcMar>
              <w:bottom w:w="0" w:type="dxa"/>
            </w:tcMar>
          </w:tcPr>
          <w:p w14:paraId="64DBE44E" w14:textId="2BDE38BD" w:rsidR="00046C48" w:rsidRDefault="00046C48">
            <w:pPr>
              <w:pStyle w:val="NoSpacing"/>
              <w:spacing w:line="200" w:lineRule="atLeast"/>
            </w:pPr>
          </w:p>
        </w:tc>
      </w:tr>
    </w:tbl>
    <w:p w14:paraId="3D621FC7" w14:textId="5B8395CC"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A27FFE6" w14:textId="77777777">
        <w:trPr>
          <w:trHeight w:val="765"/>
          <w:tblHeader/>
        </w:trPr>
        <w:tc>
          <w:tcPr>
            <w:tcW w:w="366" w:type="pct"/>
            <w:shd w:val="clear" w:color="auto" w:fill="EBEBEB"/>
            <w:tcMar>
              <w:bottom w:w="0" w:type="dxa"/>
            </w:tcMar>
            <w:vAlign w:val="center"/>
          </w:tcPr>
          <w:p w14:paraId="7869DC66" w14:textId="77777777" w:rsidR="00046C48" w:rsidRDefault="00046C48">
            <w:pPr>
              <w:pStyle w:val="NoSpacing"/>
              <w:keepNext/>
              <w:keepLines/>
              <w:jc w:val="right"/>
            </w:pPr>
            <w:r w:rsidRPr="00A51374">
              <w:rPr>
                <w:noProof/>
              </w:rPr>
              <w:drawing>
                <wp:inline distT="0" distB="0" distL="0" distR="0" wp14:anchorId="7DBA2389" wp14:editId="68F23DFF">
                  <wp:extent cx="288000" cy="288000"/>
                  <wp:effectExtent l="0" t="0" r="0" b="0"/>
                  <wp:docPr id="1049966433" name="Graphic 1049966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0391D5C" w14:textId="75BD75EC" w:rsidR="00046C48" w:rsidRPr="002530FF" w:rsidRDefault="00046C48">
            <w:pPr>
              <w:pStyle w:val="FindingRecRequesttitle"/>
            </w:pPr>
            <w:r w:rsidRPr="000B0B71">
              <w:t xml:space="preserve">Information request </w:t>
            </w:r>
            <w:r>
              <w:t>2</w:t>
            </w:r>
            <w:r w:rsidRPr="00DF7217">
              <w:t>.</w:t>
            </w:r>
            <w:r w:rsidR="00F179F6">
              <w:t>3</w:t>
            </w:r>
          </w:p>
        </w:tc>
      </w:tr>
      <w:tr w:rsidR="00046C48" w:rsidRPr="00F179F6" w14:paraId="15FC74B8" w14:textId="77777777">
        <w:tc>
          <w:tcPr>
            <w:tcW w:w="5000" w:type="pct"/>
            <w:gridSpan w:val="2"/>
            <w:shd w:val="clear" w:color="auto" w:fill="EBEBEB"/>
          </w:tcPr>
          <w:p w14:paraId="6B912492" w14:textId="77777777" w:rsidR="00046C48" w:rsidRPr="00F179F6" w:rsidRDefault="00046C48" w:rsidP="00E11D04">
            <w:pPr>
              <w:pStyle w:val="ListBullet"/>
              <w:rPr>
                <w:color w:val="265A9A" w:themeColor="background2"/>
              </w:rPr>
            </w:pPr>
            <w:r w:rsidRPr="00F179F6">
              <w:rPr>
                <w:color w:val="265A9A" w:themeColor="background2"/>
              </w:rPr>
              <w:t>What evidence do you have on which land</w:t>
            </w:r>
            <w:r w:rsidRPr="00F179F6">
              <w:rPr>
                <w:color w:val="265A9A" w:themeColor="background2"/>
              </w:rPr>
              <w:noBreakHyphen/>
              <w:t xml:space="preserve">use controls or combinations of controls are the greatest constraint on housing supply in your jurisdiction? </w:t>
            </w:r>
          </w:p>
          <w:p w14:paraId="3A34E55B" w14:textId="77777777" w:rsidR="00046C48" w:rsidRPr="00F179F6" w:rsidRDefault="00046C48" w:rsidP="00E11D04">
            <w:pPr>
              <w:pStyle w:val="ListBullet"/>
              <w:rPr>
                <w:color w:val="265A9A" w:themeColor="background2"/>
              </w:rPr>
            </w:pPr>
            <w:r w:rsidRPr="00F179F6">
              <w:rPr>
                <w:color w:val="265A9A" w:themeColor="background2"/>
              </w:rPr>
              <w:t>What reforms to land</w:t>
            </w:r>
            <w:r w:rsidRPr="00F179F6">
              <w:rPr>
                <w:color w:val="265A9A" w:themeColor="background2"/>
              </w:rPr>
              <w:noBreakHyphen/>
              <w:t>use controls are likely to boost housing supply in each jurisdiction? What are the expected impacts of reforms on zoned capacity, commercially feasible capacity and/or other measures of supply? What are the expected impacts on positive and negative externalities? We are particularly interested in quantitative evidence on reforms to minimum lot size and reducing coverage of broad heritage controls.</w:t>
            </w:r>
          </w:p>
          <w:p w14:paraId="1A4FB8B1" w14:textId="77777777" w:rsidR="00046C48" w:rsidRPr="00F179F6" w:rsidRDefault="00046C48" w:rsidP="00E11D04">
            <w:pPr>
              <w:pStyle w:val="ListBullet"/>
              <w:rPr>
                <w:color w:val="265A9A" w:themeColor="background2"/>
              </w:rPr>
            </w:pPr>
            <w:r w:rsidRPr="00F179F6">
              <w:rPr>
                <w:color w:val="265A9A" w:themeColor="background2"/>
              </w:rPr>
              <w:t>How should potential reforms be implemented? What does the evidence show about the effectiveness of past zoning and land</w:t>
            </w:r>
            <w:r w:rsidRPr="00F179F6">
              <w:rPr>
                <w:color w:val="265A9A" w:themeColor="background2"/>
              </w:rPr>
              <w:noBreakHyphen/>
              <w:t>use reforms in Australia?</w:t>
            </w:r>
          </w:p>
          <w:p w14:paraId="7F6D0F9A" w14:textId="77777777" w:rsidR="00046C48" w:rsidRPr="00F179F6" w:rsidRDefault="00046C48" w:rsidP="00E11D04">
            <w:pPr>
              <w:pStyle w:val="ListBullet"/>
              <w:rPr>
                <w:color w:val="265A9A" w:themeColor="background2"/>
              </w:rPr>
            </w:pPr>
            <w:r w:rsidRPr="00F179F6">
              <w:rPr>
                <w:color w:val="265A9A" w:themeColor="background2"/>
              </w:rPr>
              <w:t>What evidence do you have on the effects of mandatory and voluntary inclusionary zoning requirements for affordable housing on housing supply and affordability?</w:t>
            </w:r>
          </w:p>
        </w:tc>
      </w:tr>
      <w:tr w:rsidR="00046C48" w14:paraId="2494D67B" w14:textId="77777777">
        <w:tc>
          <w:tcPr>
            <w:tcW w:w="5000" w:type="pct"/>
            <w:gridSpan w:val="2"/>
            <w:tcMar>
              <w:bottom w:w="0" w:type="dxa"/>
            </w:tcMar>
          </w:tcPr>
          <w:p w14:paraId="11166E5E" w14:textId="621689CD" w:rsidR="00046C48" w:rsidRDefault="00046C48">
            <w:pPr>
              <w:pStyle w:val="NoSpacing"/>
              <w:spacing w:line="200" w:lineRule="atLeast"/>
            </w:pPr>
          </w:p>
        </w:tc>
      </w:tr>
    </w:tbl>
    <w:p w14:paraId="7CF4E759" w14:textId="10393622" w:rsidR="00D711F4" w:rsidRDefault="00D711F4">
      <w:pPr>
        <w:pStyle w:val="NoSpacing"/>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0084779D" w14:textId="77777777">
        <w:trPr>
          <w:trHeight w:val="765"/>
          <w:tblHeader/>
        </w:trPr>
        <w:tc>
          <w:tcPr>
            <w:tcW w:w="366" w:type="pct"/>
            <w:shd w:val="clear" w:color="auto" w:fill="EBEBEB"/>
            <w:tcMar>
              <w:bottom w:w="0" w:type="dxa"/>
            </w:tcMar>
            <w:vAlign w:val="center"/>
          </w:tcPr>
          <w:p w14:paraId="5A5C4A26" w14:textId="77777777" w:rsidR="00046C48" w:rsidRDefault="00046C48">
            <w:pPr>
              <w:pStyle w:val="NoSpacing"/>
              <w:keepNext/>
              <w:keepLines/>
              <w:jc w:val="right"/>
            </w:pPr>
            <w:r w:rsidRPr="00A51374">
              <w:rPr>
                <w:noProof/>
              </w:rPr>
              <w:lastRenderedPageBreak/>
              <w:drawing>
                <wp:inline distT="0" distB="0" distL="0" distR="0" wp14:anchorId="304149F6" wp14:editId="53BF328A">
                  <wp:extent cx="288000" cy="288000"/>
                  <wp:effectExtent l="0" t="0" r="0" b="0"/>
                  <wp:docPr id="216475357" name="Graphic 216475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19587B9" w14:textId="0E68C4F4" w:rsidR="00046C48" w:rsidRPr="002530FF" w:rsidRDefault="00046C48">
            <w:pPr>
              <w:pStyle w:val="FindingRecRequesttitle"/>
            </w:pPr>
            <w:r w:rsidRPr="000B0B71">
              <w:t xml:space="preserve">Information request </w:t>
            </w:r>
            <w:r>
              <w:t>3</w:t>
            </w:r>
            <w:r w:rsidRPr="00DF7217">
              <w:t>.</w:t>
            </w:r>
            <w:r w:rsidR="00315AE4">
              <w:t>1</w:t>
            </w:r>
          </w:p>
        </w:tc>
      </w:tr>
      <w:tr w:rsidR="00046C48" w:rsidRPr="00F179F6" w14:paraId="091B424A" w14:textId="77777777">
        <w:tc>
          <w:tcPr>
            <w:tcW w:w="5000" w:type="pct"/>
            <w:gridSpan w:val="2"/>
            <w:shd w:val="clear" w:color="auto" w:fill="EBEBEB"/>
          </w:tcPr>
          <w:p w14:paraId="74ED665F" w14:textId="77777777" w:rsidR="00046C48" w:rsidRPr="00F179F6" w:rsidRDefault="00046C48" w:rsidP="00E11D04">
            <w:pPr>
              <w:pStyle w:val="ListBullet"/>
              <w:rPr>
                <w:color w:val="265A9A" w:themeColor="background2"/>
              </w:rPr>
            </w:pPr>
            <w:r w:rsidRPr="00F179F6">
              <w:rPr>
                <w:color w:val="265A9A" w:themeColor="background2"/>
              </w:rPr>
              <w:t>What evidence do you have for the main causes of delays in receiving approvals for new housing?</w:t>
            </w:r>
          </w:p>
          <w:p w14:paraId="527D4E63" w14:textId="77777777" w:rsidR="00046C48" w:rsidRPr="00F179F6" w:rsidRDefault="00046C48" w:rsidP="00E11D04">
            <w:pPr>
              <w:pStyle w:val="ListBullet"/>
              <w:rPr>
                <w:color w:val="265A9A" w:themeColor="background2"/>
              </w:rPr>
            </w:pPr>
            <w:r w:rsidRPr="00F179F6">
              <w:rPr>
                <w:color w:val="265A9A" w:themeColor="background2"/>
              </w:rPr>
              <w:t>When is discretion useful in planning processes, and when is it not useful? Are there examples of subjective requirements that should be changed or removed to improve certainty for developers?</w:t>
            </w:r>
          </w:p>
          <w:p w14:paraId="2C35055B" w14:textId="77777777" w:rsidR="00046C48" w:rsidRPr="00F179F6" w:rsidRDefault="00046C48" w:rsidP="00E11D04">
            <w:pPr>
              <w:pStyle w:val="ListBullet"/>
              <w:rPr>
                <w:color w:val="265A9A" w:themeColor="background2"/>
              </w:rPr>
            </w:pPr>
            <w:r w:rsidRPr="00F179F6">
              <w:rPr>
                <w:color w:val="265A9A" w:themeColor="background2"/>
              </w:rPr>
              <w:t>How should third</w:t>
            </w:r>
            <w:r w:rsidRPr="00F179F6">
              <w:rPr>
                <w:color w:val="265A9A" w:themeColor="background2"/>
              </w:rPr>
              <w:noBreakHyphen/>
              <w:t>party appeal processes be changed to better balance the benefits they provide to community members and the uncertainty and delay costs they impose on developers?</w:t>
            </w:r>
          </w:p>
        </w:tc>
      </w:tr>
      <w:tr w:rsidR="00046C48" w14:paraId="7CBF6767" w14:textId="77777777">
        <w:tc>
          <w:tcPr>
            <w:tcW w:w="5000" w:type="pct"/>
            <w:gridSpan w:val="2"/>
            <w:tcMar>
              <w:bottom w:w="0" w:type="dxa"/>
            </w:tcMar>
          </w:tcPr>
          <w:p w14:paraId="75CAB645" w14:textId="647FABD4" w:rsidR="00046C48" w:rsidRDefault="00046C48">
            <w:pPr>
              <w:pStyle w:val="NoSpacing"/>
              <w:spacing w:line="200" w:lineRule="atLeast"/>
            </w:pPr>
          </w:p>
        </w:tc>
      </w:tr>
    </w:tbl>
    <w:p w14:paraId="55EEE1D0" w14:textId="5B21EBE6"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E95360F" w14:textId="77777777">
        <w:trPr>
          <w:trHeight w:val="765"/>
          <w:tblHeader/>
        </w:trPr>
        <w:tc>
          <w:tcPr>
            <w:tcW w:w="366" w:type="pct"/>
            <w:shd w:val="clear" w:color="auto" w:fill="EBEBEB"/>
            <w:tcMar>
              <w:bottom w:w="0" w:type="dxa"/>
            </w:tcMar>
            <w:vAlign w:val="center"/>
          </w:tcPr>
          <w:p w14:paraId="4859CB18" w14:textId="77777777" w:rsidR="00046C48" w:rsidRDefault="00046C48">
            <w:pPr>
              <w:pStyle w:val="NoSpacing"/>
              <w:keepNext/>
              <w:keepLines/>
              <w:jc w:val="right"/>
            </w:pPr>
            <w:r w:rsidRPr="00A51374">
              <w:rPr>
                <w:noProof/>
              </w:rPr>
              <w:drawing>
                <wp:inline distT="0" distB="0" distL="0" distR="0" wp14:anchorId="6902BF9B" wp14:editId="297D9798">
                  <wp:extent cx="288000" cy="288000"/>
                  <wp:effectExtent l="0" t="0" r="0" b="0"/>
                  <wp:docPr id="1949126442" name="Graphic 1949126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7D12C17" w14:textId="1640AA26" w:rsidR="00046C48" w:rsidRPr="002530FF" w:rsidRDefault="00046C48">
            <w:pPr>
              <w:pStyle w:val="FindingRecRequesttitle"/>
            </w:pPr>
            <w:r w:rsidRPr="000B0B71">
              <w:t xml:space="preserve">Information request </w:t>
            </w:r>
            <w:r>
              <w:t>3</w:t>
            </w:r>
            <w:r w:rsidRPr="00DF7217">
              <w:t>.</w:t>
            </w:r>
            <w:r w:rsidR="00315AE4">
              <w:t>2</w:t>
            </w:r>
          </w:p>
        </w:tc>
      </w:tr>
      <w:tr w:rsidR="00046C48" w:rsidRPr="00F179F6" w14:paraId="0377A62C" w14:textId="77777777">
        <w:tc>
          <w:tcPr>
            <w:tcW w:w="5000" w:type="pct"/>
            <w:gridSpan w:val="2"/>
            <w:shd w:val="clear" w:color="auto" w:fill="EBEBEB"/>
          </w:tcPr>
          <w:p w14:paraId="6D47D721" w14:textId="77777777" w:rsidR="00046C48" w:rsidRPr="00F179F6" w:rsidRDefault="00046C48" w:rsidP="00E11D04">
            <w:pPr>
              <w:pStyle w:val="ListBullet"/>
              <w:rPr>
                <w:rStyle w:val="ColourDarkBlue"/>
              </w:rPr>
            </w:pPr>
            <w:r w:rsidRPr="00F179F6">
              <w:rPr>
                <w:rStyle w:val="ColourDarkBlue"/>
              </w:rPr>
              <w:t xml:space="preserve">Which specific requirements (for example specific reports or referrals to an agency) are most onerous to comply with when receiving a development approval? </w:t>
            </w:r>
          </w:p>
          <w:p w14:paraId="78150C97" w14:textId="77777777" w:rsidR="00046C48" w:rsidRPr="00F179F6" w:rsidRDefault="00046C48" w:rsidP="00E11D04">
            <w:pPr>
              <w:pStyle w:val="ListBullet"/>
              <w:rPr>
                <w:color w:val="265A9A" w:themeColor="background2"/>
              </w:rPr>
            </w:pPr>
            <w:r w:rsidRPr="00F179F6">
              <w:rPr>
                <w:rStyle w:val="ColourDarkBlue"/>
              </w:rPr>
              <w:t xml:space="preserve">Are there any requirements for development approval that should be removed? </w:t>
            </w:r>
            <w:r w:rsidRPr="00F179F6">
              <w:rPr>
                <w:color w:val="265A9A" w:themeColor="background2"/>
              </w:rPr>
              <w:t>In these cases, how should any risks be mitigated?</w:t>
            </w:r>
          </w:p>
          <w:p w14:paraId="5A90E395" w14:textId="77777777" w:rsidR="00046C48" w:rsidRPr="00F179F6" w:rsidRDefault="00046C48" w:rsidP="00E11D04">
            <w:pPr>
              <w:pStyle w:val="ListBullet"/>
              <w:rPr>
                <w:color w:val="265A9A" w:themeColor="background2"/>
              </w:rPr>
            </w:pPr>
            <w:r w:rsidRPr="00F179F6">
              <w:rPr>
                <w:color w:val="265A9A" w:themeColor="background2"/>
              </w:rPr>
              <w:t>What could each state and territory do, if anything, to improve the process for receiving subdivision approvals?</w:t>
            </w:r>
          </w:p>
        </w:tc>
      </w:tr>
      <w:tr w:rsidR="00046C48" w14:paraId="34FEC9D8" w14:textId="77777777">
        <w:tc>
          <w:tcPr>
            <w:tcW w:w="5000" w:type="pct"/>
            <w:gridSpan w:val="2"/>
            <w:tcMar>
              <w:bottom w:w="0" w:type="dxa"/>
            </w:tcMar>
          </w:tcPr>
          <w:p w14:paraId="202E8DB3" w14:textId="3F63B57D" w:rsidR="00046C48" w:rsidRDefault="00046C48">
            <w:pPr>
              <w:pStyle w:val="NoSpacing"/>
              <w:spacing w:line="200" w:lineRule="atLeast"/>
            </w:pPr>
          </w:p>
        </w:tc>
      </w:tr>
    </w:tbl>
    <w:p w14:paraId="2D9237B1" w14:textId="1363BDBE"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3EAFA6F0" w14:textId="77777777">
        <w:trPr>
          <w:trHeight w:val="765"/>
          <w:tblHeader/>
        </w:trPr>
        <w:tc>
          <w:tcPr>
            <w:tcW w:w="366" w:type="pct"/>
            <w:shd w:val="clear" w:color="auto" w:fill="EBEBEB"/>
            <w:tcMar>
              <w:bottom w:w="0" w:type="dxa"/>
            </w:tcMar>
            <w:vAlign w:val="center"/>
          </w:tcPr>
          <w:p w14:paraId="5D6F3B12" w14:textId="77777777" w:rsidR="00046C48" w:rsidRDefault="00046C48">
            <w:pPr>
              <w:pStyle w:val="NoSpacing"/>
              <w:keepNext/>
              <w:keepLines/>
              <w:jc w:val="right"/>
            </w:pPr>
            <w:r w:rsidRPr="00A51374">
              <w:rPr>
                <w:noProof/>
              </w:rPr>
              <w:drawing>
                <wp:inline distT="0" distB="0" distL="0" distR="0" wp14:anchorId="522D667A" wp14:editId="32C1425E">
                  <wp:extent cx="288000" cy="288000"/>
                  <wp:effectExtent l="0" t="0" r="0" b="0"/>
                  <wp:docPr id="1836776044" name="Graphic 1836776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F39FD1B" w14:textId="77777777" w:rsidR="00046C48" w:rsidRPr="002530FF" w:rsidRDefault="00046C48">
            <w:pPr>
              <w:pStyle w:val="FindingRecRequesttitle"/>
            </w:pPr>
            <w:r w:rsidRPr="000B0B71">
              <w:t xml:space="preserve">Information request </w:t>
            </w:r>
            <w:r>
              <w:t>3</w:t>
            </w:r>
            <w:r w:rsidRPr="00DF7217">
              <w:t>.</w:t>
            </w:r>
            <w:r>
              <w:t>3</w:t>
            </w:r>
          </w:p>
        </w:tc>
      </w:tr>
      <w:tr w:rsidR="00046C48" w:rsidRPr="00F179F6" w14:paraId="08C5CC9A" w14:textId="77777777">
        <w:tc>
          <w:tcPr>
            <w:tcW w:w="5000" w:type="pct"/>
            <w:gridSpan w:val="2"/>
            <w:shd w:val="clear" w:color="auto" w:fill="EBEBEB"/>
          </w:tcPr>
          <w:p w14:paraId="73A40C84" w14:textId="77777777" w:rsidR="00046C48" w:rsidRPr="00F179F6" w:rsidRDefault="00046C48" w:rsidP="00E11D04">
            <w:pPr>
              <w:pStyle w:val="ListBullet"/>
              <w:rPr>
                <w:color w:val="265A9A" w:themeColor="background2"/>
              </w:rPr>
            </w:pPr>
            <w:r w:rsidRPr="00F179F6">
              <w:rPr>
                <w:rStyle w:val="ColourDarkBlue"/>
              </w:rPr>
              <w:t xml:space="preserve">Is improving the coordination of the approvals process a higher or lower priority than reforms to reduce the amount of approval requirements? </w:t>
            </w:r>
          </w:p>
          <w:p w14:paraId="77812128" w14:textId="77777777" w:rsidR="00046C48" w:rsidRPr="0083069E" w:rsidRDefault="00046C48" w:rsidP="00E11D04">
            <w:pPr>
              <w:pStyle w:val="ListBullet"/>
              <w:rPr>
                <w:rStyle w:val="ColourDarkBlue"/>
              </w:rPr>
            </w:pPr>
            <w:r w:rsidRPr="0083069E">
              <w:rPr>
                <w:rStyle w:val="ColourDarkBlue"/>
              </w:rPr>
              <w:t>Are there any examples of where coordination bodies are or are not working? What are the features of coordination bodies which make them successful?</w:t>
            </w:r>
          </w:p>
          <w:p w14:paraId="2FE1E974" w14:textId="77777777" w:rsidR="00046C48" w:rsidRPr="00F179F6" w:rsidRDefault="00046C48" w:rsidP="00E11D04">
            <w:pPr>
              <w:pStyle w:val="ListBullet"/>
              <w:rPr>
                <w:color w:val="265A9A" w:themeColor="background2"/>
              </w:rPr>
            </w:pPr>
            <w:r w:rsidRPr="00F179F6">
              <w:rPr>
                <w:color w:val="265A9A" w:themeColor="background2"/>
              </w:rPr>
              <w:t>How effectively are reforms to planning rules, such as SA’s Planning and Design Code and Victoria’s Clause 55, working to make approvals more certain?</w:t>
            </w:r>
          </w:p>
        </w:tc>
      </w:tr>
      <w:tr w:rsidR="00046C48" w14:paraId="67BFFEB0" w14:textId="77777777">
        <w:tc>
          <w:tcPr>
            <w:tcW w:w="5000" w:type="pct"/>
            <w:gridSpan w:val="2"/>
            <w:tcMar>
              <w:bottom w:w="0" w:type="dxa"/>
            </w:tcMar>
          </w:tcPr>
          <w:p w14:paraId="2746F209" w14:textId="7472E36F" w:rsidR="00046C48" w:rsidRDefault="00046C48">
            <w:pPr>
              <w:pStyle w:val="NoSpacing"/>
              <w:spacing w:line="200" w:lineRule="atLeast"/>
            </w:pPr>
          </w:p>
        </w:tc>
      </w:tr>
    </w:tbl>
    <w:p w14:paraId="4B9A815A" w14:textId="7EEC746B" w:rsidR="00C2170E" w:rsidRDefault="00C2170E">
      <w:pPr>
        <w:pStyle w:val="NoSpacing"/>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E4CC6BE" w14:textId="77777777">
        <w:trPr>
          <w:trHeight w:val="765"/>
          <w:tblHeader/>
        </w:trPr>
        <w:tc>
          <w:tcPr>
            <w:tcW w:w="366" w:type="pct"/>
            <w:shd w:val="clear" w:color="auto" w:fill="EBEBEB"/>
            <w:tcMar>
              <w:bottom w:w="0" w:type="dxa"/>
            </w:tcMar>
            <w:vAlign w:val="center"/>
          </w:tcPr>
          <w:p w14:paraId="01612441" w14:textId="77777777" w:rsidR="00046C48" w:rsidRDefault="00046C48">
            <w:pPr>
              <w:pStyle w:val="NoSpacing"/>
              <w:keepNext/>
              <w:keepLines/>
              <w:jc w:val="right"/>
            </w:pPr>
            <w:r w:rsidRPr="00A51374">
              <w:rPr>
                <w:noProof/>
              </w:rPr>
              <w:lastRenderedPageBreak/>
              <w:drawing>
                <wp:inline distT="0" distB="0" distL="0" distR="0" wp14:anchorId="3B1BE724" wp14:editId="387F257F">
                  <wp:extent cx="288000" cy="288000"/>
                  <wp:effectExtent l="0" t="0" r="0" b="0"/>
                  <wp:docPr id="506089629" name="Graphic 506089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6B87AD4" w14:textId="77777777" w:rsidR="00046C48" w:rsidRPr="002530FF" w:rsidRDefault="00046C48">
            <w:pPr>
              <w:pStyle w:val="FindingRecRequesttitle"/>
            </w:pPr>
            <w:r w:rsidRPr="000B0B71">
              <w:t xml:space="preserve">Information request </w:t>
            </w:r>
            <w:r>
              <w:t>3</w:t>
            </w:r>
            <w:r w:rsidRPr="00DF7217">
              <w:t>.</w:t>
            </w:r>
            <w:r>
              <w:t>4</w:t>
            </w:r>
          </w:p>
        </w:tc>
      </w:tr>
      <w:tr w:rsidR="00046C48" w:rsidRPr="0083069E" w14:paraId="7C4A1B8C" w14:textId="77777777">
        <w:tc>
          <w:tcPr>
            <w:tcW w:w="5000" w:type="pct"/>
            <w:gridSpan w:val="2"/>
            <w:shd w:val="clear" w:color="auto" w:fill="EBEBEB"/>
          </w:tcPr>
          <w:p w14:paraId="1271676B" w14:textId="77777777" w:rsidR="00046C48" w:rsidRPr="0083069E" w:rsidRDefault="00046C48" w:rsidP="00E11D04">
            <w:pPr>
              <w:pStyle w:val="ListBullet"/>
              <w:rPr>
                <w:color w:val="265A9A" w:themeColor="background2"/>
              </w:rPr>
            </w:pPr>
            <w:r w:rsidRPr="0083069E">
              <w:rPr>
                <w:color w:val="265A9A" w:themeColor="background2"/>
              </w:rPr>
              <w:t>What examples are there of best</w:t>
            </w:r>
            <w:r w:rsidRPr="0083069E">
              <w:rPr>
                <w:color w:val="265A9A" w:themeColor="background2"/>
              </w:rPr>
              <w:noBreakHyphen/>
              <w:t xml:space="preserve">practice strategic planning improving the process for housing approval decisions at a state, territory or local government level? </w:t>
            </w:r>
          </w:p>
          <w:p w14:paraId="23991D75" w14:textId="77777777" w:rsidR="00046C48" w:rsidRPr="0083069E" w:rsidRDefault="00046C48" w:rsidP="00E11D04">
            <w:pPr>
              <w:pStyle w:val="ListBullet"/>
              <w:rPr>
                <w:color w:val="265A9A" w:themeColor="background2"/>
              </w:rPr>
            </w:pPr>
            <w:r w:rsidRPr="0083069E">
              <w:rPr>
                <w:color w:val="265A9A" w:themeColor="background2"/>
              </w:rPr>
              <w:t>Do the features of tiered assessments we have identified match best</w:t>
            </w:r>
            <w:r w:rsidRPr="0083069E">
              <w:rPr>
                <w:color w:val="265A9A" w:themeColor="background2"/>
              </w:rPr>
              <w:noBreakHyphen/>
              <w:t>practice? What sort of developments should be included in each tier?</w:t>
            </w:r>
          </w:p>
          <w:p w14:paraId="440BE413" w14:textId="77777777" w:rsidR="00046C48" w:rsidRPr="0083069E" w:rsidRDefault="00046C48" w:rsidP="00E11D04">
            <w:pPr>
              <w:pStyle w:val="ListBullet"/>
              <w:rPr>
                <w:color w:val="265A9A" w:themeColor="background2"/>
              </w:rPr>
            </w:pPr>
            <w:r w:rsidRPr="0083069E">
              <w:rPr>
                <w:color w:val="265A9A" w:themeColor="background2"/>
              </w:rPr>
              <w:t>How effective has technology including AI been where it has been used to assist with approvals? How can it be better utilised?</w:t>
            </w:r>
          </w:p>
          <w:p w14:paraId="17398D30" w14:textId="77777777" w:rsidR="00046C48" w:rsidRPr="0083069E" w:rsidRDefault="00046C48" w:rsidP="00E11D04">
            <w:pPr>
              <w:pStyle w:val="ListBullet"/>
              <w:rPr>
                <w:color w:val="265A9A" w:themeColor="background2"/>
                <w:spacing w:val="-4"/>
              </w:rPr>
            </w:pPr>
            <w:r w:rsidRPr="0083069E">
              <w:rPr>
                <w:color w:val="265A9A" w:themeColor="background2"/>
                <w:spacing w:val="-4"/>
              </w:rPr>
              <w:t>What are the best ways to enhance how states and territories track the timing and burden of approvals?</w:t>
            </w:r>
          </w:p>
          <w:p w14:paraId="15EA2D93" w14:textId="77777777" w:rsidR="00046C48" w:rsidRPr="0083069E" w:rsidRDefault="00046C48" w:rsidP="00E11D04">
            <w:pPr>
              <w:pStyle w:val="ListBullet"/>
              <w:rPr>
                <w:color w:val="265A9A" w:themeColor="background2"/>
                <w:spacing w:val="-4"/>
              </w:rPr>
            </w:pPr>
            <w:r w:rsidRPr="0083069E">
              <w:rPr>
                <w:color w:val="265A9A" w:themeColor="background2"/>
                <w:spacing w:val="-4"/>
              </w:rPr>
              <w:t xml:space="preserve">What reforms should each state and territory prioritise to reduce the burden of the approvals process? </w:t>
            </w:r>
          </w:p>
          <w:p w14:paraId="53E330A6" w14:textId="77777777" w:rsidR="00046C48" w:rsidRPr="0083069E" w:rsidRDefault="00046C48" w:rsidP="00E11D04">
            <w:pPr>
              <w:pStyle w:val="ListBullet"/>
              <w:rPr>
                <w:color w:val="265A9A" w:themeColor="background2"/>
              </w:rPr>
            </w:pPr>
            <w:r w:rsidRPr="0083069E">
              <w:rPr>
                <w:color w:val="265A9A" w:themeColor="background2"/>
              </w:rPr>
              <w:t>How can federal, state and territory governments incentivise councils to approve developments efficiently, and encourage those that are slow or are obstructing approval pathways?</w:t>
            </w:r>
          </w:p>
          <w:p w14:paraId="4DCE3EC0" w14:textId="77777777" w:rsidR="00046C48" w:rsidRPr="0083069E" w:rsidRDefault="00046C48" w:rsidP="00E11D04">
            <w:pPr>
              <w:pStyle w:val="ListBullet"/>
              <w:rPr>
                <w:color w:val="265A9A" w:themeColor="background2"/>
              </w:rPr>
            </w:pPr>
            <w:r w:rsidRPr="0083069E">
              <w:rPr>
                <w:color w:val="265A9A" w:themeColor="background2"/>
              </w:rPr>
              <w:t>What evidence is there about the benefits of including social and affordable housing in state</w:t>
            </w:r>
            <w:r w:rsidRPr="0083069E">
              <w:rPr>
                <w:color w:val="265A9A" w:themeColor="background2"/>
              </w:rPr>
              <w:noBreakHyphen/>
              <w:t>significant, or other streamlined, pathways?</w:t>
            </w:r>
          </w:p>
        </w:tc>
      </w:tr>
      <w:tr w:rsidR="00046C48" w14:paraId="6F9A1E15" w14:textId="77777777">
        <w:tc>
          <w:tcPr>
            <w:tcW w:w="5000" w:type="pct"/>
            <w:gridSpan w:val="2"/>
            <w:tcMar>
              <w:bottom w:w="0" w:type="dxa"/>
            </w:tcMar>
          </w:tcPr>
          <w:p w14:paraId="420FB4DB" w14:textId="3129ACE4" w:rsidR="00046C48" w:rsidRDefault="00046C48">
            <w:pPr>
              <w:pStyle w:val="NoSpacing"/>
              <w:spacing w:line="200" w:lineRule="atLeast"/>
            </w:pPr>
          </w:p>
        </w:tc>
      </w:tr>
    </w:tbl>
    <w:p w14:paraId="0680F462" w14:textId="260B82DE"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58BEA313" w14:textId="77777777">
        <w:trPr>
          <w:trHeight w:val="765"/>
          <w:tblHeader/>
        </w:trPr>
        <w:tc>
          <w:tcPr>
            <w:tcW w:w="366" w:type="pct"/>
            <w:shd w:val="clear" w:color="auto" w:fill="EBEBEB"/>
            <w:tcMar>
              <w:bottom w:w="0" w:type="dxa"/>
            </w:tcMar>
            <w:vAlign w:val="center"/>
          </w:tcPr>
          <w:p w14:paraId="1C2C04AF" w14:textId="77777777" w:rsidR="00046C48" w:rsidRDefault="00046C48">
            <w:pPr>
              <w:pStyle w:val="NoSpacing"/>
              <w:keepNext/>
              <w:keepLines/>
              <w:jc w:val="right"/>
            </w:pPr>
            <w:r w:rsidRPr="00A51374">
              <w:rPr>
                <w:noProof/>
              </w:rPr>
              <w:drawing>
                <wp:inline distT="0" distB="0" distL="0" distR="0" wp14:anchorId="00CE55AD" wp14:editId="06B98DD7">
                  <wp:extent cx="288000" cy="288000"/>
                  <wp:effectExtent l="0" t="0" r="0" b="0"/>
                  <wp:docPr id="142345638" name="Graphic 142345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FBC6013" w14:textId="33F461CF" w:rsidR="00046C48" w:rsidRPr="002530FF" w:rsidRDefault="00046C48">
            <w:pPr>
              <w:pStyle w:val="FindingRecRequesttitle"/>
            </w:pPr>
            <w:r w:rsidRPr="000B0B71">
              <w:t xml:space="preserve">Information request </w:t>
            </w:r>
            <w:r>
              <w:t>4</w:t>
            </w:r>
            <w:r w:rsidRPr="00DF7217">
              <w:t>.</w:t>
            </w:r>
            <w:r w:rsidR="00315AE4">
              <w:t>1</w:t>
            </w:r>
          </w:p>
        </w:tc>
      </w:tr>
      <w:tr w:rsidR="00046C48" w:rsidRPr="0083069E" w14:paraId="4F843638" w14:textId="77777777">
        <w:tc>
          <w:tcPr>
            <w:tcW w:w="5000" w:type="pct"/>
            <w:gridSpan w:val="2"/>
            <w:shd w:val="clear" w:color="auto" w:fill="EBEBEB"/>
          </w:tcPr>
          <w:p w14:paraId="2482F881" w14:textId="77777777" w:rsidR="00046C48" w:rsidRPr="0083069E" w:rsidRDefault="00046C48" w:rsidP="00E11D04">
            <w:pPr>
              <w:pStyle w:val="ListBullet"/>
              <w:rPr>
                <w:color w:val="265A9A" w:themeColor="background2"/>
              </w:rPr>
            </w:pPr>
            <w:r w:rsidRPr="0083069E">
              <w:rPr>
                <w:color w:val="265A9A" w:themeColor="background2"/>
              </w:rPr>
              <w:t>What reforms are required to infrastructure planning and coordination to support more timely utility connections? To what extent is there misalignment of incentives between each level of government and infrastructure service providers?</w:t>
            </w:r>
          </w:p>
        </w:tc>
      </w:tr>
      <w:tr w:rsidR="00046C48" w14:paraId="6CABF441" w14:textId="77777777">
        <w:tc>
          <w:tcPr>
            <w:tcW w:w="5000" w:type="pct"/>
            <w:gridSpan w:val="2"/>
            <w:tcMar>
              <w:bottom w:w="0" w:type="dxa"/>
            </w:tcMar>
          </w:tcPr>
          <w:p w14:paraId="1E20D584" w14:textId="22A83892" w:rsidR="00046C48" w:rsidRDefault="00046C48">
            <w:pPr>
              <w:pStyle w:val="NoSpacing"/>
              <w:spacing w:line="200" w:lineRule="atLeast"/>
            </w:pPr>
          </w:p>
        </w:tc>
      </w:tr>
    </w:tbl>
    <w:p w14:paraId="1BC65082" w14:textId="4A6D1A98"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EDF0DD8" w14:textId="77777777">
        <w:trPr>
          <w:trHeight w:val="765"/>
          <w:tblHeader/>
        </w:trPr>
        <w:tc>
          <w:tcPr>
            <w:tcW w:w="366" w:type="pct"/>
            <w:shd w:val="clear" w:color="auto" w:fill="EBEBEB"/>
            <w:tcMar>
              <w:bottom w:w="0" w:type="dxa"/>
            </w:tcMar>
            <w:vAlign w:val="center"/>
          </w:tcPr>
          <w:p w14:paraId="220B5E79" w14:textId="77777777" w:rsidR="00046C48" w:rsidRDefault="00046C48">
            <w:pPr>
              <w:pStyle w:val="NoSpacing"/>
              <w:keepNext/>
              <w:keepLines/>
              <w:jc w:val="right"/>
            </w:pPr>
            <w:r w:rsidRPr="00A51374">
              <w:rPr>
                <w:noProof/>
              </w:rPr>
              <w:drawing>
                <wp:inline distT="0" distB="0" distL="0" distR="0" wp14:anchorId="1783293B" wp14:editId="1DD17D49">
                  <wp:extent cx="288000" cy="288000"/>
                  <wp:effectExtent l="0" t="0" r="0" b="0"/>
                  <wp:docPr id="440849119" name="Graphic 440849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9341A3B" w14:textId="77777777" w:rsidR="00046C48" w:rsidRPr="002530FF" w:rsidRDefault="00046C48">
            <w:pPr>
              <w:pStyle w:val="FindingRecRequesttitle"/>
            </w:pPr>
            <w:r w:rsidRPr="000B0B71">
              <w:t xml:space="preserve">Information request </w:t>
            </w:r>
            <w:r>
              <w:t>4.2</w:t>
            </w:r>
          </w:p>
        </w:tc>
      </w:tr>
      <w:tr w:rsidR="00046C48" w:rsidRPr="0083069E" w14:paraId="5F8801F9" w14:textId="77777777">
        <w:tc>
          <w:tcPr>
            <w:tcW w:w="5000" w:type="pct"/>
            <w:gridSpan w:val="2"/>
            <w:shd w:val="clear" w:color="auto" w:fill="EBEBEB"/>
          </w:tcPr>
          <w:p w14:paraId="5E22EB16" w14:textId="77777777" w:rsidR="00046C48" w:rsidRPr="0083069E" w:rsidRDefault="00046C48" w:rsidP="00E11D04">
            <w:pPr>
              <w:pStyle w:val="ListBullet"/>
              <w:rPr>
                <w:color w:val="265A9A" w:themeColor="background2"/>
              </w:rPr>
            </w:pPr>
            <w:r w:rsidRPr="0083069E">
              <w:rPr>
                <w:color w:val="265A9A" w:themeColor="background2"/>
              </w:rPr>
              <w:t>What feedback do you have on our reform directions for infrastructure planning? To what extent will these resolve the planning coordination issues and address constraints to housing supply?</w:t>
            </w:r>
          </w:p>
          <w:p w14:paraId="7CA1A01A" w14:textId="77777777" w:rsidR="00046C48" w:rsidRPr="0083069E" w:rsidRDefault="00046C48" w:rsidP="00E11D04">
            <w:pPr>
              <w:pStyle w:val="ListBullet"/>
              <w:rPr>
                <w:color w:val="265A9A" w:themeColor="background2"/>
                <w:spacing w:val="-2"/>
              </w:rPr>
            </w:pPr>
            <w:r w:rsidRPr="0083069E">
              <w:rPr>
                <w:color w:val="265A9A" w:themeColor="background2"/>
                <w:spacing w:val="-2"/>
              </w:rPr>
              <w:t>How should reforms to infrastructure planning be implemented and what are the main challenges?</w:t>
            </w:r>
          </w:p>
        </w:tc>
      </w:tr>
      <w:tr w:rsidR="00046C48" w14:paraId="1D320550" w14:textId="77777777">
        <w:tc>
          <w:tcPr>
            <w:tcW w:w="5000" w:type="pct"/>
            <w:gridSpan w:val="2"/>
            <w:tcMar>
              <w:bottom w:w="0" w:type="dxa"/>
            </w:tcMar>
          </w:tcPr>
          <w:p w14:paraId="7FC0A976" w14:textId="56A227A9" w:rsidR="00046C48" w:rsidRDefault="00046C48">
            <w:pPr>
              <w:pStyle w:val="NoSpacing"/>
              <w:spacing w:line="200" w:lineRule="atLeast"/>
            </w:pPr>
          </w:p>
        </w:tc>
      </w:tr>
    </w:tbl>
    <w:p w14:paraId="230281D7" w14:textId="7BFC5695"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45CD41B" w14:textId="77777777">
        <w:trPr>
          <w:trHeight w:val="765"/>
          <w:tblHeader/>
        </w:trPr>
        <w:tc>
          <w:tcPr>
            <w:tcW w:w="366" w:type="pct"/>
            <w:shd w:val="clear" w:color="auto" w:fill="EBEBEB"/>
            <w:tcMar>
              <w:bottom w:w="0" w:type="dxa"/>
            </w:tcMar>
            <w:vAlign w:val="center"/>
          </w:tcPr>
          <w:p w14:paraId="323BDC4A" w14:textId="77777777" w:rsidR="00046C48" w:rsidRDefault="00046C48">
            <w:pPr>
              <w:pStyle w:val="NoSpacing"/>
              <w:keepNext/>
              <w:keepLines/>
              <w:jc w:val="right"/>
            </w:pPr>
            <w:r w:rsidRPr="00A51374">
              <w:rPr>
                <w:noProof/>
              </w:rPr>
              <w:drawing>
                <wp:inline distT="0" distB="0" distL="0" distR="0" wp14:anchorId="08C0283C" wp14:editId="4ED4454C">
                  <wp:extent cx="288000" cy="288000"/>
                  <wp:effectExtent l="0" t="0" r="0" b="0"/>
                  <wp:docPr id="665552072" name="Graphic 665552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D7ECBCA" w14:textId="77777777" w:rsidR="00046C48" w:rsidRPr="002530FF" w:rsidRDefault="00046C48">
            <w:pPr>
              <w:pStyle w:val="FindingRecRequesttitle"/>
            </w:pPr>
            <w:r w:rsidRPr="000B0B71">
              <w:t xml:space="preserve">Information request </w:t>
            </w:r>
            <w:r>
              <w:t>4.3</w:t>
            </w:r>
          </w:p>
        </w:tc>
      </w:tr>
      <w:tr w:rsidR="00046C48" w:rsidRPr="0083069E" w14:paraId="55344563" w14:textId="77777777">
        <w:tc>
          <w:tcPr>
            <w:tcW w:w="5000" w:type="pct"/>
            <w:gridSpan w:val="2"/>
            <w:shd w:val="clear" w:color="auto" w:fill="EBEBEB"/>
          </w:tcPr>
          <w:p w14:paraId="3841F3D7" w14:textId="77777777" w:rsidR="00046C48" w:rsidRPr="0083069E" w:rsidRDefault="00046C48" w:rsidP="00E11D04">
            <w:pPr>
              <w:pStyle w:val="ListBullet"/>
              <w:rPr>
                <w:color w:val="265A9A" w:themeColor="background2"/>
              </w:rPr>
            </w:pPr>
            <w:r w:rsidRPr="0083069E">
              <w:rPr>
                <w:color w:val="265A9A" w:themeColor="background2"/>
              </w:rPr>
              <w:t>How can governments balance the need to support feasibility for developers by collecting developer contributions later in the development process, with a need for upfront funding to kickstart infrastructure to support new housing?</w:t>
            </w:r>
          </w:p>
        </w:tc>
      </w:tr>
      <w:tr w:rsidR="00046C48" w14:paraId="0A5D176C" w14:textId="77777777">
        <w:tc>
          <w:tcPr>
            <w:tcW w:w="5000" w:type="pct"/>
            <w:gridSpan w:val="2"/>
            <w:tcMar>
              <w:bottom w:w="0" w:type="dxa"/>
            </w:tcMar>
          </w:tcPr>
          <w:p w14:paraId="5156CF57" w14:textId="1A927AA8" w:rsidR="00046C48" w:rsidRDefault="00046C48">
            <w:pPr>
              <w:pStyle w:val="NoSpacing"/>
              <w:spacing w:line="200" w:lineRule="atLeast"/>
            </w:pPr>
          </w:p>
        </w:tc>
      </w:tr>
    </w:tbl>
    <w:p w14:paraId="30584368" w14:textId="20755D0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17C66F91" w14:textId="77777777">
        <w:trPr>
          <w:trHeight w:val="765"/>
          <w:tblHeader/>
        </w:trPr>
        <w:tc>
          <w:tcPr>
            <w:tcW w:w="366" w:type="pct"/>
            <w:shd w:val="clear" w:color="auto" w:fill="EBEBEB"/>
            <w:tcMar>
              <w:bottom w:w="0" w:type="dxa"/>
            </w:tcMar>
            <w:vAlign w:val="center"/>
          </w:tcPr>
          <w:p w14:paraId="451EB6F6" w14:textId="77777777" w:rsidR="00046C48" w:rsidRDefault="00046C48">
            <w:pPr>
              <w:pStyle w:val="NoSpacing"/>
              <w:keepNext/>
              <w:keepLines/>
              <w:jc w:val="right"/>
            </w:pPr>
            <w:r w:rsidRPr="00A51374">
              <w:rPr>
                <w:noProof/>
              </w:rPr>
              <w:lastRenderedPageBreak/>
              <w:drawing>
                <wp:inline distT="0" distB="0" distL="0" distR="0" wp14:anchorId="40735F58" wp14:editId="251D9653">
                  <wp:extent cx="288000" cy="288000"/>
                  <wp:effectExtent l="0" t="0" r="0" b="0"/>
                  <wp:docPr id="857397114" name="Graphic 857397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65DCE76" w14:textId="77777777" w:rsidR="00046C48" w:rsidRPr="002530FF" w:rsidRDefault="00046C48">
            <w:pPr>
              <w:pStyle w:val="FindingRecRequesttitle"/>
            </w:pPr>
            <w:r w:rsidRPr="000B0B71">
              <w:t xml:space="preserve">Information request </w:t>
            </w:r>
            <w:r>
              <w:t>4</w:t>
            </w:r>
            <w:r w:rsidRPr="00DF7217">
              <w:t>.</w:t>
            </w:r>
            <w:r>
              <w:t>4</w:t>
            </w:r>
          </w:p>
        </w:tc>
      </w:tr>
      <w:tr w:rsidR="00046C48" w:rsidRPr="0083069E" w14:paraId="384BFAC2" w14:textId="77777777">
        <w:tc>
          <w:tcPr>
            <w:tcW w:w="5000" w:type="pct"/>
            <w:gridSpan w:val="2"/>
            <w:shd w:val="clear" w:color="auto" w:fill="EBEBEB"/>
          </w:tcPr>
          <w:p w14:paraId="32B2DA54" w14:textId="77777777" w:rsidR="00046C48" w:rsidRPr="0083069E" w:rsidRDefault="00046C48" w:rsidP="00E11D04">
            <w:pPr>
              <w:pStyle w:val="ListBullet"/>
              <w:rPr>
                <w:color w:val="265A9A" w:themeColor="background2"/>
              </w:rPr>
            </w:pPr>
            <w:r w:rsidRPr="0083069E">
              <w:rPr>
                <w:color w:val="265A9A" w:themeColor="background2"/>
              </w:rPr>
              <w:t xml:space="preserve">Are our directions for improving developer contribution frameworks addressing key infrastructure challenges that will support housing supply? What evidence or case studies support this? </w:t>
            </w:r>
          </w:p>
          <w:p w14:paraId="126E9B64" w14:textId="77777777" w:rsidR="00046C48" w:rsidRPr="0083069E" w:rsidRDefault="00046C48" w:rsidP="00E11D04">
            <w:pPr>
              <w:pStyle w:val="ListBullet"/>
              <w:rPr>
                <w:color w:val="265A9A" w:themeColor="background2"/>
              </w:rPr>
            </w:pPr>
            <w:r w:rsidRPr="0083069E">
              <w:rPr>
                <w:color w:val="265A9A" w:themeColor="background2"/>
              </w:rPr>
              <w:t>How should reforms be designed to overcome the implementation challenges including determining nexus, fair apportionment, accurate upfront cost estimates for infrastructure, timing and funding sequencing, and first mover disadvantages?</w:t>
            </w:r>
          </w:p>
        </w:tc>
      </w:tr>
      <w:tr w:rsidR="00046C48" w14:paraId="03755C86" w14:textId="77777777">
        <w:tc>
          <w:tcPr>
            <w:tcW w:w="5000" w:type="pct"/>
            <w:gridSpan w:val="2"/>
            <w:tcMar>
              <w:bottom w:w="0" w:type="dxa"/>
            </w:tcMar>
          </w:tcPr>
          <w:p w14:paraId="55DFBD7E" w14:textId="517EE914" w:rsidR="00046C48" w:rsidRDefault="00046C48">
            <w:pPr>
              <w:pStyle w:val="NoSpacing"/>
              <w:spacing w:line="200" w:lineRule="atLeast"/>
            </w:pPr>
          </w:p>
        </w:tc>
      </w:tr>
    </w:tbl>
    <w:p w14:paraId="486B3AAD" w14:textId="4F6956BD"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CEBC205" w14:textId="77777777">
        <w:trPr>
          <w:trHeight w:val="765"/>
          <w:tblHeader/>
        </w:trPr>
        <w:tc>
          <w:tcPr>
            <w:tcW w:w="366" w:type="pct"/>
            <w:shd w:val="clear" w:color="auto" w:fill="EBEBEB"/>
            <w:tcMar>
              <w:bottom w:w="0" w:type="dxa"/>
            </w:tcMar>
            <w:vAlign w:val="center"/>
          </w:tcPr>
          <w:p w14:paraId="54B6C8F3" w14:textId="77777777" w:rsidR="00046C48" w:rsidRDefault="00046C48">
            <w:pPr>
              <w:pStyle w:val="NoSpacing"/>
              <w:keepNext/>
              <w:keepLines/>
              <w:jc w:val="right"/>
            </w:pPr>
            <w:r w:rsidRPr="00A51374">
              <w:rPr>
                <w:noProof/>
              </w:rPr>
              <w:drawing>
                <wp:inline distT="0" distB="0" distL="0" distR="0" wp14:anchorId="7B1CC272" wp14:editId="195C7685">
                  <wp:extent cx="288000" cy="288000"/>
                  <wp:effectExtent l="0" t="0" r="0" b="0"/>
                  <wp:docPr id="600904310" name="Graphic 600904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34804C6" w14:textId="531E776D" w:rsidR="00046C48" w:rsidRPr="002530FF" w:rsidRDefault="00046C48">
            <w:pPr>
              <w:pStyle w:val="FindingRecRequesttitle"/>
            </w:pPr>
            <w:r w:rsidRPr="000B0B71">
              <w:t>Information request</w:t>
            </w:r>
            <w:r>
              <w:t xml:space="preserve"> 4</w:t>
            </w:r>
            <w:r w:rsidRPr="00DF7217">
              <w:t>.</w:t>
            </w:r>
            <w:r w:rsidR="00315AE4">
              <w:t>5</w:t>
            </w:r>
          </w:p>
        </w:tc>
      </w:tr>
      <w:tr w:rsidR="00046C48" w:rsidRPr="0083069E" w14:paraId="58D971F9" w14:textId="77777777">
        <w:tc>
          <w:tcPr>
            <w:tcW w:w="5000" w:type="pct"/>
            <w:gridSpan w:val="2"/>
            <w:shd w:val="clear" w:color="auto" w:fill="EBEBEB"/>
          </w:tcPr>
          <w:p w14:paraId="7B7F2C75" w14:textId="77777777" w:rsidR="00046C48" w:rsidRPr="0083069E" w:rsidRDefault="00046C48" w:rsidP="00E11D04">
            <w:pPr>
              <w:pStyle w:val="ListBullet"/>
              <w:rPr>
                <w:color w:val="265A9A" w:themeColor="background2"/>
                <w:spacing w:val="-2"/>
              </w:rPr>
            </w:pPr>
            <w:r w:rsidRPr="0083069E">
              <w:rPr>
                <w:color w:val="265A9A" w:themeColor="background2"/>
                <w:spacing w:val="-2"/>
              </w:rPr>
              <w:t>Are our proposed roles for the Australian Government in supporting housing</w:t>
            </w:r>
            <w:r w:rsidRPr="0083069E">
              <w:rPr>
                <w:color w:val="265A9A" w:themeColor="background2"/>
                <w:spacing w:val="-2"/>
              </w:rPr>
              <w:noBreakHyphen/>
              <w:t>enabling infrastructure useful and appropriate to support new housing? What other roles should we consider?</w:t>
            </w:r>
          </w:p>
        </w:tc>
      </w:tr>
      <w:tr w:rsidR="00046C48" w14:paraId="0AE1D732" w14:textId="77777777">
        <w:tc>
          <w:tcPr>
            <w:tcW w:w="5000" w:type="pct"/>
            <w:gridSpan w:val="2"/>
            <w:tcMar>
              <w:bottom w:w="0" w:type="dxa"/>
            </w:tcMar>
          </w:tcPr>
          <w:p w14:paraId="28F645D5" w14:textId="173182EE" w:rsidR="00046C48" w:rsidRDefault="00046C48">
            <w:pPr>
              <w:pStyle w:val="NoSpacing"/>
              <w:spacing w:line="200" w:lineRule="atLeast"/>
            </w:pPr>
          </w:p>
        </w:tc>
      </w:tr>
    </w:tbl>
    <w:p w14:paraId="15095256" w14:textId="6A6C83BA"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590FAA36" w14:textId="77777777">
        <w:trPr>
          <w:trHeight w:val="765"/>
          <w:tblHeader/>
        </w:trPr>
        <w:tc>
          <w:tcPr>
            <w:tcW w:w="366" w:type="pct"/>
            <w:shd w:val="clear" w:color="auto" w:fill="EBEBEB"/>
            <w:tcMar>
              <w:bottom w:w="0" w:type="dxa"/>
            </w:tcMar>
            <w:vAlign w:val="center"/>
          </w:tcPr>
          <w:p w14:paraId="21A8776C" w14:textId="77777777" w:rsidR="00046C48" w:rsidRDefault="00046C48">
            <w:pPr>
              <w:pStyle w:val="NoSpacing"/>
              <w:keepNext/>
              <w:keepLines/>
              <w:jc w:val="right"/>
            </w:pPr>
            <w:r w:rsidRPr="00A51374">
              <w:rPr>
                <w:noProof/>
              </w:rPr>
              <w:drawing>
                <wp:inline distT="0" distB="0" distL="0" distR="0" wp14:anchorId="0B3B7D66" wp14:editId="0446648F">
                  <wp:extent cx="288000" cy="288000"/>
                  <wp:effectExtent l="0" t="0" r="0" b="0"/>
                  <wp:docPr id="1778301687" name="Graphic 1778301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6FA3D54" w14:textId="6FACDFDB" w:rsidR="00046C48" w:rsidRPr="002530FF" w:rsidRDefault="00046C48">
            <w:pPr>
              <w:pStyle w:val="FindingRecRequesttitle"/>
            </w:pPr>
            <w:r w:rsidRPr="000B0B71">
              <w:t xml:space="preserve">Information request </w:t>
            </w:r>
            <w:r>
              <w:t>5</w:t>
            </w:r>
            <w:r w:rsidRPr="00DF7217">
              <w:t>.</w:t>
            </w:r>
            <w:r w:rsidR="00315AE4">
              <w:t>1</w:t>
            </w:r>
          </w:p>
        </w:tc>
      </w:tr>
      <w:tr w:rsidR="00046C48" w:rsidRPr="0083069E" w14:paraId="3E269033" w14:textId="77777777">
        <w:tc>
          <w:tcPr>
            <w:tcW w:w="5000" w:type="pct"/>
            <w:gridSpan w:val="2"/>
            <w:shd w:val="clear" w:color="auto" w:fill="EBEBEB"/>
          </w:tcPr>
          <w:p w14:paraId="4901CCA2" w14:textId="77777777" w:rsidR="00046C48" w:rsidRPr="0083069E" w:rsidRDefault="00046C48" w:rsidP="00E11D04">
            <w:pPr>
              <w:pStyle w:val="ListBullet"/>
              <w:rPr>
                <w:color w:val="265A9A" w:themeColor="background2"/>
              </w:rPr>
            </w:pPr>
            <w:r w:rsidRPr="0083069E">
              <w:rPr>
                <w:color w:val="265A9A" w:themeColor="background2"/>
              </w:rPr>
              <w:t xml:space="preserve">Which of the reform directions will be relatively easy or hard to implement and why? Are there any examples of ‘quick wins’ that could be achieved? </w:t>
            </w:r>
          </w:p>
          <w:p w14:paraId="651435B8" w14:textId="77777777" w:rsidR="00046C48" w:rsidRPr="0083069E" w:rsidRDefault="00046C48" w:rsidP="00E11D04">
            <w:pPr>
              <w:pStyle w:val="ListBullet"/>
              <w:rPr>
                <w:color w:val="265A9A" w:themeColor="background2"/>
              </w:rPr>
            </w:pPr>
            <w:r w:rsidRPr="0083069E">
              <w:rPr>
                <w:color w:val="265A9A" w:themeColor="background2"/>
              </w:rPr>
              <w:t>Are there any co</w:t>
            </w:r>
            <w:r w:rsidRPr="0083069E">
              <w:rPr>
                <w:color w:val="265A9A" w:themeColor="background2"/>
              </w:rPr>
              <w:noBreakHyphen/>
              <w:t>dependencies or sequencing considerations across the reform directions?</w:t>
            </w:r>
          </w:p>
          <w:p w14:paraId="535DD000" w14:textId="77777777" w:rsidR="00046C48" w:rsidRPr="0083069E" w:rsidRDefault="00046C48" w:rsidP="00E11D04">
            <w:pPr>
              <w:pStyle w:val="ListBullet"/>
              <w:rPr>
                <w:color w:val="265A9A" w:themeColor="background2"/>
              </w:rPr>
            </w:pPr>
            <w:r w:rsidRPr="0083069E">
              <w:rPr>
                <w:color w:val="265A9A" w:themeColor="background2"/>
              </w:rPr>
              <w:t>How can the Australian Government ensure housing regulatory system reform is implemented in a manner that supports all governments’ commitments under the National Agreement on Closing the Gap?</w:t>
            </w:r>
          </w:p>
          <w:p w14:paraId="51016904" w14:textId="77777777" w:rsidR="00046C48" w:rsidRPr="0083069E" w:rsidRDefault="00046C48" w:rsidP="00E11D04">
            <w:pPr>
              <w:pStyle w:val="ListBullet"/>
              <w:rPr>
                <w:color w:val="265A9A" w:themeColor="background2"/>
              </w:rPr>
            </w:pPr>
            <w:r w:rsidRPr="0083069E">
              <w:rPr>
                <w:color w:val="265A9A" w:themeColor="background2"/>
              </w:rPr>
              <w:t>How can the Australian Government best support state and territory and local governments to shift housing regulatory systems towards best practice?</w:t>
            </w:r>
          </w:p>
        </w:tc>
      </w:tr>
      <w:tr w:rsidR="00046C48" w14:paraId="31D1D292" w14:textId="77777777">
        <w:tc>
          <w:tcPr>
            <w:tcW w:w="5000" w:type="pct"/>
            <w:gridSpan w:val="2"/>
            <w:tcMar>
              <w:bottom w:w="0" w:type="dxa"/>
            </w:tcMar>
          </w:tcPr>
          <w:p w14:paraId="6876D4E2" w14:textId="60067233" w:rsidR="00046C48" w:rsidRDefault="00046C48">
            <w:pPr>
              <w:pStyle w:val="NoSpacing"/>
              <w:spacing w:line="200" w:lineRule="atLeast"/>
            </w:pPr>
          </w:p>
        </w:tc>
      </w:tr>
    </w:tbl>
    <w:p w14:paraId="2CC48BE1" w14:textId="77777777" w:rsidR="00046C48" w:rsidRDefault="00046C48">
      <w:pPr>
        <w:pStyle w:val="BodyText"/>
      </w:pPr>
    </w:p>
    <w:p w14:paraId="50D81829" w14:textId="77777777" w:rsidR="002E1C0B" w:rsidRDefault="002E1C0B">
      <w:pPr>
        <w:pStyle w:val="BodyText"/>
      </w:pPr>
    </w:p>
    <w:p w14:paraId="5378F1A4" w14:textId="77777777" w:rsidR="000A2D7A" w:rsidRDefault="000A2D7A" w:rsidP="00E76EEC">
      <w:pPr>
        <w:pStyle w:val="BodyText"/>
        <w:sectPr w:rsidR="000A2D7A" w:rsidSect="00CB7BE1">
          <w:headerReference w:type="even" r:id="rId51"/>
          <w:headerReference w:type="default" r:id="rId52"/>
          <w:footerReference w:type="even" r:id="rId53"/>
          <w:footerReference w:type="default" r:id="rId54"/>
          <w:headerReference w:type="first" r:id="rId55"/>
          <w:pgSz w:w="11906" w:h="16838" w:code="9"/>
          <w:pgMar w:top="1134" w:right="1134" w:bottom="1134" w:left="1134" w:header="794" w:footer="510" w:gutter="0"/>
          <w:cols w:space="708"/>
          <w:docGrid w:linePitch="360"/>
        </w:sectPr>
      </w:pPr>
    </w:p>
    <w:p w14:paraId="2A6271EA" w14:textId="77777777" w:rsidR="006A2B01" w:rsidRDefault="006A2B01" w:rsidP="00F86D6E">
      <w:pPr>
        <w:pStyle w:val="Reference"/>
      </w:pPr>
    </w:p>
    <w:p w14:paraId="661876AF" w14:textId="77777777" w:rsidR="007349AB" w:rsidRDefault="007349AB" w:rsidP="00F86D6E">
      <w:pPr>
        <w:pStyle w:val="Reference"/>
      </w:pPr>
    </w:p>
    <w:p w14:paraId="3C6B8E94" w14:textId="640F9883" w:rsidR="00BE0006" w:rsidRDefault="00BE0006" w:rsidP="00F86D6E">
      <w:pPr>
        <w:pStyle w:val="Reference"/>
        <w:sectPr w:rsidR="00BE0006" w:rsidSect="002F3244">
          <w:headerReference w:type="even" r:id="rId56"/>
          <w:headerReference w:type="default" r:id="rId57"/>
          <w:footerReference w:type="even" r:id="rId58"/>
          <w:footerReference w:type="default" r:id="rId59"/>
          <w:headerReference w:type="first" r:id="rId60"/>
          <w:type w:val="continuous"/>
          <w:pgSz w:w="11906" w:h="16838" w:code="9"/>
          <w:pgMar w:top="1134" w:right="1134" w:bottom="1134" w:left="1134" w:header="794" w:footer="510" w:gutter="0"/>
          <w:cols w:num="2" w:space="708"/>
          <w:docGrid w:linePitch="360"/>
        </w:sectPr>
      </w:pPr>
    </w:p>
    <w:p w14:paraId="484FCC57" w14:textId="43F713C5" w:rsidR="00770BD4" w:rsidRPr="00770BD4" w:rsidRDefault="00770BD4" w:rsidP="00F86D6E">
      <w:pPr>
        <w:pStyle w:val="Reference"/>
      </w:pPr>
    </w:p>
    <w:sectPr w:rsidR="00770BD4" w:rsidRPr="00770BD4" w:rsidSect="002F3244">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8F87" w14:textId="77777777" w:rsidR="00087BA6" w:rsidRPr="000429D1" w:rsidRDefault="00087BA6" w:rsidP="008017BC">
      <w:r w:rsidRPr="000429D1">
        <w:separator/>
      </w:r>
    </w:p>
    <w:p w14:paraId="291A1B84" w14:textId="77777777" w:rsidR="00087BA6" w:rsidRPr="000429D1" w:rsidRDefault="00087BA6"/>
  </w:endnote>
  <w:endnote w:type="continuationSeparator" w:id="0">
    <w:p w14:paraId="7AC4F6AB" w14:textId="77777777" w:rsidR="00087BA6" w:rsidRPr="000429D1" w:rsidRDefault="00087BA6" w:rsidP="008017BC">
      <w:r w:rsidRPr="000429D1">
        <w:continuationSeparator/>
      </w:r>
    </w:p>
    <w:p w14:paraId="71380823" w14:textId="77777777" w:rsidR="00087BA6" w:rsidRPr="000429D1" w:rsidRDefault="00087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altName w:val="Segoe UI"/>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54DC" w14:textId="77777777" w:rsidR="00F04EA7" w:rsidRPr="000429D1" w:rsidRDefault="00F04EA7" w:rsidP="00A471AE">
    <w:pPr>
      <w:pStyle w:val="Footer"/>
      <w:jc w:val="right"/>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E9C3"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111817"/>
      <w:docPartObj>
        <w:docPartGallery w:val="Page Numbers (Bottom of Page)"/>
        <w:docPartUnique/>
      </w:docPartObj>
    </w:sdtPr>
    <w:sdtContent>
      <w:sdt>
        <w:sdtPr>
          <w:id w:val="-995021276"/>
          <w:docPartObj>
            <w:docPartGallery w:val="Page Numbers (Top of Page)"/>
            <w:docPartUnique/>
          </w:docPartObj>
        </w:sdtPr>
        <w:sdtContent>
          <w:p w14:paraId="19830AE1" w14:textId="4224D0E5"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CE2E"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345118"/>
      <w:docPartObj>
        <w:docPartGallery w:val="Page Numbers (Bottom of Page)"/>
        <w:docPartUnique/>
      </w:docPartObj>
    </w:sdtPr>
    <w:sdtContent>
      <w:sdt>
        <w:sdtPr>
          <w:id w:val="484515810"/>
          <w:docPartObj>
            <w:docPartGallery w:val="Page Numbers (Top of Page)"/>
            <w:docPartUnique/>
          </w:docPartObj>
        </w:sdtPr>
        <w:sdtContent>
          <w:p w14:paraId="263FCCA0"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0263" w14:textId="77777777" w:rsidR="00C31E23" w:rsidRPr="000429D1" w:rsidRDefault="00C31E23">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8967" w14:textId="77777777" w:rsidR="00F04EA7" w:rsidRPr="000429D1" w:rsidRDefault="00C31E23">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F1FD" w14:textId="77777777" w:rsidR="00D15113" w:rsidRPr="000429D1" w:rsidRDefault="00F04EA7" w:rsidP="002E3F19">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3DADB933" w14:textId="77777777" w:rsidR="00D15113" w:rsidRPr="000429D1" w:rsidRDefault="00F04EA7" w:rsidP="002E3F19">
            <w:pPr>
              <w:pStyle w:val="Footer-right"/>
            </w:pPr>
            <w:r w:rsidRPr="000429D1">
              <w:rPr>
                <w:sz w:val="24"/>
              </w:rPr>
              <w:fldChar w:fldCharType="begin"/>
            </w:r>
            <w:r w:rsidRPr="000429D1">
              <w:instrText xml:space="preserve"> PAGE </w:instrText>
            </w:r>
            <w:r w:rsidRPr="000429D1">
              <w:rPr>
                <w:sz w:val="24"/>
              </w:rPr>
              <w:fldChar w:fldCharType="separate"/>
            </w:r>
            <w:r w:rsidRPr="000429D1">
              <w:t>1</w:t>
            </w:r>
            <w:r w:rsidRPr="000429D1">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B13B" w14:textId="77777777" w:rsidR="00E76EEC" w:rsidRPr="000429D1" w:rsidRDefault="00E76EEC" w:rsidP="004544D6">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52D6D37A" w14:textId="77777777" w:rsidR="00E76EEC" w:rsidRPr="000429D1" w:rsidRDefault="00E76EEC" w:rsidP="004544D6">
            <w:pPr>
              <w:pStyle w:val="Footer-right"/>
            </w:pPr>
            <w:r w:rsidRPr="000429D1">
              <w:fldChar w:fldCharType="begin"/>
            </w:r>
            <w:r w:rsidRPr="000429D1">
              <w:instrText xml:space="preserve"> PAGE </w:instrText>
            </w:r>
            <w:r w:rsidRPr="000429D1">
              <w:fldChar w:fldCharType="separate"/>
            </w:r>
            <w:r w:rsidRPr="000429D1">
              <w:t>1</w:t>
            </w:r>
            <w:r w:rsidRPr="000429D1">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8557" w14:textId="77777777" w:rsidR="00E76EEC" w:rsidRPr="000429D1" w:rsidRDefault="00E76EEC" w:rsidP="002E3F19">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053832"/>
      <w:docPartObj>
        <w:docPartGallery w:val="Page Numbers (Bottom of Page)"/>
        <w:docPartUnique/>
      </w:docPartObj>
    </w:sdtPr>
    <w:sdtContent>
      <w:sdt>
        <w:sdtPr>
          <w:id w:val="83031833"/>
          <w:docPartObj>
            <w:docPartGallery w:val="Page Numbers (Top of Page)"/>
            <w:docPartUnique/>
          </w:docPartObj>
        </w:sdtPr>
        <w:sdtContent>
          <w:p w14:paraId="5696B216" w14:textId="77777777" w:rsidR="00E76EEC" w:rsidRPr="000429D1" w:rsidRDefault="00E76EEC" w:rsidP="002E3F19">
            <w:pPr>
              <w:pStyle w:val="Footer-right"/>
            </w:pPr>
            <w:r w:rsidRPr="000429D1">
              <w:rPr>
                <w:sz w:val="24"/>
              </w:rPr>
              <w:fldChar w:fldCharType="begin"/>
            </w:r>
            <w:r w:rsidRPr="000429D1">
              <w:instrText xml:space="preserve"> PAGE </w:instrText>
            </w:r>
            <w:r w:rsidRPr="000429D1">
              <w:rPr>
                <w:sz w:val="24"/>
              </w:rPr>
              <w:fldChar w:fldCharType="separate"/>
            </w:r>
            <w:r w:rsidRPr="000429D1">
              <w:t>1</w:t>
            </w:r>
            <w:r w:rsidRPr="000429D1">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FEFB0" w14:textId="77777777" w:rsidR="00087BA6" w:rsidRPr="000429D1" w:rsidRDefault="00087BA6" w:rsidP="00273E86">
      <w:pPr>
        <w:spacing w:after="0" w:line="240" w:lineRule="auto"/>
        <w:rPr>
          <w:rStyle w:val="ColourDarkBlue"/>
        </w:rPr>
      </w:pPr>
      <w:r w:rsidRPr="000429D1">
        <w:rPr>
          <w:rStyle w:val="ColourDarkBlue"/>
        </w:rPr>
        <w:continuationSeparator/>
      </w:r>
    </w:p>
  </w:footnote>
  <w:footnote w:type="continuationSeparator" w:id="0">
    <w:p w14:paraId="2FB0E1F6" w14:textId="77777777" w:rsidR="00087BA6" w:rsidRPr="000429D1" w:rsidRDefault="00087BA6" w:rsidP="001D7D9B">
      <w:pPr>
        <w:spacing w:after="0" w:line="240" w:lineRule="auto"/>
        <w:rPr>
          <w:color w:val="265A9A" w:themeColor="background2"/>
        </w:rPr>
      </w:pPr>
      <w:r w:rsidRPr="000429D1">
        <w:rPr>
          <w:rStyle w:val="ColourDarkBlue"/>
        </w:rPr>
        <w:continuationSeparator/>
      </w:r>
    </w:p>
  </w:footnote>
  <w:footnote w:type="continuationNotice" w:id="1">
    <w:p w14:paraId="44ADA287" w14:textId="77777777" w:rsidR="00087BA6" w:rsidRPr="000429D1" w:rsidRDefault="00087BA6"/>
  </w:footnote>
  <w:footnote w:id="2">
    <w:p w14:paraId="728824B8" w14:textId="2170F9BA" w:rsidR="00A450D6" w:rsidRPr="002B3D0E" w:rsidRDefault="00A450D6">
      <w:pPr>
        <w:pStyle w:val="FootnoteText"/>
      </w:pPr>
      <w:r w:rsidRPr="009A6E44">
        <w:rPr>
          <w:rStyle w:val="FootnoteReference"/>
        </w:rPr>
        <w:footnoteRef/>
      </w:r>
      <w:r>
        <w:t xml:space="preserve"> F</w:t>
      </w:r>
      <w:r w:rsidRPr="005B3402">
        <w:t xml:space="preserve">or example, </w:t>
      </w:r>
      <w:r w:rsidRPr="00194A0B">
        <w:rPr>
          <w:i/>
          <w:iCs/>
        </w:rPr>
        <w:t>Housing construction productivity: Can we fix it?</w:t>
      </w:r>
      <w:r w:rsidRPr="005B3402">
        <w:t xml:space="preserve"> </w:t>
      </w:r>
      <w:r w:rsidRPr="005B3402">
        <w:fldChar w:fldCharType="begin"/>
      </w:r>
      <w:r w:rsidR="008F2F22">
        <w:instrText xml:space="preserve"> ADDIN ZOTERO_ITEM CSL_CITATION {"citationID":"J04L7hiL","properties":{"unsorted":false,"formattedCitation":"(PC\\uc0\\u160{}2025c)","plainCitation":"(PC 2025c)","noteIndex":1},"citationItems":[{"id":1006,"uris":["http://zotero.org/groups/164861/items/6QP3W4QM"],"itemData":{"id":1006,"type":"report","genre":"Research paper","publisher-place":"Canberra","title":"Housing construction productivity: Can we fix it?","author":[{"family":"Productivity Commission","given":""}],"translator":[{"family":"PC","given":""}],"issued":{"date-parts":[["2025"]]}}}],"schema":"https://github.com/citation-style-language/schema/raw/master/csl-citation.json"} </w:instrText>
      </w:r>
      <w:r w:rsidRPr="005B3402">
        <w:fldChar w:fldCharType="separate"/>
      </w:r>
      <w:r w:rsidR="00877EF9" w:rsidRPr="00877EF9">
        <w:rPr>
          <w:rFonts w:cs="Open Sans"/>
        </w:rPr>
        <w:t>(PC 2025c)</w:t>
      </w:r>
      <w:r w:rsidRPr="005B3402">
        <w:fldChar w:fldCharType="end"/>
      </w:r>
      <w:r w:rsidRPr="005B3402">
        <w:t xml:space="preserve">; </w:t>
      </w:r>
      <w:r w:rsidRPr="00194A0B">
        <w:rPr>
          <w:i/>
          <w:iCs/>
        </w:rPr>
        <w:t>Creating a more dynamic and resilient economy</w:t>
      </w:r>
      <w:r w:rsidRPr="005B3402">
        <w:t xml:space="preserve"> </w:t>
      </w:r>
      <w:r w:rsidRPr="00194A0B">
        <w:rPr>
          <w:i/>
          <w:iCs/>
        </w:rPr>
        <w:fldChar w:fldCharType="begin"/>
      </w:r>
      <w:r w:rsidR="008F2F22">
        <w:rPr>
          <w:i/>
          <w:iCs/>
        </w:rPr>
        <w:instrText xml:space="preserve"> ADDIN ZOTERO_ITEM CSL_CITATION {"citationID":"zeCltnal","properties":{"unsorted":false,"formattedCitation":"(PC\\uc0\\u160{}2025a)","plainCitation":"(PC 2025a)","noteIndex":1},"citationItems":[{"id":8347,"uris":["http://zotero.org/groups/164861/items/5MGXGFHC"],"itemData":{"id":8347,"type":"report","number":"Inquiry report no. 109","publisher-place":"Canberra","title":"Creating a more dynamic and resilient economy","author":[{"family":"Productivity Commission","given":""}],"translator":[{"family":"PC","given":""}],"issued":{"date-parts":[["2025"]]}}}],"schema":"https://github.com/citation-style-language/schema/raw/master/csl-citation.json"} </w:instrText>
      </w:r>
      <w:r w:rsidRPr="00194A0B">
        <w:rPr>
          <w:i/>
          <w:iCs/>
        </w:rPr>
        <w:fldChar w:fldCharType="separate"/>
      </w:r>
      <w:r w:rsidRPr="00194A0B">
        <w:rPr>
          <w:i/>
          <w:iCs/>
        </w:rPr>
        <w:t>(PC 2025a)</w:t>
      </w:r>
      <w:r w:rsidRPr="00194A0B">
        <w:rPr>
          <w:i/>
          <w:iCs/>
        </w:rPr>
        <w:fldChar w:fldCharType="end"/>
      </w:r>
      <w:r w:rsidRPr="00194A0B">
        <w:rPr>
          <w:i/>
          <w:iCs/>
        </w:rPr>
        <w:t>; In need of repair: The National Housing and Homelessness Agreement</w:t>
      </w:r>
      <w:r w:rsidRPr="005B3402">
        <w:t xml:space="preserve"> </w:t>
      </w:r>
      <w:r w:rsidRPr="005B3402">
        <w:fldChar w:fldCharType="begin"/>
      </w:r>
      <w:r w:rsidR="008F2F22">
        <w:instrText xml:space="preserve"> ADDIN ZOTERO_ITEM CSL_CITATION {"citationID":"DpJcAiD0","properties":{"unsorted":false,"formattedCitation":"(PC\\uc0\\u160{}2022)","plainCitation":"(PC 2022)","noteIndex":1},"citationItems":[{"id":1033,"uris":["http://zotero.org/groups/164861/items/UVW64S8G"],"itemData":{"id":1033,"type":"report","genre":"Study Report","publisher-place":"Canberra","title":"In need of repair: the National Housing and Homelessness Agreement","author":[{"family":"Productivity Commission","given":""}],"translator":[{"family":"PC","given":""}],"issued":{"date-parts":[["2022"]]}}}],"schema":"https://github.com/citation-style-language/schema/raw/master/csl-citation.json"} </w:instrText>
      </w:r>
      <w:r w:rsidRPr="005B3402">
        <w:fldChar w:fldCharType="separate"/>
      </w:r>
      <w:r w:rsidRPr="005B3402">
        <w:t>(PC 2022)</w:t>
      </w:r>
      <w:r w:rsidRPr="005B3402">
        <w:fldChar w:fldCharType="end"/>
      </w:r>
      <w:r w:rsidRPr="005B3402">
        <w:t xml:space="preserve">; </w:t>
      </w:r>
      <w:r w:rsidRPr="008F24D9">
        <w:rPr>
          <w:i/>
          <w:iCs/>
        </w:rPr>
        <w:t>National voluntary certification scheme for manufacturers of modern methods of construction</w:t>
      </w:r>
      <w:r w:rsidRPr="005B3402">
        <w:t xml:space="preserve"> </w:t>
      </w:r>
      <w:r w:rsidRPr="005B3402">
        <w:fldChar w:fldCharType="begin"/>
      </w:r>
      <w:r w:rsidR="008F2F22">
        <w:instrText xml:space="preserve"> ADDIN ZOTERO_ITEM CSL_CITATION {"citationID":"IQ5SzYHW","properties":{"unsorted":false,"formattedCitation":"(ABCB\\uc0\\u160{}2025b)","plainCitation":"(ABCB 2025b)","noteIndex":1},"citationItems":[{"id":8908,"uris":["http://zotero.org/groups/6391232/items/BMNMYZ7T"],"itemData":{"id":8908,"type":"report","abstract":"Have your say and share feedback as we plan, develop and consult on our policies and projects.","genre":"Issues paper","language":"en","title":"National voluntary certification scheme for manufacturers of modern methods of construction","URL":"https://app.converlens.com/abcb/national-voluntary-certification-scheme-for-manufacturers-of-modern-methods-of-construction","author":[{"literal":"Australian Building Codes Board"}],"translator":[{"literal":"ABCB"}],"issued":{"date-parts":[["2025",7]]}}}],"schema":"https://github.com/citation-style-language/schema/raw/master/csl-citation.json"} </w:instrText>
      </w:r>
      <w:r w:rsidRPr="005B3402">
        <w:fldChar w:fldCharType="separate"/>
      </w:r>
      <w:r w:rsidR="00877EF9" w:rsidRPr="00877EF9">
        <w:rPr>
          <w:rFonts w:cs="Open Sans"/>
        </w:rPr>
        <w:t>(ABCB 2025b)</w:t>
      </w:r>
      <w:r w:rsidRPr="005B3402">
        <w:fldChar w:fldCharType="end"/>
      </w:r>
      <w:r w:rsidRPr="005B3402">
        <w:t xml:space="preserve">; </w:t>
      </w:r>
      <w:r w:rsidRPr="00752470">
        <w:rPr>
          <w:i/>
          <w:iCs/>
        </w:rPr>
        <w:t xml:space="preserve">National Construction Code modernisation project </w:t>
      </w:r>
      <w:r w:rsidRPr="00752470">
        <w:rPr>
          <w:rFonts w:hint="cs"/>
          <w:i/>
          <w:iCs/>
        </w:rPr>
        <w:t>–</w:t>
      </w:r>
      <w:r w:rsidRPr="00752470">
        <w:rPr>
          <w:i/>
          <w:iCs/>
        </w:rPr>
        <w:t xml:space="preserve"> interim report</w:t>
      </w:r>
      <w:r w:rsidRPr="005B3402">
        <w:t xml:space="preserve"> </w:t>
      </w:r>
      <w:r w:rsidRPr="005B3402">
        <w:fldChar w:fldCharType="begin"/>
      </w:r>
      <w:r w:rsidR="008F2F22">
        <w:instrText xml:space="preserve"> ADDIN ZOTERO_ITEM CSL_CITATION {"citationID":"sVtI5clU","properties":{"unsorted":false,"formattedCitation":"(Treasury\\uc0\\u160{}2026b)","plainCitation":"(Treasury 2026b)","noteIndex":1},"citationItems":[{"id":8976,"uris":["http://zotero.org/groups/6391232/items/4SD7MWUE"],"itemData":{"id":8976,"type":"report","title":"National Construction Code Modernisation Project Interim Report","author":[{"literal":"Australian Government Treasury"}],"translator":[{"literal":"Treasury"}],"issued":{"date-parts":[["2026",4,30]]}}}],"schema":"https://github.com/citation-style-language/schema/raw/master/csl-citation.json"} </w:instrText>
      </w:r>
      <w:r w:rsidRPr="005B3402">
        <w:fldChar w:fldCharType="separate"/>
      </w:r>
      <w:r w:rsidR="00877EF9" w:rsidRPr="00877EF9">
        <w:rPr>
          <w:rFonts w:cs="Open Sans"/>
        </w:rPr>
        <w:t>(Treasury 2026b)</w:t>
      </w:r>
      <w:r w:rsidRPr="005B3402">
        <w:fldChar w:fldCharType="end"/>
      </w:r>
      <w:r w:rsidRPr="005B340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05A2" w14:textId="45043036" w:rsidR="001E2FE4" w:rsidRPr="000429D1" w:rsidRDefault="00000000" w:rsidP="001E2FE4">
    <w:pPr>
      <w:pStyle w:val="Header-Keyline"/>
    </w:pPr>
    <w:sdt>
      <w:sdtPr>
        <w:rPr>
          <w:rStyle w:val="Strong"/>
        </w:rPr>
        <w:alias w:val="Title"/>
        <w:tag w:val=""/>
        <w:id w:val="-1701777645"/>
        <w:placeholder>
          <w:docPart w:val="249FA56151844F979020595114D16358"/>
        </w:placeholder>
        <w:dataBinding w:prefixMappings="xmlns:ns0='http://purl.org/dc/elements/1.1/' xmlns:ns1='http://schemas.openxmlformats.org/package/2006/metadata/core-properties' " w:xpath="/ns1:coreProperties[1]/ns0:title[1]" w:storeItemID="{6C3C8BC8-F283-45AE-878A-BAB7291924A1}"/>
        <w:text/>
      </w:sdtPr>
      <w:sdtContent>
        <w:r w:rsidR="005B27C9">
          <w:rPr>
            <w:rStyle w:val="Strong"/>
          </w:rPr>
          <w:t>Overview - Interim report - Housing supply regulation</w:t>
        </w:r>
      </w:sdtContent>
    </w:sdt>
    <w:r w:rsidR="001E2FE4" w:rsidRPr="000429D1">
      <w:t xml:space="preserve"> Inquiry Report</w:t>
    </w:r>
  </w:p>
  <w:p w14:paraId="4034EF4B" w14:textId="1B69D21C" w:rsidR="001E2FE4" w:rsidRPr="000429D1" w:rsidRDefault="00000000" w:rsidP="001E2FE4">
    <w:pPr>
      <w:pStyle w:val="Header-Keyline"/>
    </w:pPr>
    <w:sdt>
      <w:sdtPr>
        <w:rPr>
          <w:rStyle w:val="Strong"/>
        </w:rPr>
        <w:alias w:val="Title"/>
        <w:tag w:val=""/>
        <w:id w:val="1209687023"/>
        <w:placeholder>
          <w:docPart w:val="550A43F2A6904F789E1F24274A1130EA"/>
        </w:placeholder>
        <w:dataBinding w:prefixMappings="xmlns:ns0='http://purl.org/dc/elements/1.1/' xmlns:ns1='http://schemas.openxmlformats.org/package/2006/metadata/core-properties' " w:xpath="/ns1:coreProperties[1]/ns0:title[1]" w:storeItemID="{6C3C8BC8-F283-45AE-878A-BAB7291924A1}"/>
        <w:text/>
      </w:sdtPr>
      <w:sdtContent>
        <w:r w:rsidR="005B27C9">
          <w:rPr>
            <w:rStyle w:val="Strong"/>
          </w:rPr>
          <w:t>Overview - Interim report - Housing supply regulation</w:t>
        </w:r>
      </w:sdtContent>
    </w:sdt>
    <w:r w:rsidR="001E2FE4" w:rsidRPr="000429D1">
      <w:t xml:space="preserve"> Inquiry Report</w:t>
    </w:r>
  </w:p>
  <w:p w14:paraId="49CCE91C" w14:textId="77777777" w:rsidR="001E2FE4" w:rsidRPr="000429D1" w:rsidRDefault="001E2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FDAC" w14:textId="47A5742C" w:rsidR="00E76EEC" w:rsidRPr="000429D1" w:rsidRDefault="00051F3A">
    <w:pPr>
      <w:pStyle w:val="Header-Keyline"/>
    </w:pPr>
    <w:r w:rsidRPr="000429D1">
      <w:rPr>
        <w:rStyle w:val="Strong"/>
      </w:rPr>
      <w:t>Housing supply regulation</w:t>
    </w:r>
    <w:r w:rsidR="00E76EEC" w:rsidRPr="000429D1">
      <w:t xml:space="preserve"> </w:t>
    </w:r>
    <w:r w:rsidR="0085334C" w:rsidRPr="000429D1">
      <w:t>Interim</w:t>
    </w:r>
    <w:r w:rsidR="00E76EEC" w:rsidRPr="000429D1">
      <w:t xml:space="preserve"> </w:t>
    </w:r>
    <w:r w:rsidR="00095C5D" w:rsidRPr="000429D1">
      <w:t>r</w:t>
    </w:r>
    <w:r w:rsidR="00E76EEC" w:rsidRPr="000429D1">
      <w:t>eport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8C48" w14:textId="1B881E7B" w:rsidR="0080161B" w:rsidRPr="000429D1" w:rsidRDefault="00907919" w:rsidP="0080161B">
    <w:pPr>
      <w:pStyle w:val="Header-KeylineRight"/>
    </w:pPr>
    <w:r>
      <w:t>Contents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5282" w14:textId="418F8FB6" w:rsidR="00E76EEC" w:rsidRPr="000429D1" w:rsidRDefault="00E76E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BCB8" w14:textId="34FF5788" w:rsidR="00CE19B8" w:rsidRPr="000429D1" w:rsidRDefault="00CE19B8" w:rsidP="00CE19B8">
    <w:pPr>
      <w:pStyle w:val="Header-Keyline"/>
    </w:pPr>
    <w:r>
      <w:rPr>
        <w:rStyle w:val="Strong"/>
      </w:rPr>
      <w:t>Housing supply regulation</w:t>
    </w:r>
    <w:r>
      <w:t xml:space="preserve"> Interim report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2241" w14:textId="48582443" w:rsidR="007C5184" w:rsidRPr="00534FAC" w:rsidRDefault="005B27C9" w:rsidP="00534FAC">
    <w:pPr>
      <w:pStyle w:val="Header-KeylineRight"/>
    </w:pPr>
    <w:fldSimple w:instr=" STYLEREF  &quot;Heading 1-Section-full page&quot;  \* MERGEFORMAT ">
      <w:r w:rsidR="00A873A8">
        <w:rPr>
          <w:noProof/>
        </w:rPr>
        <w:t>Overview</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CC23" w14:textId="78E67761" w:rsidR="007C5184" w:rsidRPr="000429D1" w:rsidRDefault="007C518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4309" w14:textId="4AADC29A" w:rsidR="00903247" w:rsidRDefault="00046C48">
    <w:pPr>
      <w:pStyle w:val="Header-Keyline"/>
    </w:pPr>
    <w:r>
      <w:rPr>
        <w:rStyle w:val="Strong"/>
      </w:rPr>
      <w:t>Housing supply regulation</w:t>
    </w:r>
    <w:r w:rsidR="00FB6FB1">
      <w:t xml:space="preserve"> In</w:t>
    </w:r>
    <w:r w:rsidR="000C2D79">
      <w:t>terim</w:t>
    </w:r>
    <w:r w:rsidR="00FB6FB1">
      <w:t xml:space="preserve"> report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E8AF" w14:textId="08162879" w:rsidR="00903247" w:rsidRDefault="005B27C9">
    <w:pPr>
      <w:pStyle w:val="Header-KeylineRight"/>
    </w:pPr>
    <w:fldSimple w:instr=" STYLEREF  &quot;Heading 1-no number&quot;  \* MERGEFORMAT ">
      <w:r w:rsidR="00A873A8" w:rsidRPr="00A873A8">
        <w:rPr>
          <w:b/>
          <w:bCs/>
          <w:noProof/>
          <w:lang w:val="en-US"/>
        </w:rPr>
        <w:t>Information requests</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00A3" w14:textId="30A0FA6C" w:rsidR="00903247" w:rsidRDefault="0090324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6FFA" w14:textId="456A9952" w:rsidR="00903247" w:rsidRDefault="003A4F41">
    <w:pPr>
      <w:pStyle w:val="Header-Keyline"/>
    </w:pPr>
    <w:r>
      <w:rPr>
        <w:rStyle w:val="Strong"/>
      </w:rPr>
      <w:t>Housing supply regulation</w:t>
    </w:r>
    <w:r w:rsidR="00FB6FB1">
      <w:t xml:space="preserve"> In</w:t>
    </w:r>
    <w:r w:rsidR="00EF2391">
      <w:t>terim</w:t>
    </w:r>
    <w:r w:rsidR="00FB6FB1">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3592" w14:textId="12293930" w:rsidR="001E2FE4" w:rsidRPr="000429D1" w:rsidRDefault="00CB06D8" w:rsidP="001E2FE4">
    <w:pPr>
      <w:pStyle w:val="Header-KeylineRight"/>
    </w:pPr>
    <w:fldSimple w:instr=" STYLEREF  &quot;Heading 1&quot;  \* MERGEFORMAT ">
      <w:r>
        <w:rPr>
          <w:noProof/>
        </w:rPr>
        <w:t>Best practice for housing regulatory systems</w:t>
      </w:r>
    </w:fldSimple>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B34" w14:textId="1EFC54D6" w:rsidR="00903247" w:rsidRDefault="005B27C9">
    <w:pPr>
      <w:pStyle w:val="Header-KeylineRight"/>
    </w:pPr>
    <w:fldSimple w:instr=" STYLEREF  &quot;Heading 1-no background&quot;  \* MERGEFORMAT ">
      <w:r>
        <w:rPr>
          <w:noProof/>
        </w:rPr>
        <w:t>References</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A84A" w14:textId="216A1097" w:rsidR="00903247" w:rsidRDefault="00903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E0E4" w14:textId="6093355C" w:rsidR="00F04EA7" w:rsidRPr="000429D1" w:rsidRDefault="00E74787" w:rsidP="007215EF">
    <w:r w:rsidRPr="000429D1">
      <w:rPr>
        <w:noProof/>
      </w:rPr>
      <w:drawing>
        <wp:anchor distT="0" distB="0" distL="114300" distR="114300" simplePos="0" relativeHeight="251658240" behindDoc="0" locked="0" layoutInCell="1" allowOverlap="1" wp14:anchorId="47AEDB50" wp14:editId="706320BE">
          <wp:simplePos x="0" y="0"/>
          <wp:positionH relativeFrom="page">
            <wp:posOffset>0</wp:posOffset>
          </wp:positionH>
          <wp:positionV relativeFrom="paragraph">
            <wp:posOffset>-396240</wp:posOffset>
          </wp:positionV>
          <wp:extent cx="7559998" cy="10690797"/>
          <wp:effectExtent l="0" t="0" r="3175" b="0"/>
          <wp:wrapNone/>
          <wp:docPr id="1862824584" name="Picture 1" descr="Australian Government Productivity Commission logo | Housing supply regulation interim report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824584" name="Picture 1" descr="Australian Government Productivity Commission logo | Housing supply regulation interim report cover"/>
                  <pic:cNvPicPr/>
                </pic:nvPicPr>
                <pic:blipFill>
                  <a:blip r:embed="rId1">
                    <a:extLst>
                      <a:ext uri="{28A0092B-C50C-407E-A947-70E740481C1C}">
                        <a14:useLocalDpi xmlns:a14="http://schemas.microsoft.com/office/drawing/2010/main" val="0"/>
                      </a:ext>
                    </a:extLst>
                  </a:blip>
                  <a:stretch>
                    <a:fillRect/>
                  </a:stretch>
                </pic:blipFill>
                <pic:spPr>
                  <a:xfrm>
                    <a:off x="0" y="0"/>
                    <a:ext cx="7559998" cy="10690797"/>
                  </a:xfrm>
                  <a:prstGeom prst="rect">
                    <a:avLst/>
                  </a:prstGeom>
                </pic:spPr>
              </pic:pic>
            </a:graphicData>
          </a:graphic>
          <wp14:sizeRelH relativeFrom="margin">
            <wp14:pctWidth>0</wp14:pctWidth>
          </wp14:sizeRelH>
          <wp14:sizeRelV relativeFrom="margin">
            <wp14:pctHeight>0</wp14:pctHeight>
          </wp14:sizeRelV>
        </wp:anchor>
      </w:drawing>
    </w:r>
  </w:p>
  <w:p w14:paraId="15724F3E" w14:textId="77777777" w:rsidR="00F04EA7" w:rsidRPr="000429D1" w:rsidRDefault="00F04EA7" w:rsidP="00596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AFC6" w14:textId="127F3F3F" w:rsidR="001E2FE4" w:rsidRPr="000429D1" w:rsidRDefault="00051F3A" w:rsidP="00390E05">
    <w:pPr>
      <w:pStyle w:val="Header-Keyline"/>
    </w:pPr>
    <w:r w:rsidRPr="000429D1">
      <w:rPr>
        <w:rStyle w:val="Strong"/>
      </w:rPr>
      <w:t>Housing supply regulation</w:t>
    </w:r>
    <w:r w:rsidR="001E2FE4" w:rsidRPr="000429D1">
      <w:t xml:space="preserve"> </w:t>
    </w:r>
    <w:r w:rsidR="0085334C" w:rsidRPr="000429D1">
      <w:t>Interim</w:t>
    </w:r>
    <w:r w:rsidR="001E2FE4" w:rsidRPr="000429D1">
      <w:t xml:space="preserve"> </w:t>
    </w:r>
    <w:r w:rsidR="00BE5E7E" w:rsidRPr="000429D1">
      <w:t>r</w:t>
    </w:r>
    <w:r w:rsidR="001E2FE4" w:rsidRPr="000429D1">
      <w:t>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00A4" w14:textId="1F0D682A" w:rsidR="001E2FE4" w:rsidRPr="000429D1" w:rsidRDefault="00CB06D8" w:rsidP="00EA3238">
    <w:pPr>
      <w:pStyle w:val="Header-KeylineRight"/>
    </w:pPr>
    <w:fldSimple w:instr=" STYLEREF  &quot;Heading 1&quot;  \* MERGEFORMAT ">
      <w:r>
        <w:rPr>
          <w:noProof/>
        </w:rPr>
        <w:t>Best practice for housing regulatory systems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41B4" w14:textId="28BB6F3A" w:rsidR="00C73D38" w:rsidRPr="000429D1"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6ED4" w14:textId="4A851689" w:rsidR="00E76EEC" w:rsidRPr="000429D1" w:rsidRDefault="00000000" w:rsidP="001D7D9B">
    <w:pPr>
      <w:pStyle w:val="Header-Keyline"/>
    </w:pPr>
    <w:sdt>
      <w:sdtPr>
        <w:rPr>
          <w:rStyle w:val="Strong"/>
        </w:rPr>
        <w:alias w:val="Title"/>
        <w:tag w:val=""/>
        <w:id w:val="-847643246"/>
        <w:placeholder>
          <w:docPart w:val="13443BB1BCA544ABA559CADEDC8531D2"/>
        </w:placeholder>
        <w:dataBinding w:prefixMappings="xmlns:ns0='http://purl.org/dc/elements/1.1/' xmlns:ns1='http://schemas.openxmlformats.org/package/2006/metadata/core-properties' " w:xpath="/ns1:coreProperties[1]/ns0:title[1]" w:storeItemID="{6C3C8BC8-F283-45AE-878A-BAB7291924A1}"/>
        <w:text/>
      </w:sdtPr>
      <w:sdtContent>
        <w:r w:rsidR="005B27C9">
          <w:rPr>
            <w:rStyle w:val="Strong"/>
          </w:rPr>
          <w:t>Overview - Interim report - Housing supply regulation</w:t>
        </w:r>
      </w:sdtContent>
    </w:sdt>
    <w:r w:rsidR="00E76EEC" w:rsidRPr="000429D1">
      <w:t xml:space="preserve"> Inquiry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E2C3" w14:textId="137C792A" w:rsidR="00E76EEC" w:rsidRPr="000429D1" w:rsidRDefault="00112D8E" w:rsidP="00160FEC">
    <w:pPr>
      <w:pStyle w:val="Header-KeylineRight"/>
      <w:rPr>
        <w:rStyle w:val="Strong"/>
        <w:b w:val="0"/>
        <w:bCs w:val="0"/>
      </w:rPr>
    </w:pPr>
    <w:r w:rsidRPr="000429D1">
      <w:rPr>
        <w:rStyle w:val="Strong"/>
        <w:b w:val="0"/>
        <w:bCs w:val="0"/>
      </w:rPr>
      <w:t>Opportunity for comment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73DD" w14:textId="4ABC4590" w:rsidR="00E76EEC" w:rsidRPr="000429D1" w:rsidRDefault="00E7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B00EA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134636A"/>
    <w:multiLevelType w:val="multilevel"/>
    <w:tmpl w:val="1FA8DC2A"/>
    <w:numStyleLink w:val="Numbering"/>
  </w:abstractNum>
  <w:abstractNum w:abstractNumId="17" w15:restartNumberingAfterBreak="0">
    <w:nsid w:val="67EB6AB0"/>
    <w:multiLevelType w:val="multilevel"/>
    <w:tmpl w:val="FF8069A4"/>
    <w:numStyleLink w:val="Bullets"/>
  </w:abstractNum>
  <w:abstractNum w:abstractNumId="18" w15:restartNumberingAfterBreak="0">
    <w:nsid w:val="74FE0A55"/>
    <w:multiLevelType w:val="hybridMultilevel"/>
    <w:tmpl w:val="00BED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1B4A1B"/>
    <w:multiLevelType w:val="multilevel"/>
    <w:tmpl w:val="4F48000A"/>
    <w:numStyleLink w:val="Alphalist"/>
  </w:abstractNum>
  <w:abstractNum w:abstractNumId="20" w15:restartNumberingAfterBreak="0">
    <w:nsid w:val="78DE36CD"/>
    <w:multiLevelType w:val="hybridMultilevel"/>
    <w:tmpl w:val="201A049E"/>
    <w:lvl w:ilvl="0" w:tplc="4FC213E8">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num w:numId="1" w16cid:durableId="675377460">
    <w:abstractNumId w:val="5"/>
  </w:num>
  <w:num w:numId="2" w16cid:durableId="1977758896">
    <w:abstractNumId w:val="1"/>
  </w:num>
  <w:num w:numId="3" w16cid:durableId="892694678">
    <w:abstractNumId w:val="18"/>
  </w:num>
  <w:num w:numId="4" w16cid:durableId="117602025">
    <w:abstractNumId w:val="20"/>
  </w:num>
  <w:num w:numId="5" w16cid:durableId="4037214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3564051">
    <w:abstractNumId w:val="16"/>
    <w:lvlOverride w:ilvl="0">
      <w:lvl w:ilvl="0">
        <w:start w:val="1"/>
        <w:numFmt w:val="decimal"/>
        <w:lvlText w:val="%1."/>
        <w:lvlJc w:val="left"/>
        <w:pPr>
          <w:ind w:left="454" w:hanging="454"/>
        </w:pPr>
        <w:rPr>
          <w:rFonts w:hint="default"/>
          <w:b/>
          <w:bCs/>
        </w:rPr>
      </w:lvl>
    </w:lvlOverride>
    <w:lvlOverride w:ilvl="1">
      <w:lvl w:ilvl="1">
        <w:start w:val="1"/>
        <w:numFmt w:val="decimal"/>
        <w:lvlText w:val="%1.%2."/>
        <w:lvlJc w:val="left"/>
        <w:pPr>
          <w:ind w:left="680" w:hanging="680"/>
        </w:pPr>
        <w:rPr>
          <w:rFonts w:hint="default"/>
        </w:rPr>
      </w:lvl>
    </w:lvlOverride>
    <w:lvlOverride w:ilvl="2">
      <w:lvl w:ilvl="2">
        <w:start w:val="1"/>
        <w:numFmt w:val="decimal"/>
        <w:lvlText w:val="%1.%2.%3."/>
        <w:lvlJc w:val="left"/>
        <w:pPr>
          <w:ind w:left="907" w:hanging="907"/>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361" w:hanging="1361"/>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567" w:hanging="567"/>
        </w:pPr>
        <w:rPr>
          <w:rFonts w:hint="default"/>
        </w:rPr>
      </w:lvl>
    </w:lvlOverride>
    <w:lvlOverride w:ilvl="8">
      <w:lvl w:ilvl="8">
        <w:start w:val="1"/>
        <w:numFmt w:val="none"/>
        <w:lvlText w:val=""/>
        <w:lvlJc w:val="right"/>
        <w:pPr>
          <w:ind w:left="567" w:hanging="567"/>
        </w:pPr>
        <w:rPr>
          <w:rFonts w:hint="default"/>
        </w:rPr>
      </w:lvl>
    </w:lvlOverride>
  </w:num>
  <w:num w:numId="7" w16cid:durableId="68576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265953">
    <w:abstractNumId w:val="16"/>
    <w:lvlOverride w:ilvl="0">
      <w:startOverride w:val="1"/>
      <w:lvl w:ilvl="0">
        <w:start w:val="1"/>
        <w:numFmt w:val="decimal"/>
        <w:lvlText w:val="%1."/>
        <w:lvlJc w:val="left"/>
        <w:pPr>
          <w:ind w:left="454" w:hanging="454"/>
        </w:pPr>
        <w:rPr>
          <w:rFonts w:hint="default"/>
          <w:b/>
          <w:bCs/>
        </w:rPr>
      </w:lvl>
    </w:lvlOverride>
    <w:lvlOverride w:ilvl="1">
      <w:startOverride w:val="1"/>
      <w:lvl w:ilvl="1">
        <w:start w:val="1"/>
        <w:numFmt w:val="decimal"/>
        <w:lvlText w:val="%1.%2."/>
        <w:lvlJc w:val="left"/>
        <w:pPr>
          <w:ind w:left="680" w:hanging="680"/>
        </w:pPr>
        <w:rPr>
          <w:rFonts w:hint="default"/>
        </w:rPr>
      </w:lvl>
    </w:lvlOverride>
    <w:lvlOverride w:ilvl="2">
      <w:startOverride w:val="1"/>
      <w:lvl w:ilvl="2">
        <w:start w:val="1"/>
        <w:numFmt w:val="decimal"/>
        <w:lvlText w:val="%1.%2.%3."/>
        <w:lvlJc w:val="left"/>
        <w:pPr>
          <w:ind w:left="907" w:hanging="907"/>
        </w:pPr>
        <w:rPr>
          <w:rFonts w:hint="default"/>
        </w:rPr>
      </w:lvl>
    </w:lvlOverride>
    <w:lvlOverride w:ilvl="3">
      <w:startOverride w:val="1"/>
      <w:lvl w:ilvl="3">
        <w:start w:val="1"/>
        <w:numFmt w:val="decimal"/>
        <w:lvlText w:val="%1.%2.%3.%4."/>
        <w:lvlJc w:val="left"/>
        <w:pPr>
          <w:ind w:left="1134" w:hanging="1134"/>
        </w:pPr>
        <w:rPr>
          <w:rFonts w:hint="default"/>
        </w:rPr>
      </w:lvl>
    </w:lvlOverride>
    <w:lvlOverride w:ilvl="4">
      <w:startOverride w:val="1"/>
      <w:lvl w:ilvl="4">
        <w:start w:val="1"/>
        <w:numFmt w:val="decimal"/>
        <w:lvlText w:val="%1.%2.%3.%4.%5"/>
        <w:lvlJc w:val="left"/>
        <w:pPr>
          <w:ind w:left="1361" w:hanging="1361"/>
        </w:pPr>
        <w:rPr>
          <w:rFonts w:hint="default"/>
        </w:rPr>
      </w:lvl>
    </w:lvlOverride>
    <w:lvlOverride w:ilvl="5">
      <w:startOverride w:val="1"/>
      <w:lvl w:ilvl="5">
        <w:start w:val="1"/>
        <w:numFmt w:val="decimal"/>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decimal"/>
        <w:lvlText w:val="%8."/>
        <w:lvlJc w:val="left"/>
        <w:pPr>
          <w:ind w:left="567" w:hanging="567"/>
        </w:pPr>
        <w:rPr>
          <w:rFonts w:hint="default"/>
        </w:rPr>
      </w:lvl>
    </w:lvlOverride>
    <w:lvlOverride w:ilvl="8">
      <w:startOverride w:val="1"/>
      <w:lvl w:ilvl="8">
        <w:start w:val="1"/>
        <w:numFmt w:val="none"/>
        <w:lvlText w:val=""/>
        <w:lvlJc w:val="right"/>
        <w:pPr>
          <w:ind w:left="567" w:hanging="567"/>
        </w:pPr>
        <w:rPr>
          <w:rFonts w:hint="default"/>
        </w:rPr>
      </w:lvl>
    </w:lvlOverride>
  </w:num>
  <w:num w:numId="9" w16cid:durableId="1931618919">
    <w:abstractNumId w:val="6"/>
  </w:num>
  <w:num w:numId="10" w16cid:durableId="1787239030">
    <w:abstractNumId w:val="3"/>
  </w:num>
  <w:num w:numId="11" w16cid:durableId="1708531372">
    <w:abstractNumId w:val="9"/>
  </w:num>
  <w:num w:numId="12" w16cid:durableId="1707295021">
    <w:abstractNumId w:val="14"/>
  </w:num>
  <w:num w:numId="13" w16cid:durableId="256445266">
    <w:abstractNumId w:val="15"/>
  </w:num>
  <w:num w:numId="14" w16cid:durableId="153760113">
    <w:abstractNumId w:val="13"/>
  </w:num>
  <w:num w:numId="15" w16cid:durableId="468860594">
    <w:abstractNumId w:val="11"/>
  </w:num>
  <w:num w:numId="16" w16cid:durableId="1720857960">
    <w:abstractNumId w:val="7"/>
  </w:num>
  <w:num w:numId="17" w16cid:durableId="501048444">
    <w:abstractNumId w:val="10"/>
  </w:num>
  <w:num w:numId="18" w16cid:durableId="1650593897">
    <w:abstractNumId w:val="19"/>
  </w:num>
  <w:num w:numId="19" w16cid:durableId="426076249">
    <w:abstractNumId w:val="0"/>
  </w:num>
  <w:num w:numId="20" w16cid:durableId="2112164021">
    <w:abstractNumId w:val="4"/>
  </w:num>
  <w:num w:numId="21" w16cid:durableId="1280647996">
    <w:abstractNumId w:val="8"/>
  </w:num>
  <w:num w:numId="22" w16cid:durableId="1969168471">
    <w:abstractNumId w:val="5"/>
  </w:num>
  <w:num w:numId="23" w16cid:durableId="1474105272">
    <w:abstractNumId w:val="17"/>
  </w:num>
  <w:num w:numId="24" w16cid:durableId="883953553">
    <w:abstractNumId w:val="2"/>
  </w:num>
  <w:num w:numId="25" w16cid:durableId="190159395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73"/>
    <w:rsid w:val="00000075"/>
    <w:rsid w:val="000006B9"/>
    <w:rsid w:val="00000F3C"/>
    <w:rsid w:val="00003789"/>
    <w:rsid w:val="00004489"/>
    <w:rsid w:val="00005C79"/>
    <w:rsid w:val="00006309"/>
    <w:rsid w:val="000079F0"/>
    <w:rsid w:val="00010C55"/>
    <w:rsid w:val="00011B66"/>
    <w:rsid w:val="00014854"/>
    <w:rsid w:val="0001502B"/>
    <w:rsid w:val="00021D38"/>
    <w:rsid w:val="00024801"/>
    <w:rsid w:val="0002655F"/>
    <w:rsid w:val="00026C04"/>
    <w:rsid w:val="00026E2C"/>
    <w:rsid w:val="000300AF"/>
    <w:rsid w:val="00030F38"/>
    <w:rsid w:val="000315DD"/>
    <w:rsid w:val="000331E4"/>
    <w:rsid w:val="0003338D"/>
    <w:rsid w:val="00033619"/>
    <w:rsid w:val="0003400C"/>
    <w:rsid w:val="00035E42"/>
    <w:rsid w:val="00036A25"/>
    <w:rsid w:val="000429D1"/>
    <w:rsid w:val="000438E6"/>
    <w:rsid w:val="000439D8"/>
    <w:rsid w:val="00044DBB"/>
    <w:rsid w:val="00046C48"/>
    <w:rsid w:val="000472B6"/>
    <w:rsid w:val="00047894"/>
    <w:rsid w:val="0005151B"/>
    <w:rsid w:val="00051F3A"/>
    <w:rsid w:val="0005476E"/>
    <w:rsid w:val="00054C95"/>
    <w:rsid w:val="000552B7"/>
    <w:rsid w:val="000561CF"/>
    <w:rsid w:val="000571C6"/>
    <w:rsid w:val="0005774F"/>
    <w:rsid w:val="00060ACB"/>
    <w:rsid w:val="00061945"/>
    <w:rsid w:val="0006234A"/>
    <w:rsid w:val="00062A44"/>
    <w:rsid w:val="0006539B"/>
    <w:rsid w:val="000706DB"/>
    <w:rsid w:val="00070ED7"/>
    <w:rsid w:val="000724AE"/>
    <w:rsid w:val="0007776A"/>
    <w:rsid w:val="00077A76"/>
    <w:rsid w:val="000801A0"/>
    <w:rsid w:val="0008037D"/>
    <w:rsid w:val="00084660"/>
    <w:rsid w:val="00085FB9"/>
    <w:rsid w:val="00086D70"/>
    <w:rsid w:val="00087BA6"/>
    <w:rsid w:val="00091286"/>
    <w:rsid w:val="000956E1"/>
    <w:rsid w:val="00095C5D"/>
    <w:rsid w:val="000965FA"/>
    <w:rsid w:val="00097AB9"/>
    <w:rsid w:val="000A0F08"/>
    <w:rsid w:val="000A25AF"/>
    <w:rsid w:val="000A2D7A"/>
    <w:rsid w:val="000A38AA"/>
    <w:rsid w:val="000B497F"/>
    <w:rsid w:val="000B4A72"/>
    <w:rsid w:val="000B5105"/>
    <w:rsid w:val="000C2D79"/>
    <w:rsid w:val="000C3AB0"/>
    <w:rsid w:val="000C6B77"/>
    <w:rsid w:val="000D00B9"/>
    <w:rsid w:val="000D0563"/>
    <w:rsid w:val="000D2CF4"/>
    <w:rsid w:val="000D352A"/>
    <w:rsid w:val="000D54C4"/>
    <w:rsid w:val="000E0EFF"/>
    <w:rsid w:val="000E43B0"/>
    <w:rsid w:val="000E5E58"/>
    <w:rsid w:val="000F4488"/>
    <w:rsid w:val="000F57FA"/>
    <w:rsid w:val="00100FAB"/>
    <w:rsid w:val="001031B4"/>
    <w:rsid w:val="001035CF"/>
    <w:rsid w:val="00111056"/>
    <w:rsid w:val="0011217E"/>
    <w:rsid w:val="00112948"/>
    <w:rsid w:val="00112D8E"/>
    <w:rsid w:val="00112E8F"/>
    <w:rsid w:val="001170D5"/>
    <w:rsid w:val="00120792"/>
    <w:rsid w:val="0012249B"/>
    <w:rsid w:val="00125275"/>
    <w:rsid w:val="001268BC"/>
    <w:rsid w:val="001275F3"/>
    <w:rsid w:val="00130093"/>
    <w:rsid w:val="001318D3"/>
    <w:rsid w:val="00132EAC"/>
    <w:rsid w:val="00134C5F"/>
    <w:rsid w:val="00135337"/>
    <w:rsid w:val="0013722E"/>
    <w:rsid w:val="00137FAB"/>
    <w:rsid w:val="001457F0"/>
    <w:rsid w:val="00147720"/>
    <w:rsid w:val="001477FA"/>
    <w:rsid w:val="00151F4A"/>
    <w:rsid w:val="00153260"/>
    <w:rsid w:val="00154E0D"/>
    <w:rsid w:val="001600E9"/>
    <w:rsid w:val="00160FEC"/>
    <w:rsid w:val="001610E5"/>
    <w:rsid w:val="00161BC8"/>
    <w:rsid w:val="00161DA1"/>
    <w:rsid w:val="001648A6"/>
    <w:rsid w:val="001714F3"/>
    <w:rsid w:val="00174365"/>
    <w:rsid w:val="00176281"/>
    <w:rsid w:val="001822B4"/>
    <w:rsid w:val="00182A32"/>
    <w:rsid w:val="00182EA8"/>
    <w:rsid w:val="001838AA"/>
    <w:rsid w:val="00184388"/>
    <w:rsid w:val="00184A48"/>
    <w:rsid w:val="00184FF3"/>
    <w:rsid w:val="001850B6"/>
    <w:rsid w:val="00186571"/>
    <w:rsid w:val="00187F05"/>
    <w:rsid w:val="00191E11"/>
    <w:rsid w:val="0019200F"/>
    <w:rsid w:val="00192BFA"/>
    <w:rsid w:val="001952DF"/>
    <w:rsid w:val="001957BF"/>
    <w:rsid w:val="00197C88"/>
    <w:rsid w:val="001A06B6"/>
    <w:rsid w:val="001A0D77"/>
    <w:rsid w:val="001A196A"/>
    <w:rsid w:val="001A1D95"/>
    <w:rsid w:val="001A2565"/>
    <w:rsid w:val="001A5011"/>
    <w:rsid w:val="001A7CE7"/>
    <w:rsid w:val="001B1762"/>
    <w:rsid w:val="001B17AC"/>
    <w:rsid w:val="001B588D"/>
    <w:rsid w:val="001C1045"/>
    <w:rsid w:val="001C3773"/>
    <w:rsid w:val="001C6EBC"/>
    <w:rsid w:val="001C7835"/>
    <w:rsid w:val="001C7E47"/>
    <w:rsid w:val="001D0922"/>
    <w:rsid w:val="001D107C"/>
    <w:rsid w:val="001D134C"/>
    <w:rsid w:val="001D3201"/>
    <w:rsid w:val="001D4050"/>
    <w:rsid w:val="001D4A11"/>
    <w:rsid w:val="001D7D9B"/>
    <w:rsid w:val="001E2FE4"/>
    <w:rsid w:val="001F081C"/>
    <w:rsid w:val="001F13C1"/>
    <w:rsid w:val="001F15E0"/>
    <w:rsid w:val="001F1E9A"/>
    <w:rsid w:val="001F446D"/>
    <w:rsid w:val="001F49D9"/>
    <w:rsid w:val="001F4F25"/>
    <w:rsid w:val="001F6B0A"/>
    <w:rsid w:val="002002A2"/>
    <w:rsid w:val="0020078D"/>
    <w:rsid w:val="00201320"/>
    <w:rsid w:val="00201F5E"/>
    <w:rsid w:val="0020204A"/>
    <w:rsid w:val="00203363"/>
    <w:rsid w:val="002034FA"/>
    <w:rsid w:val="00204BAC"/>
    <w:rsid w:val="00206E62"/>
    <w:rsid w:val="002112EC"/>
    <w:rsid w:val="00211A39"/>
    <w:rsid w:val="00214763"/>
    <w:rsid w:val="00216254"/>
    <w:rsid w:val="00221800"/>
    <w:rsid w:val="00221AB7"/>
    <w:rsid w:val="00221C27"/>
    <w:rsid w:val="002235F5"/>
    <w:rsid w:val="00225835"/>
    <w:rsid w:val="00227712"/>
    <w:rsid w:val="00231395"/>
    <w:rsid w:val="002315D8"/>
    <w:rsid w:val="002371FA"/>
    <w:rsid w:val="0024183F"/>
    <w:rsid w:val="002425C1"/>
    <w:rsid w:val="002457DE"/>
    <w:rsid w:val="00246435"/>
    <w:rsid w:val="00246BCF"/>
    <w:rsid w:val="00247D9B"/>
    <w:rsid w:val="00250171"/>
    <w:rsid w:val="00251245"/>
    <w:rsid w:val="00251CA2"/>
    <w:rsid w:val="002601BB"/>
    <w:rsid w:val="00262E10"/>
    <w:rsid w:val="0026419F"/>
    <w:rsid w:val="00265918"/>
    <w:rsid w:val="00270834"/>
    <w:rsid w:val="0027236D"/>
    <w:rsid w:val="00273E86"/>
    <w:rsid w:val="00274325"/>
    <w:rsid w:val="0028062B"/>
    <w:rsid w:val="002814E6"/>
    <w:rsid w:val="00281A54"/>
    <w:rsid w:val="00282AE5"/>
    <w:rsid w:val="002860E3"/>
    <w:rsid w:val="0028649D"/>
    <w:rsid w:val="00287114"/>
    <w:rsid w:val="00292290"/>
    <w:rsid w:val="002936B4"/>
    <w:rsid w:val="00294629"/>
    <w:rsid w:val="002951E6"/>
    <w:rsid w:val="00295330"/>
    <w:rsid w:val="00297905"/>
    <w:rsid w:val="002A095E"/>
    <w:rsid w:val="002A3A3B"/>
    <w:rsid w:val="002A4823"/>
    <w:rsid w:val="002A67E4"/>
    <w:rsid w:val="002B0577"/>
    <w:rsid w:val="002B435C"/>
    <w:rsid w:val="002B5B8A"/>
    <w:rsid w:val="002B6EBD"/>
    <w:rsid w:val="002B7F60"/>
    <w:rsid w:val="002C3D4F"/>
    <w:rsid w:val="002C797E"/>
    <w:rsid w:val="002D50CB"/>
    <w:rsid w:val="002D54C1"/>
    <w:rsid w:val="002E0C49"/>
    <w:rsid w:val="002E1C0B"/>
    <w:rsid w:val="002E3696"/>
    <w:rsid w:val="002E3F19"/>
    <w:rsid w:val="002E51D2"/>
    <w:rsid w:val="002E7A0E"/>
    <w:rsid w:val="002E7EFA"/>
    <w:rsid w:val="002F21F3"/>
    <w:rsid w:val="002F3244"/>
    <w:rsid w:val="002F6386"/>
    <w:rsid w:val="002F79E3"/>
    <w:rsid w:val="00301CF7"/>
    <w:rsid w:val="00302E3B"/>
    <w:rsid w:val="00303704"/>
    <w:rsid w:val="00304A93"/>
    <w:rsid w:val="00305171"/>
    <w:rsid w:val="00305D8B"/>
    <w:rsid w:val="0030738E"/>
    <w:rsid w:val="003107DC"/>
    <w:rsid w:val="00315AE4"/>
    <w:rsid w:val="00315B51"/>
    <w:rsid w:val="003163C0"/>
    <w:rsid w:val="00317EBC"/>
    <w:rsid w:val="00321142"/>
    <w:rsid w:val="003221B4"/>
    <w:rsid w:val="00323400"/>
    <w:rsid w:val="0032451F"/>
    <w:rsid w:val="003262D7"/>
    <w:rsid w:val="00326A36"/>
    <w:rsid w:val="003302AE"/>
    <w:rsid w:val="00330497"/>
    <w:rsid w:val="00335217"/>
    <w:rsid w:val="00336E46"/>
    <w:rsid w:val="00336ECB"/>
    <w:rsid w:val="00345D43"/>
    <w:rsid w:val="0034680A"/>
    <w:rsid w:val="003470DF"/>
    <w:rsid w:val="0035074A"/>
    <w:rsid w:val="00351F5D"/>
    <w:rsid w:val="00352395"/>
    <w:rsid w:val="00354696"/>
    <w:rsid w:val="003548B1"/>
    <w:rsid w:val="0035519A"/>
    <w:rsid w:val="0035623E"/>
    <w:rsid w:val="0036039C"/>
    <w:rsid w:val="0036059A"/>
    <w:rsid w:val="00361038"/>
    <w:rsid w:val="00363483"/>
    <w:rsid w:val="003639FA"/>
    <w:rsid w:val="00363FF8"/>
    <w:rsid w:val="003640E1"/>
    <w:rsid w:val="00365D67"/>
    <w:rsid w:val="0036625B"/>
    <w:rsid w:val="00366D95"/>
    <w:rsid w:val="003724C8"/>
    <w:rsid w:val="00373CB6"/>
    <w:rsid w:val="00376491"/>
    <w:rsid w:val="0037721D"/>
    <w:rsid w:val="0038102A"/>
    <w:rsid w:val="003833B4"/>
    <w:rsid w:val="003843F6"/>
    <w:rsid w:val="0038499C"/>
    <w:rsid w:val="00384E92"/>
    <w:rsid w:val="003906EA"/>
    <w:rsid w:val="00390AE4"/>
    <w:rsid w:val="00390E05"/>
    <w:rsid w:val="00391BEE"/>
    <w:rsid w:val="00395F7D"/>
    <w:rsid w:val="00395F81"/>
    <w:rsid w:val="00396A2E"/>
    <w:rsid w:val="00397FDB"/>
    <w:rsid w:val="003A0787"/>
    <w:rsid w:val="003A0909"/>
    <w:rsid w:val="003A4C65"/>
    <w:rsid w:val="003A4F41"/>
    <w:rsid w:val="003A6564"/>
    <w:rsid w:val="003A743E"/>
    <w:rsid w:val="003A7ADE"/>
    <w:rsid w:val="003B2015"/>
    <w:rsid w:val="003B2A34"/>
    <w:rsid w:val="003B3CD4"/>
    <w:rsid w:val="003B5EF9"/>
    <w:rsid w:val="003B6E2C"/>
    <w:rsid w:val="003B743A"/>
    <w:rsid w:val="003B7DB1"/>
    <w:rsid w:val="003C01D4"/>
    <w:rsid w:val="003C157F"/>
    <w:rsid w:val="003C2B3E"/>
    <w:rsid w:val="003C2CC3"/>
    <w:rsid w:val="003C3B31"/>
    <w:rsid w:val="003C584D"/>
    <w:rsid w:val="003C69BF"/>
    <w:rsid w:val="003D09EE"/>
    <w:rsid w:val="003D23A3"/>
    <w:rsid w:val="003D40B6"/>
    <w:rsid w:val="003D5856"/>
    <w:rsid w:val="003D5C29"/>
    <w:rsid w:val="003E6055"/>
    <w:rsid w:val="003F007E"/>
    <w:rsid w:val="003F1D7B"/>
    <w:rsid w:val="003F6B7E"/>
    <w:rsid w:val="003F6CB5"/>
    <w:rsid w:val="003F6F1A"/>
    <w:rsid w:val="0040060F"/>
    <w:rsid w:val="004009EF"/>
    <w:rsid w:val="00402EBC"/>
    <w:rsid w:val="004038E1"/>
    <w:rsid w:val="00404E4F"/>
    <w:rsid w:val="004064F7"/>
    <w:rsid w:val="004116F9"/>
    <w:rsid w:val="00412E66"/>
    <w:rsid w:val="0041561E"/>
    <w:rsid w:val="00416F75"/>
    <w:rsid w:val="00420257"/>
    <w:rsid w:val="00420F0E"/>
    <w:rsid w:val="0042339A"/>
    <w:rsid w:val="00423B15"/>
    <w:rsid w:val="00424CB8"/>
    <w:rsid w:val="0042508F"/>
    <w:rsid w:val="00426416"/>
    <w:rsid w:val="0043326D"/>
    <w:rsid w:val="00434A53"/>
    <w:rsid w:val="00436DEB"/>
    <w:rsid w:val="004379C2"/>
    <w:rsid w:val="004400E8"/>
    <w:rsid w:val="00440563"/>
    <w:rsid w:val="0044196B"/>
    <w:rsid w:val="00450C80"/>
    <w:rsid w:val="004544D6"/>
    <w:rsid w:val="00456142"/>
    <w:rsid w:val="00461CE9"/>
    <w:rsid w:val="00462407"/>
    <w:rsid w:val="004629AF"/>
    <w:rsid w:val="00463187"/>
    <w:rsid w:val="004631DD"/>
    <w:rsid w:val="00463309"/>
    <w:rsid w:val="004635FD"/>
    <w:rsid w:val="00463ED8"/>
    <w:rsid w:val="00464F71"/>
    <w:rsid w:val="0046660C"/>
    <w:rsid w:val="00467F93"/>
    <w:rsid w:val="00470129"/>
    <w:rsid w:val="00470F6B"/>
    <w:rsid w:val="00472225"/>
    <w:rsid w:val="004728A0"/>
    <w:rsid w:val="004742DD"/>
    <w:rsid w:val="00474D57"/>
    <w:rsid w:val="00475231"/>
    <w:rsid w:val="00476C75"/>
    <w:rsid w:val="00477F20"/>
    <w:rsid w:val="004805C1"/>
    <w:rsid w:val="00481091"/>
    <w:rsid w:val="00481151"/>
    <w:rsid w:val="004813A1"/>
    <w:rsid w:val="00484E96"/>
    <w:rsid w:val="004856BB"/>
    <w:rsid w:val="00487842"/>
    <w:rsid w:val="00496700"/>
    <w:rsid w:val="00496FDB"/>
    <w:rsid w:val="00497FD4"/>
    <w:rsid w:val="004A1C15"/>
    <w:rsid w:val="004A2FB8"/>
    <w:rsid w:val="004A5586"/>
    <w:rsid w:val="004A7E6F"/>
    <w:rsid w:val="004B1531"/>
    <w:rsid w:val="004B3E96"/>
    <w:rsid w:val="004B546B"/>
    <w:rsid w:val="004B609E"/>
    <w:rsid w:val="004B77F5"/>
    <w:rsid w:val="004B7A5A"/>
    <w:rsid w:val="004C16CE"/>
    <w:rsid w:val="004C310C"/>
    <w:rsid w:val="004C34D2"/>
    <w:rsid w:val="004C4823"/>
    <w:rsid w:val="004D1E93"/>
    <w:rsid w:val="004D402E"/>
    <w:rsid w:val="004D4875"/>
    <w:rsid w:val="004D70F9"/>
    <w:rsid w:val="004E1233"/>
    <w:rsid w:val="004E28C6"/>
    <w:rsid w:val="004E6DE1"/>
    <w:rsid w:val="004E7C49"/>
    <w:rsid w:val="004F0A60"/>
    <w:rsid w:val="004F10E0"/>
    <w:rsid w:val="004F138F"/>
    <w:rsid w:val="004F1679"/>
    <w:rsid w:val="004F2D0A"/>
    <w:rsid w:val="004F2E0B"/>
    <w:rsid w:val="004F420C"/>
    <w:rsid w:val="004F4220"/>
    <w:rsid w:val="004F43E0"/>
    <w:rsid w:val="004F5AEA"/>
    <w:rsid w:val="00500123"/>
    <w:rsid w:val="00502373"/>
    <w:rsid w:val="00502A92"/>
    <w:rsid w:val="00506684"/>
    <w:rsid w:val="0050670B"/>
    <w:rsid w:val="00511B29"/>
    <w:rsid w:val="005122A3"/>
    <w:rsid w:val="005124ED"/>
    <w:rsid w:val="005141E8"/>
    <w:rsid w:val="00515F70"/>
    <w:rsid w:val="00516A89"/>
    <w:rsid w:val="00517257"/>
    <w:rsid w:val="00517C75"/>
    <w:rsid w:val="005210DF"/>
    <w:rsid w:val="00522052"/>
    <w:rsid w:val="00527A18"/>
    <w:rsid w:val="005326C5"/>
    <w:rsid w:val="00533132"/>
    <w:rsid w:val="00534FAC"/>
    <w:rsid w:val="00540B70"/>
    <w:rsid w:val="0054321A"/>
    <w:rsid w:val="00544255"/>
    <w:rsid w:val="005447DF"/>
    <w:rsid w:val="00544F9C"/>
    <w:rsid w:val="0054725E"/>
    <w:rsid w:val="00547435"/>
    <w:rsid w:val="0054750D"/>
    <w:rsid w:val="0055074C"/>
    <w:rsid w:val="00550C99"/>
    <w:rsid w:val="00553413"/>
    <w:rsid w:val="0055489B"/>
    <w:rsid w:val="00554DD9"/>
    <w:rsid w:val="00554F68"/>
    <w:rsid w:val="00555AB2"/>
    <w:rsid w:val="00556D8F"/>
    <w:rsid w:val="00557470"/>
    <w:rsid w:val="00561129"/>
    <w:rsid w:val="00562410"/>
    <w:rsid w:val="005625DE"/>
    <w:rsid w:val="0056431A"/>
    <w:rsid w:val="005651A7"/>
    <w:rsid w:val="0057096B"/>
    <w:rsid w:val="00570F22"/>
    <w:rsid w:val="00571371"/>
    <w:rsid w:val="00571C54"/>
    <w:rsid w:val="0057367B"/>
    <w:rsid w:val="005754AB"/>
    <w:rsid w:val="0057704B"/>
    <w:rsid w:val="005818CF"/>
    <w:rsid w:val="00581BBD"/>
    <w:rsid w:val="005826F4"/>
    <w:rsid w:val="0058285F"/>
    <w:rsid w:val="0058369E"/>
    <w:rsid w:val="00583C78"/>
    <w:rsid w:val="00583CD8"/>
    <w:rsid w:val="0058486D"/>
    <w:rsid w:val="00584C2A"/>
    <w:rsid w:val="00585395"/>
    <w:rsid w:val="005860B4"/>
    <w:rsid w:val="00590BFA"/>
    <w:rsid w:val="00590D09"/>
    <w:rsid w:val="00590FBA"/>
    <w:rsid w:val="0059156A"/>
    <w:rsid w:val="00593314"/>
    <w:rsid w:val="0059368E"/>
    <w:rsid w:val="00593BF5"/>
    <w:rsid w:val="00594496"/>
    <w:rsid w:val="00594A57"/>
    <w:rsid w:val="005956D3"/>
    <w:rsid w:val="00596365"/>
    <w:rsid w:val="005965BC"/>
    <w:rsid w:val="005A1773"/>
    <w:rsid w:val="005A35F6"/>
    <w:rsid w:val="005A7E78"/>
    <w:rsid w:val="005B0211"/>
    <w:rsid w:val="005B03ED"/>
    <w:rsid w:val="005B1776"/>
    <w:rsid w:val="005B1BA3"/>
    <w:rsid w:val="005B27C9"/>
    <w:rsid w:val="005B32FB"/>
    <w:rsid w:val="005B63D9"/>
    <w:rsid w:val="005B7FE4"/>
    <w:rsid w:val="005C05E0"/>
    <w:rsid w:val="005C076E"/>
    <w:rsid w:val="005C0B92"/>
    <w:rsid w:val="005C37E0"/>
    <w:rsid w:val="005C54B9"/>
    <w:rsid w:val="005C5A1C"/>
    <w:rsid w:val="005C6618"/>
    <w:rsid w:val="005D0189"/>
    <w:rsid w:val="005D2DFD"/>
    <w:rsid w:val="005D3EA4"/>
    <w:rsid w:val="005D64A0"/>
    <w:rsid w:val="005D68DF"/>
    <w:rsid w:val="005E4470"/>
    <w:rsid w:val="005E5794"/>
    <w:rsid w:val="005E5CE4"/>
    <w:rsid w:val="005E74C5"/>
    <w:rsid w:val="005F1C68"/>
    <w:rsid w:val="005F3478"/>
    <w:rsid w:val="005F3DE5"/>
    <w:rsid w:val="005F6688"/>
    <w:rsid w:val="005F669F"/>
    <w:rsid w:val="006030C4"/>
    <w:rsid w:val="00603B79"/>
    <w:rsid w:val="00603FD5"/>
    <w:rsid w:val="00604FD2"/>
    <w:rsid w:val="00605753"/>
    <w:rsid w:val="006071FF"/>
    <w:rsid w:val="006074CD"/>
    <w:rsid w:val="00607B17"/>
    <w:rsid w:val="00607F03"/>
    <w:rsid w:val="00610627"/>
    <w:rsid w:val="00610CC0"/>
    <w:rsid w:val="00610F6C"/>
    <w:rsid w:val="00616676"/>
    <w:rsid w:val="00616DC8"/>
    <w:rsid w:val="00617BC3"/>
    <w:rsid w:val="00620548"/>
    <w:rsid w:val="006236E7"/>
    <w:rsid w:val="00624B90"/>
    <w:rsid w:val="00630F02"/>
    <w:rsid w:val="00635339"/>
    <w:rsid w:val="00642A74"/>
    <w:rsid w:val="00643C1B"/>
    <w:rsid w:val="006475BD"/>
    <w:rsid w:val="00651EB6"/>
    <w:rsid w:val="006527FF"/>
    <w:rsid w:val="00655336"/>
    <w:rsid w:val="006554F2"/>
    <w:rsid w:val="006557BB"/>
    <w:rsid w:val="00656A8A"/>
    <w:rsid w:val="00656E0D"/>
    <w:rsid w:val="00657245"/>
    <w:rsid w:val="0066040A"/>
    <w:rsid w:val="00662209"/>
    <w:rsid w:val="00663C44"/>
    <w:rsid w:val="006643CD"/>
    <w:rsid w:val="00665019"/>
    <w:rsid w:val="00665A62"/>
    <w:rsid w:val="00671884"/>
    <w:rsid w:val="00674A43"/>
    <w:rsid w:val="00675635"/>
    <w:rsid w:val="0067673A"/>
    <w:rsid w:val="00681434"/>
    <w:rsid w:val="00681C1F"/>
    <w:rsid w:val="00682373"/>
    <w:rsid w:val="00682712"/>
    <w:rsid w:val="006836E1"/>
    <w:rsid w:val="006839F1"/>
    <w:rsid w:val="0068401C"/>
    <w:rsid w:val="00685A3B"/>
    <w:rsid w:val="0068724F"/>
    <w:rsid w:val="00692D1E"/>
    <w:rsid w:val="00695D65"/>
    <w:rsid w:val="006A0411"/>
    <w:rsid w:val="006A1512"/>
    <w:rsid w:val="006A1970"/>
    <w:rsid w:val="006A19DA"/>
    <w:rsid w:val="006A1DEF"/>
    <w:rsid w:val="006A2B01"/>
    <w:rsid w:val="006A32EF"/>
    <w:rsid w:val="006A3325"/>
    <w:rsid w:val="006A41FD"/>
    <w:rsid w:val="006A4F89"/>
    <w:rsid w:val="006A7031"/>
    <w:rsid w:val="006A7069"/>
    <w:rsid w:val="006A71CA"/>
    <w:rsid w:val="006B2A81"/>
    <w:rsid w:val="006B3841"/>
    <w:rsid w:val="006B5987"/>
    <w:rsid w:val="006C1C55"/>
    <w:rsid w:val="006C36D5"/>
    <w:rsid w:val="006C4AF4"/>
    <w:rsid w:val="006C4C82"/>
    <w:rsid w:val="006D05FE"/>
    <w:rsid w:val="006D095B"/>
    <w:rsid w:val="006D0C5B"/>
    <w:rsid w:val="006D1C9B"/>
    <w:rsid w:val="006D3F2F"/>
    <w:rsid w:val="006D48D5"/>
    <w:rsid w:val="006D4F09"/>
    <w:rsid w:val="006D5F4F"/>
    <w:rsid w:val="006D635F"/>
    <w:rsid w:val="006D6D12"/>
    <w:rsid w:val="006E113B"/>
    <w:rsid w:val="006E1238"/>
    <w:rsid w:val="006E3536"/>
    <w:rsid w:val="006E607C"/>
    <w:rsid w:val="006E7F29"/>
    <w:rsid w:val="006F13E9"/>
    <w:rsid w:val="006F65F5"/>
    <w:rsid w:val="006F7E4F"/>
    <w:rsid w:val="00700697"/>
    <w:rsid w:val="00701100"/>
    <w:rsid w:val="00706404"/>
    <w:rsid w:val="00707BB8"/>
    <w:rsid w:val="00711EFE"/>
    <w:rsid w:val="00714488"/>
    <w:rsid w:val="00714807"/>
    <w:rsid w:val="007158C6"/>
    <w:rsid w:val="0071699F"/>
    <w:rsid w:val="00720507"/>
    <w:rsid w:val="007215EF"/>
    <w:rsid w:val="007301C9"/>
    <w:rsid w:val="007349AB"/>
    <w:rsid w:val="0073671A"/>
    <w:rsid w:val="007373F6"/>
    <w:rsid w:val="0074093A"/>
    <w:rsid w:val="00741BF5"/>
    <w:rsid w:val="00741D1D"/>
    <w:rsid w:val="00742F0D"/>
    <w:rsid w:val="00742F82"/>
    <w:rsid w:val="00743548"/>
    <w:rsid w:val="007440FF"/>
    <w:rsid w:val="00744120"/>
    <w:rsid w:val="007453FC"/>
    <w:rsid w:val="007454B1"/>
    <w:rsid w:val="007519DC"/>
    <w:rsid w:val="0075386F"/>
    <w:rsid w:val="00753F61"/>
    <w:rsid w:val="00754A11"/>
    <w:rsid w:val="0075718D"/>
    <w:rsid w:val="00760304"/>
    <w:rsid w:val="00760E1B"/>
    <w:rsid w:val="007620BD"/>
    <w:rsid w:val="00762F69"/>
    <w:rsid w:val="00763B55"/>
    <w:rsid w:val="00764FE1"/>
    <w:rsid w:val="007669DE"/>
    <w:rsid w:val="00767EAE"/>
    <w:rsid w:val="00770BD4"/>
    <w:rsid w:val="00770DB0"/>
    <w:rsid w:val="00770E7B"/>
    <w:rsid w:val="00775165"/>
    <w:rsid w:val="007761FE"/>
    <w:rsid w:val="007809DA"/>
    <w:rsid w:val="00780BAD"/>
    <w:rsid w:val="00783E9A"/>
    <w:rsid w:val="0078533C"/>
    <w:rsid w:val="00790E74"/>
    <w:rsid w:val="00792D11"/>
    <w:rsid w:val="007A0363"/>
    <w:rsid w:val="007A0F59"/>
    <w:rsid w:val="007A18FD"/>
    <w:rsid w:val="007A2477"/>
    <w:rsid w:val="007A50A2"/>
    <w:rsid w:val="007B0A10"/>
    <w:rsid w:val="007B42C5"/>
    <w:rsid w:val="007B43F8"/>
    <w:rsid w:val="007B5014"/>
    <w:rsid w:val="007C015F"/>
    <w:rsid w:val="007C01AB"/>
    <w:rsid w:val="007C0C6F"/>
    <w:rsid w:val="007C11E5"/>
    <w:rsid w:val="007C3475"/>
    <w:rsid w:val="007C4801"/>
    <w:rsid w:val="007C4AB5"/>
    <w:rsid w:val="007C5184"/>
    <w:rsid w:val="007C6064"/>
    <w:rsid w:val="007D1569"/>
    <w:rsid w:val="007D1F4A"/>
    <w:rsid w:val="007D2078"/>
    <w:rsid w:val="007D25EB"/>
    <w:rsid w:val="007D539B"/>
    <w:rsid w:val="007E0560"/>
    <w:rsid w:val="007E1A38"/>
    <w:rsid w:val="007E5A01"/>
    <w:rsid w:val="007E749F"/>
    <w:rsid w:val="007E7AEE"/>
    <w:rsid w:val="007F70E1"/>
    <w:rsid w:val="0080161B"/>
    <w:rsid w:val="008017BC"/>
    <w:rsid w:val="00802063"/>
    <w:rsid w:val="0080322B"/>
    <w:rsid w:val="008035C3"/>
    <w:rsid w:val="00803F26"/>
    <w:rsid w:val="00804B8B"/>
    <w:rsid w:val="00806F63"/>
    <w:rsid w:val="00807F06"/>
    <w:rsid w:val="00811196"/>
    <w:rsid w:val="008120C9"/>
    <w:rsid w:val="0081533C"/>
    <w:rsid w:val="008161D7"/>
    <w:rsid w:val="00816C30"/>
    <w:rsid w:val="008203AF"/>
    <w:rsid w:val="00820661"/>
    <w:rsid w:val="008225ED"/>
    <w:rsid w:val="00822709"/>
    <w:rsid w:val="0082437F"/>
    <w:rsid w:val="00826C05"/>
    <w:rsid w:val="0083069E"/>
    <w:rsid w:val="00830F96"/>
    <w:rsid w:val="00832EFB"/>
    <w:rsid w:val="008337C6"/>
    <w:rsid w:val="0083428E"/>
    <w:rsid w:val="00834A20"/>
    <w:rsid w:val="00834B91"/>
    <w:rsid w:val="00836262"/>
    <w:rsid w:val="00836E3A"/>
    <w:rsid w:val="00837210"/>
    <w:rsid w:val="008411FA"/>
    <w:rsid w:val="0084238D"/>
    <w:rsid w:val="00843229"/>
    <w:rsid w:val="00843514"/>
    <w:rsid w:val="008445D0"/>
    <w:rsid w:val="0084590B"/>
    <w:rsid w:val="008472B8"/>
    <w:rsid w:val="008529A2"/>
    <w:rsid w:val="0085334C"/>
    <w:rsid w:val="0085439B"/>
    <w:rsid w:val="0085439C"/>
    <w:rsid w:val="008579B4"/>
    <w:rsid w:val="00860204"/>
    <w:rsid w:val="008659C9"/>
    <w:rsid w:val="008664F3"/>
    <w:rsid w:val="00871A6C"/>
    <w:rsid w:val="00872A6F"/>
    <w:rsid w:val="00872BA0"/>
    <w:rsid w:val="0087524F"/>
    <w:rsid w:val="00875CCB"/>
    <w:rsid w:val="00877EF9"/>
    <w:rsid w:val="00881C00"/>
    <w:rsid w:val="008833F3"/>
    <w:rsid w:val="00883C07"/>
    <w:rsid w:val="00884008"/>
    <w:rsid w:val="00885678"/>
    <w:rsid w:val="00886A58"/>
    <w:rsid w:val="00890396"/>
    <w:rsid w:val="00895373"/>
    <w:rsid w:val="00897407"/>
    <w:rsid w:val="00897793"/>
    <w:rsid w:val="008A0D26"/>
    <w:rsid w:val="008A1632"/>
    <w:rsid w:val="008A1951"/>
    <w:rsid w:val="008A263A"/>
    <w:rsid w:val="008A600B"/>
    <w:rsid w:val="008A6F83"/>
    <w:rsid w:val="008A7819"/>
    <w:rsid w:val="008B05C3"/>
    <w:rsid w:val="008B1820"/>
    <w:rsid w:val="008B4965"/>
    <w:rsid w:val="008B4E13"/>
    <w:rsid w:val="008B4E5B"/>
    <w:rsid w:val="008B78B1"/>
    <w:rsid w:val="008C121F"/>
    <w:rsid w:val="008C1CCF"/>
    <w:rsid w:val="008C7E73"/>
    <w:rsid w:val="008D19FD"/>
    <w:rsid w:val="008D1ABD"/>
    <w:rsid w:val="008D3A0D"/>
    <w:rsid w:val="008D7425"/>
    <w:rsid w:val="008E07AC"/>
    <w:rsid w:val="008E25D6"/>
    <w:rsid w:val="008E5DCD"/>
    <w:rsid w:val="008E5E76"/>
    <w:rsid w:val="008E680D"/>
    <w:rsid w:val="008E707D"/>
    <w:rsid w:val="008E7143"/>
    <w:rsid w:val="008E7BD4"/>
    <w:rsid w:val="008F0A95"/>
    <w:rsid w:val="008F2B35"/>
    <w:rsid w:val="008F2F22"/>
    <w:rsid w:val="008F525C"/>
    <w:rsid w:val="008F52FE"/>
    <w:rsid w:val="008F567D"/>
    <w:rsid w:val="008F6661"/>
    <w:rsid w:val="008F6884"/>
    <w:rsid w:val="008F6F1A"/>
    <w:rsid w:val="008F7897"/>
    <w:rsid w:val="009006F0"/>
    <w:rsid w:val="0090137A"/>
    <w:rsid w:val="009026CD"/>
    <w:rsid w:val="00903247"/>
    <w:rsid w:val="00903370"/>
    <w:rsid w:val="00905B56"/>
    <w:rsid w:val="00907919"/>
    <w:rsid w:val="00907A1B"/>
    <w:rsid w:val="00912BCD"/>
    <w:rsid w:val="0091349A"/>
    <w:rsid w:val="00913D1B"/>
    <w:rsid w:val="00914399"/>
    <w:rsid w:val="0091472E"/>
    <w:rsid w:val="0091530C"/>
    <w:rsid w:val="009158BF"/>
    <w:rsid w:val="00915B5A"/>
    <w:rsid w:val="00916287"/>
    <w:rsid w:val="0091646A"/>
    <w:rsid w:val="0092128C"/>
    <w:rsid w:val="009219FD"/>
    <w:rsid w:val="00921EE1"/>
    <w:rsid w:val="0092258A"/>
    <w:rsid w:val="0092336A"/>
    <w:rsid w:val="00927EA8"/>
    <w:rsid w:val="00933239"/>
    <w:rsid w:val="00933E08"/>
    <w:rsid w:val="009342FC"/>
    <w:rsid w:val="00936068"/>
    <w:rsid w:val="00936532"/>
    <w:rsid w:val="00936935"/>
    <w:rsid w:val="00943806"/>
    <w:rsid w:val="009447CD"/>
    <w:rsid w:val="00946351"/>
    <w:rsid w:val="00947983"/>
    <w:rsid w:val="00947ABB"/>
    <w:rsid w:val="00947D43"/>
    <w:rsid w:val="009500BB"/>
    <w:rsid w:val="009517CC"/>
    <w:rsid w:val="00957E28"/>
    <w:rsid w:val="009605CD"/>
    <w:rsid w:val="009614C4"/>
    <w:rsid w:val="009615D4"/>
    <w:rsid w:val="00962905"/>
    <w:rsid w:val="009630C2"/>
    <w:rsid w:val="00963415"/>
    <w:rsid w:val="00965186"/>
    <w:rsid w:val="0096532A"/>
    <w:rsid w:val="00965E42"/>
    <w:rsid w:val="00966038"/>
    <w:rsid w:val="009660A9"/>
    <w:rsid w:val="00970A20"/>
    <w:rsid w:val="0097163D"/>
    <w:rsid w:val="009721D2"/>
    <w:rsid w:val="009721F8"/>
    <w:rsid w:val="009738B0"/>
    <w:rsid w:val="00974677"/>
    <w:rsid w:val="00975B6E"/>
    <w:rsid w:val="00976023"/>
    <w:rsid w:val="00980461"/>
    <w:rsid w:val="009828C9"/>
    <w:rsid w:val="0098542A"/>
    <w:rsid w:val="00985983"/>
    <w:rsid w:val="00985C65"/>
    <w:rsid w:val="009864AF"/>
    <w:rsid w:val="009901F4"/>
    <w:rsid w:val="00990710"/>
    <w:rsid w:val="009953B3"/>
    <w:rsid w:val="00995B8A"/>
    <w:rsid w:val="00995F73"/>
    <w:rsid w:val="009969C3"/>
    <w:rsid w:val="00996A29"/>
    <w:rsid w:val="00996A5B"/>
    <w:rsid w:val="009A1968"/>
    <w:rsid w:val="009A2205"/>
    <w:rsid w:val="009A2F17"/>
    <w:rsid w:val="009A39EB"/>
    <w:rsid w:val="009A3C2B"/>
    <w:rsid w:val="009A536E"/>
    <w:rsid w:val="009A5980"/>
    <w:rsid w:val="009B06C3"/>
    <w:rsid w:val="009B06D1"/>
    <w:rsid w:val="009B1967"/>
    <w:rsid w:val="009B3C57"/>
    <w:rsid w:val="009B43B1"/>
    <w:rsid w:val="009B55AC"/>
    <w:rsid w:val="009B5E72"/>
    <w:rsid w:val="009C0B72"/>
    <w:rsid w:val="009C2E79"/>
    <w:rsid w:val="009C2EED"/>
    <w:rsid w:val="009C3B3F"/>
    <w:rsid w:val="009C5019"/>
    <w:rsid w:val="009C6075"/>
    <w:rsid w:val="009D0D4D"/>
    <w:rsid w:val="009D24F5"/>
    <w:rsid w:val="009E19A3"/>
    <w:rsid w:val="009E2BF5"/>
    <w:rsid w:val="009E47ED"/>
    <w:rsid w:val="009E4DC0"/>
    <w:rsid w:val="009E792A"/>
    <w:rsid w:val="009F14E9"/>
    <w:rsid w:val="009F2261"/>
    <w:rsid w:val="009F2DE3"/>
    <w:rsid w:val="009F5FD7"/>
    <w:rsid w:val="009F6B00"/>
    <w:rsid w:val="009F6CF9"/>
    <w:rsid w:val="009F70DA"/>
    <w:rsid w:val="00A02CE4"/>
    <w:rsid w:val="00A048D2"/>
    <w:rsid w:val="00A0757A"/>
    <w:rsid w:val="00A1184A"/>
    <w:rsid w:val="00A128B7"/>
    <w:rsid w:val="00A13664"/>
    <w:rsid w:val="00A15AFB"/>
    <w:rsid w:val="00A165E7"/>
    <w:rsid w:val="00A17423"/>
    <w:rsid w:val="00A17F80"/>
    <w:rsid w:val="00A2287B"/>
    <w:rsid w:val="00A234BE"/>
    <w:rsid w:val="00A25715"/>
    <w:rsid w:val="00A272FB"/>
    <w:rsid w:val="00A3000D"/>
    <w:rsid w:val="00A416AD"/>
    <w:rsid w:val="00A450D6"/>
    <w:rsid w:val="00A471AE"/>
    <w:rsid w:val="00A50CD9"/>
    <w:rsid w:val="00A51374"/>
    <w:rsid w:val="00A51571"/>
    <w:rsid w:val="00A5529A"/>
    <w:rsid w:val="00A5703F"/>
    <w:rsid w:val="00A60234"/>
    <w:rsid w:val="00A64E24"/>
    <w:rsid w:val="00A65DCB"/>
    <w:rsid w:val="00A71482"/>
    <w:rsid w:val="00A7237E"/>
    <w:rsid w:val="00A7456D"/>
    <w:rsid w:val="00A75DCB"/>
    <w:rsid w:val="00A76089"/>
    <w:rsid w:val="00A7646D"/>
    <w:rsid w:val="00A806B3"/>
    <w:rsid w:val="00A8183A"/>
    <w:rsid w:val="00A844C6"/>
    <w:rsid w:val="00A84F65"/>
    <w:rsid w:val="00A85D8A"/>
    <w:rsid w:val="00A86051"/>
    <w:rsid w:val="00A8625F"/>
    <w:rsid w:val="00A86703"/>
    <w:rsid w:val="00A873A8"/>
    <w:rsid w:val="00A87AB4"/>
    <w:rsid w:val="00A90151"/>
    <w:rsid w:val="00A90256"/>
    <w:rsid w:val="00A91FB9"/>
    <w:rsid w:val="00A928E6"/>
    <w:rsid w:val="00A9330C"/>
    <w:rsid w:val="00A9359B"/>
    <w:rsid w:val="00A9545C"/>
    <w:rsid w:val="00A970A6"/>
    <w:rsid w:val="00AA0FF2"/>
    <w:rsid w:val="00AA163B"/>
    <w:rsid w:val="00AA1BE2"/>
    <w:rsid w:val="00AA3569"/>
    <w:rsid w:val="00AA56A2"/>
    <w:rsid w:val="00AA778A"/>
    <w:rsid w:val="00AB10F4"/>
    <w:rsid w:val="00AB230C"/>
    <w:rsid w:val="00AB2D17"/>
    <w:rsid w:val="00AB34AD"/>
    <w:rsid w:val="00AB46E2"/>
    <w:rsid w:val="00AB66AE"/>
    <w:rsid w:val="00AB7E21"/>
    <w:rsid w:val="00AC140D"/>
    <w:rsid w:val="00AC15E0"/>
    <w:rsid w:val="00AC23D7"/>
    <w:rsid w:val="00AC28B0"/>
    <w:rsid w:val="00AC4F7C"/>
    <w:rsid w:val="00AC587D"/>
    <w:rsid w:val="00AC66FC"/>
    <w:rsid w:val="00AD0025"/>
    <w:rsid w:val="00AD0678"/>
    <w:rsid w:val="00AD193E"/>
    <w:rsid w:val="00AD1AA2"/>
    <w:rsid w:val="00AD263B"/>
    <w:rsid w:val="00AD2D15"/>
    <w:rsid w:val="00AD7A30"/>
    <w:rsid w:val="00AD7C25"/>
    <w:rsid w:val="00AE10DF"/>
    <w:rsid w:val="00AE291D"/>
    <w:rsid w:val="00AE2980"/>
    <w:rsid w:val="00AE2B62"/>
    <w:rsid w:val="00AE4CCF"/>
    <w:rsid w:val="00AE5C3D"/>
    <w:rsid w:val="00AF28A2"/>
    <w:rsid w:val="00AF2912"/>
    <w:rsid w:val="00AF3227"/>
    <w:rsid w:val="00AF3BD9"/>
    <w:rsid w:val="00AF479F"/>
    <w:rsid w:val="00B044BC"/>
    <w:rsid w:val="00B05975"/>
    <w:rsid w:val="00B0617C"/>
    <w:rsid w:val="00B062EE"/>
    <w:rsid w:val="00B11F80"/>
    <w:rsid w:val="00B1209F"/>
    <w:rsid w:val="00B1487B"/>
    <w:rsid w:val="00B21213"/>
    <w:rsid w:val="00B21740"/>
    <w:rsid w:val="00B23258"/>
    <w:rsid w:val="00B23603"/>
    <w:rsid w:val="00B23715"/>
    <w:rsid w:val="00B2466D"/>
    <w:rsid w:val="00B2619F"/>
    <w:rsid w:val="00B275AC"/>
    <w:rsid w:val="00B302FA"/>
    <w:rsid w:val="00B31D80"/>
    <w:rsid w:val="00B32D6C"/>
    <w:rsid w:val="00B336C4"/>
    <w:rsid w:val="00B34048"/>
    <w:rsid w:val="00B3749D"/>
    <w:rsid w:val="00B440C1"/>
    <w:rsid w:val="00B443CC"/>
    <w:rsid w:val="00B44B0C"/>
    <w:rsid w:val="00B44F5E"/>
    <w:rsid w:val="00B559FF"/>
    <w:rsid w:val="00B57413"/>
    <w:rsid w:val="00B6041F"/>
    <w:rsid w:val="00B605B6"/>
    <w:rsid w:val="00B6502F"/>
    <w:rsid w:val="00B652E9"/>
    <w:rsid w:val="00B65DAA"/>
    <w:rsid w:val="00B66B2F"/>
    <w:rsid w:val="00B67627"/>
    <w:rsid w:val="00B7036C"/>
    <w:rsid w:val="00B71DE7"/>
    <w:rsid w:val="00B720EC"/>
    <w:rsid w:val="00B74F7F"/>
    <w:rsid w:val="00B75286"/>
    <w:rsid w:val="00B7586C"/>
    <w:rsid w:val="00B75B08"/>
    <w:rsid w:val="00B7663C"/>
    <w:rsid w:val="00B776DD"/>
    <w:rsid w:val="00B825C3"/>
    <w:rsid w:val="00B83BC7"/>
    <w:rsid w:val="00B84869"/>
    <w:rsid w:val="00B86607"/>
    <w:rsid w:val="00B87859"/>
    <w:rsid w:val="00B91D47"/>
    <w:rsid w:val="00B92400"/>
    <w:rsid w:val="00B94C57"/>
    <w:rsid w:val="00B953E2"/>
    <w:rsid w:val="00B97C8C"/>
    <w:rsid w:val="00BA1EAB"/>
    <w:rsid w:val="00BA2796"/>
    <w:rsid w:val="00BA3CB8"/>
    <w:rsid w:val="00BA4238"/>
    <w:rsid w:val="00BA7623"/>
    <w:rsid w:val="00BA7DBF"/>
    <w:rsid w:val="00BB1825"/>
    <w:rsid w:val="00BB211D"/>
    <w:rsid w:val="00BB23C3"/>
    <w:rsid w:val="00BB3B31"/>
    <w:rsid w:val="00BB5C72"/>
    <w:rsid w:val="00BB65C5"/>
    <w:rsid w:val="00BB6DF9"/>
    <w:rsid w:val="00BC0DCE"/>
    <w:rsid w:val="00BC127C"/>
    <w:rsid w:val="00BC36A5"/>
    <w:rsid w:val="00BC5991"/>
    <w:rsid w:val="00BC5BDF"/>
    <w:rsid w:val="00BC6606"/>
    <w:rsid w:val="00BC7C1B"/>
    <w:rsid w:val="00BD190D"/>
    <w:rsid w:val="00BD2D19"/>
    <w:rsid w:val="00BE0006"/>
    <w:rsid w:val="00BE00FE"/>
    <w:rsid w:val="00BE0F78"/>
    <w:rsid w:val="00BE5E7E"/>
    <w:rsid w:val="00BF0EF2"/>
    <w:rsid w:val="00BF11A0"/>
    <w:rsid w:val="00BF68C8"/>
    <w:rsid w:val="00BF7140"/>
    <w:rsid w:val="00C0089B"/>
    <w:rsid w:val="00C016A3"/>
    <w:rsid w:val="00C01E68"/>
    <w:rsid w:val="00C0295B"/>
    <w:rsid w:val="00C047D1"/>
    <w:rsid w:val="00C07F90"/>
    <w:rsid w:val="00C10AE9"/>
    <w:rsid w:val="00C11924"/>
    <w:rsid w:val="00C12BB6"/>
    <w:rsid w:val="00C13515"/>
    <w:rsid w:val="00C138F6"/>
    <w:rsid w:val="00C14016"/>
    <w:rsid w:val="00C17B40"/>
    <w:rsid w:val="00C17EDE"/>
    <w:rsid w:val="00C2170E"/>
    <w:rsid w:val="00C221A0"/>
    <w:rsid w:val="00C238D1"/>
    <w:rsid w:val="00C23EAB"/>
    <w:rsid w:val="00C24419"/>
    <w:rsid w:val="00C25C46"/>
    <w:rsid w:val="00C31E23"/>
    <w:rsid w:val="00C3211F"/>
    <w:rsid w:val="00C326F9"/>
    <w:rsid w:val="00C33B39"/>
    <w:rsid w:val="00C3457D"/>
    <w:rsid w:val="00C36B88"/>
    <w:rsid w:val="00C36FFC"/>
    <w:rsid w:val="00C37A29"/>
    <w:rsid w:val="00C401A1"/>
    <w:rsid w:val="00C42F53"/>
    <w:rsid w:val="00C47100"/>
    <w:rsid w:val="00C54D91"/>
    <w:rsid w:val="00C5558D"/>
    <w:rsid w:val="00C55637"/>
    <w:rsid w:val="00C56225"/>
    <w:rsid w:val="00C56ECC"/>
    <w:rsid w:val="00C56F4F"/>
    <w:rsid w:val="00C60B92"/>
    <w:rsid w:val="00C626D8"/>
    <w:rsid w:val="00C64330"/>
    <w:rsid w:val="00C7056F"/>
    <w:rsid w:val="00C70D80"/>
    <w:rsid w:val="00C70EFC"/>
    <w:rsid w:val="00C71688"/>
    <w:rsid w:val="00C73D38"/>
    <w:rsid w:val="00C74BA7"/>
    <w:rsid w:val="00C75C56"/>
    <w:rsid w:val="00C81833"/>
    <w:rsid w:val="00C81DDD"/>
    <w:rsid w:val="00C82B78"/>
    <w:rsid w:val="00C840B2"/>
    <w:rsid w:val="00C87F78"/>
    <w:rsid w:val="00C92EDC"/>
    <w:rsid w:val="00C92F55"/>
    <w:rsid w:val="00C931C0"/>
    <w:rsid w:val="00C932F3"/>
    <w:rsid w:val="00C94638"/>
    <w:rsid w:val="00C96455"/>
    <w:rsid w:val="00C971B2"/>
    <w:rsid w:val="00CA0B3F"/>
    <w:rsid w:val="00CA1015"/>
    <w:rsid w:val="00CA26D3"/>
    <w:rsid w:val="00CA3F32"/>
    <w:rsid w:val="00CA5EBC"/>
    <w:rsid w:val="00CB06D8"/>
    <w:rsid w:val="00CB13B6"/>
    <w:rsid w:val="00CB185A"/>
    <w:rsid w:val="00CB1954"/>
    <w:rsid w:val="00CB294B"/>
    <w:rsid w:val="00CB3859"/>
    <w:rsid w:val="00CB3A38"/>
    <w:rsid w:val="00CB5DA1"/>
    <w:rsid w:val="00CB675A"/>
    <w:rsid w:val="00CB7BE1"/>
    <w:rsid w:val="00CC2DD4"/>
    <w:rsid w:val="00CC3DE4"/>
    <w:rsid w:val="00CC459B"/>
    <w:rsid w:val="00CC5F5B"/>
    <w:rsid w:val="00CD0553"/>
    <w:rsid w:val="00CD0ECA"/>
    <w:rsid w:val="00CD61EB"/>
    <w:rsid w:val="00CD7F44"/>
    <w:rsid w:val="00CE01E5"/>
    <w:rsid w:val="00CE0EC8"/>
    <w:rsid w:val="00CE19B8"/>
    <w:rsid w:val="00CE43AF"/>
    <w:rsid w:val="00CE4D3A"/>
    <w:rsid w:val="00CE5B81"/>
    <w:rsid w:val="00CE64FD"/>
    <w:rsid w:val="00CE7062"/>
    <w:rsid w:val="00CE7236"/>
    <w:rsid w:val="00CF02F0"/>
    <w:rsid w:val="00CF2F1A"/>
    <w:rsid w:val="00CF4BC6"/>
    <w:rsid w:val="00CF6CE9"/>
    <w:rsid w:val="00CF7F06"/>
    <w:rsid w:val="00CF7FC8"/>
    <w:rsid w:val="00D01615"/>
    <w:rsid w:val="00D02433"/>
    <w:rsid w:val="00D0352E"/>
    <w:rsid w:val="00D05883"/>
    <w:rsid w:val="00D06AF9"/>
    <w:rsid w:val="00D10F14"/>
    <w:rsid w:val="00D12A05"/>
    <w:rsid w:val="00D15113"/>
    <w:rsid w:val="00D15B7C"/>
    <w:rsid w:val="00D15B7D"/>
    <w:rsid w:val="00D16F74"/>
    <w:rsid w:val="00D20B05"/>
    <w:rsid w:val="00D21BE3"/>
    <w:rsid w:val="00D2502F"/>
    <w:rsid w:val="00D2508F"/>
    <w:rsid w:val="00D256ED"/>
    <w:rsid w:val="00D25F67"/>
    <w:rsid w:val="00D26D52"/>
    <w:rsid w:val="00D30791"/>
    <w:rsid w:val="00D31E3E"/>
    <w:rsid w:val="00D330CA"/>
    <w:rsid w:val="00D3316D"/>
    <w:rsid w:val="00D359B1"/>
    <w:rsid w:val="00D37882"/>
    <w:rsid w:val="00D42520"/>
    <w:rsid w:val="00D43390"/>
    <w:rsid w:val="00D46FD9"/>
    <w:rsid w:val="00D472F5"/>
    <w:rsid w:val="00D574BB"/>
    <w:rsid w:val="00D60649"/>
    <w:rsid w:val="00D61E88"/>
    <w:rsid w:val="00D64320"/>
    <w:rsid w:val="00D711F4"/>
    <w:rsid w:val="00D77A27"/>
    <w:rsid w:val="00D82157"/>
    <w:rsid w:val="00D8263D"/>
    <w:rsid w:val="00D83923"/>
    <w:rsid w:val="00D84D79"/>
    <w:rsid w:val="00D8605B"/>
    <w:rsid w:val="00D909E8"/>
    <w:rsid w:val="00D93A32"/>
    <w:rsid w:val="00D9419D"/>
    <w:rsid w:val="00D95005"/>
    <w:rsid w:val="00D96A38"/>
    <w:rsid w:val="00D96F65"/>
    <w:rsid w:val="00DA136C"/>
    <w:rsid w:val="00DA3017"/>
    <w:rsid w:val="00DA5484"/>
    <w:rsid w:val="00DA589B"/>
    <w:rsid w:val="00DB27FD"/>
    <w:rsid w:val="00DB48E6"/>
    <w:rsid w:val="00DB7455"/>
    <w:rsid w:val="00DB7E8D"/>
    <w:rsid w:val="00DC1012"/>
    <w:rsid w:val="00DC18D8"/>
    <w:rsid w:val="00DC1B37"/>
    <w:rsid w:val="00DC2539"/>
    <w:rsid w:val="00DC346E"/>
    <w:rsid w:val="00DC5D69"/>
    <w:rsid w:val="00DC5DFF"/>
    <w:rsid w:val="00DC6842"/>
    <w:rsid w:val="00DC74CB"/>
    <w:rsid w:val="00DD0012"/>
    <w:rsid w:val="00DD1240"/>
    <w:rsid w:val="00DD134A"/>
    <w:rsid w:val="00DD2F67"/>
    <w:rsid w:val="00DD6140"/>
    <w:rsid w:val="00DD6376"/>
    <w:rsid w:val="00DD6473"/>
    <w:rsid w:val="00DE05E7"/>
    <w:rsid w:val="00DE2323"/>
    <w:rsid w:val="00DF1FFA"/>
    <w:rsid w:val="00DF3BF0"/>
    <w:rsid w:val="00DF4E3E"/>
    <w:rsid w:val="00DF57D9"/>
    <w:rsid w:val="00DF5A88"/>
    <w:rsid w:val="00DF60B9"/>
    <w:rsid w:val="00DF63B7"/>
    <w:rsid w:val="00DF7776"/>
    <w:rsid w:val="00DF7DB3"/>
    <w:rsid w:val="00E0041E"/>
    <w:rsid w:val="00E010CD"/>
    <w:rsid w:val="00E01547"/>
    <w:rsid w:val="00E02F88"/>
    <w:rsid w:val="00E03B03"/>
    <w:rsid w:val="00E0453D"/>
    <w:rsid w:val="00E04C95"/>
    <w:rsid w:val="00E05FA6"/>
    <w:rsid w:val="00E06132"/>
    <w:rsid w:val="00E10642"/>
    <w:rsid w:val="00E11D04"/>
    <w:rsid w:val="00E11F5D"/>
    <w:rsid w:val="00E15A2F"/>
    <w:rsid w:val="00E20366"/>
    <w:rsid w:val="00E22FD4"/>
    <w:rsid w:val="00E25474"/>
    <w:rsid w:val="00E31475"/>
    <w:rsid w:val="00E32EE5"/>
    <w:rsid w:val="00E32F93"/>
    <w:rsid w:val="00E379F7"/>
    <w:rsid w:val="00E46837"/>
    <w:rsid w:val="00E47107"/>
    <w:rsid w:val="00E4734C"/>
    <w:rsid w:val="00E51DB6"/>
    <w:rsid w:val="00E521B0"/>
    <w:rsid w:val="00E54ACD"/>
    <w:rsid w:val="00E54B2B"/>
    <w:rsid w:val="00E55BE6"/>
    <w:rsid w:val="00E61632"/>
    <w:rsid w:val="00E62286"/>
    <w:rsid w:val="00E707C1"/>
    <w:rsid w:val="00E70DD7"/>
    <w:rsid w:val="00E72EE0"/>
    <w:rsid w:val="00E741FB"/>
    <w:rsid w:val="00E7469E"/>
    <w:rsid w:val="00E74787"/>
    <w:rsid w:val="00E74F13"/>
    <w:rsid w:val="00E75C5B"/>
    <w:rsid w:val="00E76EEC"/>
    <w:rsid w:val="00E82908"/>
    <w:rsid w:val="00E856C0"/>
    <w:rsid w:val="00E85DD2"/>
    <w:rsid w:val="00E86E31"/>
    <w:rsid w:val="00E915E2"/>
    <w:rsid w:val="00E91A7E"/>
    <w:rsid w:val="00E91FED"/>
    <w:rsid w:val="00E92AFD"/>
    <w:rsid w:val="00E92E95"/>
    <w:rsid w:val="00EA07EA"/>
    <w:rsid w:val="00EA1943"/>
    <w:rsid w:val="00EA2F19"/>
    <w:rsid w:val="00EA3238"/>
    <w:rsid w:val="00EA3F63"/>
    <w:rsid w:val="00EB07BE"/>
    <w:rsid w:val="00EB3F9D"/>
    <w:rsid w:val="00EB5DC6"/>
    <w:rsid w:val="00EB6C28"/>
    <w:rsid w:val="00EC3A1A"/>
    <w:rsid w:val="00EC436B"/>
    <w:rsid w:val="00EC558F"/>
    <w:rsid w:val="00ED114A"/>
    <w:rsid w:val="00ED1BC6"/>
    <w:rsid w:val="00ED334D"/>
    <w:rsid w:val="00ED4983"/>
    <w:rsid w:val="00ED5EF4"/>
    <w:rsid w:val="00ED7FE0"/>
    <w:rsid w:val="00EE1A3E"/>
    <w:rsid w:val="00EE1E89"/>
    <w:rsid w:val="00EE1FDC"/>
    <w:rsid w:val="00EE6BE2"/>
    <w:rsid w:val="00EE6F14"/>
    <w:rsid w:val="00EF2391"/>
    <w:rsid w:val="00EF2C5A"/>
    <w:rsid w:val="00EF3F23"/>
    <w:rsid w:val="00EF6601"/>
    <w:rsid w:val="00F005BF"/>
    <w:rsid w:val="00F012BD"/>
    <w:rsid w:val="00F04EA7"/>
    <w:rsid w:val="00F057D4"/>
    <w:rsid w:val="00F067DE"/>
    <w:rsid w:val="00F0759B"/>
    <w:rsid w:val="00F10E10"/>
    <w:rsid w:val="00F135CC"/>
    <w:rsid w:val="00F162D4"/>
    <w:rsid w:val="00F16325"/>
    <w:rsid w:val="00F1691F"/>
    <w:rsid w:val="00F179F6"/>
    <w:rsid w:val="00F2058B"/>
    <w:rsid w:val="00F23904"/>
    <w:rsid w:val="00F2532B"/>
    <w:rsid w:val="00F25AE6"/>
    <w:rsid w:val="00F3098B"/>
    <w:rsid w:val="00F3209B"/>
    <w:rsid w:val="00F3214C"/>
    <w:rsid w:val="00F33F8D"/>
    <w:rsid w:val="00F37CB6"/>
    <w:rsid w:val="00F37F65"/>
    <w:rsid w:val="00F4010B"/>
    <w:rsid w:val="00F44C89"/>
    <w:rsid w:val="00F463FE"/>
    <w:rsid w:val="00F46E42"/>
    <w:rsid w:val="00F4702C"/>
    <w:rsid w:val="00F505B8"/>
    <w:rsid w:val="00F53471"/>
    <w:rsid w:val="00F53EFE"/>
    <w:rsid w:val="00F55C15"/>
    <w:rsid w:val="00F60BA2"/>
    <w:rsid w:val="00F6171E"/>
    <w:rsid w:val="00F634F6"/>
    <w:rsid w:val="00F64722"/>
    <w:rsid w:val="00F67712"/>
    <w:rsid w:val="00F70C8F"/>
    <w:rsid w:val="00F74575"/>
    <w:rsid w:val="00F746AD"/>
    <w:rsid w:val="00F76D46"/>
    <w:rsid w:val="00F778E9"/>
    <w:rsid w:val="00F77B4D"/>
    <w:rsid w:val="00F84D52"/>
    <w:rsid w:val="00F8549D"/>
    <w:rsid w:val="00F85E51"/>
    <w:rsid w:val="00F8642D"/>
    <w:rsid w:val="00F86D6E"/>
    <w:rsid w:val="00F87B07"/>
    <w:rsid w:val="00F9072E"/>
    <w:rsid w:val="00F91000"/>
    <w:rsid w:val="00F943B9"/>
    <w:rsid w:val="00F94880"/>
    <w:rsid w:val="00F95D52"/>
    <w:rsid w:val="00FA1A02"/>
    <w:rsid w:val="00FA33D2"/>
    <w:rsid w:val="00FA4E28"/>
    <w:rsid w:val="00FA6605"/>
    <w:rsid w:val="00FA69BD"/>
    <w:rsid w:val="00FA7837"/>
    <w:rsid w:val="00FB016C"/>
    <w:rsid w:val="00FB04BC"/>
    <w:rsid w:val="00FB300F"/>
    <w:rsid w:val="00FB4E93"/>
    <w:rsid w:val="00FB6EF8"/>
    <w:rsid w:val="00FB6FB1"/>
    <w:rsid w:val="00FC2D8B"/>
    <w:rsid w:val="00FC4494"/>
    <w:rsid w:val="00FC46E7"/>
    <w:rsid w:val="00FC6654"/>
    <w:rsid w:val="00FD2188"/>
    <w:rsid w:val="00FD3306"/>
    <w:rsid w:val="00FD36B1"/>
    <w:rsid w:val="00FD3EED"/>
    <w:rsid w:val="00FE4627"/>
    <w:rsid w:val="00FE59FD"/>
    <w:rsid w:val="00FE5F52"/>
    <w:rsid w:val="00FE7F98"/>
    <w:rsid w:val="00FF2E7F"/>
    <w:rsid w:val="00FF306D"/>
    <w:rsid w:val="00FF403E"/>
    <w:rsid w:val="00FF693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9CB78"/>
  <w15:chartTrackingRefBased/>
  <w15:docId w15:val="{5D8ECE15-F236-4C70-B0EC-52C7AD2B5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A2287B"/>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A2287B"/>
    <w:pPr>
      <w:numPr>
        <w:numId w:val="21"/>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A2287B"/>
    <w:pPr>
      <w:keepNext/>
      <w:keepLines/>
      <w:numPr>
        <w:ilvl w:val="2"/>
        <w:numId w:val="21"/>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A2287B"/>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A2287B"/>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A2287B"/>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A2287B"/>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A2287B"/>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A2287B"/>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A2287B"/>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87B"/>
    <w:rPr>
      <w:color w:val="808080"/>
    </w:rPr>
  </w:style>
  <w:style w:type="paragraph" w:styleId="Date">
    <w:name w:val="Date"/>
    <w:basedOn w:val="Normal"/>
    <w:next w:val="Normal"/>
    <w:link w:val="DateChar"/>
    <w:uiPriority w:val="99"/>
    <w:unhideWhenUsed/>
    <w:rsid w:val="00A2287B"/>
    <w:pPr>
      <w:spacing w:after="360" w:line="293" w:lineRule="auto"/>
    </w:pPr>
  </w:style>
  <w:style w:type="character" w:customStyle="1" w:styleId="DateChar">
    <w:name w:val="Date Char"/>
    <w:basedOn w:val="DefaultParagraphFont"/>
    <w:link w:val="Date"/>
    <w:uiPriority w:val="99"/>
    <w:rsid w:val="00A2287B"/>
    <w:rPr>
      <w:rFonts w:ascii="Open Sans" w:hAnsi="Open Sans"/>
      <w:sz w:val="20"/>
      <w:szCs w:val="20"/>
    </w:rPr>
  </w:style>
  <w:style w:type="paragraph" w:styleId="NoSpacing">
    <w:name w:val="No Spacing"/>
    <w:basedOn w:val="Normal"/>
    <w:link w:val="NoSpacingChar"/>
    <w:uiPriority w:val="10"/>
    <w:qFormat/>
    <w:rsid w:val="00A2287B"/>
    <w:pPr>
      <w:spacing w:before="0" w:after="0"/>
    </w:pPr>
  </w:style>
  <w:style w:type="paragraph" w:styleId="ListBullet">
    <w:name w:val="List Bullet"/>
    <w:basedOn w:val="Normal"/>
    <w:link w:val="ListBulletChar"/>
    <w:uiPriority w:val="1"/>
    <w:qFormat/>
    <w:rsid w:val="00A2287B"/>
    <w:pPr>
      <w:numPr>
        <w:numId w:val="23"/>
      </w:numPr>
      <w:contextualSpacing/>
    </w:pPr>
  </w:style>
  <w:style w:type="paragraph" w:styleId="ListBullet2">
    <w:name w:val="List Bullet 2"/>
    <w:basedOn w:val="Normal"/>
    <w:uiPriority w:val="1"/>
    <w:qFormat/>
    <w:rsid w:val="00A2287B"/>
    <w:pPr>
      <w:numPr>
        <w:ilvl w:val="1"/>
        <w:numId w:val="23"/>
      </w:numPr>
      <w:contextualSpacing/>
    </w:pPr>
  </w:style>
  <w:style w:type="paragraph" w:styleId="ListNumber">
    <w:name w:val="List Number"/>
    <w:basedOn w:val="Normal"/>
    <w:uiPriority w:val="2"/>
    <w:qFormat/>
    <w:rsid w:val="00A2287B"/>
    <w:pPr>
      <w:numPr>
        <w:numId w:val="22"/>
      </w:numPr>
      <w:spacing w:before="60"/>
      <w:contextualSpacing/>
    </w:pPr>
  </w:style>
  <w:style w:type="numbering" w:customStyle="1" w:styleId="Bullets">
    <w:name w:val="Bullets"/>
    <w:uiPriority w:val="99"/>
    <w:rsid w:val="00A2287B"/>
    <w:pPr>
      <w:numPr>
        <w:numId w:val="13"/>
      </w:numPr>
    </w:pPr>
  </w:style>
  <w:style w:type="character" w:customStyle="1" w:styleId="Heading1Char">
    <w:name w:val="Heading 1 Char"/>
    <w:basedOn w:val="DefaultParagraphFont"/>
    <w:link w:val="Heading1"/>
    <w:uiPriority w:val="9"/>
    <w:rsid w:val="00A2287B"/>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qFormat/>
    <w:rsid w:val="00A2287B"/>
    <w:pPr>
      <w:numPr>
        <w:ilvl w:val="1"/>
        <w:numId w:val="22"/>
      </w:numPr>
      <w:spacing w:before="60"/>
      <w:contextualSpacing/>
    </w:pPr>
  </w:style>
  <w:style w:type="character" w:customStyle="1" w:styleId="Heading2Char">
    <w:name w:val="Heading 2 Char"/>
    <w:basedOn w:val="DefaultParagraphFont"/>
    <w:link w:val="Heading2"/>
    <w:uiPriority w:val="9"/>
    <w:rsid w:val="00A2287B"/>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A2287B"/>
    <w:pPr>
      <w:spacing w:line="293" w:lineRule="auto"/>
      <w:ind w:left="284"/>
      <w:contextualSpacing/>
    </w:pPr>
  </w:style>
  <w:style w:type="paragraph" w:styleId="Header">
    <w:name w:val="header"/>
    <w:basedOn w:val="Normal"/>
    <w:link w:val="HeaderChar"/>
    <w:uiPriority w:val="99"/>
    <w:unhideWhenUsed/>
    <w:rsid w:val="00A2287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A2287B"/>
    <w:rPr>
      <w:rFonts w:ascii="Open Sans" w:hAnsi="Open Sans"/>
      <w:sz w:val="16"/>
      <w:szCs w:val="20"/>
    </w:rPr>
  </w:style>
  <w:style w:type="paragraph" w:styleId="Footer">
    <w:name w:val="footer"/>
    <w:basedOn w:val="Normal"/>
    <w:link w:val="FooterChar"/>
    <w:uiPriority w:val="11"/>
    <w:rsid w:val="00A2287B"/>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A2287B"/>
    <w:rPr>
      <w:rFonts w:ascii="Open Sans Extrabold" w:hAnsi="Open Sans Extrabold"/>
      <w:sz w:val="17"/>
    </w:rPr>
  </w:style>
  <w:style w:type="numbering" w:customStyle="1" w:styleId="Numbering">
    <w:name w:val="Numbering"/>
    <w:uiPriority w:val="99"/>
    <w:rsid w:val="00A2287B"/>
    <w:pPr>
      <w:numPr>
        <w:numId w:val="1"/>
      </w:numPr>
    </w:pPr>
  </w:style>
  <w:style w:type="paragraph" w:styleId="ListBullet3">
    <w:name w:val="List Bullet 3"/>
    <w:basedOn w:val="Normal"/>
    <w:uiPriority w:val="1"/>
    <w:qFormat/>
    <w:rsid w:val="00A2287B"/>
    <w:pPr>
      <w:numPr>
        <w:ilvl w:val="2"/>
        <w:numId w:val="23"/>
      </w:numPr>
      <w:contextualSpacing/>
    </w:pPr>
  </w:style>
  <w:style w:type="paragraph" w:styleId="ListContinue2">
    <w:name w:val="List Continue 2"/>
    <w:basedOn w:val="Normal"/>
    <w:uiPriority w:val="3"/>
    <w:unhideWhenUsed/>
    <w:qFormat/>
    <w:rsid w:val="00A2287B"/>
    <w:pPr>
      <w:spacing w:before="60"/>
      <w:ind w:left="454"/>
    </w:pPr>
  </w:style>
  <w:style w:type="paragraph" w:styleId="ListNumber3">
    <w:name w:val="List Number 3"/>
    <w:basedOn w:val="Normal"/>
    <w:uiPriority w:val="13"/>
    <w:semiHidden/>
    <w:qFormat/>
    <w:rsid w:val="00A2287B"/>
    <w:pPr>
      <w:numPr>
        <w:ilvl w:val="2"/>
        <w:numId w:val="22"/>
      </w:numPr>
      <w:spacing w:before="60"/>
      <w:contextualSpacing/>
    </w:pPr>
  </w:style>
  <w:style w:type="paragraph" w:styleId="ListNumber4">
    <w:name w:val="List Number 4"/>
    <w:basedOn w:val="Normal"/>
    <w:uiPriority w:val="13"/>
    <w:semiHidden/>
    <w:qFormat/>
    <w:rsid w:val="00A2287B"/>
    <w:pPr>
      <w:numPr>
        <w:ilvl w:val="3"/>
        <w:numId w:val="22"/>
      </w:numPr>
      <w:spacing w:after="200" w:line="293" w:lineRule="auto"/>
      <w:contextualSpacing/>
    </w:pPr>
  </w:style>
  <w:style w:type="paragraph" w:styleId="ListNumber5">
    <w:name w:val="List Number 5"/>
    <w:basedOn w:val="Normal"/>
    <w:uiPriority w:val="13"/>
    <w:semiHidden/>
    <w:rsid w:val="00A2287B"/>
    <w:pPr>
      <w:numPr>
        <w:ilvl w:val="4"/>
        <w:numId w:val="22"/>
      </w:numPr>
      <w:spacing w:after="200" w:line="293" w:lineRule="auto"/>
      <w:contextualSpacing/>
    </w:pPr>
  </w:style>
  <w:style w:type="paragraph" w:styleId="ListContinue">
    <w:name w:val="List Continue"/>
    <w:basedOn w:val="Normal"/>
    <w:uiPriority w:val="3"/>
    <w:unhideWhenUsed/>
    <w:qFormat/>
    <w:rsid w:val="00A2287B"/>
    <w:pPr>
      <w:spacing w:before="60"/>
      <w:ind w:left="227"/>
    </w:pPr>
  </w:style>
  <w:style w:type="paragraph" w:styleId="ListContinue3">
    <w:name w:val="List Continue 3"/>
    <w:basedOn w:val="Normal"/>
    <w:uiPriority w:val="3"/>
    <w:unhideWhenUsed/>
    <w:qFormat/>
    <w:rsid w:val="00A2287B"/>
    <w:pPr>
      <w:spacing w:before="60"/>
      <w:ind w:left="907"/>
    </w:pPr>
  </w:style>
  <w:style w:type="paragraph" w:styleId="ListContinue4">
    <w:name w:val="List Continue 4"/>
    <w:basedOn w:val="Normal"/>
    <w:uiPriority w:val="3"/>
    <w:unhideWhenUsed/>
    <w:qFormat/>
    <w:rsid w:val="00A2287B"/>
    <w:pPr>
      <w:spacing w:line="293" w:lineRule="auto"/>
      <w:ind w:left="907"/>
      <w:contextualSpacing/>
    </w:pPr>
  </w:style>
  <w:style w:type="character" w:customStyle="1" w:styleId="Heading3Char">
    <w:name w:val="Heading 3 Char"/>
    <w:basedOn w:val="DefaultParagraphFont"/>
    <w:link w:val="Heading3"/>
    <w:uiPriority w:val="9"/>
    <w:rsid w:val="00A2287B"/>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A2287B"/>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A2287B"/>
    <w:rPr>
      <w:rFonts w:ascii="Open Sans" w:eastAsiaTheme="majorEastAsia" w:hAnsi="Open Sans" w:cstheme="majorBidi"/>
      <w:b/>
      <w:color w:val="265A9A" w:themeColor="background2"/>
      <w:szCs w:val="29"/>
    </w:rPr>
  </w:style>
  <w:style w:type="numbering" w:customStyle="1" w:styleId="ListHeadings">
    <w:name w:val="List Headings"/>
    <w:uiPriority w:val="99"/>
    <w:rsid w:val="00A2287B"/>
    <w:pPr>
      <w:numPr>
        <w:numId w:val="20"/>
      </w:numPr>
    </w:pPr>
  </w:style>
  <w:style w:type="paragraph" w:styleId="Title">
    <w:name w:val="Title"/>
    <w:basedOn w:val="Heading1"/>
    <w:next w:val="Normal"/>
    <w:link w:val="TitleChar"/>
    <w:uiPriority w:val="39"/>
    <w:rsid w:val="00A2287B"/>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A2287B"/>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A2287B"/>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A2287B"/>
    <w:rPr>
      <w:b/>
    </w:rPr>
  </w:style>
  <w:style w:type="character" w:customStyle="1" w:styleId="Pull-outQuoteChar">
    <w:name w:val="Pull-out Quote Char"/>
    <w:basedOn w:val="DefaultParagraphFont"/>
    <w:link w:val="Pull-outQuote"/>
    <w:uiPriority w:val="99"/>
    <w:semiHidden/>
    <w:rsid w:val="00A2287B"/>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A2287B"/>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A2287B"/>
  </w:style>
  <w:style w:type="paragraph" w:customStyle="1" w:styleId="NumberedHeading2">
    <w:name w:val="Numbered Heading 2"/>
    <w:basedOn w:val="Heading2"/>
    <w:next w:val="Normal"/>
    <w:link w:val="NumberedHeading2Char"/>
    <w:uiPriority w:val="9"/>
    <w:semiHidden/>
    <w:rsid w:val="00A2287B"/>
  </w:style>
  <w:style w:type="character" w:customStyle="1" w:styleId="NumberedHeading1Char">
    <w:name w:val="Numbered Heading 1 Char"/>
    <w:basedOn w:val="Heading1Char"/>
    <w:link w:val="NumberedHeading1"/>
    <w:uiPriority w:val="9"/>
    <w:semiHidden/>
    <w:rsid w:val="00A2287B"/>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A2287B"/>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A2287B"/>
    <w:pPr>
      <w:ind w:left="1134"/>
      <w:contextualSpacing/>
    </w:pPr>
  </w:style>
  <w:style w:type="table" w:styleId="TableGrid">
    <w:name w:val="Table Grid"/>
    <w:basedOn w:val="TableNormal"/>
    <w:uiPriority w:val="39"/>
    <w:rsid w:val="00A2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2287B"/>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A2287B"/>
    <w:pPr>
      <w:numPr>
        <w:numId w:val="17"/>
      </w:numPr>
      <w:spacing w:before="60"/>
    </w:pPr>
  </w:style>
  <w:style w:type="paragraph" w:styleId="List2">
    <w:name w:val="List 2"/>
    <w:basedOn w:val="Normal"/>
    <w:uiPriority w:val="99"/>
    <w:semiHidden/>
    <w:qFormat/>
    <w:rsid w:val="00A2287B"/>
    <w:pPr>
      <w:numPr>
        <w:ilvl w:val="1"/>
        <w:numId w:val="17"/>
      </w:numPr>
      <w:spacing w:before="60"/>
    </w:pPr>
  </w:style>
  <w:style w:type="numbering" w:customStyle="1" w:styleId="LetteredList">
    <w:name w:val="Lettered List"/>
    <w:uiPriority w:val="99"/>
    <w:rsid w:val="00A2287B"/>
    <w:pPr>
      <w:numPr>
        <w:numId w:val="16"/>
      </w:numPr>
    </w:pPr>
  </w:style>
  <w:style w:type="paragraph" w:styleId="Subtitle">
    <w:name w:val="Subtitle"/>
    <w:basedOn w:val="Normal"/>
    <w:next w:val="Normal"/>
    <w:link w:val="SubtitleChar"/>
    <w:uiPriority w:val="39"/>
    <w:rsid w:val="00A2287B"/>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A2287B"/>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A2287B"/>
    <w:rPr>
      <w:rFonts w:ascii="Open Sans" w:hAnsi="Open Sans"/>
      <w:b/>
      <w:bCs/>
    </w:rPr>
  </w:style>
  <w:style w:type="paragraph" w:customStyle="1" w:styleId="Header-Keyline">
    <w:name w:val="Header - Keyline"/>
    <w:basedOn w:val="Header"/>
    <w:link w:val="Header-KeylineChar"/>
    <w:uiPriority w:val="99"/>
    <w:rsid w:val="00A2287B"/>
    <w:pPr>
      <w:pBdr>
        <w:bottom w:val="single" w:sz="4" w:space="31" w:color="2B9AC2" w:themeColor="text2"/>
      </w:pBdr>
      <w:spacing w:after="600"/>
    </w:pPr>
  </w:style>
  <w:style w:type="character" w:customStyle="1" w:styleId="Heading6Char">
    <w:name w:val="Heading 6 Char"/>
    <w:basedOn w:val="DefaultParagraphFont"/>
    <w:link w:val="Heading6"/>
    <w:uiPriority w:val="9"/>
    <w:rsid w:val="00A2287B"/>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A2287B"/>
    <w:rPr>
      <w:rFonts w:ascii="Open Sans" w:hAnsi="Open Sans"/>
      <w:sz w:val="16"/>
      <w:szCs w:val="20"/>
    </w:rPr>
  </w:style>
  <w:style w:type="character" w:customStyle="1" w:styleId="Heading7Char">
    <w:name w:val="Heading 7 Char"/>
    <w:basedOn w:val="DefaultParagraphFont"/>
    <w:link w:val="Heading7"/>
    <w:uiPriority w:val="9"/>
    <w:semiHidden/>
    <w:rsid w:val="00A2287B"/>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A2287B"/>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A2287B"/>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A2287B"/>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A2287B"/>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A2287B"/>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A2287B"/>
    <w:pPr>
      <w:spacing w:before="60" w:after="60" w:line="293" w:lineRule="auto"/>
      <w:contextualSpacing/>
    </w:pPr>
    <w:rPr>
      <w:sz w:val="18"/>
    </w:rPr>
  </w:style>
  <w:style w:type="paragraph" w:styleId="TOC1">
    <w:name w:val="toc 1"/>
    <w:basedOn w:val="Normal"/>
    <w:next w:val="BodyText"/>
    <w:autoRedefine/>
    <w:uiPriority w:val="39"/>
    <w:unhideWhenUsed/>
    <w:rsid w:val="005E5CE4"/>
    <w:pPr>
      <w:keepNext/>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A2287B"/>
    <w:rPr>
      <w:rFonts w:ascii="Open Sans" w:hAnsi="Open Sans"/>
      <w:sz w:val="18"/>
      <w:szCs w:val="20"/>
    </w:rPr>
  </w:style>
  <w:style w:type="character" w:styleId="FootnoteReference">
    <w:name w:val="footnote reference"/>
    <w:basedOn w:val="DefaultParagraphFont"/>
    <w:uiPriority w:val="99"/>
    <w:unhideWhenUsed/>
    <w:rsid w:val="00A2287B"/>
    <w:rPr>
      <w:vertAlign w:val="superscript"/>
    </w:rPr>
  </w:style>
  <w:style w:type="character" w:styleId="Hyperlink">
    <w:name w:val="Hyperlink"/>
    <w:basedOn w:val="DefaultParagraphFont"/>
    <w:uiPriority w:val="99"/>
    <w:unhideWhenUsed/>
    <w:rsid w:val="00A2287B"/>
    <w:rPr>
      <w:color w:val="000000" w:themeColor="hyperlink"/>
      <w:u w:val="single"/>
    </w:rPr>
  </w:style>
  <w:style w:type="character" w:styleId="HTMLVariable">
    <w:name w:val="HTML Variable"/>
    <w:basedOn w:val="DefaultParagraphFont"/>
    <w:uiPriority w:val="99"/>
    <w:unhideWhenUsed/>
    <w:rsid w:val="00A2287B"/>
    <w:rPr>
      <w:i/>
      <w:iCs/>
    </w:rPr>
  </w:style>
  <w:style w:type="paragraph" w:styleId="TOC2">
    <w:name w:val="toc 2"/>
    <w:basedOn w:val="Normal"/>
    <w:next w:val="Normal"/>
    <w:autoRedefine/>
    <w:uiPriority w:val="39"/>
    <w:unhideWhenUsed/>
    <w:rsid w:val="00A2287B"/>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A2287B"/>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A2287B"/>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A2287B"/>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A2287B"/>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A2287B"/>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A2287B"/>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A2287B"/>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A2287B"/>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A2287B"/>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A2287B"/>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A2287B"/>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A2287B"/>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A2287B"/>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A2287B"/>
    <w:pPr>
      <w:spacing w:line="360" w:lineRule="auto"/>
      <w:jc w:val="right"/>
    </w:pPr>
    <w:rPr>
      <w:sz w:val="16"/>
    </w:rPr>
  </w:style>
  <w:style w:type="paragraph" w:customStyle="1" w:styleId="Letterlogo">
    <w:name w:val="Letter logo"/>
    <w:basedOn w:val="LetterRight"/>
    <w:uiPriority w:val="99"/>
    <w:rsid w:val="00A2287B"/>
    <w:pPr>
      <w:spacing w:after="320"/>
    </w:pPr>
  </w:style>
  <w:style w:type="character" w:customStyle="1" w:styleId="LetterRightChar">
    <w:name w:val="Letter Right Char"/>
    <w:basedOn w:val="DefaultParagraphFont"/>
    <w:link w:val="LetterRight"/>
    <w:uiPriority w:val="99"/>
    <w:rsid w:val="00A2287B"/>
    <w:rPr>
      <w:rFonts w:ascii="Open Sans" w:hAnsi="Open Sans"/>
      <w:sz w:val="16"/>
      <w:szCs w:val="20"/>
    </w:rPr>
  </w:style>
  <w:style w:type="character" w:styleId="UnresolvedMention">
    <w:name w:val="Unresolved Mention"/>
    <w:basedOn w:val="DefaultParagraphFont"/>
    <w:uiPriority w:val="99"/>
    <w:unhideWhenUsed/>
    <w:rsid w:val="00A2287B"/>
    <w:rPr>
      <w:color w:val="605E5C"/>
      <w:shd w:val="clear" w:color="auto" w:fill="E1DFDD"/>
    </w:rPr>
  </w:style>
  <w:style w:type="paragraph" w:customStyle="1" w:styleId="LetterRight-NoSpace">
    <w:name w:val="Letter Right-No Space"/>
    <w:basedOn w:val="LetterRight"/>
    <w:uiPriority w:val="99"/>
    <w:rsid w:val="00A2287B"/>
    <w:pPr>
      <w:spacing w:after="0"/>
    </w:pPr>
  </w:style>
  <w:style w:type="table" w:customStyle="1" w:styleId="Blank">
    <w:name w:val="Blank"/>
    <w:basedOn w:val="TableNormal"/>
    <w:uiPriority w:val="99"/>
    <w:rsid w:val="00A2287B"/>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A2287B"/>
    <w:pPr>
      <w:numPr>
        <w:numId w:val="19"/>
      </w:numPr>
      <w:contextualSpacing/>
    </w:pPr>
  </w:style>
  <w:style w:type="paragraph" w:customStyle="1" w:styleId="Coverdate">
    <w:name w:val="Cover date"/>
    <w:basedOn w:val="Normal"/>
    <w:uiPriority w:val="29"/>
    <w:rsid w:val="00A2287B"/>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A2287B"/>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A2287B"/>
    <w:rPr>
      <w:color w:val="FFFFFF" w:themeColor="background1"/>
    </w:rPr>
  </w:style>
  <w:style w:type="paragraph" w:customStyle="1" w:styleId="Copyrightpage-Keylinenotext">
    <w:name w:val="Copyright page-Keyline (no text)"/>
    <w:basedOn w:val="Copyrightpage-Heading2"/>
    <w:uiPriority w:val="19"/>
    <w:rsid w:val="00A2287B"/>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A2287B"/>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A2287B"/>
    <w:pPr>
      <w:spacing w:before="46" w:after="46"/>
      <w:ind w:left="57" w:right="108"/>
    </w:pPr>
    <w:rPr>
      <w:b/>
      <w:sz w:val="18"/>
    </w:rPr>
  </w:style>
  <w:style w:type="paragraph" w:customStyle="1" w:styleId="CoverImage">
    <w:name w:val="Cover Image"/>
    <w:basedOn w:val="Normal"/>
    <w:uiPriority w:val="29"/>
    <w:rsid w:val="00A2287B"/>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A2287B"/>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A2287B"/>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A2287B"/>
    <w:pPr>
      <w:spacing w:before="60"/>
      <w:ind w:left="113" w:right="851"/>
    </w:pPr>
    <w:rPr>
      <w:color w:val="58585B"/>
    </w:rPr>
  </w:style>
  <w:style w:type="numbering" w:customStyle="1" w:styleId="TOCList">
    <w:name w:val="TOC List"/>
    <w:uiPriority w:val="99"/>
    <w:rsid w:val="00A2287B"/>
    <w:pPr>
      <w:numPr>
        <w:numId w:val="25"/>
      </w:numPr>
    </w:pPr>
  </w:style>
  <w:style w:type="paragraph" w:customStyle="1" w:styleId="Heading1-Section-fullpage">
    <w:name w:val="Heading 1-Section-full page"/>
    <w:basedOn w:val="Heading1-nobackground"/>
    <w:uiPriority w:val="9"/>
    <w:qFormat/>
    <w:rsid w:val="00A2287B"/>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A2287B"/>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A2287B"/>
    <w:pPr>
      <w:keepNext/>
      <w:spacing w:before="240"/>
    </w:pPr>
  </w:style>
  <w:style w:type="paragraph" w:customStyle="1" w:styleId="Source">
    <w:name w:val="Source"/>
    <w:basedOn w:val="Normal"/>
    <w:uiPriority w:val="9"/>
    <w:qFormat/>
    <w:rsid w:val="00A2287B"/>
    <w:pPr>
      <w:spacing w:before="80" w:after="240" w:line="216" w:lineRule="atLeast"/>
    </w:pPr>
    <w:rPr>
      <w:sz w:val="18"/>
    </w:rPr>
  </w:style>
  <w:style w:type="paragraph" w:customStyle="1" w:styleId="Note">
    <w:name w:val="Note"/>
    <w:basedOn w:val="Source"/>
    <w:uiPriority w:val="9"/>
    <w:qFormat/>
    <w:rsid w:val="00A2287B"/>
    <w:pPr>
      <w:spacing w:after="20"/>
    </w:pPr>
  </w:style>
  <w:style w:type="numbering" w:customStyle="1" w:styleId="Figure">
    <w:name w:val="Figure"/>
    <w:uiPriority w:val="99"/>
    <w:rsid w:val="00A2287B"/>
    <w:pPr>
      <w:numPr>
        <w:numId w:val="14"/>
      </w:numPr>
    </w:pPr>
  </w:style>
  <w:style w:type="table" w:customStyle="1" w:styleId="Boxtable">
    <w:name w:val="Box table"/>
    <w:basedOn w:val="Texttable-Paleblue"/>
    <w:uiPriority w:val="99"/>
    <w:rsid w:val="00A2287B"/>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A2287B"/>
    <w:pPr>
      <w:numPr>
        <w:numId w:val="12"/>
      </w:numPr>
    </w:pPr>
  </w:style>
  <w:style w:type="paragraph" w:customStyle="1" w:styleId="BoxHeading2">
    <w:name w:val="Box Heading 2"/>
    <w:basedOn w:val="Normal"/>
    <w:next w:val="BodyText"/>
    <w:uiPriority w:val="4"/>
    <w:qFormat/>
    <w:rsid w:val="00A2287B"/>
    <w:rPr>
      <w:b/>
    </w:rPr>
  </w:style>
  <w:style w:type="table" w:customStyle="1" w:styleId="ProductivityCommissionTable2-Dark">
    <w:name w:val="Productivity Commission Table 2 - Dark"/>
    <w:basedOn w:val="ProductivityCommissionTable2"/>
    <w:uiPriority w:val="99"/>
    <w:rsid w:val="00A2287B"/>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A2287B"/>
    <w:rPr>
      <w:i/>
    </w:rPr>
  </w:style>
  <w:style w:type="paragraph" w:customStyle="1" w:styleId="TableListBullet">
    <w:name w:val="Table List Bullet"/>
    <w:basedOn w:val="ListBullet"/>
    <w:uiPriority w:val="10"/>
    <w:qFormat/>
    <w:rsid w:val="00A2287B"/>
    <w:pPr>
      <w:spacing w:before="46" w:after="46"/>
      <w:ind w:left="170" w:hanging="113"/>
    </w:pPr>
    <w:rPr>
      <w:sz w:val="18"/>
    </w:rPr>
  </w:style>
  <w:style w:type="paragraph" w:customStyle="1" w:styleId="BodyText-Blue">
    <w:name w:val="Body Text-Blue"/>
    <w:basedOn w:val="BodyText"/>
    <w:link w:val="BodyText-BlueChar"/>
    <w:semiHidden/>
    <w:qFormat/>
    <w:rsid w:val="00A2287B"/>
    <w:rPr>
      <w:color w:val="265A9A" w:themeColor="background2"/>
    </w:rPr>
  </w:style>
  <w:style w:type="table" w:customStyle="1" w:styleId="Texttable-Keyline">
    <w:name w:val="Text table-Keyline"/>
    <w:basedOn w:val="Texttable-Paleblue"/>
    <w:uiPriority w:val="99"/>
    <w:rsid w:val="00A2287B"/>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A2287B"/>
    <w:pPr>
      <w:jc w:val="right"/>
    </w:pPr>
  </w:style>
  <w:style w:type="table" w:customStyle="1" w:styleId="CopyrightPage">
    <w:name w:val="Copyright Page"/>
    <w:basedOn w:val="OverviewPageBannerTableStyle"/>
    <w:uiPriority w:val="99"/>
    <w:rsid w:val="00A2287B"/>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A2287B"/>
    <w:pPr>
      <w:spacing w:line="312" w:lineRule="atLeast"/>
    </w:pPr>
  </w:style>
  <w:style w:type="paragraph" w:styleId="BodyText">
    <w:name w:val="Body Text"/>
    <w:basedOn w:val="Normal"/>
    <w:link w:val="BodyTextChar"/>
    <w:qFormat/>
    <w:rsid w:val="00A2287B"/>
  </w:style>
  <w:style w:type="character" w:customStyle="1" w:styleId="BodyTextChar">
    <w:name w:val="Body Text Char"/>
    <w:basedOn w:val="DefaultParagraphFont"/>
    <w:link w:val="BodyText"/>
    <w:rsid w:val="00A2287B"/>
    <w:rPr>
      <w:rFonts w:ascii="Open Sans" w:hAnsi="Open Sans"/>
      <w:sz w:val="20"/>
      <w:szCs w:val="20"/>
    </w:rPr>
  </w:style>
  <w:style w:type="paragraph" w:styleId="List4">
    <w:name w:val="List 4"/>
    <w:basedOn w:val="Normal"/>
    <w:uiPriority w:val="99"/>
    <w:semiHidden/>
    <w:rsid w:val="00A2287B"/>
    <w:pPr>
      <w:numPr>
        <w:ilvl w:val="3"/>
        <w:numId w:val="17"/>
      </w:numPr>
      <w:contextualSpacing/>
    </w:pPr>
  </w:style>
  <w:style w:type="paragraph" w:styleId="List3">
    <w:name w:val="List 3"/>
    <w:basedOn w:val="Normal"/>
    <w:uiPriority w:val="99"/>
    <w:semiHidden/>
    <w:rsid w:val="00A2287B"/>
    <w:pPr>
      <w:numPr>
        <w:ilvl w:val="2"/>
        <w:numId w:val="17"/>
      </w:numPr>
      <w:contextualSpacing/>
    </w:pPr>
  </w:style>
  <w:style w:type="paragraph" w:customStyle="1" w:styleId="Heading1-nonumber">
    <w:name w:val="Heading 1-no number"/>
    <w:basedOn w:val="Heading1"/>
    <w:next w:val="BodyText"/>
    <w:uiPriority w:val="9"/>
    <w:qFormat/>
    <w:rsid w:val="00A2287B"/>
    <w:pPr>
      <w:numPr>
        <w:numId w:val="0"/>
      </w:numPr>
      <w:ind w:left="567"/>
    </w:pPr>
  </w:style>
  <w:style w:type="paragraph" w:customStyle="1" w:styleId="ListAlpha1">
    <w:name w:val="List Alpha 1"/>
    <w:basedOn w:val="Normal"/>
    <w:uiPriority w:val="3"/>
    <w:qFormat/>
    <w:rsid w:val="00A2287B"/>
    <w:pPr>
      <w:numPr>
        <w:numId w:val="18"/>
      </w:numPr>
      <w:spacing w:before="60"/>
      <w:contextualSpacing/>
    </w:pPr>
  </w:style>
  <w:style w:type="paragraph" w:customStyle="1" w:styleId="ListAlpha2">
    <w:name w:val="List Alpha 2"/>
    <w:basedOn w:val="ListAlpha1"/>
    <w:uiPriority w:val="3"/>
    <w:qFormat/>
    <w:rsid w:val="00A2287B"/>
    <w:pPr>
      <w:numPr>
        <w:ilvl w:val="1"/>
      </w:numPr>
    </w:pPr>
  </w:style>
  <w:style w:type="paragraph" w:customStyle="1" w:styleId="ListAlpha3">
    <w:name w:val="List Alpha 3"/>
    <w:basedOn w:val="ListAlpha2"/>
    <w:uiPriority w:val="3"/>
    <w:qFormat/>
    <w:rsid w:val="00A2287B"/>
    <w:pPr>
      <w:numPr>
        <w:ilvl w:val="2"/>
      </w:numPr>
    </w:pPr>
  </w:style>
  <w:style w:type="paragraph" w:customStyle="1" w:styleId="ListAlpha4">
    <w:name w:val="List Alpha 4"/>
    <w:basedOn w:val="ListAlpha3"/>
    <w:uiPriority w:val="3"/>
    <w:semiHidden/>
    <w:qFormat/>
    <w:rsid w:val="00A2287B"/>
    <w:pPr>
      <w:numPr>
        <w:ilvl w:val="3"/>
      </w:numPr>
    </w:pPr>
  </w:style>
  <w:style w:type="numbering" w:customStyle="1" w:styleId="Alphalist">
    <w:name w:val="Alpha list"/>
    <w:uiPriority w:val="99"/>
    <w:rsid w:val="00A2287B"/>
    <w:pPr>
      <w:numPr>
        <w:numId w:val="9"/>
      </w:numPr>
    </w:pPr>
  </w:style>
  <w:style w:type="paragraph" w:customStyle="1" w:styleId="KeyPoints-Bold">
    <w:name w:val="Key Points-Bold"/>
    <w:basedOn w:val="Normal"/>
    <w:uiPriority w:val="10"/>
    <w:qFormat/>
    <w:rsid w:val="00A2287B"/>
    <w:pPr>
      <w:spacing w:before="40" w:after="60" w:line="274" w:lineRule="atLeast"/>
    </w:pPr>
    <w:rPr>
      <w:b/>
      <w:sz w:val="18"/>
    </w:rPr>
  </w:style>
  <w:style w:type="paragraph" w:customStyle="1" w:styleId="Copyrightpage-BodyBold">
    <w:name w:val="Copyright page-Body Bold"/>
    <w:basedOn w:val="Copyrightpage-BodyText"/>
    <w:uiPriority w:val="19"/>
    <w:rsid w:val="00A2287B"/>
    <w:rPr>
      <w:b/>
    </w:rPr>
  </w:style>
  <w:style w:type="paragraph" w:customStyle="1" w:styleId="KeyPoints-Bullet">
    <w:name w:val="Key Points-Bullet"/>
    <w:basedOn w:val="ListBullet"/>
    <w:uiPriority w:val="10"/>
    <w:qFormat/>
    <w:rsid w:val="00A2287B"/>
    <w:pPr>
      <w:spacing w:after="60" w:line="274" w:lineRule="atLeast"/>
    </w:pPr>
    <w:rPr>
      <w:sz w:val="18"/>
    </w:rPr>
  </w:style>
  <w:style w:type="paragraph" w:customStyle="1" w:styleId="BodyText-Grey">
    <w:name w:val="Body Text-Grey"/>
    <w:basedOn w:val="BodyText"/>
    <w:link w:val="BodyText-GreyChar"/>
    <w:semiHidden/>
    <w:qFormat/>
    <w:rsid w:val="00A2287B"/>
    <w:rPr>
      <w:color w:val="58585B"/>
    </w:rPr>
  </w:style>
  <w:style w:type="character" w:customStyle="1" w:styleId="BodyText-GreyChar">
    <w:name w:val="Body Text-Grey Char"/>
    <w:basedOn w:val="BodyTextChar"/>
    <w:link w:val="BodyText-Grey"/>
    <w:semiHidden/>
    <w:rsid w:val="00A2287B"/>
    <w:rPr>
      <w:rFonts w:ascii="Open Sans" w:hAnsi="Open Sans"/>
      <w:color w:val="58585B"/>
      <w:sz w:val="20"/>
      <w:szCs w:val="20"/>
    </w:rPr>
  </w:style>
  <w:style w:type="paragraph" w:styleId="BalloonText">
    <w:name w:val="Balloon Text"/>
    <w:basedOn w:val="Normal"/>
    <w:link w:val="BalloonTextChar"/>
    <w:uiPriority w:val="99"/>
    <w:semiHidden/>
    <w:unhideWhenUsed/>
    <w:rsid w:val="00A22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7B"/>
    <w:rPr>
      <w:rFonts w:ascii="Segoe UI" w:hAnsi="Segoe UI" w:cs="Segoe UI"/>
      <w:sz w:val="18"/>
      <w:szCs w:val="18"/>
    </w:rPr>
  </w:style>
  <w:style w:type="character" w:styleId="CommentReference">
    <w:name w:val="annotation reference"/>
    <w:basedOn w:val="DefaultParagraphFont"/>
    <w:uiPriority w:val="99"/>
    <w:semiHidden/>
    <w:unhideWhenUsed/>
    <w:rsid w:val="00A2287B"/>
    <w:rPr>
      <w:sz w:val="16"/>
      <w:szCs w:val="16"/>
    </w:rPr>
  </w:style>
  <w:style w:type="paragraph" w:styleId="CommentText">
    <w:name w:val="annotation text"/>
    <w:basedOn w:val="Normal"/>
    <w:link w:val="CommentTextChar"/>
    <w:uiPriority w:val="99"/>
    <w:unhideWhenUsed/>
    <w:rsid w:val="00A2287B"/>
    <w:pPr>
      <w:spacing w:line="240" w:lineRule="auto"/>
    </w:pPr>
  </w:style>
  <w:style w:type="character" w:customStyle="1" w:styleId="CommentTextChar">
    <w:name w:val="Comment Text Char"/>
    <w:basedOn w:val="DefaultParagraphFont"/>
    <w:link w:val="CommentText"/>
    <w:uiPriority w:val="99"/>
    <w:rsid w:val="00A2287B"/>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2287B"/>
    <w:rPr>
      <w:b/>
      <w:bCs/>
    </w:rPr>
  </w:style>
  <w:style w:type="character" w:customStyle="1" w:styleId="CommentSubjectChar">
    <w:name w:val="Comment Subject Char"/>
    <w:basedOn w:val="CommentTextChar"/>
    <w:link w:val="CommentSubject"/>
    <w:uiPriority w:val="99"/>
    <w:semiHidden/>
    <w:rsid w:val="00A2287B"/>
    <w:rPr>
      <w:rFonts w:ascii="Open Sans" w:hAnsi="Open Sans"/>
      <w:b/>
      <w:bCs/>
      <w:sz w:val="20"/>
      <w:szCs w:val="20"/>
    </w:rPr>
  </w:style>
  <w:style w:type="character" w:customStyle="1" w:styleId="ColourBlue">
    <w:name w:val="Colour Blue"/>
    <w:basedOn w:val="DefaultParagraphFont"/>
    <w:uiPriority w:val="22"/>
    <w:qFormat/>
    <w:rsid w:val="00A2287B"/>
    <w:rPr>
      <w:color w:val="2B9AC2" w:themeColor="text2"/>
    </w:rPr>
  </w:style>
  <w:style w:type="character" w:customStyle="1" w:styleId="ColourDarkBlue">
    <w:name w:val="Colour Dark Blue"/>
    <w:basedOn w:val="ColourBlue"/>
    <w:uiPriority w:val="22"/>
    <w:qFormat/>
    <w:rsid w:val="00A2287B"/>
    <w:rPr>
      <w:color w:val="265A9A" w:themeColor="background2"/>
    </w:rPr>
  </w:style>
  <w:style w:type="paragraph" w:customStyle="1" w:styleId="BodyText-Beforebullet">
    <w:name w:val="Body Text-Before bullet"/>
    <w:basedOn w:val="BodyText"/>
    <w:link w:val="BodyText-BeforebulletChar"/>
    <w:semiHidden/>
    <w:unhideWhenUsed/>
    <w:rsid w:val="00A2287B"/>
    <w:pPr>
      <w:spacing w:after="20"/>
    </w:pPr>
  </w:style>
  <w:style w:type="paragraph" w:customStyle="1" w:styleId="PullQuote">
    <w:name w:val="Pull Quote"/>
    <w:basedOn w:val="BodyText"/>
    <w:next w:val="BodyText"/>
    <w:uiPriority w:val="10"/>
    <w:qFormat/>
    <w:rsid w:val="00A2287B"/>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A2287B"/>
    <w:rPr>
      <w:rFonts w:ascii="Open Sans" w:hAnsi="Open Sans"/>
      <w:sz w:val="20"/>
      <w:szCs w:val="20"/>
    </w:rPr>
  </w:style>
  <w:style w:type="paragraph" w:customStyle="1" w:styleId="TableHeading">
    <w:name w:val="Table Heading"/>
    <w:basedOn w:val="NoSpacing"/>
    <w:link w:val="TableHeadingChar"/>
    <w:uiPriority w:val="4"/>
    <w:qFormat/>
    <w:rsid w:val="00A2287B"/>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A2287B"/>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A2287B"/>
    <w:pPr>
      <w:spacing w:before="60"/>
      <w:jc w:val="right"/>
    </w:pPr>
  </w:style>
  <w:style w:type="paragraph" w:customStyle="1" w:styleId="FigureTableSubheading">
    <w:name w:val="Figure/Table Subheading"/>
    <w:basedOn w:val="FigureTableHeading"/>
    <w:uiPriority w:val="4"/>
    <w:qFormat/>
    <w:rsid w:val="00A2287B"/>
    <w:pPr>
      <w:spacing w:before="40"/>
    </w:pPr>
    <w:rPr>
      <w:color w:val="58585B"/>
    </w:rPr>
  </w:style>
  <w:style w:type="table" w:customStyle="1" w:styleId="TextTable-Grey">
    <w:name w:val="Text Table-Grey"/>
    <w:basedOn w:val="Texttable-Paleblue"/>
    <w:uiPriority w:val="99"/>
    <w:rsid w:val="00A2287B"/>
    <w:rPr>
      <w:color w:val="265A9A" w:themeColor="background2"/>
    </w:rPr>
    <w:tblPr/>
    <w:tcPr>
      <w:shd w:val="clear" w:color="auto" w:fill="F2F2F2"/>
    </w:tcPr>
  </w:style>
  <w:style w:type="character" w:customStyle="1" w:styleId="BodyText-BlueChar">
    <w:name w:val="Body Text-Blue Char"/>
    <w:basedOn w:val="BodyTextChar"/>
    <w:link w:val="BodyText-Blue"/>
    <w:semiHidden/>
    <w:rsid w:val="00A2287B"/>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A2287B"/>
  </w:style>
  <w:style w:type="paragraph" w:customStyle="1" w:styleId="Heading1-nobackground">
    <w:name w:val="Heading 1-no background"/>
    <w:basedOn w:val="Heading1"/>
    <w:next w:val="BodyText"/>
    <w:uiPriority w:val="9"/>
    <w:qFormat/>
    <w:rsid w:val="00A2287B"/>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A2287B"/>
    <w:rPr>
      <w:rFonts w:ascii="Open Sans" w:hAnsi="Open Sans"/>
      <w:color w:val="58585B"/>
      <w:sz w:val="20"/>
      <w:szCs w:val="20"/>
    </w:rPr>
  </w:style>
  <w:style w:type="paragraph" w:customStyle="1" w:styleId="TableHeading-numbered">
    <w:name w:val="Table Heading-numbered"/>
    <w:basedOn w:val="Normal"/>
    <w:semiHidden/>
    <w:qFormat/>
    <w:rsid w:val="00A2287B"/>
    <w:pPr>
      <w:numPr>
        <w:numId w:val="24"/>
      </w:numPr>
      <w:spacing w:before="60"/>
      <w:contextualSpacing/>
    </w:pPr>
    <w:rPr>
      <w:b/>
      <w:color w:val="265A9A" w:themeColor="background2"/>
    </w:rPr>
  </w:style>
  <w:style w:type="numbering" w:customStyle="1" w:styleId="TableList">
    <w:name w:val="TableList"/>
    <w:uiPriority w:val="99"/>
    <w:rsid w:val="00A2287B"/>
    <w:pPr>
      <w:numPr>
        <w:numId w:val="24"/>
      </w:numPr>
    </w:pPr>
  </w:style>
  <w:style w:type="paragraph" w:customStyle="1" w:styleId="Footer-right">
    <w:name w:val="Footer-right"/>
    <w:basedOn w:val="Footer"/>
    <w:uiPriority w:val="11"/>
    <w:rsid w:val="00A2287B"/>
    <w:pPr>
      <w:jc w:val="right"/>
    </w:pPr>
    <w:rPr>
      <w:szCs w:val="24"/>
    </w:rPr>
  </w:style>
  <w:style w:type="paragraph" w:customStyle="1" w:styleId="Heading2-nonumber">
    <w:name w:val="Heading 2-no number"/>
    <w:basedOn w:val="Heading2"/>
    <w:uiPriority w:val="9"/>
    <w:qFormat/>
    <w:rsid w:val="00A2287B"/>
    <w:pPr>
      <w:numPr>
        <w:ilvl w:val="0"/>
        <w:numId w:val="0"/>
      </w:numPr>
    </w:pPr>
  </w:style>
  <w:style w:type="paragraph" w:customStyle="1" w:styleId="Heading-Appendix">
    <w:name w:val="Heading-Appendix"/>
    <w:basedOn w:val="Heading1-nonumber"/>
    <w:next w:val="BodyText"/>
    <w:uiPriority w:val="9"/>
    <w:qFormat/>
    <w:rsid w:val="00A2287B"/>
    <w:pPr>
      <w:numPr>
        <w:numId w:val="15"/>
      </w:numPr>
    </w:pPr>
  </w:style>
  <w:style w:type="numbering" w:customStyle="1" w:styleId="AppendixHeading">
    <w:name w:val="AppendixHeading"/>
    <w:uiPriority w:val="99"/>
    <w:rsid w:val="00A2287B"/>
    <w:pPr>
      <w:numPr>
        <w:numId w:val="11"/>
      </w:numPr>
    </w:pPr>
  </w:style>
  <w:style w:type="paragraph" w:customStyle="1" w:styleId="DraftingNote">
    <w:name w:val="Drafting Note"/>
    <w:basedOn w:val="BodyText"/>
    <w:link w:val="DraftingNoteChar"/>
    <w:qFormat/>
    <w:rsid w:val="00A2287B"/>
    <w:pPr>
      <w:contextualSpacing/>
    </w:pPr>
    <w:rPr>
      <w:color w:val="A22D2B"/>
      <w:sz w:val="24"/>
      <w:u w:val="dotted"/>
    </w:rPr>
  </w:style>
  <w:style w:type="character" w:customStyle="1" w:styleId="DraftingNoteChar">
    <w:name w:val="Drafting Note Char"/>
    <w:basedOn w:val="BodyTextChar"/>
    <w:link w:val="DraftingNote"/>
    <w:rsid w:val="00A2287B"/>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A2287B"/>
    <w:pPr>
      <w:spacing w:after="0"/>
    </w:pPr>
  </w:style>
  <w:style w:type="character" w:styleId="Emphasis">
    <w:name w:val="Emphasis"/>
    <w:basedOn w:val="DefaultParagraphFont"/>
    <w:uiPriority w:val="22"/>
    <w:qFormat/>
    <w:rsid w:val="00A2287B"/>
    <w:rPr>
      <w:i/>
      <w:iCs/>
    </w:rPr>
  </w:style>
  <w:style w:type="paragraph" w:customStyle="1" w:styleId="Reference">
    <w:name w:val="Reference"/>
    <w:basedOn w:val="BodyText"/>
    <w:qFormat/>
    <w:rsid w:val="00A2287B"/>
    <w:pPr>
      <w:spacing w:before="0" w:after="60" w:line="200" w:lineRule="exact"/>
    </w:pPr>
    <w:rPr>
      <w:sz w:val="16"/>
    </w:rPr>
  </w:style>
  <w:style w:type="paragraph" w:customStyle="1" w:styleId="Keypoints-heading">
    <w:name w:val="Key points-heading"/>
    <w:basedOn w:val="Heading3"/>
    <w:uiPriority w:val="10"/>
    <w:qFormat/>
    <w:rsid w:val="00A2287B"/>
    <w:rPr>
      <w:color w:val="auto"/>
    </w:rPr>
  </w:style>
  <w:style w:type="paragraph" w:customStyle="1" w:styleId="Heading2-Appendix">
    <w:name w:val="Heading 2-Appendix"/>
    <w:basedOn w:val="Heading2-nonumber"/>
    <w:next w:val="Normal"/>
    <w:uiPriority w:val="10"/>
    <w:qFormat/>
    <w:rsid w:val="00A2287B"/>
    <w:pPr>
      <w:numPr>
        <w:ilvl w:val="1"/>
        <w:numId w:val="15"/>
      </w:numPr>
    </w:pPr>
  </w:style>
  <w:style w:type="numbering" w:customStyle="1" w:styleId="AppendixHeadingList">
    <w:name w:val="Appendix Heading List"/>
    <w:uiPriority w:val="99"/>
    <w:rsid w:val="00A2287B"/>
    <w:pPr>
      <w:numPr>
        <w:numId w:val="10"/>
      </w:numPr>
    </w:pPr>
  </w:style>
  <w:style w:type="paragraph" w:customStyle="1" w:styleId="Space">
    <w:name w:val="Space"/>
    <w:basedOn w:val="BodyText"/>
    <w:uiPriority w:val="1"/>
    <w:rsid w:val="00A2287B"/>
    <w:pPr>
      <w:spacing w:before="0" w:after="0"/>
    </w:pPr>
  </w:style>
  <w:style w:type="paragraph" w:customStyle="1" w:styleId="QuoteBullet">
    <w:name w:val="Quote Bullet"/>
    <w:basedOn w:val="ListBullet"/>
    <w:link w:val="QuoteBulletChar"/>
    <w:uiPriority w:val="1"/>
    <w:qFormat/>
    <w:rsid w:val="00A2287B"/>
    <w:pPr>
      <w:spacing w:before="60"/>
      <w:ind w:left="340" w:right="851"/>
    </w:pPr>
    <w:rPr>
      <w:color w:val="58585B"/>
    </w:rPr>
  </w:style>
  <w:style w:type="character" w:customStyle="1" w:styleId="ListBulletChar">
    <w:name w:val="List Bullet Char"/>
    <w:basedOn w:val="DefaultParagraphFont"/>
    <w:link w:val="ListBullet"/>
    <w:uiPriority w:val="1"/>
    <w:rsid w:val="00A2287B"/>
    <w:rPr>
      <w:rFonts w:ascii="Open Sans" w:hAnsi="Open Sans"/>
      <w:sz w:val="20"/>
      <w:szCs w:val="20"/>
    </w:rPr>
  </w:style>
  <w:style w:type="character" w:customStyle="1" w:styleId="QuoteBulletChar">
    <w:name w:val="Quote Bullet Char"/>
    <w:basedOn w:val="ListBulletChar"/>
    <w:link w:val="QuoteBullet"/>
    <w:uiPriority w:val="1"/>
    <w:rsid w:val="00A2287B"/>
    <w:rPr>
      <w:rFonts w:ascii="Open Sans" w:hAnsi="Open Sans"/>
      <w:color w:val="58585B"/>
      <w:sz w:val="20"/>
      <w:szCs w:val="20"/>
    </w:rPr>
  </w:style>
  <w:style w:type="paragraph" w:customStyle="1" w:styleId="Figurecharttitle">
    <w:name w:val="Figure chart title"/>
    <w:basedOn w:val="BodyText"/>
    <w:uiPriority w:val="10"/>
    <w:qFormat/>
    <w:rsid w:val="00A2287B"/>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A2287B"/>
    <w:pPr>
      <w:spacing w:line="160" w:lineRule="exact"/>
    </w:pPr>
  </w:style>
  <w:style w:type="character" w:customStyle="1" w:styleId="PullQuoteNoSpacingChar">
    <w:name w:val="Pull Quote No Spacing Char"/>
    <w:basedOn w:val="NoSpacingChar"/>
    <w:link w:val="PullQuoteNoSpacing"/>
    <w:uiPriority w:val="10"/>
    <w:rsid w:val="00A2287B"/>
    <w:rPr>
      <w:rFonts w:ascii="Open Sans" w:hAnsi="Open Sans"/>
      <w:sz w:val="20"/>
      <w:szCs w:val="20"/>
    </w:rPr>
  </w:style>
  <w:style w:type="paragraph" w:customStyle="1" w:styleId="PullQuote-Indigenous">
    <w:name w:val="Pull Quote-Indigenous"/>
    <w:basedOn w:val="PullQuote"/>
    <w:uiPriority w:val="10"/>
    <w:qFormat/>
    <w:rsid w:val="00A2287B"/>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A2287B"/>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A2287B"/>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A2287B"/>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A2287B"/>
    <w:rPr>
      <w:rFonts w:ascii="Open Sans" w:hAnsi="Open Sans"/>
      <w:b/>
      <w:color w:val="265A9A" w:themeColor="background2"/>
      <w:sz w:val="20"/>
      <w:szCs w:val="20"/>
    </w:rPr>
  </w:style>
  <w:style w:type="character" w:styleId="Mention">
    <w:name w:val="Mention"/>
    <w:basedOn w:val="DefaultParagraphFont"/>
    <w:uiPriority w:val="99"/>
    <w:unhideWhenUsed/>
    <w:rsid w:val="004038E1"/>
    <w:rPr>
      <w:color w:val="2B579A"/>
      <w:shd w:val="clear" w:color="auto" w:fill="E1DFDD"/>
    </w:rPr>
  </w:style>
  <w:style w:type="character" w:styleId="FollowedHyperlink">
    <w:name w:val="FollowedHyperlink"/>
    <w:basedOn w:val="DefaultParagraphFont"/>
    <w:uiPriority w:val="99"/>
    <w:semiHidden/>
    <w:unhideWhenUsed/>
    <w:rsid w:val="00203363"/>
    <w:rPr>
      <w:color w:val="BFBFBF" w:themeColor="followedHyperlink"/>
      <w:u w:val="single"/>
    </w:rPr>
  </w:style>
  <w:style w:type="paragraph" w:customStyle="1" w:styleId="Subtitle4">
    <w:name w:val="Subtitle 4"/>
    <w:basedOn w:val="Copyrightpage-Heading"/>
    <w:link w:val="Subtitle4Char"/>
    <w:uiPriority w:val="39"/>
    <w:rsid w:val="00A450D6"/>
    <w:pPr>
      <w:spacing w:after="40"/>
    </w:pPr>
    <w:rPr>
      <w:b/>
      <w:sz w:val="16"/>
    </w:rPr>
  </w:style>
  <w:style w:type="character" w:customStyle="1" w:styleId="Subtitle4Char">
    <w:name w:val="Subtitle 4 Char"/>
    <w:basedOn w:val="Copyrightpage-HeadingChar"/>
    <w:link w:val="Subtitle4"/>
    <w:uiPriority w:val="39"/>
    <w:rsid w:val="00A450D6"/>
    <w:rPr>
      <w:rFonts w:ascii="Open Sans Semibold" w:hAnsi="Open Sans Semibold"/>
      <w:b/>
      <w:color w:val="1C4373" w:themeColor="background2" w:themeShade="BF"/>
      <w:spacing w:val="4"/>
      <w:sz w:val="16"/>
      <w:szCs w:val="18"/>
    </w:rPr>
  </w:style>
  <w:style w:type="paragraph" w:styleId="Bibliography">
    <w:name w:val="Bibliography"/>
    <w:basedOn w:val="Normal"/>
    <w:next w:val="Normal"/>
    <w:uiPriority w:val="37"/>
    <w:unhideWhenUsed/>
    <w:rsid w:val="00A450D6"/>
    <w:pPr>
      <w:spacing w:after="240" w:line="240" w:lineRule="atLeast"/>
      <w:ind w:left="720" w:hanging="720"/>
    </w:pPr>
  </w:style>
  <w:style w:type="character" w:styleId="EndnoteReference">
    <w:name w:val="endnote reference"/>
    <w:basedOn w:val="DefaultParagraphFont"/>
    <w:uiPriority w:val="99"/>
    <w:semiHidden/>
    <w:unhideWhenUsed/>
    <w:rsid w:val="00A450D6"/>
    <w:rPr>
      <w:vertAlign w:val="superscript"/>
    </w:rPr>
  </w:style>
  <w:style w:type="table" w:styleId="PlainTable4">
    <w:name w:val="Plain Table 4"/>
    <w:basedOn w:val="TableNormal"/>
    <w:uiPriority w:val="44"/>
    <w:rsid w:val="00A450D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Accent6">
    <w:name w:val="Grid Table 7 Colorful Accent 6"/>
    <w:basedOn w:val="TableNormal"/>
    <w:uiPriority w:val="52"/>
    <w:rsid w:val="000A2D7A"/>
    <w:pPr>
      <w:spacing w:after="0" w:line="240" w:lineRule="auto"/>
    </w:pPr>
    <w:rPr>
      <w:color w:val="3E1E55" w:themeColor="accent6" w:themeShade="BF"/>
    </w:rPr>
    <w:tblPr>
      <w:tblStyleRowBandSize w:val="1"/>
      <w:tblStyleColBandSize w:val="1"/>
      <w:tblBorders>
        <w:top w:val="single" w:sz="4" w:space="0" w:color="9D62C6" w:themeColor="accent6" w:themeTint="99"/>
        <w:left w:val="single" w:sz="4" w:space="0" w:color="9D62C6" w:themeColor="accent6" w:themeTint="99"/>
        <w:bottom w:val="single" w:sz="4" w:space="0" w:color="9D62C6" w:themeColor="accent6" w:themeTint="99"/>
        <w:right w:val="single" w:sz="4" w:space="0" w:color="9D62C6" w:themeColor="accent6" w:themeTint="99"/>
        <w:insideH w:val="single" w:sz="4" w:space="0" w:color="9D62C6" w:themeColor="accent6" w:themeTint="99"/>
        <w:insideV w:val="single" w:sz="4" w:space="0" w:color="9D62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CAEC" w:themeFill="accent6" w:themeFillTint="33"/>
      </w:tcPr>
    </w:tblStylePr>
    <w:tblStylePr w:type="band1Horz">
      <w:tblPr/>
      <w:tcPr>
        <w:shd w:val="clear" w:color="auto" w:fill="DECAEC" w:themeFill="accent6" w:themeFillTint="33"/>
      </w:tcPr>
    </w:tblStylePr>
    <w:tblStylePr w:type="neCell">
      <w:tblPr/>
      <w:tcPr>
        <w:tcBorders>
          <w:bottom w:val="single" w:sz="4" w:space="0" w:color="9D62C6" w:themeColor="accent6" w:themeTint="99"/>
        </w:tcBorders>
      </w:tcPr>
    </w:tblStylePr>
    <w:tblStylePr w:type="nwCell">
      <w:tblPr/>
      <w:tcPr>
        <w:tcBorders>
          <w:bottom w:val="single" w:sz="4" w:space="0" w:color="9D62C6" w:themeColor="accent6" w:themeTint="99"/>
        </w:tcBorders>
      </w:tcPr>
    </w:tblStylePr>
    <w:tblStylePr w:type="seCell">
      <w:tblPr/>
      <w:tcPr>
        <w:tcBorders>
          <w:top w:val="single" w:sz="4" w:space="0" w:color="9D62C6" w:themeColor="accent6" w:themeTint="99"/>
        </w:tcBorders>
      </w:tcPr>
    </w:tblStylePr>
    <w:tblStylePr w:type="swCell">
      <w:tblPr/>
      <w:tcPr>
        <w:tcBorders>
          <w:top w:val="single" w:sz="4" w:space="0" w:color="9D62C6" w:themeColor="accent6" w:themeTint="99"/>
        </w:tcBorders>
      </w:tcPr>
    </w:tblStylePr>
  </w:style>
  <w:style w:type="table" w:styleId="PlainTable3">
    <w:name w:val="Plain Table 3"/>
    <w:basedOn w:val="TableNormal"/>
    <w:uiPriority w:val="43"/>
    <w:rsid w:val="000A2D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0A2D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D95005"/>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customStyle="1" w:styleId="normaltextrun">
    <w:name w:val="normaltextrun"/>
    <w:basedOn w:val="DefaultParagraphFont"/>
    <w:rsid w:val="00D9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header" Target="header12.xml"/><Relationship Id="rId21" Type="http://schemas.openxmlformats.org/officeDocument/2006/relationships/hyperlink" Target="https://www.pc.gov.au" TargetMode="External"/><Relationship Id="rId34" Type="http://schemas.openxmlformats.org/officeDocument/2006/relationships/header" Target="header9.xml"/><Relationship Id="rId42" Type="http://schemas.openxmlformats.org/officeDocument/2006/relationships/image" Target="media/image7.emf"/><Relationship Id="rId47" Type="http://schemas.openxmlformats.org/officeDocument/2006/relationships/header" Target="header14.xml"/><Relationship Id="rId50" Type="http://schemas.openxmlformats.org/officeDocument/2006/relationships/image" Target="media/image12.svg"/><Relationship Id="rId55" Type="http://schemas.openxmlformats.org/officeDocument/2006/relationships/header" Target="header18.xml"/><Relationship Id="rId63"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pc.gov.au/inquiries-and-research/housing-supply" TargetMode="Externa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image" Target="media/image5.png"/><Relationship Id="rId45" Type="http://schemas.openxmlformats.org/officeDocument/2006/relationships/image" Target="media/image10.svg"/><Relationship Id="rId53" Type="http://schemas.openxmlformats.org/officeDocument/2006/relationships/footer" Target="footer10.xml"/><Relationship Id="rId58" Type="http://schemas.openxmlformats.org/officeDocument/2006/relationships/footer" Target="footer12.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image" Target="media/image8.emf"/><Relationship Id="rId48" Type="http://schemas.openxmlformats.org/officeDocument/2006/relationships/header" Target="header15.xml"/><Relationship Id="rId56" Type="http://schemas.openxmlformats.org/officeDocument/2006/relationships/header" Target="header19.xml"/><Relationship Id="rId8" Type="http://schemas.openxmlformats.org/officeDocument/2006/relationships/numbering" Target="numbering.xml"/><Relationship Id="rId51" Type="http://schemas.openxmlformats.org/officeDocument/2006/relationships/header" Target="header16.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footer" Target="footer9.xml"/><Relationship Id="rId46" Type="http://schemas.openxmlformats.org/officeDocument/2006/relationships/header" Target="header13.xml"/><Relationship Id="rId59" Type="http://schemas.openxmlformats.org/officeDocument/2006/relationships/footer" Target="footer13.xml"/><Relationship Id="rId20" Type="http://schemas.openxmlformats.org/officeDocument/2006/relationships/image" Target="media/image2.png"/><Relationship Id="rId41" Type="http://schemas.openxmlformats.org/officeDocument/2006/relationships/image" Target="media/image6.svg"/><Relationship Id="rId54" Type="http://schemas.openxmlformats.org/officeDocument/2006/relationships/footer" Target="footer11.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image" Target="media/image11.png"/><Relationship Id="rId57" Type="http://schemas.openxmlformats.org/officeDocument/2006/relationships/header" Target="header20.xml"/><Relationship Id="rId10" Type="http://schemas.openxmlformats.org/officeDocument/2006/relationships/settings" Target="settings.xml"/><Relationship Id="rId31" Type="http://schemas.openxmlformats.org/officeDocument/2006/relationships/header" Target="header8.xml"/><Relationship Id="rId44" Type="http://schemas.openxmlformats.org/officeDocument/2006/relationships/image" Target="media/image9.png"/><Relationship Id="rId52" Type="http://schemas.openxmlformats.org/officeDocument/2006/relationships/header" Target="header17.xml"/><Relationship Id="rId60"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FA56151844F979020595114D16358"/>
        <w:category>
          <w:name w:val="General"/>
          <w:gallery w:val="placeholder"/>
        </w:category>
        <w:types>
          <w:type w:val="bbPlcHdr"/>
        </w:types>
        <w:behaviors>
          <w:behavior w:val="content"/>
        </w:behaviors>
        <w:guid w:val="{F6F11A3F-03F5-4623-B1CC-64D9B2126CA3}"/>
      </w:docPartPr>
      <w:docPartBody>
        <w:p w:rsidR="00517EAE" w:rsidRDefault="00A805BD">
          <w:pPr>
            <w:pStyle w:val="249FA56151844F979020595114D16358"/>
          </w:pPr>
          <w:r w:rsidRPr="00A25715">
            <w:rPr>
              <w:i/>
              <w:iCs/>
            </w:rPr>
            <w:t>[Title]</w:t>
          </w:r>
        </w:p>
      </w:docPartBody>
    </w:docPart>
    <w:docPart>
      <w:docPartPr>
        <w:name w:val="550A43F2A6904F789E1F24274A1130EA"/>
        <w:category>
          <w:name w:val="General"/>
          <w:gallery w:val="placeholder"/>
        </w:category>
        <w:types>
          <w:type w:val="bbPlcHdr"/>
        </w:types>
        <w:behaviors>
          <w:behavior w:val="content"/>
        </w:behaviors>
        <w:guid w:val="{656BA356-412E-4A96-8451-8A1F981EA836}"/>
      </w:docPartPr>
      <w:docPartBody>
        <w:p w:rsidR="00517EAE" w:rsidRDefault="00A805BD">
          <w:pPr>
            <w:pStyle w:val="550A43F2A6904F789E1F24274A1130EA"/>
          </w:pPr>
          <w:r w:rsidRPr="00F2058B">
            <w:rPr>
              <w:highlight w:val="lightGray"/>
            </w:rPr>
            <w:t>[click to add text]</w:t>
          </w:r>
        </w:p>
      </w:docPartBody>
    </w:docPart>
    <w:docPart>
      <w:docPartPr>
        <w:name w:val="13443BB1BCA544ABA559CADEDC8531D2"/>
        <w:category>
          <w:name w:val="General"/>
          <w:gallery w:val="placeholder"/>
        </w:category>
        <w:types>
          <w:type w:val="bbPlcHdr"/>
        </w:types>
        <w:behaviors>
          <w:behavior w:val="content"/>
        </w:behaviors>
        <w:guid w:val="{7FD89880-08CF-4A89-B515-7A910CE2A0FC}"/>
      </w:docPartPr>
      <w:docPartBody>
        <w:p w:rsidR="00517EAE" w:rsidRDefault="00A805BD">
          <w:pPr>
            <w:pStyle w:val="13443BB1BCA544ABA559CADEDC8531D2"/>
          </w:pPr>
          <w:r w:rsidRPr="00201320">
            <w:rPr>
              <w:rStyle w:val="Strong"/>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altName w:val="Segoe UI"/>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78"/>
    <w:rsid w:val="000315DD"/>
    <w:rsid w:val="00040AEF"/>
    <w:rsid w:val="00084B28"/>
    <w:rsid w:val="000A6F27"/>
    <w:rsid w:val="000D2245"/>
    <w:rsid w:val="00283BF6"/>
    <w:rsid w:val="00304A0C"/>
    <w:rsid w:val="00383814"/>
    <w:rsid w:val="0048015E"/>
    <w:rsid w:val="00517EAE"/>
    <w:rsid w:val="00544255"/>
    <w:rsid w:val="00545F17"/>
    <w:rsid w:val="00613395"/>
    <w:rsid w:val="00675635"/>
    <w:rsid w:val="006A1792"/>
    <w:rsid w:val="006F318A"/>
    <w:rsid w:val="008C121F"/>
    <w:rsid w:val="00941E10"/>
    <w:rsid w:val="009500BB"/>
    <w:rsid w:val="00996A5B"/>
    <w:rsid w:val="009A26D3"/>
    <w:rsid w:val="009A39EB"/>
    <w:rsid w:val="009F6CF9"/>
    <w:rsid w:val="00A22B73"/>
    <w:rsid w:val="00A805BD"/>
    <w:rsid w:val="00AE4583"/>
    <w:rsid w:val="00B83BC7"/>
    <w:rsid w:val="00BB1825"/>
    <w:rsid w:val="00CA26D3"/>
    <w:rsid w:val="00CF2F1A"/>
    <w:rsid w:val="00D8605B"/>
    <w:rsid w:val="00D94D17"/>
    <w:rsid w:val="00DB0160"/>
    <w:rsid w:val="00DE075E"/>
    <w:rsid w:val="00E46837"/>
    <w:rsid w:val="00ED114A"/>
    <w:rsid w:val="00ED7FE0"/>
    <w:rsid w:val="00FA32FE"/>
    <w:rsid w:val="00FE1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BDE77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49FA56151844F979020595114D16358">
    <w:name w:val="249FA56151844F979020595114D16358"/>
  </w:style>
  <w:style w:type="paragraph" w:customStyle="1" w:styleId="550A43F2A6904F789E1F24274A1130EA">
    <w:name w:val="550A43F2A6904F789E1F24274A1130EA"/>
  </w:style>
  <w:style w:type="character" w:styleId="Strong">
    <w:name w:val="Strong"/>
    <w:basedOn w:val="DefaultParagraphFont"/>
    <w:uiPriority w:val="22"/>
    <w:qFormat/>
    <w:rsid w:val="00D94D17"/>
    <w:rPr>
      <w:rFonts w:asciiTheme="minorHAnsi" w:hAnsiTheme="minorHAnsi"/>
      <w:b/>
      <w:bCs/>
    </w:rPr>
  </w:style>
  <w:style w:type="paragraph" w:customStyle="1" w:styleId="13443BB1BCA544ABA559CADEDC8531D2">
    <w:name w:val="13443BB1BCA544ABA559CADEDC853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PC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ransformationConfigurations":[],"templateName":"prelims-draft report","templateDescription":"Prelims for draft inquiry and study reports","enableDocumentContentUpdater":false,"version":"2.0"}]]></TemplafyTemplate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MPWT-2140667901-101984</_dlc_DocId>
    <_dlc_DocIdUrl xmlns="20393cdf-440a-4521-8f19-00ba43423d00">
      <Url>https://pcgov.sharepoint.com/sites/sceteam/_layouts/15/DocIdRedir.aspx?ID=MPWT-2140667901-101984</Url>
      <Description>MPWT-2140667901-101984</Description>
    </_dlc_DocIdUrl>
  </documentManagement>
</p:properties>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718c7f5ba763b52b1ff0bb5affa80ce9">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fc0f677f85b0740acb43556af4b7a03a"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DCE8C-2FF2-479D-91C1-79A7A7683D3C}">
  <ds:schemaRefs/>
</ds:datastoreItem>
</file>

<file path=customXml/itemProps2.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3.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CF83FF9E-5E16-42B8-AF16-857F8E37A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186B008-04AC-490D-8867-1D397D2A12DA}">
  <ds:schemaRefs>
    <ds:schemaRef ds:uri="http://schemas.microsoft.com/sharepoint/events"/>
  </ds:schemaRefs>
</ds:datastoreItem>
</file>

<file path=customXml/itemProps7.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5</TotalTime>
  <Pages>24</Pages>
  <Words>10934</Words>
  <Characters>62325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Overview - Interim report - Housing supply regulation</vt:lpstr>
    </vt:vector>
  </TitlesOfParts>
  <Company>Productivity Commission</Company>
  <LinksUpToDate>false</LinksUpToDate>
  <CharactersWithSpaces>73113</CharactersWithSpaces>
  <SharedDoc>false</SharedDoc>
  <HLinks>
    <vt:vector size="30" baseType="variant">
      <vt:variant>
        <vt:i4>5636179</vt:i4>
      </vt:variant>
      <vt:variant>
        <vt:i4>1341</vt:i4>
      </vt:variant>
      <vt:variant>
        <vt:i4>0</vt:i4>
      </vt:variant>
      <vt:variant>
        <vt:i4>5</vt:i4>
      </vt:variant>
      <vt:variant>
        <vt:lpwstr>http://www.pc.gov.au/inquiries/current/housing-supply</vt:lpwstr>
      </vt:variant>
      <vt:variant>
        <vt:lpwstr/>
      </vt:variant>
      <vt:variant>
        <vt:i4>3604538</vt:i4>
      </vt:variant>
      <vt:variant>
        <vt:i4>9</vt:i4>
      </vt:variant>
      <vt:variant>
        <vt:i4>0</vt:i4>
      </vt:variant>
      <vt:variant>
        <vt:i4>5</vt:i4>
      </vt:variant>
      <vt:variant>
        <vt:lpwstr>https://www.pc.gov.au/inquiries-and-research/resilient-economy/</vt:lpwstr>
      </vt:variant>
      <vt:variant>
        <vt:lpwstr>final-report</vt:lpwstr>
      </vt:variant>
      <vt:variant>
        <vt:i4>2097256</vt:i4>
      </vt:variant>
      <vt:variant>
        <vt:i4>6</vt:i4>
      </vt:variant>
      <vt:variant>
        <vt:i4>0</vt:i4>
      </vt:variant>
      <vt:variant>
        <vt:i4>5</vt:i4>
      </vt:variant>
      <vt:variant>
        <vt:lpwstr>http://www.pc.gov.au/inquiries-and-research/housing-supply</vt:lpwstr>
      </vt:variant>
      <vt:variant>
        <vt:lpwstr/>
      </vt:variant>
      <vt:variant>
        <vt:i4>2883655</vt:i4>
      </vt:variant>
      <vt:variant>
        <vt:i4>3</vt:i4>
      </vt:variant>
      <vt:variant>
        <vt:i4>0</vt:i4>
      </vt:variant>
      <vt:variant>
        <vt:i4>5</vt:i4>
      </vt:variant>
      <vt:variant>
        <vt:lpwstr>mailto:publications@pc.gov.au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 Interim report - Housing supply regulation</dc:title>
  <dc:subject>Interim report</dc:subject>
  <dc:creator>Productivity Commission</dc:creator>
  <cp:keywords/>
  <dc:description/>
  <cp:lastModifiedBy>Chris Alston</cp:lastModifiedBy>
  <cp:revision>4</cp:revision>
  <cp:lastPrinted>2026-07-21T05:21:00Z</cp:lastPrinted>
  <dcterms:created xsi:type="dcterms:W3CDTF">2026-07-21T05:22:00Z</dcterms:created>
  <dcterms:modified xsi:type="dcterms:W3CDTF">2026-07-23T02:57:00Z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TemplafyTenantId">
    <vt:lpwstr>productivitycommission</vt:lpwstr>
  </property>
  <property fmtid="{D5CDD505-2E9C-101B-9397-08002B2CF9AE}" pid="6" name="TemplafyTemplateId">
    <vt:lpwstr>637629323326921041</vt:lpwstr>
  </property>
  <property fmtid="{D5CDD505-2E9C-101B-9397-08002B2CF9AE}" pid="7" name="TemplafyUserProfileId">
    <vt:lpwstr>637956860990638124</vt:lpwstr>
  </property>
  <property fmtid="{D5CDD505-2E9C-101B-9397-08002B2CF9AE}" pid="8" name="TemplafyFromBlank">
    <vt:bool>false</vt:bool>
  </property>
  <property fmtid="{D5CDD505-2E9C-101B-9397-08002B2CF9AE}" pid="9" name="MSIP_Label_c1f2b1ce-4212-46db-a901-dd8453f57141_Enabled">
    <vt:lpwstr>true</vt:lpwstr>
  </property>
  <property fmtid="{D5CDD505-2E9C-101B-9397-08002B2CF9AE}" pid="10" name="MSIP_Label_c1f2b1ce-4212-46db-a901-dd8453f57141_SetDate">
    <vt:lpwstr>2026-07-16T00:11:54Z</vt:lpwstr>
  </property>
  <property fmtid="{D5CDD505-2E9C-101B-9397-08002B2CF9AE}" pid="11" name="MSIP_Label_c1f2b1ce-4212-46db-a901-dd8453f57141_Method">
    <vt:lpwstr>Privileged</vt:lpwstr>
  </property>
  <property fmtid="{D5CDD505-2E9C-101B-9397-08002B2CF9AE}" pid="12" name="MSIP_Label_c1f2b1ce-4212-46db-a901-dd8453f57141_Name">
    <vt:lpwstr>Publish</vt:lpwstr>
  </property>
  <property fmtid="{D5CDD505-2E9C-101B-9397-08002B2CF9AE}" pid="13" name="MSIP_Label_c1f2b1ce-4212-46db-a901-dd8453f57141_SiteId">
    <vt:lpwstr>29f9330b-c0fe-4244-830e-ba9f275d6c34</vt:lpwstr>
  </property>
  <property fmtid="{D5CDD505-2E9C-101B-9397-08002B2CF9AE}" pid="14" name="MSIP_Label_c1f2b1ce-4212-46db-a901-dd8453f57141_ActionId">
    <vt:lpwstr>5229f225-bc23-4447-97f3-564d70e4ab7f</vt:lpwstr>
  </property>
  <property fmtid="{D5CDD505-2E9C-101B-9397-08002B2CF9AE}" pid="15" name="MSIP_Label_c1f2b1ce-4212-46db-a901-dd8453f57141_ContentBits">
    <vt:lpwstr>0</vt:lpwstr>
  </property>
  <property fmtid="{D5CDD505-2E9C-101B-9397-08002B2CF9AE}" pid="16" name="MSIP_Label_c1f2b1ce-4212-46db-a901-dd8453f57141_Tag">
    <vt:lpwstr>10, 0, 1, 1</vt:lpwstr>
  </property>
  <property fmtid="{D5CDD505-2E9C-101B-9397-08002B2CF9AE}" pid="17" name="ZOTERO_PREF_1">
    <vt:lpwstr>&lt;data data-version="3" zotero-version="9.0.6"&gt;&lt;session id="d5T1O1x6"/&gt;&lt;style id="http://www.zotero.org/styles/Productivity-Commission" hasBibliography="1" bibliographyStyleHasBeenSet="1"/&gt;&lt;prefs&gt;&lt;pref name="fieldType" value="Field"/&gt;&lt;pref name="automaticJ</vt:lpwstr>
  </property>
  <property fmtid="{D5CDD505-2E9C-101B-9397-08002B2CF9AE}" pid="18" name="ZOTERO_PREF_2">
    <vt:lpwstr>ournalAbbreviations" value="true"/&gt;&lt;/prefs&gt;&lt;/data&gt;</vt:lpwstr>
  </property>
  <property fmtid="{D5CDD505-2E9C-101B-9397-08002B2CF9AE}" pid="19" name="_dlc_DocIdItemGuid">
    <vt:lpwstr>dfdd3149-016d-423c-b966-c41360f4332e</vt:lpwstr>
  </property>
</Properties>
</file>