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4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63B5B" w14:textId="4768E7C1" w:rsidR="007C4AB5" w:rsidRPr="00A2287B" w:rsidRDefault="007C4AB5" w:rsidP="009F70DA">
      <w:pPr>
        <w:pStyle w:val="Title"/>
        <w:ind w:right="1418"/>
        <w:contextualSpacing w:val="0"/>
      </w:pPr>
      <w:r w:rsidRPr="00292290">
        <w:t xml:space="preserve">Housing </w:t>
      </w:r>
      <w:r w:rsidR="00051F3A" w:rsidRPr="00292290">
        <w:t>s</w:t>
      </w:r>
      <w:r w:rsidRPr="00292290">
        <w:t xml:space="preserve">upply </w:t>
      </w:r>
      <w:r w:rsidR="00051F3A" w:rsidRPr="00292290">
        <w:t>r</w:t>
      </w:r>
      <w:r w:rsidRPr="00292290">
        <w:t>egulation</w:t>
      </w:r>
    </w:p>
    <w:sdt>
      <w:sdtPr>
        <w:rPr>
          <w:rFonts w:ascii="Open Sans" w:eastAsiaTheme="minorHAnsi" w:hAnsi="Open Sans" w:cstheme="minorBidi"/>
          <w:color w:val="auto"/>
          <w:kern w:val="0"/>
          <w:sz w:val="20"/>
          <w:szCs w:val="20"/>
        </w:rPr>
        <w:id w:val="-228914026"/>
        <w:docPartObj>
          <w:docPartGallery w:val="Cover Pages"/>
          <w:docPartUnique/>
        </w:docPartObj>
      </w:sdtPr>
      <w:sdtEndPr>
        <w:rPr>
          <w:rStyle w:val="White"/>
          <w:b/>
          <w:color w:val="FFFFFF" w:themeColor="background1"/>
        </w:rPr>
      </w:sdtEndPr>
      <w:sdtContent>
        <w:p w14:paraId="5BC66D47" w14:textId="24DAC0BC" w:rsidR="00B302FA" w:rsidRPr="00292290" w:rsidRDefault="00AB66AE" w:rsidP="00D359B1">
          <w:pPr>
            <w:pStyle w:val="Title"/>
            <w:rPr>
              <w:rStyle w:val="SubtitleChar"/>
            </w:rPr>
          </w:pPr>
          <w:r w:rsidRPr="00292290">
            <w:rPr>
              <w:rStyle w:val="SubtitleChar"/>
            </w:rPr>
            <w:t>I</w:t>
          </w:r>
          <w:r w:rsidR="00A25715" w:rsidRPr="00292290">
            <w:rPr>
              <w:rStyle w:val="SubtitleChar"/>
            </w:rPr>
            <w:t xml:space="preserve">nterim </w:t>
          </w:r>
          <w:r w:rsidR="007453FC" w:rsidRPr="00292290">
            <w:rPr>
              <w:rStyle w:val="SubtitleChar"/>
            </w:rPr>
            <w:t>report</w:t>
          </w:r>
        </w:p>
        <w:p w14:paraId="665B2A56" w14:textId="2A9FAED2" w:rsidR="007C11E5" w:rsidRPr="009F70DA" w:rsidRDefault="00DC346E" w:rsidP="009F70DA">
          <w:pPr>
            <w:pStyle w:val="BodyText"/>
          </w:pPr>
          <w:r w:rsidRPr="009F70DA">
            <w:rPr>
              <w:noProof/>
            </w:rPr>
            <mc:AlternateContent>
              <mc:Choice Requires="wps">
                <w:drawing>
                  <wp:anchor distT="0" distB="0" distL="114300" distR="114300" simplePos="0" relativeHeight="251658241" behindDoc="0" locked="0" layoutInCell="1" allowOverlap="1" wp14:anchorId="294FBECB" wp14:editId="041DD9B1">
                    <wp:simplePos x="0" y="0"/>
                    <wp:positionH relativeFrom="margin">
                      <wp:align>left</wp:align>
                    </wp:positionH>
                    <wp:positionV relativeFrom="margin">
                      <wp:posOffset>7278461</wp:posOffset>
                    </wp:positionV>
                    <wp:extent cx="2232992" cy="89798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232992" cy="897980"/>
                            </a:xfrm>
                            <a:prstGeom prst="rect">
                              <a:avLst/>
                            </a:prstGeom>
                            <a:solidFill>
                              <a:srgbClr val="E7F6FD"/>
                            </a:solidFill>
                            <a:ln w="6350">
                              <a:noFill/>
                            </a:ln>
                          </wps:spPr>
                          <wps:txbx>
                            <w:txbxContent>
                              <w:p w14:paraId="077545CB" w14:textId="0F7E2C3D" w:rsidR="00A25715" w:rsidRPr="0066040A" w:rsidRDefault="00A25715" w:rsidP="00EA2F19">
                                <w:pPr>
                                  <w:pStyle w:val="CoverdisclaimerwhiteCover"/>
                                  <w:rPr>
                                    <w:color w:val="1C4373" w:themeColor="background2" w:themeShade="BF"/>
                                    <w:lang w:val="en-AU"/>
                                  </w:rPr>
                                </w:pPr>
                                <w:r w:rsidRPr="0066040A">
                                  <w:rPr>
                                    <w:color w:val="1C4373" w:themeColor="background2" w:themeShade="BF"/>
                                    <w:lang w:val="en-AU"/>
                                  </w:rPr>
                                  <w:t xml:space="preserve">This is </w:t>
                                </w:r>
                                <w:r w:rsidR="00051F3A" w:rsidRPr="0066040A">
                                  <w:rPr>
                                    <w:color w:val="1C4373" w:themeColor="background2" w:themeShade="BF"/>
                                    <w:lang w:val="en-AU"/>
                                  </w:rPr>
                                  <w:t>an interim</w:t>
                                </w:r>
                                <w:r w:rsidRPr="0066040A">
                                  <w:rPr>
                                    <w:color w:val="1C4373" w:themeColor="background2" w:themeShade="BF"/>
                                    <w:lang w:val="en-AU"/>
                                  </w:rPr>
                                  <w:t xml:space="preserve"> report prepared for further public consultation and input. The </w:t>
                                </w:r>
                                <w:r w:rsidR="00DD2F67" w:rsidRPr="0066040A">
                                  <w:rPr>
                                    <w:color w:val="1C4373" w:themeColor="background2" w:themeShade="BF"/>
                                    <w:lang w:val="en-AU"/>
                                  </w:rPr>
                                  <w:t>PC</w:t>
                                </w:r>
                                <w:r w:rsidRPr="0066040A">
                                  <w:rPr>
                                    <w:color w:val="1C4373" w:themeColor="background2" w:themeShade="BF"/>
                                    <w:lang w:val="en-AU"/>
                                  </w:rPr>
                                  <w:t xml:space="preserve"> will finalise its report after these processes have taken place.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FBECB" id="_x0000_t202" coordsize="21600,21600" o:spt="202" path="m,l,21600r21600,l21600,xe">
                    <v:stroke joinstyle="miter"/>
                    <v:path gradientshapeok="t" o:connecttype="rect"/>
                  </v:shapetype>
                  <v:shape id="Text Box 15" o:spid="_x0000_s1026" type="#_x0000_t202" style="position:absolute;margin-left:0;margin-top:573.1pt;width:175.85pt;height:70.7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" fillcolor="#e7f6fd" stroked="f" strokeweight=".5pt">
                    <v:textbox>
                      <w:txbxContent>
                        <w:p w14:paraId="077545CB" w14:textId="0F7E2C3D" w:rsidR="00A25715" w:rsidRPr="0066040A" w:rsidRDefault="00A25715" w:rsidP="00EA2F19">
                          <w:pPr>
                            <w:pStyle w:val="CoverdisclaimerwhiteCover"/>
                            <w:rPr>
                              <w:color w:val="1C4373" w:themeColor="background2" w:themeShade="BF"/>
                              <w:lang w:val="en-AU"/>
                            </w:rPr>
                          </w:pPr>
                          <w:r w:rsidRPr="0066040A">
                            <w:rPr>
                              <w:color w:val="1C4373" w:themeColor="background2" w:themeShade="BF"/>
                              <w:lang w:val="en-AU"/>
                            </w:rPr>
                            <w:t xml:space="preserve">This is </w:t>
                          </w:r>
                          <w:r w:rsidR="00051F3A" w:rsidRPr="0066040A">
                            <w:rPr>
                              <w:color w:val="1C4373" w:themeColor="background2" w:themeShade="BF"/>
                              <w:lang w:val="en-AU"/>
                            </w:rPr>
                            <w:t>an interim</w:t>
                          </w:r>
                          <w:r w:rsidRPr="0066040A">
                            <w:rPr>
                              <w:color w:val="1C4373" w:themeColor="background2" w:themeShade="BF"/>
                              <w:lang w:val="en-AU"/>
                            </w:rPr>
                            <w:t xml:space="preserve"> report prepared for further public consultation and input. The </w:t>
                          </w:r>
                          <w:r w:rsidR="00DD2F67" w:rsidRPr="0066040A">
                            <w:rPr>
                              <w:color w:val="1C4373" w:themeColor="background2" w:themeShade="BF"/>
                              <w:lang w:val="en-AU"/>
                            </w:rPr>
                            <w:t>PC</w:t>
                          </w:r>
                          <w:r w:rsidRPr="0066040A">
                            <w:rPr>
                              <w:color w:val="1C4373" w:themeColor="background2" w:themeShade="BF"/>
                              <w:lang w:val="en-AU"/>
                            </w:rPr>
                            <w:t xml:space="preserve"> will finalise its report after these processes have taken place.</w:t>
                          </w:r>
                        </w:p>
                      </w:txbxContent>
                    </v:textbox>
                    <w10:wrap anchorx="margin" anchory="margin"/>
                  </v:shape>
                </w:pict>
              </mc:Fallback>
            </mc:AlternateContent>
          </w:r>
          <w:r w:rsidRPr="009F70DA">
            <w:rPr>
              <w:noProof/>
            </w:rPr>
            <mc:AlternateContent>
              <mc:Choice Requires="wps">
                <w:drawing>
                  <wp:anchor distT="0" distB="0" distL="114300" distR="114300" simplePos="0" relativeHeight="251658242" behindDoc="0" locked="0" layoutInCell="1" allowOverlap="1" wp14:anchorId="681B397C" wp14:editId="3E761C28">
                    <wp:simplePos x="0" y="0"/>
                    <wp:positionH relativeFrom="margin">
                      <wp:posOffset>4308573</wp:posOffset>
                    </wp:positionH>
                    <wp:positionV relativeFrom="margin">
                      <wp:posOffset>7892415</wp:posOffset>
                    </wp:positionV>
                    <wp:extent cx="1799590" cy="276860"/>
                    <wp:effectExtent l="0" t="0" r="0" b="0"/>
                    <wp:wrapNone/>
                    <wp:docPr id="1536576944" name="Text Box 1536576944"/>
                    <wp:cNvGraphicFramePr/>
                    <a:graphic xmlns:a="http://schemas.openxmlformats.org/drawingml/2006/main">
                      <a:graphicData uri="http://schemas.microsoft.com/office/word/2010/wordprocessingShape">
                        <wps:wsp>
                          <wps:cNvSpPr txBox="1"/>
                          <wps:spPr>
                            <a:xfrm>
                              <a:off x="0" y="0"/>
                              <a:ext cx="1799590" cy="276860"/>
                            </a:xfrm>
                            <a:prstGeom prst="rect">
                              <a:avLst/>
                            </a:prstGeom>
                            <a:noFill/>
                            <a:ln w="6350">
                              <a:noFill/>
                            </a:ln>
                          </wps:spPr>
                          <wps:txbx>
                            <w:txbxContent>
                              <w:p w14:paraId="47E568D5" w14:textId="5355A1D1" w:rsidR="00AD0025" w:rsidRPr="00B825C3" w:rsidRDefault="00B559FF" w:rsidP="00EA2F19">
                                <w:pPr>
                                  <w:pStyle w:val="Coverdate"/>
                                  <w:rPr>
                                    <w:b/>
                                    <w:color w:val="E0F1F7" w:themeColor="accent1" w:themeTint="33"/>
                                  </w:rPr>
                                </w:pPr>
                                <w:r w:rsidRPr="00B825C3">
                                  <w:rPr>
                                    <w:b/>
                                    <w:color w:val="E0F1F7" w:themeColor="accent1" w:themeTint="33"/>
                                  </w:rPr>
                                  <w:t>July</w:t>
                                </w:r>
                                <w:r w:rsidR="00AD0025" w:rsidRPr="00B825C3">
                                  <w:rPr>
                                    <w:b/>
                                    <w:color w:val="E0F1F7" w:themeColor="accent1" w:themeTint="33"/>
                                  </w:rPr>
                                  <w:t xml:space="preserve"> </w:t>
                                </w:r>
                                <w:r w:rsidRPr="00B825C3">
                                  <w:rPr>
                                    <w:b/>
                                    <w:color w:val="E0F1F7" w:themeColor="accent1" w:themeTint="33"/>
                                  </w:rPr>
                                  <w:t>2026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B397C" id="Text Box 1536576944" o:spid="_x0000_s1027" type="#_x0000_t202" style="position:absolute;margin-left:339.25pt;margin-top:621.45pt;width:141.7pt;height:21.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" filled="f" stroked="f" strokeweight=".5pt">
                    <v:textbox>
                      <w:txbxContent>
                        <w:p w14:paraId="47E568D5" w14:textId="5355A1D1" w:rsidR="00AD0025" w:rsidRPr="00B825C3" w:rsidRDefault="00B559FF" w:rsidP="00EA2F19">
                          <w:pPr>
                            <w:pStyle w:val="Coverdate"/>
                            <w:rPr>
                              <w:b/>
                              <w:color w:val="E0F1F7" w:themeColor="accent1" w:themeTint="33"/>
                            </w:rPr>
                          </w:pPr>
                          <w:r w:rsidRPr="00B825C3">
                            <w:rPr>
                              <w:b/>
                              <w:color w:val="E0F1F7" w:themeColor="accent1" w:themeTint="33"/>
                            </w:rPr>
                            <w:t>July</w:t>
                          </w:r>
                          <w:r w:rsidR="00AD0025" w:rsidRPr="00B825C3">
                            <w:rPr>
                              <w:b/>
                              <w:color w:val="E0F1F7" w:themeColor="accent1" w:themeTint="33"/>
                            </w:rPr>
                            <w:t xml:space="preserve"> </w:t>
                          </w:r>
                          <w:r w:rsidRPr="00B825C3">
                            <w:rPr>
                              <w:b/>
                              <w:color w:val="E0F1F7" w:themeColor="accent1" w:themeTint="33"/>
                            </w:rPr>
                            <w:t>2026</w:t>
                          </w:r>
                        </w:p>
                      </w:txbxContent>
                    </v:textbox>
                    <w10:wrap anchorx="margin" anchory="margin"/>
                  </v:shape>
                </w:pict>
              </mc:Fallback>
            </mc:AlternateContent>
          </w:r>
        </w:p>
        <w:p w14:paraId="52741483" w14:textId="77777777" w:rsidR="00B302FA" w:rsidRPr="009F70DA" w:rsidRDefault="00B302FA" w:rsidP="009F70DA">
          <w:pPr>
            <w:pStyle w:val="BodyText"/>
            <w:sectPr w:rsidR="00B302FA" w:rsidRPr="009F70DA" w:rsidSect="002E3F19">
              <w:headerReference w:type="even" r:id="rId14"/>
              <w:headerReference w:type="default" r:id="rId15"/>
              <w:footerReference w:type="even" r:id="rId16"/>
              <w:footerReference w:type="default" r:id="rId17"/>
              <w:headerReference w:type="first" r:id="rId18"/>
              <w:footerReference w:type="first" r:id="rId19"/>
              <w:pgSz w:w="11906" w:h="16838" w:code="9"/>
              <w:pgMar w:top="2835" w:right="1134" w:bottom="1134" w:left="1134" w:header="624" w:footer="510" w:gutter="0"/>
              <w:pgNumType w:fmt="lowerRoman"/>
              <w:cols w:space="708"/>
              <w:titlePg/>
              <w:docGrid w:linePitch="360"/>
            </w:sectPr>
          </w:pPr>
        </w:p>
        <w:tbl>
          <w:tblPr>
            <w:tblStyle w:val="CopyrightPage"/>
            <w:tblW w:w="0" w:type="auto"/>
            <w:shd w:val="clear" w:color="auto" w:fill="E7F6FD"/>
            <w:tblLook w:val="04A0" w:firstRow="1" w:lastRow="0" w:firstColumn="1" w:lastColumn="0" w:noHBand="0" w:noVBand="1"/>
          </w:tblPr>
          <w:tblGrid>
            <w:gridCol w:w="9638"/>
          </w:tblGrid>
          <w:tr w:rsidR="00C31E23" w:rsidRPr="00B87306" w14:paraId="4F84FE3E" w14:textId="77777777" w:rsidTr="00BA2796">
            <w:trPr>
              <w:trHeight w:hRule="exact" w:val="12756"/>
            </w:trPr>
            <w:tc>
              <w:tcPr>
                <w:tcW w:w="9638" w:type="dxa"/>
                <w:shd w:val="clear" w:color="auto" w:fill="E7F6FD"/>
                <w:tcMar>
                  <w:top w:w="340" w:type="dxa"/>
                </w:tcMar>
                <w:vAlign w:val="top"/>
              </w:tcPr>
              <w:p w14:paraId="4A43B550" w14:textId="77777777" w:rsidR="00682373" w:rsidRPr="000429D1" w:rsidRDefault="00B302FA" w:rsidP="00044DBB">
                <w:pPr>
                  <w:pStyle w:val="Copyrightpage-Heading"/>
                  <w:spacing w:before="120"/>
                </w:pPr>
                <w:r w:rsidRPr="000429D1">
                  <w:rPr>
                    <w:rStyle w:val="White"/>
                  </w:rPr>
                  <w:lastRenderedPageBreak/>
                  <w:br w:type="page"/>
                </w:r>
                <w:r w:rsidR="00682373" w:rsidRPr="000429D1">
                  <w:t>Acknowledgment of Country</w:t>
                </w:r>
              </w:p>
              <w:p w14:paraId="228FA218" w14:textId="77777777" w:rsidR="00682373" w:rsidRPr="000429D1" w:rsidRDefault="00682373" w:rsidP="00682373">
                <w:pPr>
                  <w:pStyle w:val="Copyrightpage-BodyBold"/>
                  <w:ind w:right="-284"/>
                  <w:rPr>
                    <w:rFonts w:cs="Arial"/>
                    <w:b w:val="0"/>
                    <w:bCs/>
                    <w:color w:val="auto"/>
                    <w:spacing w:val="2"/>
                  </w:rPr>
                </w:pPr>
                <w:r w:rsidRPr="000429D1">
                  <w:rPr>
                    <w:rFonts w:cs="Arial"/>
                    <w:b w:val="0"/>
                    <w:bCs/>
                    <w:noProof/>
                    <w:color w:val="auto"/>
                  </w:rPr>
                  <w:drawing>
                    <wp:anchor distT="0" distB="0" distL="114300" distR="114300" simplePos="0" relativeHeight="251658240" behindDoc="0" locked="0" layoutInCell="1" allowOverlap="1" wp14:anchorId="7638DD4C" wp14:editId="40F65DA6">
                      <wp:simplePos x="0" y="0"/>
                      <wp:positionH relativeFrom="column">
                        <wp:posOffset>0</wp:posOffset>
                      </wp:positionH>
                      <wp:positionV relativeFrom="paragraph">
                        <wp:posOffset>-36195</wp:posOffset>
                      </wp:positionV>
                      <wp:extent cx="630000" cy="640800"/>
                      <wp:effectExtent l="0" t="0" r="0" b="6985"/>
                      <wp:wrapSquare wrapText="right"/>
                      <wp:docPr id="4740902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90232"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640800"/>
                              </a:xfrm>
                              <a:prstGeom prst="rect">
                                <a:avLst/>
                              </a:prstGeom>
                            </pic:spPr>
                          </pic:pic>
                        </a:graphicData>
                      </a:graphic>
                      <wp14:sizeRelH relativeFrom="margin">
                        <wp14:pctWidth>0</wp14:pctWidth>
                      </wp14:sizeRelH>
                      <wp14:sizeRelV relativeFrom="margin">
                        <wp14:pctHeight>0</wp14:pctHeight>
                      </wp14:sizeRelV>
                    </wp:anchor>
                  </w:drawing>
                </w:r>
                <w:r w:rsidRPr="000429D1">
                  <w:rPr>
                    <w:rFonts w:cs="Arial"/>
                    <w:b w:val="0"/>
                    <w:bCs/>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7B4A3900" w14:textId="77777777" w:rsidR="00682373" w:rsidRPr="000429D1" w:rsidRDefault="00682373" w:rsidP="00682373">
                <w:pPr>
                  <w:pStyle w:val="Copyrightpage-Keylinenotext"/>
                  <w:ind w:right="-284"/>
                  <w:rPr>
                    <w:color w:val="auto"/>
                  </w:rPr>
                </w:pPr>
              </w:p>
              <w:p w14:paraId="69799D5F" w14:textId="77777777" w:rsidR="00C31E23" w:rsidRPr="000429D1" w:rsidRDefault="00BE5E7E" w:rsidP="00BE5E7E">
                <w:pPr>
                  <w:pStyle w:val="Copyrightpage-Heading"/>
                </w:pPr>
                <w:r w:rsidRPr="000429D1">
                  <w:t>About us</w:t>
                </w:r>
              </w:p>
              <w:p w14:paraId="799746C3" w14:textId="70F891CE" w:rsidR="00C31E23" w:rsidRPr="000429D1" w:rsidRDefault="00C31E23" w:rsidP="00BE5E7E">
                <w:pPr>
                  <w:pStyle w:val="Copyrightpage-BodyText"/>
                  <w:rPr>
                    <w:spacing w:val="2"/>
                  </w:rPr>
                </w:pPr>
                <w:r w:rsidRPr="000429D1">
                  <w:rPr>
                    <w:spacing w:val="2"/>
                  </w:rPr>
                  <w:t xml:space="preserve">The </w:t>
                </w:r>
                <w:r w:rsidR="00434A53" w:rsidRPr="000429D1">
                  <w:rPr>
                    <w:spacing w:val="2"/>
                  </w:rPr>
                  <w:t xml:space="preserve">PC </w:t>
                </w:r>
                <w:r w:rsidRPr="000429D1">
                  <w:rPr>
                    <w:spacing w:val="2"/>
                  </w:rPr>
                  <w:t xml:space="preserve">is the Australian Government’s independent research and advisory body on a range of economic, social and environmental issues affecting the welfare of Australians. Its role, expressed most simply, is to help governments make better policies, in the </w:t>
                </w:r>
                <w:r w:rsidR="00BE5E7E" w:rsidRPr="000429D1">
                  <w:rPr>
                    <w:spacing w:val="2"/>
                  </w:rPr>
                  <w:t>long</w:t>
                </w:r>
                <w:r w:rsidR="00D12A05">
                  <w:rPr>
                    <w:spacing w:val="2"/>
                  </w:rPr>
                  <w:noBreakHyphen/>
                </w:r>
                <w:r w:rsidR="00BE5E7E" w:rsidRPr="000429D1">
                  <w:rPr>
                    <w:spacing w:val="2"/>
                  </w:rPr>
                  <w:t>term</w:t>
                </w:r>
                <w:r w:rsidRPr="000429D1">
                  <w:rPr>
                    <w:spacing w:val="2"/>
                  </w:rPr>
                  <w:t xml:space="preserve"> interest of the Australian community.</w:t>
                </w:r>
              </w:p>
              <w:p w14:paraId="3B828D58" w14:textId="77777777" w:rsidR="00C31E23" w:rsidRPr="000429D1" w:rsidRDefault="00C31E23" w:rsidP="00BE5E7E">
                <w:pPr>
                  <w:pStyle w:val="Copyrightpage-BodyText"/>
                </w:pPr>
                <w:r w:rsidRPr="000429D1">
                  <w:t xml:space="preserve">The </w:t>
                </w:r>
                <w:r w:rsidR="00BE5E7E" w:rsidRPr="000429D1">
                  <w:t>PC’s</w:t>
                </w:r>
                <w:r w:rsidRPr="000429D1">
                  <w:t xml:space="preserve"> independence is underpinned by an Act of Parliament. Its processes and outputs are open to public scrutiny and are driven by concern for the wellbeing of the </w:t>
                </w:r>
                <w:proofErr w:type="gramStart"/>
                <w:r w:rsidRPr="000429D1">
                  <w:t>community as a whole</w:t>
                </w:r>
                <w:proofErr w:type="gramEnd"/>
                <w:r w:rsidRPr="000429D1">
                  <w:t>.</w:t>
                </w:r>
              </w:p>
              <w:p w14:paraId="1A752F08" w14:textId="77777777" w:rsidR="00C31E23" w:rsidRPr="000429D1" w:rsidRDefault="00682373" w:rsidP="00BE5E7E">
                <w:pPr>
                  <w:pStyle w:val="Copyrightpage-BodyText"/>
                  <w:rPr>
                    <w:u w:val="single"/>
                  </w:rPr>
                </w:pPr>
                <w:r w:rsidRPr="000429D1">
                  <w:t>For more</w:t>
                </w:r>
                <w:r w:rsidR="00C31E23" w:rsidRPr="000429D1">
                  <w:t xml:space="preserve"> information </w:t>
                </w:r>
                <w:r w:rsidRPr="000429D1">
                  <w:t xml:space="preserve">visit our </w:t>
                </w:r>
                <w:r w:rsidR="00C31E23" w:rsidRPr="000429D1">
                  <w:t>website</w:t>
                </w:r>
                <w:r w:rsidRPr="000429D1">
                  <w:t xml:space="preserve">: </w:t>
                </w:r>
                <w:hyperlink r:id="rId21" w:history="1">
                  <w:r w:rsidR="00C31E23" w:rsidRPr="000429D1">
                    <w:rPr>
                      <w:rStyle w:val="Hyperlink"/>
                    </w:rPr>
                    <w:t>www.pc.gov.au</w:t>
                  </w:r>
                </w:hyperlink>
                <w:r w:rsidR="00C31E23" w:rsidRPr="000429D1">
                  <w:rPr>
                    <w:u w:val="single"/>
                  </w:rPr>
                  <w:t>.</w:t>
                </w:r>
              </w:p>
              <w:p w14:paraId="1C99F304" w14:textId="77777777" w:rsidR="00C31E23" w:rsidRPr="000429D1" w:rsidRDefault="00C31E23" w:rsidP="00BE5E7E">
                <w:pPr>
                  <w:pStyle w:val="Copyrightpage-Keylinenotext"/>
                  <w:ind w:right="-284"/>
                  <w:rPr>
                    <w:b/>
                    <w:bCs/>
                    <w:color w:val="auto"/>
                  </w:rPr>
                </w:pPr>
              </w:p>
              <w:p w14:paraId="590CA144" w14:textId="77777777" w:rsidR="00C31E23" w:rsidRPr="000429D1" w:rsidRDefault="00C31E23" w:rsidP="00A84F65">
                <w:pPr>
                  <w:pStyle w:val="Copyrightpage-BodyText"/>
                  <w:spacing w:before="0"/>
                </w:pPr>
                <w:r w:rsidRPr="000429D1">
                  <w:t>© Commonwealth of Australia 202</w:t>
                </w:r>
                <w:r w:rsidR="00D20B05" w:rsidRPr="000429D1">
                  <w:t>6</w:t>
                </w:r>
              </w:p>
              <w:p w14:paraId="54938C1D" w14:textId="77777777" w:rsidR="00C31E23" w:rsidRPr="000429D1" w:rsidRDefault="00C31E23" w:rsidP="00BE5E7E">
                <w:pPr>
                  <w:pStyle w:val="Copyrightpage-Heading2"/>
                  <w:spacing w:before="0"/>
                  <w:ind w:right="-284"/>
                  <w:rPr>
                    <w:bCs/>
                    <w:color w:val="auto"/>
                  </w:rPr>
                </w:pPr>
                <w:r w:rsidRPr="000429D1">
                  <w:rPr>
                    <w:bCs/>
                    <w:noProof/>
                  </w:rPr>
                  <w:drawing>
                    <wp:inline distT="0" distB="0" distL="0" distR="0" wp14:anchorId="1CA98808" wp14:editId="3FAE69C9">
                      <wp:extent cx="774000" cy="270000"/>
                      <wp:effectExtent l="0" t="0" r="7620" b="0"/>
                      <wp:docPr id="6" name="Graphic 5" descr="CC BY logo">
                        <a:extLst xmlns:a="http://schemas.openxmlformats.org/drawingml/2006/main">
                          <a:ext uri="{FF2B5EF4-FFF2-40B4-BE49-F238E27FC236}">
                            <a16:creationId xmlns:a16="http://schemas.microsoft.com/office/drawing/2014/main" id="{F54E5013-412A-4F91-9DD3-DA71DB1337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descr="CC BY logo">
                                <a:extLst>
                                  <a:ext uri="{FF2B5EF4-FFF2-40B4-BE49-F238E27FC236}">
                                    <a16:creationId xmlns:a16="http://schemas.microsoft.com/office/drawing/2014/main" id="{F54E5013-412A-4F91-9DD3-DA71DB1337DF}"/>
                                  </a:ext>
                                </a:extLst>
                              </pic:cNvPr>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774000" cy="270000"/>
                              </a:xfrm>
                              <a:prstGeom prst="rect">
                                <a:avLst/>
                              </a:prstGeom>
                            </pic:spPr>
                          </pic:pic>
                        </a:graphicData>
                      </a:graphic>
                    </wp:inline>
                  </w:drawing>
                </w:r>
              </w:p>
              <w:p w14:paraId="3B730948" w14:textId="77777777" w:rsidR="00C31E23" w:rsidRPr="000429D1" w:rsidRDefault="00C31E23" w:rsidP="00BE5E7E">
                <w:pPr>
                  <w:pStyle w:val="Copyrightpage-BodyText"/>
                  <w:rPr>
                    <w:spacing w:val="-2"/>
                  </w:rPr>
                </w:pPr>
                <w:proofErr w:type="gramStart"/>
                <w:r w:rsidRPr="000429D1">
                  <w:rPr>
                    <w:spacing w:val="-2"/>
                  </w:rPr>
                  <w:t>With the exception of</w:t>
                </w:r>
                <w:proofErr w:type="gramEnd"/>
                <w:r w:rsidRPr="000429D1">
                  <w:rPr>
                    <w:spacing w:val="-2"/>
                  </w:rPr>
                  <w:t xml:space="preserve"> the Commonwealth Coat of Arms and content supplied by third parties, this copyright work is licensed under a Creative Commons Attribution</w:t>
                </w:r>
                <w:r w:rsidR="007C4801" w:rsidRPr="000429D1">
                  <w:rPr>
                    <w:spacing w:val="-2"/>
                  </w:rPr>
                  <w:t> </w:t>
                </w:r>
                <w:r w:rsidRPr="000429D1">
                  <w:rPr>
                    <w:spacing w:val="-2"/>
                  </w:rPr>
                  <w:t xml:space="preserve">4.0 International licence. In essence, you are free to copy, communicate and adapt the work, </w:t>
                </w:r>
                <w:proofErr w:type="gramStart"/>
                <w:r w:rsidRPr="000429D1">
                  <w:rPr>
                    <w:spacing w:val="-2"/>
                  </w:rPr>
                  <w:t>as long as</w:t>
                </w:r>
                <w:proofErr w:type="gramEnd"/>
                <w:r w:rsidRPr="000429D1">
                  <w:rPr>
                    <w:spacing w:val="-2"/>
                  </w:rPr>
                  <w:t xml:space="preserve"> you attribute the work to the </w:t>
                </w:r>
                <w:r w:rsidR="00BE5E7E" w:rsidRPr="000429D1">
                  <w:rPr>
                    <w:spacing w:val="-2"/>
                  </w:rPr>
                  <w:t xml:space="preserve">PC </w:t>
                </w:r>
                <w:r w:rsidRPr="000429D1">
                  <w:rPr>
                    <w:spacing w:val="-2"/>
                  </w:rPr>
                  <w:t xml:space="preserve">(but not in any way that suggests the </w:t>
                </w:r>
                <w:r w:rsidR="00BE5E7E" w:rsidRPr="000429D1">
                  <w:rPr>
                    <w:spacing w:val="-2"/>
                  </w:rPr>
                  <w:t>PC</w:t>
                </w:r>
                <w:r w:rsidRPr="000429D1">
                  <w:rPr>
                    <w:spacing w:val="-2"/>
                  </w:rPr>
                  <w:t xml:space="preserve"> endorses you or your use) and abide by the other licence terms. The licence can be viewed at: https://creativecommons.org/licenses/by/4.0.</w:t>
                </w:r>
              </w:p>
              <w:p w14:paraId="4737D357" w14:textId="3C6D4FC3" w:rsidR="00C31E23" w:rsidRPr="000429D1" w:rsidRDefault="00C31E23" w:rsidP="00BE5E7E">
                <w:pPr>
                  <w:pStyle w:val="Copyrightpage-BodyText"/>
                </w:pPr>
                <w:r w:rsidRPr="000429D1">
                  <w:t>The terms under which the Coat of Arms can be used are detailed at: www.pmc.gov.au/government/commonwealth</w:t>
                </w:r>
                <w:r w:rsidR="00D12A05">
                  <w:noBreakHyphen/>
                </w:r>
                <w:r w:rsidRPr="000429D1">
                  <w:t>coat</w:t>
                </w:r>
                <w:r w:rsidR="00D12A05">
                  <w:noBreakHyphen/>
                </w:r>
                <w:r w:rsidRPr="000429D1">
                  <w:t>arms.</w:t>
                </w:r>
              </w:p>
              <w:p w14:paraId="43B395AF" w14:textId="77777777" w:rsidR="00C31E23" w:rsidRPr="000429D1" w:rsidRDefault="00C31E23" w:rsidP="00BE5E7E">
                <w:pPr>
                  <w:pStyle w:val="Copyrightpage-BodyText"/>
                </w:pPr>
                <w:r w:rsidRPr="000429D1">
                  <w:t>Wherever a third party holds copyright in this material the copyright remains with that party. Their permission may be required to use the material, please contact them directly.</w:t>
                </w:r>
              </w:p>
              <w:p w14:paraId="5B8235B0" w14:textId="6B4376C2" w:rsidR="00C31E23" w:rsidRPr="00044DBB" w:rsidRDefault="00C31E23" w:rsidP="00BE5E7E">
                <w:pPr>
                  <w:pStyle w:val="Copyrightpage-BodyText"/>
                  <w:rPr>
                    <w:spacing w:val="-4"/>
                  </w:rPr>
                </w:pPr>
                <w:r w:rsidRPr="000429D1">
                  <w:t>An appropriate reference for this publication is:</w:t>
                </w:r>
                <w:r w:rsidRPr="000429D1">
                  <w:br/>
                </w:r>
                <w:r w:rsidR="00A25715" w:rsidRPr="00044DBB">
                  <w:rPr>
                    <w:spacing w:val="-4"/>
                  </w:rPr>
                  <w:t xml:space="preserve">Productivity Commission 2026, </w:t>
                </w:r>
                <w:sdt>
                  <w:sdtPr>
                    <w:rPr>
                      <w:i/>
                      <w:iCs/>
                      <w:spacing w:val="-4"/>
                    </w:rPr>
                    <w:alias w:val="Title"/>
                    <w:id w:val="93518128"/>
                    <w:placeholder>
                      <w:docPart w:val="249FA56151844F979020595114D16358"/>
                    </w:placeholder>
                    <w:dataBinding w:prefixMappings="xmlns:ns0='http://purl.org/dc/elements/1.1/' xmlns:ns1='http://schemas.openxmlformats.org/package/2006/metadata/core-properties' " w:xpath="/ns1:coreProperties[1]/ns0:title[1]" w:storeItemID="{6C3C8BC8-F283-45AE-878A-BAB7291924A1}"/>
                    <w:text/>
                  </w:sdtPr>
                  <w:sdtContent>
                    <w:r w:rsidR="001035CF">
                      <w:rPr>
                        <w:i/>
                        <w:iCs/>
                        <w:spacing w:val="-4"/>
                      </w:rPr>
                      <w:t>Interim report - Housing supply regulation</w:t>
                    </w:r>
                  </w:sdtContent>
                </w:sdt>
                <w:r w:rsidR="00A25715" w:rsidRPr="00044DBB">
                  <w:rPr>
                    <w:spacing w:val="-4"/>
                  </w:rPr>
                  <w:t xml:space="preserve">, </w:t>
                </w:r>
                <w:r w:rsidR="00EE6BE2" w:rsidRPr="00044DBB">
                  <w:rPr>
                    <w:spacing w:val="-4"/>
                  </w:rPr>
                  <w:t>Interim</w:t>
                </w:r>
                <w:r w:rsidR="00A25715" w:rsidRPr="00044DBB">
                  <w:rPr>
                    <w:spacing w:val="-4"/>
                  </w:rPr>
                  <w:t xml:space="preserve"> report, Canberra, </w:t>
                </w:r>
                <w:r w:rsidR="00884008" w:rsidRPr="00044DBB">
                  <w:rPr>
                    <w:spacing w:val="-4"/>
                  </w:rPr>
                  <w:t>July.</w:t>
                </w:r>
              </w:p>
              <w:p w14:paraId="2D5275FC" w14:textId="77777777" w:rsidR="00C31E23" w:rsidRPr="00BB23C3" w:rsidRDefault="00C31E23" w:rsidP="00BE5E7E">
                <w:pPr>
                  <w:pStyle w:val="Copyrightpage-BodyText"/>
                  <w:rPr>
                    <w:lang w:val="fr-CA"/>
                  </w:rPr>
                </w:pPr>
                <w:r w:rsidRPr="00BB23C3">
                  <w:rPr>
                    <w:lang w:val="fr-CA"/>
                  </w:rPr>
                  <w:t xml:space="preserve">Publication enquiries: </w:t>
                </w:r>
                <w:r w:rsidRPr="00BB23C3">
                  <w:rPr>
                    <w:lang w:val="fr-CA"/>
                  </w:rPr>
                  <w:br/>
                </w:r>
                <w:r w:rsidR="00390E05" w:rsidRPr="00BB23C3">
                  <w:rPr>
                    <w:lang w:val="fr-CA"/>
                  </w:rPr>
                  <w:t>P</w:t>
                </w:r>
                <w:r w:rsidRPr="00BB23C3">
                  <w:rPr>
                    <w:lang w:val="fr-CA"/>
                  </w:rPr>
                  <w:t xml:space="preserve">hone 03 9653 2244 | </w:t>
                </w:r>
                <w:proofErr w:type="gramStart"/>
                <w:r w:rsidRPr="00BB23C3">
                  <w:rPr>
                    <w:lang w:val="fr-CA"/>
                  </w:rPr>
                  <w:t>email</w:t>
                </w:r>
                <w:proofErr w:type="gramEnd"/>
                <w:r w:rsidRPr="00BB23C3">
                  <w:rPr>
                    <w:lang w:val="fr-CA"/>
                  </w:rPr>
                  <w:t xml:space="preserve"> </w:t>
                </w:r>
                <w:hyperlink r:id="rId24" w:history="1">
                  <w:r w:rsidR="001E2FE4" w:rsidRPr="00BB23C3">
                    <w:rPr>
                      <w:lang w:val="fr-CA"/>
                    </w:rPr>
                    <w:t>publications@pc.gov.au</w:t>
                  </w:r>
                </w:hyperlink>
              </w:p>
            </w:tc>
          </w:tr>
        </w:tbl>
        <w:p w14:paraId="3C1A651E" w14:textId="77777777" w:rsidR="00E74787" w:rsidRPr="000429D1" w:rsidRDefault="00000000" w:rsidP="00DA3017">
          <w:pPr>
            <w:spacing w:before="0" w:after="160" w:line="259" w:lineRule="auto"/>
            <w:rPr>
              <w:rStyle w:val="White"/>
              <w:b/>
            </w:rPr>
            <w:sectPr w:rsidR="00E74787" w:rsidRPr="000429D1" w:rsidSect="00C138F6">
              <w:headerReference w:type="even" r:id="rId25"/>
              <w:headerReference w:type="default" r:id="rId26"/>
              <w:footerReference w:type="even" r:id="rId27"/>
              <w:footerReference w:type="default" r:id="rId28"/>
              <w:headerReference w:type="first" r:id="rId29"/>
              <w:pgSz w:w="11906" w:h="16838" w:code="9"/>
              <w:pgMar w:top="1134" w:right="1134" w:bottom="1134" w:left="1134" w:header="794" w:footer="510" w:gutter="0"/>
              <w:pgNumType w:fmt="lowerRoman"/>
              <w:cols w:space="708"/>
              <w:docGrid w:linePitch="360"/>
            </w:sectPr>
          </w:pPr>
        </w:p>
      </w:sdtContent>
    </w:sdt>
    <w:tbl>
      <w:tblPr>
        <w:tblStyle w:val="NoBorderwithPadding"/>
        <w:tblW w:w="0" w:type="auto"/>
        <w:shd w:val="clear" w:color="auto" w:fill="2B9AC2" w:themeFill="text2"/>
        <w:tblLook w:val="04A0" w:firstRow="1" w:lastRow="0" w:firstColumn="1" w:lastColumn="0" w:noHBand="0" w:noVBand="1"/>
      </w:tblPr>
      <w:tblGrid>
        <w:gridCol w:w="9638"/>
      </w:tblGrid>
      <w:tr w:rsidR="00A25715" w:rsidRPr="000429D1" w14:paraId="442986A6" w14:textId="77777777" w:rsidTr="00EE6BE2">
        <w:trPr>
          <w:trHeight w:hRule="exact" w:val="12756"/>
        </w:trPr>
        <w:tc>
          <w:tcPr>
            <w:tcW w:w="9638" w:type="dxa"/>
            <w:shd w:val="clear" w:color="auto" w:fill="F4F5F6"/>
          </w:tcPr>
          <w:p w14:paraId="5BA60C82" w14:textId="77777777" w:rsidR="00A25715" w:rsidRPr="000429D1" w:rsidRDefault="00A25715">
            <w:pPr>
              <w:pStyle w:val="Heading1-nobackground"/>
            </w:pPr>
            <w:bookmarkStart w:id="0" w:name="_Toc132456074"/>
            <w:bookmarkStart w:id="1" w:name="_Toc235103132"/>
            <w:r w:rsidRPr="000429D1">
              <w:lastRenderedPageBreak/>
              <w:t>Opportunity for comment</w:t>
            </w:r>
            <w:bookmarkEnd w:id="0"/>
            <w:bookmarkEnd w:id="1"/>
          </w:p>
          <w:p w14:paraId="7A194BF0" w14:textId="7C224315" w:rsidR="00AE2B62" w:rsidRPr="000429D1" w:rsidRDefault="00147720">
            <w:pPr>
              <w:pStyle w:val="BodyText"/>
            </w:pPr>
            <w:r w:rsidRPr="000429D1">
              <w:t>The P</w:t>
            </w:r>
            <w:r w:rsidR="00250171">
              <w:t>roductivity Commission</w:t>
            </w:r>
            <w:r w:rsidRPr="000429D1">
              <w:t xml:space="preserve"> thanks all participants for their contribution to this inquiry and now seeks additional input for the final report.</w:t>
            </w:r>
          </w:p>
          <w:p w14:paraId="00ECA3EF" w14:textId="1EE12CF7" w:rsidR="00097AB9" w:rsidRPr="000429D1" w:rsidRDefault="00147720">
            <w:pPr>
              <w:pStyle w:val="BodyText"/>
            </w:pPr>
            <w:r w:rsidRPr="000429D1">
              <w:t xml:space="preserve">You are invited to examine this interim report and comment on it by written submission to the PC, preferably in electronic format, by </w:t>
            </w:r>
            <w:r w:rsidRPr="00B44F5E">
              <w:rPr>
                <w:b/>
                <w:bCs/>
              </w:rPr>
              <w:t>30</w:t>
            </w:r>
            <w:r w:rsidR="00D12A05" w:rsidRPr="00B44F5E">
              <w:rPr>
                <w:b/>
                <w:bCs/>
              </w:rPr>
              <w:t> </w:t>
            </w:r>
            <w:r w:rsidRPr="00B44F5E">
              <w:rPr>
                <w:b/>
                <w:bCs/>
              </w:rPr>
              <w:t>September 202</w:t>
            </w:r>
            <w:r w:rsidR="00B57413" w:rsidRPr="00B44F5E">
              <w:rPr>
                <w:b/>
                <w:bCs/>
              </w:rPr>
              <w:t>6</w:t>
            </w:r>
            <w:r w:rsidRPr="000429D1">
              <w:t>.</w:t>
            </w:r>
          </w:p>
          <w:p w14:paraId="67B0369F" w14:textId="4935AF45" w:rsidR="00A76089" w:rsidRPr="000429D1" w:rsidRDefault="00147720">
            <w:pPr>
              <w:pStyle w:val="BodyText"/>
            </w:pPr>
            <w:r w:rsidRPr="000429D1">
              <w:t xml:space="preserve">Further information on how to provide a submission is included on the website: </w:t>
            </w:r>
            <w:hyperlink r:id="rId30" w:history="1">
              <w:r w:rsidR="00B44F5E" w:rsidRPr="00B458DF">
                <w:rPr>
                  <w:rStyle w:val="Hyperlink"/>
                </w:rPr>
                <w:t>www.pc.gov.au/inquiries-and-research/housing-supply</w:t>
              </w:r>
            </w:hyperlink>
            <w:r w:rsidR="00044DBB">
              <w:t>.</w:t>
            </w:r>
          </w:p>
          <w:p w14:paraId="45930939" w14:textId="5A27BBCA" w:rsidR="00A25715" w:rsidRPr="000429D1" w:rsidRDefault="00147720">
            <w:pPr>
              <w:pStyle w:val="BodyText"/>
            </w:pPr>
            <w:r w:rsidRPr="000429D1">
              <w:t>The PC will prepare the final report after further submissions have been received, and it will hold further discussions with participants.</w:t>
            </w:r>
          </w:p>
          <w:p w14:paraId="321ADF55" w14:textId="4443A707" w:rsidR="00A25715" w:rsidRPr="000429D1" w:rsidRDefault="00A25715" w:rsidP="00B1209F">
            <w:pPr>
              <w:pStyle w:val="Heading2-noTOC"/>
            </w:pPr>
            <w:r w:rsidRPr="000429D1">
              <w:t>Commissioners</w:t>
            </w:r>
          </w:p>
          <w:p w14:paraId="083D2E56" w14:textId="5B196DC0" w:rsidR="00A25715" w:rsidRPr="000429D1" w:rsidRDefault="00A25715">
            <w:pPr>
              <w:pStyle w:val="BodyText"/>
            </w:pPr>
            <w:r w:rsidRPr="000429D1">
              <w:t xml:space="preserve">For the purposes of this inquiry and </w:t>
            </w:r>
            <w:r w:rsidR="00B44F5E">
              <w:t>interim</w:t>
            </w:r>
            <w:r w:rsidRPr="000429D1">
              <w:t xml:space="preserve"> report, in accordance with section</w:t>
            </w:r>
            <w:r w:rsidR="00D12A05">
              <w:t> </w:t>
            </w:r>
            <w:r w:rsidRPr="000429D1">
              <w:t xml:space="preserve">40 of the </w:t>
            </w:r>
            <w:r w:rsidRPr="000429D1">
              <w:rPr>
                <w:i/>
              </w:rPr>
              <w:t>Productivity Commission Act 1998</w:t>
            </w:r>
            <w:r w:rsidRPr="000429D1">
              <w:t xml:space="preserve"> the powers of the PC have been exercised by:</w:t>
            </w:r>
          </w:p>
          <w:tbl>
            <w:tblPr>
              <w:tblW w:w="0" w:type="auto"/>
              <w:tblLook w:val="01E0" w:firstRow="1" w:lastRow="1" w:firstColumn="1" w:lastColumn="1" w:noHBand="0" w:noVBand="0"/>
            </w:tblPr>
            <w:tblGrid>
              <w:gridCol w:w="1987"/>
              <w:gridCol w:w="6802"/>
            </w:tblGrid>
            <w:tr w:rsidR="00A25715" w:rsidRPr="000429D1" w14:paraId="5C26469E" w14:textId="77777777" w:rsidTr="00044DBB">
              <w:tc>
                <w:tcPr>
                  <w:tcW w:w="1987" w:type="dxa"/>
                  <w:tcMar>
                    <w:left w:w="0" w:type="dxa"/>
                    <w:right w:w="0" w:type="dxa"/>
                  </w:tcMar>
                </w:tcPr>
                <w:p w14:paraId="2E2740E1" w14:textId="51C6C4FB" w:rsidR="00A25715" w:rsidRPr="000429D1" w:rsidRDefault="008C7E73">
                  <w:pPr>
                    <w:pStyle w:val="BodyText"/>
                  </w:pPr>
                  <w:r w:rsidRPr="000429D1">
                    <w:t>Danielle Wood</w:t>
                  </w:r>
                </w:p>
              </w:tc>
              <w:tc>
                <w:tcPr>
                  <w:tcW w:w="6802" w:type="dxa"/>
                </w:tcPr>
                <w:p w14:paraId="32F0D4F3" w14:textId="511D3784" w:rsidR="00A25715" w:rsidRPr="000429D1" w:rsidRDefault="00044DBB">
                  <w:pPr>
                    <w:pStyle w:val="BodyText"/>
                  </w:pPr>
                  <w:r>
                    <w:t>Chair</w:t>
                  </w:r>
                </w:p>
              </w:tc>
            </w:tr>
            <w:tr w:rsidR="00A25715" w:rsidRPr="000429D1" w14:paraId="2207D022" w14:textId="77777777" w:rsidTr="00044DBB">
              <w:tc>
                <w:tcPr>
                  <w:tcW w:w="1987" w:type="dxa"/>
                  <w:tcMar>
                    <w:left w:w="0" w:type="dxa"/>
                    <w:right w:w="0" w:type="dxa"/>
                  </w:tcMar>
                </w:tcPr>
                <w:p w14:paraId="436FFB28" w14:textId="02B737AA" w:rsidR="00A25715" w:rsidRPr="000429D1" w:rsidRDefault="008C7E73">
                  <w:pPr>
                    <w:pStyle w:val="BodyText"/>
                  </w:pPr>
                  <w:r w:rsidRPr="000429D1">
                    <w:t>Alison Roberts</w:t>
                  </w:r>
                </w:p>
              </w:tc>
              <w:tc>
                <w:tcPr>
                  <w:tcW w:w="6802" w:type="dxa"/>
                </w:tcPr>
                <w:p w14:paraId="3A030C9E" w14:textId="77777777" w:rsidR="00A25715" w:rsidRPr="000429D1" w:rsidRDefault="00A25715">
                  <w:pPr>
                    <w:pStyle w:val="BodyText"/>
                  </w:pPr>
                  <w:r w:rsidRPr="000429D1">
                    <w:t>Commissioner</w:t>
                  </w:r>
                </w:p>
              </w:tc>
            </w:tr>
          </w:tbl>
          <w:p w14:paraId="20C86DD0" w14:textId="77777777" w:rsidR="00A25715" w:rsidRPr="000429D1" w:rsidRDefault="00A25715">
            <w:pPr>
              <w:pStyle w:val="BodyText"/>
            </w:pPr>
          </w:p>
        </w:tc>
      </w:tr>
    </w:tbl>
    <w:p w14:paraId="081F7017" w14:textId="77777777" w:rsidR="00E76EEC" w:rsidRPr="000429D1" w:rsidRDefault="00E76EEC" w:rsidP="00E76EEC">
      <w:pPr>
        <w:pStyle w:val="BodyText"/>
        <w:sectPr w:rsidR="00E76EEC" w:rsidRPr="000429D1" w:rsidSect="00E76EEC">
          <w:headerReference w:type="even" r:id="rId31"/>
          <w:headerReference w:type="default" r:id="rId32"/>
          <w:footerReference w:type="even" r:id="rId33"/>
          <w:footerReference w:type="default" r:id="rId34"/>
          <w:headerReference w:type="first" r:id="rId35"/>
          <w:type w:val="oddPage"/>
          <w:pgSz w:w="11906" w:h="16838" w:code="9"/>
          <w:pgMar w:top="1134" w:right="1134" w:bottom="1134" w:left="1134" w:header="794" w:footer="510" w:gutter="0"/>
          <w:pgNumType w:fmt="lowerRoman" w:start="2"/>
          <w:cols w:space="708"/>
          <w:docGrid w:linePitch="360"/>
        </w:sectPr>
      </w:pPr>
    </w:p>
    <w:p w14:paraId="391BD768" w14:textId="3F5EF5E4" w:rsidR="00E76EEC" w:rsidRPr="000429D1" w:rsidRDefault="00E76EEC" w:rsidP="00095C5D">
      <w:pPr>
        <w:pStyle w:val="Heading1-nobackground"/>
      </w:pPr>
      <w:bookmarkStart w:id="2" w:name="_Toc235103133"/>
      <w:r w:rsidRPr="000429D1">
        <w:lastRenderedPageBreak/>
        <w:t>Terms of reference</w:t>
      </w:r>
      <w:bookmarkEnd w:id="2"/>
    </w:p>
    <w:p w14:paraId="6A19A432" w14:textId="5F019BBB" w:rsidR="006A41FD" w:rsidRPr="000429D1" w:rsidRDefault="00E76EEC" w:rsidP="006A41FD">
      <w:r w:rsidRPr="000429D1">
        <w:t xml:space="preserve">I, Jim Chalmers, Treasurer, pursuant to parts 2 and 3 of the </w:t>
      </w:r>
      <w:r w:rsidRPr="000429D1">
        <w:rPr>
          <w:i/>
          <w:iCs/>
        </w:rPr>
        <w:t>Productivity Commission Act 1998</w:t>
      </w:r>
      <w:r w:rsidRPr="000429D1">
        <w:t xml:space="preserve">, hereby request that the Productivity Commission </w:t>
      </w:r>
      <w:r w:rsidR="006A41FD" w:rsidRPr="000429D1">
        <w:t>(</w:t>
      </w:r>
      <w:r w:rsidR="00B05975">
        <w:t>‘</w:t>
      </w:r>
      <w:r w:rsidR="006A41FD" w:rsidRPr="000429D1">
        <w:t>the Commission</w:t>
      </w:r>
      <w:r w:rsidR="00B05975">
        <w:t>’</w:t>
      </w:r>
      <w:r w:rsidR="006A41FD" w:rsidRPr="000429D1">
        <w:t>) undertake an inquiry into the rules and regulations that impact housing supply. I ask that the Commission develop actionable recommendations to lift productivity and help Australia build more homes.</w:t>
      </w:r>
    </w:p>
    <w:p w14:paraId="783F61D0" w14:textId="10510380" w:rsidR="00E76EEC" w:rsidRPr="000429D1" w:rsidRDefault="00E76EEC" w:rsidP="00EA07EA">
      <w:pPr>
        <w:pStyle w:val="Heading2-noTOC"/>
      </w:pPr>
      <w:r w:rsidRPr="000429D1">
        <w:t>Background</w:t>
      </w:r>
    </w:p>
    <w:p w14:paraId="296FBA34" w14:textId="13CF0CD8" w:rsidR="00907A1B" w:rsidRPr="000429D1" w:rsidRDefault="00ED334D" w:rsidP="00E76EEC">
      <w:pPr>
        <w:pStyle w:val="BodyText"/>
      </w:pPr>
      <w:r w:rsidRPr="000429D1">
        <w:t>Australia has a housing shortage. We do not have enough homes, where people need them, at prices they can afford. Regulation serves an important purpose, but over the past several decades, the volume and complexity of regulations affecting the housing sector have increased significantly.</w:t>
      </w:r>
      <w:r w:rsidR="00D12A05">
        <w:t xml:space="preserve"> </w:t>
      </w:r>
    </w:p>
    <w:p w14:paraId="53040C9E" w14:textId="77777777" w:rsidR="00907A1B" w:rsidRPr="00B05975" w:rsidRDefault="00ED334D" w:rsidP="00E76EEC">
      <w:pPr>
        <w:pStyle w:val="BodyText"/>
        <w:rPr>
          <w:spacing w:val="-2"/>
        </w:rPr>
      </w:pPr>
      <w:r w:rsidRPr="00B05975">
        <w:rPr>
          <w:spacing w:val="-2"/>
        </w:rPr>
        <w:t xml:space="preserve">The Commission’s </w:t>
      </w:r>
      <w:hyperlink r:id="rId36" w:anchor="final-report">
        <w:r w:rsidRPr="00B05975">
          <w:rPr>
            <w:rStyle w:val="Hyperlink"/>
            <w:i/>
            <w:iCs/>
            <w:spacing w:val="-2"/>
          </w:rPr>
          <w:t>Creating a more dynamic and resilient economy</w:t>
        </w:r>
        <w:r w:rsidRPr="00B05975">
          <w:rPr>
            <w:rStyle w:val="Hyperlink"/>
            <w:spacing w:val="-2"/>
          </w:rPr>
          <w:t xml:space="preserve"> inquiry report</w:t>
        </w:r>
      </w:hyperlink>
      <w:r w:rsidRPr="00B05975">
        <w:rPr>
          <w:spacing w:val="-2"/>
        </w:rPr>
        <w:t xml:space="preserve"> estimates that regulation adds significant cost to the average new house or unit. While many regulations are critical to safety and quality, there is scope to reduce the regulatory burden, without compromising important standards. </w:t>
      </w:r>
    </w:p>
    <w:p w14:paraId="2A9F74A0" w14:textId="16C71D99" w:rsidR="00907A1B" w:rsidRPr="000429D1" w:rsidRDefault="00ED334D" w:rsidP="00E76EEC">
      <w:pPr>
        <w:pStyle w:val="BodyText"/>
      </w:pPr>
      <w:r w:rsidRPr="000429D1">
        <w:t>Following the Economic Reform Roundtable in August 2025, the Government announced new actions to cut through regulations holding up new homes. This included pausing and streamlining the National Construction Code and to fast</w:t>
      </w:r>
      <w:r w:rsidR="00D12A05">
        <w:noBreakHyphen/>
      </w:r>
      <w:r w:rsidRPr="000429D1">
        <w:t>track housing environmental approvals. The 2026</w:t>
      </w:r>
      <w:r w:rsidR="00B05975">
        <w:t>–</w:t>
      </w:r>
      <w:r w:rsidRPr="000429D1">
        <w:t xml:space="preserve">27 Budget built on this, by requiring states and territories to sign up to new reforms that fast track housing approvals, release more housing ready land, and support a genuinely national construction code in exchange for access to the new $2 billion Local Infrastructure Fund. </w:t>
      </w:r>
    </w:p>
    <w:p w14:paraId="3298652B" w14:textId="4E944ECA" w:rsidR="00E76EEC" w:rsidRPr="000429D1" w:rsidRDefault="00ED334D" w:rsidP="00E76EEC">
      <w:pPr>
        <w:pStyle w:val="BodyText"/>
      </w:pPr>
      <w:r w:rsidRPr="000429D1">
        <w:t>To support the Government’s ambitious $47 billion housing agenda and further reduce the regulatory burden on housing supply, the Government is now tasking the Commission to conduct an inquiry into housing supply regulations.</w:t>
      </w:r>
    </w:p>
    <w:p w14:paraId="1B6DFF29" w14:textId="0C8A2BF2" w:rsidR="00E76EEC" w:rsidRPr="000429D1" w:rsidRDefault="00E76EEC" w:rsidP="00EA07EA">
      <w:pPr>
        <w:pStyle w:val="Heading2-noTOC"/>
      </w:pPr>
      <w:r w:rsidRPr="000429D1">
        <w:t>Scope of the inquiry</w:t>
      </w:r>
    </w:p>
    <w:p w14:paraId="5E9DA985" w14:textId="77777777" w:rsidR="00907A1B" w:rsidRPr="000429D1" w:rsidRDefault="00E4734C" w:rsidP="00E76EEC">
      <w:pPr>
        <w:pStyle w:val="BodyText"/>
      </w:pPr>
      <w:r w:rsidRPr="000429D1">
        <w:t xml:space="preserve">The Commission will conduct an inquiry to assess, identify best practice and recommend reforms to get more homes built quickly across the following matters: </w:t>
      </w:r>
    </w:p>
    <w:p w14:paraId="58D36AF0" w14:textId="0AE523EA" w:rsidR="00907A1B" w:rsidRPr="000429D1" w:rsidRDefault="00E4734C" w:rsidP="00907A1B">
      <w:pPr>
        <w:pStyle w:val="ListNumber"/>
      </w:pPr>
      <w:r w:rsidRPr="000429D1">
        <w:t>Approval processes (e.g., development, building, and post</w:t>
      </w:r>
      <w:r w:rsidR="00D12A05">
        <w:noBreakHyphen/>
      </w:r>
      <w:r w:rsidRPr="000429D1">
        <w:t xml:space="preserve">approvals, including any barriers to the uptake of more productive methods of construction) </w:t>
      </w:r>
    </w:p>
    <w:p w14:paraId="35183BAD" w14:textId="77777777" w:rsidR="00907A1B" w:rsidRPr="000429D1" w:rsidRDefault="00E4734C" w:rsidP="00907A1B">
      <w:pPr>
        <w:pStyle w:val="ListNumber"/>
      </w:pPr>
      <w:r w:rsidRPr="000429D1">
        <w:t xml:space="preserve">Availability and use of land for housing (e.g., land release, land use controls) </w:t>
      </w:r>
    </w:p>
    <w:p w14:paraId="147C7EA8" w14:textId="77777777" w:rsidR="00907A1B" w:rsidRPr="000429D1" w:rsidRDefault="00E4734C" w:rsidP="00907A1B">
      <w:pPr>
        <w:pStyle w:val="ListNumber"/>
      </w:pPr>
      <w:r w:rsidRPr="000429D1">
        <w:t xml:space="preserve">Processes and frameworks to deliver new and utilise existing housing infrastructure (e.g., growth infrastructure planning, developer contributions model) </w:t>
      </w:r>
    </w:p>
    <w:p w14:paraId="7F8BBF4E" w14:textId="0B964B27" w:rsidR="00907A1B" w:rsidRPr="000429D1" w:rsidRDefault="00E4734C" w:rsidP="00E76EEC">
      <w:pPr>
        <w:pStyle w:val="BodyText"/>
      </w:pPr>
      <w:r w:rsidRPr="000429D1">
        <w:t xml:space="preserve">The inquiry should identify examples of the existing housing regulatory system across jurisdictions that </w:t>
      </w:r>
      <w:r w:rsidRPr="000429D1" w:rsidDel="00D33829">
        <w:t>have the greatest impact on</w:t>
      </w:r>
      <w:r w:rsidRPr="000429D1">
        <w:t xml:space="preserve"> housing supply, housing affordability and construction productivity. However, this should also consider the benefits of the regulations and their objectives.</w:t>
      </w:r>
      <w:r w:rsidR="00D12A05">
        <w:t xml:space="preserve"> </w:t>
      </w:r>
    </w:p>
    <w:p w14:paraId="7EFC7B2C" w14:textId="381448E3" w:rsidR="00907A1B" w:rsidRPr="000429D1" w:rsidRDefault="00E4734C" w:rsidP="00E76EEC">
      <w:pPr>
        <w:pStyle w:val="BodyText"/>
      </w:pPr>
      <w:r w:rsidRPr="000429D1">
        <w:t>The inquiry should also evaluate regulatory systems across jurisdictions against established best practice, with reference to existing reform efforts underway. The Commission’s advice should clearly identify reform opportunities, including, where possible, quantitative analysis of the economic benefits of the recommended reforms.</w:t>
      </w:r>
      <w:r w:rsidR="00D12A05">
        <w:t xml:space="preserve"> </w:t>
      </w:r>
    </w:p>
    <w:p w14:paraId="3C8FF3CE" w14:textId="262B1269" w:rsidR="006236E7" w:rsidRPr="000429D1" w:rsidRDefault="00E4734C" w:rsidP="00E76EEC">
      <w:pPr>
        <w:pStyle w:val="BodyText"/>
      </w:pPr>
      <w:r w:rsidRPr="000429D1">
        <w:lastRenderedPageBreak/>
        <w:t>The interim report should identify regulations that most affect housing and include a prioritised list of reforms to support faster and simpler approvals and make more land available and ready to build more homes.</w:t>
      </w:r>
      <w:r w:rsidR="00D12A05">
        <w:t xml:space="preserve"> </w:t>
      </w:r>
    </w:p>
    <w:p w14:paraId="2C0DC630" w14:textId="2E873F10" w:rsidR="006236E7" w:rsidRPr="000429D1" w:rsidRDefault="00E4734C" w:rsidP="00E76EEC">
      <w:pPr>
        <w:pStyle w:val="BodyText"/>
      </w:pPr>
      <w:r w:rsidRPr="000429D1">
        <w:t>The final report should also include an assessment of how advanced states and territories are in their reform efforts, against the features of a best practice system, and assess the expected impact on housing supply of planning and other relevant regulatory reforms taken by states and territories since 1</w:t>
      </w:r>
      <w:r w:rsidR="00D12A05">
        <w:t> </w:t>
      </w:r>
      <w:r w:rsidRPr="000429D1">
        <w:t>July 2024. The final report should also quantify, where possible, the economic benefits of the recommended reforms, and provide further advice on reform implementation.</w:t>
      </w:r>
      <w:r w:rsidR="00D12A05">
        <w:t xml:space="preserve"> </w:t>
      </w:r>
    </w:p>
    <w:p w14:paraId="3E595476" w14:textId="2EDA82C6" w:rsidR="006236E7" w:rsidRPr="000429D1" w:rsidRDefault="00E4734C" w:rsidP="00E76EEC">
      <w:pPr>
        <w:pStyle w:val="BodyText"/>
      </w:pPr>
      <w:r w:rsidRPr="000429D1">
        <w:t>The Commission should have regard to the Government’s housing agenda and existing reform directions. This includes the National Housing Accord, which has set an aspirational target of building 1.2 million new, well</w:t>
      </w:r>
      <w:r w:rsidR="00D12A05">
        <w:noBreakHyphen/>
      </w:r>
      <w:r w:rsidRPr="000429D1">
        <w:t xml:space="preserve">located homes over five years. The Commission should also </w:t>
      </w:r>
      <w:bookmarkStart w:id="3" w:name="_Int_oMYUAfKF"/>
      <w:proofErr w:type="gramStart"/>
      <w:r w:rsidRPr="000429D1">
        <w:t>take into account</w:t>
      </w:r>
      <w:bookmarkEnd w:id="3"/>
      <w:proofErr w:type="gramEnd"/>
      <w:r w:rsidRPr="000429D1">
        <w:t xml:space="preserve"> other current and recent reforms or reviews of relevance, the recently passed reforms to the </w:t>
      </w:r>
      <w:r w:rsidRPr="000429D1">
        <w:rPr>
          <w:i/>
          <w:iCs/>
        </w:rPr>
        <w:t xml:space="preserve">Environment Protection and Biodiversity Conservation Act 1999 </w:t>
      </w:r>
      <w:r w:rsidRPr="000429D1">
        <w:t xml:space="preserve">and the measures and actions agreed to and progressed under the </w:t>
      </w:r>
      <w:r w:rsidRPr="000429D1">
        <w:rPr>
          <w:i/>
          <w:iCs/>
        </w:rPr>
        <w:t>National Planning Reform Blueprint</w:t>
      </w:r>
      <w:r w:rsidRPr="000429D1">
        <w:t>.</w:t>
      </w:r>
      <w:r w:rsidR="00D12A05">
        <w:t xml:space="preserve"> </w:t>
      </w:r>
    </w:p>
    <w:p w14:paraId="65E287E2" w14:textId="7550F87A" w:rsidR="00E76EEC" w:rsidRPr="000429D1" w:rsidRDefault="00E4734C" w:rsidP="00E76EEC">
      <w:pPr>
        <w:pStyle w:val="BodyText"/>
      </w:pPr>
      <w:r w:rsidRPr="000429D1">
        <w:t>The National Construction Code is considered out of scope for this inquiry, as it is being separately considered as part of a streamlining and modernisation effort, announced following the Federal Government’s Economic Reform Roundtable.</w:t>
      </w:r>
    </w:p>
    <w:p w14:paraId="3E83C796" w14:textId="6A78C0E7" w:rsidR="00E76EEC" w:rsidRPr="000429D1" w:rsidRDefault="00E76EEC" w:rsidP="00EA07EA">
      <w:pPr>
        <w:pStyle w:val="Heading2-noTOC"/>
      </w:pPr>
      <w:r w:rsidRPr="000429D1">
        <w:t>Process</w:t>
      </w:r>
    </w:p>
    <w:p w14:paraId="5F56C502" w14:textId="77777777" w:rsidR="006236E7" w:rsidRPr="000429D1" w:rsidRDefault="00496FDB" w:rsidP="00E76EEC">
      <w:pPr>
        <w:pStyle w:val="BodyText"/>
      </w:pPr>
      <w:r w:rsidRPr="000429D1">
        <w:t xml:space="preserve">The Commission should undertake appropriate public consultation, including inviting public submissions. The Commission should engage actively with the Commonwealth, state and territory governments as well as other industry experts. </w:t>
      </w:r>
    </w:p>
    <w:p w14:paraId="608CA134" w14:textId="4ECE671E" w:rsidR="00E76EEC" w:rsidRPr="000429D1" w:rsidRDefault="00496FDB" w:rsidP="00E76EEC">
      <w:pPr>
        <w:pStyle w:val="BodyText"/>
      </w:pPr>
      <w:r w:rsidRPr="000429D1">
        <w:t>The Commission should publish an interim report by the end of July 2026. The final report is to be provided to Government by the end of March 2027.</w:t>
      </w:r>
    </w:p>
    <w:p w14:paraId="0E112E52" w14:textId="77777777" w:rsidR="00E76EEC" w:rsidRPr="000429D1" w:rsidRDefault="00E76EEC" w:rsidP="00EA07EA">
      <w:pPr>
        <w:pStyle w:val="BodyText"/>
        <w:spacing w:before="360"/>
      </w:pPr>
      <w:r w:rsidRPr="000429D1">
        <w:rPr>
          <w:b/>
          <w:bCs/>
        </w:rPr>
        <w:t>The Hon Dr Jim Chalmers MP</w:t>
      </w:r>
      <w:r w:rsidRPr="000429D1">
        <w:br/>
        <w:t>Treasurer</w:t>
      </w:r>
    </w:p>
    <w:p w14:paraId="442ABEE1" w14:textId="59EEF94B" w:rsidR="00E76EEC" w:rsidRPr="000429D1" w:rsidRDefault="00EA07EA" w:rsidP="00E76EEC">
      <w:pPr>
        <w:pStyle w:val="BodyText"/>
      </w:pPr>
      <w:r w:rsidRPr="000429D1">
        <w:t xml:space="preserve">[Received </w:t>
      </w:r>
      <w:sdt>
        <w:sdtPr>
          <w:id w:val="1805112169"/>
          <w:placeholder>
            <w:docPart w:val="C18630CDC2E54D228D800A9520D28324"/>
          </w:placeholder>
          <w:date w:fullDate="2026-05-28T00:00:00Z">
            <w:dateFormat w:val="d MMMM yyyy"/>
            <w:lid w:val="en-AU"/>
            <w:storeMappedDataAs w:val="dateTime"/>
            <w:calendar w:val="gregorian"/>
          </w:date>
        </w:sdtPr>
        <w:sdtContent>
          <w:r w:rsidR="008D7425" w:rsidRPr="000429D1">
            <w:t>28</w:t>
          </w:r>
          <w:r w:rsidR="00D12A05">
            <w:t> </w:t>
          </w:r>
          <w:r w:rsidR="008D7425" w:rsidRPr="000429D1">
            <w:t>May 2026</w:t>
          </w:r>
        </w:sdtContent>
      </w:sdt>
      <w:r w:rsidRPr="000429D1">
        <w:t>]</w:t>
      </w:r>
    </w:p>
    <w:p w14:paraId="3A129E51" w14:textId="5C4F1679" w:rsidR="008664F3" w:rsidRDefault="008664F3">
      <w:pPr>
        <w:spacing w:before="0" w:after="160" w:line="259" w:lineRule="auto"/>
      </w:pPr>
      <w:r>
        <w:br w:type="page"/>
      </w:r>
    </w:p>
    <w:p w14:paraId="7D5A9B0F" w14:textId="77777777" w:rsidR="002E0C49" w:rsidRPr="000429D1" w:rsidRDefault="002E0C49" w:rsidP="002E0C49">
      <w:pPr>
        <w:pStyle w:val="Heading2-noTOC"/>
      </w:pPr>
      <w:bookmarkStart w:id="4" w:name="_Toc87865130"/>
      <w:r w:rsidRPr="000429D1">
        <w:lastRenderedPageBreak/>
        <w:t>Disclosure of interests</w:t>
      </w:r>
      <w:bookmarkEnd w:id="4"/>
    </w:p>
    <w:p w14:paraId="17FB7AF3" w14:textId="77777777" w:rsidR="002E0C49" w:rsidRPr="000429D1" w:rsidRDefault="002E0C49" w:rsidP="002E0C49">
      <w:pPr>
        <w:pStyle w:val="BodyText"/>
      </w:pPr>
      <w:r w:rsidRPr="000429D1">
        <w:t xml:space="preserve">The </w:t>
      </w:r>
      <w:r w:rsidRPr="000429D1">
        <w:rPr>
          <w:i/>
          <w:iCs/>
        </w:rPr>
        <w:t>Productivity Commission Act 1998</w:t>
      </w:r>
      <w:r w:rsidRPr="000429D1">
        <w:t xml:space="preserve"> (</w:t>
      </w:r>
      <w:proofErr w:type="spellStart"/>
      <w:r w:rsidRPr="000429D1">
        <w:t>Cth</w:t>
      </w:r>
      <w:proofErr w:type="spellEnd"/>
      <w:r w:rsidRPr="000429D1">
        <w:t xml:space="preserve">) specifies that where Commissioners have or acquire interests, pecuniary or otherwise, that could conflict with the proper performance of their functions they must disclose those interests. </w:t>
      </w:r>
    </w:p>
    <w:p w14:paraId="25A8705B" w14:textId="77777777" w:rsidR="002E0C49" w:rsidRPr="000429D1" w:rsidRDefault="002E0C49" w:rsidP="002E0C49">
      <w:pPr>
        <w:pStyle w:val="BodyText"/>
      </w:pPr>
      <w:r w:rsidRPr="000429D1">
        <w:t>The Commissioners working on this report have no interests requiring disclosure.</w:t>
      </w:r>
    </w:p>
    <w:p w14:paraId="49EB0FC0" w14:textId="77777777" w:rsidR="002E0C49" w:rsidRPr="000429D1" w:rsidRDefault="002E0C49" w:rsidP="002E0C49">
      <w:pPr>
        <w:pStyle w:val="Heading2-noTOC"/>
      </w:pPr>
      <w:r w:rsidRPr="000429D1">
        <w:t>Acknowledgments</w:t>
      </w:r>
    </w:p>
    <w:p w14:paraId="59C81788" w14:textId="25F823B4" w:rsidR="002E0C49" w:rsidRPr="000429D1" w:rsidRDefault="002E0C49" w:rsidP="002E0C49">
      <w:pPr>
        <w:pStyle w:val="BodyText"/>
      </w:pPr>
      <w:r w:rsidRPr="000429D1">
        <w:t xml:space="preserve">In undertaking this inquiry, the </w:t>
      </w:r>
      <w:r w:rsidR="006E1238">
        <w:t xml:space="preserve">PC </w:t>
      </w:r>
      <w:r w:rsidRPr="000429D1">
        <w:t>has benefited from engagement with individuals, industry, peak bodies, consultants and researchers, and with officials from Australian, state and territory government departments and from regulatory agencies.</w:t>
      </w:r>
    </w:p>
    <w:p w14:paraId="6C3BB3FD" w14:textId="77777777" w:rsidR="002E0C49" w:rsidRPr="000429D1" w:rsidRDefault="002E0C49" w:rsidP="002E0C49">
      <w:pPr>
        <w:pStyle w:val="BodyText"/>
      </w:pPr>
      <w:r w:rsidRPr="000429D1">
        <w:t>The Commissioners would like to thank everyone who contributed their views and expertise to the inquiry</w:t>
      </w:r>
      <w:r>
        <w:t>, particularly given the limited timeframe available for engagement.</w:t>
      </w:r>
    </w:p>
    <w:p w14:paraId="4974ED37" w14:textId="77777777" w:rsidR="002E0C49" w:rsidRPr="000429D1" w:rsidRDefault="002E0C49" w:rsidP="002E0C49">
      <w:pPr>
        <w:pStyle w:val="BodyText"/>
      </w:pPr>
      <w:r w:rsidRPr="000429D1">
        <w:t>The Commissioners would like to also express their appreciation to the staff who worked on the interim report – Assistant Commissioner (A/g) Paul Gardner, who leads the inquiry, and other team members including Carmela Chivers, Matt</w:t>
      </w:r>
      <w:r>
        <w:t>hew</w:t>
      </w:r>
      <w:r w:rsidRPr="000429D1">
        <w:t xml:space="preserve"> Forbes, Sasha Zegenhagen, Holly Creek, Archana Subramaniam, Sebastian Broadhurst, Imogen Jameson, Bridget Leibold</w:t>
      </w:r>
      <w:r>
        <w:t>,</w:t>
      </w:r>
      <w:r w:rsidRPr="000429D1">
        <w:t xml:space="preserve"> and Vanessa Kershaw for project support.</w:t>
      </w:r>
    </w:p>
    <w:p w14:paraId="25BD3E02" w14:textId="77777777" w:rsidR="002E0C49" w:rsidRPr="000429D1" w:rsidRDefault="002E0C49" w:rsidP="002E0C49">
      <w:pPr>
        <w:pStyle w:val="Heading2-noTOC"/>
      </w:pPr>
      <w:r w:rsidRPr="000429D1">
        <w:t>HILDA disclaimer</w:t>
      </w:r>
    </w:p>
    <w:p w14:paraId="6800A333" w14:textId="56A9B334" w:rsidR="002E0C49" w:rsidRPr="004E7C49" w:rsidRDefault="002E0C49" w:rsidP="002E0C49">
      <w:pPr>
        <w:pStyle w:val="BodyText"/>
        <w:rPr>
          <w:spacing w:val="-2"/>
        </w:rPr>
      </w:pPr>
      <w:r w:rsidRPr="004E7C49">
        <w:rPr>
          <w:spacing w:val="-2"/>
        </w:rPr>
        <w:t xml:space="preserve">This report uses unit record data from the Household, Income and Labour Dynamics in Australia (HILDA) Survey. The HILDA Project was initiated and is funded by the Australian Government Department of Social Services (DSS) and is managed by the Melbourne Institute of Applied Economic and Social Research (Melbourne Institute). The findings and views reported in this paper, however, are those of the </w:t>
      </w:r>
      <w:r w:rsidR="00912BCD">
        <w:rPr>
          <w:spacing w:val="-2"/>
        </w:rPr>
        <w:t xml:space="preserve">PC </w:t>
      </w:r>
      <w:r w:rsidRPr="004E7C49">
        <w:rPr>
          <w:spacing w:val="-2"/>
        </w:rPr>
        <w:t>and should not be attributed to either DSS or the Melbourne Institute.</w:t>
      </w:r>
    </w:p>
    <w:p w14:paraId="7B81B883" w14:textId="77777777" w:rsidR="002E0C49" w:rsidRPr="000429D1" w:rsidRDefault="002E0C49" w:rsidP="002E0C49">
      <w:pPr>
        <w:pStyle w:val="Heading2-noTOC"/>
      </w:pPr>
      <w:r w:rsidRPr="000429D1">
        <w:t>AI transparency statement</w:t>
      </w:r>
    </w:p>
    <w:p w14:paraId="3A906364" w14:textId="77777777" w:rsidR="002E0C49" w:rsidRPr="000429D1" w:rsidRDefault="002E0C49" w:rsidP="002E0C49">
      <w:pPr>
        <w:pStyle w:val="BodyText"/>
      </w:pPr>
      <w:r w:rsidRPr="000429D1">
        <w:t xml:space="preserve">This report was prepared using the assistance of AI tools for purposes of general research, note taking, </w:t>
      </w:r>
      <w:r>
        <w:t>coding</w:t>
      </w:r>
      <w:r w:rsidRPr="000429D1">
        <w:t xml:space="preserve"> and editing. PC staff reviewed all AI</w:t>
      </w:r>
      <w:r>
        <w:noBreakHyphen/>
      </w:r>
      <w:r w:rsidRPr="000429D1">
        <w:t>generated outputs for accuracy and quality.</w:t>
      </w:r>
    </w:p>
    <w:p w14:paraId="611DFDC4" w14:textId="77777777" w:rsidR="008664F3" w:rsidRPr="000429D1" w:rsidRDefault="008664F3" w:rsidP="00E76EEC">
      <w:pPr>
        <w:spacing w:before="0" w:after="160" w:line="259" w:lineRule="auto"/>
        <w:sectPr w:rsidR="008664F3" w:rsidRPr="000429D1" w:rsidSect="00E76EEC">
          <w:headerReference w:type="even" r:id="rId37"/>
          <w:headerReference w:type="default" r:id="rId38"/>
          <w:headerReference w:type="first" r:id="rId39"/>
          <w:pgSz w:w="11906" w:h="16838" w:code="9"/>
          <w:pgMar w:top="1134" w:right="1134" w:bottom="1134" w:left="1134" w:header="794" w:footer="510" w:gutter="0"/>
          <w:pgNumType w:fmt="lowerRoman"/>
          <w:cols w:space="708"/>
          <w:docGrid w:linePitch="360"/>
        </w:sectPr>
      </w:pPr>
    </w:p>
    <w:p w14:paraId="77506B5B" w14:textId="77777777" w:rsidR="00E76EEC" w:rsidRPr="000429D1" w:rsidRDefault="00E76EEC" w:rsidP="00EA07EA">
      <w:pPr>
        <w:pStyle w:val="Heading1-nobackground"/>
      </w:pPr>
      <w:bookmarkStart w:id="5" w:name="_Toc87865131"/>
      <w:bookmarkStart w:id="6" w:name="_Toc226473600"/>
      <w:bookmarkStart w:id="7" w:name="_Toc226474526"/>
      <w:bookmarkStart w:id="8" w:name="_Toc226548683"/>
      <w:bookmarkStart w:id="9" w:name="_Toc235103134"/>
      <w:r w:rsidRPr="000429D1">
        <w:lastRenderedPageBreak/>
        <w:t>Contents</w:t>
      </w:r>
      <w:bookmarkEnd w:id="5"/>
      <w:bookmarkEnd w:id="6"/>
      <w:bookmarkEnd w:id="7"/>
      <w:bookmarkEnd w:id="8"/>
      <w:bookmarkEnd w:id="9"/>
    </w:p>
    <w:sdt>
      <w:sdtPr>
        <w:rPr>
          <w:rFonts w:asciiTheme="minorHAnsi" w:hAnsiTheme="minorHAnsi"/>
          <w:b/>
          <w:color w:val="auto"/>
        </w:rPr>
        <w:id w:val="-896974578"/>
        <w:docPartObj>
          <w:docPartGallery w:val="Table of Contents"/>
          <w:docPartUnique/>
        </w:docPartObj>
      </w:sdtPr>
      <w:sdtEndPr>
        <w:rPr>
          <w:rFonts w:ascii="Open Sans" w:hAnsi="Open Sans"/>
          <w:b w:val="0"/>
          <w:bCs/>
        </w:rPr>
      </w:sdtEndPr>
      <w:sdtContent>
        <w:p w14:paraId="08D0A46C" w14:textId="6B8FD61F" w:rsidR="00607B17" w:rsidRDefault="00E76EEC" w:rsidP="005E5CE4">
          <w:pPr>
            <w:pStyle w:val="TOC1"/>
            <w:rPr>
              <w:rFonts w:asciiTheme="minorHAnsi" w:eastAsiaTheme="minorEastAsia" w:hAnsiTheme="minorHAnsi"/>
              <w:noProof/>
              <w:color w:val="auto"/>
              <w:kern w:val="2"/>
              <w:sz w:val="24"/>
              <w:szCs w:val="24"/>
              <w:lang w:eastAsia="en-AU"/>
              <w14:ligatures w14:val="standardContextual"/>
            </w:rPr>
          </w:pPr>
          <w:r w:rsidRPr="000429D1">
            <w:rPr>
              <w:rFonts w:asciiTheme="majorHAnsi" w:hAnsiTheme="majorHAnsi"/>
              <w:color w:val="265A9A" w:themeColor="background2"/>
            </w:rPr>
            <w:fldChar w:fldCharType="begin"/>
          </w:r>
          <w:r w:rsidRPr="000429D1">
            <w:instrText xml:space="preserve"> TOC \\h \z \t "Heading 1,1,Heading-Appendix,1, Heading 1-no number,1, Heading 1-no background,1, Heading 1-Section blue background,3, Heading 1-Section-full page,3,Heading 2,2,Heading 2-no number,2,Heading 2-Appendix,2,Heading 1 - Intro,3,Heading 1-numbered,3,Section Heading-pale blue,3" </w:instrText>
          </w:r>
          <w:r w:rsidRPr="000429D1">
            <w:rPr>
              <w:rFonts w:asciiTheme="majorHAnsi" w:hAnsiTheme="majorHAnsi"/>
              <w:color w:val="265A9A" w:themeColor="background2"/>
            </w:rPr>
            <w:fldChar w:fldCharType="separate"/>
          </w:r>
          <w:r w:rsidR="00607B17">
            <w:rPr>
              <w:noProof/>
            </w:rPr>
            <w:t>Opportunity for comment</w:t>
          </w:r>
          <w:r w:rsidR="00607B17">
            <w:rPr>
              <w:noProof/>
              <w:webHidden/>
            </w:rPr>
            <w:tab/>
          </w:r>
          <w:r w:rsidR="00607B17">
            <w:rPr>
              <w:noProof/>
              <w:webHidden/>
            </w:rPr>
            <w:fldChar w:fldCharType="begin"/>
          </w:r>
          <w:r w:rsidR="00607B17">
            <w:rPr>
              <w:noProof/>
              <w:webHidden/>
            </w:rPr>
            <w:instrText xml:space="preserve"> PAGEREF _Toc235103132 \h </w:instrText>
          </w:r>
          <w:r w:rsidR="00607B17">
            <w:rPr>
              <w:noProof/>
              <w:webHidden/>
            </w:rPr>
          </w:r>
          <w:r w:rsidR="00607B17">
            <w:rPr>
              <w:noProof/>
              <w:webHidden/>
            </w:rPr>
            <w:fldChar w:fldCharType="separate"/>
          </w:r>
          <w:r w:rsidR="00321142">
            <w:rPr>
              <w:noProof/>
              <w:webHidden/>
            </w:rPr>
            <w:t>iii</w:t>
          </w:r>
          <w:r w:rsidR="00607B17">
            <w:rPr>
              <w:noProof/>
              <w:webHidden/>
            </w:rPr>
            <w:fldChar w:fldCharType="end"/>
          </w:r>
        </w:p>
        <w:p w14:paraId="474084DF" w14:textId="5D1DE78C"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Terms of reference</w:t>
          </w:r>
          <w:r>
            <w:rPr>
              <w:noProof/>
              <w:webHidden/>
            </w:rPr>
            <w:tab/>
          </w:r>
          <w:r>
            <w:rPr>
              <w:noProof/>
              <w:webHidden/>
            </w:rPr>
            <w:fldChar w:fldCharType="begin"/>
          </w:r>
          <w:r>
            <w:rPr>
              <w:noProof/>
              <w:webHidden/>
            </w:rPr>
            <w:instrText xml:space="preserve"> PAGEREF _Toc235103133 \h </w:instrText>
          </w:r>
          <w:r>
            <w:rPr>
              <w:noProof/>
              <w:webHidden/>
            </w:rPr>
          </w:r>
          <w:r>
            <w:rPr>
              <w:noProof/>
              <w:webHidden/>
            </w:rPr>
            <w:fldChar w:fldCharType="separate"/>
          </w:r>
          <w:r w:rsidR="00321142">
            <w:rPr>
              <w:noProof/>
              <w:webHidden/>
            </w:rPr>
            <w:t>iv</w:t>
          </w:r>
          <w:r>
            <w:rPr>
              <w:noProof/>
              <w:webHidden/>
            </w:rPr>
            <w:fldChar w:fldCharType="end"/>
          </w:r>
        </w:p>
        <w:p w14:paraId="68DC4D1B" w14:textId="059E5FD0" w:rsidR="00607B17" w:rsidRPr="005E5CE4" w:rsidRDefault="00607B17">
          <w:pPr>
            <w:pStyle w:val="TOC3"/>
            <w:rPr>
              <w:rFonts w:ascii="Open Sans Extrabold" w:hAnsi="Open Sans Extrabold"/>
              <w:noProof/>
            </w:rPr>
          </w:pPr>
          <w:r w:rsidRPr="005E5CE4">
            <w:rPr>
              <w:rFonts w:ascii="Open Sans Extrabold" w:hAnsi="Open Sans Extrabold"/>
              <w:noProof/>
            </w:rPr>
            <w:t>Overview</w:t>
          </w:r>
          <w:r w:rsidRPr="005E5CE4">
            <w:rPr>
              <w:rFonts w:ascii="Open Sans Extrabold" w:hAnsi="Open Sans Extrabold"/>
              <w:noProof/>
              <w:webHidden/>
            </w:rPr>
            <w:tab/>
          </w:r>
          <w:r w:rsidRPr="005E5CE4">
            <w:rPr>
              <w:rFonts w:ascii="Open Sans Extrabold" w:hAnsi="Open Sans Extrabold"/>
              <w:noProof/>
              <w:webHidden/>
            </w:rPr>
            <w:fldChar w:fldCharType="begin"/>
          </w:r>
          <w:r w:rsidRPr="005E5CE4">
            <w:rPr>
              <w:rFonts w:ascii="Open Sans Extrabold" w:hAnsi="Open Sans Extrabold"/>
              <w:noProof/>
              <w:webHidden/>
            </w:rPr>
            <w:instrText xml:space="preserve"> PAGEREF _Toc235103135 \h </w:instrText>
          </w:r>
          <w:r w:rsidRPr="005E5CE4">
            <w:rPr>
              <w:rFonts w:ascii="Open Sans Extrabold" w:hAnsi="Open Sans Extrabold"/>
              <w:noProof/>
              <w:webHidden/>
            </w:rPr>
          </w:r>
          <w:r w:rsidRPr="005E5CE4">
            <w:rPr>
              <w:rFonts w:ascii="Open Sans Extrabold" w:hAnsi="Open Sans Extrabold"/>
              <w:noProof/>
              <w:webHidden/>
            </w:rPr>
            <w:fldChar w:fldCharType="separate"/>
          </w:r>
          <w:r w:rsidR="00321142">
            <w:rPr>
              <w:rFonts w:ascii="Open Sans Extrabold" w:hAnsi="Open Sans Extrabold"/>
              <w:noProof/>
              <w:webHidden/>
            </w:rPr>
            <w:t>1</w:t>
          </w:r>
          <w:r w:rsidRPr="005E5CE4">
            <w:rPr>
              <w:rFonts w:ascii="Open Sans Extrabold" w:hAnsi="Open Sans Extrabold"/>
              <w:noProof/>
              <w:webHidden/>
            </w:rPr>
            <w:fldChar w:fldCharType="end"/>
          </w:r>
        </w:p>
        <w:p w14:paraId="6686F37A" w14:textId="3614EE77" w:rsidR="00607B17" w:rsidRDefault="00607B17">
          <w:pPr>
            <w:pStyle w:val="TOC2"/>
            <w:rPr>
              <w:rFonts w:asciiTheme="minorHAnsi" w:eastAsiaTheme="minorEastAsia" w:hAnsiTheme="minorHAnsi"/>
              <w:kern w:val="2"/>
              <w:sz w:val="24"/>
              <w:szCs w:val="24"/>
              <w:lang w:eastAsia="en-AU"/>
              <w14:ligatures w14:val="standardContextual"/>
            </w:rPr>
          </w:pPr>
          <w:r>
            <w:t>Australia needs more homes in the right places</w:t>
          </w:r>
          <w:r>
            <w:rPr>
              <w:webHidden/>
            </w:rPr>
            <w:tab/>
          </w:r>
          <w:r>
            <w:rPr>
              <w:webHidden/>
            </w:rPr>
            <w:fldChar w:fldCharType="begin"/>
          </w:r>
          <w:r>
            <w:rPr>
              <w:webHidden/>
            </w:rPr>
            <w:instrText xml:space="preserve"> PAGEREF _Toc235103136 \h </w:instrText>
          </w:r>
          <w:r>
            <w:rPr>
              <w:webHidden/>
            </w:rPr>
          </w:r>
          <w:r>
            <w:rPr>
              <w:webHidden/>
            </w:rPr>
            <w:fldChar w:fldCharType="separate"/>
          </w:r>
          <w:r w:rsidR="00321142">
            <w:rPr>
              <w:webHidden/>
            </w:rPr>
            <w:t>3</w:t>
          </w:r>
          <w:r>
            <w:rPr>
              <w:webHidden/>
            </w:rPr>
            <w:fldChar w:fldCharType="end"/>
          </w:r>
        </w:p>
        <w:p w14:paraId="62377406" w14:textId="7F84D302" w:rsidR="00607B17" w:rsidRDefault="00607B17">
          <w:pPr>
            <w:pStyle w:val="TOC2"/>
            <w:rPr>
              <w:rFonts w:asciiTheme="minorHAnsi" w:eastAsiaTheme="minorEastAsia" w:hAnsiTheme="minorHAnsi"/>
              <w:kern w:val="2"/>
              <w:sz w:val="24"/>
              <w:szCs w:val="24"/>
              <w:lang w:eastAsia="en-AU"/>
              <w14:ligatures w14:val="standardContextual"/>
            </w:rPr>
          </w:pPr>
          <w:r>
            <w:t>Reforming regulation to build more homes, faster</w:t>
          </w:r>
          <w:r>
            <w:rPr>
              <w:webHidden/>
            </w:rPr>
            <w:tab/>
          </w:r>
          <w:r>
            <w:rPr>
              <w:webHidden/>
            </w:rPr>
            <w:fldChar w:fldCharType="begin"/>
          </w:r>
          <w:r>
            <w:rPr>
              <w:webHidden/>
            </w:rPr>
            <w:instrText xml:space="preserve"> PAGEREF _Toc235103137 \h </w:instrText>
          </w:r>
          <w:r>
            <w:rPr>
              <w:webHidden/>
            </w:rPr>
          </w:r>
          <w:r>
            <w:rPr>
              <w:webHidden/>
            </w:rPr>
            <w:fldChar w:fldCharType="separate"/>
          </w:r>
          <w:r w:rsidR="00321142">
            <w:rPr>
              <w:webHidden/>
            </w:rPr>
            <w:t>5</w:t>
          </w:r>
          <w:r>
            <w:rPr>
              <w:webHidden/>
            </w:rPr>
            <w:fldChar w:fldCharType="end"/>
          </w:r>
        </w:p>
        <w:p w14:paraId="046AE8D1" w14:textId="054C588D"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Information requests</w:t>
          </w:r>
          <w:r>
            <w:rPr>
              <w:noProof/>
              <w:webHidden/>
            </w:rPr>
            <w:tab/>
          </w:r>
          <w:r>
            <w:rPr>
              <w:noProof/>
              <w:webHidden/>
            </w:rPr>
            <w:fldChar w:fldCharType="begin"/>
          </w:r>
          <w:r>
            <w:rPr>
              <w:noProof/>
              <w:webHidden/>
            </w:rPr>
            <w:instrText xml:space="preserve"> PAGEREF _Toc235103138 \h </w:instrText>
          </w:r>
          <w:r>
            <w:rPr>
              <w:noProof/>
              <w:webHidden/>
            </w:rPr>
          </w:r>
          <w:r>
            <w:rPr>
              <w:noProof/>
              <w:webHidden/>
            </w:rPr>
            <w:fldChar w:fldCharType="separate"/>
          </w:r>
          <w:r w:rsidR="00321142">
            <w:rPr>
              <w:noProof/>
              <w:webHidden/>
            </w:rPr>
            <w:t>16</w:t>
          </w:r>
          <w:r>
            <w:rPr>
              <w:noProof/>
              <w:webHidden/>
            </w:rPr>
            <w:fldChar w:fldCharType="end"/>
          </w:r>
        </w:p>
        <w:p w14:paraId="14725D37" w14:textId="2C53C3DC"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1.</w:t>
          </w:r>
          <w:r>
            <w:rPr>
              <w:rFonts w:asciiTheme="minorHAnsi" w:eastAsiaTheme="minorEastAsia" w:hAnsiTheme="minorHAnsi"/>
              <w:noProof/>
              <w:color w:val="auto"/>
              <w:kern w:val="2"/>
              <w:sz w:val="24"/>
              <w:szCs w:val="24"/>
              <w:lang w:eastAsia="en-AU"/>
              <w14:ligatures w14:val="standardContextual"/>
            </w:rPr>
            <w:tab/>
          </w:r>
          <w:r>
            <w:rPr>
              <w:noProof/>
            </w:rPr>
            <w:t>Best practice for housing regulatory systems</w:t>
          </w:r>
          <w:r>
            <w:rPr>
              <w:noProof/>
              <w:webHidden/>
            </w:rPr>
            <w:tab/>
          </w:r>
          <w:r>
            <w:rPr>
              <w:noProof/>
              <w:webHidden/>
            </w:rPr>
            <w:fldChar w:fldCharType="begin"/>
          </w:r>
          <w:r>
            <w:rPr>
              <w:noProof/>
              <w:webHidden/>
            </w:rPr>
            <w:instrText xml:space="preserve"> PAGEREF _Toc235103139 \h </w:instrText>
          </w:r>
          <w:r>
            <w:rPr>
              <w:noProof/>
              <w:webHidden/>
            </w:rPr>
          </w:r>
          <w:r>
            <w:rPr>
              <w:noProof/>
              <w:webHidden/>
            </w:rPr>
            <w:fldChar w:fldCharType="separate"/>
          </w:r>
          <w:r w:rsidR="00321142">
            <w:rPr>
              <w:noProof/>
              <w:webHidden/>
            </w:rPr>
            <w:t>21</w:t>
          </w:r>
          <w:r>
            <w:rPr>
              <w:noProof/>
              <w:webHidden/>
            </w:rPr>
            <w:fldChar w:fldCharType="end"/>
          </w:r>
        </w:p>
        <w:p w14:paraId="026EBECE" w14:textId="69C0F050" w:rsidR="00607B17" w:rsidRDefault="00607B17">
          <w:pPr>
            <w:pStyle w:val="TOC2"/>
            <w:rPr>
              <w:rFonts w:asciiTheme="minorHAnsi" w:eastAsiaTheme="minorEastAsia" w:hAnsiTheme="minorHAnsi"/>
              <w:kern w:val="2"/>
              <w:sz w:val="24"/>
              <w:szCs w:val="24"/>
              <w:lang w:eastAsia="en-AU"/>
              <w14:ligatures w14:val="standardContextual"/>
            </w:rPr>
          </w:pPr>
          <w:r>
            <w:t>1.1</w:t>
          </w:r>
          <w:r>
            <w:rPr>
              <w:rFonts w:asciiTheme="minorHAnsi" w:eastAsiaTheme="minorEastAsia" w:hAnsiTheme="minorHAnsi"/>
              <w:kern w:val="2"/>
              <w:sz w:val="24"/>
              <w:szCs w:val="24"/>
              <w:lang w:eastAsia="en-AU"/>
              <w14:ligatures w14:val="standardContextual"/>
            </w:rPr>
            <w:tab/>
          </w:r>
          <w:r>
            <w:t>Government regulation affects housing supply</w:t>
          </w:r>
          <w:r>
            <w:rPr>
              <w:webHidden/>
            </w:rPr>
            <w:tab/>
          </w:r>
          <w:r>
            <w:rPr>
              <w:webHidden/>
            </w:rPr>
            <w:fldChar w:fldCharType="begin"/>
          </w:r>
          <w:r>
            <w:rPr>
              <w:webHidden/>
            </w:rPr>
            <w:instrText xml:space="preserve"> PAGEREF _Toc235103140 \h </w:instrText>
          </w:r>
          <w:r>
            <w:rPr>
              <w:webHidden/>
            </w:rPr>
          </w:r>
          <w:r>
            <w:rPr>
              <w:webHidden/>
            </w:rPr>
            <w:fldChar w:fldCharType="separate"/>
          </w:r>
          <w:r w:rsidR="00321142">
            <w:rPr>
              <w:webHidden/>
            </w:rPr>
            <w:t>22</w:t>
          </w:r>
          <w:r>
            <w:rPr>
              <w:webHidden/>
            </w:rPr>
            <w:fldChar w:fldCharType="end"/>
          </w:r>
        </w:p>
        <w:p w14:paraId="6D9AA4AC" w14:textId="2D9432DB" w:rsidR="00607B17" w:rsidRDefault="00607B17">
          <w:pPr>
            <w:pStyle w:val="TOC2"/>
            <w:rPr>
              <w:rFonts w:asciiTheme="minorHAnsi" w:eastAsiaTheme="minorEastAsia" w:hAnsiTheme="minorHAnsi"/>
              <w:kern w:val="2"/>
              <w:sz w:val="24"/>
              <w:szCs w:val="24"/>
              <w:lang w:eastAsia="en-AU"/>
              <w14:ligatures w14:val="standardContextual"/>
            </w:rPr>
          </w:pPr>
          <w:r>
            <w:t>1.2</w:t>
          </w:r>
          <w:r>
            <w:rPr>
              <w:rFonts w:asciiTheme="minorHAnsi" w:eastAsiaTheme="minorEastAsia" w:hAnsiTheme="minorHAnsi"/>
              <w:kern w:val="2"/>
              <w:sz w:val="24"/>
              <w:szCs w:val="24"/>
              <w:lang w:eastAsia="en-AU"/>
              <w14:ligatures w14:val="standardContextual"/>
            </w:rPr>
            <w:tab/>
          </w:r>
          <w:r>
            <w:t>Principles of a best practice regulatory system for housing</w:t>
          </w:r>
          <w:r>
            <w:rPr>
              <w:webHidden/>
            </w:rPr>
            <w:tab/>
          </w:r>
          <w:r>
            <w:rPr>
              <w:webHidden/>
            </w:rPr>
            <w:fldChar w:fldCharType="begin"/>
          </w:r>
          <w:r>
            <w:rPr>
              <w:webHidden/>
            </w:rPr>
            <w:instrText xml:space="preserve"> PAGEREF _Toc235103141 \h </w:instrText>
          </w:r>
          <w:r>
            <w:rPr>
              <w:webHidden/>
            </w:rPr>
          </w:r>
          <w:r>
            <w:rPr>
              <w:webHidden/>
            </w:rPr>
            <w:fldChar w:fldCharType="separate"/>
          </w:r>
          <w:r w:rsidR="00321142">
            <w:rPr>
              <w:webHidden/>
            </w:rPr>
            <w:t>23</w:t>
          </w:r>
          <w:r>
            <w:rPr>
              <w:webHidden/>
            </w:rPr>
            <w:fldChar w:fldCharType="end"/>
          </w:r>
        </w:p>
        <w:p w14:paraId="60AC5165" w14:textId="42C4D6F1" w:rsidR="00607B17" w:rsidRDefault="00607B17">
          <w:pPr>
            <w:pStyle w:val="TOC2"/>
            <w:rPr>
              <w:rFonts w:asciiTheme="minorHAnsi" w:eastAsiaTheme="minorEastAsia" w:hAnsiTheme="minorHAnsi"/>
              <w:kern w:val="2"/>
              <w:sz w:val="24"/>
              <w:szCs w:val="24"/>
              <w:lang w:eastAsia="en-AU"/>
              <w14:ligatures w14:val="standardContextual"/>
            </w:rPr>
          </w:pPr>
          <w:r>
            <w:t>1.3</w:t>
          </w:r>
          <w:r>
            <w:rPr>
              <w:rFonts w:asciiTheme="minorHAnsi" w:eastAsiaTheme="minorEastAsia" w:hAnsiTheme="minorHAnsi"/>
              <w:kern w:val="2"/>
              <w:sz w:val="24"/>
              <w:szCs w:val="24"/>
              <w:lang w:eastAsia="en-AU"/>
              <w14:ligatures w14:val="standardContextual"/>
            </w:rPr>
            <w:tab/>
          </w:r>
          <w:r>
            <w:t>What the principles mean in practice</w:t>
          </w:r>
          <w:r>
            <w:rPr>
              <w:webHidden/>
            </w:rPr>
            <w:tab/>
          </w:r>
          <w:r>
            <w:rPr>
              <w:webHidden/>
            </w:rPr>
            <w:fldChar w:fldCharType="begin"/>
          </w:r>
          <w:r>
            <w:rPr>
              <w:webHidden/>
            </w:rPr>
            <w:instrText xml:space="preserve"> PAGEREF _Toc235103142 \h </w:instrText>
          </w:r>
          <w:r>
            <w:rPr>
              <w:webHidden/>
            </w:rPr>
          </w:r>
          <w:r>
            <w:rPr>
              <w:webHidden/>
            </w:rPr>
            <w:fldChar w:fldCharType="separate"/>
          </w:r>
          <w:r w:rsidR="00321142">
            <w:rPr>
              <w:webHidden/>
            </w:rPr>
            <w:t>27</w:t>
          </w:r>
          <w:r>
            <w:rPr>
              <w:webHidden/>
            </w:rPr>
            <w:fldChar w:fldCharType="end"/>
          </w:r>
        </w:p>
        <w:p w14:paraId="4DBB8AA6" w14:textId="292DAE19" w:rsidR="00607B17" w:rsidRDefault="00607B17">
          <w:pPr>
            <w:pStyle w:val="TOC2"/>
            <w:rPr>
              <w:rFonts w:asciiTheme="minorHAnsi" w:eastAsiaTheme="minorEastAsia" w:hAnsiTheme="minorHAnsi"/>
              <w:kern w:val="2"/>
              <w:sz w:val="24"/>
              <w:szCs w:val="24"/>
              <w:lang w:eastAsia="en-AU"/>
              <w14:ligatures w14:val="standardContextual"/>
            </w:rPr>
          </w:pPr>
          <w:r>
            <w:t>1.4</w:t>
          </w:r>
          <w:r>
            <w:rPr>
              <w:rFonts w:asciiTheme="minorHAnsi" w:eastAsiaTheme="minorEastAsia" w:hAnsiTheme="minorHAnsi"/>
              <w:kern w:val="2"/>
              <w:sz w:val="24"/>
              <w:szCs w:val="24"/>
              <w:lang w:eastAsia="en-AU"/>
              <w14:ligatures w14:val="standardContextual"/>
            </w:rPr>
            <w:tab/>
          </w:r>
          <w:r>
            <w:t>Using best practice principles to assess reform directions</w:t>
          </w:r>
          <w:r>
            <w:rPr>
              <w:webHidden/>
            </w:rPr>
            <w:tab/>
          </w:r>
          <w:r>
            <w:rPr>
              <w:webHidden/>
            </w:rPr>
            <w:fldChar w:fldCharType="begin"/>
          </w:r>
          <w:r>
            <w:rPr>
              <w:webHidden/>
            </w:rPr>
            <w:instrText xml:space="preserve"> PAGEREF _Toc235103143 \h </w:instrText>
          </w:r>
          <w:r>
            <w:rPr>
              <w:webHidden/>
            </w:rPr>
          </w:r>
          <w:r>
            <w:rPr>
              <w:webHidden/>
            </w:rPr>
            <w:fldChar w:fldCharType="separate"/>
          </w:r>
          <w:r w:rsidR="00321142">
            <w:rPr>
              <w:webHidden/>
            </w:rPr>
            <w:t>34</w:t>
          </w:r>
          <w:r>
            <w:rPr>
              <w:webHidden/>
            </w:rPr>
            <w:fldChar w:fldCharType="end"/>
          </w:r>
        </w:p>
        <w:p w14:paraId="2EC2DEEB" w14:textId="42B717F9"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2.</w:t>
          </w:r>
          <w:r>
            <w:rPr>
              <w:rFonts w:asciiTheme="minorHAnsi" w:eastAsiaTheme="minorEastAsia" w:hAnsiTheme="minorHAnsi"/>
              <w:noProof/>
              <w:color w:val="auto"/>
              <w:kern w:val="2"/>
              <w:sz w:val="24"/>
              <w:szCs w:val="24"/>
              <w:lang w:eastAsia="en-AU"/>
              <w14:ligatures w14:val="standardContextual"/>
            </w:rPr>
            <w:tab/>
          </w:r>
          <w:r>
            <w:rPr>
              <w:noProof/>
            </w:rPr>
            <w:t>Unlocking more homes through better land</w:t>
          </w:r>
          <w:r>
            <w:rPr>
              <w:noProof/>
            </w:rPr>
            <w:noBreakHyphen/>
            <w:t>use regulation</w:t>
          </w:r>
          <w:r>
            <w:rPr>
              <w:noProof/>
              <w:webHidden/>
            </w:rPr>
            <w:tab/>
          </w:r>
          <w:r>
            <w:rPr>
              <w:noProof/>
              <w:webHidden/>
            </w:rPr>
            <w:fldChar w:fldCharType="begin"/>
          </w:r>
          <w:r>
            <w:rPr>
              <w:noProof/>
              <w:webHidden/>
            </w:rPr>
            <w:instrText xml:space="preserve"> PAGEREF _Toc235103144 \h </w:instrText>
          </w:r>
          <w:r>
            <w:rPr>
              <w:noProof/>
              <w:webHidden/>
            </w:rPr>
          </w:r>
          <w:r>
            <w:rPr>
              <w:noProof/>
              <w:webHidden/>
            </w:rPr>
            <w:fldChar w:fldCharType="separate"/>
          </w:r>
          <w:r w:rsidR="00321142">
            <w:rPr>
              <w:noProof/>
              <w:webHidden/>
            </w:rPr>
            <w:t>37</w:t>
          </w:r>
          <w:r>
            <w:rPr>
              <w:noProof/>
              <w:webHidden/>
            </w:rPr>
            <w:fldChar w:fldCharType="end"/>
          </w:r>
        </w:p>
        <w:p w14:paraId="04EEA455" w14:textId="253B26EE" w:rsidR="00607B17" w:rsidRDefault="00607B17">
          <w:pPr>
            <w:pStyle w:val="TOC2"/>
            <w:rPr>
              <w:rFonts w:asciiTheme="minorHAnsi" w:eastAsiaTheme="minorEastAsia" w:hAnsiTheme="minorHAnsi"/>
              <w:kern w:val="2"/>
              <w:sz w:val="24"/>
              <w:szCs w:val="24"/>
              <w:lang w:eastAsia="en-AU"/>
              <w14:ligatures w14:val="standardContextual"/>
            </w:rPr>
          </w:pPr>
          <w:r>
            <w:t>2.1</w:t>
          </w:r>
          <w:r>
            <w:rPr>
              <w:rFonts w:asciiTheme="minorHAnsi" w:eastAsiaTheme="minorEastAsia" w:hAnsiTheme="minorHAnsi"/>
              <w:kern w:val="2"/>
              <w:sz w:val="24"/>
              <w:szCs w:val="24"/>
              <w:lang w:eastAsia="en-AU"/>
              <w14:ligatures w14:val="standardContextual"/>
            </w:rPr>
            <w:tab/>
          </w:r>
          <w:r>
            <w:t>How do land</w:t>
          </w:r>
          <w:r>
            <w:noBreakHyphen/>
            <w:t>use controls operate in Australia?</w:t>
          </w:r>
          <w:r>
            <w:rPr>
              <w:webHidden/>
            </w:rPr>
            <w:tab/>
          </w:r>
          <w:r>
            <w:rPr>
              <w:webHidden/>
            </w:rPr>
            <w:fldChar w:fldCharType="begin"/>
          </w:r>
          <w:r>
            <w:rPr>
              <w:webHidden/>
            </w:rPr>
            <w:instrText xml:space="preserve"> PAGEREF _Toc235103145 \h </w:instrText>
          </w:r>
          <w:r>
            <w:rPr>
              <w:webHidden/>
            </w:rPr>
          </w:r>
          <w:r>
            <w:rPr>
              <w:webHidden/>
            </w:rPr>
            <w:fldChar w:fldCharType="separate"/>
          </w:r>
          <w:r w:rsidR="00321142">
            <w:rPr>
              <w:webHidden/>
            </w:rPr>
            <w:t>38</w:t>
          </w:r>
          <w:r>
            <w:rPr>
              <w:webHidden/>
            </w:rPr>
            <w:fldChar w:fldCharType="end"/>
          </w:r>
        </w:p>
        <w:p w14:paraId="522304E1" w14:textId="6D14A511" w:rsidR="00607B17" w:rsidRDefault="00607B17">
          <w:pPr>
            <w:pStyle w:val="TOC2"/>
            <w:rPr>
              <w:rFonts w:asciiTheme="minorHAnsi" w:eastAsiaTheme="minorEastAsia" w:hAnsiTheme="minorHAnsi"/>
              <w:kern w:val="2"/>
              <w:sz w:val="24"/>
              <w:szCs w:val="24"/>
              <w:lang w:eastAsia="en-AU"/>
              <w14:ligatures w14:val="standardContextual"/>
            </w:rPr>
          </w:pPr>
          <w:r>
            <w:t>2.2</w:t>
          </w:r>
          <w:r>
            <w:rPr>
              <w:rFonts w:asciiTheme="minorHAnsi" w:eastAsiaTheme="minorEastAsia" w:hAnsiTheme="minorHAnsi"/>
              <w:kern w:val="2"/>
              <w:sz w:val="24"/>
              <w:szCs w:val="24"/>
              <w:lang w:eastAsia="en-AU"/>
              <w14:ligatures w14:val="standardContextual"/>
            </w:rPr>
            <w:tab/>
          </w:r>
          <w:r>
            <w:t>Land</w:t>
          </w:r>
          <w:r>
            <w:noBreakHyphen/>
            <w:t>use controls limit housing supply</w:t>
          </w:r>
          <w:r>
            <w:rPr>
              <w:webHidden/>
            </w:rPr>
            <w:tab/>
          </w:r>
          <w:r>
            <w:rPr>
              <w:webHidden/>
            </w:rPr>
            <w:fldChar w:fldCharType="begin"/>
          </w:r>
          <w:r>
            <w:rPr>
              <w:webHidden/>
            </w:rPr>
            <w:instrText xml:space="preserve"> PAGEREF _Toc235103146 \h </w:instrText>
          </w:r>
          <w:r>
            <w:rPr>
              <w:webHidden/>
            </w:rPr>
          </w:r>
          <w:r>
            <w:rPr>
              <w:webHidden/>
            </w:rPr>
            <w:fldChar w:fldCharType="separate"/>
          </w:r>
          <w:r w:rsidR="00321142">
            <w:rPr>
              <w:webHidden/>
            </w:rPr>
            <w:t>39</w:t>
          </w:r>
          <w:r>
            <w:rPr>
              <w:webHidden/>
            </w:rPr>
            <w:fldChar w:fldCharType="end"/>
          </w:r>
        </w:p>
        <w:p w14:paraId="247F07D4" w14:textId="3D16DDFB" w:rsidR="00607B17" w:rsidRDefault="00607B17">
          <w:pPr>
            <w:pStyle w:val="TOC2"/>
            <w:rPr>
              <w:rFonts w:asciiTheme="minorHAnsi" w:eastAsiaTheme="minorEastAsia" w:hAnsiTheme="minorHAnsi"/>
              <w:kern w:val="2"/>
              <w:sz w:val="24"/>
              <w:szCs w:val="24"/>
              <w:lang w:eastAsia="en-AU"/>
              <w14:ligatures w14:val="standardContextual"/>
            </w:rPr>
          </w:pPr>
          <w:r>
            <w:t>2.3</w:t>
          </w:r>
          <w:r>
            <w:rPr>
              <w:rFonts w:asciiTheme="minorHAnsi" w:eastAsiaTheme="minorEastAsia" w:hAnsiTheme="minorHAnsi"/>
              <w:kern w:val="2"/>
              <w:sz w:val="24"/>
              <w:szCs w:val="24"/>
              <w:lang w:eastAsia="en-AU"/>
              <w14:ligatures w14:val="standardContextual"/>
            </w:rPr>
            <w:tab/>
          </w:r>
          <w:r>
            <w:t>Land release only matters if land is ready for development</w:t>
          </w:r>
          <w:r>
            <w:rPr>
              <w:webHidden/>
            </w:rPr>
            <w:tab/>
          </w:r>
          <w:r>
            <w:rPr>
              <w:webHidden/>
            </w:rPr>
            <w:fldChar w:fldCharType="begin"/>
          </w:r>
          <w:r>
            <w:rPr>
              <w:webHidden/>
            </w:rPr>
            <w:instrText xml:space="preserve"> PAGEREF _Toc235103147 \h </w:instrText>
          </w:r>
          <w:r>
            <w:rPr>
              <w:webHidden/>
            </w:rPr>
          </w:r>
          <w:r>
            <w:rPr>
              <w:webHidden/>
            </w:rPr>
            <w:fldChar w:fldCharType="separate"/>
          </w:r>
          <w:r w:rsidR="00321142">
            <w:rPr>
              <w:webHidden/>
            </w:rPr>
            <w:t>49</w:t>
          </w:r>
          <w:r>
            <w:rPr>
              <w:webHidden/>
            </w:rPr>
            <w:fldChar w:fldCharType="end"/>
          </w:r>
        </w:p>
        <w:p w14:paraId="385C0C8F" w14:textId="36E703CF" w:rsidR="00607B17" w:rsidRDefault="00607B17">
          <w:pPr>
            <w:pStyle w:val="TOC2"/>
            <w:rPr>
              <w:rFonts w:asciiTheme="minorHAnsi" w:eastAsiaTheme="minorEastAsia" w:hAnsiTheme="minorHAnsi"/>
              <w:kern w:val="2"/>
              <w:sz w:val="24"/>
              <w:szCs w:val="24"/>
              <w:lang w:eastAsia="en-AU"/>
              <w14:ligatures w14:val="standardContextual"/>
            </w:rPr>
          </w:pPr>
          <w:r>
            <w:t>2.4</w:t>
          </w:r>
          <w:r>
            <w:rPr>
              <w:rFonts w:asciiTheme="minorHAnsi" w:eastAsiaTheme="minorEastAsia" w:hAnsiTheme="minorHAnsi"/>
              <w:kern w:val="2"/>
              <w:sz w:val="24"/>
              <w:szCs w:val="24"/>
              <w:lang w:eastAsia="en-AU"/>
              <w14:ligatures w14:val="standardContextual"/>
            </w:rPr>
            <w:tab/>
          </w:r>
          <w:r>
            <w:t>Reform directions for land</w:t>
          </w:r>
          <w:r>
            <w:noBreakHyphen/>
            <w:t>use controls</w:t>
          </w:r>
          <w:r>
            <w:rPr>
              <w:webHidden/>
            </w:rPr>
            <w:tab/>
          </w:r>
          <w:r>
            <w:rPr>
              <w:webHidden/>
            </w:rPr>
            <w:fldChar w:fldCharType="begin"/>
          </w:r>
          <w:r>
            <w:rPr>
              <w:webHidden/>
            </w:rPr>
            <w:instrText xml:space="preserve"> PAGEREF _Toc235103148 \h </w:instrText>
          </w:r>
          <w:r>
            <w:rPr>
              <w:webHidden/>
            </w:rPr>
          </w:r>
          <w:r>
            <w:rPr>
              <w:webHidden/>
            </w:rPr>
            <w:fldChar w:fldCharType="separate"/>
          </w:r>
          <w:r w:rsidR="00321142">
            <w:rPr>
              <w:webHidden/>
            </w:rPr>
            <w:t>51</w:t>
          </w:r>
          <w:r>
            <w:rPr>
              <w:webHidden/>
            </w:rPr>
            <w:fldChar w:fldCharType="end"/>
          </w:r>
        </w:p>
        <w:p w14:paraId="3E5A9ACC" w14:textId="5EE23B25" w:rsidR="00607B17" w:rsidRDefault="00607B17">
          <w:pPr>
            <w:pStyle w:val="TOC2"/>
            <w:rPr>
              <w:rFonts w:asciiTheme="minorHAnsi" w:eastAsiaTheme="minorEastAsia" w:hAnsiTheme="minorHAnsi"/>
              <w:kern w:val="2"/>
              <w:sz w:val="24"/>
              <w:szCs w:val="24"/>
              <w:lang w:eastAsia="en-AU"/>
              <w14:ligatures w14:val="standardContextual"/>
            </w:rPr>
          </w:pPr>
          <w:r>
            <w:t>2.5</w:t>
          </w:r>
          <w:r>
            <w:rPr>
              <w:rFonts w:asciiTheme="minorHAnsi" w:eastAsiaTheme="minorEastAsia" w:hAnsiTheme="minorHAnsi"/>
              <w:kern w:val="2"/>
              <w:sz w:val="24"/>
              <w:szCs w:val="24"/>
              <w:lang w:eastAsia="en-AU"/>
              <w14:ligatures w14:val="standardContextual"/>
            </w:rPr>
            <w:tab/>
          </w:r>
          <w:r>
            <w:t>Inquiry next steps on land</w:t>
          </w:r>
          <w:r>
            <w:noBreakHyphen/>
            <w:t>use regulation</w:t>
          </w:r>
          <w:r>
            <w:rPr>
              <w:webHidden/>
            </w:rPr>
            <w:tab/>
          </w:r>
          <w:r>
            <w:rPr>
              <w:webHidden/>
            </w:rPr>
            <w:fldChar w:fldCharType="begin"/>
          </w:r>
          <w:r>
            <w:rPr>
              <w:webHidden/>
            </w:rPr>
            <w:instrText xml:space="preserve"> PAGEREF _Toc235103149 \h </w:instrText>
          </w:r>
          <w:r>
            <w:rPr>
              <w:webHidden/>
            </w:rPr>
          </w:r>
          <w:r>
            <w:rPr>
              <w:webHidden/>
            </w:rPr>
            <w:fldChar w:fldCharType="separate"/>
          </w:r>
          <w:r w:rsidR="00321142">
            <w:rPr>
              <w:webHidden/>
            </w:rPr>
            <w:t>59</w:t>
          </w:r>
          <w:r>
            <w:rPr>
              <w:webHidden/>
            </w:rPr>
            <w:fldChar w:fldCharType="end"/>
          </w:r>
        </w:p>
        <w:p w14:paraId="34F15D93" w14:textId="3846A50F"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3.</w:t>
          </w:r>
          <w:r>
            <w:rPr>
              <w:rFonts w:asciiTheme="minorHAnsi" w:eastAsiaTheme="minorEastAsia" w:hAnsiTheme="minorHAnsi"/>
              <w:noProof/>
              <w:color w:val="auto"/>
              <w:kern w:val="2"/>
              <w:sz w:val="24"/>
              <w:szCs w:val="24"/>
              <w:lang w:eastAsia="en-AU"/>
              <w14:ligatures w14:val="standardContextual"/>
            </w:rPr>
            <w:tab/>
          </w:r>
          <w:r>
            <w:rPr>
              <w:noProof/>
            </w:rPr>
            <w:t>Reducing the burden of approvals</w:t>
          </w:r>
          <w:r>
            <w:rPr>
              <w:noProof/>
              <w:webHidden/>
            </w:rPr>
            <w:tab/>
          </w:r>
          <w:r>
            <w:rPr>
              <w:noProof/>
              <w:webHidden/>
            </w:rPr>
            <w:fldChar w:fldCharType="begin"/>
          </w:r>
          <w:r>
            <w:rPr>
              <w:noProof/>
              <w:webHidden/>
            </w:rPr>
            <w:instrText xml:space="preserve"> PAGEREF _Toc235103150 \h </w:instrText>
          </w:r>
          <w:r>
            <w:rPr>
              <w:noProof/>
              <w:webHidden/>
            </w:rPr>
          </w:r>
          <w:r>
            <w:rPr>
              <w:noProof/>
              <w:webHidden/>
            </w:rPr>
            <w:fldChar w:fldCharType="separate"/>
          </w:r>
          <w:r w:rsidR="00321142">
            <w:rPr>
              <w:noProof/>
              <w:webHidden/>
            </w:rPr>
            <w:t>61</w:t>
          </w:r>
          <w:r>
            <w:rPr>
              <w:noProof/>
              <w:webHidden/>
            </w:rPr>
            <w:fldChar w:fldCharType="end"/>
          </w:r>
        </w:p>
        <w:p w14:paraId="2A9FA599" w14:textId="1E257AFB" w:rsidR="00607B17" w:rsidRDefault="00607B17">
          <w:pPr>
            <w:pStyle w:val="TOC2"/>
            <w:rPr>
              <w:rFonts w:asciiTheme="minorHAnsi" w:eastAsiaTheme="minorEastAsia" w:hAnsiTheme="minorHAnsi"/>
              <w:kern w:val="2"/>
              <w:sz w:val="24"/>
              <w:szCs w:val="24"/>
              <w:lang w:eastAsia="en-AU"/>
              <w14:ligatures w14:val="standardContextual"/>
            </w:rPr>
          </w:pPr>
          <w:r>
            <w:t>3.1</w:t>
          </w:r>
          <w:r>
            <w:rPr>
              <w:rFonts w:asciiTheme="minorHAnsi" w:eastAsiaTheme="minorEastAsia" w:hAnsiTheme="minorHAnsi"/>
              <w:kern w:val="2"/>
              <w:sz w:val="24"/>
              <w:szCs w:val="24"/>
              <w:lang w:eastAsia="en-AU"/>
              <w14:ligatures w14:val="standardContextual"/>
            </w:rPr>
            <w:tab/>
          </w:r>
          <w:r w:rsidRPr="00204BAC">
            <w:rPr>
              <w:spacing w:val="-2"/>
            </w:rPr>
            <w:t>The process for approval can be challenging and costly for developers</w:t>
          </w:r>
          <w:r>
            <w:rPr>
              <w:webHidden/>
            </w:rPr>
            <w:tab/>
          </w:r>
          <w:r>
            <w:rPr>
              <w:webHidden/>
            </w:rPr>
            <w:fldChar w:fldCharType="begin"/>
          </w:r>
          <w:r>
            <w:rPr>
              <w:webHidden/>
            </w:rPr>
            <w:instrText xml:space="preserve"> PAGEREF _Toc235103151 \h </w:instrText>
          </w:r>
          <w:r>
            <w:rPr>
              <w:webHidden/>
            </w:rPr>
          </w:r>
          <w:r>
            <w:rPr>
              <w:webHidden/>
            </w:rPr>
            <w:fldChar w:fldCharType="separate"/>
          </w:r>
          <w:r w:rsidR="00321142">
            <w:rPr>
              <w:webHidden/>
            </w:rPr>
            <w:t>62</w:t>
          </w:r>
          <w:r>
            <w:rPr>
              <w:webHidden/>
            </w:rPr>
            <w:fldChar w:fldCharType="end"/>
          </w:r>
        </w:p>
        <w:p w14:paraId="49A0A637" w14:textId="546C754B" w:rsidR="00607B17" w:rsidRDefault="00607B17" w:rsidP="00204BAC">
          <w:pPr>
            <w:pStyle w:val="TOC2"/>
            <w:ind w:left="1134" w:hanging="567"/>
            <w:rPr>
              <w:rFonts w:asciiTheme="minorHAnsi" w:eastAsiaTheme="minorEastAsia" w:hAnsiTheme="minorHAnsi"/>
              <w:kern w:val="2"/>
              <w:sz w:val="24"/>
              <w:szCs w:val="24"/>
              <w:lang w:eastAsia="en-AU"/>
              <w14:ligatures w14:val="standardContextual"/>
            </w:rPr>
          </w:pPr>
          <w:r>
            <w:t>3.2</w:t>
          </w:r>
          <w:r>
            <w:rPr>
              <w:rFonts w:asciiTheme="minorHAnsi" w:eastAsiaTheme="minorEastAsia" w:hAnsiTheme="minorHAnsi"/>
              <w:kern w:val="2"/>
              <w:sz w:val="24"/>
              <w:szCs w:val="24"/>
              <w:lang w:eastAsia="en-AU"/>
              <w14:ligatures w14:val="standardContextual"/>
            </w:rPr>
            <w:tab/>
          </w:r>
          <w:r>
            <w:t>Regulatory burden tends to be highest for planning approvals to release</w:t>
          </w:r>
          <w:r w:rsidR="00204BAC">
            <w:t> </w:t>
          </w:r>
          <w:r>
            <w:t>land or develop housing</w:t>
          </w:r>
          <w:r>
            <w:rPr>
              <w:webHidden/>
            </w:rPr>
            <w:tab/>
          </w:r>
          <w:r>
            <w:rPr>
              <w:webHidden/>
            </w:rPr>
            <w:fldChar w:fldCharType="begin"/>
          </w:r>
          <w:r>
            <w:rPr>
              <w:webHidden/>
            </w:rPr>
            <w:instrText xml:space="preserve"> PAGEREF _Toc235103152 \h </w:instrText>
          </w:r>
          <w:r>
            <w:rPr>
              <w:webHidden/>
            </w:rPr>
          </w:r>
          <w:r>
            <w:rPr>
              <w:webHidden/>
            </w:rPr>
            <w:fldChar w:fldCharType="separate"/>
          </w:r>
          <w:r w:rsidR="00321142">
            <w:rPr>
              <w:webHidden/>
            </w:rPr>
            <w:t>67</w:t>
          </w:r>
          <w:r>
            <w:rPr>
              <w:webHidden/>
            </w:rPr>
            <w:fldChar w:fldCharType="end"/>
          </w:r>
        </w:p>
        <w:p w14:paraId="33155855" w14:textId="2E6FA265" w:rsidR="00607B17" w:rsidRDefault="00607B17">
          <w:pPr>
            <w:pStyle w:val="TOC2"/>
            <w:rPr>
              <w:rFonts w:asciiTheme="minorHAnsi" w:eastAsiaTheme="minorEastAsia" w:hAnsiTheme="minorHAnsi"/>
              <w:kern w:val="2"/>
              <w:sz w:val="24"/>
              <w:szCs w:val="24"/>
              <w:lang w:eastAsia="en-AU"/>
              <w14:ligatures w14:val="standardContextual"/>
            </w:rPr>
          </w:pPr>
          <w:r>
            <w:t>3.3</w:t>
          </w:r>
          <w:r>
            <w:rPr>
              <w:rFonts w:asciiTheme="minorHAnsi" w:eastAsiaTheme="minorEastAsia" w:hAnsiTheme="minorHAnsi"/>
              <w:kern w:val="2"/>
              <w:sz w:val="24"/>
              <w:szCs w:val="24"/>
              <w:lang w:eastAsia="en-AU"/>
              <w14:ligatures w14:val="standardContextual"/>
            </w:rPr>
            <w:tab/>
          </w:r>
          <w:r>
            <w:t>Rigid processes may discourage innovation</w:t>
          </w:r>
          <w:r>
            <w:rPr>
              <w:webHidden/>
            </w:rPr>
            <w:tab/>
          </w:r>
          <w:r>
            <w:rPr>
              <w:webHidden/>
            </w:rPr>
            <w:fldChar w:fldCharType="begin"/>
          </w:r>
          <w:r>
            <w:rPr>
              <w:webHidden/>
            </w:rPr>
            <w:instrText xml:space="preserve"> PAGEREF _Toc235103153 \h </w:instrText>
          </w:r>
          <w:r>
            <w:rPr>
              <w:webHidden/>
            </w:rPr>
          </w:r>
          <w:r>
            <w:rPr>
              <w:webHidden/>
            </w:rPr>
            <w:fldChar w:fldCharType="separate"/>
          </w:r>
          <w:r w:rsidR="00321142">
            <w:rPr>
              <w:webHidden/>
            </w:rPr>
            <w:t>70</w:t>
          </w:r>
          <w:r>
            <w:rPr>
              <w:webHidden/>
            </w:rPr>
            <w:fldChar w:fldCharType="end"/>
          </w:r>
        </w:p>
        <w:p w14:paraId="54EA923D" w14:textId="59DA123E" w:rsidR="00607B17" w:rsidRDefault="00607B17">
          <w:pPr>
            <w:pStyle w:val="TOC2"/>
            <w:rPr>
              <w:rFonts w:asciiTheme="minorHAnsi" w:eastAsiaTheme="minorEastAsia" w:hAnsiTheme="minorHAnsi"/>
              <w:kern w:val="2"/>
              <w:sz w:val="24"/>
              <w:szCs w:val="24"/>
              <w:lang w:eastAsia="en-AU"/>
              <w14:ligatures w14:val="standardContextual"/>
            </w:rPr>
          </w:pPr>
          <w:r>
            <w:t>3.4</w:t>
          </w:r>
          <w:r>
            <w:rPr>
              <w:rFonts w:asciiTheme="minorHAnsi" w:eastAsiaTheme="minorEastAsia" w:hAnsiTheme="minorHAnsi"/>
              <w:kern w:val="2"/>
              <w:sz w:val="24"/>
              <w:szCs w:val="24"/>
              <w:lang w:eastAsia="en-AU"/>
              <w14:ligatures w14:val="standardContextual"/>
            </w:rPr>
            <w:tab/>
          </w:r>
          <w:r>
            <w:t>Recent reforms offer examples of best practice</w:t>
          </w:r>
          <w:r>
            <w:rPr>
              <w:webHidden/>
            </w:rPr>
            <w:tab/>
          </w:r>
          <w:r>
            <w:rPr>
              <w:webHidden/>
            </w:rPr>
            <w:fldChar w:fldCharType="begin"/>
          </w:r>
          <w:r>
            <w:rPr>
              <w:webHidden/>
            </w:rPr>
            <w:instrText xml:space="preserve"> PAGEREF _Toc235103154 \h </w:instrText>
          </w:r>
          <w:r>
            <w:rPr>
              <w:webHidden/>
            </w:rPr>
          </w:r>
          <w:r>
            <w:rPr>
              <w:webHidden/>
            </w:rPr>
            <w:fldChar w:fldCharType="separate"/>
          </w:r>
          <w:r w:rsidR="00321142">
            <w:rPr>
              <w:webHidden/>
            </w:rPr>
            <w:t>73</w:t>
          </w:r>
          <w:r>
            <w:rPr>
              <w:webHidden/>
            </w:rPr>
            <w:fldChar w:fldCharType="end"/>
          </w:r>
        </w:p>
        <w:p w14:paraId="45F91470" w14:textId="34BDDA6F" w:rsidR="00607B17" w:rsidRDefault="00607B17">
          <w:pPr>
            <w:pStyle w:val="TOC2"/>
            <w:rPr>
              <w:rFonts w:asciiTheme="minorHAnsi" w:eastAsiaTheme="minorEastAsia" w:hAnsiTheme="minorHAnsi"/>
              <w:kern w:val="2"/>
              <w:sz w:val="24"/>
              <w:szCs w:val="24"/>
              <w:lang w:eastAsia="en-AU"/>
              <w14:ligatures w14:val="standardContextual"/>
            </w:rPr>
          </w:pPr>
          <w:r>
            <w:t>3.5</w:t>
          </w:r>
          <w:r>
            <w:rPr>
              <w:rFonts w:asciiTheme="minorHAnsi" w:eastAsiaTheme="minorEastAsia" w:hAnsiTheme="minorHAnsi"/>
              <w:kern w:val="2"/>
              <w:sz w:val="24"/>
              <w:szCs w:val="24"/>
              <w:lang w:eastAsia="en-AU"/>
              <w14:ligatures w14:val="standardContextual"/>
            </w:rPr>
            <w:tab/>
          </w:r>
          <w:r>
            <w:t>Governments should make approvals simple, fast and predictable</w:t>
          </w:r>
          <w:r>
            <w:rPr>
              <w:webHidden/>
            </w:rPr>
            <w:tab/>
          </w:r>
          <w:r>
            <w:rPr>
              <w:webHidden/>
            </w:rPr>
            <w:fldChar w:fldCharType="begin"/>
          </w:r>
          <w:r>
            <w:rPr>
              <w:webHidden/>
            </w:rPr>
            <w:instrText xml:space="preserve"> PAGEREF _Toc235103155 \h </w:instrText>
          </w:r>
          <w:r>
            <w:rPr>
              <w:webHidden/>
            </w:rPr>
          </w:r>
          <w:r>
            <w:rPr>
              <w:webHidden/>
            </w:rPr>
            <w:fldChar w:fldCharType="separate"/>
          </w:r>
          <w:r w:rsidR="00321142">
            <w:rPr>
              <w:webHidden/>
            </w:rPr>
            <w:t>77</w:t>
          </w:r>
          <w:r>
            <w:rPr>
              <w:webHidden/>
            </w:rPr>
            <w:fldChar w:fldCharType="end"/>
          </w:r>
        </w:p>
        <w:p w14:paraId="7F91E433" w14:textId="0B1716C2" w:rsidR="00607B17" w:rsidRDefault="00607B17">
          <w:pPr>
            <w:pStyle w:val="TOC2"/>
            <w:rPr>
              <w:rFonts w:asciiTheme="minorHAnsi" w:eastAsiaTheme="minorEastAsia" w:hAnsiTheme="minorHAnsi"/>
              <w:kern w:val="2"/>
              <w:sz w:val="24"/>
              <w:szCs w:val="24"/>
              <w:lang w:eastAsia="en-AU"/>
              <w14:ligatures w14:val="standardContextual"/>
            </w:rPr>
          </w:pPr>
          <w:r>
            <w:t>3.6</w:t>
          </w:r>
          <w:r>
            <w:rPr>
              <w:rFonts w:asciiTheme="minorHAnsi" w:eastAsiaTheme="minorEastAsia" w:hAnsiTheme="minorHAnsi"/>
              <w:kern w:val="2"/>
              <w:sz w:val="24"/>
              <w:szCs w:val="24"/>
              <w:lang w:eastAsia="en-AU"/>
              <w14:ligatures w14:val="standardContextual"/>
            </w:rPr>
            <w:tab/>
          </w:r>
          <w:r>
            <w:t>Inquiry next steps on housing approvals regulation</w:t>
          </w:r>
          <w:r>
            <w:rPr>
              <w:webHidden/>
            </w:rPr>
            <w:tab/>
          </w:r>
          <w:r>
            <w:rPr>
              <w:webHidden/>
            </w:rPr>
            <w:fldChar w:fldCharType="begin"/>
          </w:r>
          <w:r>
            <w:rPr>
              <w:webHidden/>
            </w:rPr>
            <w:instrText xml:space="preserve"> PAGEREF _Toc235103156 \h </w:instrText>
          </w:r>
          <w:r>
            <w:rPr>
              <w:webHidden/>
            </w:rPr>
          </w:r>
          <w:r>
            <w:rPr>
              <w:webHidden/>
            </w:rPr>
            <w:fldChar w:fldCharType="separate"/>
          </w:r>
          <w:r w:rsidR="00321142">
            <w:rPr>
              <w:webHidden/>
            </w:rPr>
            <w:t>83</w:t>
          </w:r>
          <w:r>
            <w:rPr>
              <w:webHidden/>
            </w:rPr>
            <w:fldChar w:fldCharType="end"/>
          </w:r>
        </w:p>
        <w:p w14:paraId="1AEC7EBA" w14:textId="55848A20"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lastRenderedPageBreak/>
            <w:t>4.</w:t>
          </w:r>
          <w:r>
            <w:rPr>
              <w:rFonts w:asciiTheme="minorHAnsi" w:eastAsiaTheme="minorEastAsia" w:hAnsiTheme="minorHAnsi"/>
              <w:noProof/>
              <w:color w:val="auto"/>
              <w:kern w:val="2"/>
              <w:sz w:val="24"/>
              <w:szCs w:val="24"/>
              <w:lang w:eastAsia="en-AU"/>
              <w14:ligatures w14:val="standardContextual"/>
            </w:rPr>
            <w:tab/>
          </w:r>
          <w:r>
            <w:rPr>
              <w:noProof/>
            </w:rPr>
            <w:t>Delivering housing-enabling infrastructure</w:t>
          </w:r>
          <w:r>
            <w:rPr>
              <w:noProof/>
              <w:webHidden/>
            </w:rPr>
            <w:tab/>
          </w:r>
          <w:r>
            <w:rPr>
              <w:noProof/>
              <w:webHidden/>
            </w:rPr>
            <w:fldChar w:fldCharType="begin"/>
          </w:r>
          <w:r>
            <w:rPr>
              <w:noProof/>
              <w:webHidden/>
            </w:rPr>
            <w:instrText xml:space="preserve"> PAGEREF _Toc235103157 \h </w:instrText>
          </w:r>
          <w:r>
            <w:rPr>
              <w:noProof/>
              <w:webHidden/>
            </w:rPr>
          </w:r>
          <w:r>
            <w:rPr>
              <w:noProof/>
              <w:webHidden/>
            </w:rPr>
            <w:fldChar w:fldCharType="separate"/>
          </w:r>
          <w:r w:rsidR="00321142">
            <w:rPr>
              <w:noProof/>
              <w:webHidden/>
            </w:rPr>
            <w:t>85</w:t>
          </w:r>
          <w:r>
            <w:rPr>
              <w:noProof/>
              <w:webHidden/>
            </w:rPr>
            <w:fldChar w:fldCharType="end"/>
          </w:r>
        </w:p>
        <w:p w14:paraId="7DC66555" w14:textId="03B2F503" w:rsidR="00607B17" w:rsidRDefault="00607B17">
          <w:pPr>
            <w:pStyle w:val="TOC2"/>
            <w:rPr>
              <w:rFonts w:asciiTheme="minorHAnsi" w:eastAsiaTheme="minorEastAsia" w:hAnsiTheme="minorHAnsi"/>
              <w:kern w:val="2"/>
              <w:sz w:val="24"/>
              <w:szCs w:val="24"/>
              <w:lang w:eastAsia="en-AU"/>
              <w14:ligatures w14:val="standardContextual"/>
            </w:rPr>
          </w:pPr>
          <w:r>
            <w:t>4.1</w:t>
          </w:r>
          <w:r>
            <w:rPr>
              <w:rFonts w:asciiTheme="minorHAnsi" w:eastAsiaTheme="minorEastAsia" w:hAnsiTheme="minorHAnsi"/>
              <w:kern w:val="2"/>
              <w:sz w:val="24"/>
              <w:szCs w:val="24"/>
              <w:lang w:eastAsia="en-AU"/>
              <w14:ligatures w14:val="standardContextual"/>
            </w:rPr>
            <w:tab/>
          </w:r>
          <w:r w:rsidRPr="00204BAC">
            <w:rPr>
              <w:spacing w:val="-2"/>
            </w:rPr>
            <w:t>Housing-enabling infrastructure is essential to support housing supply</w:t>
          </w:r>
          <w:r>
            <w:rPr>
              <w:webHidden/>
            </w:rPr>
            <w:tab/>
          </w:r>
          <w:r>
            <w:rPr>
              <w:webHidden/>
            </w:rPr>
            <w:fldChar w:fldCharType="begin"/>
          </w:r>
          <w:r>
            <w:rPr>
              <w:webHidden/>
            </w:rPr>
            <w:instrText xml:space="preserve"> PAGEREF _Toc235103158 \h </w:instrText>
          </w:r>
          <w:r>
            <w:rPr>
              <w:webHidden/>
            </w:rPr>
          </w:r>
          <w:r>
            <w:rPr>
              <w:webHidden/>
            </w:rPr>
            <w:fldChar w:fldCharType="separate"/>
          </w:r>
          <w:r w:rsidR="00321142">
            <w:rPr>
              <w:webHidden/>
            </w:rPr>
            <w:t>85</w:t>
          </w:r>
          <w:r>
            <w:rPr>
              <w:webHidden/>
            </w:rPr>
            <w:fldChar w:fldCharType="end"/>
          </w:r>
        </w:p>
        <w:p w14:paraId="3F2A5DD2" w14:textId="3172940F" w:rsidR="00607B17" w:rsidRDefault="00607B17">
          <w:pPr>
            <w:pStyle w:val="TOC2"/>
            <w:rPr>
              <w:rFonts w:asciiTheme="minorHAnsi" w:eastAsiaTheme="minorEastAsia" w:hAnsiTheme="minorHAnsi"/>
              <w:kern w:val="2"/>
              <w:sz w:val="24"/>
              <w:szCs w:val="24"/>
              <w:lang w:eastAsia="en-AU"/>
              <w14:ligatures w14:val="standardContextual"/>
            </w:rPr>
          </w:pPr>
          <w:r>
            <w:t>4.2</w:t>
          </w:r>
          <w:r>
            <w:rPr>
              <w:rFonts w:asciiTheme="minorHAnsi" w:eastAsiaTheme="minorEastAsia" w:hAnsiTheme="minorHAnsi"/>
              <w:kern w:val="2"/>
              <w:sz w:val="24"/>
              <w:szCs w:val="24"/>
              <w:lang w:eastAsia="en-AU"/>
              <w14:ligatures w14:val="standardContextual"/>
            </w:rPr>
            <w:tab/>
          </w:r>
          <w:r>
            <w:t>Improving infrastructure planning and coordination</w:t>
          </w:r>
          <w:r>
            <w:rPr>
              <w:webHidden/>
            </w:rPr>
            <w:tab/>
          </w:r>
          <w:r>
            <w:rPr>
              <w:webHidden/>
            </w:rPr>
            <w:fldChar w:fldCharType="begin"/>
          </w:r>
          <w:r>
            <w:rPr>
              <w:webHidden/>
            </w:rPr>
            <w:instrText xml:space="preserve"> PAGEREF _Toc235103159 \h </w:instrText>
          </w:r>
          <w:r>
            <w:rPr>
              <w:webHidden/>
            </w:rPr>
          </w:r>
          <w:r>
            <w:rPr>
              <w:webHidden/>
            </w:rPr>
            <w:fldChar w:fldCharType="separate"/>
          </w:r>
          <w:r w:rsidR="00321142">
            <w:rPr>
              <w:webHidden/>
            </w:rPr>
            <w:t>89</w:t>
          </w:r>
          <w:r>
            <w:rPr>
              <w:webHidden/>
            </w:rPr>
            <w:fldChar w:fldCharType="end"/>
          </w:r>
        </w:p>
        <w:p w14:paraId="575E2983" w14:textId="0292BC6C" w:rsidR="00607B17" w:rsidRDefault="00607B17">
          <w:pPr>
            <w:pStyle w:val="TOC2"/>
            <w:rPr>
              <w:rFonts w:asciiTheme="minorHAnsi" w:eastAsiaTheme="minorEastAsia" w:hAnsiTheme="minorHAnsi"/>
              <w:kern w:val="2"/>
              <w:sz w:val="24"/>
              <w:szCs w:val="24"/>
              <w:lang w:eastAsia="en-AU"/>
              <w14:ligatures w14:val="standardContextual"/>
            </w:rPr>
          </w:pPr>
          <w:r>
            <w:t>4.3</w:t>
          </w:r>
          <w:r>
            <w:rPr>
              <w:rFonts w:asciiTheme="minorHAnsi" w:eastAsiaTheme="minorEastAsia" w:hAnsiTheme="minorHAnsi"/>
              <w:kern w:val="2"/>
              <w:sz w:val="24"/>
              <w:szCs w:val="24"/>
              <w:lang w:eastAsia="en-AU"/>
              <w14:ligatures w14:val="standardContextual"/>
            </w:rPr>
            <w:tab/>
          </w:r>
          <w:r>
            <w:t>Who pays for housing-enabling infrastructure?</w:t>
          </w:r>
          <w:r>
            <w:rPr>
              <w:webHidden/>
            </w:rPr>
            <w:tab/>
          </w:r>
          <w:r>
            <w:rPr>
              <w:webHidden/>
            </w:rPr>
            <w:fldChar w:fldCharType="begin"/>
          </w:r>
          <w:r>
            <w:rPr>
              <w:webHidden/>
            </w:rPr>
            <w:instrText xml:space="preserve"> PAGEREF _Toc235103160 \h </w:instrText>
          </w:r>
          <w:r>
            <w:rPr>
              <w:webHidden/>
            </w:rPr>
          </w:r>
          <w:r>
            <w:rPr>
              <w:webHidden/>
            </w:rPr>
            <w:fldChar w:fldCharType="separate"/>
          </w:r>
          <w:r w:rsidR="00321142">
            <w:rPr>
              <w:webHidden/>
            </w:rPr>
            <w:t>95</w:t>
          </w:r>
          <w:r>
            <w:rPr>
              <w:webHidden/>
            </w:rPr>
            <w:fldChar w:fldCharType="end"/>
          </w:r>
        </w:p>
        <w:p w14:paraId="526B79D4" w14:textId="5C450D04" w:rsidR="00607B17" w:rsidRDefault="00607B17">
          <w:pPr>
            <w:pStyle w:val="TOC2"/>
            <w:rPr>
              <w:rFonts w:asciiTheme="minorHAnsi" w:eastAsiaTheme="minorEastAsia" w:hAnsiTheme="minorHAnsi"/>
              <w:kern w:val="2"/>
              <w:sz w:val="24"/>
              <w:szCs w:val="24"/>
              <w:lang w:eastAsia="en-AU"/>
              <w14:ligatures w14:val="standardContextual"/>
            </w:rPr>
          </w:pPr>
          <w:r>
            <w:t>4.4</w:t>
          </w:r>
          <w:r>
            <w:rPr>
              <w:rFonts w:asciiTheme="minorHAnsi" w:eastAsiaTheme="minorEastAsia" w:hAnsiTheme="minorHAnsi"/>
              <w:kern w:val="2"/>
              <w:sz w:val="24"/>
              <w:szCs w:val="24"/>
              <w:lang w:eastAsia="en-AU"/>
              <w14:ligatures w14:val="standardContextual"/>
            </w:rPr>
            <w:tab/>
          </w:r>
          <w:r>
            <w:t>Supporting housing supply through developer contributions</w:t>
          </w:r>
          <w:r>
            <w:rPr>
              <w:webHidden/>
            </w:rPr>
            <w:tab/>
          </w:r>
          <w:r>
            <w:rPr>
              <w:webHidden/>
            </w:rPr>
            <w:fldChar w:fldCharType="begin"/>
          </w:r>
          <w:r>
            <w:rPr>
              <w:webHidden/>
            </w:rPr>
            <w:instrText xml:space="preserve"> PAGEREF _Toc235103161 \h </w:instrText>
          </w:r>
          <w:r>
            <w:rPr>
              <w:webHidden/>
            </w:rPr>
          </w:r>
          <w:r>
            <w:rPr>
              <w:webHidden/>
            </w:rPr>
            <w:fldChar w:fldCharType="separate"/>
          </w:r>
          <w:r w:rsidR="00321142">
            <w:rPr>
              <w:webHidden/>
            </w:rPr>
            <w:t>99</w:t>
          </w:r>
          <w:r>
            <w:rPr>
              <w:webHidden/>
            </w:rPr>
            <w:fldChar w:fldCharType="end"/>
          </w:r>
        </w:p>
        <w:p w14:paraId="002DA1CC" w14:textId="0D89AEAC" w:rsidR="00607B17" w:rsidRDefault="00607B17">
          <w:pPr>
            <w:pStyle w:val="TOC2"/>
            <w:rPr>
              <w:rFonts w:asciiTheme="minorHAnsi" w:eastAsiaTheme="minorEastAsia" w:hAnsiTheme="minorHAnsi"/>
              <w:kern w:val="2"/>
              <w:sz w:val="24"/>
              <w:szCs w:val="24"/>
              <w:lang w:eastAsia="en-AU"/>
              <w14:ligatures w14:val="standardContextual"/>
            </w:rPr>
          </w:pPr>
          <w:r>
            <w:t>4.5</w:t>
          </w:r>
          <w:r>
            <w:rPr>
              <w:rFonts w:asciiTheme="minorHAnsi" w:eastAsiaTheme="minorEastAsia" w:hAnsiTheme="minorHAnsi"/>
              <w:kern w:val="2"/>
              <w:sz w:val="24"/>
              <w:szCs w:val="24"/>
              <w:lang w:eastAsia="en-AU"/>
              <w14:ligatures w14:val="standardContextual"/>
            </w:rPr>
            <w:tab/>
          </w:r>
          <w:r>
            <w:t>Inquiry next steps on housing-enabling infrastructure</w:t>
          </w:r>
          <w:r>
            <w:rPr>
              <w:webHidden/>
            </w:rPr>
            <w:tab/>
          </w:r>
          <w:r>
            <w:rPr>
              <w:webHidden/>
            </w:rPr>
            <w:fldChar w:fldCharType="begin"/>
          </w:r>
          <w:r>
            <w:rPr>
              <w:webHidden/>
            </w:rPr>
            <w:instrText xml:space="preserve"> PAGEREF _Toc235103162 \h </w:instrText>
          </w:r>
          <w:r>
            <w:rPr>
              <w:webHidden/>
            </w:rPr>
          </w:r>
          <w:r>
            <w:rPr>
              <w:webHidden/>
            </w:rPr>
            <w:fldChar w:fldCharType="separate"/>
          </w:r>
          <w:r w:rsidR="00321142">
            <w:rPr>
              <w:webHidden/>
            </w:rPr>
            <w:t>107</w:t>
          </w:r>
          <w:r>
            <w:rPr>
              <w:webHidden/>
            </w:rPr>
            <w:fldChar w:fldCharType="end"/>
          </w:r>
        </w:p>
        <w:p w14:paraId="71A4B22C" w14:textId="47499B2F"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5.</w:t>
          </w:r>
          <w:r>
            <w:rPr>
              <w:rFonts w:asciiTheme="minorHAnsi" w:eastAsiaTheme="minorEastAsia" w:hAnsiTheme="minorHAnsi"/>
              <w:noProof/>
              <w:color w:val="auto"/>
              <w:kern w:val="2"/>
              <w:sz w:val="24"/>
              <w:szCs w:val="24"/>
              <w:lang w:eastAsia="en-AU"/>
              <w14:ligatures w14:val="standardContextual"/>
            </w:rPr>
            <w:tab/>
          </w:r>
          <w:r>
            <w:rPr>
              <w:noProof/>
            </w:rPr>
            <w:t>Toward more homes, faster</w:t>
          </w:r>
          <w:r>
            <w:rPr>
              <w:noProof/>
              <w:webHidden/>
            </w:rPr>
            <w:tab/>
          </w:r>
          <w:r>
            <w:rPr>
              <w:noProof/>
              <w:webHidden/>
            </w:rPr>
            <w:fldChar w:fldCharType="begin"/>
          </w:r>
          <w:r>
            <w:rPr>
              <w:noProof/>
              <w:webHidden/>
            </w:rPr>
            <w:instrText xml:space="preserve"> PAGEREF _Toc235103163 \h </w:instrText>
          </w:r>
          <w:r>
            <w:rPr>
              <w:noProof/>
              <w:webHidden/>
            </w:rPr>
          </w:r>
          <w:r>
            <w:rPr>
              <w:noProof/>
              <w:webHidden/>
            </w:rPr>
            <w:fldChar w:fldCharType="separate"/>
          </w:r>
          <w:r w:rsidR="00321142">
            <w:rPr>
              <w:noProof/>
              <w:webHidden/>
            </w:rPr>
            <w:t>109</w:t>
          </w:r>
          <w:r>
            <w:rPr>
              <w:noProof/>
              <w:webHidden/>
            </w:rPr>
            <w:fldChar w:fldCharType="end"/>
          </w:r>
        </w:p>
        <w:p w14:paraId="5654427D" w14:textId="5C305605" w:rsidR="00607B17" w:rsidRDefault="00607B17">
          <w:pPr>
            <w:pStyle w:val="TOC2"/>
            <w:rPr>
              <w:rFonts w:asciiTheme="minorHAnsi" w:eastAsiaTheme="minorEastAsia" w:hAnsiTheme="minorHAnsi"/>
              <w:kern w:val="2"/>
              <w:sz w:val="24"/>
              <w:szCs w:val="24"/>
              <w:lang w:eastAsia="en-AU"/>
              <w14:ligatures w14:val="standardContextual"/>
            </w:rPr>
          </w:pPr>
          <w:r>
            <w:t>5.1</w:t>
          </w:r>
          <w:r>
            <w:rPr>
              <w:rFonts w:asciiTheme="minorHAnsi" w:eastAsiaTheme="minorEastAsia" w:hAnsiTheme="minorHAnsi"/>
              <w:kern w:val="2"/>
              <w:sz w:val="24"/>
              <w:szCs w:val="24"/>
              <w:lang w:eastAsia="en-AU"/>
              <w14:ligatures w14:val="standardContextual"/>
            </w:rPr>
            <w:tab/>
          </w:r>
          <w:r>
            <w:t>Reform priorities to increase housing supply</w:t>
          </w:r>
          <w:r>
            <w:rPr>
              <w:webHidden/>
            </w:rPr>
            <w:tab/>
          </w:r>
          <w:r>
            <w:rPr>
              <w:webHidden/>
            </w:rPr>
            <w:fldChar w:fldCharType="begin"/>
          </w:r>
          <w:r>
            <w:rPr>
              <w:webHidden/>
            </w:rPr>
            <w:instrText xml:space="preserve"> PAGEREF _Toc235103164 \h </w:instrText>
          </w:r>
          <w:r>
            <w:rPr>
              <w:webHidden/>
            </w:rPr>
          </w:r>
          <w:r>
            <w:rPr>
              <w:webHidden/>
            </w:rPr>
            <w:fldChar w:fldCharType="separate"/>
          </w:r>
          <w:r w:rsidR="00321142">
            <w:rPr>
              <w:webHidden/>
            </w:rPr>
            <w:t>109</w:t>
          </w:r>
          <w:r>
            <w:rPr>
              <w:webHidden/>
            </w:rPr>
            <w:fldChar w:fldCharType="end"/>
          </w:r>
        </w:p>
        <w:p w14:paraId="79878B0D" w14:textId="330F6DBC" w:rsidR="00607B17" w:rsidRDefault="00607B17">
          <w:pPr>
            <w:pStyle w:val="TOC2"/>
            <w:rPr>
              <w:rFonts w:asciiTheme="minorHAnsi" w:eastAsiaTheme="minorEastAsia" w:hAnsiTheme="minorHAnsi"/>
              <w:kern w:val="2"/>
              <w:sz w:val="24"/>
              <w:szCs w:val="24"/>
              <w:lang w:eastAsia="en-AU"/>
              <w14:ligatures w14:val="standardContextual"/>
            </w:rPr>
          </w:pPr>
          <w:r>
            <w:t>5.2</w:t>
          </w:r>
          <w:r>
            <w:rPr>
              <w:rFonts w:asciiTheme="minorHAnsi" w:eastAsiaTheme="minorEastAsia" w:hAnsiTheme="minorHAnsi"/>
              <w:kern w:val="2"/>
              <w:sz w:val="24"/>
              <w:szCs w:val="24"/>
              <w:lang w:eastAsia="en-AU"/>
              <w14:ligatures w14:val="standardContextual"/>
            </w:rPr>
            <w:tab/>
          </w:r>
          <w:r>
            <w:t>Inquiry next steps</w:t>
          </w:r>
          <w:r>
            <w:rPr>
              <w:webHidden/>
            </w:rPr>
            <w:tab/>
          </w:r>
          <w:r>
            <w:rPr>
              <w:webHidden/>
            </w:rPr>
            <w:fldChar w:fldCharType="begin"/>
          </w:r>
          <w:r>
            <w:rPr>
              <w:webHidden/>
            </w:rPr>
            <w:instrText xml:space="preserve"> PAGEREF _Toc235103165 \h </w:instrText>
          </w:r>
          <w:r>
            <w:rPr>
              <w:webHidden/>
            </w:rPr>
          </w:r>
          <w:r>
            <w:rPr>
              <w:webHidden/>
            </w:rPr>
            <w:fldChar w:fldCharType="separate"/>
          </w:r>
          <w:r w:rsidR="00321142">
            <w:rPr>
              <w:webHidden/>
            </w:rPr>
            <w:t>115</w:t>
          </w:r>
          <w:r>
            <w:rPr>
              <w:webHidden/>
            </w:rPr>
            <w:fldChar w:fldCharType="end"/>
          </w:r>
        </w:p>
        <w:p w14:paraId="5FEE632A" w14:textId="5A5F36D2"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A.</w:t>
          </w:r>
          <w:r>
            <w:rPr>
              <w:rFonts w:asciiTheme="minorHAnsi" w:eastAsiaTheme="minorEastAsia" w:hAnsiTheme="minorHAnsi"/>
              <w:noProof/>
              <w:color w:val="auto"/>
              <w:kern w:val="2"/>
              <w:sz w:val="24"/>
              <w:szCs w:val="24"/>
              <w:lang w:eastAsia="en-AU"/>
              <w14:ligatures w14:val="standardContextual"/>
            </w:rPr>
            <w:tab/>
          </w:r>
          <w:r>
            <w:rPr>
              <w:noProof/>
            </w:rPr>
            <w:t>Public consultation</w:t>
          </w:r>
          <w:r>
            <w:rPr>
              <w:noProof/>
              <w:webHidden/>
            </w:rPr>
            <w:tab/>
          </w:r>
          <w:r>
            <w:rPr>
              <w:noProof/>
              <w:webHidden/>
            </w:rPr>
            <w:fldChar w:fldCharType="begin"/>
          </w:r>
          <w:r>
            <w:rPr>
              <w:noProof/>
              <w:webHidden/>
            </w:rPr>
            <w:instrText xml:space="preserve"> PAGEREF _Toc235103166 \h </w:instrText>
          </w:r>
          <w:r>
            <w:rPr>
              <w:noProof/>
              <w:webHidden/>
            </w:rPr>
          </w:r>
          <w:r>
            <w:rPr>
              <w:noProof/>
              <w:webHidden/>
            </w:rPr>
            <w:fldChar w:fldCharType="separate"/>
          </w:r>
          <w:r w:rsidR="00321142">
            <w:rPr>
              <w:noProof/>
              <w:webHidden/>
            </w:rPr>
            <w:t>117</w:t>
          </w:r>
          <w:r>
            <w:rPr>
              <w:noProof/>
              <w:webHidden/>
            </w:rPr>
            <w:fldChar w:fldCharType="end"/>
          </w:r>
        </w:p>
        <w:p w14:paraId="575F1C65" w14:textId="1A63D7BA"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Abbreviations</w:t>
          </w:r>
          <w:r>
            <w:rPr>
              <w:noProof/>
              <w:webHidden/>
            </w:rPr>
            <w:tab/>
          </w:r>
          <w:r>
            <w:rPr>
              <w:noProof/>
              <w:webHidden/>
            </w:rPr>
            <w:fldChar w:fldCharType="begin"/>
          </w:r>
          <w:r>
            <w:rPr>
              <w:noProof/>
              <w:webHidden/>
            </w:rPr>
            <w:instrText xml:space="preserve"> PAGEREF _Toc235103167 \h </w:instrText>
          </w:r>
          <w:r>
            <w:rPr>
              <w:noProof/>
              <w:webHidden/>
            </w:rPr>
          </w:r>
          <w:r>
            <w:rPr>
              <w:noProof/>
              <w:webHidden/>
            </w:rPr>
            <w:fldChar w:fldCharType="separate"/>
          </w:r>
          <w:r w:rsidR="00321142">
            <w:rPr>
              <w:noProof/>
              <w:webHidden/>
            </w:rPr>
            <w:t>122</w:t>
          </w:r>
          <w:r>
            <w:rPr>
              <w:noProof/>
              <w:webHidden/>
            </w:rPr>
            <w:fldChar w:fldCharType="end"/>
          </w:r>
        </w:p>
        <w:p w14:paraId="76D13C3C" w14:textId="5A40600A" w:rsidR="00607B17" w:rsidRDefault="00607B17" w:rsidP="005E5CE4">
          <w:pPr>
            <w:pStyle w:val="TOC1"/>
            <w:rPr>
              <w:rFonts w:asciiTheme="minorHAnsi" w:eastAsiaTheme="minorEastAsia" w:hAnsiTheme="minorHAnsi"/>
              <w:noProof/>
              <w:color w:val="auto"/>
              <w:kern w:val="2"/>
              <w:sz w:val="24"/>
              <w:szCs w:val="24"/>
              <w:lang w:eastAsia="en-AU"/>
              <w14:ligatures w14:val="standardContextual"/>
            </w:rPr>
          </w:pPr>
          <w:r>
            <w:rPr>
              <w:noProof/>
            </w:rPr>
            <w:t>References</w:t>
          </w:r>
          <w:r>
            <w:rPr>
              <w:noProof/>
              <w:webHidden/>
            </w:rPr>
            <w:tab/>
          </w:r>
          <w:r>
            <w:rPr>
              <w:noProof/>
              <w:webHidden/>
            </w:rPr>
            <w:fldChar w:fldCharType="begin"/>
          </w:r>
          <w:r>
            <w:rPr>
              <w:noProof/>
              <w:webHidden/>
            </w:rPr>
            <w:instrText xml:space="preserve"> PAGEREF _Toc235103168 \h </w:instrText>
          </w:r>
          <w:r>
            <w:rPr>
              <w:noProof/>
              <w:webHidden/>
            </w:rPr>
          </w:r>
          <w:r>
            <w:rPr>
              <w:noProof/>
              <w:webHidden/>
            </w:rPr>
            <w:fldChar w:fldCharType="separate"/>
          </w:r>
          <w:r w:rsidR="00321142">
            <w:rPr>
              <w:noProof/>
              <w:webHidden/>
            </w:rPr>
            <w:t>123</w:t>
          </w:r>
          <w:r>
            <w:rPr>
              <w:noProof/>
              <w:webHidden/>
            </w:rPr>
            <w:fldChar w:fldCharType="end"/>
          </w:r>
        </w:p>
        <w:p w14:paraId="5D8FE191" w14:textId="5400B911" w:rsidR="00E76EEC" w:rsidRPr="000429D1" w:rsidRDefault="00E76EEC" w:rsidP="00E76EEC">
          <w:pPr>
            <w:rPr>
              <w:bCs/>
            </w:rPr>
          </w:pPr>
          <w:r w:rsidRPr="000429D1">
            <w:rPr>
              <w:sz w:val="18"/>
            </w:rPr>
            <w:fldChar w:fldCharType="end"/>
          </w:r>
        </w:p>
      </w:sdtContent>
    </w:sdt>
    <w:p w14:paraId="36468EBD" w14:textId="77777777" w:rsidR="00754A11" w:rsidRPr="000429D1" w:rsidRDefault="00754A11" w:rsidP="00E76EEC">
      <w:pPr>
        <w:pStyle w:val="BodyText"/>
      </w:pPr>
    </w:p>
    <w:p w14:paraId="6198E5FC" w14:textId="77777777" w:rsidR="00E76EEC" w:rsidRPr="000429D1" w:rsidRDefault="00E76EEC" w:rsidP="00E76EEC">
      <w:pPr>
        <w:pStyle w:val="BodyText"/>
        <w:sectPr w:rsidR="00E76EEC" w:rsidRPr="000429D1" w:rsidSect="00E76EEC">
          <w:headerReference w:type="even" r:id="rId40"/>
          <w:headerReference w:type="default" r:id="rId41"/>
          <w:footerReference w:type="even" r:id="rId42"/>
          <w:footerReference w:type="default" r:id="rId43"/>
          <w:headerReference w:type="first" r:id="rId44"/>
          <w:pgSz w:w="11906" w:h="16838" w:code="9"/>
          <w:pgMar w:top="1134" w:right="1134" w:bottom="1134" w:left="1134" w:header="794" w:footer="510" w:gutter="0"/>
          <w:pgNumType w:fmt="lowerRoman"/>
          <w:cols w:space="708"/>
          <w:docGrid w:linePitch="360"/>
        </w:sectPr>
      </w:pPr>
    </w:p>
    <w:p w14:paraId="573387C6" w14:textId="77777777" w:rsidR="00A450D6" w:rsidRDefault="00A450D6">
      <w:pPr>
        <w:pStyle w:val="Heading1-Section-fullpage"/>
        <w:framePr w:wrap="around"/>
      </w:pPr>
      <w:bookmarkStart w:id="10" w:name="_Toc235103135"/>
      <w:r>
        <w:lastRenderedPageBreak/>
        <w:t>Overview</w:t>
      </w:r>
      <w:bookmarkEnd w:id="10"/>
    </w:p>
    <w:tbl>
      <w:tblPr>
        <w:tblStyle w:val="Texttable-Paleblue"/>
        <w:tblW w:w="5000" w:type="pct"/>
        <w:shd w:val="clear" w:color="auto" w:fill="E7F6FD"/>
        <w:tblLook w:val="04A0" w:firstRow="1" w:lastRow="0" w:firstColumn="1" w:lastColumn="0" w:noHBand="0" w:noVBand="1"/>
      </w:tblPr>
      <w:tblGrid>
        <w:gridCol w:w="575"/>
        <w:gridCol w:w="9063"/>
      </w:tblGrid>
      <w:tr w:rsidR="00A450D6" w:rsidRPr="002F759A" w14:paraId="039A7154" w14:textId="77777777">
        <w:tc>
          <w:tcPr>
            <w:tcW w:w="9638" w:type="dxa"/>
            <w:gridSpan w:val="2"/>
            <w:shd w:val="clear" w:color="auto" w:fill="E7F6FD"/>
            <w:tcMar>
              <w:left w:w="170" w:type="dxa"/>
            </w:tcMar>
          </w:tcPr>
          <w:p w14:paraId="6EEC8AEC" w14:textId="77777777" w:rsidR="00A450D6" w:rsidRPr="002F759A" w:rsidRDefault="00A450D6">
            <w:pPr>
              <w:pStyle w:val="Keypoints-heading"/>
            </w:pPr>
            <w:r w:rsidRPr="002F759A">
              <w:lastRenderedPageBreak/>
              <w:t>Key points</w:t>
            </w:r>
          </w:p>
        </w:tc>
      </w:tr>
      <w:tr w:rsidR="00A450D6" w14:paraId="4BD423BF" w14:textId="77777777">
        <w:tc>
          <w:tcPr>
            <w:tcW w:w="575" w:type="dxa"/>
            <w:shd w:val="clear" w:color="auto" w:fill="E7F6FD"/>
            <w:tcMar>
              <w:top w:w="0" w:type="dxa"/>
              <w:bottom w:w="0" w:type="dxa"/>
              <w:right w:w="113" w:type="dxa"/>
            </w:tcMar>
          </w:tcPr>
          <w:p w14:paraId="56FA6514" w14:textId="77777777" w:rsidR="00A450D6" w:rsidRDefault="00A450D6" w:rsidP="000C6B77">
            <w:pPr>
              <w:pStyle w:val="KeyPointsicon"/>
            </w:pPr>
            <w:r w:rsidRPr="00A51374">
              <w:rPr>
                <w:noProof/>
              </w:rPr>
              <w:drawing>
                <wp:inline distT="0" distB="0" distL="0" distR="0" wp14:anchorId="47C3894E" wp14:editId="337741FD">
                  <wp:extent cx="180000" cy="180000"/>
                  <wp:effectExtent l="0" t="0" r="0" b="0"/>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5F0487A1" w14:textId="77777777" w:rsidR="00A450D6" w:rsidRDefault="00A450D6" w:rsidP="00197C88">
            <w:pPr>
              <w:pStyle w:val="KeyPoints-Bold"/>
              <w:spacing w:before="0"/>
            </w:pPr>
            <w:r>
              <w:t>Australia doesn’t build enough homes in the areas where people want to live. This has made housing unaffordable in many parts of the country. Increasing housing supply would help put downward pressure on prices and support more people to live in housing that meets their needs.</w:t>
            </w:r>
          </w:p>
        </w:tc>
      </w:tr>
      <w:tr w:rsidR="00A450D6" w14:paraId="09D4AFCA" w14:textId="77777777">
        <w:tc>
          <w:tcPr>
            <w:tcW w:w="575" w:type="dxa"/>
            <w:shd w:val="clear" w:color="auto" w:fill="E7F6FD"/>
            <w:tcMar>
              <w:top w:w="0" w:type="dxa"/>
              <w:bottom w:w="0" w:type="dxa"/>
              <w:right w:w="113" w:type="dxa"/>
            </w:tcMar>
          </w:tcPr>
          <w:p w14:paraId="246C44AF" w14:textId="77777777" w:rsidR="00A450D6" w:rsidRPr="00A51374" w:rsidRDefault="00A450D6" w:rsidP="000C6B77">
            <w:pPr>
              <w:pStyle w:val="KeyPointsicon"/>
            </w:pPr>
            <w:r w:rsidRPr="00F31E73">
              <w:rPr>
                <w:noProof/>
              </w:rPr>
              <w:drawing>
                <wp:inline distT="0" distB="0" distL="0" distR="0" wp14:anchorId="012B59C9" wp14:editId="77202372">
                  <wp:extent cx="180000" cy="180000"/>
                  <wp:effectExtent l="0" t="0" r="0" b="0"/>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6893AF6F" w14:textId="77777777" w:rsidR="00A450D6" w:rsidRDefault="00A450D6" w:rsidP="00197C88">
            <w:pPr>
              <w:pStyle w:val="KeyPoints-Bold"/>
              <w:spacing w:before="0"/>
            </w:pPr>
            <w:r>
              <w:t xml:space="preserve">Regulation limits housing </w:t>
            </w:r>
            <w:proofErr w:type="gramStart"/>
            <w:r>
              <w:t>development, and</w:t>
            </w:r>
            <w:proofErr w:type="gramEnd"/>
            <w:r>
              <w:t xml:space="preserve"> improving it is a key lever for governments. While some regulation is necessary to ensure the safety, quality and liveability of new housing stock, too much or unnecessary regulation constrains housing supply.</w:t>
            </w:r>
          </w:p>
          <w:p w14:paraId="04BE2891" w14:textId="77777777" w:rsidR="00A450D6" w:rsidRDefault="00A450D6" w:rsidP="00A450D6">
            <w:pPr>
              <w:pStyle w:val="KeyPoints-Bullet"/>
              <w:spacing w:before="0"/>
            </w:pPr>
            <w:r>
              <w:t>Regulation can stop certain housing development occurring altogether. It can also deter development due to slow, cumbersome and expensive processes and uncertainty.</w:t>
            </w:r>
          </w:p>
          <w:p w14:paraId="0E270417" w14:textId="77777777" w:rsidR="00A450D6" w:rsidRPr="00610627" w:rsidRDefault="00A450D6" w:rsidP="00A450D6">
            <w:pPr>
              <w:pStyle w:val="KeyPoints-Bullet"/>
              <w:spacing w:before="0"/>
            </w:pPr>
            <w:r>
              <w:t>The number and interaction of different regulatory requirements can also limit housing construction.</w:t>
            </w:r>
          </w:p>
        </w:tc>
      </w:tr>
      <w:tr w:rsidR="00A450D6" w14:paraId="64FC0B4D" w14:textId="77777777">
        <w:tc>
          <w:tcPr>
            <w:tcW w:w="575" w:type="dxa"/>
            <w:shd w:val="clear" w:color="auto" w:fill="E7F6FD"/>
            <w:tcMar>
              <w:top w:w="0" w:type="dxa"/>
              <w:bottom w:w="0" w:type="dxa"/>
              <w:right w:w="113" w:type="dxa"/>
            </w:tcMar>
          </w:tcPr>
          <w:p w14:paraId="3F688C29" w14:textId="77777777" w:rsidR="00A450D6" w:rsidRPr="00A51374" w:rsidRDefault="00A450D6" w:rsidP="000C6B77">
            <w:pPr>
              <w:pStyle w:val="KeyPointsicon"/>
            </w:pPr>
            <w:r w:rsidRPr="00F31E73">
              <w:rPr>
                <w:noProof/>
              </w:rPr>
              <w:drawing>
                <wp:inline distT="0" distB="0" distL="0" distR="0" wp14:anchorId="26FCCBCC" wp14:editId="4B230808">
                  <wp:extent cx="180000" cy="180000"/>
                  <wp:effectExtent l="0" t="0" r="0" b="0"/>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368A4C8D" w14:textId="77777777" w:rsidR="00590FBA" w:rsidRDefault="00590FBA" w:rsidP="00590FBA">
            <w:pPr>
              <w:pStyle w:val="KeyPoints-Bold"/>
              <w:spacing w:before="0"/>
            </w:pPr>
            <w:r w:rsidRPr="00AD63B7">
              <w:t xml:space="preserve">We set out </w:t>
            </w:r>
            <w:r>
              <w:t>4</w:t>
            </w:r>
            <w:r w:rsidRPr="00AD63B7">
              <w:t xml:space="preserve"> principles of </w:t>
            </w:r>
            <w:r>
              <w:t>a best practice regulatory system for housing</w:t>
            </w:r>
            <w:r w:rsidRPr="00AD63B7">
              <w:t>: adopt a ‘build’ mindset; only regulate when necessary; coordinate with infrastructure; and keep the process simple</w:t>
            </w:r>
            <w:r>
              <w:t>.</w:t>
            </w:r>
          </w:p>
          <w:p w14:paraId="18F75EC9" w14:textId="72A79CAE" w:rsidR="00A450D6" w:rsidRPr="00610627" w:rsidRDefault="00590FBA" w:rsidP="00590FBA">
            <w:pPr>
              <w:pStyle w:val="KeyPoints-Bullet"/>
              <w:spacing w:before="0"/>
            </w:pPr>
            <w:r>
              <w:t>These principles underpin an overarching objective: a well</w:t>
            </w:r>
            <w:r>
              <w:noBreakHyphen/>
            </w:r>
            <w:r w:rsidRPr="00AD63B7">
              <w:t xml:space="preserve">functioning housing </w:t>
            </w:r>
            <w:r>
              <w:t>and planning regulatory</w:t>
            </w:r>
            <w:r w:rsidRPr="00AD63B7">
              <w:t xml:space="preserve"> </w:t>
            </w:r>
            <w:r>
              <w:t>system that</w:t>
            </w:r>
            <w:r w:rsidRPr="00AD63B7">
              <w:t xml:space="preserve"> enable</w:t>
            </w:r>
            <w:r>
              <w:t>s</w:t>
            </w:r>
            <w:r w:rsidRPr="00AD63B7">
              <w:t xml:space="preserve"> enough housing to meet people’s needs in the places where it delivers the greatest </w:t>
            </w:r>
            <w:r>
              <w:t xml:space="preserve">net </w:t>
            </w:r>
            <w:r w:rsidRPr="00AD63B7">
              <w:t>benefit to the Australian community.</w:t>
            </w:r>
          </w:p>
        </w:tc>
      </w:tr>
      <w:tr w:rsidR="00A450D6" w14:paraId="06B3E019" w14:textId="77777777">
        <w:tc>
          <w:tcPr>
            <w:tcW w:w="575" w:type="dxa"/>
            <w:shd w:val="clear" w:color="auto" w:fill="E7F6FD"/>
            <w:tcMar>
              <w:top w:w="0" w:type="dxa"/>
              <w:bottom w:w="0" w:type="dxa"/>
              <w:right w:w="113" w:type="dxa"/>
            </w:tcMar>
          </w:tcPr>
          <w:p w14:paraId="344A7159" w14:textId="77777777" w:rsidR="00A450D6" w:rsidRPr="00F31E73" w:rsidRDefault="00A450D6" w:rsidP="000C6B77">
            <w:pPr>
              <w:pStyle w:val="KeyPointsicon"/>
              <w:rPr>
                <w:noProof/>
              </w:rPr>
            </w:pPr>
            <w:r w:rsidRPr="00F31E73">
              <w:rPr>
                <w:noProof/>
              </w:rPr>
              <w:drawing>
                <wp:inline distT="0" distB="0" distL="0" distR="0" wp14:anchorId="19F7FA38" wp14:editId="5946EB9E">
                  <wp:extent cx="180000" cy="180000"/>
                  <wp:effectExtent l="0" t="0" r="0" b="0"/>
                  <wp:docPr id="497668653" name="Graphic 4976686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26EB3E26" w14:textId="77777777" w:rsidR="00A450D6" w:rsidRDefault="00A450D6" w:rsidP="004A1C15">
            <w:pPr>
              <w:pStyle w:val="KeyPoints-Bold"/>
              <w:spacing w:before="0"/>
            </w:pPr>
            <w:r>
              <w:t>Land</w:t>
            </w:r>
            <w:r>
              <w:noBreakHyphen/>
              <w:t xml:space="preserve">use controls prevent housing being </w:t>
            </w:r>
            <w:proofErr w:type="gramStart"/>
            <w:r>
              <w:t>built, or</w:t>
            </w:r>
            <w:proofErr w:type="gramEnd"/>
            <w:r>
              <w:t xml:space="preserve"> limit the form it can take. Relaxing these controls would have the greatest effect on housing supply of all our reform directions. </w:t>
            </w:r>
          </w:p>
          <w:p w14:paraId="29BBF0FA" w14:textId="77777777" w:rsidR="00A450D6" w:rsidRDefault="00A450D6" w:rsidP="00A450D6">
            <w:pPr>
              <w:pStyle w:val="KeyPoints-Bullet"/>
              <w:spacing w:before="0"/>
            </w:pPr>
            <w:r w:rsidRPr="0062420C">
              <w:t>Governments should commit to broad</w:t>
            </w:r>
            <w:r>
              <w:noBreakHyphen/>
            </w:r>
            <w:r w:rsidRPr="0062420C">
              <w:t>based upzoning in cities, including</w:t>
            </w:r>
            <w:r>
              <w:t xml:space="preserve"> </w:t>
            </w:r>
            <w:r w:rsidRPr="00D322CB">
              <w:t>by</w:t>
            </w:r>
            <w:r w:rsidRPr="0062420C">
              <w:t xml:space="preserve"> allowing </w:t>
            </w:r>
            <w:r>
              <w:t>3</w:t>
            </w:r>
            <w:r>
              <w:noBreakHyphen/>
            </w:r>
            <w:r w:rsidRPr="0062420C">
              <w:t>storey development on most residential land, reducing minimum lot sizes, using more mixed commercial and residential zones, and allowing more mid</w:t>
            </w:r>
            <w:r>
              <w:noBreakHyphen/>
              <w:t xml:space="preserve"> and/or</w:t>
            </w:r>
            <w:r w:rsidRPr="0062420C">
              <w:t xml:space="preserve"> high</w:t>
            </w:r>
            <w:r>
              <w:noBreakHyphen/>
            </w:r>
            <w:r w:rsidRPr="0062420C">
              <w:t>rise development in high</w:t>
            </w:r>
            <w:r>
              <w:noBreakHyphen/>
            </w:r>
            <w:r w:rsidRPr="0062420C">
              <w:t>demand areas.</w:t>
            </w:r>
          </w:p>
          <w:p w14:paraId="2A187100" w14:textId="77777777" w:rsidR="00A450D6" w:rsidRPr="00AD63B7" w:rsidRDefault="00A450D6" w:rsidP="00A450D6">
            <w:pPr>
              <w:pStyle w:val="KeyPoints-Bullet"/>
              <w:spacing w:before="0"/>
            </w:pPr>
            <w:r>
              <w:t>This upzoning should be supported by reducing restrictive land</w:t>
            </w:r>
            <w:r>
              <w:noBreakHyphen/>
              <w:t>use and built</w:t>
            </w:r>
            <w:r>
              <w:noBreakHyphen/>
              <w:t>form controls that lower development feasibility, limit choice or impose costs that outweigh their benefits, such as maximum floor</w:t>
            </w:r>
            <w:r>
              <w:noBreakHyphen/>
              <w:t>space ratios or minimum car parking requirements.</w:t>
            </w:r>
          </w:p>
        </w:tc>
      </w:tr>
      <w:tr w:rsidR="00A450D6" w14:paraId="389D0878" w14:textId="77777777">
        <w:tc>
          <w:tcPr>
            <w:tcW w:w="575" w:type="dxa"/>
            <w:shd w:val="clear" w:color="auto" w:fill="E7F6FD"/>
            <w:tcMar>
              <w:top w:w="0" w:type="dxa"/>
              <w:bottom w:w="0" w:type="dxa"/>
              <w:right w:w="113" w:type="dxa"/>
            </w:tcMar>
          </w:tcPr>
          <w:p w14:paraId="3DA8E36B" w14:textId="77777777" w:rsidR="00A450D6" w:rsidRPr="00A51374" w:rsidRDefault="00A450D6" w:rsidP="000C6B77">
            <w:pPr>
              <w:pStyle w:val="KeyPointsicon"/>
            </w:pPr>
            <w:r w:rsidRPr="00F31E73">
              <w:rPr>
                <w:noProof/>
              </w:rPr>
              <w:drawing>
                <wp:inline distT="0" distB="0" distL="0" distR="0" wp14:anchorId="10C9EBDC" wp14:editId="2D6A1A22">
                  <wp:extent cx="180000" cy="180000"/>
                  <wp:effectExtent l="0" t="0" r="0" b="0"/>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13294C87" w14:textId="77777777" w:rsidR="00A450D6" w:rsidRDefault="00A450D6" w:rsidP="004A1C15">
            <w:pPr>
              <w:pStyle w:val="KeyPoints-Bold"/>
              <w:spacing w:before="0"/>
            </w:pPr>
            <w:r>
              <w:t>If housing is not coordinated with infrastructure, it can delay or limit new dwellings. Infrastructure planning is often the main constraint on building houses in new areas (greenfield sites), so it should be a high priority for reform.</w:t>
            </w:r>
          </w:p>
          <w:p w14:paraId="3269838D" w14:textId="77777777" w:rsidR="00A450D6" w:rsidRDefault="00A450D6" w:rsidP="00A450D6">
            <w:pPr>
              <w:pStyle w:val="KeyPoints-Bullet"/>
              <w:spacing w:before="0"/>
            </w:pPr>
            <w:r>
              <w:t>Governments should better align infrastructure plans with housing and show how infrastructure provision will be funded and sequenced with land availability. They should also make planning more consistent across levels of government, between councils, and with infrastructure service providers.</w:t>
            </w:r>
          </w:p>
          <w:p w14:paraId="14E88E05" w14:textId="77777777" w:rsidR="00A450D6" w:rsidRPr="00610627" w:rsidRDefault="00A450D6" w:rsidP="00A450D6">
            <w:pPr>
              <w:pStyle w:val="KeyPoints-Bullet"/>
              <w:spacing w:before="0"/>
            </w:pPr>
            <w:r>
              <w:t>Developers should contribute to funding infrastructure, but it should be done efficiently and only where there is a clear link between infrastructure and development. Governments should ensure contributions are predictable and consistent, and their timing is aligned to development finance.</w:t>
            </w:r>
          </w:p>
        </w:tc>
      </w:tr>
      <w:tr w:rsidR="00A450D6" w14:paraId="35B29740" w14:textId="77777777">
        <w:tc>
          <w:tcPr>
            <w:tcW w:w="575" w:type="dxa"/>
            <w:shd w:val="clear" w:color="auto" w:fill="E7F6FD"/>
            <w:tcMar>
              <w:top w:w="0" w:type="dxa"/>
              <w:bottom w:w="0" w:type="dxa"/>
              <w:right w:w="113" w:type="dxa"/>
            </w:tcMar>
          </w:tcPr>
          <w:p w14:paraId="7B5AB556" w14:textId="77777777" w:rsidR="00A450D6" w:rsidRPr="00A51374" w:rsidRDefault="00A450D6" w:rsidP="000C6B77">
            <w:pPr>
              <w:pStyle w:val="KeyPointsicon"/>
            </w:pPr>
            <w:r w:rsidRPr="00A51374">
              <w:rPr>
                <w:noProof/>
              </w:rPr>
              <w:drawing>
                <wp:inline distT="0" distB="0" distL="0" distR="0" wp14:anchorId="5A796191" wp14:editId="7DA0E1FF">
                  <wp:extent cx="180000" cy="180000"/>
                  <wp:effectExtent l="0" t="0" r="0" b="0"/>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3" w:type="dxa"/>
            <w:shd w:val="clear" w:color="auto" w:fill="E7F6FD"/>
            <w:tcMar>
              <w:top w:w="28" w:type="dxa"/>
              <w:left w:w="28" w:type="dxa"/>
            </w:tcMar>
          </w:tcPr>
          <w:p w14:paraId="61EBAAF6" w14:textId="77777777" w:rsidR="00A450D6" w:rsidRDefault="00A450D6" w:rsidP="004A1C15">
            <w:pPr>
              <w:pStyle w:val="KeyPoints-Bold"/>
              <w:spacing w:before="0"/>
            </w:pPr>
            <w:r>
              <w:t>Slow and complex approvals delay new housing and make some developments unviable. Making approvals more efficient can help deliver homes faster, but these reforms on their own will not be sufficient.</w:t>
            </w:r>
          </w:p>
          <w:p w14:paraId="290A8FFC" w14:textId="77777777" w:rsidR="00A450D6" w:rsidRDefault="00A450D6" w:rsidP="00A450D6">
            <w:pPr>
              <w:pStyle w:val="KeyPoints-Bullet"/>
              <w:spacing w:before="0"/>
            </w:pPr>
            <w:r>
              <w:t xml:space="preserve">Governments should enhance strategic planning processes to consider </w:t>
            </w:r>
            <w:r w:rsidRPr="00087D5D">
              <w:t>infrastructure requirements and trade</w:t>
            </w:r>
            <w:r>
              <w:noBreakHyphen/>
            </w:r>
            <w:r w:rsidRPr="00087D5D">
              <w:t>offs associated with development early</w:t>
            </w:r>
            <w:r>
              <w:t>, rather than during the approval process.</w:t>
            </w:r>
          </w:p>
          <w:p w14:paraId="1542909D" w14:textId="77777777" w:rsidR="00A450D6" w:rsidRPr="00610627" w:rsidRDefault="00A450D6" w:rsidP="00A450D6">
            <w:pPr>
              <w:pStyle w:val="KeyPoints-Bullet"/>
              <w:spacing w:before="0"/>
            </w:pPr>
            <w:r>
              <w:t>Governments should make greater use of risk</w:t>
            </w:r>
            <w:r>
              <w:noBreakHyphen/>
              <w:t>based assessment pathways such as fast</w:t>
            </w:r>
            <w:r>
              <w:noBreakHyphen/>
              <w:t>track and state</w:t>
            </w:r>
            <w:r>
              <w:noBreakHyphen/>
              <w:t>significant development. Pathways should be supported by coordination bodies with power to resolve disputes; improved use of technology; and transparent reporting of approval outcomes.</w:t>
            </w:r>
          </w:p>
        </w:tc>
      </w:tr>
    </w:tbl>
    <w:p w14:paraId="1F613F47" w14:textId="77777777" w:rsidR="00A450D6" w:rsidRDefault="00A450D6">
      <w:pPr>
        <w:pStyle w:val="Heading2-nonumber"/>
      </w:pPr>
      <w:bookmarkStart w:id="11" w:name="_Toc235103136"/>
      <w:r>
        <w:lastRenderedPageBreak/>
        <w:t>Australia needs more homes in the right places</w:t>
      </w:r>
      <w:bookmarkEnd w:id="11"/>
    </w:p>
    <w:p w14:paraId="70C55624" w14:textId="77777777" w:rsidR="00A450D6" w:rsidRPr="00033052" w:rsidRDefault="00A450D6">
      <w:pPr>
        <w:pStyle w:val="Heading3"/>
      </w:pPr>
      <w:r>
        <w:t>It’s become harder to afford a home</w:t>
      </w:r>
    </w:p>
    <w:p w14:paraId="5D868AA1" w14:textId="77777777" w:rsidR="00A450D6" w:rsidRDefault="00A450D6">
      <w:pPr>
        <w:pStyle w:val="BodyText"/>
      </w:pPr>
      <w:r>
        <w:t>People need stable housing to flourish – it provides safety and security, and it shapes our access to employment, education and social connection. Yet for many Australians, obtaining suitable housing in desirable locations has become increasingly out of reach.</w:t>
      </w:r>
    </w:p>
    <w:p w14:paraId="0D811D88" w14:textId="4787B11F" w:rsidR="00A450D6" w:rsidRDefault="00A450D6">
      <w:pPr>
        <w:pStyle w:val="BodyText"/>
      </w:pPr>
      <w:r>
        <w:t>Over the last two decades, property prices have grown substantially faster than wages</w:t>
      </w:r>
      <w:r w:rsidRPr="00FA432A">
        <w:t>.</w:t>
      </w:r>
      <w:r>
        <w:t xml:space="preserve"> </w:t>
      </w:r>
      <w:r w:rsidRPr="00FA432A">
        <w:t xml:space="preserve">The result is </w:t>
      </w:r>
      <w:r>
        <w:t>obvious</w:t>
      </w:r>
      <w:r w:rsidRPr="00FA432A">
        <w:t xml:space="preserve">: </w:t>
      </w:r>
      <w:r>
        <w:t xml:space="preserve">it has become harder for first homebuyers to get on to the property ladder (figure 1). It currently takes 11 years for the average household to save for a 20% deposit on the typical home, up from 8 years in 2005 </w:t>
      </w:r>
      <w:r w:rsidRPr="00976372">
        <w:t>(</w:t>
      </w:r>
      <w:proofErr w:type="spellStart"/>
      <w:r w:rsidRPr="00976372">
        <w:t>Cotality</w:t>
      </w:r>
      <w:proofErr w:type="spellEnd"/>
      <w:r w:rsidRPr="00976372">
        <w:t> 2025, fig. 2)</w:t>
      </w:r>
      <w:r>
        <w:t>.</w:t>
      </w:r>
    </w:p>
    <w:p w14:paraId="2D56921F" w14:textId="2AED4052" w:rsidR="00A450D6" w:rsidRDefault="00A450D6">
      <w:pPr>
        <w:pStyle w:val="BodyText"/>
      </w:pPr>
      <w:r>
        <w:t>The lack of affordability is most clearly being felt by young people. Between 1981 and 2021, home ownership rates fell 17</w:t>
      </w:r>
      <w:r w:rsidR="006A0411">
        <w:t>–</w:t>
      </w:r>
      <w:r>
        <w:t xml:space="preserve">18 percentage points for those between the ages of 25 and 34 </w:t>
      </w:r>
      <w:r w:rsidRPr="00976372">
        <w:t>(figure</w:t>
      </w:r>
      <w:r>
        <w:t> </w:t>
      </w:r>
      <w:r w:rsidRPr="00976372">
        <w:t>1; Treasury 2023, p. 172)</w:t>
      </w:r>
      <w:r w:rsidRPr="00FA432A">
        <w:t>.</w:t>
      </w:r>
      <w:r w:rsidRPr="00B22911">
        <w:t xml:space="preserve"> </w:t>
      </w:r>
      <w:r>
        <w:t>Those</w:t>
      </w:r>
      <w:r w:rsidDel="00806F8B">
        <w:t xml:space="preserve"> </w:t>
      </w:r>
      <w:r>
        <w:t xml:space="preserve">who do purchase a home are servicing larger mortgages. Australia’s housing debt is some of the highest per capita in the world </w:t>
      </w:r>
      <w:r w:rsidRPr="00AE0E31">
        <w:rPr>
          <w:rFonts w:cs="Open Sans"/>
        </w:rPr>
        <w:t xml:space="preserve">(van </w:t>
      </w:r>
      <w:proofErr w:type="spellStart"/>
      <w:r w:rsidRPr="00AE0E31">
        <w:rPr>
          <w:rFonts w:cs="Open Sans"/>
        </w:rPr>
        <w:t>Hoenselaar</w:t>
      </w:r>
      <w:proofErr w:type="spellEnd"/>
      <w:r w:rsidRPr="00AE0E31">
        <w:rPr>
          <w:rFonts w:cs="Open Sans"/>
        </w:rPr>
        <w:t xml:space="preserve"> et al. 2021, fig. 9A)</w:t>
      </w:r>
      <w:r w:rsidRPr="00976372">
        <w:t>.</w:t>
      </w:r>
    </w:p>
    <w:p w14:paraId="6D306D13" w14:textId="5157C0C5" w:rsidR="00A450D6" w:rsidRPr="00146382" w:rsidRDefault="00A450D6">
      <w:pPr>
        <w:pStyle w:val="FigureTableHeading"/>
      </w:pPr>
      <w:bookmarkStart w:id="12" w:name="_Toc30502221"/>
      <w:r>
        <w:t>Figure </w:t>
      </w:r>
      <w:r w:rsidR="00CB06D8">
        <w:rPr>
          <w:noProof/>
        </w:rPr>
        <w:t>1</w:t>
      </w:r>
      <w:r>
        <w:rPr>
          <w:noProof/>
        </w:rPr>
        <w:t xml:space="preserve"> </w:t>
      </w:r>
      <w:r>
        <w:t>– Growing dwelling prices relative to income have created an affordability problem</w:t>
      </w:r>
    </w:p>
    <w:p w14:paraId="75D56C7B" w14:textId="56886CCB" w:rsidR="00A450D6" w:rsidRDefault="00DD1240" w:rsidP="0035074A">
      <w:pPr>
        <w:pStyle w:val="BodyText"/>
        <w:spacing w:after="0"/>
      </w:pPr>
      <w:r w:rsidRPr="00DD1240">
        <w:rPr>
          <w:noProof/>
        </w:rPr>
        <w:drawing>
          <wp:inline distT="0" distB="0" distL="0" distR="0" wp14:anchorId="371B85BD" wp14:editId="057F294E">
            <wp:extent cx="6090920" cy="2944495"/>
            <wp:effectExtent l="0" t="0" r="0" b="0"/>
            <wp:docPr id="352435286" name="Picture 28" descr="This figure is two charts showing how housing affordability and home ownership rates have changed over time. The left chart plots the % of median income needed to pay for a 20% deposit on a median-priced home over time. The chart shows that this has risen from 110-100% in 2002 to over 150% in the early 2020s. &#10;The right chart plots home ownership rates by age cohort over time. It shows that since the early 1980s home ownership rates have decreased, particularly for the 25-34 age cohort (down from 60% in 1981 to under 45% in 2021) and the 35-44 age cohort (down from 73% in 1981 to just over 60%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35286" name="Picture 28" descr="This figure is two charts showing how housing affordability and home ownership rates have changed over time. The left chart plots the % of median income needed to pay for a 20% deposit on a median-priced home over time. The chart shows that this has risen from 110-100% in 2002 to over 150% in the early 2020s. &#10;The right chart plots home ownership rates by age cohort over time. It shows that since the early 1980s home ownership rates have decreased, particularly for the 25-34 age cohort (down from 60% in 1981 to under 45% in 2021) and the 35-44 age cohort (down from 73% in 1981 to just over 60% in 20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90920" cy="2944495"/>
                    </a:xfrm>
                    <a:prstGeom prst="rect">
                      <a:avLst/>
                    </a:prstGeom>
                    <a:noFill/>
                    <a:ln>
                      <a:noFill/>
                    </a:ln>
                  </pic:spPr>
                </pic:pic>
              </a:graphicData>
            </a:graphic>
          </wp:inline>
        </w:drawing>
      </w:r>
    </w:p>
    <w:p w14:paraId="17AFB12F" w14:textId="67D16E27" w:rsidR="00A450D6" w:rsidRDefault="00A450D6">
      <w:pPr>
        <w:pStyle w:val="Note"/>
      </w:pPr>
      <w:r>
        <w:t xml:space="preserve">Deposit amount is assumed to be 20% of the national median sale price for established dwellings. The national median sale price is a </w:t>
      </w:r>
      <w:r w:rsidRPr="00D6382A">
        <w:t>transaction</w:t>
      </w:r>
      <w:r>
        <w:noBreakHyphen/>
      </w:r>
      <w:r w:rsidRPr="00D6382A">
        <w:t>weighted average of median prices for established dwellings in capital cities</w:t>
      </w:r>
      <w:r>
        <w:t>.</w:t>
      </w:r>
      <w:r w:rsidR="00FE4627">
        <w:t xml:space="preserve"> </w:t>
      </w:r>
      <w:r>
        <w:t xml:space="preserve">Home ownership includes those who own their own home outright, own it with a mortgage or are purchasing under a shared equity scheme. </w:t>
      </w:r>
      <w:r w:rsidRPr="00994B52">
        <w:t>Aboriginal and Torres Strait Islander people are excluded from Census counts prior to 1971 due to institutional racism.</w:t>
      </w:r>
    </w:p>
    <w:bookmarkEnd w:id="12"/>
    <w:p w14:paraId="4A2D0D59" w14:textId="4E25B34D" w:rsidR="00A450D6" w:rsidRDefault="00A450D6">
      <w:pPr>
        <w:pStyle w:val="Source"/>
      </w:pPr>
      <w:r w:rsidRPr="00985807">
        <w:t xml:space="preserve">Source: </w:t>
      </w:r>
      <w:r w:rsidR="00B67627">
        <w:t xml:space="preserve">PC </w:t>
      </w:r>
      <w:r w:rsidRPr="00985807">
        <w:t xml:space="preserve">estimates using Housing, Income and Labour Dynamics of Australia, wave 24; ABS (2026, Total Value of Dwellings, </w:t>
      </w:r>
      <w:r>
        <w:t>t</w:t>
      </w:r>
      <w:r w:rsidRPr="00985807">
        <w:t>able</w:t>
      </w:r>
      <w:r>
        <w:t> </w:t>
      </w:r>
      <w:r w:rsidRPr="00985807">
        <w:t xml:space="preserve">2, Cat no. 6416.0); ABS (Census of Population and Housing, Australia, 2016, 2021, Cat no. 2901.0, TableBuilder); </w:t>
      </w:r>
      <w:r w:rsidR="00947D43">
        <w:t xml:space="preserve">Yates </w:t>
      </w:r>
      <w:r w:rsidR="008F2F22" w:rsidRPr="008F2F22">
        <w:rPr>
          <w:rFonts w:cs="Open Sans"/>
        </w:rPr>
        <w:t>(2015)</w:t>
      </w:r>
      <w:r w:rsidRPr="00985807">
        <w:t>.</w:t>
      </w:r>
    </w:p>
    <w:p w14:paraId="3D65EECB" w14:textId="64AE06C6" w:rsidR="00A450D6" w:rsidRDefault="00A450D6">
      <w:pPr>
        <w:pStyle w:val="BodyText"/>
      </w:pPr>
      <w:r w:rsidRPr="00A20B77">
        <w:t xml:space="preserve">Renters are also under strain. </w:t>
      </w:r>
      <w:r>
        <w:t>A middle</w:t>
      </w:r>
      <w:r>
        <w:noBreakHyphen/>
        <w:t xml:space="preserve">income household will typically pay a third of their income to secure a new rental home in the current market </w:t>
      </w:r>
      <w:r w:rsidRPr="00976372">
        <w:t>(</w:t>
      </w:r>
      <w:proofErr w:type="spellStart"/>
      <w:r w:rsidRPr="00976372">
        <w:t>Cotality</w:t>
      </w:r>
      <w:proofErr w:type="spellEnd"/>
      <w:r w:rsidRPr="00976372">
        <w:t> 2025, fig. 2)</w:t>
      </w:r>
      <w:r>
        <w:t>. And renters on very low incomes are especially vulnerable to higher costs. P</w:t>
      </w:r>
      <w:r w:rsidRPr="00A20B77">
        <w:t xml:space="preserve">eople on working age payments like </w:t>
      </w:r>
      <w:proofErr w:type="spellStart"/>
      <w:r w:rsidRPr="00A20B77">
        <w:t>JobSeeker</w:t>
      </w:r>
      <w:proofErr w:type="spellEnd"/>
      <w:r w:rsidRPr="00A20B77">
        <w:t xml:space="preserve"> and Youth </w:t>
      </w:r>
      <w:r w:rsidRPr="00A20B77">
        <w:lastRenderedPageBreak/>
        <w:t xml:space="preserve">Allowance can only afford a handful of available rental properties </w:t>
      </w:r>
      <w:r>
        <w:t>without housing stress</w:t>
      </w:r>
      <w:r w:rsidRPr="00A20B77">
        <w:t xml:space="preserve"> </w:t>
      </w:r>
      <w:r>
        <w:t xml:space="preserve">in high demand areas like Sydney </w:t>
      </w:r>
      <w:r w:rsidR="00877EF9" w:rsidRPr="00877EF9">
        <w:rPr>
          <w:rFonts w:cs="Open Sans"/>
        </w:rPr>
        <w:t>(Anglicare Australia 2026, p. 6,8)</w:t>
      </w:r>
      <w:r w:rsidRPr="00976372">
        <w:t>.</w:t>
      </w:r>
    </w:p>
    <w:p w14:paraId="0A86A4F6" w14:textId="77777777" w:rsidR="00A450D6" w:rsidRDefault="00A450D6">
      <w:pPr>
        <w:pStyle w:val="Heading3"/>
      </w:pPr>
      <w:r>
        <w:t>Too few homes are available where people want to live and work</w:t>
      </w:r>
    </w:p>
    <w:p w14:paraId="6A732238" w14:textId="77777777" w:rsidR="00A450D6" w:rsidRPr="00FE4627" w:rsidRDefault="00A450D6">
      <w:pPr>
        <w:pStyle w:val="BodyText"/>
        <w:rPr>
          <w:spacing w:val="-2"/>
        </w:rPr>
      </w:pPr>
      <w:r w:rsidRPr="00FE4627">
        <w:rPr>
          <w:spacing w:val="-2"/>
        </w:rPr>
        <w:t xml:space="preserve">A key reason for the affordability challenge is that we have not built enough homes in the places people want to live. There is a strong causal link between supply, location and affordability (box 1). </w:t>
      </w:r>
      <w:proofErr w:type="gramStart"/>
      <w:r w:rsidRPr="00FE4627">
        <w:rPr>
          <w:spacing w:val="-2"/>
        </w:rPr>
        <w:t>Well</w:t>
      </w:r>
      <w:proofErr w:type="gramEnd"/>
      <w:r w:rsidRPr="00FE4627">
        <w:rPr>
          <w:spacing w:val="-2"/>
        </w:rPr>
        <w:noBreakHyphen/>
        <w:t xml:space="preserve">located housing not only promotes </w:t>
      </w:r>
      <w:proofErr w:type="gramStart"/>
      <w:r w:rsidRPr="00FE4627">
        <w:rPr>
          <w:spacing w:val="-2"/>
        </w:rPr>
        <w:t>affordability, but</w:t>
      </w:r>
      <w:proofErr w:type="gramEnd"/>
      <w:r w:rsidRPr="00FE4627">
        <w:rPr>
          <w:spacing w:val="-2"/>
        </w:rPr>
        <w:t xml:space="preserve"> can improve social cohesion and the sharing of ideas, supporting innovation and productivity.</w:t>
      </w:r>
    </w:p>
    <w:p w14:paraId="5DF4A8AA" w14:textId="5329181F" w:rsidR="00A450D6" w:rsidRDefault="00A450D6">
      <w:pPr>
        <w:pStyle w:val="BodyText"/>
      </w:pPr>
      <w:r w:rsidRPr="00976372">
        <w:t>We can see the effects of low housing supply when comparing the price people pay to buy apartments and the cost of supplying additional apartments – when the former is much higher than the latter, it shows that supply is not keeping pace with demand. Studies have found evidence of excess demand for apartments across many Australian suburbs (CIE 2024, p. 18; Coates et al. 2025, pp. 31–32; Jenner and Tulip 2020, p. 1).</w:t>
      </w:r>
    </w:p>
    <w:p w14:paraId="0DF7784C" w14:textId="2021D101" w:rsidR="00A450D6" w:rsidRPr="00F82BD9" w:rsidRDefault="00A450D6">
      <w:pPr>
        <w:pStyle w:val="NoSpacing"/>
      </w:pPr>
    </w:p>
    <w:tbl>
      <w:tblPr>
        <w:tblStyle w:val="Boxtable"/>
        <w:tblW w:w="5000" w:type="pct"/>
        <w:tblLook w:val="04A0" w:firstRow="1" w:lastRow="0" w:firstColumn="1" w:lastColumn="0" w:noHBand="0" w:noVBand="1"/>
      </w:tblPr>
      <w:tblGrid>
        <w:gridCol w:w="9638"/>
      </w:tblGrid>
      <w:tr w:rsidR="00A450D6" w14:paraId="3B2AD921" w14:textId="77777777">
        <w:trPr>
          <w:tblHeader/>
        </w:trPr>
        <w:tc>
          <w:tcPr>
            <w:tcW w:w="9638" w:type="dxa"/>
            <w:shd w:val="clear" w:color="auto" w:fill="EBEBEB"/>
            <w:tcMar>
              <w:top w:w="170" w:type="dxa"/>
              <w:left w:w="170" w:type="dxa"/>
              <w:bottom w:w="113" w:type="dxa"/>
              <w:right w:w="170" w:type="dxa"/>
            </w:tcMar>
            <w:hideMark/>
          </w:tcPr>
          <w:p w14:paraId="69CEBCB8" w14:textId="20563BF2" w:rsidR="00A450D6" w:rsidRDefault="00A450D6">
            <w:pPr>
              <w:pStyle w:val="BoxHeading1"/>
            </w:pPr>
            <w:bookmarkStart w:id="13" w:name="_Ref78902111"/>
            <w:r>
              <w:t>Box </w:t>
            </w:r>
            <w:r w:rsidR="00CB06D8">
              <w:rPr>
                <w:noProof/>
              </w:rPr>
              <w:t>1</w:t>
            </w:r>
            <w:r>
              <w:t xml:space="preserve"> – </w:t>
            </w:r>
            <w:bookmarkEnd w:id="13"/>
            <w:r>
              <w:t>The effect of housing supply on prices</w:t>
            </w:r>
          </w:p>
        </w:tc>
      </w:tr>
      <w:tr w:rsidR="00A450D6" w14:paraId="4AFF7149" w14:textId="77777777">
        <w:tc>
          <w:tcPr>
            <w:tcW w:w="9638" w:type="dxa"/>
            <w:shd w:val="clear" w:color="auto" w:fill="EBEBEB"/>
            <w:tcMar>
              <w:top w:w="28" w:type="dxa"/>
              <w:left w:w="170" w:type="dxa"/>
              <w:bottom w:w="170" w:type="dxa"/>
              <w:right w:w="170" w:type="dxa"/>
            </w:tcMar>
            <w:hideMark/>
          </w:tcPr>
          <w:p w14:paraId="75D88B3F" w14:textId="2018398B" w:rsidR="00A450D6" w:rsidRDefault="00A450D6">
            <w:pPr>
              <w:pStyle w:val="BodyText"/>
            </w:pPr>
            <w:r>
              <w:t>E</w:t>
            </w:r>
            <w:r w:rsidRPr="00976372">
              <w:t>conomic theory would suggest that an increase in housing supply, for a given level of demand, should reduce housing prices across the relevant market, usually a city. Empirical research confirms this. Many studies using robust causal methods find that, over the long term, increase</w:t>
            </w:r>
            <w:r>
              <w:t>d</w:t>
            </w:r>
            <w:r w:rsidRPr="00976372" w:rsidDel="00403E4D">
              <w:t xml:space="preserve"> </w:t>
            </w:r>
            <w:r w:rsidRPr="00976372">
              <w:t>housing supply leads to lower city</w:t>
            </w:r>
            <w:r>
              <w:t>-</w:t>
            </w:r>
            <w:r w:rsidRPr="00976372">
              <w:t xml:space="preserve">wide </w:t>
            </w:r>
            <w:r>
              <w:t>dwelling</w:t>
            </w:r>
            <w:r w:rsidRPr="00976372">
              <w:t xml:space="preserve"> prices and rents relative to what they otherwise would have been (</w:t>
            </w:r>
            <w:proofErr w:type="spellStart"/>
            <w:r w:rsidRPr="00976372">
              <w:t>Anagol</w:t>
            </w:r>
            <w:proofErr w:type="spellEnd"/>
            <w:r w:rsidRPr="00976372">
              <w:t xml:space="preserve"> et al. 2021; Greenaway-</w:t>
            </w:r>
            <w:proofErr w:type="spellStart"/>
            <w:r w:rsidRPr="00976372">
              <w:t>McGrevy</w:t>
            </w:r>
            <w:proofErr w:type="spellEnd"/>
            <w:r w:rsidRPr="00976372">
              <w:t xml:space="preserve"> and So 202</w:t>
            </w:r>
            <w:r w:rsidR="00201F5E">
              <w:t>6</w:t>
            </w:r>
            <w:r w:rsidRPr="00976372">
              <w:t>; Maltman and Greenaway-McGrevy 2025; Rollet 2025; Saunders and Tulip 2020, pp. 28–29</w:t>
            </w:r>
            <w:proofErr w:type="gramStart"/>
            <w:r w:rsidRPr="00976372">
              <w:t>).</w:t>
            </w:r>
            <w:proofErr w:type="spellStart"/>
            <w:r w:rsidRPr="00F8018F">
              <w:rPr>
                <w:b/>
                <w:bCs/>
                <w:vertAlign w:val="superscript"/>
              </w:rPr>
              <w:t>a</w:t>
            </w:r>
            <w:proofErr w:type="spellEnd"/>
            <w:proofErr w:type="gramEnd"/>
            <w:r>
              <w:t xml:space="preserve"> In most cases, this appears as lower price growth, rather than an absolute decline in prices.</w:t>
            </w:r>
          </w:p>
          <w:p w14:paraId="0F62DBF0" w14:textId="635AA57A" w:rsidR="00A450D6" w:rsidRPr="00123A86" w:rsidRDefault="00A450D6">
            <w:pPr>
              <w:pStyle w:val="BodyText"/>
              <w:rPr>
                <w:iCs/>
              </w:rPr>
            </w:pPr>
            <w:r w:rsidRPr="00976372">
              <w:t>A common counter argument is that new housing tends to be expensive and therefore does little to improve affordability. But when new homes are built, the households that move into them usually vacate existing homes, creating a chain of moves through the housing market. This process, known as filtering, increases available housing across different price points and can lower prices and rents across the market, not only for higher</w:t>
            </w:r>
            <w:r w:rsidRPr="00976372">
              <w:noBreakHyphen/>
              <w:t>priced dwellings (Bratu et al. 2023; Mast 2019; Mense 2025).</w:t>
            </w:r>
          </w:p>
          <w:p w14:paraId="5E9C36F7" w14:textId="02B346AC" w:rsidR="00A450D6" w:rsidRDefault="00A450D6">
            <w:pPr>
              <w:pStyle w:val="BodyText"/>
            </w:pPr>
            <w:r w:rsidRPr="00976372">
              <w:t>While higher housing supply reduces city</w:t>
            </w:r>
            <w:r w:rsidRPr="00976372">
              <w:noBreakHyphen/>
              <w:t>wide prices and rents, the effects on prices in the neighbourhoods where additional supply is unlocked can vary (Been et al. 2025, pp. 99–100; Phillips et al. 2021). Local price effects depend not only on the increase in supply, but also on how new development affects neighbourhood quality and amenity, which can affect demand. Many studies find evidence of positive amenity effects, such as increased business activity, but generally conclude that the supply</w:t>
            </w:r>
            <w:r w:rsidRPr="00976372">
              <w:noBreakHyphen/>
              <w:t>side effect</w:t>
            </w:r>
            <w:r>
              <w:t>s</w:t>
            </w:r>
            <w:r w:rsidRPr="00976372">
              <w:t xml:space="preserve"> on reducing rents tend to outweigh any potential demand effects from improved local amenity (Been et al. 2025, p. 100; Phillips et al. 2021).</w:t>
            </w:r>
          </w:p>
          <w:p w14:paraId="29F58516" w14:textId="0D392906" w:rsidR="00A450D6" w:rsidRPr="00AF6081" w:rsidRDefault="00A450D6">
            <w:pPr>
              <w:pStyle w:val="Note"/>
            </w:pPr>
            <w:r w:rsidRPr="001F591C">
              <w:rPr>
                <w:b/>
                <w:bCs/>
              </w:rPr>
              <w:t>a.</w:t>
            </w:r>
            <w:r>
              <w:t xml:space="preserve"> </w:t>
            </w:r>
            <w:r w:rsidRPr="00976372">
              <w:t>Some studies find more mixed relationships between new supply and prices (Garvin 2026; Murray and Limb 2023), but we give more weight to studies that estimate the effect of new supply using causal methods and capture long</w:t>
            </w:r>
            <w:r>
              <w:noBreakHyphen/>
            </w:r>
            <w:r w:rsidRPr="00976372">
              <w:t>term city</w:t>
            </w:r>
            <w:r>
              <w:t>-</w:t>
            </w:r>
            <w:r w:rsidRPr="00976372">
              <w:t>wide effects, rather than short</w:t>
            </w:r>
            <w:r>
              <w:noBreakHyphen/>
            </w:r>
            <w:r w:rsidRPr="00976372">
              <w:t>term or local effects.</w:t>
            </w:r>
          </w:p>
        </w:tc>
      </w:tr>
      <w:tr w:rsidR="00A450D6" w14:paraId="44B47F34" w14:textId="77777777">
        <w:trPr>
          <w:hidden/>
        </w:trPr>
        <w:tc>
          <w:tcPr>
            <w:tcW w:w="9638" w:type="dxa"/>
            <w:shd w:val="clear" w:color="auto" w:fill="auto"/>
            <w:tcMar>
              <w:top w:w="0" w:type="dxa"/>
              <w:left w:w="170" w:type="dxa"/>
              <w:bottom w:w="0" w:type="dxa"/>
              <w:right w:w="170" w:type="dxa"/>
            </w:tcMar>
          </w:tcPr>
          <w:p w14:paraId="44A9E49F" w14:textId="4C5BD42D" w:rsidR="00A450D6" w:rsidRPr="00465191" w:rsidRDefault="00A450D6">
            <w:pPr>
              <w:pStyle w:val="BodyText"/>
              <w:spacing w:before="0" w:after="0" w:line="80" w:lineRule="atLeast"/>
              <w:rPr>
                <w:smallCaps/>
                <w:vanish/>
              </w:rPr>
            </w:pPr>
          </w:p>
        </w:tc>
      </w:tr>
    </w:tbl>
    <w:p w14:paraId="5B80C6C1" w14:textId="77777777" w:rsidR="00A450D6" w:rsidRDefault="00A450D6">
      <w:pPr>
        <w:spacing w:before="0" w:after="160" w:line="259" w:lineRule="auto"/>
      </w:pPr>
      <w:r>
        <w:br w:type="page"/>
      </w:r>
    </w:p>
    <w:p w14:paraId="7655C449" w14:textId="7C6D4952" w:rsidR="00A450D6" w:rsidRPr="00762BCE" w:rsidRDefault="00A450D6">
      <w:pPr>
        <w:pStyle w:val="BodyText"/>
      </w:pPr>
      <w:r w:rsidRPr="00976372">
        <w:lastRenderedPageBreak/>
        <w:t xml:space="preserve">When housing </w:t>
      </w:r>
      <w:r>
        <w:t xml:space="preserve">is expensive and choices are limited, </w:t>
      </w:r>
      <w:r w:rsidRPr="00976372">
        <w:t xml:space="preserve">the only affordable options for many may be on urban fringes, </w:t>
      </w:r>
      <w:r>
        <w:t>where</w:t>
      </w:r>
      <w:r w:rsidRPr="00976372">
        <w:t xml:space="preserve"> services, amenity and jobs </w:t>
      </w:r>
      <w:r>
        <w:t xml:space="preserve">are harder to access </w:t>
      </w:r>
      <w:r w:rsidRPr="00976372">
        <w:t xml:space="preserve">(NGAA 2024). People living in these locations may </w:t>
      </w:r>
      <w:r>
        <w:t>find it harder to</w:t>
      </w:r>
      <w:r w:rsidRPr="00976372">
        <w:t xml:space="preserve"> a</w:t>
      </w:r>
      <w:r>
        <w:t>c</w:t>
      </w:r>
      <w:r w:rsidRPr="00976372">
        <w:t xml:space="preserve">cess jobs that </w:t>
      </w:r>
      <w:r>
        <w:t>match their skills</w:t>
      </w:r>
      <w:r w:rsidRPr="00976372">
        <w:t xml:space="preserve"> (SGS Economics and Planning 2023, pp. 15–16), reducing their earning potential</w:t>
      </w:r>
      <w:r>
        <w:t xml:space="preserve"> </w:t>
      </w:r>
      <w:r w:rsidRPr="00976372">
        <w:t>and society’s productivity</w:t>
      </w:r>
      <w:r>
        <w:t>. They may also face</w:t>
      </w:r>
      <w:r w:rsidRPr="00976372">
        <w:t xml:space="preserve"> long commutes which can substantially reduce their wellbeing (Han et al. 2022).</w:t>
      </w:r>
    </w:p>
    <w:p w14:paraId="53580D1E" w14:textId="36329565" w:rsidR="00A450D6" w:rsidRPr="00762BCE" w:rsidRDefault="00A450D6">
      <w:pPr>
        <w:pStyle w:val="BodyText"/>
      </w:pPr>
      <w:r>
        <w:t xml:space="preserve">High housing costs also constrain people’s choices in other ways, such as adult children living with their parents for longer, or people forming larger households than would otherwise be their preference </w:t>
      </w:r>
      <w:r w:rsidRPr="00F713B0">
        <w:rPr>
          <w:rFonts w:cs="Open Sans"/>
        </w:rPr>
        <w:t>(NHSAC 2026b, p. 44)</w:t>
      </w:r>
      <w:r>
        <w:t>.</w:t>
      </w:r>
    </w:p>
    <w:p w14:paraId="73FC279D" w14:textId="77777777" w:rsidR="00A450D6" w:rsidRPr="00762BCE" w:rsidRDefault="00A450D6">
      <w:pPr>
        <w:pStyle w:val="BodyText"/>
      </w:pPr>
      <w:r>
        <w:t>While housing costs are driven by many factors, one important</w:t>
      </w:r>
      <w:r w:rsidRPr="00762BCE">
        <w:t xml:space="preserve"> answer is to shift policy to make more housing supply available.</w:t>
      </w:r>
    </w:p>
    <w:p w14:paraId="2B88AB92" w14:textId="77777777" w:rsidR="00A450D6" w:rsidRDefault="00A450D6">
      <w:pPr>
        <w:pStyle w:val="Heading3"/>
      </w:pPr>
      <w:r>
        <w:t>Recent supply reforms are welcome, but there is more to do</w:t>
      </w:r>
    </w:p>
    <w:p w14:paraId="352ACB7E" w14:textId="21A3DF1B" w:rsidR="00A450D6" w:rsidRDefault="00A450D6">
      <w:pPr>
        <w:pStyle w:val="BodyText"/>
      </w:pPr>
      <w:r w:rsidRPr="00976372">
        <w:t xml:space="preserve">Australian governments have initiated a raft of reforms to increase </w:t>
      </w:r>
      <w:r>
        <w:t>the</w:t>
      </w:r>
      <w:r w:rsidRPr="00976372">
        <w:t xml:space="preserve"> supply and affordability</w:t>
      </w:r>
      <w:r>
        <w:t xml:space="preserve"> of housing</w:t>
      </w:r>
      <w:r w:rsidRPr="00976372">
        <w:t xml:space="preserve">. Under the </w:t>
      </w:r>
      <w:r w:rsidRPr="008B2AB2">
        <w:rPr>
          <w:i/>
        </w:rPr>
        <w:t>National Housing Accord</w:t>
      </w:r>
      <w:r w:rsidRPr="00976372">
        <w:t xml:space="preserve"> reforms agreed by the National Cabinet, state and territory governments committed to working with the Australian Government to build 1.2 million new homes by the end of the decade (Treasury 2024). However, progress has been slow. We</w:t>
      </w:r>
      <w:r>
        <w:t xml:space="preserve"> </w:t>
      </w:r>
      <w:r w:rsidRPr="00976372">
        <w:t>are forecast to undershoot by 220,000 or more homes by June 2029 (NHSAC 2026b, pp. 63–64).</w:t>
      </w:r>
    </w:p>
    <w:p w14:paraId="45CD773E" w14:textId="01165377" w:rsidR="00A450D6" w:rsidRPr="008570AC" w:rsidRDefault="00A450D6">
      <w:pPr>
        <w:pStyle w:val="BodyText"/>
      </w:pPr>
      <w:r>
        <w:t xml:space="preserve">Interest rates and the cost of construction have increased since the start of the Accord, partly due to broader economic and geopolitical uncertainty, making many projects less financially feasible </w:t>
      </w:r>
      <w:r w:rsidRPr="00976372">
        <w:t>(Bryant et al. 2026; Hamilton Bardin 2026).</w:t>
      </w:r>
      <w:r>
        <w:t xml:space="preserve"> S</w:t>
      </w:r>
      <w:r w:rsidRPr="00976372">
        <w:t>tates and territories have</w:t>
      </w:r>
      <w:r w:rsidRPr="00976372" w:rsidDel="00997E6F">
        <w:t xml:space="preserve"> </w:t>
      </w:r>
      <w:r w:rsidRPr="00976372">
        <w:t xml:space="preserve">initiated </w:t>
      </w:r>
      <w:r>
        <w:t>welcome</w:t>
      </w:r>
      <w:r w:rsidRPr="00976372">
        <w:t xml:space="preserve"> reforms to planning systems and specific planning policies </w:t>
      </w:r>
      <w:r>
        <w:t>in support of the Accord</w:t>
      </w:r>
      <w:r w:rsidRPr="00976372">
        <w:t xml:space="preserve"> (NHSAC 2026a), </w:t>
      </w:r>
      <w:r>
        <w:t xml:space="preserve">but </w:t>
      </w:r>
      <w:r w:rsidRPr="00976372">
        <w:t xml:space="preserve">in most cases </w:t>
      </w:r>
      <w:r>
        <w:t xml:space="preserve">these </w:t>
      </w:r>
      <w:r w:rsidRPr="00976372">
        <w:t xml:space="preserve">reforms do not go far enough. </w:t>
      </w:r>
    </w:p>
    <w:p w14:paraId="76645086" w14:textId="77777777" w:rsidR="00A450D6" w:rsidRDefault="00A450D6">
      <w:pPr>
        <w:pStyle w:val="Heading2-nonumber"/>
      </w:pPr>
      <w:bookmarkStart w:id="14" w:name="_Toc235103137"/>
      <w:r>
        <w:t>Reforming regulation to build more homes, faster</w:t>
      </w:r>
      <w:bookmarkEnd w:id="14"/>
    </w:p>
    <w:p w14:paraId="01721E11" w14:textId="77777777" w:rsidR="00A450D6" w:rsidRDefault="00A450D6">
      <w:pPr>
        <w:pStyle w:val="BodyText"/>
      </w:pPr>
      <w:r>
        <w:t>Governments cannot control every factor affecting housing supply, but policy reform will make a difference over time. One of the key levers for governments is regulation.</w:t>
      </w:r>
    </w:p>
    <w:p w14:paraId="11F82F8C" w14:textId="77777777" w:rsidR="00A450D6" w:rsidRDefault="00A450D6">
      <w:pPr>
        <w:pStyle w:val="BodyText"/>
      </w:pPr>
      <w:r>
        <w:t>Federal, state, territory and local governments all play a role in determining how much housing can be built by setting regulations that affect how land can be used for housing, and what kind of housing is allowed to be built.</w:t>
      </w:r>
    </w:p>
    <w:p w14:paraId="7944B844" w14:textId="61D54CB6" w:rsidR="00A450D6" w:rsidRDefault="00A450D6">
      <w:pPr>
        <w:pStyle w:val="BodyText"/>
      </w:pPr>
      <w:r w:rsidRPr="00976372">
        <w:t>Regulatory settings broadly affect housing supply through two mechanisms (Maltman 2025)</w:t>
      </w:r>
      <w:r>
        <w:t>:</w:t>
      </w:r>
    </w:p>
    <w:p w14:paraId="5C5E0D10" w14:textId="77777777" w:rsidR="00A450D6" w:rsidRDefault="00A450D6" w:rsidP="00E11D04">
      <w:pPr>
        <w:pStyle w:val="ListBullet"/>
      </w:pPr>
      <w:r>
        <w:t>They stop certain housing development occurring (regulatory bans). This commonly occurs in land</w:t>
      </w:r>
      <w:r>
        <w:noBreakHyphen/>
        <w:t>use controls – the rules that set where housing can be built, and what form it can take.</w:t>
      </w:r>
    </w:p>
    <w:p w14:paraId="1F2806E4" w14:textId="77777777" w:rsidR="00A450D6" w:rsidRPr="00DC50B5" w:rsidRDefault="00A450D6" w:rsidP="00E11D04">
      <w:pPr>
        <w:pStyle w:val="ListBullet"/>
      </w:pPr>
      <w:r>
        <w:rPr>
          <w:rFonts w:cstheme="minorHAnsi"/>
        </w:rPr>
        <w:t xml:space="preserve">They can impede development by making it slower or more costly </w:t>
      </w:r>
      <w:r>
        <w:t>(regulatory burdens). Regulatory burdens often arise from slow, burdensome or cumbersome approvals processes, or where regulatory settings act as a bottleneck to connecting new housing developments to essential supporting infrastructure.</w:t>
      </w:r>
    </w:p>
    <w:p w14:paraId="5D9D17C4" w14:textId="77777777" w:rsidR="00A450D6" w:rsidRDefault="00A450D6">
      <w:pPr>
        <w:pStyle w:val="BodyText"/>
      </w:pPr>
      <w:r>
        <w:t>The interaction between regulatory requirements also affects housing supply. Multiple sets of controls can create ‘thickets’ of regulatory requirements and restrictions that impede development or limit the type and number of dwellings that can be built on a parcel of land.</w:t>
      </w:r>
    </w:p>
    <w:p w14:paraId="6EA5AA38" w14:textId="77777777" w:rsidR="00A450D6" w:rsidRDefault="00A450D6">
      <w:pPr>
        <w:pStyle w:val="Heading3"/>
      </w:pPr>
      <w:r>
        <w:lastRenderedPageBreak/>
        <w:t>This inquiry will identify ways to improve housing regulation</w:t>
      </w:r>
    </w:p>
    <w:p w14:paraId="64801563" w14:textId="77777777" w:rsidR="00A450D6" w:rsidRPr="00B3201F" w:rsidRDefault="00A450D6">
      <w:pPr>
        <w:pStyle w:val="BodyText"/>
        <w:rPr>
          <w:b/>
        </w:rPr>
      </w:pPr>
      <w:r>
        <w:t xml:space="preserve">The Australian Government has asked the PC to undertake an inquiry into the rules and </w:t>
      </w:r>
      <w:r w:rsidRPr="00305E9D">
        <w:t xml:space="preserve">regulations </w:t>
      </w:r>
      <w:r>
        <w:t xml:space="preserve">that impact </w:t>
      </w:r>
      <w:r w:rsidRPr="00305E9D">
        <w:t>housing supply</w:t>
      </w:r>
      <w:r>
        <w:t>. T</w:t>
      </w:r>
      <w:r w:rsidRPr="00C553E0">
        <w:t>he</w:t>
      </w:r>
      <w:r>
        <w:t>y have asked us to identify examples of regulations that most affect housing supply, housing affordability and construction productivity, and propose prioritised reforms to enhance supply and build more homes quickly.</w:t>
      </w:r>
    </w:p>
    <w:p w14:paraId="20C1584D" w14:textId="77777777" w:rsidR="00A450D6" w:rsidRDefault="00A450D6">
      <w:pPr>
        <w:pStyle w:val="Heading4"/>
      </w:pPr>
      <w:r>
        <w:t>Best practice for housing regulatory systems</w:t>
      </w:r>
    </w:p>
    <w:p w14:paraId="34653394" w14:textId="77777777" w:rsidR="00A450D6" w:rsidRDefault="00A450D6">
      <w:pPr>
        <w:pStyle w:val="BodyText"/>
      </w:pPr>
      <w:r>
        <w:t>The government has asked the PC to assess recent reform efforts against features of a ‘best</w:t>
      </w:r>
      <w:r>
        <w:noBreakHyphen/>
        <w:t xml:space="preserve">practice regulatory system’ for </w:t>
      </w:r>
      <w:proofErr w:type="gramStart"/>
      <w:r>
        <w:t>housing, and</w:t>
      </w:r>
      <w:proofErr w:type="gramEnd"/>
      <w:r>
        <w:t xml:space="preserve"> identify opportunities for the next stage of reforms.</w:t>
      </w:r>
    </w:p>
    <w:p w14:paraId="297871AF" w14:textId="77777777" w:rsidR="00A450D6" w:rsidRDefault="00A450D6">
      <w:pPr>
        <w:pStyle w:val="BodyText"/>
      </w:pPr>
      <w:r w:rsidRPr="00643B9A">
        <w:t xml:space="preserve">The goal of the inquiry is not to strip away ‘red tape’ for the sake of </w:t>
      </w:r>
      <w:r>
        <w:t>it</w:t>
      </w:r>
      <w:r w:rsidRPr="00643B9A">
        <w:t xml:space="preserve">. Instead, we are </w:t>
      </w:r>
      <w:r>
        <w:t xml:space="preserve">focusing on </w:t>
      </w:r>
      <w:r w:rsidRPr="00643B9A">
        <w:t xml:space="preserve">areas where housing regulation can be made less limiting </w:t>
      </w:r>
      <w:r>
        <w:t>to provide a</w:t>
      </w:r>
      <w:r w:rsidRPr="00643B9A">
        <w:t xml:space="preserve"> net benefit, and where efficiencies can be found without compromising important regulatory outcomes.</w:t>
      </w:r>
    </w:p>
    <w:p w14:paraId="0CAE13E7" w14:textId="77777777" w:rsidR="00A450D6" w:rsidRPr="00AE291D" w:rsidRDefault="00A450D6">
      <w:pPr>
        <w:pStyle w:val="BodyText"/>
        <w:rPr>
          <w:spacing w:val="-2"/>
        </w:rPr>
      </w:pPr>
      <w:r w:rsidRPr="00AE291D">
        <w:rPr>
          <w:spacing w:val="-2"/>
        </w:rPr>
        <w:t>To guide our consideration of reform directions for this inquiry, the PC has identified an objective and principles for best practice housing regulation. This will help ensure our recommendations balance housing outcomes with other important goals, including economic prosperity, safety, social welfare, equity, climate change adaptation, and cultural and environmental preservation (figure 2). Chapter 1 of this report explains the reasons for the objective and principles, and how they can be applied in practice.</w:t>
      </w:r>
    </w:p>
    <w:p w14:paraId="0D3E49C8" w14:textId="77777777" w:rsidR="00A450D6" w:rsidRPr="00146382" w:rsidRDefault="00A450D6">
      <w:pPr>
        <w:pStyle w:val="FigureTableHeading"/>
      </w:pPr>
      <w:r>
        <w:t>Figure 2</w:t>
      </w:r>
      <w:r>
        <w:rPr>
          <w:noProof/>
        </w:rPr>
        <w:t xml:space="preserve"> </w:t>
      </w:r>
      <w:r>
        <w:t>– Principles for best practice housing regulation</w:t>
      </w:r>
    </w:p>
    <w:p w14:paraId="29A12E5D" w14:textId="14B30EAC" w:rsidR="00A450D6" w:rsidRPr="007440FF" w:rsidRDefault="00AE2980" w:rsidP="007440FF">
      <w:pPr>
        <w:pStyle w:val="BodyText"/>
      </w:pPr>
      <w:r w:rsidRPr="00AE2980">
        <w:rPr>
          <w:noProof/>
        </w:rPr>
        <w:drawing>
          <wp:inline distT="0" distB="0" distL="0" distR="0" wp14:anchorId="4EE4F685" wp14:editId="4EDBEF57">
            <wp:extent cx="6120130" cy="4101465"/>
            <wp:effectExtent l="0" t="0" r="0" b="0"/>
            <wp:docPr id="1936309757" name="Picture 5" descr="This figure outlines an overarching objective and 4 principles of a best practice housing regulatory system.&#10;The overarching objective is a well-functioning housing and planning regulatory system that enables enough housing to meet people’s needs, in the places where it delivers the greatest net benefit to the Australian community. It balances economic, social, cultural and environmental outcomes, and gives weight to the interests of both current and future residents. &#10;The overarching objective is underpinned by 4 best practice principles. &#10;1. adopt a ‘build’ mindset: only restrict the location and form of development when the benefits of doing so outweigh the costs, including the impact on housing supply and affordability&#10;2. only regulate when necessary: only regulate housing design features when there are clear market failures, and allow households to choose and pay for other features they value&#10;3. coordinate with infrastructure: plan housing and infrastructure together so that new development is supported by the infrastructure it needs, with clear and efficient rules for developer contributions&#10;4. keep the process simple: make planning decisions timely, predictable and simple by setting clear decision pathways, limiting discretion where possible and aligning with broader housing go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309757" name="Picture 5" descr="This figure outlines an overarching objective and 4 principles of a best practice housing regulatory system.&#10;The overarching objective is a well-functioning housing and planning regulatory system that enables enough housing to meet people’s needs, in the places where it delivers the greatest net benefit to the Australian community. It balances economic, social, cultural and environmental outcomes, and gives weight to the interests of both current and future residents. &#10;The overarching objective is underpinned by 4 best practice principles. &#10;1. adopt a ‘build’ mindset: only restrict the location and form of development when the benefits of doing so outweigh the costs, including the impact on housing supply and affordability&#10;2. only regulate when necessary: only regulate housing design features when there are clear market failures, and allow households to choose and pay for other features they value&#10;3. coordinate with infrastructure: plan housing and infrastructure together so that new development is supported by the infrastructure it needs, with clear and efficient rules for developer contributions&#10;4. keep the process simple: make planning decisions timely, predictable and simple by setting clear decision pathways, limiting discretion where possible and aligning with broader housing goals.&#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130" cy="4101465"/>
                    </a:xfrm>
                    <a:prstGeom prst="rect">
                      <a:avLst/>
                    </a:prstGeom>
                    <a:noFill/>
                    <a:ln>
                      <a:noFill/>
                    </a:ln>
                  </pic:spPr>
                </pic:pic>
              </a:graphicData>
            </a:graphic>
          </wp:inline>
        </w:drawing>
      </w:r>
    </w:p>
    <w:p w14:paraId="277C5BCF" w14:textId="77777777" w:rsidR="00A450D6" w:rsidRDefault="00A450D6">
      <w:pPr>
        <w:pStyle w:val="Heading3"/>
      </w:pPr>
      <w:r>
        <w:lastRenderedPageBreak/>
        <w:t>Targeted reform can improve housing supply</w:t>
      </w:r>
    </w:p>
    <w:p w14:paraId="68DAEC9D" w14:textId="77777777" w:rsidR="00A450D6" w:rsidRDefault="00A450D6">
      <w:pPr>
        <w:pStyle w:val="BodyText"/>
      </w:pPr>
      <w:r>
        <w:t>Our reform directions in this report are based on our review of the existing literature and initial consultation. We have prioritised reform directions that are likely to have the greatest effect on housing supply, based on the evidence we have to date. We seek feedback on these directions, noting that further quantitative work and consultation will inform the recommendations in our final report.</w:t>
      </w:r>
    </w:p>
    <w:p w14:paraId="31B429C3" w14:textId="77777777" w:rsidR="00A450D6" w:rsidRDefault="00A450D6">
      <w:pPr>
        <w:pStyle w:val="Heading4"/>
      </w:pPr>
      <w:r>
        <w:t>Relax land</w:t>
      </w:r>
      <w:r>
        <w:noBreakHyphen/>
        <w:t>use rules where people want to live</w:t>
      </w:r>
    </w:p>
    <w:p w14:paraId="67B2F8CD" w14:textId="65B64F75" w:rsidR="00A450D6" w:rsidRDefault="00A450D6">
      <w:pPr>
        <w:pStyle w:val="BodyText"/>
      </w:pPr>
      <w:r w:rsidRPr="006F2D22">
        <w:t>Land</w:t>
      </w:r>
      <w:r>
        <w:noBreakHyphen/>
      </w:r>
      <w:r w:rsidRPr="006F2D22">
        <w:t>use controls include requirements about where people can and can’t buil</w:t>
      </w:r>
      <w:r>
        <w:t>d</w:t>
      </w:r>
      <w:r w:rsidRPr="006F2D22">
        <w:t xml:space="preserve"> housing (zoning), and the design and built form requirements for new homes. These controls provide protections for households and neighbourhoods – particularly where development would impose significant social, cultural, </w:t>
      </w:r>
      <w:r>
        <w:t xml:space="preserve">climate resilience </w:t>
      </w:r>
      <w:r w:rsidRPr="006F2D22">
        <w:t>or environmental costs. At the same time, land</w:t>
      </w:r>
      <w:r>
        <w:noBreakHyphen/>
      </w:r>
      <w:r w:rsidRPr="006F2D22">
        <w:t xml:space="preserve">use controls often impose binding constraints on new development, </w:t>
      </w:r>
      <w:r>
        <w:t>limiting the supply of new housing, even when prices (and hence incentives for development) are high</w:t>
      </w:r>
      <w:r w:rsidRPr="006F2D22">
        <w:t xml:space="preserve">. </w:t>
      </w:r>
      <w:r>
        <w:t>For example,</w:t>
      </w:r>
      <w:r w:rsidRPr="006F2D22">
        <w:t xml:space="preserve"> </w:t>
      </w:r>
      <w:r>
        <w:t xml:space="preserve">heritage protections cover at least 50% of residential land in 50 suburbs across greater Sydney </w:t>
      </w:r>
      <w:r w:rsidR="00877EF9" w:rsidRPr="00877EF9">
        <w:rPr>
          <w:rFonts w:cs="Open Sans"/>
        </w:rPr>
        <w:t>(NSW PEC 2024b, p. 42)</w:t>
      </w:r>
      <w:r>
        <w:t>.</w:t>
      </w:r>
    </w:p>
    <w:p w14:paraId="57FFBDF1" w14:textId="77777777" w:rsidR="00A450D6" w:rsidRDefault="00A450D6">
      <w:pPr>
        <w:pStyle w:val="BodyText"/>
      </w:pPr>
      <w:r w:rsidRPr="003324FF">
        <w:t>Chapter</w:t>
      </w:r>
      <w:r>
        <w:t> </w:t>
      </w:r>
      <w:r w:rsidRPr="00517DDD">
        <w:t>2 of this report examines how land</w:t>
      </w:r>
      <w:r>
        <w:noBreakHyphen/>
      </w:r>
      <w:r w:rsidRPr="00517DDD">
        <w:t xml:space="preserve">use regulations </w:t>
      </w:r>
      <w:r>
        <w:t>can block new development or make it commercially unfeasible.</w:t>
      </w:r>
      <w:r w:rsidRPr="00517DDD">
        <w:t xml:space="preserve"> We examine which controls most constrain supply, and where the benefits of relaxing controls</w:t>
      </w:r>
      <w:r>
        <w:t xml:space="preserve"> within our cities (infill) and at their margins (greenfield sites) exceed the downsides of development.</w:t>
      </w:r>
    </w:p>
    <w:p w14:paraId="0926AEDB" w14:textId="77777777" w:rsidR="00A450D6" w:rsidRDefault="00A450D6">
      <w:pPr>
        <w:pStyle w:val="BodyText"/>
      </w:pPr>
      <w:r>
        <w:t>Our priority reform directions are:</w:t>
      </w:r>
    </w:p>
    <w:p w14:paraId="2C0EB50B" w14:textId="460F0738"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30F85287" w14:textId="77777777">
        <w:trPr>
          <w:tblHeader/>
        </w:trPr>
        <w:tc>
          <w:tcPr>
            <w:tcW w:w="713" w:type="dxa"/>
            <w:shd w:val="clear" w:color="auto" w:fill="E7F6FD"/>
            <w:tcMar>
              <w:top w:w="0" w:type="dxa"/>
              <w:bottom w:w="0" w:type="dxa"/>
            </w:tcMar>
            <w:vAlign w:val="center"/>
          </w:tcPr>
          <w:p w14:paraId="4B442449" w14:textId="77777777" w:rsidR="00A450D6" w:rsidRDefault="00A450D6">
            <w:pPr>
              <w:keepLines/>
              <w:jc w:val="center"/>
            </w:pPr>
            <w:r w:rsidRPr="00A51374">
              <w:rPr>
                <w:noProof/>
              </w:rPr>
              <w:drawing>
                <wp:inline distT="0" distB="0" distL="0" distR="0" wp14:anchorId="6F4CFC07" wp14:editId="776D8EDA">
                  <wp:extent cx="288000" cy="288000"/>
                  <wp:effectExtent l="0" t="0" r="0" b="0"/>
                  <wp:docPr id="30"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030F4B1" w14:textId="35A8689C" w:rsidR="00A450D6" w:rsidRPr="00715040" w:rsidRDefault="00A450D6">
            <w:pPr>
              <w:pStyle w:val="FindingRecRequesttitle"/>
            </w:pPr>
            <w:r w:rsidRPr="00715040">
              <w:t>Re</w:t>
            </w:r>
            <w:r>
              <w:t>form direction</w:t>
            </w:r>
            <w:r w:rsidRPr="00715040">
              <w:t xml:space="preserve"> </w:t>
            </w:r>
            <w:r>
              <w:t>2</w:t>
            </w:r>
            <w:r w:rsidRPr="00715040">
              <w:t>.</w:t>
            </w:r>
            <w:r w:rsidR="00CB06D8">
              <w:rPr>
                <w:noProof/>
              </w:rPr>
              <w:t>1</w:t>
            </w:r>
          </w:p>
          <w:p w14:paraId="4127DA8E" w14:textId="77777777" w:rsidR="00A450D6" w:rsidRPr="00715040" w:rsidRDefault="00A450D6">
            <w:pPr>
              <w:pStyle w:val="FindingRecRequesttitle"/>
            </w:pPr>
            <w:r w:rsidRPr="0008600B">
              <w:t xml:space="preserve">Allow up to </w:t>
            </w:r>
            <w:r>
              <w:t>3</w:t>
            </w:r>
            <w:r>
              <w:noBreakHyphen/>
            </w:r>
            <w:r w:rsidRPr="0008600B">
              <w:t>storey developments across most residential land</w:t>
            </w:r>
          </w:p>
        </w:tc>
      </w:tr>
      <w:tr w:rsidR="00A450D6" w14:paraId="526B8FC4" w14:textId="77777777">
        <w:tc>
          <w:tcPr>
            <w:tcW w:w="9638" w:type="dxa"/>
            <w:gridSpan w:val="2"/>
            <w:shd w:val="clear" w:color="auto" w:fill="E7F6FD"/>
            <w:tcMar>
              <w:top w:w="0" w:type="dxa"/>
            </w:tcMar>
          </w:tcPr>
          <w:p w14:paraId="4182CFD2" w14:textId="77777777" w:rsidR="00A450D6" w:rsidRPr="00767EAE" w:rsidRDefault="00A450D6">
            <w:pPr>
              <w:pStyle w:val="BodyText"/>
            </w:pPr>
            <w:r>
              <w:t>State and territory governments should allow up to 3</w:t>
            </w:r>
            <w:r>
              <w:noBreakHyphen/>
              <w:t>storey developments across all residential land, with exceptions made for areas with environmental protection, hazard</w:t>
            </w:r>
            <w:r>
              <w:noBreakHyphen/>
              <w:t>related overlays or heritage listed buildings only where the benefits of exceptions outweigh the costs.</w:t>
            </w:r>
          </w:p>
        </w:tc>
      </w:tr>
      <w:tr w:rsidR="00A450D6" w14:paraId="11372D43" w14:textId="77777777">
        <w:trPr>
          <w:trHeight w:val="93"/>
        </w:trPr>
        <w:tc>
          <w:tcPr>
            <w:tcW w:w="9638" w:type="dxa"/>
            <w:gridSpan w:val="2"/>
            <w:shd w:val="clear" w:color="auto" w:fill="auto"/>
            <w:tcMar>
              <w:top w:w="0" w:type="dxa"/>
              <w:bottom w:w="0" w:type="dxa"/>
            </w:tcMar>
          </w:tcPr>
          <w:p w14:paraId="0377424D" w14:textId="4994D9F7" w:rsidR="00A450D6" w:rsidRPr="007E0EA8" w:rsidRDefault="00A450D6">
            <w:pPr>
              <w:pStyle w:val="NoSpacing"/>
              <w:spacing w:line="200" w:lineRule="exact"/>
            </w:pPr>
          </w:p>
        </w:tc>
      </w:tr>
    </w:tbl>
    <w:p w14:paraId="0CD01A0A" w14:textId="76DBDD48"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47093332" w14:textId="77777777">
        <w:trPr>
          <w:tblHeader/>
        </w:trPr>
        <w:tc>
          <w:tcPr>
            <w:tcW w:w="713" w:type="dxa"/>
            <w:shd w:val="clear" w:color="auto" w:fill="E7F6FD"/>
            <w:tcMar>
              <w:top w:w="0" w:type="dxa"/>
              <w:bottom w:w="0" w:type="dxa"/>
            </w:tcMar>
            <w:vAlign w:val="center"/>
          </w:tcPr>
          <w:p w14:paraId="2683BC0A" w14:textId="77777777" w:rsidR="00A450D6" w:rsidRDefault="00A450D6">
            <w:pPr>
              <w:keepLines/>
              <w:jc w:val="center"/>
            </w:pPr>
            <w:r w:rsidRPr="00A51374">
              <w:rPr>
                <w:noProof/>
              </w:rPr>
              <w:drawing>
                <wp:inline distT="0" distB="0" distL="0" distR="0" wp14:anchorId="410E3A34" wp14:editId="59DBC437">
                  <wp:extent cx="288000" cy="288000"/>
                  <wp:effectExtent l="0" t="0" r="0" b="0"/>
                  <wp:docPr id="2120260852" name="Graphic 21202608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26D18D46" w14:textId="77777777" w:rsidR="00A450D6" w:rsidRPr="00715040" w:rsidRDefault="00A450D6">
            <w:pPr>
              <w:pStyle w:val="FindingRecRequesttitle"/>
            </w:pPr>
            <w:r w:rsidRPr="00715040">
              <w:t>Re</w:t>
            </w:r>
            <w:r>
              <w:t>form direction 2.2</w:t>
            </w:r>
          </w:p>
          <w:p w14:paraId="50256E67" w14:textId="77777777" w:rsidR="00A450D6" w:rsidRPr="00715040" w:rsidRDefault="00A450D6">
            <w:pPr>
              <w:pStyle w:val="FindingRecRequesttitle"/>
            </w:pPr>
            <w:r w:rsidRPr="0008600B">
              <w:t>Allow mid</w:t>
            </w:r>
            <w:r>
              <w:noBreakHyphen/>
            </w:r>
            <w:r w:rsidRPr="0008600B">
              <w:t>rise or high</w:t>
            </w:r>
            <w:r>
              <w:noBreakHyphen/>
            </w:r>
            <w:r w:rsidRPr="0008600B">
              <w:t>rise apartments in high</w:t>
            </w:r>
            <w:r>
              <w:noBreakHyphen/>
            </w:r>
            <w:r w:rsidRPr="0008600B">
              <w:t>demand areas</w:t>
            </w:r>
          </w:p>
        </w:tc>
      </w:tr>
      <w:tr w:rsidR="00A450D6" w14:paraId="11C0594D" w14:textId="77777777">
        <w:tc>
          <w:tcPr>
            <w:tcW w:w="9638" w:type="dxa"/>
            <w:gridSpan w:val="2"/>
            <w:shd w:val="clear" w:color="auto" w:fill="E7F6FD"/>
            <w:tcMar>
              <w:top w:w="0" w:type="dxa"/>
            </w:tcMar>
          </w:tcPr>
          <w:p w14:paraId="46FDCD78" w14:textId="0E581BA9" w:rsidR="00A450D6" w:rsidRPr="00767EAE" w:rsidRDefault="00A450D6">
            <w:pPr>
              <w:pStyle w:val="BodyText"/>
            </w:pPr>
            <w:r>
              <w:t>State, territory and local governments should update planning schemes to allow mid</w:t>
            </w:r>
            <w:r>
              <w:noBreakHyphen/>
              <w:t xml:space="preserve">rise </w:t>
            </w:r>
            <w:r w:rsidR="00816C30">
              <w:br/>
            </w:r>
            <w:r>
              <w:t>(</w:t>
            </w:r>
            <w:r w:rsidRPr="00F11DB0">
              <w:t>4</w:t>
            </w:r>
            <w:r w:rsidR="00816C30">
              <w:t>–</w:t>
            </w:r>
            <w:r w:rsidRPr="00F11DB0">
              <w:t>9 storeys</w:t>
            </w:r>
            <w:r>
              <w:t>) and/or high</w:t>
            </w:r>
            <w:r>
              <w:noBreakHyphen/>
              <w:t>rise (10+ storeys) apartments in high</w:t>
            </w:r>
            <w:r>
              <w:noBreakHyphen/>
              <w:t xml:space="preserve">demand areas </w:t>
            </w:r>
            <w:r w:rsidRPr="00990F44">
              <w:t>with existing or readily expandable transportation infrastructure</w:t>
            </w:r>
            <w:r>
              <w:t>. This will require changes to a variety of land</w:t>
            </w:r>
            <w:r>
              <w:noBreakHyphen/>
              <w:t>use controls which will vary by local government area and/or state and should be implemented in conjunction with reform direction 2.6.</w:t>
            </w:r>
          </w:p>
        </w:tc>
      </w:tr>
      <w:tr w:rsidR="00A450D6" w14:paraId="656D0F2C" w14:textId="77777777">
        <w:tc>
          <w:tcPr>
            <w:tcW w:w="9638" w:type="dxa"/>
            <w:gridSpan w:val="2"/>
            <w:shd w:val="clear" w:color="auto" w:fill="auto"/>
            <w:tcMar>
              <w:top w:w="0" w:type="dxa"/>
              <w:bottom w:w="0" w:type="dxa"/>
            </w:tcMar>
          </w:tcPr>
          <w:p w14:paraId="1B2E973F" w14:textId="6BC50F03" w:rsidR="00A450D6" w:rsidRPr="007E0EA8" w:rsidRDefault="00A450D6">
            <w:pPr>
              <w:pStyle w:val="NoSpacing"/>
              <w:spacing w:line="200" w:lineRule="exact"/>
            </w:pPr>
          </w:p>
        </w:tc>
      </w:tr>
    </w:tbl>
    <w:p w14:paraId="23EBE92C" w14:textId="348E8E65"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294BCF5D" w14:textId="77777777">
        <w:trPr>
          <w:tblHeader/>
        </w:trPr>
        <w:tc>
          <w:tcPr>
            <w:tcW w:w="709" w:type="dxa"/>
            <w:shd w:val="clear" w:color="auto" w:fill="E7F6FD"/>
            <w:tcMar>
              <w:top w:w="0" w:type="dxa"/>
              <w:bottom w:w="0" w:type="dxa"/>
            </w:tcMar>
            <w:vAlign w:val="center"/>
          </w:tcPr>
          <w:p w14:paraId="2C5CFCD3" w14:textId="77777777" w:rsidR="00A450D6" w:rsidRDefault="00A450D6">
            <w:pPr>
              <w:keepLines/>
              <w:jc w:val="center"/>
            </w:pPr>
            <w:r w:rsidRPr="00A51374">
              <w:rPr>
                <w:noProof/>
              </w:rPr>
              <w:lastRenderedPageBreak/>
              <w:drawing>
                <wp:inline distT="0" distB="0" distL="0" distR="0" wp14:anchorId="5F035E53" wp14:editId="1F468905">
                  <wp:extent cx="288000" cy="288000"/>
                  <wp:effectExtent l="0" t="0" r="0" b="0"/>
                  <wp:docPr id="922927184" name="Graphic 922927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065BFB34" w14:textId="77777777" w:rsidR="00A450D6" w:rsidRPr="00715040" w:rsidRDefault="00A450D6">
            <w:pPr>
              <w:pStyle w:val="FindingRecRequesttitle"/>
            </w:pPr>
            <w:r>
              <w:t xml:space="preserve">Reform direction 2.3 </w:t>
            </w:r>
          </w:p>
          <w:p w14:paraId="11C0B77C" w14:textId="77777777" w:rsidR="00A450D6" w:rsidRPr="00715040" w:rsidRDefault="00A450D6">
            <w:pPr>
              <w:pStyle w:val="FindingRecRequesttitle"/>
            </w:pPr>
            <w:r w:rsidRPr="0008600B">
              <w:t xml:space="preserve">Reduce </w:t>
            </w:r>
            <w:r w:rsidRPr="005D7DB5">
              <w:t>or remove</w:t>
            </w:r>
            <w:r>
              <w:t xml:space="preserve"> </w:t>
            </w:r>
            <w:r w:rsidRPr="0008600B">
              <w:t>minimum lot size requirements</w:t>
            </w:r>
          </w:p>
        </w:tc>
      </w:tr>
      <w:tr w:rsidR="00A450D6" w14:paraId="401A59CF" w14:textId="77777777">
        <w:tc>
          <w:tcPr>
            <w:tcW w:w="9583" w:type="dxa"/>
            <w:gridSpan w:val="2"/>
            <w:shd w:val="clear" w:color="auto" w:fill="E7F6FD"/>
            <w:tcMar>
              <w:top w:w="0" w:type="dxa"/>
            </w:tcMar>
          </w:tcPr>
          <w:p w14:paraId="5C5EE8EB" w14:textId="77777777" w:rsidR="00A450D6" w:rsidRPr="00767EAE" w:rsidRDefault="00A450D6">
            <w:pPr>
              <w:pStyle w:val="BodyText"/>
            </w:pPr>
            <w:r>
              <w:t>State, territory and local governments should recognise where minimum lot size requirements are reducing commercially feasible capacity, particularly in high</w:t>
            </w:r>
            <w:r>
              <w:noBreakHyphen/>
              <w:t xml:space="preserve">demand areas, and </w:t>
            </w:r>
            <w:r w:rsidRPr="005D7DB5">
              <w:t>remove or</w:t>
            </w:r>
            <w:r>
              <w:t xml:space="preserve"> reduce requirements in those places. Subdivision requirements need to be permissive to enable this reform to have its full effect.</w:t>
            </w:r>
          </w:p>
        </w:tc>
      </w:tr>
      <w:tr w:rsidR="00A450D6" w14:paraId="2DDEC566" w14:textId="77777777">
        <w:tc>
          <w:tcPr>
            <w:tcW w:w="9583" w:type="dxa"/>
            <w:gridSpan w:val="2"/>
            <w:shd w:val="clear" w:color="auto" w:fill="auto"/>
            <w:tcMar>
              <w:top w:w="0" w:type="dxa"/>
              <w:bottom w:w="0" w:type="dxa"/>
            </w:tcMar>
          </w:tcPr>
          <w:p w14:paraId="4DF43D41" w14:textId="5BF99A66" w:rsidR="00A450D6" w:rsidRPr="007E0EA8" w:rsidRDefault="00A450D6">
            <w:pPr>
              <w:pStyle w:val="NoSpacing"/>
              <w:spacing w:line="200" w:lineRule="exact"/>
            </w:pPr>
          </w:p>
        </w:tc>
      </w:tr>
    </w:tbl>
    <w:p w14:paraId="5647AB47" w14:textId="07C2E87A"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571E9038" w14:textId="77777777">
        <w:trPr>
          <w:tblHeader/>
        </w:trPr>
        <w:tc>
          <w:tcPr>
            <w:tcW w:w="709" w:type="dxa"/>
            <w:shd w:val="clear" w:color="auto" w:fill="E7F6FD"/>
            <w:tcMar>
              <w:top w:w="0" w:type="dxa"/>
              <w:bottom w:w="0" w:type="dxa"/>
            </w:tcMar>
            <w:vAlign w:val="center"/>
          </w:tcPr>
          <w:p w14:paraId="168298BD" w14:textId="77777777" w:rsidR="00A450D6" w:rsidRDefault="00A450D6">
            <w:pPr>
              <w:keepLines/>
              <w:jc w:val="center"/>
            </w:pPr>
            <w:r w:rsidRPr="00A51374">
              <w:rPr>
                <w:noProof/>
              </w:rPr>
              <w:drawing>
                <wp:inline distT="0" distB="0" distL="0" distR="0" wp14:anchorId="700349BF" wp14:editId="493128C9">
                  <wp:extent cx="288000" cy="288000"/>
                  <wp:effectExtent l="0" t="0" r="0" b="0"/>
                  <wp:docPr id="864818063" name="Graphic 8648180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2B2A4B40" w14:textId="77777777" w:rsidR="00A450D6" w:rsidRPr="00715040" w:rsidRDefault="00A450D6">
            <w:pPr>
              <w:pStyle w:val="FindingRecRequesttitle"/>
            </w:pPr>
            <w:r>
              <w:t>Reform direction</w:t>
            </w:r>
            <w:r w:rsidRPr="00715040">
              <w:t xml:space="preserve"> </w:t>
            </w:r>
            <w:r>
              <w:t>2</w:t>
            </w:r>
            <w:r w:rsidRPr="00715040">
              <w:t>.</w:t>
            </w:r>
            <w:r>
              <w:t>4</w:t>
            </w:r>
          </w:p>
          <w:p w14:paraId="10959FC2" w14:textId="77777777" w:rsidR="00A450D6" w:rsidRPr="00715040" w:rsidRDefault="00A450D6">
            <w:pPr>
              <w:pStyle w:val="FindingRecRequesttitle"/>
            </w:pPr>
            <w:r w:rsidRPr="00AD7E3B">
              <w:t xml:space="preserve">Allow residential development in commercial zones, unless there is a clear rationale for excluding </w:t>
            </w:r>
            <w:r>
              <w:t>it</w:t>
            </w:r>
          </w:p>
        </w:tc>
      </w:tr>
      <w:tr w:rsidR="00A450D6" w14:paraId="02A457DA" w14:textId="77777777">
        <w:tc>
          <w:tcPr>
            <w:tcW w:w="9583" w:type="dxa"/>
            <w:gridSpan w:val="2"/>
            <w:shd w:val="clear" w:color="auto" w:fill="E7F6FD"/>
            <w:tcMar>
              <w:top w:w="0" w:type="dxa"/>
            </w:tcMar>
          </w:tcPr>
          <w:p w14:paraId="4A8F9DC4" w14:textId="77777777" w:rsidR="00A450D6" w:rsidRPr="00767EAE" w:rsidRDefault="00A450D6">
            <w:pPr>
              <w:pStyle w:val="BodyText"/>
            </w:pPr>
            <w:r>
              <w:t xml:space="preserve">State and territory governments should review all commercial zones that restrict residential development and change </w:t>
            </w:r>
            <w:proofErr w:type="gramStart"/>
            <w:r>
              <w:t>them</w:t>
            </w:r>
            <w:proofErr w:type="gramEnd"/>
            <w:r>
              <w:t xml:space="preserve"> so they restrict residential development only where there is a clear rationale to do so and there is a net benefit from restriction.</w:t>
            </w:r>
          </w:p>
        </w:tc>
      </w:tr>
      <w:tr w:rsidR="00A450D6" w14:paraId="04CDE4B3" w14:textId="77777777">
        <w:tc>
          <w:tcPr>
            <w:tcW w:w="9583" w:type="dxa"/>
            <w:gridSpan w:val="2"/>
            <w:shd w:val="clear" w:color="auto" w:fill="auto"/>
            <w:tcMar>
              <w:top w:w="0" w:type="dxa"/>
              <w:bottom w:w="0" w:type="dxa"/>
            </w:tcMar>
          </w:tcPr>
          <w:p w14:paraId="75CAEC08" w14:textId="5B5D39FB" w:rsidR="00A450D6" w:rsidRPr="007E0EA8" w:rsidRDefault="00A450D6">
            <w:pPr>
              <w:pStyle w:val="NoSpacing"/>
              <w:spacing w:line="200" w:lineRule="exact"/>
            </w:pPr>
          </w:p>
        </w:tc>
      </w:tr>
    </w:tbl>
    <w:p w14:paraId="69CB5FE5" w14:textId="1048345F" w:rsidR="00A450D6" w:rsidRPr="003B3CD4" w:rsidRDefault="00A450D6" w:rsidP="003B3CD4">
      <w:pPr>
        <w:pStyle w:val="NoSpacing"/>
      </w:pPr>
    </w:p>
    <w:tbl>
      <w:tblPr>
        <w:tblStyle w:val="Texttable-Paleblue"/>
        <w:tblW w:w="5000" w:type="pct"/>
        <w:tblLook w:val="04A0" w:firstRow="1" w:lastRow="0" w:firstColumn="1" w:lastColumn="0" w:noHBand="0" w:noVBand="1"/>
      </w:tblPr>
      <w:tblGrid>
        <w:gridCol w:w="713"/>
        <w:gridCol w:w="8925"/>
      </w:tblGrid>
      <w:tr w:rsidR="00A450D6" w14:paraId="569FAB95" w14:textId="77777777">
        <w:trPr>
          <w:tblHeader/>
        </w:trPr>
        <w:tc>
          <w:tcPr>
            <w:tcW w:w="713" w:type="dxa"/>
            <w:shd w:val="clear" w:color="auto" w:fill="E7F6FD"/>
            <w:tcMar>
              <w:top w:w="0" w:type="dxa"/>
              <w:bottom w:w="0" w:type="dxa"/>
            </w:tcMar>
            <w:vAlign w:val="center"/>
          </w:tcPr>
          <w:p w14:paraId="3A2ACF39" w14:textId="77777777" w:rsidR="00A450D6" w:rsidRDefault="00A450D6">
            <w:pPr>
              <w:keepLines/>
              <w:jc w:val="center"/>
            </w:pPr>
            <w:r w:rsidRPr="00A51374">
              <w:rPr>
                <w:noProof/>
              </w:rPr>
              <w:drawing>
                <wp:inline distT="0" distB="0" distL="0" distR="0" wp14:anchorId="7DF67F5B" wp14:editId="7480CC2D">
                  <wp:extent cx="288000" cy="288000"/>
                  <wp:effectExtent l="0" t="0" r="0" b="0"/>
                  <wp:docPr id="2119379353" name="Graphic 21193793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75CA14A" w14:textId="77777777" w:rsidR="00A450D6" w:rsidRPr="00715040" w:rsidRDefault="00A450D6">
            <w:pPr>
              <w:pStyle w:val="FindingRecRequesttitle"/>
            </w:pPr>
            <w:r w:rsidRPr="00715040">
              <w:t>Re</w:t>
            </w:r>
            <w:r>
              <w:t>form direction</w:t>
            </w:r>
            <w:r w:rsidRPr="00715040">
              <w:t xml:space="preserve"> </w:t>
            </w:r>
            <w:r>
              <w:t>2.5</w:t>
            </w:r>
          </w:p>
          <w:p w14:paraId="57A456B8" w14:textId="77777777" w:rsidR="00A450D6" w:rsidRPr="00715040" w:rsidRDefault="00A450D6">
            <w:pPr>
              <w:pStyle w:val="FindingRecRequesttitle"/>
            </w:pPr>
            <w:r>
              <w:t>Review, reduce and remove land</w:t>
            </w:r>
            <w:r>
              <w:noBreakHyphen/>
              <w:t>use controls that reduce commercial feasibility and do not adhere to best practice principles</w:t>
            </w:r>
          </w:p>
        </w:tc>
      </w:tr>
      <w:tr w:rsidR="00A450D6" w14:paraId="27429FE5" w14:textId="77777777">
        <w:tc>
          <w:tcPr>
            <w:tcW w:w="9638" w:type="dxa"/>
            <w:gridSpan w:val="2"/>
            <w:shd w:val="clear" w:color="auto" w:fill="E7F6FD"/>
            <w:tcMar>
              <w:top w:w="0" w:type="dxa"/>
            </w:tcMar>
          </w:tcPr>
          <w:p w14:paraId="46864BB2" w14:textId="77777777" w:rsidR="00A450D6" w:rsidRDefault="00A450D6">
            <w:pPr>
              <w:pStyle w:val="BodyText"/>
            </w:pPr>
            <w:r>
              <w:t>State, territory and local governments should identify and reduce controls that reduce commercial feasibility and do not adhere to best practice principles.</w:t>
            </w:r>
          </w:p>
          <w:p w14:paraId="2912B9F7" w14:textId="77777777" w:rsidR="00A450D6" w:rsidRPr="004F27FE" w:rsidRDefault="00A450D6" w:rsidP="00E11D04">
            <w:pPr>
              <w:pStyle w:val="ListBullet"/>
            </w:pPr>
            <w:r w:rsidRPr="004F27FE">
              <w:rPr>
                <w:b/>
              </w:rPr>
              <w:t>Remove or reduce parking requirements.</w:t>
            </w:r>
            <w:r w:rsidRPr="004F27FE">
              <w:t xml:space="preserve"> </w:t>
            </w:r>
            <w:r>
              <w:t>Governments should remove or reduce</w:t>
            </w:r>
            <w:r w:rsidRPr="004F27FE">
              <w:t xml:space="preserve"> off</w:t>
            </w:r>
            <w:r>
              <w:noBreakHyphen/>
            </w:r>
            <w:r w:rsidRPr="004F27FE">
              <w:t>street parking requirements (especially minimum requirements) in areas where there is evidence of underused parking sp</w:t>
            </w:r>
            <w:r>
              <w:t>aces</w:t>
            </w:r>
            <w:r w:rsidRPr="004F27FE">
              <w:t xml:space="preserve"> and sufficient public transport connectivity.</w:t>
            </w:r>
          </w:p>
          <w:p w14:paraId="4E750B73" w14:textId="77777777" w:rsidR="00A450D6" w:rsidRPr="004F27FE" w:rsidRDefault="00A450D6" w:rsidP="00E11D04">
            <w:pPr>
              <w:pStyle w:val="ListBullet"/>
            </w:pPr>
            <w:r w:rsidRPr="004F27FE">
              <w:rPr>
                <w:b/>
              </w:rPr>
              <w:t>Replace broad heritage protections with more targeted heritage listings with cost</w:t>
            </w:r>
            <w:r>
              <w:rPr>
                <w:b/>
              </w:rPr>
              <w:noBreakHyphen/>
            </w:r>
            <w:r w:rsidRPr="004F27FE">
              <w:rPr>
                <w:b/>
              </w:rPr>
              <w:t xml:space="preserve">benefit analysis and review processes. </w:t>
            </w:r>
            <w:r w:rsidRPr="004F27FE">
              <w:t>Blanket heritage areas should be replaced by heritage listings for specific buildings</w:t>
            </w:r>
            <w:r>
              <w:t xml:space="preserve"> or small areas</w:t>
            </w:r>
            <w:r w:rsidRPr="004F27FE">
              <w:t>. Targeted heritage listings should be justified by cost</w:t>
            </w:r>
            <w:r>
              <w:noBreakHyphen/>
            </w:r>
            <w:r w:rsidRPr="004F27FE">
              <w:t xml:space="preserve">benefit analysis and </w:t>
            </w:r>
            <w:r>
              <w:t>there should be more robust mechanisms to review and delist buildings</w:t>
            </w:r>
            <w:r w:rsidRPr="004F27FE">
              <w:t>.</w:t>
            </w:r>
          </w:p>
          <w:p w14:paraId="7B4528FE" w14:textId="77777777" w:rsidR="00A450D6" w:rsidRPr="00767EAE" w:rsidRDefault="00A450D6" w:rsidP="00E11D04">
            <w:pPr>
              <w:pStyle w:val="ListBullet"/>
            </w:pPr>
            <w:r w:rsidRPr="004F27FE">
              <w:rPr>
                <w:b/>
                <w:color w:val="000000" w:themeColor="text1"/>
              </w:rPr>
              <w:t xml:space="preserve">Review and reduce neighbourhood character restrictions. </w:t>
            </w:r>
            <w:r w:rsidRPr="004F27FE">
              <w:t xml:space="preserve">Restrictive overlays which apply blanket restrictions to entire streets or </w:t>
            </w:r>
            <w:r>
              <w:t>local government areas</w:t>
            </w:r>
            <w:r w:rsidRPr="004F27FE">
              <w:t xml:space="preserve"> should be reviewed and replaced by targeted protections where possible.</w:t>
            </w:r>
          </w:p>
        </w:tc>
      </w:tr>
      <w:tr w:rsidR="00A450D6" w14:paraId="1DF70995" w14:textId="77777777">
        <w:tc>
          <w:tcPr>
            <w:tcW w:w="9638" w:type="dxa"/>
            <w:gridSpan w:val="2"/>
            <w:shd w:val="clear" w:color="auto" w:fill="auto"/>
            <w:tcMar>
              <w:top w:w="0" w:type="dxa"/>
              <w:bottom w:w="0" w:type="dxa"/>
            </w:tcMar>
          </w:tcPr>
          <w:p w14:paraId="41FCE557" w14:textId="3D0DE406" w:rsidR="00A450D6" w:rsidRPr="007E0EA8" w:rsidRDefault="00A450D6">
            <w:pPr>
              <w:pStyle w:val="NoSpacing"/>
              <w:spacing w:line="200" w:lineRule="exact"/>
            </w:pPr>
          </w:p>
        </w:tc>
      </w:tr>
    </w:tbl>
    <w:p w14:paraId="29375DD7" w14:textId="44D14C1F"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63ADB51C" w14:textId="77777777">
        <w:trPr>
          <w:tblHeader/>
        </w:trPr>
        <w:tc>
          <w:tcPr>
            <w:tcW w:w="709" w:type="dxa"/>
            <w:shd w:val="clear" w:color="auto" w:fill="E7F6FD"/>
            <w:tcMar>
              <w:top w:w="0" w:type="dxa"/>
              <w:bottom w:w="0" w:type="dxa"/>
            </w:tcMar>
            <w:vAlign w:val="center"/>
          </w:tcPr>
          <w:p w14:paraId="4C17CA3C" w14:textId="77777777" w:rsidR="00A450D6" w:rsidRDefault="00A450D6">
            <w:pPr>
              <w:keepLines/>
              <w:jc w:val="center"/>
            </w:pPr>
            <w:r w:rsidRPr="00A51374">
              <w:rPr>
                <w:noProof/>
              </w:rPr>
              <w:lastRenderedPageBreak/>
              <w:drawing>
                <wp:inline distT="0" distB="0" distL="0" distR="0" wp14:anchorId="0C25DFF3" wp14:editId="240D1BA9">
                  <wp:extent cx="288000" cy="288000"/>
                  <wp:effectExtent l="0" t="0" r="0" b="0"/>
                  <wp:docPr id="1152293035" name="Graphic 1152293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47B6446D" w14:textId="77777777" w:rsidR="00A450D6" w:rsidRPr="00715040" w:rsidRDefault="00A450D6">
            <w:pPr>
              <w:pStyle w:val="FindingRecRequesttitle"/>
            </w:pPr>
            <w:r>
              <w:t>Reform direction</w:t>
            </w:r>
            <w:r w:rsidRPr="00715040">
              <w:t xml:space="preserve"> </w:t>
            </w:r>
            <w:r>
              <w:t>2</w:t>
            </w:r>
            <w:r w:rsidRPr="00715040">
              <w:t>.</w:t>
            </w:r>
            <w:r>
              <w:t>6</w:t>
            </w:r>
          </w:p>
          <w:p w14:paraId="366BE144" w14:textId="77777777" w:rsidR="00A450D6" w:rsidRPr="00715040" w:rsidRDefault="00A450D6">
            <w:pPr>
              <w:pStyle w:val="FindingRecRequesttitle"/>
            </w:pPr>
            <w:r w:rsidRPr="00DF27A7">
              <w:rPr>
                <w:bCs/>
              </w:rPr>
              <w:t xml:space="preserve">Relax or remove </w:t>
            </w:r>
            <w:r>
              <w:rPr>
                <w:bCs/>
              </w:rPr>
              <w:t>built</w:t>
            </w:r>
            <w:r>
              <w:rPr>
                <w:bCs/>
              </w:rPr>
              <w:noBreakHyphen/>
              <w:t>form</w:t>
            </w:r>
            <w:r w:rsidRPr="00DF27A7">
              <w:rPr>
                <w:bCs/>
              </w:rPr>
              <w:t xml:space="preserve"> controls </w:t>
            </w:r>
            <w:r>
              <w:rPr>
                <w:bCs/>
              </w:rPr>
              <w:t>that limit flexibility and choice for households</w:t>
            </w:r>
          </w:p>
        </w:tc>
      </w:tr>
      <w:tr w:rsidR="00A450D6" w14:paraId="4332CED3" w14:textId="77777777">
        <w:trPr>
          <w:trHeight w:val="4252"/>
        </w:trPr>
        <w:tc>
          <w:tcPr>
            <w:tcW w:w="9583" w:type="dxa"/>
            <w:gridSpan w:val="2"/>
            <w:shd w:val="clear" w:color="auto" w:fill="E7F6FD"/>
            <w:tcMar>
              <w:top w:w="0" w:type="dxa"/>
            </w:tcMar>
          </w:tcPr>
          <w:p w14:paraId="1A09D0FC" w14:textId="77777777" w:rsidR="00A450D6" w:rsidRDefault="00A450D6">
            <w:pPr>
              <w:pStyle w:val="BodyText"/>
            </w:pPr>
            <w:r>
              <w:t>State, territory and local governments should identify and reduce or remove built</w:t>
            </w:r>
            <w:r>
              <w:noBreakHyphen/>
              <w:t>form controls that limit the range of dwelling types available to households.</w:t>
            </w:r>
          </w:p>
          <w:p w14:paraId="05A316E9" w14:textId="77777777" w:rsidR="00A450D6" w:rsidRPr="004F27FE" w:rsidRDefault="00A450D6" w:rsidP="00E11D04">
            <w:pPr>
              <w:pStyle w:val="ListBullet"/>
            </w:pPr>
            <w:r w:rsidRPr="004F27FE">
              <w:rPr>
                <w:b/>
              </w:rPr>
              <w:t>Modify controls as required to enable townhouse and apartment reform</w:t>
            </w:r>
            <w:r w:rsidRPr="004F27FE">
              <w:rPr>
                <w:b/>
                <w:bCs/>
              </w:rPr>
              <w:t xml:space="preserve">. </w:t>
            </w:r>
            <w:r w:rsidRPr="004F27FE">
              <w:t>In areas suitable for townhouse</w:t>
            </w:r>
            <w:r>
              <w:t>s</w:t>
            </w:r>
            <w:r w:rsidRPr="004F27FE">
              <w:t xml:space="preserve"> and apartments, controls such as</w:t>
            </w:r>
            <w:r w:rsidRPr="00EE3E36">
              <w:t xml:space="preserve"> </w:t>
            </w:r>
            <w:r w:rsidRPr="004F27FE">
              <w:t>site coverage ratios, setback requirements and height restrictions should be modified to enable reform uptake.</w:t>
            </w:r>
          </w:p>
          <w:p w14:paraId="5CB2A76F" w14:textId="77777777" w:rsidR="00A450D6" w:rsidRPr="004F27FE" w:rsidRDefault="00A450D6" w:rsidP="00E11D04">
            <w:pPr>
              <w:pStyle w:val="ListBullet"/>
            </w:pPr>
            <w:r w:rsidRPr="004F27FE">
              <w:rPr>
                <w:b/>
                <w:bCs/>
              </w:rPr>
              <w:t>Remove m</w:t>
            </w:r>
            <w:r>
              <w:rPr>
                <w:b/>
                <w:bCs/>
              </w:rPr>
              <w:t>aximum</w:t>
            </w:r>
            <w:r w:rsidRPr="004F27FE">
              <w:rPr>
                <w:b/>
                <w:bCs/>
              </w:rPr>
              <w:t xml:space="preserve"> </w:t>
            </w:r>
            <w:r w:rsidRPr="00EE3E36">
              <w:rPr>
                <w:b/>
                <w:bCs/>
              </w:rPr>
              <w:t>floor</w:t>
            </w:r>
            <w:r>
              <w:rPr>
                <w:b/>
                <w:bCs/>
              </w:rPr>
              <w:noBreakHyphen/>
            </w:r>
            <w:r w:rsidRPr="00EE3E36">
              <w:rPr>
                <w:b/>
                <w:bCs/>
              </w:rPr>
              <w:t>space</w:t>
            </w:r>
            <w:r w:rsidRPr="004F27FE">
              <w:rPr>
                <w:b/>
                <w:bCs/>
              </w:rPr>
              <w:t xml:space="preserve"> ratios. </w:t>
            </w:r>
            <w:r w:rsidRPr="004F27FE">
              <w:t>State</w:t>
            </w:r>
            <w:r>
              <w:t xml:space="preserve">, </w:t>
            </w:r>
            <w:r w:rsidRPr="004F27FE">
              <w:t xml:space="preserve">territory </w:t>
            </w:r>
            <w:r>
              <w:t xml:space="preserve">and local </w:t>
            </w:r>
            <w:r w:rsidRPr="004F27FE">
              <w:t xml:space="preserve">governments should avoid using </w:t>
            </w:r>
            <w:r>
              <w:t>maximum floor</w:t>
            </w:r>
            <w:r>
              <w:noBreakHyphen/>
              <w:t>space ratios</w:t>
            </w:r>
            <w:r w:rsidRPr="004F27FE">
              <w:t xml:space="preserve"> to manage density where the desired outcome can be achieved through height restrictions or other built</w:t>
            </w:r>
            <w:r>
              <w:noBreakHyphen/>
            </w:r>
            <w:r w:rsidRPr="004F27FE">
              <w:t>form controls.</w:t>
            </w:r>
          </w:p>
          <w:p w14:paraId="4CCE2F68" w14:textId="77777777" w:rsidR="00A450D6" w:rsidRPr="003B3CD4" w:rsidRDefault="00A450D6" w:rsidP="00E11D04">
            <w:pPr>
              <w:pStyle w:val="ListBullet"/>
            </w:pPr>
            <w:r w:rsidRPr="003B3CD4">
              <w:rPr>
                <w:b/>
                <w:bCs/>
              </w:rPr>
              <w:t>Remove restrictions</w:t>
            </w:r>
            <w:r w:rsidRPr="003B3CD4">
              <w:rPr>
                <w:b/>
              </w:rPr>
              <w:t xml:space="preserve"> on housing types. </w:t>
            </w:r>
            <w:r w:rsidRPr="003B3CD4">
              <w:t>State, territory and local governments should avoid restricting certain dwelling types as desired outcomes can be better managed by other built</w:t>
            </w:r>
            <w:r w:rsidRPr="003B3CD4">
              <w:noBreakHyphen/>
              <w:t>form controls.</w:t>
            </w:r>
          </w:p>
          <w:p w14:paraId="1CFD79B5" w14:textId="77777777" w:rsidR="00A450D6" w:rsidRPr="00767EAE" w:rsidRDefault="00A450D6" w:rsidP="00E11D04">
            <w:pPr>
              <w:pStyle w:val="ListBullet"/>
            </w:pPr>
            <w:r w:rsidRPr="004F27FE">
              <w:rPr>
                <w:b/>
                <w:bCs/>
              </w:rPr>
              <w:t xml:space="preserve">Remove restrictions on minimum dwelling sizes, minimum balcony sizes and storage requirements for apartments. </w:t>
            </w:r>
            <w:r w:rsidRPr="004F27FE">
              <w:t>State</w:t>
            </w:r>
            <w:r>
              <w:t xml:space="preserve">, </w:t>
            </w:r>
            <w:r w:rsidRPr="004F27FE">
              <w:t xml:space="preserve">territory </w:t>
            </w:r>
            <w:r>
              <w:t xml:space="preserve">and local </w:t>
            </w:r>
            <w:r w:rsidRPr="004F27FE">
              <w:t xml:space="preserve">governments should avoid regulating observable characteristics that do not negatively affect </w:t>
            </w:r>
            <w:r>
              <w:t xml:space="preserve">the wider community. </w:t>
            </w:r>
          </w:p>
        </w:tc>
      </w:tr>
      <w:tr w:rsidR="00A450D6" w14:paraId="09C0B894" w14:textId="77777777">
        <w:tc>
          <w:tcPr>
            <w:tcW w:w="9583" w:type="dxa"/>
            <w:gridSpan w:val="2"/>
            <w:shd w:val="clear" w:color="auto" w:fill="auto"/>
            <w:tcMar>
              <w:top w:w="0" w:type="dxa"/>
              <w:bottom w:w="0" w:type="dxa"/>
            </w:tcMar>
          </w:tcPr>
          <w:p w14:paraId="0F3545BA" w14:textId="2C6212EF" w:rsidR="00A450D6" w:rsidRPr="007E0EA8" w:rsidRDefault="00A450D6">
            <w:pPr>
              <w:pStyle w:val="NoSpacing"/>
              <w:spacing w:line="200" w:lineRule="exact"/>
            </w:pPr>
          </w:p>
        </w:tc>
      </w:tr>
    </w:tbl>
    <w:p w14:paraId="630C75F5" w14:textId="77777777" w:rsidR="00CE7062" w:rsidRDefault="00CE7062">
      <w:pPr>
        <w:pStyle w:val="Heading4"/>
      </w:pPr>
      <w:r>
        <w:br w:type="page"/>
      </w:r>
    </w:p>
    <w:p w14:paraId="4175CE99" w14:textId="468E7ADE" w:rsidR="00A450D6" w:rsidRDefault="00A450D6">
      <w:pPr>
        <w:pStyle w:val="Heading4"/>
      </w:pPr>
      <w:r>
        <w:lastRenderedPageBreak/>
        <w:t>Make approvals faster and easier</w:t>
      </w:r>
    </w:p>
    <w:p w14:paraId="5F838C56" w14:textId="77777777" w:rsidR="00A450D6" w:rsidRDefault="00A450D6">
      <w:pPr>
        <w:pStyle w:val="BodyText"/>
      </w:pPr>
      <w:r w:rsidRPr="009C3163">
        <w:t xml:space="preserve">The process for </w:t>
      </w:r>
      <w:r>
        <w:t>obtaining</w:t>
      </w:r>
      <w:r w:rsidRPr="009C3163">
        <w:t xml:space="preserve"> regulatory approvals for housing, while important for ensuring new housing meets required standards, can be convoluted and slow. </w:t>
      </w:r>
      <w:r>
        <w:t xml:space="preserve">This becomes a </w:t>
      </w:r>
      <w:r w:rsidRPr="002C544C">
        <w:t xml:space="preserve">regulatory burden </w:t>
      </w:r>
      <w:r>
        <w:t xml:space="preserve">that </w:t>
      </w:r>
      <w:r w:rsidRPr="002C544C">
        <w:t>can slow development or</w:t>
      </w:r>
      <w:r>
        <w:t xml:space="preserve"> prevent</w:t>
      </w:r>
      <w:r w:rsidRPr="002C544C">
        <w:t xml:space="preserve"> </w:t>
      </w:r>
      <w:r>
        <w:t>it</w:t>
      </w:r>
      <w:r w:rsidRPr="002C544C">
        <w:t xml:space="preserve"> altogether</w:t>
      </w:r>
      <w:r>
        <w:t>, increasing the cost of housing</w:t>
      </w:r>
      <w:r w:rsidRPr="002C544C">
        <w:t>.</w:t>
      </w:r>
    </w:p>
    <w:p w14:paraId="54ABA764" w14:textId="77777777" w:rsidR="00A450D6" w:rsidRDefault="00A450D6">
      <w:pPr>
        <w:pStyle w:val="BodyText"/>
      </w:pPr>
      <w:r>
        <w:t xml:space="preserve">Many of the biggest issues arise when different decision makers set conflicting or unclear requirements on a proposed development, which take time and effort from the developer to resolve. The PC heard </w:t>
      </w:r>
      <w:r w:rsidRPr="004B50C6">
        <w:t>of</w:t>
      </w:r>
      <w:r>
        <w:t xml:space="preserve"> one developer who was </w:t>
      </w:r>
      <w:r w:rsidRPr="004B50C6">
        <w:t xml:space="preserve">informed by the </w:t>
      </w:r>
      <w:r>
        <w:t xml:space="preserve">council that they needed to </w:t>
      </w:r>
      <w:r w:rsidRPr="004B50C6">
        <w:t>plant native</w:t>
      </w:r>
      <w:r>
        <w:t xml:space="preserve"> trees </w:t>
      </w:r>
      <w:r w:rsidRPr="004B50C6">
        <w:t xml:space="preserve">and vegetation to support the local </w:t>
      </w:r>
      <w:proofErr w:type="gramStart"/>
      <w:r w:rsidRPr="004B50C6">
        <w:t>environment</w:t>
      </w:r>
      <w:r>
        <w:t>, but</w:t>
      </w:r>
      <w:proofErr w:type="gramEnd"/>
      <w:r>
        <w:t xml:space="preserve"> was also told by the local fire authority that they </w:t>
      </w:r>
      <w:r w:rsidRPr="004B50C6">
        <w:t>needed</w:t>
      </w:r>
      <w:r>
        <w:t xml:space="preserve"> to </w:t>
      </w:r>
      <w:r w:rsidRPr="004B50C6">
        <w:t xml:space="preserve">minimise the tree canopy around the property to </w:t>
      </w:r>
      <w:r>
        <w:t>manage bushfire risk</w:t>
      </w:r>
      <w:r w:rsidRPr="004B50C6">
        <w:t>. The developer required approval for the project to be non</w:t>
      </w:r>
      <w:r w:rsidRPr="004B50C6">
        <w:noBreakHyphen/>
        <w:t xml:space="preserve">compliant with the council’s landscape controls </w:t>
      </w:r>
      <w:proofErr w:type="gramStart"/>
      <w:r w:rsidRPr="004B50C6">
        <w:t>in order to</w:t>
      </w:r>
      <w:proofErr w:type="gramEnd"/>
      <w:r w:rsidRPr="004B50C6">
        <w:t xml:space="preserve"> proceed ([name withheld], personal communication, July 2026). </w:t>
      </w:r>
      <w:r>
        <w:t>Other issues include poor sequencing of inputs, onerous and highly technical reporting requirements, and subjective rules (such as neighbourhood character considerations) creating uncertainty about what is required for a project to go ahead.</w:t>
      </w:r>
    </w:p>
    <w:p w14:paraId="58419399" w14:textId="2C83C65E" w:rsidR="00373CB6" w:rsidRDefault="00A450D6">
      <w:pPr>
        <w:pStyle w:val="BodyText"/>
      </w:pPr>
      <w:r w:rsidRPr="002C544C">
        <w:t>Chapter</w:t>
      </w:r>
      <w:r>
        <w:t> </w:t>
      </w:r>
      <w:r w:rsidRPr="002C544C">
        <w:t xml:space="preserve">3 </w:t>
      </w:r>
      <w:r>
        <w:t>of this report considers</w:t>
      </w:r>
      <w:r w:rsidRPr="002C544C">
        <w:t xml:space="preserve"> how approval processes can be streamlined and become more transparent, and how </w:t>
      </w:r>
      <w:r>
        <w:t>assessments</w:t>
      </w:r>
      <w:r w:rsidRPr="002C544C">
        <w:t xml:space="preserve"> can be more proportionate to risk.</w:t>
      </w:r>
      <w:r>
        <w:t xml:space="preserve"> We also review how the housing regulatory system can support more productive methods of construction such as prefabricated and modular housing.</w:t>
      </w:r>
    </w:p>
    <w:p w14:paraId="66C8407A" w14:textId="77777777" w:rsidR="00A450D6" w:rsidRDefault="00A450D6" w:rsidP="00BB65C5">
      <w:pPr>
        <w:pStyle w:val="BodyText"/>
        <w:keepNext/>
      </w:pPr>
      <w:r>
        <w:t>Our priority reform directions are:</w:t>
      </w:r>
    </w:p>
    <w:p w14:paraId="2B5E77BE" w14:textId="6348F034"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28733B71" w14:textId="77777777">
        <w:trPr>
          <w:tblHeader/>
        </w:trPr>
        <w:tc>
          <w:tcPr>
            <w:tcW w:w="713" w:type="dxa"/>
            <w:shd w:val="clear" w:color="auto" w:fill="E7F6FD"/>
            <w:tcMar>
              <w:top w:w="0" w:type="dxa"/>
              <w:bottom w:w="0" w:type="dxa"/>
            </w:tcMar>
            <w:vAlign w:val="center"/>
          </w:tcPr>
          <w:p w14:paraId="62246B52" w14:textId="77777777" w:rsidR="00A450D6" w:rsidRDefault="00A450D6">
            <w:pPr>
              <w:keepLines/>
              <w:jc w:val="center"/>
            </w:pPr>
            <w:r w:rsidRPr="00A51374">
              <w:rPr>
                <w:noProof/>
              </w:rPr>
              <w:drawing>
                <wp:inline distT="0" distB="0" distL="0" distR="0" wp14:anchorId="25EAE695" wp14:editId="3F9CA0D8">
                  <wp:extent cx="288000" cy="288000"/>
                  <wp:effectExtent l="0" t="0" r="0" b="0"/>
                  <wp:docPr id="574229213" name="Graphic 574229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2A360494" w14:textId="72855810" w:rsidR="00A450D6" w:rsidRPr="00715040" w:rsidRDefault="00A450D6">
            <w:pPr>
              <w:pStyle w:val="FindingRecRequesttitle"/>
            </w:pPr>
            <w:r w:rsidRPr="00715040">
              <w:t>Re</w:t>
            </w:r>
            <w:r>
              <w:t>form direction</w:t>
            </w:r>
            <w:r w:rsidRPr="00715040">
              <w:t xml:space="preserve"> </w:t>
            </w:r>
            <w:r w:rsidR="009219FD">
              <w:t>3.1</w:t>
            </w:r>
          </w:p>
          <w:p w14:paraId="755A68CB" w14:textId="77777777" w:rsidR="00A450D6" w:rsidRPr="00715040" w:rsidRDefault="00A450D6">
            <w:pPr>
              <w:pStyle w:val="FindingRecRequesttitle"/>
            </w:pPr>
            <w:r>
              <w:t>Consider infrastructure requirements and trade</w:t>
            </w:r>
            <w:r>
              <w:noBreakHyphen/>
              <w:t>offs associated with development early through strategic planning</w:t>
            </w:r>
          </w:p>
        </w:tc>
      </w:tr>
      <w:tr w:rsidR="00A450D6" w14:paraId="6A1FB9CD" w14:textId="77777777">
        <w:tc>
          <w:tcPr>
            <w:tcW w:w="9638" w:type="dxa"/>
            <w:gridSpan w:val="2"/>
            <w:shd w:val="clear" w:color="auto" w:fill="E7F6FD"/>
            <w:tcMar>
              <w:top w:w="0" w:type="dxa"/>
            </w:tcMar>
          </w:tcPr>
          <w:p w14:paraId="3A73FA9B" w14:textId="3B865BD5" w:rsidR="00A450D6" w:rsidRDefault="00A450D6">
            <w:pPr>
              <w:pStyle w:val="BodyText"/>
            </w:pPr>
            <w:r>
              <w:t>State and territory governments should seek to lift the burden from approvals by assessing development conditions and determining trade</w:t>
            </w:r>
            <w:r>
              <w:noBreakHyphen/>
              <w:t>offs efficiently and upfront rather than through the development approval process.</w:t>
            </w:r>
            <w:r w:rsidR="009219FD">
              <w:t xml:space="preserve"> </w:t>
            </w:r>
            <w:r>
              <w:t>This includes:</w:t>
            </w:r>
          </w:p>
          <w:p w14:paraId="0E61D584" w14:textId="77777777" w:rsidR="00A450D6" w:rsidRDefault="00A450D6" w:rsidP="00E11D04">
            <w:pPr>
              <w:pStyle w:val="ListBullet"/>
            </w:pPr>
            <w:r>
              <w:t xml:space="preserve">identifying suburbs and localities where there is high expected demand for new housing, </w:t>
            </w:r>
            <w:r w:rsidRPr="000F6864">
              <w:t>and making</w:t>
            </w:r>
            <w:r>
              <w:t xml:space="preserve"> it </w:t>
            </w:r>
            <w:r w:rsidRPr="000F6864">
              <w:t>an explicit performance</w:t>
            </w:r>
            <w:r>
              <w:t xml:space="preserve"> goal for </w:t>
            </w:r>
            <w:r w:rsidRPr="000F6864">
              <w:t xml:space="preserve">councils, relevant agencies and regulated </w:t>
            </w:r>
            <w:r>
              <w:t xml:space="preserve">infrastructure service providers to facilitate </w:t>
            </w:r>
            <w:r w:rsidRPr="000F6864">
              <w:t>new housing in these areas</w:t>
            </w:r>
          </w:p>
          <w:p w14:paraId="5A48EE30" w14:textId="77777777" w:rsidR="00A450D6" w:rsidRDefault="00A450D6" w:rsidP="00E11D04">
            <w:pPr>
              <w:pStyle w:val="ListBullet"/>
            </w:pPr>
            <w:r>
              <w:t>completing technical studies (e.g. flood risk, bushfire risk, biodiversity mapping) across suburbs and localities with high expected demand for new housing, and considering how the impacts of the expected uplift in housing development can be managed across these areas</w:t>
            </w:r>
          </w:p>
          <w:p w14:paraId="3AE67AFC" w14:textId="77777777" w:rsidR="00A450D6" w:rsidRDefault="00A450D6" w:rsidP="00E11D04">
            <w:pPr>
              <w:pStyle w:val="ListBullet"/>
            </w:pPr>
            <w:r>
              <w:t>fully considering how any required housing</w:t>
            </w:r>
            <w:r>
              <w:noBreakHyphen/>
              <w:t>enabling infrastructure will interact with existing infrastructure, including by engaging with referral agencies or owners of existing infrastructure to identify potential barriers to development early (in conjunction with reform directions 4.1 and 4.2)</w:t>
            </w:r>
          </w:p>
          <w:p w14:paraId="3708DD54" w14:textId="77777777" w:rsidR="00A450D6" w:rsidRPr="009219FD" w:rsidRDefault="00A450D6" w:rsidP="00E11D04">
            <w:pPr>
              <w:pStyle w:val="ListBullet"/>
              <w:rPr>
                <w:spacing w:val="-4"/>
              </w:rPr>
            </w:pPr>
            <w:r w:rsidRPr="009219FD">
              <w:rPr>
                <w:spacing w:val="-4"/>
              </w:rPr>
              <w:t xml:space="preserve">incorporating the outcomes of these assessments into planning schemes as clear and codified requirements for </w:t>
            </w:r>
            <w:proofErr w:type="gramStart"/>
            <w:r w:rsidRPr="009219FD">
              <w:rPr>
                <w:spacing w:val="-4"/>
              </w:rPr>
              <w:t>development, and</w:t>
            </w:r>
            <w:proofErr w:type="gramEnd"/>
            <w:r w:rsidRPr="009219FD">
              <w:rPr>
                <w:spacing w:val="-4"/>
              </w:rPr>
              <w:t xml:space="preserve"> avoiding site-specific assessments of trade</w:t>
            </w:r>
            <w:r w:rsidRPr="009219FD">
              <w:rPr>
                <w:spacing w:val="-4"/>
              </w:rPr>
              <w:noBreakHyphen/>
              <w:t>offs where possible.</w:t>
            </w:r>
          </w:p>
        </w:tc>
      </w:tr>
      <w:tr w:rsidR="00A450D6" w14:paraId="3C20BFAB" w14:textId="77777777">
        <w:tc>
          <w:tcPr>
            <w:tcW w:w="9638" w:type="dxa"/>
            <w:gridSpan w:val="2"/>
            <w:shd w:val="clear" w:color="auto" w:fill="auto"/>
            <w:tcMar>
              <w:top w:w="0" w:type="dxa"/>
              <w:bottom w:w="0" w:type="dxa"/>
            </w:tcMar>
          </w:tcPr>
          <w:p w14:paraId="5E27E8F4" w14:textId="0033ED03" w:rsidR="00A450D6" w:rsidRPr="007E0EA8" w:rsidRDefault="00A450D6">
            <w:pPr>
              <w:pStyle w:val="NoSpacing"/>
              <w:spacing w:line="200" w:lineRule="exact"/>
            </w:pPr>
          </w:p>
        </w:tc>
      </w:tr>
    </w:tbl>
    <w:p w14:paraId="4F65D398" w14:textId="3237A747"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5B9B8468" w14:textId="77777777">
        <w:trPr>
          <w:tblHeader/>
        </w:trPr>
        <w:tc>
          <w:tcPr>
            <w:tcW w:w="713" w:type="dxa"/>
            <w:shd w:val="clear" w:color="auto" w:fill="E7F6FD"/>
            <w:tcMar>
              <w:top w:w="0" w:type="dxa"/>
              <w:bottom w:w="0" w:type="dxa"/>
            </w:tcMar>
            <w:vAlign w:val="center"/>
          </w:tcPr>
          <w:p w14:paraId="10734B35" w14:textId="77777777" w:rsidR="00A450D6" w:rsidRDefault="00A450D6">
            <w:pPr>
              <w:keepLines/>
              <w:jc w:val="center"/>
            </w:pPr>
            <w:r w:rsidRPr="00A51374">
              <w:rPr>
                <w:noProof/>
              </w:rPr>
              <w:lastRenderedPageBreak/>
              <w:drawing>
                <wp:inline distT="0" distB="0" distL="0" distR="0" wp14:anchorId="76D35994" wp14:editId="25207E2D">
                  <wp:extent cx="288000" cy="288000"/>
                  <wp:effectExtent l="0" t="0" r="0" b="0"/>
                  <wp:docPr id="891935335" name="Graphic 891935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3218F3B1" w14:textId="77777777" w:rsidR="00A450D6" w:rsidRPr="00715040" w:rsidRDefault="00A450D6">
            <w:pPr>
              <w:pStyle w:val="FindingRecRequesttitle"/>
            </w:pPr>
            <w:r>
              <w:t>Reform direction</w:t>
            </w:r>
            <w:r w:rsidRPr="00715040">
              <w:t xml:space="preserve"> </w:t>
            </w:r>
            <w:r>
              <w:t>3.2</w:t>
            </w:r>
          </w:p>
          <w:p w14:paraId="02499310" w14:textId="77777777" w:rsidR="00A450D6" w:rsidRPr="00715040" w:rsidRDefault="00A450D6">
            <w:pPr>
              <w:pStyle w:val="FindingRecRequesttitle"/>
            </w:pPr>
            <w:r>
              <w:t>Expand the use of fast</w:t>
            </w:r>
            <w:r>
              <w:noBreakHyphen/>
              <w:t>track pathways to assess simple developments</w:t>
            </w:r>
          </w:p>
        </w:tc>
      </w:tr>
      <w:tr w:rsidR="00A450D6" w14:paraId="6A9AF857" w14:textId="77777777">
        <w:trPr>
          <w:trHeight w:val="2665"/>
        </w:trPr>
        <w:tc>
          <w:tcPr>
            <w:tcW w:w="9638" w:type="dxa"/>
            <w:gridSpan w:val="2"/>
            <w:shd w:val="clear" w:color="auto" w:fill="E7F6FD"/>
            <w:tcMar>
              <w:top w:w="0" w:type="dxa"/>
            </w:tcMar>
          </w:tcPr>
          <w:p w14:paraId="78338171" w14:textId="77777777" w:rsidR="00A450D6" w:rsidRDefault="00A450D6">
            <w:pPr>
              <w:pStyle w:val="BodyText"/>
              <w:keepLines/>
            </w:pPr>
            <w:r>
              <w:t>State, territory and local governments should improve fast</w:t>
            </w:r>
            <w:r>
              <w:noBreakHyphen/>
              <w:t>track assessment pathways by:</w:t>
            </w:r>
          </w:p>
          <w:p w14:paraId="6AF9BFF6" w14:textId="77777777" w:rsidR="00A450D6" w:rsidRDefault="00A450D6" w:rsidP="00E11D04">
            <w:pPr>
              <w:pStyle w:val="ListBullet"/>
            </w:pPr>
            <w:r>
              <w:t>e</w:t>
            </w:r>
            <w:r w:rsidRPr="00C65333">
              <w:t>xpand</w:t>
            </w:r>
            <w:r>
              <w:t xml:space="preserve">ing their use </w:t>
            </w:r>
            <w:r w:rsidRPr="00EE3E36">
              <w:t xml:space="preserve">to </w:t>
            </w:r>
            <w:r>
              <w:t xml:space="preserve">cover </w:t>
            </w:r>
            <w:proofErr w:type="gramStart"/>
            <w:r>
              <w:t>more low</w:t>
            </w:r>
            <w:proofErr w:type="gramEnd"/>
            <w:r>
              <w:noBreakHyphen/>
              <w:t>complexity developments, using deemed</w:t>
            </w:r>
            <w:r>
              <w:noBreakHyphen/>
              <w:t>to</w:t>
            </w:r>
            <w:r>
              <w:noBreakHyphen/>
              <w:t>comply assessment against codified rules, with minimal third</w:t>
            </w:r>
            <w:r>
              <w:noBreakHyphen/>
              <w:t>party inputs</w:t>
            </w:r>
          </w:p>
          <w:p w14:paraId="0A464093" w14:textId="77777777" w:rsidR="00A450D6" w:rsidRDefault="00A450D6" w:rsidP="00E11D04">
            <w:pPr>
              <w:pStyle w:val="ListBullet"/>
            </w:pPr>
            <w:r>
              <w:t>increasing the use of pattern books, with templates eligible for fast</w:t>
            </w:r>
            <w:r>
              <w:noBreakHyphen/>
              <w:t>track approval</w:t>
            </w:r>
          </w:p>
          <w:p w14:paraId="4427F2C9" w14:textId="77777777" w:rsidR="00A450D6" w:rsidRDefault="00A450D6" w:rsidP="00E11D04">
            <w:pPr>
              <w:pStyle w:val="ListBullet"/>
            </w:pPr>
            <w:r>
              <w:t>using hybrid assessment for developments which narrowly fail to comply with fast</w:t>
            </w:r>
            <w:r>
              <w:noBreakHyphen/>
              <w:t>track criteria, where non</w:t>
            </w:r>
            <w:r>
              <w:noBreakHyphen/>
              <w:t>complying criteria are assessed using standard techniques</w:t>
            </w:r>
          </w:p>
          <w:p w14:paraId="4B99E960" w14:textId="77777777" w:rsidR="00A450D6" w:rsidRPr="00767EAE" w:rsidRDefault="00A450D6" w:rsidP="00E11D04">
            <w:pPr>
              <w:pStyle w:val="ListBullet"/>
            </w:pPr>
            <w:r>
              <w:t>approving</w:t>
            </w:r>
            <w:r w:rsidRPr="00C65333">
              <w:t xml:space="preserve"> fast</w:t>
            </w:r>
            <w:r>
              <w:noBreakHyphen/>
            </w:r>
            <w:r w:rsidRPr="00C65333">
              <w:t xml:space="preserve">track developments </w:t>
            </w:r>
            <w:r w:rsidRPr="004632D0">
              <w:t>quickly</w:t>
            </w:r>
            <w:r w:rsidRPr="00C65333">
              <w:t>, with incentives for councils to increase speed of assessment</w:t>
            </w:r>
            <w:r>
              <w:t>.</w:t>
            </w:r>
          </w:p>
        </w:tc>
      </w:tr>
      <w:tr w:rsidR="00A450D6" w14:paraId="73ADCB89" w14:textId="77777777">
        <w:trPr>
          <w:trHeight w:val="95"/>
        </w:trPr>
        <w:tc>
          <w:tcPr>
            <w:tcW w:w="9638" w:type="dxa"/>
            <w:gridSpan w:val="2"/>
            <w:shd w:val="clear" w:color="auto" w:fill="auto"/>
            <w:tcMar>
              <w:top w:w="0" w:type="dxa"/>
              <w:bottom w:w="0" w:type="dxa"/>
            </w:tcMar>
          </w:tcPr>
          <w:p w14:paraId="56361418" w14:textId="1C190B56" w:rsidR="00A450D6" w:rsidRPr="007E0EA8" w:rsidRDefault="00A450D6">
            <w:pPr>
              <w:pStyle w:val="NoSpacing"/>
              <w:spacing w:line="200" w:lineRule="exact"/>
            </w:pPr>
          </w:p>
        </w:tc>
      </w:tr>
    </w:tbl>
    <w:p w14:paraId="6D663968" w14:textId="18278D33" w:rsidR="00BB65C5" w:rsidRDefault="00BB65C5">
      <w:pPr>
        <w:pStyle w:val="NoSpacing"/>
      </w:pPr>
    </w:p>
    <w:tbl>
      <w:tblPr>
        <w:tblStyle w:val="Texttable-Paleblue"/>
        <w:tblW w:w="5000" w:type="pct"/>
        <w:tblLook w:val="04A0" w:firstRow="1" w:lastRow="0" w:firstColumn="1" w:lastColumn="0" w:noHBand="0" w:noVBand="1"/>
      </w:tblPr>
      <w:tblGrid>
        <w:gridCol w:w="713"/>
        <w:gridCol w:w="8925"/>
      </w:tblGrid>
      <w:tr w:rsidR="00A450D6" w14:paraId="1029337F" w14:textId="77777777" w:rsidTr="00373CB6">
        <w:trPr>
          <w:tblHeader/>
        </w:trPr>
        <w:tc>
          <w:tcPr>
            <w:tcW w:w="713" w:type="dxa"/>
            <w:shd w:val="clear" w:color="auto" w:fill="E7F6FD"/>
            <w:tcMar>
              <w:top w:w="0" w:type="dxa"/>
              <w:bottom w:w="0" w:type="dxa"/>
            </w:tcMar>
            <w:vAlign w:val="center"/>
          </w:tcPr>
          <w:p w14:paraId="05B547B1" w14:textId="77777777" w:rsidR="00A450D6" w:rsidRDefault="00A450D6">
            <w:pPr>
              <w:keepLines/>
              <w:jc w:val="center"/>
            </w:pPr>
            <w:r w:rsidRPr="00A51374">
              <w:rPr>
                <w:noProof/>
              </w:rPr>
              <w:drawing>
                <wp:inline distT="0" distB="0" distL="0" distR="0" wp14:anchorId="6A953E1D" wp14:editId="7A7CE075">
                  <wp:extent cx="288000" cy="288000"/>
                  <wp:effectExtent l="0" t="0" r="0" b="0"/>
                  <wp:docPr id="1661425166" name="Graphic 1661425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168BFCFD" w14:textId="77777777" w:rsidR="00A450D6" w:rsidRPr="00715040" w:rsidRDefault="00A450D6">
            <w:pPr>
              <w:pStyle w:val="FindingRecRequesttitle"/>
            </w:pPr>
            <w:r>
              <w:t>Reform direction 3.3</w:t>
            </w:r>
          </w:p>
          <w:p w14:paraId="1375256B" w14:textId="77777777" w:rsidR="00A450D6" w:rsidRPr="00715040" w:rsidRDefault="00A450D6">
            <w:pPr>
              <w:pStyle w:val="FindingRecRequesttitle"/>
            </w:pPr>
            <w:r>
              <w:t>Use state</w:t>
            </w:r>
            <w:r>
              <w:noBreakHyphen/>
              <w:t>significant pathways to approve developments with a clear need for state</w:t>
            </w:r>
            <w:r>
              <w:noBreakHyphen/>
              <w:t>led assessment</w:t>
            </w:r>
          </w:p>
        </w:tc>
      </w:tr>
      <w:tr w:rsidR="00A450D6" w14:paraId="2D07BACE" w14:textId="77777777" w:rsidTr="00373CB6">
        <w:tc>
          <w:tcPr>
            <w:tcW w:w="9638" w:type="dxa"/>
            <w:gridSpan w:val="2"/>
            <w:shd w:val="clear" w:color="auto" w:fill="E7F6FD"/>
            <w:tcMar>
              <w:top w:w="0" w:type="dxa"/>
            </w:tcMar>
          </w:tcPr>
          <w:p w14:paraId="17A93667" w14:textId="77777777" w:rsidR="00A450D6" w:rsidRDefault="00A450D6">
            <w:pPr>
              <w:pStyle w:val="BodyText"/>
              <w:keepLines/>
            </w:pPr>
            <w:r>
              <w:t>State and territory governments should improve the assessment of large, complex and important developments by:</w:t>
            </w:r>
          </w:p>
          <w:p w14:paraId="5198C7C9" w14:textId="77777777" w:rsidR="00A450D6" w:rsidRPr="00A90385" w:rsidRDefault="00A450D6" w:rsidP="00E11D04">
            <w:pPr>
              <w:pStyle w:val="ListBullet"/>
            </w:pPr>
            <w:r w:rsidRPr="00A90385">
              <w:t>using state</w:t>
            </w:r>
            <w:r w:rsidRPr="00A90385">
              <w:noBreakHyphen/>
              <w:t>significant pathways when a clear need for state</w:t>
            </w:r>
            <w:r w:rsidRPr="00A90385">
              <w:noBreakHyphen/>
              <w:t>led assessment is demonstrated, with transparent and defined criteria for inclusion in the pathway</w:t>
            </w:r>
          </w:p>
          <w:p w14:paraId="6D3556F6" w14:textId="77777777" w:rsidR="00A450D6" w:rsidRPr="00A90385" w:rsidRDefault="00A450D6" w:rsidP="00E11D04">
            <w:pPr>
              <w:pStyle w:val="ListBullet"/>
            </w:pPr>
            <w:r w:rsidRPr="00A90385">
              <w:t>giving assessment authorities clear decision</w:t>
            </w:r>
            <w:r w:rsidRPr="00A90385">
              <w:noBreakHyphen/>
              <w:t>making powers, which are not bound by council planning schemes</w:t>
            </w:r>
          </w:p>
          <w:p w14:paraId="32561F9E" w14:textId="77777777" w:rsidR="00A450D6" w:rsidRPr="00767EAE" w:rsidRDefault="00A450D6" w:rsidP="00E11D04">
            <w:pPr>
              <w:pStyle w:val="ListBullet"/>
            </w:pPr>
            <w:r w:rsidRPr="00A90385">
              <w:t>using early and targeted consultation to meaningfully engage third parties where their inputs are required.</w:t>
            </w:r>
          </w:p>
        </w:tc>
      </w:tr>
      <w:tr w:rsidR="00A450D6" w14:paraId="491B2A4B" w14:textId="77777777" w:rsidTr="00373CB6">
        <w:tc>
          <w:tcPr>
            <w:tcW w:w="9638" w:type="dxa"/>
            <w:gridSpan w:val="2"/>
            <w:shd w:val="clear" w:color="auto" w:fill="auto"/>
            <w:tcMar>
              <w:top w:w="0" w:type="dxa"/>
              <w:bottom w:w="0" w:type="dxa"/>
            </w:tcMar>
          </w:tcPr>
          <w:p w14:paraId="1C96327A" w14:textId="1661177C" w:rsidR="00A450D6" w:rsidRPr="007E0EA8" w:rsidRDefault="00A450D6">
            <w:pPr>
              <w:pStyle w:val="NoSpacing"/>
              <w:spacing w:line="200" w:lineRule="exact"/>
            </w:pPr>
          </w:p>
        </w:tc>
      </w:tr>
    </w:tbl>
    <w:p w14:paraId="32324D06" w14:textId="06695A91"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6FDF7153" w14:textId="77777777">
        <w:trPr>
          <w:tblHeader/>
        </w:trPr>
        <w:tc>
          <w:tcPr>
            <w:tcW w:w="713" w:type="dxa"/>
            <w:shd w:val="clear" w:color="auto" w:fill="E7F6FD"/>
            <w:tcMar>
              <w:top w:w="0" w:type="dxa"/>
              <w:bottom w:w="0" w:type="dxa"/>
            </w:tcMar>
            <w:vAlign w:val="center"/>
          </w:tcPr>
          <w:p w14:paraId="4EC1A77C" w14:textId="77777777" w:rsidR="00A450D6" w:rsidRDefault="00A450D6">
            <w:pPr>
              <w:keepLines/>
              <w:jc w:val="center"/>
            </w:pPr>
            <w:r w:rsidRPr="00A51374">
              <w:rPr>
                <w:noProof/>
              </w:rPr>
              <w:drawing>
                <wp:inline distT="0" distB="0" distL="0" distR="0" wp14:anchorId="23BBE75C" wp14:editId="7AA77BD3">
                  <wp:extent cx="288000" cy="288000"/>
                  <wp:effectExtent l="0" t="0" r="0" b="0"/>
                  <wp:docPr id="1751658962" name="Graphic 1751658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764324BF" w14:textId="77777777" w:rsidR="00A450D6" w:rsidRPr="00BB6B1F" w:rsidRDefault="00A450D6">
            <w:pPr>
              <w:pStyle w:val="FindingRecRequesttitle"/>
            </w:pPr>
            <w:r w:rsidRPr="00BB6B1F">
              <w:t xml:space="preserve">Reform direction </w:t>
            </w:r>
            <w:r>
              <w:t>3</w:t>
            </w:r>
            <w:r w:rsidRPr="00BB6B1F">
              <w:t>.4</w:t>
            </w:r>
          </w:p>
          <w:p w14:paraId="08E5B863" w14:textId="77777777" w:rsidR="00A450D6" w:rsidRPr="00715040" w:rsidRDefault="00A450D6">
            <w:pPr>
              <w:pStyle w:val="FindingRecRequesttitle"/>
            </w:pPr>
            <w:r>
              <w:t>Improve</w:t>
            </w:r>
            <w:r w:rsidRPr="00BB6B1F">
              <w:t xml:space="preserve"> housing approval assessments with </w:t>
            </w:r>
            <w:r>
              <w:t>better</w:t>
            </w:r>
            <w:r w:rsidRPr="00BB6B1F">
              <w:t xml:space="preserve"> coordination of referrals, use of </w:t>
            </w:r>
            <w:r>
              <w:t xml:space="preserve">technology including </w:t>
            </w:r>
            <w:r w:rsidRPr="00BB6B1F">
              <w:t>AI</w:t>
            </w:r>
            <w:r>
              <w:t xml:space="preserve">, </w:t>
            </w:r>
            <w:r w:rsidRPr="00BB6B1F">
              <w:t>and transparent reporting</w:t>
            </w:r>
          </w:p>
        </w:tc>
      </w:tr>
      <w:tr w:rsidR="00A450D6" w14:paraId="61CE2F30" w14:textId="77777777">
        <w:tc>
          <w:tcPr>
            <w:tcW w:w="9638" w:type="dxa"/>
            <w:gridSpan w:val="2"/>
            <w:shd w:val="clear" w:color="auto" w:fill="E7F6FD"/>
            <w:tcMar>
              <w:top w:w="0" w:type="dxa"/>
            </w:tcMar>
          </w:tcPr>
          <w:p w14:paraId="6A0B624E" w14:textId="77777777" w:rsidR="00A450D6" w:rsidRDefault="00A450D6">
            <w:pPr>
              <w:pStyle w:val="BodyText"/>
            </w:pPr>
            <w:r>
              <w:t xml:space="preserve">State, territory </w:t>
            </w:r>
            <w:r w:rsidRPr="00F5414E">
              <w:t>and local</w:t>
            </w:r>
            <w:r>
              <w:t xml:space="preserve"> governments should improve housing approval assessments by:</w:t>
            </w:r>
          </w:p>
          <w:p w14:paraId="51C72C91" w14:textId="77777777" w:rsidR="00A450D6" w:rsidRPr="005537FE" w:rsidRDefault="00A450D6" w:rsidP="00E11D04">
            <w:pPr>
              <w:pStyle w:val="ListBullet"/>
            </w:pPr>
            <w:r>
              <w:t>u</w:t>
            </w:r>
            <w:r w:rsidRPr="005537FE">
              <w:t>sing coordination bodies to manage and sequence referrals from government agencies and third parties. These bodies should have decision</w:t>
            </w:r>
            <w:r w:rsidRPr="00E60845">
              <w:rPr>
                <w:rFonts w:ascii="Cambria Math" w:hAnsi="Cambria Math" w:cs="Cambria Math"/>
              </w:rPr>
              <w:t>‑</w:t>
            </w:r>
            <w:r w:rsidRPr="005537FE">
              <w:t>making power in the event of conflicting advice</w:t>
            </w:r>
            <w:r w:rsidRPr="464081CA">
              <w:t> </w:t>
            </w:r>
          </w:p>
          <w:p w14:paraId="61059589" w14:textId="77777777" w:rsidR="00A450D6" w:rsidRPr="005537FE" w:rsidRDefault="00A450D6" w:rsidP="00E11D04">
            <w:pPr>
              <w:pStyle w:val="ListBullet"/>
            </w:pPr>
            <w:r>
              <w:t>i</w:t>
            </w:r>
            <w:r w:rsidRPr="005537FE">
              <w:t>ncreasing use of technology including AI to help decision makers and applicants understand regulatory requirements and identify potential problems with applications</w:t>
            </w:r>
          </w:p>
          <w:p w14:paraId="2E4680F6" w14:textId="77777777" w:rsidR="00A450D6" w:rsidRPr="00767EAE" w:rsidRDefault="00A450D6" w:rsidP="00E11D04">
            <w:pPr>
              <w:pStyle w:val="ListBullet"/>
            </w:pPr>
            <w:r>
              <w:t>s</w:t>
            </w:r>
            <w:r w:rsidRPr="005537FE">
              <w:t>trengthening performance reporting so that it more meaningfully captures the end</w:t>
            </w:r>
            <w:r w:rsidRPr="005537FE">
              <w:noBreakHyphen/>
              <w:t>to</w:t>
            </w:r>
            <w:r w:rsidRPr="005537FE">
              <w:noBreakHyphen/>
              <w:t>end burden of the approvals process. This includes public reporting on outcomes by council.</w:t>
            </w:r>
          </w:p>
        </w:tc>
      </w:tr>
      <w:tr w:rsidR="00A450D6" w14:paraId="019CC431" w14:textId="77777777">
        <w:tc>
          <w:tcPr>
            <w:tcW w:w="9638" w:type="dxa"/>
            <w:gridSpan w:val="2"/>
            <w:shd w:val="clear" w:color="auto" w:fill="auto"/>
            <w:tcMar>
              <w:top w:w="0" w:type="dxa"/>
              <w:bottom w:w="0" w:type="dxa"/>
            </w:tcMar>
          </w:tcPr>
          <w:p w14:paraId="3DF52BC4" w14:textId="12C423AD" w:rsidR="00A450D6" w:rsidRPr="007E0EA8" w:rsidRDefault="00A450D6">
            <w:pPr>
              <w:pStyle w:val="NoSpacing"/>
              <w:spacing w:line="200" w:lineRule="exact"/>
            </w:pPr>
          </w:p>
        </w:tc>
      </w:tr>
    </w:tbl>
    <w:p w14:paraId="4617655B" w14:textId="77777777" w:rsidR="00CE7062" w:rsidRDefault="00CE7062" w:rsidP="00656E0D">
      <w:pPr>
        <w:pStyle w:val="BodyText"/>
      </w:pPr>
      <w:r>
        <w:br w:type="page"/>
      </w:r>
    </w:p>
    <w:p w14:paraId="761F31F0" w14:textId="7CB1A517" w:rsidR="00A450D6" w:rsidRPr="000225D4" w:rsidRDefault="00A450D6">
      <w:pPr>
        <w:pStyle w:val="Heading4"/>
      </w:pPr>
      <w:r w:rsidRPr="000225D4">
        <w:lastRenderedPageBreak/>
        <w:t>Better coordinate infrastructure planning and charging with delivery</w:t>
      </w:r>
    </w:p>
    <w:p w14:paraId="25CBAF7D" w14:textId="34766D99" w:rsidR="00A450D6" w:rsidRDefault="00A450D6" w:rsidP="00151F4A">
      <w:pPr>
        <w:pStyle w:val="BodyText"/>
        <w:spacing w:line="260" w:lineRule="atLeast"/>
      </w:pPr>
      <w:r w:rsidRPr="009C3163">
        <w:t>The provision and coordination of infrastructure for</w:t>
      </w:r>
      <w:r w:rsidRPr="00976372">
        <w:t xml:space="preserve"> </w:t>
      </w:r>
      <w:r w:rsidRPr="009C3163">
        <w:t xml:space="preserve">housing also determines where and how quickly new housing can be built, and at what cost. Poorly coordinated infrastructure </w:t>
      </w:r>
      <w:r>
        <w:t xml:space="preserve">arrangements can prevent essential infrastructure being delivered where it is required, delaying or constraining </w:t>
      </w:r>
      <w:r w:rsidRPr="009C3163">
        <w:t>development</w:t>
      </w:r>
      <w:r>
        <w:t xml:space="preserve"> of new </w:t>
      </w:r>
      <w:r w:rsidRPr="009C3163">
        <w:t>dwellings</w:t>
      </w:r>
      <w:r>
        <w:t>, particularly in greenfield sites</w:t>
      </w:r>
      <w:r w:rsidRPr="009C3163">
        <w:t>.</w:t>
      </w:r>
      <w:r>
        <w:t xml:space="preserve"> A telling example is</w:t>
      </w:r>
      <w:r w:rsidRPr="00976372">
        <w:t xml:space="preserve"> Torana Estate in Sydney</w:t>
      </w:r>
      <w:r>
        <w:t>,</w:t>
      </w:r>
      <w:r w:rsidRPr="00976372">
        <w:t xml:space="preserve"> a greenfield housing development that was rezoned for housing in 2013</w:t>
      </w:r>
      <w:r>
        <w:t xml:space="preserve">. After parcels of land were purchased on the site in 2020, </w:t>
      </w:r>
      <w:r w:rsidRPr="00976372">
        <w:t xml:space="preserve">housing construction was </w:t>
      </w:r>
      <w:r>
        <w:t>postponed</w:t>
      </w:r>
      <w:r w:rsidRPr="00976372">
        <w:t xml:space="preserve"> </w:t>
      </w:r>
      <w:r>
        <w:t>for</w:t>
      </w:r>
      <w:r w:rsidRPr="00976372">
        <w:t xml:space="preserve"> several years </w:t>
      </w:r>
      <w:r>
        <w:t>by</w:t>
      </w:r>
      <w:r w:rsidRPr="00976372">
        <w:t xml:space="preserve"> </w:t>
      </w:r>
      <w:r>
        <w:t>delayed</w:t>
      </w:r>
      <w:r w:rsidRPr="00976372">
        <w:t xml:space="preserve"> sewerage connections</w:t>
      </w:r>
      <w:r>
        <w:t xml:space="preserve"> </w:t>
      </w:r>
      <w:r w:rsidRPr="00976372">
        <w:t xml:space="preserve">(Hanrahan and Gock 2022). </w:t>
      </w:r>
    </w:p>
    <w:p w14:paraId="121811A0" w14:textId="77777777" w:rsidR="00A450D6" w:rsidRDefault="00A450D6" w:rsidP="00151F4A">
      <w:pPr>
        <w:pStyle w:val="BodyText"/>
        <w:spacing w:line="260" w:lineRule="atLeast"/>
      </w:pPr>
      <w:r w:rsidRPr="000225D4">
        <w:t>Chapter</w:t>
      </w:r>
      <w:r>
        <w:t> </w:t>
      </w:r>
      <w:r w:rsidRPr="000225D4">
        <w:t>4</w:t>
      </w:r>
      <w:r>
        <w:t xml:space="preserve"> of this report</w:t>
      </w:r>
      <w:r w:rsidRPr="000225D4">
        <w:t xml:space="preserve"> looks at how </w:t>
      </w:r>
      <w:r>
        <w:t>to enhance the supply of new housing through better arrangements for housing</w:t>
      </w:r>
      <w:r>
        <w:noBreakHyphen/>
        <w:t xml:space="preserve">enabling </w:t>
      </w:r>
      <w:r w:rsidRPr="000225D4">
        <w:t xml:space="preserve">infrastructure. We examine options to improve </w:t>
      </w:r>
      <w:r>
        <w:t xml:space="preserve">planning and </w:t>
      </w:r>
      <w:r w:rsidRPr="000225D4">
        <w:t>coordination</w:t>
      </w:r>
      <w:r>
        <w:t xml:space="preserve"> of infrastructure with new housing, who should pay for infrastructure</w:t>
      </w:r>
      <w:r w:rsidRPr="000225D4">
        <w:t xml:space="preserve"> </w:t>
      </w:r>
      <w:r>
        <w:t>and</w:t>
      </w:r>
      <w:r w:rsidRPr="000225D4">
        <w:t xml:space="preserve"> how developer </w:t>
      </w:r>
      <w:r>
        <w:t>contributions</w:t>
      </w:r>
      <w:r w:rsidRPr="000225D4">
        <w:t xml:space="preserve"> can affect the feasibility of development.</w:t>
      </w:r>
    </w:p>
    <w:p w14:paraId="4068D7FB" w14:textId="690D2C89" w:rsidR="00A450D6" w:rsidRDefault="00A450D6" w:rsidP="00151F4A">
      <w:pPr>
        <w:pStyle w:val="BodyText"/>
        <w:keepNext/>
        <w:spacing w:after="0" w:line="260" w:lineRule="atLeast"/>
      </w:pPr>
      <w:r>
        <w:t>Our priority reform directions are:</w:t>
      </w:r>
    </w:p>
    <w:p w14:paraId="11327C26" w14:textId="7FC2E6CF" w:rsidR="00A450D6" w:rsidRDefault="00A450D6" w:rsidP="00373CB6">
      <w:pPr>
        <w:pStyle w:val="NoSpacing"/>
      </w:pPr>
    </w:p>
    <w:tbl>
      <w:tblPr>
        <w:tblStyle w:val="Texttable-Paleblue"/>
        <w:tblW w:w="5000" w:type="pct"/>
        <w:tblLook w:val="04A0" w:firstRow="1" w:lastRow="0" w:firstColumn="1" w:lastColumn="0" w:noHBand="0" w:noVBand="1"/>
      </w:tblPr>
      <w:tblGrid>
        <w:gridCol w:w="713"/>
        <w:gridCol w:w="8925"/>
      </w:tblGrid>
      <w:tr w:rsidR="00A450D6" w14:paraId="1DD93BE2" w14:textId="77777777">
        <w:trPr>
          <w:tblHeader/>
        </w:trPr>
        <w:tc>
          <w:tcPr>
            <w:tcW w:w="713" w:type="dxa"/>
            <w:shd w:val="clear" w:color="auto" w:fill="E7F6FD"/>
            <w:tcMar>
              <w:top w:w="0" w:type="dxa"/>
              <w:bottom w:w="0" w:type="dxa"/>
            </w:tcMar>
            <w:vAlign w:val="center"/>
          </w:tcPr>
          <w:p w14:paraId="7480D982" w14:textId="77777777" w:rsidR="00A450D6" w:rsidRDefault="00A450D6">
            <w:pPr>
              <w:keepLines/>
              <w:jc w:val="center"/>
            </w:pPr>
            <w:r w:rsidRPr="00A51374">
              <w:rPr>
                <w:noProof/>
              </w:rPr>
              <w:drawing>
                <wp:inline distT="0" distB="0" distL="0" distR="0" wp14:anchorId="064651D4" wp14:editId="52BDF560">
                  <wp:extent cx="288000" cy="288000"/>
                  <wp:effectExtent l="0" t="0" r="0" b="0"/>
                  <wp:docPr id="1180793423" name="Graphic 1180793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0E254A83" w14:textId="77777777" w:rsidR="00A450D6" w:rsidRPr="00623AD7" w:rsidRDefault="00A450D6">
            <w:pPr>
              <w:pStyle w:val="FindingRecRequesttitle"/>
            </w:pPr>
            <w:r w:rsidRPr="00623AD7">
              <w:t>Reform direction 4.</w:t>
            </w:r>
            <w:r>
              <w:t>1</w:t>
            </w:r>
          </w:p>
          <w:p w14:paraId="47A847D9" w14:textId="77777777" w:rsidR="00A450D6" w:rsidRPr="00715040" w:rsidRDefault="00A450D6">
            <w:pPr>
              <w:pStyle w:val="FindingRecRequesttitle"/>
            </w:pPr>
            <w:r>
              <w:t>Coordinate</w:t>
            </w:r>
            <w:r w:rsidRPr="00623AD7">
              <w:t xml:space="preserve"> </w:t>
            </w:r>
            <w:r>
              <w:t>strategic planning for</w:t>
            </w:r>
            <w:r w:rsidRPr="00623AD7">
              <w:t xml:space="preserve"> infrastructure </w:t>
            </w:r>
            <w:r>
              <w:t>with housing objectives</w:t>
            </w:r>
          </w:p>
        </w:tc>
      </w:tr>
      <w:tr w:rsidR="00A450D6" w14:paraId="12F23F94" w14:textId="77777777">
        <w:tc>
          <w:tcPr>
            <w:tcW w:w="9638" w:type="dxa"/>
            <w:gridSpan w:val="2"/>
            <w:shd w:val="clear" w:color="auto" w:fill="E7F6FD"/>
            <w:tcMar>
              <w:top w:w="0" w:type="dxa"/>
            </w:tcMar>
          </w:tcPr>
          <w:p w14:paraId="31DAFDBB" w14:textId="77777777" w:rsidR="00A450D6" w:rsidRDefault="00A450D6" w:rsidP="00151F4A">
            <w:pPr>
              <w:pStyle w:val="BodyText"/>
              <w:spacing w:line="260" w:lineRule="atLeast"/>
            </w:pPr>
            <w:r>
              <w:t>State, territory and local governments should improve their infrastructure planning by:</w:t>
            </w:r>
          </w:p>
          <w:p w14:paraId="3944C45A" w14:textId="77777777" w:rsidR="00A450D6" w:rsidRPr="006071FF" w:rsidRDefault="00A450D6" w:rsidP="00151F4A">
            <w:pPr>
              <w:pStyle w:val="ListBullet"/>
              <w:spacing w:line="260" w:lineRule="atLeast"/>
              <w:rPr>
                <w:spacing w:val="-4"/>
              </w:rPr>
            </w:pPr>
            <w:r w:rsidRPr="006071FF">
              <w:rPr>
                <w:spacing w:val="-4"/>
              </w:rPr>
              <w:t>documenting how infrastructure planning supports housing objectives, including any interdependencies with third parties such as infrastructure service providers. This should be prioritised for areas identified as having high expected demand for new housing (reform direction 3.1)</w:t>
            </w:r>
          </w:p>
          <w:p w14:paraId="1E2D8D3C" w14:textId="77777777" w:rsidR="00A450D6" w:rsidRPr="00EE3E36" w:rsidRDefault="00A450D6" w:rsidP="00151F4A">
            <w:pPr>
              <w:pStyle w:val="ListBullet"/>
              <w:spacing w:line="260" w:lineRule="atLeast"/>
            </w:pPr>
            <w:r>
              <w:t>ensuring infrastructure planning documents are kept current</w:t>
            </w:r>
          </w:p>
          <w:p w14:paraId="548FF6C9" w14:textId="77777777" w:rsidR="00A450D6" w:rsidRPr="00327C1B" w:rsidRDefault="00A450D6" w:rsidP="00151F4A">
            <w:pPr>
              <w:pStyle w:val="ListBullet"/>
              <w:spacing w:line="260" w:lineRule="atLeast"/>
            </w:pPr>
            <w:r>
              <w:t>reporting</w:t>
            </w:r>
            <w:r w:rsidRPr="05013D34">
              <w:t xml:space="preserve"> the level of funding allocated to individual infrastructure projects and the expected costs and benefits of </w:t>
            </w:r>
            <w:r>
              <w:t>major road and transport projects</w:t>
            </w:r>
          </w:p>
          <w:p w14:paraId="31FB5B81" w14:textId="77777777" w:rsidR="00A450D6" w:rsidRPr="00767EAE" w:rsidRDefault="00A450D6" w:rsidP="00151F4A">
            <w:pPr>
              <w:pStyle w:val="ListBullet"/>
              <w:spacing w:line="260" w:lineRule="atLeast"/>
            </w:pPr>
            <w:r w:rsidRPr="00EE3E36">
              <w:t xml:space="preserve">ensuring there is a consistent approach </w:t>
            </w:r>
            <w:r>
              <w:t xml:space="preserve">to infrastructure planning </w:t>
            </w:r>
            <w:r w:rsidRPr="00EE3E36">
              <w:t xml:space="preserve">across local governments within jurisdictions, and that local </w:t>
            </w:r>
            <w:r>
              <w:t>planning aligns</w:t>
            </w:r>
            <w:r w:rsidRPr="00EE3E36">
              <w:t xml:space="preserve"> with state</w:t>
            </w:r>
            <w:r>
              <w:noBreakHyphen/>
            </w:r>
            <w:r w:rsidRPr="00EE3E36">
              <w:t>level infrastructure and housing objectives and projections</w:t>
            </w:r>
            <w:r>
              <w:t xml:space="preserve"> (and supports reform direction 4.2).</w:t>
            </w:r>
          </w:p>
        </w:tc>
      </w:tr>
      <w:tr w:rsidR="00A450D6" w14:paraId="5FC13A78" w14:textId="77777777">
        <w:trPr>
          <w:trHeight w:val="93"/>
        </w:trPr>
        <w:tc>
          <w:tcPr>
            <w:tcW w:w="9638" w:type="dxa"/>
            <w:gridSpan w:val="2"/>
            <w:shd w:val="clear" w:color="auto" w:fill="auto"/>
            <w:tcMar>
              <w:top w:w="0" w:type="dxa"/>
              <w:bottom w:w="0" w:type="dxa"/>
            </w:tcMar>
          </w:tcPr>
          <w:p w14:paraId="727DD0D4" w14:textId="5C480DE4" w:rsidR="00A450D6" w:rsidRPr="007E0EA8" w:rsidRDefault="00A450D6">
            <w:pPr>
              <w:pStyle w:val="NoSpacing"/>
              <w:spacing w:line="200" w:lineRule="exact"/>
            </w:pPr>
          </w:p>
        </w:tc>
      </w:tr>
    </w:tbl>
    <w:p w14:paraId="12ECE556" w14:textId="50D2A5B6"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38A35AFD" w14:textId="77777777" w:rsidTr="00C60B92">
        <w:trPr>
          <w:tblHeader/>
        </w:trPr>
        <w:tc>
          <w:tcPr>
            <w:tcW w:w="713" w:type="dxa"/>
            <w:shd w:val="clear" w:color="auto" w:fill="E7F6FD"/>
            <w:tcMar>
              <w:top w:w="0" w:type="dxa"/>
              <w:bottom w:w="0" w:type="dxa"/>
            </w:tcMar>
            <w:vAlign w:val="center"/>
          </w:tcPr>
          <w:p w14:paraId="2526E29F" w14:textId="77777777" w:rsidR="00A450D6" w:rsidRDefault="00A450D6">
            <w:pPr>
              <w:keepLines/>
              <w:jc w:val="center"/>
            </w:pPr>
            <w:r w:rsidRPr="00A51374">
              <w:rPr>
                <w:noProof/>
              </w:rPr>
              <w:drawing>
                <wp:inline distT="0" distB="0" distL="0" distR="0" wp14:anchorId="5C7B4907" wp14:editId="00AD73A1">
                  <wp:extent cx="288000" cy="288000"/>
                  <wp:effectExtent l="0" t="0" r="0" b="0"/>
                  <wp:docPr id="604950766" name="Graphic 6049507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5FD0A116" w14:textId="77777777" w:rsidR="00A450D6" w:rsidRPr="00715040" w:rsidRDefault="00A450D6">
            <w:pPr>
              <w:pStyle w:val="FindingRecRequesttitle"/>
            </w:pPr>
            <w:r w:rsidRPr="00715040">
              <w:t>Re</w:t>
            </w:r>
            <w:r>
              <w:t>form direction 4.2</w:t>
            </w:r>
          </w:p>
          <w:p w14:paraId="61C0B317" w14:textId="77777777" w:rsidR="00A450D6" w:rsidRPr="00715040" w:rsidRDefault="00A450D6">
            <w:pPr>
              <w:pStyle w:val="FindingRecRequesttitle"/>
            </w:pPr>
            <w:r>
              <w:t>Improve infrastructure sequencing with housing development</w:t>
            </w:r>
          </w:p>
        </w:tc>
      </w:tr>
      <w:tr w:rsidR="00A450D6" w14:paraId="7C132877" w14:textId="77777777" w:rsidTr="00C60B92">
        <w:tc>
          <w:tcPr>
            <w:tcW w:w="9638" w:type="dxa"/>
            <w:gridSpan w:val="2"/>
            <w:shd w:val="clear" w:color="auto" w:fill="E7F6FD"/>
            <w:tcMar>
              <w:top w:w="0" w:type="dxa"/>
            </w:tcMar>
          </w:tcPr>
          <w:p w14:paraId="6DE66962" w14:textId="77777777" w:rsidR="00A450D6" w:rsidRDefault="00A450D6">
            <w:pPr>
              <w:pStyle w:val="BodyText"/>
            </w:pPr>
            <w:r>
              <w:t>State and territory governments should improve how infrastructure is sequenced with housing. This includes:</w:t>
            </w:r>
          </w:p>
          <w:p w14:paraId="3B65CDC3" w14:textId="77777777" w:rsidR="00A450D6" w:rsidRDefault="00A450D6" w:rsidP="00E11D04">
            <w:pPr>
              <w:pStyle w:val="ListBullet"/>
              <w:rPr>
                <w:rFonts w:cstheme="minorHAnsi"/>
              </w:rPr>
            </w:pPr>
            <w:r w:rsidRPr="00EE3E36">
              <w:t>ensuring the timing of rezoning and infrastructure planning accounts for the lead times of each and that this is reflected in infrastructure plans</w:t>
            </w:r>
            <w:r>
              <w:rPr>
                <w:rFonts w:cstheme="minorHAnsi"/>
              </w:rPr>
              <w:t>, to ensure land for housing is released once a plan to deliver timely supporting infrastructure has been made</w:t>
            </w:r>
          </w:p>
          <w:p w14:paraId="4B9380BD" w14:textId="77777777" w:rsidR="00A450D6" w:rsidRPr="00EE3E36" w:rsidRDefault="00A450D6" w:rsidP="00E11D04">
            <w:pPr>
              <w:pStyle w:val="ListBullet"/>
            </w:pPr>
            <w:r>
              <w:t>ensuring infrastructure upgrades to support additional housing coincide with required changes to support housing, such as upzoning</w:t>
            </w:r>
          </w:p>
          <w:p w14:paraId="74BEB6C3" w14:textId="77777777" w:rsidR="00A450D6" w:rsidRPr="00EE3E36" w:rsidRDefault="00A450D6" w:rsidP="00E11D04">
            <w:pPr>
              <w:pStyle w:val="ListBullet"/>
            </w:pPr>
            <w:r w:rsidRPr="00EE3E36">
              <w:t xml:space="preserve">developing an accountability framework with clear responsibilities for each level of government and other parties such as </w:t>
            </w:r>
            <w:r>
              <w:t>regulators and infrastructure service</w:t>
            </w:r>
            <w:r w:rsidRPr="00EE3E36">
              <w:t xml:space="preserve"> providers, to set out how they will work together to deliver timely infrastructure to support housing</w:t>
            </w:r>
          </w:p>
          <w:p w14:paraId="53764A74" w14:textId="77777777" w:rsidR="00A450D6" w:rsidRPr="00767EAE" w:rsidRDefault="00A450D6" w:rsidP="00E11D04">
            <w:pPr>
              <w:pStyle w:val="ListBullet"/>
            </w:pPr>
            <w:r w:rsidRPr="00EE3E36">
              <w:t>considering how sequencing can improve certainty for other parts of the development process, including approvals (reform direction 3.1</w:t>
            </w:r>
            <w:r>
              <w:rPr>
                <w:rFonts w:cstheme="minorHAnsi"/>
              </w:rPr>
              <w:t>)</w:t>
            </w:r>
            <w:r w:rsidRPr="00327C1B">
              <w:rPr>
                <w:rFonts w:cstheme="minorHAnsi"/>
              </w:rPr>
              <w:t>.</w:t>
            </w:r>
          </w:p>
        </w:tc>
      </w:tr>
    </w:tbl>
    <w:p w14:paraId="7F38017F" w14:textId="16211574" w:rsidR="00A450D6" w:rsidRPr="00C60B92" w:rsidRDefault="00A450D6" w:rsidP="00C60B92">
      <w:pPr>
        <w:pStyle w:val="NoSpacing"/>
        <w:spacing w:line="20" w:lineRule="atLeast"/>
        <w:rPr>
          <w:sz w:val="2"/>
          <w:szCs w:val="2"/>
        </w:rPr>
      </w:pPr>
    </w:p>
    <w:tbl>
      <w:tblPr>
        <w:tblStyle w:val="Texttable-Paleblue"/>
        <w:tblW w:w="5000" w:type="pct"/>
        <w:tblLook w:val="04A0" w:firstRow="1" w:lastRow="0" w:firstColumn="1" w:lastColumn="0" w:noHBand="0" w:noVBand="1"/>
      </w:tblPr>
      <w:tblGrid>
        <w:gridCol w:w="713"/>
        <w:gridCol w:w="8925"/>
      </w:tblGrid>
      <w:tr w:rsidR="00A450D6" w14:paraId="6C975D99" w14:textId="77777777">
        <w:trPr>
          <w:tblHeader/>
        </w:trPr>
        <w:tc>
          <w:tcPr>
            <w:tcW w:w="709" w:type="dxa"/>
            <w:shd w:val="clear" w:color="auto" w:fill="E7F6FD"/>
            <w:tcMar>
              <w:top w:w="0" w:type="dxa"/>
              <w:bottom w:w="0" w:type="dxa"/>
            </w:tcMar>
            <w:vAlign w:val="center"/>
          </w:tcPr>
          <w:p w14:paraId="229E5DC6" w14:textId="77777777" w:rsidR="00A450D6" w:rsidRDefault="00A450D6">
            <w:pPr>
              <w:keepLines/>
              <w:jc w:val="center"/>
            </w:pPr>
            <w:r w:rsidRPr="00A51374">
              <w:rPr>
                <w:noProof/>
              </w:rPr>
              <w:drawing>
                <wp:inline distT="0" distB="0" distL="0" distR="0" wp14:anchorId="1939920D" wp14:editId="50A4B6CB">
                  <wp:extent cx="288000" cy="288000"/>
                  <wp:effectExtent l="0" t="0" r="0" b="0"/>
                  <wp:docPr id="1771396552" name="Graphic 1771396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3080397E" w14:textId="77777777" w:rsidR="00A450D6" w:rsidRPr="00715040" w:rsidRDefault="00A450D6">
            <w:pPr>
              <w:pStyle w:val="FindingRecRequesttitle"/>
            </w:pPr>
            <w:r w:rsidRPr="00715040">
              <w:t>Re</w:t>
            </w:r>
            <w:r>
              <w:t>form direction</w:t>
            </w:r>
            <w:r w:rsidRPr="00715040">
              <w:t xml:space="preserve"> </w:t>
            </w:r>
            <w:r>
              <w:t>4.3</w:t>
            </w:r>
          </w:p>
          <w:p w14:paraId="422A51F8" w14:textId="77777777" w:rsidR="00A450D6" w:rsidRPr="00715040" w:rsidRDefault="00A450D6">
            <w:pPr>
              <w:pStyle w:val="FindingRecRequesttitle"/>
            </w:pPr>
            <w:r>
              <w:t>Ensure developer contributions reflect the accurate cost of providing infrastructure</w:t>
            </w:r>
          </w:p>
        </w:tc>
      </w:tr>
      <w:tr w:rsidR="00A450D6" w14:paraId="67A097BC" w14:textId="77777777">
        <w:tc>
          <w:tcPr>
            <w:tcW w:w="9583" w:type="dxa"/>
            <w:gridSpan w:val="2"/>
            <w:shd w:val="clear" w:color="auto" w:fill="E7F6FD"/>
            <w:tcMar>
              <w:top w:w="0" w:type="dxa"/>
            </w:tcMar>
          </w:tcPr>
          <w:p w14:paraId="05EEB3DE" w14:textId="77777777" w:rsidR="00A450D6" w:rsidRPr="008704A9" w:rsidRDefault="00A450D6">
            <w:pPr>
              <w:pStyle w:val="BodyText"/>
              <w:rPr>
                <w:rFonts w:cstheme="minorHAnsi"/>
              </w:rPr>
            </w:pPr>
            <w:r>
              <w:rPr>
                <w:rFonts w:cstheme="minorHAnsi"/>
              </w:rPr>
              <w:t>State, territory</w:t>
            </w:r>
            <w:r w:rsidRPr="008704A9">
              <w:rPr>
                <w:rFonts w:cstheme="minorHAnsi"/>
              </w:rPr>
              <w:t xml:space="preserve"> and local </w:t>
            </w:r>
            <w:r>
              <w:rPr>
                <w:rFonts w:cstheme="minorHAnsi"/>
              </w:rPr>
              <w:t xml:space="preserve">governments should: </w:t>
            </w:r>
          </w:p>
          <w:p w14:paraId="3176F3BC" w14:textId="77777777" w:rsidR="00A450D6" w:rsidRPr="00EE3E36" w:rsidRDefault="00A450D6" w:rsidP="00E11D04">
            <w:pPr>
              <w:pStyle w:val="ListBullet"/>
            </w:pPr>
            <w:r w:rsidRPr="00EE3E36">
              <w:t>use developer contributions for all infrastructure with a close nexus to the development, when the development has also created a demonstrated need</w:t>
            </w:r>
          </w:p>
          <w:p w14:paraId="3B7153F4" w14:textId="77777777" w:rsidR="00A450D6" w:rsidRPr="00EE3E36" w:rsidRDefault="00A450D6" w:rsidP="00E11D04">
            <w:pPr>
              <w:pStyle w:val="ListBullet"/>
            </w:pPr>
            <w:r w:rsidRPr="00EE3E36">
              <w:t>apportion contributions for infrastructure when beneficiaries are dispersed beyond the development site</w:t>
            </w:r>
          </w:p>
          <w:p w14:paraId="05AE9D9F" w14:textId="77777777" w:rsidR="00A450D6" w:rsidRPr="00EE3E36" w:rsidRDefault="00A450D6" w:rsidP="00E11D04">
            <w:pPr>
              <w:pStyle w:val="ListBullet"/>
            </w:pPr>
            <w:r w:rsidRPr="00EE3E36">
              <w:t>remove contributions when there is no demonstrable nexus between a development and infrastructure</w:t>
            </w:r>
          </w:p>
          <w:p w14:paraId="16E19868" w14:textId="77777777" w:rsidR="00A450D6" w:rsidRPr="006071FF" w:rsidRDefault="00A450D6" w:rsidP="00E11D04">
            <w:pPr>
              <w:pStyle w:val="ListBullet"/>
              <w:rPr>
                <w:spacing w:val="-4"/>
              </w:rPr>
            </w:pPr>
            <w:r w:rsidRPr="006071FF">
              <w:rPr>
                <w:spacing w:val="-4"/>
              </w:rPr>
              <w:t>use cost</w:t>
            </w:r>
            <w:r w:rsidRPr="006071FF">
              <w:rPr>
                <w:spacing w:val="-4"/>
              </w:rPr>
              <w:noBreakHyphen/>
              <w:t>reflective developer contributions where possible, unless there are significant administrative burdens for local government or accurate cost estimates cannot be provided upfront.</w:t>
            </w:r>
          </w:p>
        </w:tc>
      </w:tr>
      <w:tr w:rsidR="00A450D6" w14:paraId="2709DAE5" w14:textId="77777777">
        <w:tc>
          <w:tcPr>
            <w:tcW w:w="9583" w:type="dxa"/>
            <w:gridSpan w:val="2"/>
            <w:shd w:val="clear" w:color="auto" w:fill="auto"/>
            <w:tcMar>
              <w:top w:w="0" w:type="dxa"/>
              <w:bottom w:w="0" w:type="dxa"/>
            </w:tcMar>
          </w:tcPr>
          <w:p w14:paraId="16E9EBDA" w14:textId="0E40BA11" w:rsidR="00A450D6" w:rsidRPr="007E0EA8" w:rsidRDefault="00A450D6">
            <w:pPr>
              <w:pStyle w:val="NoSpacing"/>
              <w:spacing w:line="200" w:lineRule="exact"/>
            </w:pPr>
          </w:p>
        </w:tc>
      </w:tr>
    </w:tbl>
    <w:p w14:paraId="401F4EB8" w14:textId="73FF9BE5" w:rsidR="00A450D6" w:rsidRDefault="00A450D6">
      <w:pPr>
        <w:pStyle w:val="NoSpacing"/>
      </w:pPr>
    </w:p>
    <w:tbl>
      <w:tblPr>
        <w:tblStyle w:val="Texttable-Paleblue"/>
        <w:tblW w:w="5000" w:type="pct"/>
        <w:tblLook w:val="04A0" w:firstRow="1" w:lastRow="0" w:firstColumn="1" w:lastColumn="0" w:noHBand="0" w:noVBand="1"/>
      </w:tblPr>
      <w:tblGrid>
        <w:gridCol w:w="713"/>
        <w:gridCol w:w="8925"/>
      </w:tblGrid>
      <w:tr w:rsidR="00A450D6" w14:paraId="0B5CCAC1" w14:textId="77777777">
        <w:trPr>
          <w:tblHeader/>
        </w:trPr>
        <w:tc>
          <w:tcPr>
            <w:tcW w:w="709" w:type="dxa"/>
            <w:shd w:val="clear" w:color="auto" w:fill="E7F6FD"/>
            <w:tcMar>
              <w:top w:w="0" w:type="dxa"/>
              <w:bottom w:w="0" w:type="dxa"/>
            </w:tcMar>
            <w:vAlign w:val="center"/>
          </w:tcPr>
          <w:p w14:paraId="0C1BC648" w14:textId="77777777" w:rsidR="00A450D6" w:rsidRDefault="00A450D6">
            <w:pPr>
              <w:keepLines/>
              <w:jc w:val="center"/>
            </w:pPr>
            <w:r w:rsidRPr="00A51374">
              <w:rPr>
                <w:noProof/>
              </w:rPr>
              <w:drawing>
                <wp:inline distT="0" distB="0" distL="0" distR="0" wp14:anchorId="5A056652" wp14:editId="1C332E69">
                  <wp:extent cx="288000" cy="288000"/>
                  <wp:effectExtent l="0" t="0" r="0" b="0"/>
                  <wp:docPr id="1021337877" name="Graphic 10213378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20927F0A" w14:textId="77777777" w:rsidR="00A450D6" w:rsidRPr="00300CEB" w:rsidRDefault="00A450D6">
            <w:pPr>
              <w:pStyle w:val="FindingRecRequesttitle"/>
            </w:pPr>
            <w:r w:rsidRPr="00300CEB">
              <w:t xml:space="preserve">Reform direction </w:t>
            </w:r>
            <w:r>
              <w:t>4.4</w:t>
            </w:r>
          </w:p>
          <w:p w14:paraId="2F207608" w14:textId="77777777" w:rsidR="00A450D6" w:rsidRPr="00715040" w:rsidRDefault="00A450D6">
            <w:pPr>
              <w:pStyle w:val="FindingRecRequesttitle"/>
            </w:pPr>
            <w:r w:rsidRPr="00300CEB">
              <w:t>Enhance design of developer contribution frameworks towards best practice</w:t>
            </w:r>
          </w:p>
        </w:tc>
      </w:tr>
      <w:tr w:rsidR="00A450D6" w14:paraId="2CDF203C" w14:textId="77777777">
        <w:tc>
          <w:tcPr>
            <w:tcW w:w="9583" w:type="dxa"/>
            <w:gridSpan w:val="2"/>
            <w:shd w:val="clear" w:color="auto" w:fill="E7F6FD"/>
            <w:tcMar>
              <w:top w:w="0" w:type="dxa"/>
            </w:tcMar>
          </w:tcPr>
          <w:p w14:paraId="01DB0A49" w14:textId="77777777" w:rsidR="00A450D6" w:rsidRPr="008704A9" w:rsidRDefault="00A450D6">
            <w:pPr>
              <w:pStyle w:val="BodyText"/>
              <w:rPr>
                <w:rFonts w:cstheme="minorHAnsi"/>
              </w:rPr>
            </w:pPr>
            <w:r>
              <w:rPr>
                <w:rFonts w:cstheme="minorHAnsi"/>
              </w:rPr>
              <w:t>State, territory and local governments should u</w:t>
            </w:r>
            <w:r w:rsidRPr="008704A9">
              <w:rPr>
                <w:rFonts w:cstheme="minorHAnsi"/>
              </w:rPr>
              <w:t>pdate the design of developer contribution frameworks to:</w:t>
            </w:r>
          </w:p>
          <w:p w14:paraId="4B264086" w14:textId="77777777" w:rsidR="00A450D6" w:rsidRPr="00EE3E36" w:rsidRDefault="00A450D6" w:rsidP="00E11D04">
            <w:pPr>
              <w:pStyle w:val="ListBullet"/>
            </w:pPr>
            <w:r w:rsidRPr="00EE3E36">
              <w:t>include upfront estimates of contributions prior to land release or land acquisition, and make available online contribution estimation tools</w:t>
            </w:r>
          </w:p>
          <w:p w14:paraId="158642C1" w14:textId="77777777" w:rsidR="00A450D6" w:rsidRPr="00EE3E36" w:rsidRDefault="00A450D6" w:rsidP="00E11D04">
            <w:pPr>
              <w:pStyle w:val="ListBullet"/>
            </w:pPr>
            <w:r w:rsidRPr="00EE3E36">
              <w:t xml:space="preserve">allow </w:t>
            </w:r>
            <w:r>
              <w:t>contribution payments</w:t>
            </w:r>
            <w:r w:rsidRPr="00EE3E36">
              <w:t xml:space="preserve"> to be </w:t>
            </w:r>
            <w:r>
              <w:t xml:space="preserve">staged or </w:t>
            </w:r>
            <w:r w:rsidRPr="00EE3E36">
              <w:t>due later in the development process</w:t>
            </w:r>
          </w:p>
          <w:p w14:paraId="5ABBAA12" w14:textId="77777777" w:rsidR="00A450D6" w:rsidRPr="00EE3E36" w:rsidRDefault="00A450D6" w:rsidP="00E11D04">
            <w:pPr>
              <w:pStyle w:val="ListBullet"/>
            </w:pPr>
            <w:r w:rsidRPr="00EE3E36">
              <w:t>take a consistent approach across all local governments within each state and territory in how charges are administered and calculated</w:t>
            </w:r>
          </w:p>
          <w:p w14:paraId="6C786B13" w14:textId="77777777" w:rsidR="00A450D6" w:rsidRDefault="00A450D6" w:rsidP="00E11D04">
            <w:pPr>
              <w:pStyle w:val="ListBullet"/>
            </w:pPr>
            <w:r w:rsidRPr="00EE3E36">
              <w:t>reduce the number of different contributions levied on developers</w:t>
            </w:r>
            <w:r w:rsidRPr="00EE3E36" w:rsidDel="002770EA">
              <w:t xml:space="preserve"> </w:t>
            </w:r>
            <w:r w:rsidRPr="00EE3E36">
              <w:t>by bundling different contributions into single levies where possible</w:t>
            </w:r>
          </w:p>
          <w:p w14:paraId="62B09F60" w14:textId="77777777" w:rsidR="00A450D6" w:rsidRPr="006A19DA" w:rsidRDefault="00A450D6" w:rsidP="00E11D04">
            <w:pPr>
              <w:pStyle w:val="ListBullet"/>
            </w:pPr>
            <w:r w:rsidRPr="006A19DA">
              <w:t>adopt transparent, centralised reporting of funds collected at the development, local government and state levels and progress reports against planned infrastructure delivery and housing supply objectives.</w:t>
            </w:r>
          </w:p>
        </w:tc>
      </w:tr>
      <w:tr w:rsidR="00A450D6" w14:paraId="039DF31C" w14:textId="77777777">
        <w:tc>
          <w:tcPr>
            <w:tcW w:w="9583" w:type="dxa"/>
            <w:gridSpan w:val="2"/>
            <w:shd w:val="clear" w:color="auto" w:fill="auto"/>
            <w:tcMar>
              <w:top w:w="0" w:type="dxa"/>
              <w:bottom w:w="0" w:type="dxa"/>
            </w:tcMar>
          </w:tcPr>
          <w:p w14:paraId="06E46907" w14:textId="300CA604" w:rsidR="00A450D6" w:rsidRPr="007E0EA8" w:rsidRDefault="00A450D6">
            <w:pPr>
              <w:pStyle w:val="NoSpacing"/>
              <w:spacing w:line="200" w:lineRule="exact"/>
            </w:pPr>
          </w:p>
        </w:tc>
      </w:tr>
    </w:tbl>
    <w:p w14:paraId="7B248742" w14:textId="77777777" w:rsidR="00656E0D" w:rsidRDefault="00656E0D" w:rsidP="00656E0D">
      <w:pPr>
        <w:pStyle w:val="BodyText"/>
      </w:pPr>
      <w:r>
        <w:br w:type="page"/>
      </w:r>
    </w:p>
    <w:p w14:paraId="5D842A2C" w14:textId="0420D8A9" w:rsidR="00A450D6" w:rsidRDefault="00A450D6" w:rsidP="006071FF">
      <w:pPr>
        <w:pStyle w:val="Heading4"/>
        <w:spacing w:before="360"/>
      </w:pPr>
      <w:r>
        <w:lastRenderedPageBreak/>
        <w:t>Land</w:t>
      </w:r>
      <w:r>
        <w:noBreakHyphen/>
        <w:t>use reforms and infrastructure coordination will have the biggest effect on housing supply</w:t>
      </w:r>
    </w:p>
    <w:p w14:paraId="3252D23F" w14:textId="77777777" w:rsidR="00A450D6" w:rsidRPr="00C60B92" w:rsidRDefault="00A450D6">
      <w:pPr>
        <w:pStyle w:val="BodyText"/>
        <w:rPr>
          <w:spacing w:val="-4"/>
        </w:rPr>
      </w:pPr>
      <w:r w:rsidRPr="00C60B92">
        <w:rPr>
          <w:spacing w:val="-4"/>
        </w:rPr>
        <w:t>Of all the housing supply reform areas in our terms of reference, reforming land</w:t>
      </w:r>
      <w:r w:rsidRPr="00C60B92">
        <w:rPr>
          <w:spacing w:val="-4"/>
        </w:rPr>
        <w:noBreakHyphen/>
        <w:t>use controls to increase housing density in cities is likely to have the greatest impact on supply. We base this conclusion on evidence from literature, initial modelling and consultation (including meetings, submissions and roundtables).</w:t>
      </w:r>
    </w:p>
    <w:p w14:paraId="2E5882D2" w14:textId="77777777" w:rsidR="00A450D6" w:rsidRDefault="00A450D6">
      <w:pPr>
        <w:pStyle w:val="BodyText"/>
      </w:pPr>
      <w:r w:rsidRPr="00035DBE">
        <w:t>The effect of land</w:t>
      </w:r>
      <w:r>
        <w:noBreakHyphen/>
      </w:r>
      <w:r w:rsidRPr="00035DBE">
        <w:t xml:space="preserve">use controls may be more limited in greenfield areas where land has already been released. </w:t>
      </w:r>
      <w:r>
        <w:t>Land release in and of itself is not a problem in many greenfield areas, but r</w:t>
      </w:r>
      <w:r w:rsidRPr="002936AF">
        <w:t>eleased</w:t>
      </w:r>
      <w:r w:rsidRPr="002B1C79" w:rsidDel="006F7F97">
        <w:t xml:space="preserve"> </w:t>
      </w:r>
      <w:r w:rsidRPr="002936AF">
        <w:t>land can only translate into housing</w:t>
      </w:r>
      <w:r>
        <w:t xml:space="preserve"> supply </w:t>
      </w:r>
      <w:r w:rsidRPr="002936AF">
        <w:t>when it is supported by enabling infrastructure</w:t>
      </w:r>
      <w:r w:rsidRPr="00035DBE">
        <w:t>, which we</w:t>
      </w:r>
      <w:r>
        <w:t xml:space="preserve"> have heard </w:t>
      </w:r>
      <w:r w:rsidRPr="00035DBE">
        <w:t xml:space="preserve">is </w:t>
      </w:r>
      <w:r>
        <w:t xml:space="preserve">often </w:t>
      </w:r>
      <w:r w:rsidRPr="00035DBE">
        <w:t xml:space="preserve">a constraint </w:t>
      </w:r>
      <w:r>
        <w:t>for new developments in these locations. Better strategic planning would help governments navigate infrastructure coordination challenges, both for infill and greenfield locations, and could also unlock significant supply.</w:t>
      </w:r>
    </w:p>
    <w:p w14:paraId="149F7427" w14:textId="77777777" w:rsidR="00A450D6" w:rsidRDefault="00A450D6">
      <w:pPr>
        <w:pStyle w:val="BodyText"/>
      </w:pPr>
      <w:r>
        <w:t>In contrast, reducing regulatory burdens by, for example, improving approval timeframes and enhancing developer contribution frameworks is likely to have less effect on overall supply</w:t>
      </w:r>
      <w:r w:rsidRPr="002B1C79">
        <w:t>.</w:t>
      </w:r>
      <w:r>
        <w:t xml:space="preserve"> While there are clear opportunities for improvement, </w:t>
      </w:r>
      <w:r w:rsidRPr="002B1C79">
        <w:t xml:space="preserve">governments should not rely on these types of reforms alone to address </w:t>
      </w:r>
      <w:r w:rsidRPr="002B1C79" w:rsidDel="006F0339">
        <w:t>the</w:t>
      </w:r>
      <w:r w:rsidRPr="002B1C79">
        <w:t xml:space="preserve"> supply challenge.</w:t>
      </w:r>
    </w:p>
    <w:p w14:paraId="4437C90B" w14:textId="77777777" w:rsidR="00A450D6" w:rsidRDefault="00A450D6">
      <w:pPr>
        <w:pStyle w:val="Heading4"/>
      </w:pPr>
      <w:r>
        <w:t>The role of the Australian Government</w:t>
      </w:r>
    </w:p>
    <w:p w14:paraId="2B2892C6" w14:textId="77777777" w:rsidR="00A450D6" w:rsidRDefault="00A450D6">
      <w:pPr>
        <w:pStyle w:val="BodyText"/>
      </w:pPr>
      <w:r>
        <w:t>States</w:t>
      </w:r>
      <w:r w:rsidRPr="00393AF0">
        <w:t xml:space="preserve"> and territor</w:t>
      </w:r>
      <w:r>
        <w:t>ies</w:t>
      </w:r>
      <w:r w:rsidRPr="00393AF0">
        <w:t xml:space="preserve"> are responsible for setting </w:t>
      </w:r>
      <w:r>
        <w:t>most</w:t>
      </w:r>
      <w:r w:rsidRPr="00393AF0">
        <w:t xml:space="preserve"> housing regulations, </w:t>
      </w:r>
      <w:r>
        <w:t>and local governments are typically responsible for applying them. As such, most of our reform directions target actions that can be taken by state, territory and local governments.</w:t>
      </w:r>
    </w:p>
    <w:p w14:paraId="4E937F5C" w14:textId="77777777" w:rsidR="00A450D6" w:rsidRDefault="00A450D6">
      <w:pPr>
        <w:pStyle w:val="BodyText"/>
      </w:pPr>
      <w:r>
        <w:t>However, the Australian Government sets housing</w:t>
      </w:r>
      <w:r w:rsidRPr="00393AF0">
        <w:t xml:space="preserve"> </w:t>
      </w:r>
      <w:r>
        <w:t xml:space="preserve">policy </w:t>
      </w:r>
      <w:r w:rsidRPr="00393AF0">
        <w:t xml:space="preserve">priorities </w:t>
      </w:r>
      <w:r>
        <w:t>in</w:t>
      </w:r>
      <w:r w:rsidRPr="00393AF0">
        <w:t xml:space="preserve"> national plans, policies</w:t>
      </w:r>
      <w:r>
        <w:t xml:space="preserve">, </w:t>
      </w:r>
      <w:r w:rsidRPr="00393AF0">
        <w:t>funding</w:t>
      </w:r>
      <w:r>
        <w:t xml:space="preserve"> and legislation, and therefore has an essential role in supporting states, territories and local governments to move toward best practice and implement reforms.</w:t>
      </w:r>
    </w:p>
    <w:p w14:paraId="0B89C690" w14:textId="77777777" w:rsidR="00A450D6" w:rsidRPr="006A19DA" w:rsidRDefault="00A450D6">
      <w:pPr>
        <w:pStyle w:val="BodyText"/>
        <w:rPr>
          <w:spacing w:val="-2"/>
        </w:rPr>
      </w:pPr>
      <w:r w:rsidRPr="006A19DA">
        <w:rPr>
          <w:spacing w:val="-2"/>
        </w:rPr>
        <w:t>The Australian Government could also have a more direct role, particularly for infrastructure development, helping to provide finance such as low or no</w:t>
      </w:r>
      <w:r w:rsidRPr="006A19DA">
        <w:rPr>
          <w:spacing w:val="-2"/>
        </w:rPr>
        <w:noBreakHyphen/>
        <w:t>interest loans, managing funding shortfalls and underwriting risks in the infrastructure sequencing process. The PC is seeking feedback on how the Australian Government can support housing regulatory reform and operationalise the reform directions.</w:t>
      </w:r>
    </w:p>
    <w:p w14:paraId="3F93497F" w14:textId="77777777" w:rsidR="00A450D6" w:rsidRDefault="00A450D6">
      <w:pPr>
        <w:pStyle w:val="Heading4"/>
      </w:pPr>
      <w:r>
        <w:t>What we are not looking at</w:t>
      </w:r>
    </w:p>
    <w:p w14:paraId="1077560C" w14:textId="77777777" w:rsidR="00A450D6" w:rsidRPr="00C60B92" w:rsidRDefault="00A450D6">
      <w:pPr>
        <w:pStyle w:val="BodyText"/>
        <w:rPr>
          <w:spacing w:val="-4"/>
        </w:rPr>
      </w:pPr>
      <w:r w:rsidRPr="00C60B92">
        <w:rPr>
          <w:spacing w:val="-4"/>
        </w:rPr>
        <w:t>The terms of reference for this inquiry, and hence our reform directions, do not cover every policy issue that affects housing supply. For example, the National Construction Code is out of scope for this inquiry, as are policies that may affect construction costs, labour supply in the construction industry, or demand for housing. Other reviews and past PC work are examining, or have recently examined, many of these issues.</w:t>
      </w:r>
      <w:r w:rsidRPr="00C60B92">
        <w:rPr>
          <w:rStyle w:val="FootnoteReference"/>
          <w:spacing w:val="-4"/>
        </w:rPr>
        <w:footnoteReference w:id="2"/>
      </w:r>
    </w:p>
    <w:p w14:paraId="4D2CB3B8" w14:textId="77777777" w:rsidR="00A450D6" w:rsidRDefault="00A450D6">
      <w:pPr>
        <w:pStyle w:val="BodyText"/>
      </w:pPr>
      <w:r w:rsidRPr="00775E0A">
        <w:t>Broader policy settings</w:t>
      </w:r>
      <w:r>
        <w:t xml:space="preserve"> such as taxes (including stamp duty), interest rate setting and finance</w:t>
      </w:r>
      <w:r w:rsidRPr="00775E0A">
        <w:t xml:space="preserve"> affect investment decisions for housing development</w:t>
      </w:r>
      <w:r>
        <w:t>. These are not covered by this inquiry</w:t>
      </w:r>
      <w:r w:rsidRPr="00775E0A">
        <w:t>. We are also not looking at broader economic conditions that affect suppl</w:t>
      </w:r>
      <w:r>
        <w:t>y</w:t>
      </w:r>
      <w:r w:rsidRPr="00775E0A">
        <w:t xml:space="preserve">, such as supply chains and the cost of building materials, or crowding out of investment in new housing due to competition with </w:t>
      </w:r>
      <w:r>
        <w:t xml:space="preserve">major </w:t>
      </w:r>
      <w:r w:rsidRPr="00775E0A">
        <w:lastRenderedPageBreak/>
        <w:t>infrastructure projects.</w:t>
      </w:r>
      <w:r>
        <w:t xml:space="preserve"> Nor are we examining the growth of demand for housing or the reasons for it, including migration and demographic change.</w:t>
      </w:r>
    </w:p>
    <w:p w14:paraId="1FA4C0A9" w14:textId="77777777" w:rsidR="00A450D6" w:rsidRPr="007D539B" w:rsidRDefault="00A450D6">
      <w:pPr>
        <w:pStyle w:val="Heading3"/>
        <w:rPr>
          <w:spacing w:val="-4"/>
        </w:rPr>
      </w:pPr>
      <w:r w:rsidRPr="007D539B">
        <w:rPr>
          <w:spacing w:val="-4"/>
        </w:rPr>
        <w:t>Your input will help us provide a direction for Australia’s housing supply</w:t>
      </w:r>
    </w:p>
    <w:p w14:paraId="0E7FD569" w14:textId="77777777" w:rsidR="00A450D6" w:rsidRDefault="00A450D6">
      <w:pPr>
        <w:pStyle w:val="BodyText"/>
      </w:pPr>
      <w:r w:rsidRPr="00815CC7">
        <w:t xml:space="preserve">Our final report, due in March 2027, will include </w:t>
      </w:r>
      <w:r>
        <w:t>an assessment of recent and upcoming housing reforms by states and territories against the features of a best practice housing system and their anticipated effect on housing supply. It will also include</w:t>
      </w:r>
      <w:r w:rsidRPr="00815CC7">
        <w:t xml:space="preserve"> </w:t>
      </w:r>
      <w:r>
        <w:t>more</w:t>
      </w:r>
      <w:r w:rsidRPr="00815CC7">
        <w:t xml:space="preserve"> detailed recommendations</w:t>
      </w:r>
      <w:r>
        <w:t>,</w:t>
      </w:r>
      <w:r w:rsidRPr="00815CC7">
        <w:t xml:space="preserve"> including for states and territories</w:t>
      </w:r>
      <w:r>
        <w:t>, with the aim of identifying further opportunities to move towards best practice, filling reform gaps and enhancing housing supply in each jurisdiction.</w:t>
      </w:r>
    </w:p>
    <w:p w14:paraId="592AD198" w14:textId="77777777" w:rsidR="00A450D6" w:rsidRPr="00815CC7" w:rsidRDefault="00A450D6">
      <w:pPr>
        <w:pStyle w:val="BodyText"/>
      </w:pPr>
      <w:r>
        <w:t xml:space="preserve">To inform these recommendations, we will do </w:t>
      </w:r>
      <w:r w:rsidRPr="00815CC7">
        <w:t>more quantitative analysis</w:t>
      </w:r>
      <w:r>
        <w:t>, including modelling of zoning and land</w:t>
      </w:r>
      <w:r>
        <w:noBreakHyphen/>
        <w:t>use controls in capital cities to identify which changes could lead to the greatest supply response. We will also consult extensively with</w:t>
      </w:r>
      <w:r w:rsidRPr="00815CC7" w:rsidDel="00C24EA7">
        <w:t xml:space="preserve"> </w:t>
      </w:r>
      <w:r>
        <w:t>industry representative groups; representatives from relevant parts of government; subject</w:t>
      </w:r>
      <w:r>
        <w:noBreakHyphen/>
        <w:t>matter experts; and individuals and organisations with experience of housing regulation, including Aboriginal and Torres Strait Islander organisations.</w:t>
      </w:r>
    </w:p>
    <w:p w14:paraId="5AB793C0" w14:textId="77777777" w:rsidR="00A450D6" w:rsidRDefault="00A450D6">
      <w:pPr>
        <w:pStyle w:val="BodyText"/>
      </w:pPr>
      <w:r>
        <w:t xml:space="preserve">As part of this consultation, we plan to conduct a detailed survey of housing developers about their experiences of receiving approvals for housing development. This will help us identify significant pain points and determine the parts of the system where reform could have the most effect. </w:t>
      </w:r>
    </w:p>
    <w:p w14:paraId="4FAC1D4B" w14:textId="77777777" w:rsidR="00A450D6" w:rsidRPr="00815CC7" w:rsidRDefault="00A450D6">
      <w:pPr>
        <w:pStyle w:val="BodyText"/>
      </w:pPr>
      <w:r>
        <w:t>We are also seeking your input to help build our knowledge and evidence base. Your responses to the information requests throughout this report will contribute to our final recommendations.</w:t>
      </w:r>
    </w:p>
    <w:p w14:paraId="18EC9958" w14:textId="77777777" w:rsidR="00A450D6" w:rsidRDefault="00A450D6">
      <w:pPr>
        <w:pStyle w:val="BodyText"/>
      </w:pPr>
      <w:r w:rsidRPr="00815CC7">
        <w:t>Taken together, the goal for our inquiry is to propose reforms that will reshape Australia’s planning systems to build enough housing</w:t>
      </w:r>
      <w:r>
        <w:t>, more quickly, and</w:t>
      </w:r>
      <w:r w:rsidRPr="00815CC7">
        <w:t xml:space="preserve"> where people need it most</w:t>
      </w:r>
      <w:r>
        <w:t>.</w:t>
      </w:r>
    </w:p>
    <w:p w14:paraId="5EA2D852" w14:textId="77777777" w:rsidR="00A450D6" w:rsidRDefault="00A450D6" w:rsidP="00E76EEC">
      <w:pPr>
        <w:pStyle w:val="BodyText"/>
        <w:sectPr w:rsidR="00A450D6" w:rsidSect="00E76EEC">
          <w:headerReference w:type="even" r:id="rId51"/>
          <w:headerReference w:type="default" r:id="rId52"/>
          <w:headerReference w:type="first" r:id="rId53"/>
          <w:type w:val="oddPage"/>
          <w:pgSz w:w="11906" w:h="16838" w:code="9"/>
          <w:pgMar w:top="1134" w:right="1134" w:bottom="1134" w:left="1134" w:header="794" w:footer="510" w:gutter="0"/>
          <w:pgNumType w:start="1"/>
          <w:cols w:space="708"/>
          <w:docGrid w:linePitch="360"/>
        </w:sectPr>
      </w:pPr>
    </w:p>
    <w:p w14:paraId="342D4939" w14:textId="77777777" w:rsidR="00046C48" w:rsidRDefault="00046C48">
      <w:pPr>
        <w:pStyle w:val="Heading1-nonumber"/>
      </w:pPr>
      <w:bookmarkStart w:id="15" w:name="_Toc235103138"/>
      <w:r>
        <w:lastRenderedPageBreak/>
        <w:t>Information requests</w:t>
      </w:r>
      <w:bookmarkEnd w:id="15"/>
    </w:p>
    <w:p w14:paraId="485EE979" w14:textId="1E095CFB"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7194DB21" w14:textId="77777777">
        <w:trPr>
          <w:trHeight w:val="765"/>
          <w:tblHeader/>
        </w:trPr>
        <w:tc>
          <w:tcPr>
            <w:tcW w:w="366" w:type="pct"/>
            <w:shd w:val="clear" w:color="auto" w:fill="EBEBEB"/>
            <w:tcMar>
              <w:bottom w:w="0" w:type="dxa"/>
            </w:tcMar>
            <w:vAlign w:val="center"/>
          </w:tcPr>
          <w:p w14:paraId="7C2F91A8" w14:textId="77777777" w:rsidR="00046C48" w:rsidRDefault="00046C48">
            <w:pPr>
              <w:pStyle w:val="NoSpacing"/>
              <w:keepNext/>
              <w:keepLines/>
              <w:jc w:val="right"/>
            </w:pPr>
            <w:r w:rsidRPr="00A51374">
              <w:rPr>
                <w:noProof/>
              </w:rPr>
              <w:drawing>
                <wp:inline distT="0" distB="0" distL="0" distR="0" wp14:anchorId="5021F513" wp14:editId="41C3CC8B">
                  <wp:extent cx="288000" cy="288000"/>
                  <wp:effectExtent l="0" t="0" r="0" b="0"/>
                  <wp:docPr id="1019963472" name="Graphic 10199634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47F3DDE8" w14:textId="1C5BC53E" w:rsidR="00046C48" w:rsidRPr="002530FF" w:rsidRDefault="00046C48">
            <w:pPr>
              <w:pStyle w:val="FindingRecRequesttitle"/>
            </w:pPr>
            <w:r w:rsidRPr="000B0B71">
              <w:t xml:space="preserve">Information request </w:t>
            </w:r>
            <w:r w:rsidR="00CB06D8">
              <w:rPr>
                <w:noProof/>
              </w:rPr>
              <w:t>1</w:t>
            </w:r>
            <w:r w:rsidRPr="00DF7217">
              <w:t>.</w:t>
            </w:r>
            <w:r w:rsidR="00CB06D8">
              <w:rPr>
                <w:noProof/>
              </w:rPr>
              <w:t>1</w:t>
            </w:r>
          </w:p>
        </w:tc>
      </w:tr>
      <w:tr w:rsidR="00046C48" w:rsidRPr="0083069E" w14:paraId="45869694" w14:textId="77777777">
        <w:tc>
          <w:tcPr>
            <w:tcW w:w="5000" w:type="pct"/>
            <w:gridSpan w:val="2"/>
            <w:shd w:val="clear" w:color="auto" w:fill="EBEBEB"/>
          </w:tcPr>
          <w:p w14:paraId="76A7769F" w14:textId="77777777" w:rsidR="00046C48" w:rsidRPr="0083069E" w:rsidRDefault="00046C48" w:rsidP="00E11D04">
            <w:pPr>
              <w:pStyle w:val="ListBullet"/>
              <w:rPr>
                <w:color w:val="265A9A" w:themeColor="background2"/>
              </w:rPr>
            </w:pPr>
            <w:r w:rsidRPr="0083069E">
              <w:rPr>
                <w:color w:val="265A9A" w:themeColor="background2"/>
              </w:rPr>
              <w:t>How do housing regulatory systems, specifically, land</w:t>
            </w:r>
            <w:r w:rsidRPr="0083069E">
              <w:rPr>
                <w:color w:val="265A9A" w:themeColor="background2"/>
              </w:rPr>
              <w:noBreakHyphen/>
              <w:t>use controls, housing</w:t>
            </w:r>
            <w:r w:rsidRPr="0083069E">
              <w:rPr>
                <w:color w:val="265A9A" w:themeColor="background2"/>
              </w:rPr>
              <w:noBreakHyphen/>
              <w:t xml:space="preserve">enabling infrastructure and approval processes, affect Aboriginal and Torres Strait Islander people and communities’ access to appropriate housing? Case studies and examples are encouraged. </w:t>
            </w:r>
          </w:p>
          <w:p w14:paraId="117EB8DC" w14:textId="77777777" w:rsidR="00046C48" w:rsidRPr="0083069E" w:rsidRDefault="00046C48" w:rsidP="00E11D04">
            <w:pPr>
              <w:pStyle w:val="ListBullet"/>
              <w:rPr>
                <w:color w:val="265A9A" w:themeColor="background2"/>
              </w:rPr>
            </w:pPr>
            <w:r w:rsidRPr="0083069E">
              <w:rPr>
                <w:color w:val="265A9A" w:themeColor="background2"/>
              </w:rPr>
              <w:t>How can governments improve housing regulatory systems to better meet the housing needs of Aboriginal and Torres Strait Islander people and communities, in alignment with outcome 9 of the National Agreement on Closing the Gap?</w:t>
            </w:r>
          </w:p>
        </w:tc>
      </w:tr>
      <w:tr w:rsidR="00046C48" w14:paraId="08F7E9F9" w14:textId="77777777">
        <w:tc>
          <w:tcPr>
            <w:tcW w:w="5000" w:type="pct"/>
            <w:gridSpan w:val="2"/>
            <w:tcMar>
              <w:bottom w:w="0" w:type="dxa"/>
            </w:tcMar>
          </w:tcPr>
          <w:p w14:paraId="574B909E" w14:textId="6840BB02" w:rsidR="00046C48" w:rsidRDefault="00046C48">
            <w:pPr>
              <w:pStyle w:val="NoSpacing"/>
              <w:spacing w:line="200" w:lineRule="atLeast"/>
            </w:pPr>
          </w:p>
        </w:tc>
      </w:tr>
    </w:tbl>
    <w:p w14:paraId="29D7B081" w14:textId="10FB58F9"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6176E4BF" w14:textId="77777777">
        <w:trPr>
          <w:trHeight w:val="765"/>
          <w:tblHeader/>
        </w:trPr>
        <w:tc>
          <w:tcPr>
            <w:tcW w:w="366" w:type="pct"/>
            <w:shd w:val="clear" w:color="auto" w:fill="EBEBEB"/>
            <w:tcMar>
              <w:bottom w:w="0" w:type="dxa"/>
            </w:tcMar>
            <w:vAlign w:val="center"/>
          </w:tcPr>
          <w:p w14:paraId="529AFD6F" w14:textId="77777777" w:rsidR="00046C48" w:rsidRDefault="00046C48">
            <w:pPr>
              <w:pStyle w:val="NoSpacing"/>
              <w:keepNext/>
              <w:keepLines/>
              <w:jc w:val="right"/>
            </w:pPr>
            <w:r w:rsidRPr="00A51374">
              <w:rPr>
                <w:noProof/>
              </w:rPr>
              <w:drawing>
                <wp:inline distT="0" distB="0" distL="0" distR="0" wp14:anchorId="0F8AC6E4" wp14:editId="59FCDCDD">
                  <wp:extent cx="288000" cy="288000"/>
                  <wp:effectExtent l="0" t="0" r="0" b="0"/>
                  <wp:docPr id="1910483390" name="Graphic 19104833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1EF96A7C" w14:textId="31C81ACF" w:rsidR="00046C48" w:rsidRPr="002530FF" w:rsidRDefault="00046C48">
            <w:pPr>
              <w:pStyle w:val="FindingRecRequesttitle"/>
            </w:pPr>
            <w:r w:rsidRPr="000B0B71">
              <w:t xml:space="preserve">Information request </w:t>
            </w:r>
            <w:r w:rsidR="00CB06D8">
              <w:rPr>
                <w:noProof/>
              </w:rPr>
              <w:t>1</w:t>
            </w:r>
            <w:r w:rsidRPr="00DF7217">
              <w:t>.</w:t>
            </w:r>
            <w:r>
              <w:t>2</w:t>
            </w:r>
          </w:p>
        </w:tc>
      </w:tr>
      <w:tr w:rsidR="00046C48" w:rsidRPr="00F179F6" w14:paraId="7AF66563" w14:textId="77777777">
        <w:tc>
          <w:tcPr>
            <w:tcW w:w="5000" w:type="pct"/>
            <w:gridSpan w:val="2"/>
            <w:shd w:val="clear" w:color="auto" w:fill="EBEBEB"/>
          </w:tcPr>
          <w:p w14:paraId="29325B17" w14:textId="77777777" w:rsidR="00046C48" w:rsidRPr="00F179F6" w:rsidRDefault="00046C48" w:rsidP="00E11D04">
            <w:pPr>
              <w:pStyle w:val="ListBullet"/>
              <w:rPr>
                <w:color w:val="265A9A" w:themeColor="background2"/>
              </w:rPr>
            </w:pPr>
            <w:r w:rsidRPr="00F179F6">
              <w:rPr>
                <w:color w:val="265A9A" w:themeColor="background2"/>
              </w:rPr>
              <w:t xml:space="preserve">What features should governments have in mind when evaluating reforms to move housing regulatory systems towards best practice? </w:t>
            </w:r>
          </w:p>
          <w:p w14:paraId="0BDD43D2" w14:textId="77777777" w:rsidR="00046C48" w:rsidRPr="00F179F6" w:rsidRDefault="00046C48" w:rsidP="00E11D04">
            <w:pPr>
              <w:pStyle w:val="ListBullet"/>
              <w:rPr>
                <w:color w:val="265A9A" w:themeColor="background2"/>
              </w:rPr>
            </w:pPr>
            <w:r w:rsidRPr="00F179F6">
              <w:rPr>
                <w:color w:val="265A9A" w:themeColor="background2"/>
              </w:rPr>
              <w:t>Are the best practice principles and overarching objective (figure 1.2) we have identified appropriate? If not, what changes should be made?</w:t>
            </w:r>
          </w:p>
          <w:p w14:paraId="427F8730" w14:textId="77777777" w:rsidR="00046C48" w:rsidRPr="00F179F6" w:rsidRDefault="00046C48" w:rsidP="00E11D04">
            <w:pPr>
              <w:pStyle w:val="ListBullet"/>
              <w:rPr>
                <w:color w:val="265A9A" w:themeColor="background2"/>
                <w:spacing w:val="-4"/>
              </w:rPr>
            </w:pPr>
            <w:r w:rsidRPr="00F179F6">
              <w:rPr>
                <w:color w:val="265A9A" w:themeColor="background2"/>
                <w:spacing w:val="-4"/>
              </w:rPr>
              <w:t xml:space="preserve">What are some examples of specific housing supply regulations </w:t>
            </w:r>
            <w:r w:rsidRPr="00F179F6" w:rsidDel="009A5578">
              <w:rPr>
                <w:color w:val="265A9A" w:themeColor="background2"/>
                <w:spacing w:val="-4"/>
              </w:rPr>
              <w:t>(in Australia or internationally)</w:t>
            </w:r>
            <w:r w:rsidRPr="00F179F6">
              <w:rPr>
                <w:color w:val="265A9A" w:themeColor="background2"/>
                <w:spacing w:val="-4"/>
              </w:rPr>
              <w:t xml:space="preserve"> that:</w:t>
            </w:r>
          </w:p>
          <w:p w14:paraId="3172033F" w14:textId="77777777" w:rsidR="00046C48" w:rsidRPr="00F179F6" w:rsidRDefault="00046C48">
            <w:pPr>
              <w:pStyle w:val="ListNumber"/>
              <w:numPr>
                <w:ilvl w:val="0"/>
                <w:numId w:val="0"/>
              </w:numPr>
              <w:ind w:left="340"/>
              <w:rPr>
                <w:color w:val="265A9A" w:themeColor="background2"/>
              </w:rPr>
            </w:pPr>
            <w:r w:rsidRPr="00F179F6">
              <w:rPr>
                <w:color w:val="265A9A" w:themeColor="background2"/>
              </w:rPr>
              <w:t>a) exemplify the features of a best practice system for housing regulation</w:t>
            </w:r>
          </w:p>
          <w:p w14:paraId="7DF3544F" w14:textId="77777777" w:rsidR="00046C48" w:rsidRPr="00F179F6" w:rsidRDefault="00046C48">
            <w:pPr>
              <w:pStyle w:val="ListNumber"/>
              <w:numPr>
                <w:ilvl w:val="0"/>
                <w:numId w:val="0"/>
              </w:numPr>
              <w:ind w:left="340"/>
              <w:rPr>
                <w:color w:val="265A9A" w:themeColor="background2"/>
              </w:rPr>
            </w:pPr>
            <w:r w:rsidRPr="00F179F6">
              <w:rPr>
                <w:color w:val="265A9A" w:themeColor="background2"/>
              </w:rPr>
              <w:t>b) clearly do not reflect these features?</w:t>
            </w:r>
          </w:p>
        </w:tc>
      </w:tr>
      <w:tr w:rsidR="00046C48" w14:paraId="663C3FE2" w14:textId="77777777">
        <w:tc>
          <w:tcPr>
            <w:tcW w:w="5000" w:type="pct"/>
            <w:gridSpan w:val="2"/>
            <w:tcMar>
              <w:bottom w:w="0" w:type="dxa"/>
            </w:tcMar>
          </w:tcPr>
          <w:p w14:paraId="599C8F8F" w14:textId="15910E71" w:rsidR="00046C48" w:rsidRDefault="00046C48">
            <w:pPr>
              <w:pStyle w:val="NoSpacing"/>
              <w:spacing w:line="200" w:lineRule="atLeast"/>
            </w:pPr>
          </w:p>
        </w:tc>
      </w:tr>
    </w:tbl>
    <w:p w14:paraId="306BA043" w14:textId="56EAF985"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4420C8B4" w14:textId="77777777">
        <w:trPr>
          <w:trHeight w:val="765"/>
          <w:tblHeader/>
        </w:trPr>
        <w:tc>
          <w:tcPr>
            <w:tcW w:w="366" w:type="pct"/>
            <w:shd w:val="clear" w:color="auto" w:fill="EBEBEB"/>
            <w:tcMar>
              <w:bottom w:w="0" w:type="dxa"/>
            </w:tcMar>
            <w:vAlign w:val="center"/>
          </w:tcPr>
          <w:p w14:paraId="2BEFF80B" w14:textId="77777777" w:rsidR="00046C48" w:rsidRDefault="00046C48">
            <w:pPr>
              <w:pStyle w:val="NoSpacing"/>
              <w:keepNext/>
              <w:keepLines/>
              <w:jc w:val="right"/>
            </w:pPr>
            <w:r w:rsidRPr="00A51374">
              <w:rPr>
                <w:noProof/>
              </w:rPr>
              <w:drawing>
                <wp:inline distT="0" distB="0" distL="0" distR="0" wp14:anchorId="54B1E16D" wp14:editId="4721F5F4">
                  <wp:extent cx="288000" cy="288000"/>
                  <wp:effectExtent l="0" t="0" r="0" b="0"/>
                  <wp:docPr id="208990844" name="Graphic 2089908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300B7F56" w14:textId="50810780" w:rsidR="00046C48" w:rsidRPr="002530FF" w:rsidRDefault="00046C48">
            <w:pPr>
              <w:pStyle w:val="FindingRecRequesttitle"/>
            </w:pPr>
            <w:r w:rsidRPr="000B0B71">
              <w:t>Information request</w:t>
            </w:r>
            <w:r>
              <w:t xml:space="preserve"> 2</w:t>
            </w:r>
            <w:r w:rsidRPr="00DF7217">
              <w:t>.</w:t>
            </w:r>
            <w:r w:rsidR="00F179F6">
              <w:t>1</w:t>
            </w:r>
          </w:p>
        </w:tc>
      </w:tr>
      <w:tr w:rsidR="00046C48" w:rsidRPr="00F179F6" w14:paraId="034F5525" w14:textId="77777777">
        <w:tc>
          <w:tcPr>
            <w:tcW w:w="5000" w:type="pct"/>
            <w:gridSpan w:val="2"/>
            <w:shd w:val="clear" w:color="auto" w:fill="EBEBEB"/>
          </w:tcPr>
          <w:p w14:paraId="38C07FA7" w14:textId="7154E00E" w:rsidR="00046C48" w:rsidRPr="00F179F6" w:rsidRDefault="00046C48" w:rsidP="00E11D04">
            <w:pPr>
              <w:pStyle w:val="ListBullet"/>
              <w:rPr>
                <w:color w:val="265A9A" w:themeColor="background2"/>
              </w:rPr>
            </w:pPr>
            <w:r w:rsidRPr="00F179F6">
              <w:rPr>
                <w:color w:val="265A9A" w:themeColor="background2"/>
              </w:rPr>
              <w:t>Do design</w:t>
            </w:r>
            <w:r w:rsidRPr="00F179F6">
              <w:rPr>
                <w:color w:val="265A9A" w:themeColor="background2"/>
              </w:rPr>
              <w:noBreakHyphen/>
              <w:t xml:space="preserve">focused regulations (e.g. tree canopy requirements, apartment layout and storage) directly impact commercially feasible capacity? </w:t>
            </w:r>
          </w:p>
          <w:p w14:paraId="4BEDF07A" w14:textId="77777777" w:rsidR="00046C48" w:rsidRPr="00F179F6" w:rsidRDefault="00046C48" w:rsidP="00E11D04">
            <w:pPr>
              <w:pStyle w:val="ListBullet"/>
              <w:rPr>
                <w:color w:val="265A9A" w:themeColor="background2"/>
              </w:rPr>
            </w:pPr>
            <w:r w:rsidRPr="00F179F6">
              <w:rPr>
                <w:color w:val="265A9A" w:themeColor="background2"/>
              </w:rPr>
              <w:t xml:space="preserve">What impact would </w:t>
            </w:r>
            <w:proofErr w:type="gramStart"/>
            <w:r w:rsidRPr="00F179F6">
              <w:rPr>
                <w:color w:val="265A9A" w:themeColor="background2"/>
              </w:rPr>
              <w:t>reducing</w:t>
            </w:r>
            <w:proofErr w:type="gramEnd"/>
            <w:r w:rsidRPr="00F179F6">
              <w:rPr>
                <w:color w:val="265A9A" w:themeColor="background2"/>
              </w:rPr>
              <w:t xml:space="preserve"> the coverage of heritage overlays have on housing supply? </w:t>
            </w:r>
          </w:p>
          <w:p w14:paraId="022F44C0" w14:textId="77777777" w:rsidR="00046C48" w:rsidRPr="00F179F6" w:rsidRDefault="00046C48" w:rsidP="00E11D04">
            <w:pPr>
              <w:pStyle w:val="ListBullet"/>
              <w:rPr>
                <w:color w:val="265A9A" w:themeColor="background2"/>
              </w:rPr>
            </w:pPr>
            <w:r w:rsidRPr="00F179F6">
              <w:rPr>
                <w:color w:val="265A9A" w:themeColor="background2"/>
              </w:rPr>
              <w:t>What land</w:t>
            </w:r>
            <w:r w:rsidRPr="00F179F6">
              <w:rPr>
                <w:color w:val="265A9A" w:themeColor="background2"/>
              </w:rPr>
              <w:noBreakHyphen/>
              <w:t xml:space="preserve">use controls need to change to enable more alternative dwelling types to be built? What impact would such reforms have on housing supply? </w:t>
            </w:r>
          </w:p>
          <w:p w14:paraId="6A6D37B7" w14:textId="77777777" w:rsidR="00046C48" w:rsidRPr="00F179F6" w:rsidRDefault="00046C48" w:rsidP="00E11D04">
            <w:pPr>
              <w:pStyle w:val="ListBullet"/>
              <w:rPr>
                <w:color w:val="265A9A" w:themeColor="background2"/>
              </w:rPr>
            </w:pPr>
            <w:r w:rsidRPr="00F179F6">
              <w:rPr>
                <w:color w:val="265A9A" w:themeColor="background2"/>
              </w:rPr>
              <w:t xml:space="preserve">Is there a need for further reforms to enable a greater supply of small secondary dwellings such as granny flats? </w:t>
            </w:r>
          </w:p>
          <w:p w14:paraId="7AFF49A3" w14:textId="77777777" w:rsidR="00046C48" w:rsidRPr="00F179F6" w:rsidRDefault="00046C48" w:rsidP="00E11D04">
            <w:pPr>
              <w:pStyle w:val="ListBullet"/>
              <w:rPr>
                <w:color w:val="265A9A" w:themeColor="background2"/>
              </w:rPr>
            </w:pPr>
            <w:r w:rsidRPr="00F179F6">
              <w:rPr>
                <w:color w:val="265A9A" w:themeColor="background2"/>
              </w:rPr>
              <w:t>Are there other land</w:t>
            </w:r>
            <w:r w:rsidRPr="00F179F6">
              <w:rPr>
                <w:color w:val="265A9A" w:themeColor="background2"/>
              </w:rPr>
              <w:noBreakHyphen/>
              <w:t>use controls which significantly impact supply?</w:t>
            </w:r>
          </w:p>
          <w:p w14:paraId="2EB8E11C" w14:textId="77777777" w:rsidR="00046C48" w:rsidRPr="00F179F6" w:rsidRDefault="00046C48" w:rsidP="00E11D04">
            <w:pPr>
              <w:pStyle w:val="ListBullet"/>
              <w:rPr>
                <w:color w:val="265A9A" w:themeColor="background2"/>
              </w:rPr>
            </w:pPr>
            <w:r w:rsidRPr="00F179F6">
              <w:rPr>
                <w:color w:val="265A9A" w:themeColor="background2"/>
              </w:rPr>
              <w:lastRenderedPageBreak/>
              <w:t xml:space="preserve">Can you provide information, data, or analysis on development cost stacks across different housing typologies and geographic areas (for example, construction cost information)? </w:t>
            </w:r>
          </w:p>
          <w:p w14:paraId="05A0C26C" w14:textId="77777777" w:rsidR="00046C48" w:rsidRPr="00F179F6" w:rsidRDefault="00046C48" w:rsidP="00E11D04">
            <w:pPr>
              <w:pStyle w:val="ListBullet"/>
              <w:rPr>
                <w:color w:val="265A9A" w:themeColor="background2"/>
              </w:rPr>
            </w:pPr>
            <w:r w:rsidRPr="00F179F6">
              <w:rPr>
                <w:color w:val="265A9A" w:themeColor="background2"/>
              </w:rPr>
              <w:t>Can you provide information, data, or analysis on the extent to which dense housing typologies differ in commercial feasibility (for example, comparisons between apartment and townhouse developments)?</w:t>
            </w:r>
          </w:p>
        </w:tc>
      </w:tr>
      <w:tr w:rsidR="00046C48" w14:paraId="3E98EED1" w14:textId="77777777">
        <w:tc>
          <w:tcPr>
            <w:tcW w:w="5000" w:type="pct"/>
            <w:gridSpan w:val="2"/>
            <w:tcMar>
              <w:bottom w:w="0" w:type="dxa"/>
            </w:tcMar>
          </w:tcPr>
          <w:p w14:paraId="158230DB" w14:textId="0F73415B" w:rsidR="00046C48" w:rsidRDefault="00046C48">
            <w:pPr>
              <w:pStyle w:val="NoSpacing"/>
              <w:spacing w:line="200" w:lineRule="atLeast"/>
            </w:pPr>
          </w:p>
        </w:tc>
      </w:tr>
    </w:tbl>
    <w:p w14:paraId="0C0EADAF" w14:textId="13B54329"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11C954AC" w14:textId="77777777">
        <w:trPr>
          <w:trHeight w:val="765"/>
          <w:tblHeader/>
        </w:trPr>
        <w:tc>
          <w:tcPr>
            <w:tcW w:w="366" w:type="pct"/>
            <w:shd w:val="clear" w:color="auto" w:fill="EBEBEB"/>
            <w:tcMar>
              <w:bottom w:w="0" w:type="dxa"/>
            </w:tcMar>
            <w:vAlign w:val="center"/>
          </w:tcPr>
          <w:p w14:paraId="2A29B950" w14:textId="77777777" w:rsidR="00046C48" w:rsidRDefault="00046C48">
            <w:pPr>
              <w:pStyle w:val="NoSpacing"/>
              <w:keepNext/>
              <w:keepLines/>
              <w:jc w:val="right"/>
            </w:pPr>
            <w:r w:rsidRPr="00A51374">
              <w:rPr>
                <w:noProof/>
              </w:rPr>
              <w:drawing>
                <wp:inline distT="0" distB="0" distL="0" distR="0" wp14:anchorId="7CE565EE" wp14:editId="078468EE">
                  <wp:extent cx="288000" cy="288000"/>
                  <wp:effectExtent l="0" t="0" r="0" b="0"/>
                  <wp:docPr id="75507659" name="Graphic 755076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1DB70862" w14:textId="2D4D29C2" w:rsidR="00046C48" w:rsidRPr="002530FF" w:rsidRDefault="00046C48">
            <w:pPr>
              <w:pStyle w:val="FindingRecRequesttitle"/>
            </w:pPr>
            <w:r w:rsidRPr="000B0B71">
              <w:t xml:space="preserve">Information request </w:t>
            </w:r>
            <w:r>
              <w:t>2</w:t>
            </w:r>
            <w:r w:rsidRPr="00DF7217">
              <w:t>.</w:t>
            </w:r>
            <w:r w:rsidR="00F179F6">
              <w:t>2</w:t>
            </w:r>
          </w:p>
        </w:tc>
      </w:tr>
      <w:tr w:rsidR="00046C48" w:rsidRPr="00F179F6" w14:paraId="3FCE3534" w14:textId="77777777">
        <w:tc>
          <w:tcPr>
            <w:tcW w:w="5000" w:type="pct"/>
            <w:gridSpan w:val="2"/>
            <w:shd w:val="clear" w:color="auto" w:fill="EBEBEB"/>
          </w:tcPr>
          <w:p w14:paraId="73C1FF62" w14:textId="77777777" w:rsidR="00046C48" w:rsidRPr="00F179F6" w:rsidRDefault="00046C48" w:rsidP="00E11D04">
            <w:pPr>
              <w:pStyle w:val="ListBullet"/>
              <w:rPr>
                <w:color w:val="265A9A" w:themeColor="background2"/>
              </w:rPr>
            </w:pPr>
            <w:r w:rsidRPr="00F179F6">
              <w:rPr>
                <w:color w:val="265A9A" w:themeColor="background2"/>
              </w:rPr>
              <w:t>Can you provide information, data or analysis on the degree to which available land is a barrier to new housing supply?</w:t>
            </w:r>
          </w:p>
          <w:p w14:paraId="746F3594" w14:textId="77777777" w:rsidR="00046C48" w:rsidRPr="00F179F6" w:rsidRDefault="00046C48" w:rsidP="00E11D04">
            <w:pPr>
              <w:pStyle w:val="ListBullet"/>
              <w:rPr>
                <w:color w:val="265A9A" w:themeColor="background2"/>
              </w:rPr>
            </w:pPr>
            <w:r w:rsidRPr="00F179F6">
              <w:rPr>
                <w:color w:val="265A9A" w:themeColor="background2"/>
              </w:rPr>
              <w:t>Can you provide examples of released land that has not been able to be developed for housing, and explain the barriers to development in these cases?</w:t>
            </w:r>
          </w:p>
          <w:p w14:paraId="69676D05" w14:textId="77777777" w:rsidR="00046C48" w:rsidRPr="00F179F6" w:rsidRDefault="00046C48" w:rsidP="00E11D04">
            <w:pPr>
              <w:pStyle w:val="ListBullet"/>
              <w:rPr>
                <w:color w:val="265A9A" w:themeColor="background2"/>
              </w:rPr>
            </w:pPr>
            <w:r w:rsidRPr="00F179F6">
              <w:rPr>
                <w:color w:val="265A9A" w:themeColor="background2"/>
              </w:rPr>
              <w:t>Would it be helpful for governments to report a land measure which distinguishes land that is zoned residential, from land that is serviced, approved, infrastructure-ready and commercially feasible to develop?</w:t>
            </w:r>
          </w:p>
        </w:tc>
      </w:tr>
      <w:tr w:rsidR="00046C48" w14:paraId="62D26B10" w14:textId="77777777">
        <w:tc>
          <w:tcPr>
            <w:tcW w:w="5000" w:type="pct"/>
            <w:gridSpan w:val="2"/>
            <w:tcMar>
              <w:bottom w:w="0" w:type="dxa"/>
            </w:tcMar>
          </w:tcPr>
          <w:p w14:paraId="64DBE44E" w14:textId="2BDE38BD" w:rsidR="00046C48" w:rsidRDefault="00046C48">
            <w:pPr>
              <w:pStyle w:val="NoSpacing"/>
              <w:spacing w:line="200" w:lineRule="atLeast"/>
            </w:pPr>
          </w:p>
        </w:tc>
      </w:tr>
    </w:tbl>
    <w:p w14:paraId="3D621FC7" w14:textId="5B8395CC"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7A27FFE6" w14:textId="77777777">
        <w:trPr>
          <w:trHeight w:val="765"/>
          <w:tblHeader/>
        </w:trPr>
        <w:tc>
          <w:tcPr>
            <w:tcW w:w="366" w:type="pct"/>
            <w:shd w:val="clear" w:color="auto" w:fill="EBEBEB"/>
            <w:tcMar>
              <w:bottom w:w="0" w:type="dxa"/>
            </w:tcMar>
            <w:vAlign w:val="center"/>
          </w:tcPr>
          <w:p w14:paraId="7869DC66" w14:textId="77777777" w:rsidR="00046C48" w:rsidRDefault="00046C48">
            <w:pPr>
              <w:pStyle w:val="NoSpacing"/>
              <w:keepNext/>
              <w:keepLines/>
              <w:jc w:val="right"/>
            </w:pPr>
            <w:r w:rsidRPr="00A51374">
              <w:rPr>
                <w:noProof/>
              </w:rPr>
              <w:drawing>
                <wp:inline distT="0" distB="0" distL="0" distR="0" wp14:anchorId="7DBA2389" wp14:editId="68F23DFF">
                  <wp:extent cx="288000" cy="288000"/>
                  <wp:effectExtent l="0" t="0" r="0" b="0"/>
                  <wp:docPr id="1049966433" name="Graphic 10499664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10391D5C" w14:textId="75BD75EC" w:rsidR="00046C48" w:rsidRPr="002530FF" w:rsidRDefault="00046C48">
            <w:pPr>
              <w:pStyle w:val="FindingRecRequesttitle"/>
            </w:pPr>
            <w:r w:rsidRPr="000B0B71">
              <w:t xml:space="preserve">Information request </w:t>
            </w:r>
            <w:r>
              <w:t>2</w:t>
            </w:r>
            <w:r w:rsidRPr="00DF7217">
              <w:t>.</w:t>
            </w:r>
            <w:r w:rsidR="00F179F6">
              <w:t>3</w:t>
            </w:r>
          </w:p>
        </w:tc>
      </w:tr>
      <w:tr w:rsidR="00046C48" w:rsidRPr="00F179F6" w14:paraId="15FC74B8" w14:textId="77777777">
        <w:tc>
          <w:tcPr>
            <w:tcW w:w="5000" w:type="pct"/>
            <w:gridSpan w:val="2"/>
            <w:shd w:val="clear" w:color="auto" w:fill="EBEBEB"/>
          </w:tcPr>
          <w:p w14:paraId="6B912492" w14:textId="77777777" w:rsidR="00046C48" w:rsidRPr="00F179F6" w:rsidRDefault="00046C48" w:rsidP="00E11D04">
            <w:pPr>
              <w:pStyle w:val="ListBullet"/>
              <w:rPr>
                <w:color w:val="265A9A" w:themeColor="background2"/>
              </w:rPr>
            </w:pPr>
            <w:r w:rsidRPr="00F179F6">
              <w:rPr>
                <w:color w:val="265A9A" w:themeColor="background2"/>
              </w:rPr>
              <w:t>What evidence do you have on which land</w:t>
            </w:r>
            <w:r w:rsidRPr="00F179F6">
              <w:rPr>
                <w:color w:val="265A9A" w:themeColor="background2"/>
              </w:rPr>
              <w:noBreakHyphen/>
              <w:t xml:space="preserve">use controls or combinations of controls are the greatest constraint on housing supply in your jurisdiction? </w:t>
            </w:r>
          </w:p>
          <w:p w14:paraId="3A34E55B" w14:textId="77777777" w:rsidR="00046C48" w:rsidRPr="00F179F6" w:rsidRDefault="00046C48" w:rsidP="00E11D04">
            <w:pPr>
              <w:pStyle w:val="ListBullet"/>
              <w:rPr>
                <w:color w:val="265A9A" w:themeColor="background2"/>
              </w:rPr>
            </w:pPr>
            <w:r w:rsidRPr="00F179F6">
              <w:rPr>
                <w:color w:val="265A9A" w:themeColor="background2"/>
              </w:rPr>
              <w:t>What reforms to land</w:t>
            </w:r>
            <w:r w:rsidRPr="00F179F6">
              <w:rPr>
                <w:color w:val="265A9A" w:themeColor="background2"/>
              </w:rPr>
              <w:noBreakHyphen/>
              <w:t>use controls are likely to boost housing supply in each jurisdiction? What are the expected impacts of reforms on zoned capacity, commercially feasible capacity and/or other measures of supply? What are the expected impacts on positive and negative externalities? We are particularly interested in quantitative evidence on reforms to minimum lot size and reducing coverage of broad heritage controls.</w:t>
            </w:r>
          </w:p>
          <w:p w14:paraId="1A4FB8B1" w14:textId="77777777" w:rsidR="00046C48" w:rsidRPr="00F179F6" w:rsidRDefault="00046C48" w:rsidP="00E11D04">
            <w:pPr>
              <w:pStyle w:val="ListBullet"/>
              <w:rPr>
                <w:color w:val="265A9A" w:themeColor="background2"/>
              </w:rPr>
            </w:pPr>
            <w:r w:rsidRPr="00F179F6">
              <w:rPr>
                <w:color w:val="265A9A" w:themeColor="background2"/>
              </w:rPr>
              <w:t>How should potential reforms be implemented? What does the evidence show about the effectiveness of past zoning and land</w:t>
            </w:r>
            <w:r w:rsidRPr="00F179F6">
              <w:rPr>
                <w:color w:val="265A9A" w:themeColor="background2"/>
              </w:rPr>
              <w:noBreakHyphen/>
              <w:t>use reforms in Australia?</w:t>
            </w:r>
          </w:p>
          <w:p w14:paraId="7F6D0F9A" w14:textId="77777777" w:rsidR="00046C48" w:rsidRPr="00F179F6" w:rsidRDefault="00046C48" w:rsidP="00E11D04">
            <w:pPr>
              <w:pStyle w:val="ListBullet"/>
              <w:rPr>
                <w:color w:val="265A9A" w:themeColor="background2"/>
              </w:rPr>
            </w:pPr>
            <w:r w:rsidRPr="00F179F6">
              <w:rPr>
                <w:color w:val="265A9A" w:themeColor="background2"/>
              </w:rPr>
              <w:t>What evidence do you have on the effects of mandatory and voluntary inclusionary zoning requirements for affordable housing on housing supply and affordability?</w:t>
            </w:r>
          </w:p>
        </w:tc>
      </w:tr>
      <w:tr w:rsidR="00046C48" w14:paraId="2494D67B" w14:textId="77777777">
        <w:tc>
          <w:tcPr>
            <w:tcW w:w="5000" w:type="pct"/>
            <w:gridSpan w:val="2"/>
            <w:tcMar>
              <w:bottom w:w="0" w:type="dxa"/>
            </w:tcMar>
          </w:tcPr>
          <w:p w14:paraId="11166E5E" w14:textId="621689CD" w:rsidR="00046C48" w:rsidRDefault="00046C48">
            <w:pPr>
              <w:pStyle w:val="NoSpacing"/>
              <w:spacing w:line="200" w:lineRule="atLeast"/>
            </w:pPr>
          </w:p>
        </w:tc>
      </w:tr>
    </w:tbl>
    <w:p w14:paraId="7CF4E759" w14:textId="10393622" w:rsidR="00D711F4" w:rsidRDefault="00D711F4">
      <w:pPr>
        <w:pStyle w:val="NoSpacing"/>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0084779D" w14:textId="77777777">
        <w:trPr>
          <w:trHeight w:val="765"/>
          <w:tblHeader/>
        </w:trPr>
        <w:tc>
          <w:tcPr>
            <w:tcW w:w="366" w:type="pct"/>
            <w:shd w:val="clear" w:color="auto" w:fill="EBEBEB"/>
            <w:tcMar>
              <w:bottom w:w="0" w:type="dxa"/>
            </w:tcMar>
            <w:vAlign w:val="center"/>
          </w:tcPr>
          <w:p w14:paraId="5A5C4A26" w14:textId="77777777" w:rsidR="00046C48" w:rsidRDefault="00046C48">
            <w:pPr>
              <w:pStyle w:val="NoSpacing"/>
              <w:keepNext/>
              <w:keepLines/>
              <w:jc w:val="right"/>
            </w:pPr>
            <w:r w:rsidRPr="00A51374">
              <w:rPr>
                <w:noProof/>
              </w:rPr>
              <w:lastRenderedPageBreak/>
              <w:drawing>
                <wp:inline distT="0" distB="0" distL="0" distR="0" wp14:anchorId="304149F6" wp14:editId="53BF328A">
                  <wp:extent cx="288000" cy="288000"/>
                  <wp:effectExtent l="0" t="0" r="0" b="0"/>
                  <wp:docPr id="216475357" name="Graphic 216475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219587B9" w14:textId="0E68C4F4" w:rsidR="00046C48" w:rsidRPr="002530FF" w:rsidRDefault="00046C48">
            <w:pPr>
              <w:pStyle w:val="FindingRecRequesttitle"/>
            </w:pPr>
            <w:r w:rsidRPr="000B0B71">
              <w:t xml:space="preserve">Information request </w:t>
            </w:r>
            <w:r>
              <w:t>3</w:t>
            </w:r>
            <w:r w:rsidRPr="00DF7217">
              <w:t>.</w:t>
            </w:r>
            <w:r w:rsidR="00315AE4">
              <w:t>1</w:t>
            </w:r>
          </w:p>
        </w:tc>
      </w:tr>
      <w:tr w:rsidR="00046C48" w:rsidRPr="00F179F6" w14:paraId="091B424A" w14:textId="77777777">
        <w:tc>
          <w:tcPr>
            <w:tcW w:w="5000" w:type="pct"/>
            <w:gridSpan w:val="2"/>
            <w:shd w:val="clear" w:color="auto" w:fill="EBEBEB"/>
          </w:tcPr>
          <w:p w14:paraId="74ED665F" w14:textId="77777777" w:rsidR="00046C48" w:rsidRPr="00F179F6" w:rsidRDefault="00046C48" w:rsidP="00E11D04">
            <w:pPr>
              <w:pStyle w:val="ListBullet"/>
              <w:rPr>
                <w:color w:val="265A9A" w:themeColor="background2"/>
              </w:rPr>
            </w:pPr>
            <w:r w:rsidRPr="00F179F6">
              <w:rPr>
                <w:color w:val="265A9A" w:themeColor="background2"/>
              </w:rPr>
              <w:t>What evidence do you have for the main causes of delays in receiving approvals for new housing?</w:t>
            </w:r>
          </w:p>
          <w:p w14:paraId="527D4E63" w14:textId="77777777" w:rsidR="00046C48" w:rsidRPr="00F179F6" w:rsidRDefault="00046C48" w:rsidP="00E11D04">
            <w:pPr>
              <w:pStyle w:val="ListBullet"/>
              <w:rPr>
                <w:color w:val="265A9A" w:themeColor="background2"/>
              </w:rPr>
            </w:pPr>
            <w:r w:rsidRPr="00F179F6">
              <w:rPr>
                <w:color w:val="265A9A" w:themeColor="background2"/>
              </w:rPr>
              <w:t>When is discretion useful in planning processes, and when is it not useful? Are there examples of subjective requirements that should be changed or removed to improve certainty for developers?</w:t>
            </w:r>
          </w:p>
          <w:p w14:paraId="2C35055B" w14:textId="77777777" w:rsidR="00046C48" w:rsidRPr="00F179F6" w:rsidRDefault="00046C48" w:rsidP="00E11D04">
            <w:pPr>
              <w:pStyle w:val="ListBullet"/>
              <w:rPr>
                <w:color w:val="265A9A" w:themeColor="background2"/>
              </w:rPr>
            </w:pPr>
            <w:r w:rsidRPr="00F179F6">
              <w:rPr>
                <w:color w:val="265A9A" w:themeColor="background2"/>
              </w:rPr>
              <w:t>How should third</w:t>
            </w:r>
            <w:r w:rsidRPr="00F179F6">
              <w:rPr>
                <w:color w:val="265A9A" w:themeColor="background2"/>
              </w:rPr>
              <w:noBreakHyphen/>
              <w:t>party appeal processes be changed to better balance the benefits they provide to community members and the uncertainty and delay costs they impose on developers?</w:t>
            </w:r>
          </w:p>
        </w:tc>
      </w:tr>
      <w:tr w:rsidR="00046C48" w14:paraId="7CBF6767" w14:textId="77777777">
        <w:tc>
          <w:tcPr>
            <w:tcW w:w="5000" w:type="pct"/>
            <w:gridSpan w:val="2"/>
            <w:tcMar>
              <w:bottom w:w="0" w:type="dxa"/>
            </w:tcMar>
          </w:tcPr>
          <w:p w14:paraId="75CAB645" w14:textId="647FABD4" w:rsidR="00046C48" w:rsidRDefault="00046C48">
            <w:pPr>
              <w:pStyle w:val="NoSpacing"/>
              <w:spacing w:line="200" w:lineRule="atLeast"/>
            </w:pPr>
          </w:p>
        </w:tc>
      </w:tr>
    </w:tbl>
    <w:p w14:paraId="55EEE1D0" w14:textId="5B21EBE6"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6E95360F" w14:textId="77777777">
        <w:trPr>
          <w:trHeight w:val="765"/>
          <w:tblHeader/>
        </w:trPr>
        <w:tc>
          <w:tcPr>
            <w:tcW w:w="366" w:type="pct"/>
            <w:shd w:val="clear" w:color="auto" w:fill="EBEBEB"/>
            <w:tcMar>
              <w:bottom w:w="0" w:type="dxa"/>
            </w:tcMar>
            <w:vAlign w:val="center"/>
          </w:tcPr>
          <w:p w14:paraId="4859CB18" w14:textId="77777777" w:rsidR="00046C48" w:rsidRDefault="00046C48">
            <w:pPr>
              <w:pStyle w:val="NoSpacing"/>
              <w:keepNext/>
              <w:keepLines/>
              <w:jc w:val="right"/>
            </w:pPr>
            <w:r w:rsidRPr="00A51374">
              <w:rPr>
                <w:noProof/>
              </w:rPr>
              <w:drawing>
                <wp:inline distT="0" distB="0" distL="0" distR="0" wp14:anchorId="6902BF9B" wp14:editId="297D9798">
                  <wp:extent cx="288000" cy="288000"/>
                  <wp:effectExtent l="0" t="0" r="0" b="0"/>
                  <wp:docPr id="1949126442" name="Graphic 19491264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37D12C17" w14:textId="1640AA26" w:rsidR="00046C48" w:rsidRPr="002530FF" w:rsidRDefault="00046C48">
            <w:pPr>
              <w:pStyle w:val="FindingRecRequesttitle"/>
            </w:pPr>
            <w:r w:rsidRPr="000B0B71">
              <w:t xml:space="preserve">Information request </w:t>
            </w:r>
            <w:r>
              <w:t>3</w:t>
            </w:r>
            <w:r w:rsidRPr="00DF7217">
              <w:t>.</w:t>
            </w:r>
            <w:r w:rsidR="00315AE4">
              <w:t>2</w:t>
            </w:r>
          </w:p>
        </w:tc>
      </w:tr>
      <w:tr w:rsidR="00046C48" w:rsidRPr="00F179F6" w14:paraId="0377A62C" w14:textId="77777777">
        <w:tc>
          <w:tcPr>
            <w:tcW w:w="5000" w:type="pct"/>
            <w:gridSpan w:val="2"/>
            <w:shd w:val="clear" w:color="auto" w:fill="EBEBEB"/>
          </w:tcPr>
          <w:p w14:paraId="6D47D721" w14:textId="77777777" w:rsidR="00046C48" w:rsidRPr="00F179F6" w:rsidRDefault="00046C48" w:rsidP="00E11D04">
            <w:pPr>
              <w:pStyle w:val="ListBullet"/>
              <w:rPr>
                <w:rStyle w:val="ColourDarkBlue"/>
              </w:rPr>
            </w:pPr>
            <w:r w:rsidRPr="00F179F6">
              <w:rPr>
                <w:rStyle w:val="ColourDarkBlue"/>
              </w:rPr>
              <w:t xml:space="preserve">Which specific requirements (for example specific reports or referrals to an agency) are most onerous to comply with when receiving a development approval? </w:t>
            </w:r>
          </w:p>
          <w:p w14:paraId="78150C97" w14:textId="77777777" w:rsidR="00046C48" w:rsidRPr="00F179F6" w:rsidRDefault="00046C48" w:rsidP="00E11D04">
            <w:pPr>
              <w:pStyle w:val="ListBullet"/>
              <w:rPr>
                <w:color w:val="265A9A" w:themeColor="background2"/>
              </w:rPr>
            </w:pPr>
            <w:r w:rsidRPr="00F179F6">
              <w:rPr>
                <w:rStyle w:val="ColourDarkBlue"/>
              </w:rPr>
              <w:t xml:space="preserve">Are there any requirements for development approval that should be removed? </w:t>
            </w:r>
            <w:r w:rsidRPr="00F179F6">
              <w:rPr>
                <w:color w:val="265A9A" w:themeColor="background2"/>
              </w:rPr>
              <w:t>In these cases, how should any risks be mitigated?</w:t>
            </w:r>
          </w:p>
          <w:p w14:paraId="5A90E395" w14:textId="77777777" w:rsidR="00046C48" w:rsidRPr="00F179F6" w:rsidRDefault="00046C48" w:rsidP="00E11D04">
            <w:pPr>
              <w:pStyle w:val="ListBullet"/>
              <w:rPr>
                <w:color w:val="265A9A" w:themeColor="background2"/>
              </w:rPr>
            </w:pPr>
            <w:r w:rsidRPr="00F179F6">
              <w:rPr>
                <w:color w:val="265A9A" w:themeColor="background2"/>
              </w:rPr>
              <w:t>What could each state and territory do, if anything, to improve the process for receiving subdivision approvals?</w:t>
            </w:r>
          </w:p>
        </w:tc>
      </w:tr>
      <w:tr w:rsidR="00046C48" w14:paraId="34FEC9D8" w14:textId="77777777">
        <w:tc>
          <w:tcPr>
            <w:tcW w:w="5000" w:type="pct"/>
            <w:gridSpan w:val="2"/>
            <w:tcMar>
              <w:bottom w:w="0" w:type="dxa"/>
            </w:tcMar>
          </w:tcPr>
          <w:p w14:paraId="202E8DB3" w14:textId="3F63B57D" w:rsidR="00046C48" w:rsidRDefault="00046C48">
            <w:pPr>
              <w:pStyle w:val="NoSpacing"/>
              <w:spacing w:line="200" w:lineRule="atLeast"/>
            </w:pPr>
          </w:p>
        </w:tc>
      </w:tr>
    </w:tbl>
    <w:p w14:paraId="2D9237B1" w14:textId="1363BDBE"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3EAFA6F0" w14:textId="77777777">
        <w:trPr>
          <w:trHeight w:val="765"/>
          <w:tblHeader/>
        </w:trPr>
        <w:tc>
          <w:tcPr>
            <w:tcW w:w="366" w:type="pct"/>
            <w:shd w:val="clear" w:color="auto" w:fill="EBEBEB"/>
            <w:tcMar>
              <w:bottom w:w="0" w:type="dxa"/>
            </w:tcMar>
            <w:vAlign w:val="center"/>
          </w:tcPr>
          <w:p w14:paraId="5D6F3B12" w14:textId="77777777" w:rsidR="00046C48" w:rsidRDefault="00046C48">
            <w:pPr>
              <w:pStyle w:val="NoSpacing"/>
              <w:keepNext/>
              <w:keepLines/>
              <w:jc w:val="right"/>
            </w:pPr>
            <w:r w:rsidRPr="00A51374">
              <w:rPr>
                <w:noProof/>
              </w:rPr>
              <w:drawing>
                <wp:inline distT="0" distB="0" distL="0" distR="0" wp14:anchorId="522D667A" wp14:editId="32C1425E">
                  <wp:extent cx="288000" cy="288000"/>
                  <wp:effectExtent l="0" t="0" r="0" b="0"/>
                  <wp:docPr id="1836776044" name="Graphic 1836776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0F39FD1B" w14:textId="77777777" w:rsidR="00046C48" w:rsidRPr="002530FF" w:rsidRDefault="00046C48">
            <w:pPr>
              <w:pStyle w:val="FindingRecRequesttitle"/>
            </w:pPr>
            <w:r w:rsidRPr="000B0B71">
              <w:t xml:space="preserve">Information request </w:t>
            </w:r>
            <w:r>
              <w:t>3</w:t>
            </w:r>
            <w:r w:rsidRPr="00DF7217">
              <w:t>.</w:t>
            </w:r>
            <w:r>
              <w:t>3</w:t>
            </w:r>
          </w:p>
        </w:tc>
      </w:tr>
      <w:tr w:rsidR="00046C48" w:rsidRPr="00F179F6" w14:paraId="08C5CC9A" w14:textId="77777777">
        <w:tc>
          <w:tcPr>
            <w:tcW w:w="5000" w:type="pct"/>
            <w:gridSpan w:val="2"/>
            <w:shd w:val="clear" w:color="auto" w:fill="EBEBEB"/>
          </w:tcPr>
          <w:p w14:paraId="73A40C84" w14:textId="77777777" w:rsidR="00046C48" w:rsidRPr="00F179F6" w:rsidRDefault="00046C48" w:rsidP="00E11D04">
            <w:pPr>
              <w:pStyle w:val="ListBullet"/>
              <w:rPr>
                <w:color w:val="265A9A" w:themeColor="background2"/>
              </w:rPr>
            </w:pPr>
            <w:r w:rsidRPr="00F179F6">
              <w:rPr>
                <w:rStyle w:val="ColourDarkBlue"/>
              </w:rPr>
              <w:t xml:space="preserve">Is improving the coordination of the approvals process a higher or lower priority than reforms to reduce the amount of approval requirements? </w:t>
            </w:r>
          </w:p>
          <w:p w14:paraId="77812128" w14:textId="77777777" w:rsidR="00046C48" w:rsidRPr="0083069E" w:rsidRDefault="00046C48" w:rsidP="00E11D04">
            <w:pPr>
              <w:pStyle w:val="ListBullet"/>
              <w:rPr>
                <w:rStyle w:val="ColourDarkBlue"/>
              </w:rPr>
            </w:pPr>
            <w:r w:rsidRPr="0083069E">
              <w:rPr>
                <w:rStyle w:val="ColourDarkBlue"/>
              </w:rPr>
              <w:t>Are there any examples of where coordination bodies are or are not working? What are the features of coordination bodies which make them successful?</w:t>
            </w:r>
          </w:p>
          <w:p w14:paraId="2FE1E974" w14:textId="77777777" w:rsidR="00046C48" w:rsidRPr="00F179F6" w:rsidRDefault="00046C48" w:rsidP="00E11D04">
            <w:pPr>
              <w:pStyle w:val="ListBullet"/>
              <w:rPr>
                <w:color w:val="265A9A" w:themeColor="background2"/>
              </w:rPr>
            </w:pPr>
            <w:r w:rsidRPr="00F179F6">
              <w:rPr>
                <w:color w:val="265A9A" w:themeColor="background2"/>
              </w:rPr>
              <w:t>How effectively are reforms to planning rules, such as SA’s Planning and Design Code and Victoria’s Clause 55, working to make approvals more certain?</w:t>
            </w:r>
          </w:p>
        </w:tc>
      </w:tr>
      <w:tr w:rsidR="00046C48" w14:paraId="67BFFEB0" w14:textId="77777777">
        <w:tc>
          <w:tcPr>
            <w:tcW w:w="5000" w:type="pct"/>
            <w:gridSpan w:val="2"/>
            <w:tcMar>
              <w:bottom w:w="0" w:type="dxa"/>
            </w:tcMar>
          </w:tcPr>
          <w:p w14:paraId="2746F209" w14:textId="7472E36F" w:rsidR="00046C48" w:rsidRDefault="00046C48">
            <w:pPr>
              <w:pStyle w:val="NoSpacing"/>
              <w:spacing w:line="200" w:lineRule="atLeast"/>
            </w:pPr>
          </w:p>
        </w:tc>
      </w:tr>
    </w:tbl>
    <w:p w14:paraId="4B9A815A" w14:textId="7EEC746B" w:rsidR="00C2170E" w:rsidRDefault="00C2170E">
      <w:pPr>
        <w:pStyle w:val="NoSpacing"/>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6E4CC6BE" w14:textId="77777777">
        <w:trPr>
          <w:trHeight w:val="765"/>
          <w:tblHeader/>
        </w:trPr>
        <w:tc>
          <w:tcPr>
            <w:tcW w:w="366" w:type="pct"/>
            <w:shd w:val="clear" w:color="auto" w:fill="EBEBEB"/>
            <w:tcMar>
              <w:bottom w:w="0" w:type="dxa"/>
            </w:tcMar>
            <w:vAlign w:val="center"/>
          </w:tcPr>
          <w:p w14:paraId="01612441" w14:textId="77777777" w:rsidR="00046C48" w:rsidRDefault="00046C48">
            <w:pPr>
              <w:pStyle w:val="NoSpacing"/>
              <w:keepNext/>
              <w:keepLines/>
              <w:jc w:val="right"/>
            </w:pPr>
            <w:r w:rsidRPr="00A51374">
              <w:rPr>
                <w:noProof/>
              </w:rPr>
              <w:lastRenderedPageBreak/>
              <w:drawing>
                <wp:inline distT="0" distB="0" distL="0" distR="0" wp14:anchorId="3B1BE724" wp14:editId="387F257F">
                  <wp:extent cx="288000" cy="288000"/>
                  <wp:effectExtent l="0" t="0" r="0" b="0"/>
                  <wp:docPr id="506089629" name="Graphic 506089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06B87AD4" w14:textId="77777777" w:rsidR="00046C48" w:rsidRPr="002530FF" w:rsidRDefault="00046C48">
            <w:pPr>
              <w:pStyle w:val="FindingRecRequesttitle"/>
            </w:pPr>
            <w:r w:rsidRPr="000B0B71">
              <w:t xml:space="preserve">Information request </w:t>
            </w:r>
            <w:r>
              <w:t>3</w:t>
            </w:r>
            <w:r w:rsidRPr="00DF7217">
              <w:t>.</w:t>
            </w:r>
            <w:r>
              <w:t>4</w:t>
            </w:r>
          </w:p>
        </w:tc>
      </w:tr>
      <w:tr w:rsidR="00046C48" w:rsidRPr="0083069E" w14:paraId="7C4A1B8C" w14:textId="77777777">
        <w:tc>
          <w:tcPr>
            <w:tcW w:w="5000" w:type="pct"/>
            <w:gridSpan w:val="2"/>
            <w:shd w:val="clear" w:color="auto" w:fill="EBEBEB"/>
          </w:tcPr>
          <w:p w14:paraId="1271676B" w14:textId="77777777" w:rsidR="00046C48" w:rsidRPr="0083069E" w:rsidRDefault="00046C48" w:rsidP="00E11D04">
            <w:pPr>
              <w:pStyle w:val="ListBullet"/>
              <w:rPr>
                <w:color w:val="265A9A" w:themeColor="background2"/>
              </w:rPr>
            </w:pPr>
            <w:r w:rsidRPr="0083069E">
              <w:rPr>
                <w:color w:val="265A9A" w:themeColor="background2"/>
              </w:rPr>
              <w:t>What examples are there of best</w:t>
            </w:r>
            <w:r w:rsidRPr="0083069E">
              <w:rPr>
                <w:color w:val="265A9A" w:themeColor="background2"/>
              </w:rPr>
              <w:noBreakHyphen/>
              <w:t xml:space="preserve">practice strategic planning improving the process for housing approval decisions at a state, territory or local government level? </w:t>
            </w:r>
          </w:p>
          <w:p w14:paraId="23991D75" w14:textId="77777777" w:rsidR="00046C48" w:rsidRPr="0083069E" w:rsidRDefault="00046C48" w:rsidP="00E11D04">
            <w:pPr>
              <w:pStyle w:val="ListBullet"/>
              <w:rPr>
                <w:color w:val="265A9A" w:themeColor="background2"/>
              </w:rPr>
            </w:pPr>
            <w:r w:rsidRPr="0083069E">
              <w:rPr>
                <w:color w:val="265A9A" w:themeColor="background2"/>
              </w:rPr>
              <w:t>Do the features of tiered assessments we have identified match best</w:t>
            </w:r>
            <w:r w:rsidRPr="0083069E">
              <w:rPr>
                <w:color w:val="265A9A" w:themeColor="background2"/>
              </w:rPr>
              <w:noBreakHyphen/>
              <w:t>practice? What sort of developments should be included in each tier?</w:t>
            </w:r>
          </w:p>
          <w:p w14:paraId="440BE413" w14:textId="77777777" w:rsidR="00046C48" w:rsidRPr="0083069E" w:rsidRDefault="00046C48" w:rsidP="00E11D04">
            <w:pPr>
              <w:pStyle w:val="ListBullet"/>
              <w:rPr>
                <w:color w:val="265A9A" w:themeColor="background2"/>
              </w:rPr>
            </w:pPr>
            <w:r w:rsidRPr="0083069E">
              <w:rPr>
                <w:color w:val="265A9A" w:themeColor="background2"/>
              </w:rPr>
              <w:t>How effective has technology including AI been where it has been used to assist with approvals? How can it be better utilised?</w:t>
            </w:r>
          </w:p>
          <w:p w14:paraId="17398D30" w14:textId="77777777" w:rsidR="00046C48" w:rsidRPr="0083069E" w:rsidRDefault="00046C48" w:rsidP="00E11D04">
            <w:pPr>
              <w:pStyle w:val="ListBullet"/>
              <w:rPr>
                <w:color w:val="265A9A" w:themeColor="background2"/>
                <w:spacing w:val="-4"/>
              </w:rPr>
            </w:pPr>
            <w:r w:rsidRPr="0083069E">
              <w:rPr>
                <w:color w:val="265A9A" w:themeColor="background2"/>
                <w:spacing w:val="-4"/>
              </w:rPr>
              <w:t>What are the best ways to enhance how states and territories track the timing and burden of approvals?</w:t>
            </w:r>
          </w:p>
          <w:p w14:paraId="15EA2D93" w14:textId="77777777" w:rsidR="00046C48" w:rsidRPr="0083069E" w:rsidRDefault="00046C48" w:rsidP="00E11D04">
            <w:pPr>
              <w:pStyle w:val="ListBullet"/>
              <w:rPr>
                <w:color w:val="265A9A" w:themeColor="background2"/>
                <w:spacing w:val="-4"/>
              </w:rPr>
            </w:pPr>
            <w:r w:rsidRPr="0083069E">
              <w:rPr>
                <w:color w:val="265A9A" w:themeColor="background2"/>
                <w:spacing w:val="-4"/>
              </w:rPr>
              <w:t xml:space="preserve">What reforms should each state and territory prioritise to reduce the burden of the approvals process? </w:t>
            </w:r>
          </w:p>
          <w:p w14:paraId="53E330A6" w14:textId="77777777" w:rsidR="00046C48" w:rsidRPr="0083069E" w:rsidRDefault="00046C48" w:rsidP="00E11D04">
            <w:pPr>
              <w:pStyle w:val="ListBullet"/>
              <w:rPr>
                <w:color w:val="265A9A" w:themeColor="background2"/>
              </w:rPr>
            </w:pPr>
            <w:r w:rsidRPr="0083069E">
              <w:rPr>
                <w:color w:val="265A9A" w:themeColor="background2"/>
              </w:rPr>
              <w:t>How can federal, state and territory governments incentivise councils to approve developments efficiently, and encourage those that are slow or are obstructing approval pathways?</w:t>
            </w:r>
          </w:p>
          <w:p w14:paraId="4DCE3EC0" w14:textId="77777777" w:rsidR="00046C48" w:rsidRPr="0083069E" w:rsidRDefault="00046C48" w:rsidP="00E11D04">
            <w:pPr>
              <w:pStyle w:val="ListBullet"/>
              <w:rPr>
                <w:color w:val="265A9A" w:themeColor="background2"/>
              </w:rPr>
            </w:pPr>
            <w:r w:rsidRPr="0083069E">
              <w:rPr>
                <w:color w:val="265A9A" w:themeColor="background2"/>
              </w:rPr>
              <w:t>What evidence is there about the benefits of including social and affordable housing in state</w:t>
            </w:r>
            <w:r w:rsidRPr="0083069E">
              <w:rPr>
                <w:color w:val="265A9A" w:themeColor="background2"/>
              </w:rPr>
              <w:noBreakHyphen/>
              <w:t>significant, or other streamlined, pathways?</w:t>
            </w:r>
          </w:p>
        </w:tc>
      </w:tr>
      <w:tr w:rsidR="00046C48" w14:paraId="6F9A1E15" w14:textId="77777777">
        <w:tc>
          <w:tcPr>
            <w:tcW w:w="5000" w:type="pct"/>
            <w:gridSpan w:val="2"/>
            <w:tcMar>
              <w:bottom w:w="0" w:type="dxa"/>
            </w:tcMar>
          </w:tcPr>
          <w:p w14:paraId="420FB4DB" w14:textId="3129ACE4" w:rsidR="00046C48" w:rsidRDefault="00046C48">
            <w:pPr>
              <w:pStyle w:val="NoSpacing"/>
              <w:spacing w:line="200" w:lineRule="atLeast"/>
            </w:pPr>
          </w:p>
        </w:tc>
      </w:tr>
    </w:tbl>
    <w:p w14:paraId="0680F462" w14:textId="260B82DE"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58BEA313" w14:textId="77777777">
        <w:trPr>
          <w:trHeight w:val="765"/>
          <w:tblHeader/>
        </w:trPr>
        <w:tc>
          <w:tcPr>
            <w:tcW w:w="366" w:type="pct"/>
            <w:shd w:val="clear" w:color="auto" w:fill="EBEBEB"/>
            <w:tcMar>
              <w:bottom w:w="0" w:type="dxa"/>
            </w:tcMar>
            <w:vAlign w:val="center"/>
          </w:tcPr>
          <w:p w14:paraId="1C2C04AF" w14:textId="77777777" w:rsidR="00046C48" w:rsidRDefault="00046C48">
            <w:pPr>
              <w:pStyle w:val="NoSpacing"/>
              <w:keepNext/>
              <w:keepLines/>
              <w:jc w:val="right"/>
            </w:pPr>
            <w:r w:rsidRPr="00A51374">
              <w:rPr>
                <w:noProof/>
              </w:rPr>
              <w:drawing>
                <wp:inline distT="0" distB="0" distL="0" distR="0" wp14:anchorId="00CE55AD" wp14:editId="06B98DD7">
                  <wp:extent cx="288000" cy="288000"/>
                  <wp:effectExtent l="0" t="0" r="0" b="0"/>
                  <wp:docPr id="142345638" name="Graphic 1423456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5FBC6013" w14:textId="33F461CF" w:rsidR="00046C48" w:rsidRPr="002530FF" w:rsidRDefault="00046C48">
            <w:pPr>
              <w:pStyle w:val="FindingRecRequesttitle"/>
            </w:pPr>
            <w:r w:rsidRPr="000B0B71">
              <w:t xml:space="preserve">Information request </w:t>
            </w:r>
            <w:r>
              <w:t>4</w:t>
            </w:r>
            <w:r w:rsidRPr="00DF7217">
              <w:t>.</w:t>
            </w:r>
            <w:r w:rsidR="00315AE4">
              <w:t>1</w:t>
            </w:r>
          </w:p>
        </w:tc>
      </w:tr>
      <w:tr w:rsidR="00046C48" w:rsidRPr="0083069E" w14:paraId="4F843638" w14:textId="77777777">
        <w:tc>
          <w:tcPr>
            <w:tcW w:w="5000" w:type="pct"/>
            <w:gridSpan w:val="2"/>
            <w:shd w:val="clear" w:color="auto" w:fill="EBEBEB"/>
          </w:tcPr>
          <w:p w14:paraId="2482F881" w14:textId="77777777" w:rsidR="00046C48" w:rsidRPr="0083069E" w:rsidRDefault="00046C48" w:rsidP="00E11D04">
            <w:pPr>
              <w:pStyle w:val="ListBullet"/>
              <w:rPr>
                <w:color w:val="265A9A" w:themeColor="background2"/>
              </w:rPr>
            </w:pPr>
            <w:r w:rsidRPr="0083069E">
              <w:rPr>
                <w:color w:val="265A9A" w:themeColor="background2"/>
              </w:rPr>
              <w:t>What reforms are required to infrastructure planning and coordination to support more timely utility connections? To what extent is there misalignment of incentives between each level of government and infrastructure service providers?</w:t>
            </w:r>
          </w:p>
        </w:tc>
      </w:tr>
      <w:tr w:rsidR="00046C48" w14:paraId="6CABF441" w14:textId="77777777">
        <w:tc>
          <w:tcPr>
            <w:tcW w:w="5000" w:type="pct"/>
            <w:gridSpan w:val="2"/>
            <w:tcMar>
              <w:bottom w:w="0" w:type="dxa"/>
            </w:tcMar>
          </w:tcPr>
          <w:p w14:paraId="1E20D584" w14:textId="22A83892" w:rsidR="00046C48" w:rsidRDefault="00046C48">
            <w:pPr>
              <w:pStyle w:val="NoSpacing"/>
              <w:spacing w:line="200" w:lineRule="atLeast"/>
            </w:pPr>
          </w:p>
        </w:tc>
      </w:tr>
    </w:tbl>
    <w:p w14:paraId="1BC65082" w14:textId="4A6D1A98"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4EDF0DD8" w14:textId="77777777">
        <w:trPr>
          <w:trHeight w:val="765"/>
          <w:tblHeader/>
        </w:trPr>
        <w:tc>
          <w:tcPr>
            <w:tcW w:w="366" w:type="pct"/>
            <w:shd w:val="clear" w:color="auto" w:fill="EBEBEB"/>
            <w:tcMar>
              <w:bottom w:w="0" w:type="dxa"/>
            </w:tcMar>
            <w:vAlign w:val="center"/>
          </w:tcPr>
          <w:p w14:paraId="220B5E79" w14:textId="77777777" w:rsidR="00046C48" w:rsidRDefault="00046C48">
            <w:pPr>
              <w:pStyle w:val="NoSpacing"/>
              <w:keepNext/>
              <w:keepLines/>
              <w:jc w:val="right"/>
            </w:pPr>
            <w:r w:rsidRPr="00A51374">
              <w:rPr>
                <w:noProof/>
              </w:rPr>
              <w:drawing>
                <wp:inline distT="0" distB="0" distL="0" distR="0" wp14:anchorId="1783293B" wp14:editId="1DD17D49">
                  <wp:extent cx="288000" cy="288000"/>
                  <wp:effectExtent l="0" t="0" r="0" b="0"/>
                  <wp:docPr id="440849119" name="Graphic 440849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29341A3B" w14:textId="77777777" w:rsidR="00046C48" w:rsidRPr="002530FF" w:rsidRDefault="00046C48">
            <w:pPr>
              <w:pStyle w:val="FindingRecRequesttitle"/>
            </w:pPr>
            <w:r w:rsidRPr="000B0B71">
              <w:t xml:space="preserve">Information request </w:t>
            </w:r>
            <w:r>
              <w:t>4.2</w:t>
            </w:r>
          </w:p>
        </w:tc>
      </w:tr>
      <w:tr w:rsidR="00046C48" w:rsidRPr="0083069E" w14:paraId="5F8801F9" w14:textId="77777777">
        <w:tc>
          <w:tcPr>
            <w:tcW w:w="5000" w:type="pct"/>
            <w:gridSpan w:val="2"/>
            <w:shd w:val="clear" w:color="auto" w:fill="EBEBEB"/>
          </w:tcPr>
          <w:p w14:paraId="5E22EB16" w14:textId="77777777" w:rsidR="00046C48" w:rsidRPr="0083069E" w:rsidRDefault="00046C48" w:rsidP="00E11D04">
            <w:pPr>
              <w:pStyle w:val="ListBullet"/>
              <w:rPr>
                <w:color w:val="265A9A" w:themeColor="background2"/>
              </w:rPr>
            </w:pPr>
            <w:r w:rsidRPr="0083069E">
              <w:rPr>
                <w:color w:val="265A9A" w:themeColor="background2"/>
              </w:rPr>
              <w:t>What feedback do you have on our reform directions for infrastructure planning? To what extent will these resolve the planning coordination issues and address constraints to housing supply?</w:t>
            </w:r>
          </w:p>
          <w:p w14:paraId="7CA1A01A" w14:textId="77777777" w:rsidR="00046C48" w:rsidRPr="0083069E" w:rsidRDefault="00046C48" w:rsidP="00E11D04">
            <w:pPr>
              <w:pStyle w:val="ListBullet"/>
              <w:rPr>
                <w:color w:val="265A9A" w:themeColor="background2"/>
                <w:spacing w:val="-2"/>
              </w:rPr>
            </w:pPr>
            <w:r w:rsidRPr="0083069E">
              <w:rPr>
                <w:color w:val="265A9A" w:themeColor="background2"/>
                <w:spacing w:val="-2"/>
              </w:rPr>
              <w:t>How should reforms to infrastructure planning be implemented and what are the main challenges?</w:t>
            </w:r>
          </w:p>
        </w:tc>
      </w:tr>
      <w:tr w:rsidR="00046C48" w14:paraId="1D320550" w14:textId="77777777">
        <w:tc>
          <w:tcPr>
            <w:tcW w:w="5000" w:type="pct"/>
            <w:gridSpan w:val="2"/>
            <w:tcMar>
              <w:bottom w:w="0" w:type="dxa"/>
            </w:tcMar>
          </w:tcPr>
          <w:p w14:paraId="7FC0A976" w14:textId="56A227A9" w:rsidR="00046C48" w:rsidRDefault="00046C48">
            <w:pPr>
              <w:pStyle w:val="NoSpacing"/>
              <w:spacing w:line="200" w:lineRule="atLeast"/>
            </w:pPr>
          </w:p>
        </w:tc>
      </w:tr>
    </w:tbl>
    <w:p w14:paraId="230281D7" w14:textId="7BFC5695"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445CD41B" w14:textId="77777777">
        <w:trPr>
          <w:trHeight w:val="765"/>
          <w:tblHeader/>
        </w:trPr>
        <w:tc>
          <w:tcPr>
            <w:tcW w:w="366" w:type="pct"/>
            <w:shd w:val="clear" w:color="auto" w:fill="EBEBEB"/>
            <w:tcMar>
              <w:bottom w:w="0" w:type="dxa"/>
            </w:tcMar>
            <w:vAlign w:val="center"/>
          </w:tcPr>
          <w:p w14:paraId="323BDC4A" w14:textId="77777777" w:rsidR="00046C48" w:rsidRDefault="00046C48">
            <w:pPr>
              <w:pStyle w:val="NoSpacing"/>
              <w:keepNext/>
              <w:keepLines/>
              <w:jc w:val="right"/>
            </w:pPr>
            <w:r w:rsidRPr="00A51374">
              <w:rPr>
                <w:noProof/>
              </w:rPr>
              <w:drawing>
                <wp:inline distT="0" distB="0" distL="0" distR="0" wp14:anchorId="08C0283C" wp14:editId="4ED4454C">
                  <wp:extent cx="288000" cy="288000"/>
                  <wp:effectExtent l="0" t="0" r="0" b="0"/>
                  <wp:docPr id="665552072" name="Graphic 6655520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3D7ECBCA" w14:textId="77777777" w:rsidR="00046C48" w:rsidRPr="002530FF" w:rsidRDefault="00046C48">
            <w:pPr>
              <w:pStyle w:val="FindingRecRequesttitle"/>
            </w:pPr>
            <w:r w:rsidRPr="000B0B71">
              <w:t xml:space="preserve">Information request </w:t>
            </w:r>
            <w:r>
              <w:t>4.3</w:t>
            </w:r>
          </w:p>
        </w:tc>
      </w:tr>
      <w:tr w:rsidR="00046C48" w:rsidRPr="0083069E" w14:paraId="55344563" w14:textId="77777777">
        <w:tc>
          <w:tcPr>
            <w:tcW w:w="5000" w:type="pct"/>
            <w:gridSpan w:val="2"/>
            <w:shd w:val="clear" w:color="auto" w:fill="EBEBEB"/>
          </w:tcPr>
          <w:p w14:paraId="3841F3D7" w14:textId="77777777" w:rsidR="00046C48" w:rsidRPr="0083069E" w:rsidRDefault="00046C48" w:rsidP="00E11D04">
            <w:pPr>
              <w:pStyle w:val="ListBullet"/>
              <w:rPr>
                <w:color w:val="265A9A" w:themeColor="background2"/>
              </w:rPr>
            </w:pPr>
            <w:r w:rsidRPr="0083069E">
              <w:rPr>
                <w:color w:val="265A9A" w:themeColor="background2"/>
              </w:rPr>
              <w:t>How can governments balance the need to support feasibility for developers by collecting developer contributions later in the development process, with a need for upfront funding to kickstart infrastructure to support new housing?</w:t>
            </w:r>
          </w:p>
        </w:tc>
      </w:tr>
      <w:tr w:rsidR="00046C48" w14:paraId="0A5D176C" w14:textId="77777777">
        <w:tc>
          <w:tcPr>
            <w:tcW w:w="5000" w:type="pct"/>
            <w:gridSpan w:val="2"/>
            <w:tcMar>
              <w:bottom w:w="0" w:type="dxa"/>
            </w:tcMar>
          </w:tcPr>
          <w:p w14:paraId="5156CF57" w14:textId="1A927AA8" w:rsidR="00046C48" w:rsidRDefault="00046C48">
            <w:pPr>
              <w:pStyle w:val="NoSpacing"/>
              <w:spacing w:line="200" w:lineRule="atLeast"/>
            </w:pPr>
          </w:p>
        </w:tc>
      </w:tr>
    </w:tbl>
    <w:p w14:paraId="30584368" w14:textId="20755D09"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17C66F91" w14:textId="77777777">
        <w:trPr>
          <w:trHeight w:val="765"/>
          <w:tblHeader/>
        </w:trPr>
        <w:tc>
          <w:tcPr>
            <w:tcW w:w="366" w:type="pct"/>
            <w:shd w:val="clear" w:color="auto" w:fill="EBEBEB"/>
            <w:tcMar>
              <w:bottom w:w="0" w:type="dxa"/>
            </w:tcMar>
            <w:vAlign w:val="center"/>
          </w:tcPr>
          <w:p w14:paraId="451EB6F6" w14:textId="77777777" w:rsidR="00046C48" w:rsidRDefault="00046C48">
            <w:pPr>
              <w:pStyle w:val="NoSpacing"/>
              <w:keepNext/>
              <w:keepLines/>
              <w:jc w:val="right"/>
            </w:pPr>
            <w:r w:rsidRPr="00A51374">
              <w:rPr>
                <w:noProof/>
              </w:rPr>
              <w:lastRenderedPageBreak/>
              <w:drawing>
                <wp:inline distT="0" distB="0" distL="0" distR="0" wp14:anchorId="40735F58" wp14:editId="251D9653">
                  <wp:extent cx="288000" cy="288000"/>
                  <wp:effectExtent l="0" t="0" r="0" b="0"/>
                  <wp:docPr id="857397114" name="Graphic 857397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465DCE76" w14:textId="77777777" w:rsidR="00046C48" w:rsidRPr="002530FF" w:rsidRDefault="00046C48">
            <w:pPr>
              <w:pStyle w:val="FindingRecRequesttitle"/>
            </w:pPr>
            <w:r w:rsidRPr="000B0B71">
              <w:t xml:space="preserve">Information request </w:t>
            </w:r>
            <w:r>
              <w:t>4</w:t>
            </w:r>
            <w:r w:rsidRPr="00DF7217">
              <w:t>.</w:t>
            </w:r>
            <w:r>
              <w:t>4</w:t>
            </w:r>
          </w:p>
        </w:tc>
      </w:tr>
      <w:tr w:rsidR="00046C48" w:rsidRPr="0083069E" w14:paraId="384BFAC2" w14:textId="77777777">
        <w:tc>
          <w:tcPr>
            <w:tcW w:w="5000" w:type="pct"/>
            <w:gridSpan w:val="2"/>
            <w:shd w:val="clear" w:color="auto" w:fill="EBEBEB"/>
          </w:tcPr>
          <w:p w14:paraId="32B2DA54" w14:textId="77777777" w:rsidR="00046C48" w:rsidRPr="0083069E" w:rsidRDefault="00046C48" w:rsidP="00E11D04">
            <w:pPr>
              <w:pStyle w:val="ListBullet"/>
              <w:rPr>
                <w:color w:val="265A9A" w:themeColor="background2"/>
              </w:rPr>
            </w:pPr>
            <w:r w:rsidRPr="0083069E">
              <w:rPr>
                <w:color w:val="265A9A" w:themeColor="background2"/>
              </w:rPr>
              <w:t xml:space="preserve">Are our directions for improving developer contribution frameworks addressing key infrastructure challenges that will support housing supply? What evidence or case studies support this? </w:t>
            </w:r>
          </w:p>
          <w:p w14:paraId="126E9B64" w14:textId="77777777" w:rsidR="00046C48" w:rsidRPr="0083069E" w:rsidRDefault="00046C48" w:rsidP="00E11D04">
            <w:pPr>
              <w:pStyle w:val="ListBullet"/>
              <w:rPr>
                <w:color w:val="265A9A" w:themeColor="background2"/>
              </w:rPr>
            </w:pPr>
            <w:r w:rsidRPr="0083069E">
              <w:rPr>
                <w:color w:val="265A9A" w:themeColor="background2"/>
              </w:rPr>
              <w:t>How should reforms be designed to overcome the implementation challenges including determining nexus, fair apportionment, accurate upfront cost estimates for infrastructure, timing and funding sequencing, and first mover disadvantages?</w:t>
            </w:r>
          </w:p>
        </w:tc>
      </w:tr>
      <w:tr w:rsidR="00046C48" w14:paraId="03755C86" w14:textId="77777777">
        <w:tc>
          <w:tcPr>
            <w:tcW w:w="5000" w:type="pct"/>
            <w:gridSpan w:val="2"/>
            <w:tcMar>
              <w:bottom w:w="0" w:type="dxa"/>
            </w:tcMar>
          </w:tcPr>
          <w:p w14:paraId="55DFBD7E" w14:textId="517EE914" w:rsidR="00046C48" w:rsidRDefault="00046C48">
            <w:pPr>
              <w:pStyle w:val="NoSpacing"/>
              <w:spacing w:line="200" w:lineRule="atLeast"/>
            </w:pPr>
          </w:p>
        </w:tc>
      </w:tr>
    </w:tbl>
    <w:p w14:paraId="486B3AAD" w14:textId="4F6956BD"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7CEBC205" w14:textId="77777777">
        <w:trPr>
          <w:trHeight w:val="765"/>
          <w:tblHeader/>
        </w:trPr>
        <w:tc>
          <w:tcPr>
            <w:tcW w:w="366" w:type="pct"/>
            <w:shd w:val="clear" w:color="auto" w:fill="EBEBEB"/>
            <w:tcMar>
              <w:bottom w:w="0" w:type="dxa"/>
            </w:tcMar>
            <w:vAlign w:val="center"/>
          </w:tcPr>
          <w:p w14:paraId="54B6C8F3" w14:textId="77777777" w:rsidR="00046C48" w:rsidRDefault="00046C48">
            <w:pPr>
              <w:pStyle w:val="NoSpacing"/>
              <w:keepNext/>
              <w:keepLines/>
              <w:jc w:val="right"/>
            </w:pPr>
            <w:r w:rsidRPr="00A51374">
              <w:rPr>
                <w:noProof/>
              </w:rPr>
              <w:drawing>
                <wp:inline distT="0" distB="0" distL="0" distR="0" wp14:anchorId="7B1CC272" wp14:editId="195C7685">
                  <wp:extent cx="288000" cy="288000"/>
                  <wp:effectExtent l="0" t="0" r="0" b="0"/>
                  <wp:docPr id="600904310" name="Graphic 6009043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034804C6" w14:textId="531E776D" w:rsidR="00046C48" w:rsidRPr="002530FF" w:rsidRDefault="00046C48">
            <w:pPr>
              <w:pStyle w:val="FindingRecRequesttitle"/>
            </w:pPr>
            <w:r w:rsidRPr="000B0B71">
              <w:t>Information request</w:t>
            </w:r>
            <w:r>
              <w:t xml:space="preserve"> 4</w:t>
            </w:r>
            <w:r w:rsidRPr="00DF7217">
              <w:t>.</w:t>
            </w:r>
            <w:r w:rsidR="00315AE4">
              <w:t>5</w:t>
            </w:r>
          </w:p>
        </w:tc>
      </w:tr>
      <w:tr w:rsidR="00046C48" w:rsidRPr="0083069E" w14:paraId="58D971F9" w14:textId="77777777">
        <w:tc>
          <w:tcPr>
            <w:tcW w:w="5000" w:type="pct"/>
            <w:gridSpan w:val="2"/>
            <w:shd w:val="clear" w:color="auto" w:fill="EBEBEB"/>
          </w:tcPr>
          <w:p w14:paraId="7B7F2C75" w14:textId="77777777" w:rsidR="00046C48" w:rsidRPr="0083069E" w:rsidRDefault="00046C48" w:rsidP="00E11D04">
            <w:pPr>
              <w:pStyle w:val="ListBullet"/>
              <w:rPr>
                <w:color w:val="265A9A" w:themeColor="background2"/>
                <w:spacing w:val="-2"/>
              </w:rPr>
            </w:pPr>
            <w:r w:rsidRPr="0083069E">
              <w:rPr>
                <w:color w:val="265A9A" w:themeColor="background2"/>
                <w:spacing w:val="-2"/>
              </w:rPr>
              <w:t>Are our proposed roles for the Australian Government in supporting housing</w:t>
            </w:r>
            <w:r w:rsidRPr="0083069E">
              <w:rPr>
                <w:color w:val="265A9A" w:themeColor="background2"/>
                <w:spacing w:val="-2"/>
              </w:rPr>
              <w:noBreakHyphen/>
              <w:t>enabling infrastructure useful and appropriate to support new housing? What other roles should we consider?</w:t>
            </w:r>
          </w:p>
        </w:tc>
      </w:tr>
      <w:tr w:rsidR="00046C48" w14:paraId="0AE1D732" w14:textId="77777777">
        <w:tc>
          <w:tcPr>
            <w:tcW w:w="5000" w:type="pct"/>
            <w:gridSpan w:val="2"/>
            <w:tcMar>
              <w:bottom w:w="0" w:type="dxa"/>
            </w:tcMar>
          </w:tcPr>
          <w:p w14:paraId="28F645D5" w14:textId="173182EE" w:rsidR="00046C48" w:rsidRDefault="00046C48">
            <w:pPr>
              <w:pStyle w:val="NoSpacing"/>
              <w:spacing w:line="200" w:lineRule="atLeast"/>
            </w:pPr>
          </w:p>
        </w:tc>
      </w:tr>
    </w:tbl>
    <w:p w14:paraId="15095256" w14:textId="6A6C83BA" w:rsidR="00046C48" w:rsidRDefault="00046C48">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46C48" w14:paraId="590FAA36" w14:textId="77777777">
        <w:trPr>
          <w:trHeight w:val="765"/>
          <w:tblHeader/>
        </w:trPr>
        <w:tc>
          <w:tcPr>
            <w:tcW w:w="366" w:type="pct"/>
            <w:shd w:val="clear" w:color="auto" w:fill="EBEBEB"/>
            <w:tcMar>
              <w:bottom w:w="0" w:type="dxa"/>
            </w:tcMar>
            <w:vAlign w:val="center"/>
          </w:tcPr>
          <w:p w14:paraId="21A8776C" w14:textId="77777777" w:rsidR="00046C48" w:rsidRDefault="00046C48">
            <w:pPr>
              <w:pStyle w:val="NoSpacing"/>
              <w:keepNext/>
              <w:keepLines/>
              <w:jc w:val="right"/>
            </w:pPr>
            <w:r w:rsidRPr="00A51374">
              <w:rPr>
                <w:noProof/>
              </w:rPr>
              <w:drawing>
                <wp:inline distT="0" distB="0" distL="0" distR="0" wp14:anchorId="0B3B7D66" wp14:editId="0446648F">
                  <wp:extent cx="288000" cy="288000"/>
                  <wp:effectExtent l="0" t="0" r="0" b="0"/>
                  <wp:docPr id="1778301687" name="Graphic 1778301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56FA3D54" w14:textId="6FACDFDB" w:rsidR="00046C48" w:rsidRPr="002530FF" w:rsidRDefault="00046C48">
            <w:pPr>
              <w:pStyle w:val="FindingRecRequesttitle"/>
            </w:pPr>
            <w:r w:rsidRPr="000B0B71">
              <w:t xml:space="preserve">Information request </w:t>
            </w:r>
            <w:r>
              <w:t>5</w:t>
            </w:r>
            <w:r w:rsidRPr="00DF7217">
              <w:t>.</w:t>
            </w:r>
            <w:r w:rsidR="00315AE4">
              <w:t>1</w:t>
            </w:r>
          </w:p>
        </w:tc>
      </w:tr>
      <w:tr w:rsidR="00046C48" w:rsidRPr="0083069E" w14:paraId="3E269033" w14:textId="77777777">
        <w:tc>
          <w:tcPr>
            <w:tcW w:w="5000" w:type="pct"/>
            <w:gridSpan w:val="2"/>
            <w:shd w:val="clear" w:color="auto" w:fill="EBEBEB"/>
          </w:tcPr>
          <w:p w14:paraId="4901CCA2" w14:textId="77777777" w:rsidR="00046C48" w:rsidRPr="0083069E" w:rsidRDefault="00046C48" w:rsidP="00E11D04">
            <w:pPr>
              <w:pStyle w:val="ListBullet"/>
              <w:rPr>
                <w:color w:val="265A9A" w:themeColor="background2"/>
              </w:rPr>
            </w:pPr>
            <w:r w:rsidRPr="0083069E">
              <w:rPr>
                <w:color w:val="265A9A" w:themeColor="background2"/>
              </w:rPr>
              <w:t xml:space="preserve">Which of the reform directions will be relatively easy or hard to implement and why? Are there any examples of ‘quick wins’ that could be achieved? </w:t>
            </w:r>
          </w:p>
          <w:p w14:paraId="651435B8" w14:textId="77777777" w:rsidR="00046C48" w:rsidRPr="0083069E" w:rsidRDefault="00046C48" w:rsidP="00E11D04">
            <w:pPr>
              <w:pStyle w:val="ListBullet"/>
              <w:rPr>
                <w:color w:val="265A9A" w:themeColor="background2"/>
              </w:rPr>
            </w:pPr>
            <w:r w:rsidRPr="0083069E">
              <w:rPr>
                <w:color w:val="265A9A" w:themeColor="background2"/>
              </w:rPr>
              <w:t>Are there any co</w:t>
            </w:r>
            <w:r w:rsidRPr="0083069E">
              <w:rPr>
                <w:color w:val="265A9A" w:themeColor="background2"/>
              </w:rPr>
              <w:noBreakHyphen/>
              <w:t>dependencies or sequencing considerations across the reform directions?</w:t>
            </w:r>
          </w:p>
          <w:p w14:paraId="535DD000" w14:textId="77777777" w:rsidR="00046C48" w:rsidRPr="0083069E" w:rsidRDefault="00046C48" w:rsidP="00E11D04">
            <w:pPr>
              <w:pStyle w:val="ListBullet"/>
              <w:rPr>
                <w:color w:val="265A9A" w:themeColor="background2"/>
              </w:rPr>
            </w:pPr>
            <w:r w:rsidRPr="0083069E">
              <w:rPr>
                <w:color w:val="265A9A" w:themeColor="background2"/>
              </w:rPr>
              <w:t>How can the Australian Government ensure housing regulatory system reform is implemented in a manner that supports all governments’ commitments under the National Agreement on Closing the Gap?</w:t>
            </w:r>
          </w:p>
          <w:p w14:paraId="51016904" w14:textId="77777777" w:rsidR="00046C48" w:rsidRPr="0083069E" w:rsidRDefault="00046C48" w:rsidP="00E11D04">
            <w:pPr>
              <w:pStyle w:val="ListBullet"/>
              <w:rPr>
                <w:color w:val="265A9A" w:themeColor="background2"/>
              </w:rPr>
            </w:pPr>
            <w:r w:rsidRPr="0083069E">
              <w:rPr>
                <w:color w:val="265A9A" w:themeColor="background2"/>
              </w:rPr>
              <w:t>How can the Australian Government best support state and territory and local governments to shift housing regulatory systems towards best practice?</w:t>
            </w:r>
          </w:p>
        </w:tc>
      </w:tr>
      <w:tr w:rsidR="00046C48" w14:paraId="31D1D292" w14:textId="77777777">
        <w:tc>
          <w:tcPr>
            <w:tcW w:w="5000" w:type="pct"/>
            <w:gridSpan w:val="2"/>
            <w:tcMar>
              <w:bottom w:w="0" w:type="dxa"/>
            </w:tcMar>
          </w:tcPr>
          <w:p w14:paraId="6876D4E2" w14:textId="60067233" w:rsidR="00046C48" w:rsidRDefault="00046C48">
            <w:pPr>
              <w:pStyle w:val="NoSpacing"/>
              <w:spacing w:line="200" w:lineRule="atLeast"/>
            </w:pPr>
          </w:p>
        </w:tc>
      </w:tr>
    </w:tbl>
    <w:p w14:paraId="2CC48BE1" w14:textId="77777777" w:rsidR="00046C48" w:rsidRDefault="00046C48">
      <w:pPr>
        <w:pStyle w:val="BodyText"/>
      </w:pPr>
    </w:p>
    <w:p w14:paraId="50D81829" w14:textId="77777777" w:rsidR="002E1C0B" w:rsidRDefault="002E1C0B">
      <w:pPr>
        <w:pStyle w:val="BodyText"/>
      </w:pPr>
    </w:p>
    <w:p w14:paraId="5378F1A4" w14:textId="77777777" w:rsidR="000A2D7A" w:rsidRDefault="000A2D7A" w:rsidP="00E76EEC">
      <w:pPr>
        <w:pStyle w:val="BodyText"/>
        <w:sectPr w:rsidR="000A2D7A" w:rsidSect="00CB7BE1">
          <w:headerReference w:type="even" r:id="rId56"/>
          <w:headerReference w:type="default" r:id="rId57"/>
          <w:footerReference w:type="even" r:id="rId58"/>
          <w:footerReference w:type="default" r:id="rId59"/>
          <w:headerReference w:type="first" r:id="rId60"/>
          <w:pgSz w:w="11906" w:h="16838" w:code="9"/>
          <w:pgMar w:top="1134" w:right="1134" w:bottom="1134" w:left="1134" w:header="794" w:footer="510" w:gutter="0"/>
          <w:cols w:space="708"/>
          <w:docGrid w:linePitch="360"/>
        </w:sectPr>
      </w:pPr>
    </w:p>
    <w:p w14:paraId="0B51721D" w14:textId="77777777" w:rsidR="000A2D7A" w:rsidRDefault="000A2D7A">
      <w:pPr>
        <w:pStyle w:val="Heading1"/>
      </w:pPr>
      <w:bookmarkStart w:id="16" w:name="_Toc235103139"/>
      <w:r>
        <w:lastRenderedPageBreak/>
        <w:t>Best practice for housing regulatory systems</w:t>
      </w:r>
      <w:bookmarkEnd w:id="16"/>
    </w:p>
    <w:tbl>
      <w:tblPr>
        <w:tblStyle w:val="Texttable-Paleblue"/>
        <w:tblW w:w="5000" w:type="pct"/>
        <w:shd w:val="clear" w:color="auto" w:fill="E7F6FD"/>
        <w:tblLook w:val="04A0" w:firstRow="1" w:lastRow="0" w:firstColumn="1" w:lastColumn="0" w:noHBand="0" w:noVBand="1"/>
      </w:tblPr>
      <w:tblGrid>
        <w:gridCol w:w="577"/>
        <w:gridCol w:w="9061"/>
      </w:tblGrid>
      <w:tr w:rsidR="000A2D7A" w:rsidRPr="002F759A" w14:paraId="099C08D8" w14:textId="77777777">
        <w:tc>
          <w:tcPr>
            <w:tcW w:w="9638" w:type="dxa"/>
            <w:gridSpan w:val="2"/>
            <w:shd w:val="clear" w:color="auto" w:fill="E7F6FD"/>
            <w:tcMar>
              <w:left w:w="170" w:type="dxa"/>
            </w:tcMar>
          </w:tcPr>
          <w:p w14:paraId="4E93727D" w14:textId="77777777" w:rsidR="000A2D7A" w:rsidRPr="002F759A" w:rsidRDefault="000A2D7A">
            <w:pPr>
              <w:pStyle w:val="Keypoints-heading"/>
            </w:pPr>
            <w:r w:rsidRPr="002F759A">
              <w:t>Key points</w:t>
            </w:r>
          </w:p>
        </w:tc>
      </w:tr>
      <w:tr w:rsidR="000A2D7A" w14:paraId="0215E924" w14:textId="77777777">
        <w:tc>
          <w:tcPr>
            <w:tcW w:w="577" w:type="dxa"/>
            <w:shd w:val="clear" w:color="auto" w:fill="E7F6FD"/>
            <w:tcMar>
              <w:top w:w="0" w:type="dxa"/>
              <w:bottom w:w="0" w:type="dxa"/>
              <w:right w:w="113" w:type="dxa"/>
            </w:tcMar>
          </w:tcPr>
          <w:p w14:paraId="420BFB5E" w14:textId="77777777" w:rsidR="000A2D7A" w:rsidRPr="00A51374" w:rsidRDefault="000A2D7A">
            <w:pPr>
              <w:pStyle w:val="KeyPointsicon"/>
              <w:rPr>
                <w:noProof/>
              </w:rPr>
            </w:pPr>
            <w:r w:rsidRPr="00A51374">
              <w:rPr>
                <w:noProof/>
              </w:rPr>
              <w:drawing>
                <wp:inline distT="0" distB="0" distL="0" distR="0" wp14:anchorId="5077680D" wp14:editId="0FDFACEB">
                  <wp:extent cx="180000" cy="180000"/>
                  <wp:effectExtent l="0" t="0" r="0" b="0"/>
                  <wp:docPr id="1349729650" name="Graphic 13497296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0B72821" w14:textId="77777777" w:rsidR="000A2D7A" w:rsidRPr="0083069E" w:rsidRDefault="000A2D7A">
            <w:pPr>
              <w:pStyle w:val="KeyPoints-Bold"/>
              <w:rPr>
                <w:spacing w:val="-2"/>
              </w:rPr>
            </w:pPr>
            <w:r w:rsidRPr="0083069E">
              <w:rPr>
                <w:spacing w:val="-2"/>
              </w:rPr>
              <w:t xml:space="preserve">Housing regulatory systems do not adequately consider the effects of regulation on housing supply. </w:t>
            </w:r>
          </w:p>
          <w:p w14:paraId="6D8B51CD" w14:textId="77777777" w:rsidR="000A2D7A" w:rsidRPr="00E1596A" w:rsidRDefault="000A2D7A">
            <w:pPr>
              <w:pStyle w:val="KeyPoints-Bullet"/>
            </w:pPr>
            <w:r w:rsidRPr="00E1596A">
              <w:t xml:space="preserve">Governments need to regulate housing to ensure it is safe, good quality and liveable. </w:t>
            </w:r>
          </w:p>
          <w:p w14:paraId="14CE212F" w14:textId="77777777" w:rsidR="000A2D7A" w:rsidRPr="00E1596A" w:rsidRDefault="000A2D7A">
            <w:pPr>
              <w:pStyle w:val="KeyPoints-Bullet"/>
            </w:pPr>
            <w:r w:rsidRPr="00E1596A">
              <w:t>However</w:t>
            </w:r>
            <w:r>
              <w:t>,</w:t>
            </w:r>
            <w:r w:rsidRPr="00E1596A">
              <w:t xml:space="preserve"> too much or unnecessary regulation can stifle housing supply. Long approval timeframes and regulatory burden can impede development, and some regulations may prevent it all together. </w:t>
            </w:r>
          </w:p>
          <w:p w14:paraId="42DBB75B" w14:textId="77777777" w:rsidR="000A2D7A" w:rsidRPr="00704996" w:rsidRDefault="000A2D7A">
            <w:pPr>
              <w:pStyle w:val="KeyPoints-Bullet"/>
            </w:pPr>
            <w:r w:rsidRPr="00E1596A">
              <w:t>The number and interaction of different regulatory requirements can also affect housing supply.</w:t>
            </w:r>
            <w:r>
              <w:t xml:space="preserve"> </w:t>
            </w:r>
          </w:p>
        </w:tc>
      </w:tr>
      <w:tr w:rsidR="000A2D7A" w14:paraId="1B1F2227" w14:textId="77777777">
        <w:tc>
          <w:tcPr>
            <w:tcW w:w="577" w:type="dxa"/>
            <w:shd w:val="clear" w:color="auto" w:fill="E7F6FD"/>
            <w:tcMar>
              <w:top w:w="0" w:type="dxa"/>
              <w:bottom w:w="0" w:type="dxa"/>
              <w:right w:w="113" w:type="dxa"/>
            </w:tcMar>
          </w:tcPr>
          <w:p w14:paraId="1D9DBDB5" w14:textId="77777777" w:rsidR="000A2D7A" w:rsidRDefault="000A2D7A">
            <w:pPr>
              <w:pStyle w:val="KeyPointsicon"/>
            </w:pPr>
            <w:r w:rsidRPr="00A51374">
              <w:rPr>
                <w:noProof/>
              </w:rPr>
              <w:drawing>
                <wp:inline distT="0" distB="0" distL="0" distR="0" wp14:anchorId="12F95FF5" wp14:editId="03E2F068">
                  <wp:extent cx="180000" cy="180000"/>
                  <wp:effectExtent l="0" t="0" r="0" b="0"/>
                  <wp:docPr id="1050108621" name="Graphic 1050108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7838200" w14:textId="77777777" w:rsidR="000A2D7A" w:rsidRDefault="000A2D7A">
            <w:pPr>
              <w:pStyle w:val="KeyPoints-Bold"/>
            </w:pPr>
            <w:r>
              <w:t xml:space="preserve">A best practice housing regulatory system should enable enough housing to meet people’s needs in the places where it delivers the greatest net benefit to the Australian community. It should balance economic, social, cultural and environmental outcomes, and give weight to the interests of both current and future residents. </w:t>
            </w:r>
          </w:p>
        </w:tc>
      </w:tr>
      <w:tr w:rsidR="000A2D7A" w14:paraId="05CE2B5C" w14:textId="77777777">
        <w:tc>
          <w:tcPr>
            <w:tcW w:w="577" w:type="dxa"/>
            <w:shd w:val="clear" w:color="auto" w:fill="E7F6FD"/>
            <w:tcMar>
              <w:top w:w="0" w:type="dxa"/>
              <w:bottom w:w="0" w:type="dxa"/>
              <w:right w:w="113" w:type="dxa"/>
            </w:tcMar>
          </w:tcPr>
          <w:p w14:paraId="146DF814" w14:textId="77777777" w:rsidR="000A2D7A" w:rsidRPr="00A51374" w:rsidRDefault="000A2D7A">
            <w:pPr>
              <w:pStyle w:val="KeyPointsicon"/>
            </w:pPr>
            <w:r w:rsidRPr="00F31E73">
              <w:rPr>
                <w:noProof/>
              </w:rPr>
              <w:drawing>
                <wp:inline distT="0" distB="0" distL="0" distR="0" wp14:anchorId="342D7450" wp14:editId="4ED3F32F">
                  <wp:extent cx="180000" cy="180000"/>
                  <wp:effectExtent l="0" t="0" r="0" b="0"/>
                  <wp:docPr id="138447382" name="Graphic 1384473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59D2DCCC" w14:textId="77777777" w:rsidR="000A2D7A" w:rsidRDefault="000A2D7A">
            <w:pPr>
              <w:pStyle w:val="KeyPoints-Bold"/>
            </w:pPr>
            <w:r>
              <w:t>Australian governments should adopt best practice regulation for housing and planning systems. This means governments should:</w:t>
            </w:r>
          </w:p>
          <w:p w14:paraId="096D6D88" w14:textId="77777777" w:rsidR="000A2D7A" w:rsidRPr="00E1596A" w:rsidRDefault="000A2D7A">
            <w:pPr>
              <w:pStyle w:val="KeyPoints-Bullet"/>
            </w:pPr>
            <w:r w:rsidRPr="00E1596A">
              <w:rPr>
                <w:b/>
                <w:bCs/>
              </w:rPr>
              <w:t>adopt a ‘build’ mindset:</w:t>
            </w:r>
            <w:r w:rsidRPr="00E1596A">
              <w:t xml:space="preserve"> only restrict the location and form of development whe</w:t>
            </w:r>
            <w:r>
              <w:t>re</w:t>
            </w:r>
            <w:r w:rsidRPr="00E1596A">
              <w:t xml:space="preserve"> the benefits of doing so outweigh the costs, including the impact on housing supply and affordability</w:t>
            </w:r>
          </w:p>
          <w:p w14:paraId="460FB1B4" w14:textId="77777777" w:rsidR="000A2D7A" w:rsidRPr="00E1596A" w:rsidRDefault="000A2D7A">
            <w:pPr>
              <w:pStyle w:val="KeyPoints-Bullet"/>
            </w:pPr>
            <w:r w:rsidRPr="00E1596A">
              <w:rPr>
                <w:b/>
                <w:bCs/>
              </w:rPr>
              <w:t>only regulate when necessary:</w:t>
            </w:r>
            <w:r w:rsidRPr="00E1596A">
              <w:t xml:space="preserve"> only regulate housing design features when there are clear market failures, and allow households to choose and pay for other features they value</w:t>
            </w:r>
          </w:p>
          <w:p w14:paraId="6321222D" w14:textId="77777777" w:rsidR="000A2D7A" w:rsidRPr="00E1596A" w:rsidRDefault="000A2D7A">
            <w:pPr>
              <w:pStyle w:val="KeyPoints-Bullet"/>
            </w:pPr>
            <w:r w:rsidRPr="00E1596A">
              <w:rPr>
                <w:b/>
                <w:bCs/>
              </w:rPr>
              <w:t>coordinate with infrastructure:</w:t>
            </w:r>
            <w:r w:rsidRPr="00E1596A">
              <w:t xml:space="preserve"> plan housing and infrastructure together so new development is supported by the infrastructure it needs, with clear and efficient rules for developer contributions</w:t>
            </w:r>
          </w:p>
          <w:p w14:paraId="092905BF" w14:textId="77777777" w:rsidR="000A2D7A" w:rsidRPr="00704996" w:rsidRDefault="000A2D7A">
            <w:pPr>
              <w:pStyle w:val="KeyPoints-Bullet"/>
            </w:pPr>
            <w:r w:rsidRPr="00E1596A">
              <w:rPr>
                <w:b/>
                <w:bCs/>
              </w:rPr>
              <w:t>keep the process simple:</w:t>
            </w:r>
            <w:r w:rsidRPr="00E1596A">
              <w:t xml:space="preserve"> make planning decisions timely, predictable and simple by setting clear decision pathways, limiting discretion where possible and aligning with broader housing goals.</w:t>
            </w:r>
            <w:r w:rsidRPr="00704996">
              <w:t xml:space="preserve"> </w:t>
            </w:r>
          </w:p>
        </w:tc>
      </w:tr>
    </w:tbl>
    <w:p w14:paraId="51621A06" w14:textId="77777777" w:rsidR="000A2D7A" w:rsidRDefault="000A2D7A">
      <w:pPr>
        <w:pStyle w:val="Heading2"/>
      </w:pPr>
      <w:r>
        <w:br w:type="column"/>
      </w:r>
      <w:bookmarkStart w:id="17" w:name="_Toc235103140"/>
      <w:r>
        <w:lastRenderedPageBreak/>
        <w:t>Government regulation affects housing supply</w:t>
      </w:r>
      <w:bookmarkEnd w:id="17"/>
    </w:p>
    <w:p w14:paraId="3B8D3B76" w14:textId="77777777" w:rsidR="000A2D7A" w:rsidRDefault="000A2D7A">
      <w:pPr>
        <w:pStyle w:val="Heading3"/>
      </w:pPr>
      <w:r>
        <w:t>Why governments regulate housing development</w:t>
      </w:r>
    </w:p>
    <w:p w14:paraId="342EEB32" w14:textId="77777777" w:rsidR="000A2D7A" w:rsidRDefault="000A2D7A">
      <w:pPr>
        <w:pStyle w:val="BodyText"/>
      </w:pPr>
      <w:r>
        <w:t>Regulation helps ensure homes are safe to live in, connected to essential infrastructure and built to withstand natural disasters such as floods and fires. Where a site has cultural or historical significance, regulation can help preserve it for the future.</w:t>
      </w:r>
    </w:p>
    <w:p w14:paraId="0701A207" w14:textId="77777777" w:rsidR="000A2D7A" w:rsidRDefault="000A2D7A">
      <w:pPr>
        <w:pStyle w:val="BodyText"/>
      </w:pPr>
      <w:r>
        <w:t>A key role for regulation is to account for externalities. Externalities are costs or benefits of an activity that do not directly affect the parties involved in the activity and therefore are not accounted for by the price paid in the market</w:t>
      </w:r>
      <w:r w:rsidDel="00E81F1D">
        <w:t>.</w:t>
      </w:r>
      <w:r w:rsidDel="009F4DF5">
        <w:t xml:space="preserve"> </w:t>
      </w:r>
      <w:r>
        <w:t>These can be both negative (such as increased air pollution) or positive (additional infrastructure and local amenities).</w:t>
      </w:r>
      <w:r w:rsidRPr="00185363">
        <w:t xml:space="preserve"> </w:t>
      </w:r>
      <w:r>
        <w:t>For example, new development can increase demand on the transport network, increasing congestion for other residents of the neighbourhood. Regulation can help ensure that externalities and their trade</w:t>
      </w:r>
      <w:r>
        <w:noBreakHyphen/>
        <w:t>offs are appropriately considered in decision</w:t>
      </w:r>
      <w:r>
        <w:noBreakHyphen/>
        <w:t>making.</w:t>
      </w:r>
    </w:p>
    <w:p w14:paraId="64B1973F" w14:textId="77777777" w:rsidR="000A2D7A" w:rsidRDefault="000A2D7A">
      <w:pPr>
        <w:pStyle w:val="BodyText"/>
      </w:pPr>
      <w:r>
        <w:t>Regulation also helps</w:t>
      </w:r>
      <w:r w:rsidDel="00B30707">
        <w:t xml:space="preserve"> </w:t>
      </w:r>
      <w:r>
        <w:t>account for ‘information asymmetries’ – the features of a home that prospective residents cannot see and readily assess themselves. For example, even with a pre</w:t>
      </w:r>
      <w:r>
        <w:noBreakHyphen/>
        <w:t xml:space="preserve">purchase building inspection, most buyers cannot assess whether the electrical wiring in a home is safe and correctly installed. Regulation gives buyers the information they need to decide how much they wish to pay for a </w:t>
      </w:r>
      <w:proofErr w:type="gramStart"/>
      <w:r>
        <w:t>home, and</w:t>
      </w:r>
      <w:proofErr w:type="gramEnd"/>
      <w:r>
        <w:t xml:space="preserve"> be assured that it is safe and of appropriate quality.</w:t>
      </w:r>
    </w:p>
    <w:p w14:paraId="0C042847" w14:textId="77777777" w:rsidR="000A2D7A" w:rsidRDefault="000A2D7A">
      <w:pPr>
        <w:pStyle w:val="Heading4"/>
      </w:pPr>
      <w:r>
        <w:t>All levels of government have a role in housing regulatory systems</w:t>
      </w:r>
    </w:p>
    <w:p w14:paraId="1689DDD9" w14:textId="77777777" w:rsidR="000A2D7A" w:rsidRDefault="000A2D7A">
      <w:pPr>
        <w:pStyle w:val="BodyText"/>
      </w:pPr>
      <w:r>
        <w:t>All Australian governments play a role in determining how much housing can be built by setting regulations that affect how land can be used for housing, how infrastructure is coordinated and how developments are assessed and approved through planning systems. While variations exist between jurisdictions, broad planning responsibilities for each level of government are shown in figure 1.1.</w:t>
      </w:r>
    </w:p>
    <w:p w14:paraId="42108E32" w14:textId="77777777" w:rsidR="000A2D7A" w:rsidRDefault="000A2D7A">
      <w:pPr>
        <w:pStyle w:val="FigureTableHeading"/>
      </w:pPr>
      <w:r>
        <w:t>Figure 1.1 Planning responsibilities at each level of government</w:t>
      </w:r>
    </w:p>
    <w:p w14:paraId="102BEF21" w14:textId="71EFE630" w:rsidR="000A2D7A" w:rsidRDefault="009721D2" w:rsidP="00AA0FF2">
      <w:pPr>
        <w:pStyle w:val="BodyText"/>
      </w:pPr>
      <w:r w:rsidRPr="009721D2">
        <w:rPr>
          <w:noProof/>
        </w:rPr>
        <w:drawing>
          <wp:inline distT="0" distB="0" distL="0" distR="0" wp14:anchorId="71C174C9" wp14:editId="3FD76458">
            <wp:extent cx="6120130" cy="2094230"/>
            <wp:effectExtent l="0" t="0" r="0" b="1270"/>
            <wp:docPr id="1734672073" name="Picture 6" descr="This figure is a flow chart showing the planning responsibilities of the three levels of Australian government. The top row is the Australian Government which sets Acts and national policies. &#10;The middle row is state and territory governments and planning commissions. Their responsibilities are to establish state Acts, strategies, regional plans, specific planning policy, approve local planning schemes, and issue state guidance. &#10;The bottom row is local governments. Local governments may make local strategic plans, make local planning schemes, administer local planning schemes and choose to apply state guidance.&#10;The figure has two notes. Firstly, for approving local schemes, ACT, NT and SA governments not only make but also apply and administer their jurisdiction’s planning policy. Secondly, the term scheme ‘scheme’ is used as a generalised term for all local planning instruments across jurisdictions despite some states and territories using different terms, such as ‘local environmental plan’ in NS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72073" name="Picture 6" descr="This figure is a flow chart showing the planning responsibilities of the three levels of Australian government. The top row is the Australian Government which sets Acts and national policies. &#10;The middle row is state and territory governments and planning commissions. Their responsibilities are to establish state Acts, strategies, regional plans, specific planning policy, approve local planning schemes, and issue state guidance. &#10;The bottom row is local governments. Local governments may make local strategic plans, make local planning schemes, administer local planning schemes and choose to apply state guidance.&#10;The figure has two notes. Firstly, for approving local schemes, ACT, NT and SA governments not only make but also apply and administer their jurisdiction’s planning policy. Secondly, the term scheme ‘scheme’ is used as a generalised term for all local planning instruments across jurisdictions despite some states and territories using different terms, such as ‘local environmental plan’ in NSW.&#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20130" cy="2094230"/>
                    </a:xfrm>
                    <a:prstGeom prst="rect">
                      <a:avLst/>
                    </a:prstGeom>
                    <a:noFill/>
                    <a:ln>
                      <a:noFill/>
                    </a:ln>
                  </pic:spPr>
                </pic:pic>
              </a:graphicData>
            </a:graphic>
          </wp:inline>
        </w:drawing>
      </w:r>
    </w:p>
    <w:p w14:paraId="190C9358" w14:textId="77777777" w:rsidR="00AA0FF2" w:rsidRDefault="000A2D7A" w:rsidP="00AA0FF2">
      <w:pPr>
        <w:pStyle w:val="Note"/>
      </w:pPr>
      <w:r w:rsidRPr="0004186D">
        <w:t>The term '</w:t>
      </w:r>
      <w:r>
        <w:t>s</w:t>
      </w:r>
      <w:r w:rsidRPr="0004186D">
        <w:t>pecific planning policy' refer</w:t>
      </w:r>
      <w:r>
        <w:t>s</w:t>
      </w:r>
      <w:r w:rsidRPr="0004186D">
        <w:t xml:space="preserve"> to </w:t>
      </w:r>
      <w:proofErr w:type="gramStart"/>
      <w:r>
        <w:t>s</w:t>
      </w:r>
      <w:r w:rsidRPr="0004186D">
        <w:t>tate</w:t>
      </w:r>
      <w:r>
        <w:t>s’</w:t>
      </w:r>
      <w:proofErr w:type="gramEnd"/>
      <w:r w:rsidRPr="0004186D">
        <w:t xml:space="preserve"> and </w:t>
      </w:r>
      <w:r>
        <w:t>t</w:t>
      </w:r>
      <w:r w:rsidRPr="0004186D">
        <w:t>erritor</w:t>
      </w:r>
      <w:r>
        <w:t>ies’</w:t>
      </w:r>
      <w:r w:rsidRPr="0004186D">
        <w:t xml:space="preserve"> main </w:t>
      </w:r>
      <w:r>
        <w:t>planning</w:t>
      </w:r>
      <w:r w:rsidRPr="0004186D">
        <w:t xml:space="preserve"> document</w:t>
      </w:r>
      <w:r>
        <w:t>,</w:t>
      </w:r>
      <w:r w:rsidRPr="0004186D">
        <w:t xml:space="preserve"> as </w:t>
      </w:r>
      <w:r>
        <w:t>jurisdictions use different terminology</w:t>
      </w:r>
      <w:r w:rsidRPr="0004186D">
        <w:t xml:space="preserve">. </w:t>
      </w:r>
      <w:r>
        <w:t>ACT</w:t>
      </w:r>
      <w:r w:rsidRPr="0090568E">
        <w:t>, N</w:t>
      </w:r>
      <w:r>
        <w:t xml:space="preserve">orthern </w:t>
      </w:r>
      <w:r w:rsidRPr="0090568E">
        <w:t>T</w:t>
      </w:r>
      <w:r>
        <w:t>erritory</w:t>
      </w:r>
      <w:r w:rsidRPr="0090568E">
        <w:t xml:space="preserve"> and S</w:t>
      </w:r>
      <w:r>
        <w:t xml:space="preserve">outh </w:t>
      </w:r>
      <w:r w:rsidRPr="0090568E">
        <w:t>A</w:t>
      </w:r>
      <w:r>
        <w:t>ustralian</w:t>
      </w:r>
      <w:r w:rsidRPr="0090568E">
        <w:t xml:space="preserve"> governments make</w:t>
      </w:r>
      <w:r>
        <w:t xml:space="preserve"> </w:t>
      </w:r>
      <w:r w:rsidRPr="0090568E">
        <w:t>and a</w:t>
      </w:r>
      <w:r>
        <w:t>pply their jurisdiction’s</w:t>
      </w:r>
      <w:r w:rsidRPr="0090568E">
        <w:t xml:space="preserve"> </w:t>
      </w:r>
      <w:r>
        <w:t>p</w:t>
      </w:r>
      <w:r w:rsidRPr="0090568E">
        <w:t xml:space="preserve">lanning </w:t>
      </w:r>
      <w:r>
        <w:t>p</w:t>
      </w:r>
      <w:r w:rsidRPr="0090568E">
        <w:t xml:space="preserve">olicy. </w:t>
      </w:r>
      <w:r>
        <w:t>‘Scheme’ is used as a generalised term for all local planning instruments across jurisdictions despite some states and territories using different terms, such as ‘local environmental plan’ in NSW.</w:t>
      </w:r>
    </w:p>
    <w:p w14:paraId="00818C19" w14:textId="0658913B" w:rsidR="000A2D7A" w:rsidRDefault="000A2D7A">
      <w:pPr>
        <w:pStyle w:val="Source"/>
      </w:pPr>
      <w:r w:rsidRPr="00696447">
        <w:t xml:space="preserve">Source: </w:t>
      </w:r>
      <w:r>
        <w:t xml:space="preserve">PC research based on state and territory government websites and policy documents such as WAPC’s ‘Overview of the planning system’ </w:t>
      </w:r>
      <w:r w:rsidRPr="00BC77A4">
        <w:t>(2024).</w:t>
      </w:r>
    </w:p>
    <w:p w14:paraId="04E85D06" w14:textId="77777777" w:rsidR="000A2D7A" w:rsidRPr="00AB7E21" w:rsidRDefault="000A2D7A">
      <w:pPr>
        <w:pStyle w:val="BodyText"/>
        <w:rPr>
          <w:spacing w:val="-2"/>
        </w:rPr>
      </w:pPr>
      <w:r w:rsidRPr="00AB7E21">
        <w:rPr>
          <w:spacing w:val="-2"/>
        </w:rPr>
        <w:lastRenderedPageBreak/>
        <w:t xml:space="preserve">The Australian Government influences housing supply by setting policy priorities in national plans, policies, funding and legislation. State and territory governments set their own </w:t>
      </w:r>
      <w:proofErr w:type="gramStart"/>
      <w:r w:rsidRPr="00AB7E21">
        <w:rPr>
          <w:spacing w:val="-2"/>
        </w:rPr>
        <w:t>priorities, and</w:t>
      </w:r>
      <w:proofErr w:type="gramEnd"/>
      <w:r w:rsidRPr="00AB7E21">
        <w:rPr>
          <w:spacing w:val="-2"/>
        </w:rPr>
        <w:t xml:space="preserve"> give effect to priorities by setting regulations – such as land</w:t>
      </w:r>
      <w:r w:rsidRPr="00AB7E21">
        <w:rPr>
          <w:spacing w:val="-2"/>
        </w:rPr>
        <w:noBreakHyphen/>
        <w:t>use controls, infrastructure requirements and development approval processes – in state-specific planning policies. These regulations are often applied by local governments. In most states, local governments create local planning schemes, which apply state regulations to specific areas of land, and assess development applications against these schemes.</w:t>
      </w:r>
    </w:p>
    <w:p w14:paraId="61455CA9" w14:textId="77777777" w:rsidR="000A2D7A" w:rsidRDefault="000A2D7A">
      <w:pPr>
        <w:pStyle w:val="Heading3"/>
      </w:pPr>
      <w:r>
        <w:t>Regulation can stifle housing supply</w:t>
      </w:r>
    </w:p>
    <w:p w14:paraId="3D00AE8C" w14:textId="3B53C1A8" w:rsidR="000A2D7A" w:rsidRDefault="000A2D7A">
      <w:pPr>
        <w:pStyle w:val="BodyText"/>
      </w:pPr>
      <w:r>
        <w:t xml:space="preserve">While it is essential that governments regulate housing development, too much or unnecessary regulation can limit housing supply. Regulatory settings affect housing supply in 2 broad ways </w:t>
      </w:r>
      <w:r w:rsidRPr="00FD048C">
        <w:rPr>
          <w:rFonts w:cs="Open Sans"/>
        </w:rPr>
        <w:t>(Maltman 2025)</w:t>
      </w:r>
      <w:r>
        <w:t>:</w:t>
      </w:r>
    </w:p>
    <w:p w14:paraId="5E3501B5" w14:textId="77777777" w:rsidR="000A2D7A" w:rsidRPr="00E1596A" w:rsidRDefault="000A2D7A" w:rsidP="00E11D04">
      <w:pPr>
        <w:pStyle w:val="ListBullet"/>
      </w:pPr>
      <w:r w:rsidRPr="00E1596A">
        <w:t>they stop certain housing development occurring (regulatory bans). This commonly occurs in land</w:t>
      </w:r>
      <w:r>
        <w:noBreakHyphen/>
      </w:r>
      <w:r w:rsidRPr="00E1596A">
        <w:t>use controls, explored in chapter</w:t>
      </w:r>
      <w:r>
        <w:t> </w:t>
      </w:r>
      <w:r w:rsidRPr="00E1596A">
        <w:t>2</w:t>
      </w:r>
    </w:p>
    <w:p w14:paraId="328F5638" w14:textId="77777777" w:rsidR="000A2D7A" w:rsidRPr="00AB7E21" w:rsidRDefault="000A2D7A" w:rsidP="00E11D04">
      <w:pPr>
        <w:pStyle w:val="ListBullet"/>
        <w:rPr>
          <w:spacing w:val="-4"/>
        </w:rPr>
      </w:pPr>
      <w:r w:rsidRPr="00AB7E21">
        <w:rPr>
          <w:spacing w:val="-4"/>
        </w:rPr>
        <w:t>they can impede development by making it slower or more costly (regulatory burdens). Regulatory burdens are explored in approval processes (chapter 3) and housing</w:t>
      </w:r>
      <w:r w:rsidRPr="00AB7E21">
        <w:rPr>
          <w:spacing w:val="-4"/>
        </w:rPr>
        <w:noBreakHyphen/>
        <w:t>enabling infrastructure (chapter 4).</w:t>
      </w:r>
    </w:p>
    <w:p w14:paraId="3FEB778A" w14:textId="77777777" w:rsidR="000A2D7A" w:rsidRDefault="000A2D7A">
      <w:pPr>
        <w:pStyle w:val="BodyText"/>
      </w:pPr>
      <w:r>
        <w:t>The interaction between regulatory requirements also affects housing supply. Multiple sets of controls can create ‘thickets’ of regulatory requirements and restrictions that impede development. Controls can also interact to unintentionally affect the type and number of dwellings that can be built on a parcel of land (chapter 2).</w:t>
      </w:r>
    </w:p>
    <w:p w14:paraId="4755B0C4" w14:textId="25C278E5" w:rsidR="000A2D7A" w:rsidRDefault="000A2D7A">
      <w:pPr>
        <w:pStyle w:val="BodyText"/>
      </w:pPr>
      <w:r>
        <w:t xml:space="preserve">These issues are exacerbated by – or perhaps are a consequence of – 3 challenges policy makers, regulators and ministers face when creating and applying regulation. They have strong incentives to be risk averse, to undervalue the burden placed on businesses (since they do not bear the burden of their decisions) and they can have tunnel vision for achieving their policy objective without sufficiently weighing up other considerations </w:t>
      </w:r>
      <w:r w:rsidR="00877EF9" w:rsidRPr="00877EF9">
        <w:rPr>
          <w:rFonts w:cs="Open Sans"/>
        </w:rPr>
        <w:t>(PC 2025b, p. 35)</w:t>
      </w:r>
      <w:r>
        <w:t>. As a result, housing regulatory systems across Australia are not designed to adequately consider the effects of regulation on housing supply.</w:t>
      </w:r>
    </w:p>
    <w:p w14:paraId="3D6B1B8E" w14:textId="77777777" w:rsidR="000A2D7A" w:rsidRPr="00AB7E21" w:rsidRDefault="000A2D7A">
      <w:pPr>
        <w:pStyle w:val="Heading2"/>
        <w:rPr>
          <w:spacing w:val="-6"/>
        </w:rPr>
      </w:pPr>
      <w:bookmarkStart w:id="18" w:name="_Toc235103141"/>
      <w:r w:rsidRPr="00AB7E21">
        <w:rPr>
          <w:spacing w:val="-6"/>
        </w:rPr>
        <w:t>Principles of a best practice regulatory system for housing</w:t>
      </w:r>
      <w:bookmarkEnd w:id="18"/>
      <w:r w:rsidRPr="00AB7E21">
        <w:rPr>
          <w:spacing w:val="-6"/>
        </w:rPr>
        <w:t xml:space="preserve"> </w:t>
      </w:r>
    </w:p>
    <w:p w14:paraId="510CF3F2" w14:textId="77777777" w:rsidR="000A2D7A" w:rsidRDefault="000A2D7A">
      <w:pPr>
        <w:pStyle w:val="Heading3"/>
      </w:pPr>
      <w:r>
        <w:t>Housing regulatory systems should focus on net benefit</w:t>
      </w:r>
    </w:p>
    <w:p w14:paraId="78F77130" w14:textId="259044A0" w:rsidR="000A2D7A" w:rsidRDefault="000A2D7A">
      <w:pPr>
        <w:pStyle w:val="BodyText"/>
      </w:pPr>
      <w:r w:rsidRPr="00E36CB3">
        <w:t>Housing</w:t>
      </w:r>
      <w:r>
        <w:t xml:space="preserve"> regulation inevitably involves trade</w:t>
      </w:r>
      <w:r>
        <w:noBreakHyphen/>
        <w:t>offs. Rules that support objectives like environmental protection or neighbourhood amenity can also affect housing supply. A well</w:t>
      </w:r>
      <w:r>
        <w:noBreakHyphen/>
        <w:t>functioning housing and planning system should recognise and be designed to weigh</w:t>
      </w:r>
      <w:r w:rsidR="00C74BA7">
        <w:t xml:space="preserve"> </w:t>
      </w:r>
      <w:r>
        <w:t>up these trade</w:t>
      </w:r>
      <w:r>
        <w:noBreakHyphen/>
        <w:t xml:space="preserve">offs and aim to achieve the greatest net benefit for Australians. </w:t>
      </w:r>
      <w:r w:rsidRPr="00E36CB3">
        <w:t xml:space="preserve">This means that after considering all the costs and benefits of a regulation – including its effect on housing supply and affordability – society is better off with the specific rule. Where society is worse off, the rule should not be imposed. </w:t>
      </w:r>
      <w:r>
        <w:t>In economic terms, the rules should enable housing regulatory systems to be ‘welfare maximising’.</w:t>
      </w:r>
    </w:p>
    <w:p w14:paraId="47BE3C51" w14:textId="77777777" w:rsidR="000A2D7A" w:rsidRDefault="000A2D7A">
      <w:pPr>
        <w:pStyle w:val="BodyText"/>
      </w:pPr>
      <w:r>
        <w:t>This means there will be trade</w:t>
      </w:r>
      <w:r>
        <w:noBreakHyphen/>
        <w:t>offs – some people may not want increased housing density or fewer car spaces available in their street – but these are the choices that may need to be made if, as a society, we want more people to afford to live in the homes and location they want.</w:t>
      </w:r>
    </w:p>
    <w:p w14:paraId="681CCF42" w14:textId="77777777" w:rsidR="000A2D7A" w:rsidRDefault="000A2D7A">
      <w:pPr>
        <w:pStyle w:val="BodyText"/>
      </w:pPr>
      <w:r>
        <w:t>In balancing often</w:t>
      </w:r>
      <w:r>
        <w:noBreakHyphen/>
        <w:t>conflicting objectives, housing regulatory systems must consider the interests of people at all stages of the housing market, such as people who live, or want to live, in an area, and support a system where the benefits of development outweigh the costs.</w:t>
      </w:r>
    </w:p>
    <w:p w14:paraId="3447FD08" w14:textId="77777777" w:rsidR="000A2D7A" w:rsidRDefault="000A2D7A">
      <w:pPr>
        <w:pStyle w:val="BodyText"/>
      </w:pPr>
      <w:r>
        <w:lastRenderedPageBreak/>
        <w:t>Figure 1.2 summarises the overarching objective of a best practice housing regulatory system and the 4 principles that underpin it.</w:t>
      </w:r>
    </w:p>
    <w:p w14:paraId="48C2DE84" w14:textId="77777777" w:rsidR="000A2D7A" w:rsidRDefault="000A2D7A">
      <w:pPr>
        <w:pStyle w:val="FigureTableHeading"/>
      </w:pPr>
      <w:r>
        <w:t>Figure 1.2 A best practice regulatory system for housing</w:t>
      </w:r>
    </w:p>
    <w:p w14:paraId="76DF5A26" w14:textId="08FF2A19" w:rsidR="000A2D7A" w:rsidRDefault="00506684" w:rsidP="00506684">
      <w:pPr>
        <w:pStyle w:val="BodyText"/>
        <w:spacing w:after="360"/>
      </w:pPr>
      <w:r w:rsidRPr="00506684">
        <w:rPr>
          <w:noProof/>
        </w:rPr>
        <w:drawing>
          <wp:inline distT="0" distB="0" distL="0" distR="0" wp14:anchorId="6A8B17B5" wp14:editId="0195061A">
            <wp:extent cx="6120130" cy="4103370"/>
            <wp:effectExtent l="0" t="0" r="0" b="0"/>
            <wp:docPr id="2022394857" name="Picture 7" descr="This figure outlines an overarching objective and 4 principles of a best practice housing regulatory system.&#10;The overarching objective is a well-functioning housing and planning regulatory system that enables enough housing to meet people’s needs, in the places where it delivers the greatest net benefit to the Australian community. It balances economic, social, cultural and environmental outcomes, and gives weight to the interests of both current and future residents.&#10; &#10;The overarching objective is underpinned by 4 best practice principles. &#10;1. Adopt a ‘build’ mindset: only restrict the location and form of development when the benefits of doing so outweigh the costs, including the impact on housing supply and affordability&#10;2. Only regulate when necessary: only regulate housing design features when there are clear market failures, and allow households to choose and pay for other features they value&#10;3. Coordinate with infrastructure: plan housing and infrastructure together so that new development is supported by the infrastructure it needs, with clear and efficient rules for developer contributions&#10;4. Keep the process simple: make planning decisions timely, predictable and simple by setting clear decision pathways, limiting discretion where possible and aligning with broader housing go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394857" name="Picture 7" descr="This figure outlines an overarching objective and 4 principles of a best practice housing regulatory system.&#10;The overarching objective is a well-functioning housing and planning regulatory system that enables enough housing to meet people’s needs, in the places where it delivers the greatest net benefit to the Australian community. It balances economic, social, cultural and environmental outcomes, and gives weight to the interests of both current and future residents.&#10; &#10;The overarching objective is underpinned by 4 best practice principles. &#10;1. Adopt a ‘build’ mindset: only restrict the location and form of development when the benefits of doing so outweigh the costs, including the impact on housing supply and affordability&#10;2. Only regulate when necessary: only regulate housing design features when there are clear market failures, and allow households to choose and pay for other features they value&#10;3. Coordinate with infrastructure: plan housing and infrastructure together so that new development is supported by the infrastructure it needs, with clear and efficient rules for developer contributions&#10;4. Keep the process simple: make planning decisions timely, predictable and simple by setting clear decision pathways, limiting discretion where possible and aligning with broader housing goals.&#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0130" cy="4103370"/>
                    </a:xfrm>
                    <a:prstGeom prst="rect">
                      <a:avLst/>
                    </a:prstGeom>
                    <a:noFill/>
                    <a:ln>
                      <a:noFill/>
                    </a:ln>
                  </pic:spPr>
                </pic:pic>
              </a:graphicData>
            </a:graphic>
          </wp:inline>
        </w:drawing>
      </w:r>
    </w:p>
    <w:p w14:paraId="719248BB" w14:textId="183F6BAA" w:rsidR="000A2D7A" w:rsidRPr="00506684" w:rsidRDefault="000A2D7A">
      <w:pPr>
        <w:pStyle w:val="Heading5"/>
        <w:rPr>
          <w:spacing w:val="-4"/>
        </w:rPr>
      </w:pPr>
      <w:r w:rsidRPr="00506684">
        <w:rPr>
          <w:spacing w:val="-4"/>
        </w:rPr>
        <w:t>Housing regulation should not only consider economic benefits, but also social benefits</w:t>
      </w:r>
      <w:r w:rsidR="00506684" w:rsidRPr="00506684">
        <w:rPr>
          <w:spacing w:val="-4"/>
        </w:rPr>
        <w:t> </w:t>
      </w:r>
      <w:r w:rsidRPr="00506684">
        <w:rPr>
          <w:spacing w:val="-4"/>
        </w:rPr>
        <w:t>…</w:t>
      </w:r>
    </w:p>
    <w:p w14:paraId="13FD218D" w14:textId="428AD83E" w:rsidR="000A2D7A" w:rsidRDefault="000A2D7A">
      <w:pPr>
        <w:pStyle w:val="BodyText"/>
      </w:pPr>
      <w:r w:rsidRPr="00E36CB3">
        <w:t xml:space="preserve">Housing regulatory systems must support homes that are ‘fit for purpose’ </w:t>
      </w:r>
      <w:r w:rsidR="00877EF9" w:rsidRPr="00877EF9">
        <w:rPr>
          <w:rFonts w:cs="Open Sans"/>
        </w:rPr>
        <w:t>(NHSAC 2026b; PIA 2022, p. 1)</w:t>
      </w:r>
      <w:r>
        <w:t xml:space="preserve">. That is – they reflect the tenure, housing type and location preferences of Australians in the housing market, given their costs </w:t>
      </w:r>
      <w:r w:rsidRPr="00E36CB3">
        <w:t>(NHFIC 2020, p. 32; NHSAC 2025; PIA 2022, 2023, 2025). Other social outcomes of development must also be considered, including social and economic benefits of diverse communities and agglomeration benefits (box</w:t>
      </w:r>
      <w:r>
        <w:t> </w:t>
      </w:r>
      <w:r w:rsidRPr="00E36CB3">
        <w:t>1.</w:t>
      </w:r>
      <w:r>
        <w:t>1</w:t>
      </w:r>
      <w:r w:rsidRPr="00E36CB3">
        <w:t>).</w:t>
      </w:r>
    </w:p>
    <w:p w14:paraId="545FB54D" w14:textId="77777777" w:rsidR="00304A93" w:rsidRDefault="00304A93" w:rsidP="00304A93">
      <w:pPr>
        <w:pStyle w:val="Heading5"/>
      </w:pPr>
      <w:r>
        <w:t>… equity of access …</w:t>
      </w:r>
    </w:p>
    <w:p w14:paraId="222EEBFA" w14:textId="138F4D5A" w:rsidR="00304A93" w:rsidRPr="00E36CB3" w:rsidRDefault="00304A93" w:rsidP="00304A93">
      <w:pPr>
        <w:pStyle w:val="BodyText"/>
      </w:pPr>
      <w:r>
        <w:t xml:space="preserve">Planning should also consider equitable access to housing </w:t>
      </w:r>
      <w:r w:rsidRPr="00877EF9">
        <w:rPr>
          <w:rFonts w:cs="Open Sans"/>
        </w:rPr>
        <w:t>(Flanagan et al. 2026; NHSAC 2026b; OECD 2021; PIA 2022, 2023)</w:t>
      </w:r>
      <w:r>
        <w:t>. Having affordable, safe and sustainable housing improves people’s welfare, with flow-on effects to societal outcomes</w:t>
      </w:r>
      <w:r w:rsidDel="00343EBF">
        <w:t xml:space="preserve"> </w:t>
      </w:r>
      <w:r w:rsidRPr="00A164DC">
        <w:t>(PC 2022, pp. 102–106). Promoting equity</w:t>
      </w:r>
      <w:r w:rsidRPr="00A164DC" w:rsidDel="00641287">
        <w:t xml:space="preserve"> </w:t>
      </w:r>
      <w:r w:rsidRPr="00A164DC">
        <w:t>should include closing the gap between Aboriginal and Torres Strait Islander people’s and non</w:t>
      </w:r>
      <w:r w:rsidRPr="00A164DC">
        <w:noBreakHyphen/>
        <w:t xml:space="preserve">Indigenous people’s housing outcomes </w:t>
      </w:r>
      <w:r w:rsidRPr="00877EF9">
        <w:rPr>
          <w:rFonts w:cs="Open Sans"/>
        </w:rPr>
        <w:t>(AIHW and NIAA 2026; NHSAC 2026b; NIAA 2025)</w:t>
      </w:r>
      <w:r w:rsidRPr="004100AF">
        <w:rPr>
          <w:rStyle w:val="DraftingNoteChar"/>
          <w:color w:val="auto"/>
          <w:sz w:val="20"/>
          <w:u w:val="none"/>
        </w:rPr>
        <w:t xml:space="preserve">, </w:t>
      </w:r>
      <w:r>
        <w:t xml:space="preserve">managing social housing needs </w:t>
      </w:r>
      <w:r w:rsidRPr="00877EF9">
        <w:rPr>
          <w:rFonts w:cs="Open Sans"/>
        </w:rPr>
        <w:t>(NHSAC 2026b; PC 2022, p. 231; PIA 2022, 2023)</w:t>
      </w:r>
      <w:r>
        <w:t xml:space="preserve"> and considering intergenerational equity in policy design </w:t>
      </w:r>
      <w:r w:rsidRPr="004100AF">
        <w:t>(NHFIC 2021; PIA 2013)</w:t>
      </w:r>
      <w:r w:rsidRPr="00A164DC">
        <w:t xml:space="preserve"> (box</w:t>
      </w:r>
      <w:r>
        <w:t> </w:t>
      </w:r>
      <w:r w:rsidRPr="00A164DC">
        <w:t>1.</w:t>
      </w:r>
      <w:r>
        <w:t>2</w:t>
      </w:r>
      <w:r w:rsidRPr="00A164DC">
        <w:t>).</w:t>
      </w:r>
    </w:p>
    <w:p w14:paraId="70FCDC30" w14:textId="3D05C55B" w:rsidR="000A2D7A" w:rsidRDefault="000A2D7A" w:rsidP="00506684">
      <w:pPr>
        <w:pStyle w:val="NoSpacing"/>
      </w:pPr>
    </w:p>
    <w:tbl>
      <w:tblPr>
        <w:tblStyle w:val="Boxtable"/>
        <w:tblW w:w="5000" w:type="pct"/>
        <w:tblLook w:val="04A0" w:firstRow="1" w:lastRow="0" w:firstColumn="1" w:lastColumn="0" w:noHBand="0" w:noVBand="1"/>
      </w:tblPr>
      <w:tblGrid>
        <w:gridCol w:w="9638"/>
      </w:tblGrid>
      <w:tr w:rsidR="000A2D7A" w14:paraId="75354242" w14:textId="77777777">
        <w:trPr>
          <w:tblHeader/>
        </w:trPr>
        <w:tc>
          <w:tcPr>
            <w:tcW w:w="9638" w:type="dxa"/>
            <w:shd w:val="clear" w:color="auto" w:fill="EBEBEB"/>
            <w:tcMar>
              <w:top w:w="170" w:type="dxa"/>
              <w:left w:w="170" w:type="dxa"/>
              <w:bottom w:w="113" w:type="dxa"/>
              <w:right w:w="170" w:type="dxa"/>
            </w:tcMar>
            <w:hideMark/>
          </w:tcPr>
          <w:p w14:paraId="2F97FF98" w14:textId="5A9C7377" w:rsidR="000A2D7A" w:rsidRDefault="000A2D7A">
            <w:pPr>
              <w:pStyle w:val="BoxHeading1"/>
            </w:pPr>
            <w:r>
              <w:lastRenderedPageBreak/>
              <w:t>Box </w:t>
            </w:r>
            <w:r w:rsidR="00CB06D8">
              <w:rPr>
                <w:noProof/>
              </w:rPr>
              <w:t>1</w:t>
            </w:r>
            <w:r>
              <w:t>.1 – Higher density cities can create economic and social benefits</w:t>
            </w:r>
          </w:p>
        </w:tc>
      </w:tr>
      <w:tr w:rsidR="000A2D7A" w14:paraId="63C21371" w14:textId="77777777">
        <w:tc>
          <w:tcPr>
            <w:tcW w:w="9638" w:type="dxa"/>
            <w:shd w:val="clear" w:color="auto" w:fill="EBEBEB"/>
            <w:tcMar>
              <w:top w:w="28" w:type="dxa"/>
              <w:left w:w="170" w:type="dxa"/>
              <w:bottom w:w="170" w:type="dxa"/>
              <w:right w:w="170" w:type="dxa"/>
            </w:tcMar>
            <w:hideMark/>
          </w:tcPr>
          <w:p w14:paraId="173BC83A" w14:textId="77777777" w:rsidR="000A2D7A" w:rsidRPr="005C076E" w:rsidRDefault="000A2D7A">
            <w:pPr>
              <w:pStyle w:val="BodyText"/>
              <w:rPr>
                <w:spacing w:val="-4"/>
              </w:rPr>
            </w:pPr>
            <w:r w:rsidRPr="005C076E">
              <w:rPr>
                <w:spacing w:val="-4"/>
              </w:rPr>
              <w:t>Cities bring together workers, jobs, customers, suppliers, services and ideas. This clustering of people and businesses close together, including in industry precincts, is often referred to as agglomeration.</w:t>
            </w:r>
          </w:p>
          <w:p w14:paraId="6B7D226C" w14:textId="2EAB9387" w:rsidR="000A2D7A" w:rsidRPr="00A164DC" w:rsidRDefault="000A2D7A">
            <w:pPr>
              <w:pStyle w:val="BodyText"/>
            </w:pPr>
            <w:r w:rsidRPr="24ABB5AA">
              <w:t xml:space="preserve">Agglomeration generates economic benefits. Larger and denser cities often have higher </w:t>
            </w:r>
            <w:r w:rsidRPr="00CE263E">
              <w:t xml:space="preserve">productivity, are more innovative and facilitate better access to goods, services and jobs than smaller or less dense places </w:t>
            </w:r>
            <w:r w:rsidRPr="002342C5">
              <w:t xml:space="preserve">(Bertaud 2024; </w:t>
            </w:r>
            <w:proofErr w:type="spellStart"/>
            <w:r w:rsidRPr="002342C5">
              <w:t>Duranton</w:t>
            </w:r>
            <w:proofErr w:type="spellEnd"/>
            <w:r w:rsidRPr="002342C5">
              <w:t xml:space="preserve"> and Puga 2020)</w:t>
            </w:r>
            <w:r w:rsidRPr="00CE263E">
              <w:t xml:space="preserve">. </w:t>
            </w:r>
            <w:r>
              <w:t xml:space="preserve">The </w:t>
            </w:r>
            <w:r w:rsidRPr="00CE263E">
              <w:t>Australian</w:t>
            </w:r>
            <w:r>
              <w:t xml:space="preserve"> Housing and Urban Research Institute</w:t>
            </w:r>
            <w:r w:rsidRPr="24ABB5AA">
              <w:t xml:space="preserve"> estimates that a doubling of </w:t>
            </w:r>
            <w:r>
              <w:t xml:space="preserve">employment </w:t>
            </w:r>
            <w:r w:rsidRPr="24ABB5AA">
              <w:t xml:space="preserve">density </w:t>
            </w:r>
            <w:r>
              <w:t>can be</w:t>
            </w:r>
            <w:r w:rsidRPr="24ABB5AA">
              <w:t xml:space="preserve"> associated with hourly wages that are around 1 to 4% higher</w:t>
            </w:r>
            <w:r>
              <w:t xml:space="preserve"> </w:t>
            </w:r>
            <w:r w:rsidRPr="00A164DC">
              <w:t>(Nygaard et al. 2021).</w:t>
            </w:r>
          </w:p>
          <w:p w14:paraId="3A9E82C5" w14:textId="1683EA0B" w:rsidR="000A2D7A" w:rsidRPr="00A164DC" w:rsidRDefault="000A2D7A">
            <w:pPr>
              <w:pStyle w:val="BodyText"/>
            </w:pPr>
            <w:r w:rsidRPr="00A164DC">
              <w:t>But density from agglomeration also brings costs</w:t>
            </w:r>
            <w:r>
              <w:t xml:space="preserve">, such as increased congestion and pressure on infrastructure </w:t>
            </w:r>
            <w:r w:rsidRPr="00A164DC">
              <w:t>(</w:t>
            </w:r>
            <w:proofErr w:type="spellStart"/>
            <w:r w:rsidRPr="00A164DC">
              <w:t>Duranton</w:t>
            </w:r>
            <w:proofErr w:type="spellEnd"/>
            <w:r w:rsidRPr="00A164DC">
              <w:t xml:space="preserve"> and Puga 2020; Leishman et al. 2021; OECD 2019, p. 18)</w:t>
            </w:r>
            <w:r>
              <w:t>. These</w:t>
            </w:r>
            <w:r w:rsidRPr="63D24E82">
              <w:t xml:space="preserve"> need to be managed</w:t>
            </w:r>
            <w:r>
              <w:t xml:space="preserve"> through appropriate policy settings, </w:t>
            </w:r>
            <w:r w:rsidRPr="63D24E82">
              <w:t>including transport investment, infrastructure provision and congestion management.</w:t>
            </w:r>
          </w:p>
          <w:p w14:paraId="6E0B8B04" w14:textId="44A4B42B" w:rsidR="000A2D7A" w:rsidRPr="005C076E" w:rsidRDefault="000A2D7A">
            <w:pPr>
              <w:pStyle w:val="BodyText"/>
              <w:rPr>
                <w:spacing w:val="-4"/>
              </w:rPr>
            </w:pPr>
            <w:r w:rsidRPr="005C076E">
              <w:rPr>
                <w:spacing w:val="-4"/>
              </w:rPr>
              <w:t>As cities grow, so do their labour markets and the number of businesses operating within them. Large labour markets offer workers a wider range of jobs to choose from, allowing them to better match with firms where they can add the most value. They also give firms access to a larger pool of workers with the skills needed to perform specialised work. The combined effect is that the efficiency of matching between workers and firms tends to improve with city size and density (Dauth et al. 2022).</w:t>
            </w:r>
          </w:p>
          <w:p w14:paraId="4BE11549" w14:textId="2772A937" w:rsidR="000A2D7A" w:rsidRDefault="000A2D7A">
            <w:pPr>
              <w:pStyle w:val="BodyText"/>
            </w:pPr>
            <w:r w:rsidRPr="00A164DC">
              <w:t>Agglomeration supports the spread of ideas. As workers and businesses interact, they share skills, technologies and business practices. These knowledge spillovers can occur through formal channels, such as collaboration between firms and researchers, and through informal interactions between workers and businesses. Since larger and denser cities create more opportunities for interaction, they can increase the rate at which useful knowledge spreads and is applied</w:t>
            </w:r>
            <w:r w:rsidDel="00F45A69">
              <w:t xml:space="preserve"> </w:t>
            </w:r>
            <w:r w:rsidRPr="00A164DC">
              <w:t xml:space="preserve">(Bertaud 2024; </w:t>
            </w:r>
            <w:proofErr w:type="spellStart"/>
            <w:r w:rsidRPr="00A164DC">
              <w:t>Duranton</w:t>
            </w:r>
            <w:proofErr w:type="spellEnd"/>
            <w:r w:rsidRPr="00A164DC">
              <w:t xml:space="preserve"> and Puga 2020)</w:t>
            </w:r>
            <w:r>
              <w:t>.</w:t>
            </w:r>
          </w:p>
          <w:p w14:paraId="14FA5CAD" w14:textId="48EB748E" w:rsidR="000A2D7A" w:rsidRDefault="000A2D7A">
            <w:pPr>
              <w:pStyle w:val="BodyText"/>
            </w:pPr>
            <w:r w:rsidRPr="00A164DC">
              <w:t>Large cities also allow resources to be used more efficiently. A larger local market can support urban amenities, services and specialised suppliers that would be less viable in smaller places. This can reduce transaction costs and support business specialisation (Bertaud 2024).</w:t>
            </w:r>
            <w:r>
              <w:rPr>
                <w:rFonts w:cstheme="minorHAnsi"/>
              </w:rPr>
              <w:t xml:space="preserve"> </w:t>
            </w:r>
          </w:p>
        </w:tc>
      </w:tr>
      <w:tr w:rsidR="000A2D7A" w14:paraId="2957CCA8" w14:textId="77777777">
        <w:trPr>
          <w:hidden/>
        </w:trPr>
        <w:tc>
          <w:tcPr>
            <w:tcW w:w="9638" w:type="dxa"/>
            <w:shd w:val="clear" w:color="auto" w:fill="auto"/>
            <w:tcMar>
              <w:top w:w="0" w:type="dxa"/>
              <w:left w:w="170" w:type="dxa"/>
              <w:bottom w:w="0" w:type="dxa"/>
              <w:right w:w="170" w:type="dxa"/>
            </w:tcMar>
          </w:tcPr>
          <w:p w14:paraId="2770B18A" w14:textId="21710A4E" w:rsidR="000A2D7A" w:rsidRPr="00465191" w:rsidRDefault="000A2D7A">
            <w:pPr>
              <w:pStyle w:val="BodyText"/>
              <w:spacing w:before="0" w:after="0" w:line="80" w:lineRule="atLeast"/>
              <w:rPr>
                <w:smallCaps/>
                <w:vanish/>
              </w:rPr>
            </w:pPr>
          </w:p>
        </w:tc>
      </w:tr>
    </w:tbl>
    <w:p w14:paraId="1645AF84" w14:textId="55B85240" w:rsidR="000A2D7A" w:rsidRDefault="000A2D7A">
      <w:pPr>
        <w:pStyle w:val="BodyText"/>
      </w:pPr>
    </w:p>
    <w:tbl>
      <w:tblPr>
        <w:tblStyle w:val="Boxtable"/>
        <w:tblW w:w="5000" w:type="pct"/>
        <w:tblLook w:val="04A0" w:firstRow="1" w:lastRow="0" w:firstColumn="1" w:lastColumn="0" w:noHBand="0" w:noVBand="1"/>
      </w:tblPr>
      <w:tblGrid>
        <w:gridCol w:w="9638"/>
      </w:tblGrid>
      <w:tr w:rsidR="000A2D7A" w14:paraId="2B432977" w14:textId="77777777">
        <w:trPr>
          <w:tblHeader/>
        </w:trPr>
        <w:tc>
          <w:tcPr>
            <w:tcW w:w="9638" w:type="dxa"/>
            <w:shd w:val="clear" w:color="auto" w:fill="EBEBEB"/>
            <w:tcMar>
              <w:top w:w="170" w:type="dxa"/>
              <w:left w:w="170" w:type="dxa"/>
              <w:bottom w:w="113" w:type="dxa"/>
              <w:right w:w="170" w:type="dxa"/>
            </w:tcMar>
            <w:hideMark/>
          </w:tcPr>
          <w:p w14:paraId="0A6B25F6" w14:textId="77777777" w:rsidR="000A2D7A" w:rsidRDefault="000A2D7A">
            <w:pPr>
              <w:pStyle w:val="BoxHeading1"/>
            </w:pPr>
            <w:r>
              <w:lastRenderedPageBreak/>
              <w:t xml:space="preserve">Box 1.2 – Social housing provides vital support for people who can’t access the private rental market </w:t>
            </w:r>
          </w:p>
          <w:p w14:paraId="4B9BFB06" w14:textId="733F3B64" w:rsidR="000A2D7A" w:rsidRDefault="000A2D7A">
            <w:pPr>
              <w:pStyle w:val="BodyText"/>
            </w:pPr>
            <w:r>
              <w:t>Social housing is government</w:t>
            </w:r>
            <w:r w:rsidRPr="00A164DC">
              <w:noBreakHyphen/>
            </w:r>
            <w:r>
              <w:t>subsidised short</w:t>
            </w:r>
            <w:r w:rsidRPr="00A164DC">
              <w:noBreakHyphen/>
            </w:r>
            <w:r>
              <w:t xml:space="preserve"> and long</w:t>
            </w:r>
            <w:r w:rsidRPr="00A164DC">
              <w:noBreakHyphen/>
            </w:r>
            <w:r>
              <w:t xml:space="preserve">term rental housing, allocated according to need to those who are unlikely to be able to afford or access market </w:t>
            </w:r>
            <w:proofErr w:type="spellStart"/>
            <w:proofErr w:type="gramStart"/>
            <w:r>
              <w:t>housing.</w:t>
            </w:r>
            <w:r w:rsidRPr="005C076E">
              <w:rPr>
                <w:b/>
                <w:bCs/>
                <w:vertAlign w:val="superscript"/>
              </w:rPr>
              <w:t>a</w:t>
            </w:r>
            <w:proofErr w:type="spellEnd"/>
            <w:proofErr w:type="gramEnd"/>
            <w:r>
              <w:t xml:space="preserve"> It is usually either provided by the government directly through public housing, or community housing which is provided by not</w:t>
            </w:r>
            <w:r w:rsidRPr="00A164DC">
              <w:noBreakHyphen/>
            </w:r>
            <w:r>
              <w:t>for</w:t>
            </w:r>
            <w:r w:rsidRPr="00A164DC">
              <w:noBreakHyphen/>
            </w:r>
            <w:r>
              <w:t xml:space="preserve">profits </w:t>
            </w:r>
            <w:r w:rsidRPr="00A164DC">
              <w:t>(AHURI 2023)</w:t>
            </w:r>
            <w:r>
              <w:t xml:space="preserve">. State owned and managed Indigenous housing and Indigenous community housing also provide important, culturally appropriate housing services for Aboriginal and Torres Strait Islander households </w:t>
            </w:r>
            <w:r w:rsidR="00877EF9" w:rsidRPr="00877EF9">
              <w:rPr>
                <w:rFonts w:cs="Open Sans"/>
              </w:rPr>
              <w:t>(AIHW 2024; NHSAC 2026b, p. 48; Parliament of the Commonwealth of Australia 2021, p. 195)</w:t>
            </w:r>
            <w:r w:rsidRPr="00A164DC">
              <w:t>.</w:t>
            </w:r>
          </w:p>
          <w:p w14:paraId="39F9F8E9" w14:textId="574899B9" w:rsidR="000A2D7A" w:rsidRPr="009333A1" w:rsidRDefault="000A2D7A">
            <w:pPr>
              <w:pStyle w:val="BodyText"/>
            </w:pPr>
            <w:r>
              <w:t>Social housing fills a vital policy role. There is good evidence that a ‘housing first’ approach to homelessness and social vulnerability can have a profound impact on people’s wellbeing. Evidence suggests there are strong links to employment outcomes, assistance with addiction and other illnesses, and improvements to health outcomes and social isolation (Roggenbuck 2022).</w:t>
            </w:r>
          </w:p>
          <w:p w14:paraId="45CED36B" w14:textId="07902DB5" w:rsidR="000A2D7A" w:rsidRDefault="000A2D7A">
            <w:pPr>
              <w:pStyle w:val="BodyText"/>
            </w:pPr>
            <w:r>
              <w:t xml:space="preserve">But the system is under strain. Waitlists are long – partly because demand is high, but also because supply is constrained </w:t>
            </w:r>
            <w:r w:rsidR="00877EF9" w:rsidRPr="00877EF9">
              <w:rPr>
                <w:rFonts w:cs="Open Sans"/>
              </w:rPr>
              <w:t>(NHSAC 2026b, pp. 5, 48–50)</w:t>
            </w:r>
            <w:r>
              <w:t xml:space="preserve">. Governments have committed to reforms that aim to take pressure off the system, including through the </w:t>
            </w:r>
            <w:r w:rsidRPr="00A164DC">
              <w:t xml:space="preserve">Housing Australia Future Fund </w:t>
            </w:r>
            <w:r w:rsidRPr="00171CFF">
              <w:rPr>
                <w:rFonts w:cs="Open Sans"/>
              </w:rPr>
              <w:t>(Finance 2026)</w:t>
            </w:r>
            <w:r w:rsidRPr="00A164DC">
              <w:t xml:space="preserve">. </w:t>
            </w:r>
            <w:r>
              <w:t>While reforms to social housing are outside the scope of this inquiry, the</w:t>
            </w:r>
            <w:r w:rsidDel="005A36D3">
              <w:t xml:space="preserve"> </w:t>
            </w:r>
            <w:r>
              <w:t xml:space="preserve">Productivity Commission has previously recommended that governments </w:t>
            </w:r>
            <w:r w:rsidRPr="00A164DC">
              <w:t>should</w:t>
            </w:r>
            <w:r>
              <w:t xml:space="preserve"> prioritise meeting the needs of</w:t>
            </w:r>
            <w:r w:rsidDel="008F3BB7">
              <w:t xml:space="preserve"> </w:t>
            </w:r>
            <w:r>
              <w:t xml:space="preserve">households that are most at risk of homelessness and people who are unable to access or sustain housing in the private rental market </w:t>
            </w:r>
            <w:r w:rsidRPr="00A164DC">
              <w:t>(PC 2022, p. 44)</w:t>
            </w:r>
            <w:r>
              <w:t>.</w:t>
            </w:r>
          </w:p>
          <w:p w14:paraId="2A91825E" w14:textId="77777777" w:rsidR="000A2D7A" w:rsidRPr="005872B0" w:rsidRDefault="000A2D7A">
            <w:pPr>
              <w:pStyle w:val="Note"/>
            </w:pPr>
            <w:r w:rsidRPr="005C076E">
              <w:rPr>
                <w:b/>
                <w:bCs/>
              </w:rPr>
              <w:t>a.</w:t>
            </w:r>
            <w:r>
              <w:t xml:space="preserve"> </w:t>
            </w:r>
            <w:proofErr w:type="gramStart"/>
            <w:r w:rsidRPr="00220778">
              <w:t>Social</w:t>
            </w:r>
            <w:proofErr w:type="gramEnd"/>
            <w:r w:rsidRPr="00220778">
              <w:t xml:space="preserve"> housing is sometimes included within definitions of affordable housing. In this report, however, social housing is treated as distinct from affordable housing, which refers to below-market rental housing for eligible low- and moderate-income households.</w:t>
            </w:r>
          </w:p>
        </w:tc>
      </w:tr>
      <w:tr w:rsidR="000A2D7A" w14:paraId="24666849" w14:textId="77777777">
        <w:trPr>
          <w:hidden/>
        </w:trPr>
        <w:tc>
          <w:tcPr>
            <w:tcW w:w="9638" w:type="dxa"/>
            <w:shd w:val="clear" w:color="auto" w:fill="auto"/>
            <w:tcMar>
              <w:top w:w="0" w:type="dxa"/>
              <w:left w:w="170" w:type="dxa"/>
              <w:bottom w:w="0" w:type="dxa"/>
              <w:right w:w="170" w:type="dxa"/>
            </w:tcMar>
          </w:tcPr>
          <w:p w14:paraId="4A9A817D" w14:textId="6E81275B" w:rsidR="000A2D7A" w:rsidRPr="00465191" w:rsidRDefault="000A2D7A">
            <w:pPr>
              <w:pStyle w:val="BodyText"/>
              <w:spacing w:before="0" w:after="0" w:line="80" w:lineRule="atLeast"/>
              <w:rPr>
                <w:smallCaps/>
                <w:vanish/>
              </w:rPr>
            </w:pPr>
          </w:p>
        </w:tc>
      </w:tr>
    </w:tbl>
    <w:p w14:paraId="07BB8420" w14:textId="77777777" w:rsidR="000A2D7A" w:rsidRDefault="000A2D7A" w:rsidP="00C13515">
      <w:pPr>
        <w:pStyle w:val="Heading5"/>
        <w:spacing w:before="120"/>
      </w:pPr>
      <w:r>
        <w:t>… cultural factors …</w:t>
      </w:r>
    </w:p>
    <w:p w14:paraId="3FC87DAA" w14:textId="525AB543" w:rsidR="000A2D7A" w:rsidRPr="005C076E" w:rsidRDefault="000A2D7A" w:rsidP="00B6502F">
      <w:pPr>
        <w:pStyle w:val="BodyText"/>
        <w:spacing w:line="270" w:lineRule="atLeast"/>
        <w:rPr>
          <w:spacing w:val="-4"/>
        </w:rPr>
      </w:pPr>
      <w:r w:rsidRPr="005C076E">
        <w:rPr>
          <w:spacing w:val="-4"/>
        </w:rPr>
        <w:t xml:space="preserve">Planning regulations should also recognise that social benefits may come in the form of protecting culturally significant places or land. For example, heritage protections are grounded in protecting history and community identity for the benefit of current and future generations (Heritage Council Victoria 2023). </w:t>
      </w:r>
    </w:p>
    <w:p w14:paraId="0989CBE3" w14:textId="77777777" w:rsidR="000A2D7A" w:rsidRDefault="000A2D7A" w:rsidP="00B6502F">
      <w:pPr>
        <w:pStyle w:val="BodyText"/>
        <w:spacing w:line="270" w:lineRule="atLeast"/>
      </w:pPr>
      <w:r>
        <w:t>Land holds significant cultural value for Aboriginal and Torres Strait Islander people, and housing ‘forms part of a broader social and cultural infrastructure that sustains families, communities, language, culture, economic participation and connection to Country’ (</w:t>
      </w:r>
      <w:proofErr w:type="spellStart"/>
      <w:r>
        <w:t>Ngalgarra</w:t>
      </w:r>
      <w:proofErr w:type="spellEnd"/>
      <w:r>
        <w:t xml:space="preserve"> Resources Indigenous Corporation, sub. </w:t>
      </w:r>
      <w:r w:rsidRPr="004475B7">
        <w:t>64, p. 2). Housing regulatory systems should be considered in the context of the National Agreement on Closing the Gap, including outcome 9 – people can secure appropriate, affordable housing that is aligned with their priorities and need – and Priority Reform 3 to transform government organisations (TSRA, sub.</w:t>
      </w:r>
      <w:r>
        <w:t xml:space="preserve"> 82, pp. 2–3). We intend that our final report will provide additional analysis on how housing regulatory systems can be improved to better meet the housing needs of Aboriginal and Torres Strait Islander people and communities (information request 1.1). </w:t>
      </w:r>
    </w:p>
    <w:p w14:paraId="065F70E0" w14:textId="77777777" w:rsidR="000A2D7A" w:rsidRPr="00A61C1D" w:rsidRDefault="000A2D7A">
      <w:pPr>
        <w:pStyle w:val="Heading5"/>
      </w:pPr>
      <w:r>
        <w:t>… and environmental and climate change adaptation outcomes</w:t>
      </w:r>
    </w:p>
    <w:p w14:paraId="1679F7B3" w14:textId="3369FE3D" w:rsidR="000A2D7A" w:rsidRDefault="000A2D7A" w:rsidP="00B6502F">
      <w:pPr>
        <w:pStyle w:val="BodyText"/>
        <w:spacing w:line="270" w:lineRule="atLeast"/>
      </w:pPr>
      <w:r>
        <w:t>Development can have</w:t>
      </w:r>
      <w:r w:rsidDel="006A439E">
        <w:t xml:space="preserve"> </w:t>
      </w:r>
      <w:r>
        <w:t xml:space="preserve">environmental costs that should be considered by the planning system and regulations. These include direct costs, such as destroying habitat, or indirect environmental costs like climate risks and </w:t>
      </w:r>
      <w:r w:rsidRPr="004475B7">
        <w:t>effects</w:t>
      </w:r>
      <w:r>
        <w:t xml:space="preserve"> on carbon emission levels</w:t>
      </w:r>
      <w:r w:rsidDel="00975B58">
        <w:t xml:space="preserve"> </w:t>
      </w:r>
      <w:r w:rsidR="00877EF9" w:rsidRPr="00877EF9">
        <w:rPr>
          <w:rFonts w:cs="Open Sans"/>
        </w:rPr>
        <w:t>(New Zealand Ministry for the Environment 2025; NHSAC 2025, 2026b; OECD 2021; PIA 2025)</w:t>
      </w:r>
      <w: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A2D7A" w14:paraId="7F88E2B1" w14:textId="77777777">
        <w:trPr>
          <w:trHeight w:val="765"/>
          <w:tblHeader/>
        </w:trPr>
        <w:tc>
          <w:tcPr>
            <w:tcW w:w="366" w:type="pct"/>
            <w:shd w:val="clear" w:color="auto" w:fill="EBEBEB"/>
            <w:tcMar>
              <w:bottom w:w="0" w:type="dxa"/>
            </w:tcMar>
            <w:vAlign w:val="center"/>
          </w:tcPr>
          <w:p w14:paraId="547475E2" w14:textId="77777777" w:rsidR="000A2D7A" w:rsidRDefault="000A2D7A">
            <w:pPr>
              <w:pStyle w:val="NoSpacing"/>
              <w:keepNext/>
              <w:keepLines/>
              <w:jc w:val="right"/>
            </w:pPr>
            <w:r w:rsidRPr="00A51374">
              <w:rPr>
                <w:noProof/>
              </w:rPr>
              <w:lastRenderedPageBreak/>
              <w:drawing>
                <wp:inline distT="0" distB="0" distL="0" distR="0" wp14:anchorId="12B9F580" wp14:editId="030BE8E6">
                  <wp:extent cx="288000" cy="288000"/>
                  <wp:effectExtent l="0" t="0" r="0" b="0"/>
                  <wp:docPr id="859729411" name="Graphic 859729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12DB3B91" w14:textId="52FA82A8" w:rsidR="000A2D7A" w:rsidRPr="00BE3855" w:rsidRDefault="000A2D7A">
            <w:pPr>
              <w:pStyle w:val="FindingRecRequesttitle"/>
              <w:rPr>
                <w:rFonts w:cs="Open Sans"/>
              </w:rPr>
            </w:pPr>
            <w:r w:rsidRPr="00BE3855">
              <w:rPr>
                <w:rFonts w:cs="Open Sans"/>
              </w:rPr>
              <w:t xml:space="preserve">Information request </w:t>
            </w:r>
            <w:r w:rsidR="00CB06D8">
              <w:rPr>
                <w:rFonts w:cs="Open Sans"/>
                <w:noProof/>
              </w:rPr>
              <w:t>1</w:t>
            </w:r>
            <w:r w:rsidRPr="00BE3855">
              <w:rPr>
                <w:rFonts w:cs="Open Sans"/>
              </w:rPr>
              <w:t>.</w:t>
            </w:r>
            <w:r w:rsidR="00CB06D8">
              <w:rPr>
                <w:rFonts w:cs="Open Sans"/>
                <w:noProof/>
              </w:rPr>
              <w:t>1</w:t>
            </w:r>
          </w:p>
        </w:tc>
      </w:tr>
      <w:tr w:rsidR="000A2D7A" w:rsidRPr="000956E1" w14:paraId="4FD4345E" w14:textId="77777777">
        <w:tc>
          <w:tcPr>
            <w:tcW w:w="5000" w:type="pct"/>
            <w:gridSpan w:val="2"/>
            <w:shd w:val="clear" w:color="auto" w:fill="EBEBEB"/>
          </w:tcPr>
          <w:p w14:paraId="416DA945" w14:textId="77777777" w:rsidR="000A2D7A" w:rsidRPr="000956E1" w:rsidRDefault="000A2D7A" w:rsidP="00E11D04">
            <w:pPr>
              <w:pStyle w:val="ListBullet"/>
              <w:rPr>
                <w:color w:val="265A9A" w:themeColor="background2"/>
              </w:rPr>
            </w:pPr>
            <w:r w:rsidRPr="000956E1">
              <w:rPr>
                <w:color w:val="265A9A" w:themeColor="background2"/>
              </w:rPr>
              <w:t>How do housing regulatory systems, specifically, land</w:t>
            </w:r>
            <w:r w:rsidRPr="000956E1">
              <w:rPr>
                <w:color w:val="265A9A" w:themeColor="background2"/>
              </w:rPr>
              <w:noBreakHyphen/>
              <w:t>use controls, housing</w:t>
            </w:r>
            <w:r w:rsidRPr="000956E1">
              <w:rPr>
                <w:color w:val="265A9A" w:themeColor="background2"/>
              </w:rPr>
              <w:noBreakHyphen/>
              <w:t xml:space="preserve">enabling infrastructure and approval processes, affect Aboriginal and Torres Strait Islander people and communities’ access to appropriate housing? Case studies and examples are encouraged. </w:t>
            </w:r>
          </w:p>
          <w:p w14:paraId="27039768" w14:textId="77777777" w:rsidR="000A2D7A" w:rsidRPr="000956E1" w:rsidRDefault="000A2D7A" w:rsidP="00E11D04">
            <w:pPr>
              <w:pStyle w:val="ListBullet"/>
              <w:rPr>
                <w:color w:val="265A9A" w:themeColor="background2"/>
              </w:rPr>
            </w:pPr>
            <w:r w:rsidRPr="000956E1">
              <w:rPr>
                <w:color w:val="265A9A" w:themeColor="background2"/>
              </w:rPr>
              <w:t>How can governments improve housing regulatory systems to better meet the housing needs of Aboriginal and Torres Strait Islander people and communities, in alignment with outcome 9 of the National Agreement on Closing the Gap?</w:t>
            </w:r>
          </w:p>
        </w:tc>
      </w:tr>
      <w:tr w:rsidR="000A2D7A" w14:paraId="168AAD31" w14:textId="77777777">
        <w:tc>
          <w:tcPr>
            <w:tcW w:w="5000" w:type="pct"/>
            <w:gridSpan w:val="2"/>
            <w:tcMar>
              <w:bottom w:w="0" w:type="dxa"/>
            </w:tcMar>
          </w:tcPr>
          <w:p w14:paraId="1AE9CDD9" w14:textId="37C51C3D" w:rsidR="000A2D7A" w:rsidRDefault="000A2D7A">
            <w:pPr>
              <w:pStyle w:val="NoSpacing"/>
              <w:spacing w:line="200" w:lineRule="atLeast"/>
            </w:pPr>
          </w:p>
        </w:tc>
      </w:tr>
    </w:tbl>
    <w:p w14:paraId="6122DC7B" w14:textId="77777777" w:rsidR="000A2D7A" w:rsidRDefault="000A2D7A">
      <w:pPr>
        <w:pStyle w:val="Heading2"/>
      </w:pPr>
      <w:bookmarkStart w:id="19" w:name="_Toc235103142"/>
      <w:r>
        <w:t>What the principles mean in practice</w:t>
      </w:r>
      <w:bookmarkEnd w:id="19"/>
    </w:p>
    <w:p w14:paraId="117156EB" w14:textId="77777777" w:rsidR="000A2D7A" w:rsidRDefault="000A2D7A">
      <w:pPr>
        <w:pStyle w:val="Heading3"/>
      </w:pPr>
      <w:r w:rsidRPr="00C87DD1">
        <w:t>Principle</w:t>
      </w:r>
      <w:r>
        <w:t xml:space="preserve"> 1: Adopt a ‘build’ mindset</w:t>
      </w:r>
    </w:p>
    <w:p w14:paraId="44202EFE" w14:textId="77777777" w:rsidR="000A2D7A" w:rsidRPr="00305D8B" w:rsidRDefault="000A2D7A" w:rsidP="005F3478">
      <w:pPr>
        <w:pStyle w:val="ListBullet"/>
        <w:numPr>
          <w:ilvl w:val="0"/>
          <w:numId w:val="0"/>
        </w:numPr>
        <w:rPr>
          <w:rStyle w:val="ColourBlue"/>
          <w:rFonts w:ascii="Open Sans Semibold" w:hAnsi="Open Sans Semibold" w:cs="Open Sans Semibold"/>
          <w:color w:val="207291" w:themeColor="text2" w:themeShade="BF"/>
        </w:rPr>
      </w:pPr>
      <w:r w:rsidRPr="00305D8B">
        <w:rPr>
          <w:rStyle w:val="ColourBlue"/>
          <w:rFonts w:ascii="Open Sans Semibold" w:hAnsi="Open Sans Semibold" w:cs="Open Sans Semibold"/>
          <w:color w:val="207291" w:themeColor="text2" w:themeShade="BF"/>
        </w:rPr>
        <w:t xml:space="preserve">Only restrict the location and form of development where the benefits clearly outweigh the costs, including the impact on housing supply and affordability. </w:t>
      </w:r>
    </w:p>
    <w:p w14:paraId="21B793E7" w14:textId="2BF715D4" w:rsidR="000A2D7A" w:rsidRDefault="000A2D7A">
      <w:pPr>
        <w:pStyle w:val="BodyText"/>
      </w:pPr>
      <w:r>
        <w:t xml:space="preserve">Regulation can </w:t>
      </w:r>
      <w:r w:rsidRPr="00D65CEB">
        <w:t>help</w:t>
      </w:r>
      <w:r>
        <w:t xml:space="preserve"> manage externalities arising from housing construction. However, if policymakers do not weigh trade</w:t>
      </w:r>
      <w:r>
        <w:noBreakHyphen/>
        <w:t xml:space="preserve">offs effectively or are overly risk averse, housing development that may deliver a net benefit may not be built </w:t>
      </w:r>
      <w:r w:rsidR="00877EF9" w:rsidRPr="00877EF9">
        <w:rPr>
          <w:rFonts w:cs="Open Sans"/>
        </w:rPr>
        <w:t>(OECD 2021; PC 2025b, pp. 33–35)</w:t>
      </w:r>
      <w:r>
        <w:t xml:space="preserve">. </w:t>
      </w:r>
    </w:p>
    <w:p w14:paraId="1AB1BF4A" w14:textId="46861CF7" w:rsidR="000A2D7A" w:rsidRDefault="000A2D7A">
      <w:pPr>
        <w:pStyle w:val="BodyText"/>
      </w:pPr>
      <w:r>
        <w:t xml:space="preserve">Adopting a build mindset means using regulation to target a specific externality only where benefits of doing so outweigh the costs, delivering a net benefit to the community </w:t>
      </w:r>
      <w:r w:rsidR="00877EF9" w:rsidRPr="00877EF9">
        <w:rPr>
          <w:rFonts w:cs="Open Sans"/>
        </w:rPr>
        <w:t>(PC 2020a, pp. 3–4)</w:t>
      </w:r>
      <w:r>
        <w:t>.</w:t>
      </w:r>
      <w:r w:rsidDel="00990340">
        <w:t xml:space="preserve"> </w:t>
      </w:r>
      <w:r>
        <w:t xml:space="preserve">For example, while allowing higher density dwellings may increase pressure on local infrastructure and services, this must be weighed against the </w:t>
      </w:r>
      <w:r w:rsidRPr="00D65CEB">
        <w:t>additional housing supply it would create.</w:t>
      </w:r>
    </w:p>
    <w:p w14:paraId="30044077" w14:textId="77777777" w:rsidR="000A2D7A" w:rsidRDefault="000A2D7A">
      <w:pPr>
        <w:pStyle w:val="BodyText"/>
      </w:pPr>
      <w:r>
        <w:t xml:space="preserve">Governments can apply </w:t>
      </w:r>
      <w:r w:rsidRPr="00D65CEB">
        <w:t>best</w:t>
      </w:r>
      <w:r w:rsidRPr="00D65CEB">
        <w:noBreakHyphen/>
      </w:r>
      <w:r>
        <w:t xml:space="preserve">practice regulation to protect an existing benefit or prevent avoidable costs. For example, regulation can restrict development in a national park </w:t>
      </w:r>
      <w:r w:rsidRPr="00B873A5">
        <w:t>where</w:t>
      </w:r>
      <w:r>
        <w:t xml:space="preserve"> the benefits from preserving the environment (such as community value, welfare improvements or habitat protection) are greater than the cost on restricting housing supply. Natural hazard overlays prevent development in high</w:t>
      </w:r>
      <w:r w:rsidRPr="00D65CEB">
        <w:noBreakHyphen/>
      </w:r>
      <w:r>
        <w:t xml:space="preserve">risk areas such as those prone to natural disasters or exposed to biohazards to prevent current or future costs to residents (such as safety concerns, health issues and rebuilding costs). </w:t>
      </w:r>
    </w:p>
    <w:p w14:paraId="2E29F31E" w14:textId="77777777" w:rsidR="000A2D7A" w:rsidRDefault="000A2D7A">
      <w:pPr>
        <w:pStyle w:val="BodyText"/>
      </w:pPr>
      <w:r w:rsidRPr="00D65CEB">
        <w:t>Regulating</w:t>
      </w:r>
      <w:r>
        <w:t xml:space="preserve"> land</w:t>
      </w:r>
      <w:r w:rsidRPr="00D65CEB">
        <w:noBreakHyphen/>
      </w:r>
      <w:r>
        <w:t xml:space="preserve">use should not be necessary, unless it is to address an externality or other market failures such as information asymmetry (principle 2). Table 1.1 provides examples of this principle in practice, and box 1.3 illustrates how it is reflected in Auckland’s housing reforms. </w:t>
      </w:r>
    </w:p>
    <w:p w14:paraId="1A60903B" w14:textId="30ADEF7D" w:rsidR="000A2D7A" w:rsidRDefault="000A2D7A">
      <w:pPr>
        <w:pStyle w:val="FigureTableHeading"/>
      </w:pPr>
      <w:r>
        <w:t xml:space="preserve">Table 1.1 </w:t>
      </w:r>
      <w:r w:rsidR="00671884">
        <w:t xml:space="preserve">– </w:t>
      </w:r>
      <w:r>
        <w:t xml:space="preserve">Examples of </w:t>
      </w:r>
      <w:r w:rsidRPr="00B05A5F">
        <w:t>adopting</w:t>
      </w:r>
      <w:r>
        <w:t xml:space="preserve"> a build mindset (principle 1) </w:t>
      </w:r>
    </w:p>
    <w:tbl>
      <w:tblPr>
        <w:tblW w:w="0" w:type="auto"/>
        <w:tblBorders>
          <w:bottom w:val="single" w:sz="4" w:space="0" w:color="B3B3B3"/>
          <w:insideH w:val="single" w:sz="4" w:space="0" w:color="B3B3B3"/>
        </w:tblBorders>
        <w:shd w:val="clear" w:color="000000" w:fill="auto"/>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4819"/>
        <w:gridCol w:w="4819"/>
      </w:tblGrid>
      <w:tr w:rsidR="000A2D7A" w:rsidRPr="008C4CAC" w14:paraId="30EE2852" w14:textId="77777777">
        <w:trPr>
          <w:tblHeader/>
        </w:trPr>
        <w:tc>
          <w:tcPr>
            <w:tcW w:w="4819" w:type="dxa"/>
            <w:shd w:val="clear" w:color="000000" w:fill="auto"/>
            <w:vAlign w:val="bottom"/>
          </w:tcPr>
          <w:p w14:paraId="0589E21B" w14:textId="77777777" w:rsidR="000A2D7A" w:rsidRPr="008C4CAC" w:rsidRDefault="000A2D7A">
            <w:pPr>
              <w:pStyle w:val="TableHeading"/>
            </w:pPr>
            <w:r w:rsidRPr="008C4CAC">
              <w:t>What this principle is</w:t>
            </w:r>
          </w:p>
        </w:tc>
        <w:tc>
          <w:tcPr>
            <w:tcW w:w="4819" w:type="dxa"/>
            <w:shd w:val="clear" w:color="000000" w:fill="auto"/>
            <w:vAlign w:val="bottom"/>
          </w:tcPr>
          <w:p w14:paraId="15B3E1E7" w14:textId="77777777" w:rsidR="000A2D7A" w:rsidRPr="008C4CAC" w:rsidRDefault="000A2D7A">
            <w:pPr>
              <w:pStyle w:val="TableHeading"/>
            </w:pPr>
            <w:r w:rsidRPr="008C4CAC">
              <w:t>What this principle is not</w:t>
            </w:r>
          </w:p>
        </w:tc>
      </w:tr>
      <w:tr w:rsidR="000A2D7A" w:rsidRPr="008C4CAC" w14:paraId="5475D1BB" w14:textId="77777777">
        <w:tc>
          <w:tcPr>
            <w:tcW w:w="4819" w:type="dxa"/>
            <w:shd w:val="clear" w:color="000000" w:fill="auto"/>
          </w:tcPr>
          <w:p w14:paraId="3B8D9D9E" w14:textId="77777777" w:rsidR="000A2D7A" w:rsidRPr="00881C00" w:rsidRDefault="000A2D7A" w:rsidP="00881C00">
            <w:pPr>
              <w:pStyle w:val="TableListBullet"/>
            </w:pPr>
            <w:r w:rsidRPr="00881C00">
              <w:t>Zoning set based on infrastructure capacity, estimates of demand and externalities (congestion, agglomeration benefits etc.)</w:t>
            </w:r>
          </w:p>
        </w:tc>
        <w:tc>
          <w:tcPr>
            <w:tcW w:w="4819" w:type="dxa"/>
            <w:shd w:val="clear" w:color="000000" w:fill="auto"/>
          </w:tcPr>
          <w:p w14:paraId="42E48958" w14:textId="77777777" w:rsidR="000A2D7A" w:rsidRPr="00881C00" w:rsidRDefault="000A2D7A" w:rsidP="00036A25">
            <w:pPr>
              <w:pStyle w:val="TableListBullet"/>
              <w:contextualSpacing w:val="0"/>
            </w:pPr>
            <w:r w:rsidRPr="00881C00">
              <w:t xml:space="preserve">Zoning that is unresponsive to context and demand </w:t>
            </w:r>
          </w:p>
        </w:tc>
      </w:tr>
      <w:tr w:rsidR="000A2D7A" w:rsidRPr="008C4CAC" w14:paraId="2F49358D" w14:textId="77777777">
        <w:tc>
          <w:tcPr>
            <w:tcW w:w="4819" w:type="dxa"/>
            <w:shd w:val="clear" w:color="000000" w:fill="auto"/>
          </w:tcPr>
          <w:p w14:paraId="46FBC7D4" w14:textId="77777777" w:rsidR="000A2D7A" w:rsidRPr="00881C00" w:rsidRDefault="000A2D7A" w:rsidP="00881C00">
            <w:pPr>
              <w:pStyle w:val="TableListBullet"/>
            </w:pPr>
            <w:r w:rsidRPr="00881C00">
              <w:t>Higher density zoning near jobs and transport corridors</w:t>
            </w:r>
          </w:p>
        </w:tc>
        <w:tc>
          <w:tcPr>
            <w:tcW w:w="4819" w:type="dxa"/>
            <w:shd w:val="clear" w:color="000000" w:fill="auto"/>
          </w:tcPr>
          <w:p w14:paraId="442DE223" w14:textId="77777777" w:rsidR="000A2D7A" w:rsidRPr="00671884" w:rsidRDefault="000A2D7A" w:rsidP="00036A25">
            <w:pPr>
              <w:pStyle w:val="TableListBullet"/>
              <w:contextualSpacing w:val="0"/>
              <w:rPr>
                <w:spacing w:val="-4"/>
              </w:rPr>
            </w:pPr>
            <w:r w:rsidRPr="00671884">
              <w:rPr>
                <w:spacing w:val="-4"/>
              </w:rPr>
              <w:t>Overly prescriptive zoning which does not consider the costs and benefits of development for the relevant area</w:t>
            </w:r>
          </w:p>
        </w:tc>
      </w:tr>
      <w:tr w:rsidR="000A2D7A" w:rsidRPr="008C4CAC" w14:paraId="4910B07C" w14:textId="77777777">
        <w:tc>
          <w:tcPr>
            <w:tcW w:w="4819" w:type="dxa"/>
            <w:shd w:val="clear" w:color="000000" w:fill="auto"/>
          </w:tcPr>
          <w:p w14:paraId="26983E16" w14:textId="77777777" w:rsidR="000A2D7A" w:rsidRPr="00881C00" w:rsidRDefault="000A2D7A" w:rsidP="00881C00">
            <w:pPr>
              <w:pStyle w:val="TableListBullet"/>
            </w:pPr>
            <w:r w:rsidRPr="00881C00">
              <w:lastRenderedPageBreak/>
              <w:t>Targeted heritage protections applied to buildings where the benefit to the community outweighs the development benefit forgone</w:t>
            </w:r>
          </w:p>
        </w:tc>
        <w:tc>
          <w:tcPr>
            <w:tcW w:w="4819" w:type="dxa"/>
            <w:shd w:val="clear" w:color="000000" w:fill="auto"/>
          </w:tcPr>
          <w:p w14:paraId="39929FFE" w14:textId="77777777" w:rsidR="000A2D7A" w:rsidRPr="00881C00" w:rsidRDefault="000A2D7A" w:rsidP="00036A25">
            <w:pPr>
              <w:pStyle w:val="TableListBullet"/>
              <w:contextualSpacing w:val="0"/>
            </w:pPr>
            <w:r w:rsidRPr="00881C00">
              <w:t>Broad heritage overlays applied without benefit assessments, allowing ‘heritage’ or ‘cultural’ value to be an excuse to prevent development</w:t>
            </w:r>
          </w:p>
        </w:tc>
      </w:tr>
      <w:tr w:rsidR="000A2D7A" w:rsidRPr="008C4CAC" w14:paraId="6A105E4A" w14:textId="77777777">
        <w:tc>
          <w:tcPr>
            <w:tcW w:w="4819" w:type="dxa"/>
            <w:shd w:val="clear" w:color="000000" w:fill="auto"/>
          </w:tcPr>
          <w:p w14:paraId="204F5D64" w14:textId="77777777" w:rsidR="000A2D7A" w:rsidRPr="00881C00" w:rsidRDefault="000A2D7A" w:rsidP="00881C00">
            <w:pPr>
              <w:pStyle w:val="TableListBullet"/>
            </w:pPr>
            <w:r w:rsidRPr="00881C00">
              <w:t>Regulatory impact statements required to establish regulations and review existing regulations and for deviations from the rules</w:t>
            </w:r>
          </w:p>
        </w:tc>
        <w:tc>
          <w:tcPr>
            <w:tcW w:w="4819" w:type="dxa"/>
            <w:shd w:val="clear" w:color="000000" w:fill="auto"/>
          </w:tcPr>
          <w:p w14:paraId="1FBE7EBA" w14:textId="77777777" w:rsidR="000A2D7A" w:rsidRPr="00881C00" w:rsidRDefault="000A2D7A" w:rsidP="00036A25">
            <w:pPr>
              <w:pStyle w:val="TableListBullet"/>
              <w:contextualSpacing w:val="0"/>
            </w:pPr>
            <w:r w:rsidRPr="00881C00">
              <w:t>Variation in rules with limited evidence</w:t>
            </w:r>
            <w:r w:rsidRPr="00881C00">
              <w:noBreakHyphen/>
              <w:t>based rationale to support variation, for example the number of metres for set</w:t>
            </w:r>
            <w:r w:rsidRPr="00881C00">
              <w:noBreakHyphen/>
              <w:t xml:space="preserve">back requirements </w:t>
            </w:r>
          </w:p>
        </w:tc>
      </w:tr>
      <w:tr w:rsidR="000A2D7A" w:rsidRPr="008C4CAC" w14:paraId="09D24708" w14:textId="77777777">
        <w:tc>
          <w:tcPr>
            <w:tcW w:w="4819" w:type="dxa"/>
            <w:shd w:val="clear" w:color="000000" w:fill="auto"/>
          </w:tcPr>
          <w:p w14:paraId="10FE29FB" w14:textId="77777777" w:rsidR="000A2D7A" w:rsidRPr="00881C00" w:rsidRDefault="000A2D7A" w:rsidP="00881C00">
            <w:pPr>
              <w:pStyle w:val="TableListBullet"/>
            </w:pPr>
            <w:r w:rsidRPr="00881C00">
              <w:t>Built form controls used to manage a specific externality</w:t>
            </w:r>
          </w:p>
        </w:tc>
        <w:tc>
          <w:tcPr>
            <w:tcW w:w="4819" w:type="dxa"/>
            <w:shd w:val="clear" w:color="000000" w:fill="auto"/>
          </w:tcPr>
          <w:p w14:paraId="019D47A5" w14:textId="77777777" w:rsidR="000A2D7A" w:rsidRPr="00881C00" w:rsidRDefault="000A2D7A" w:rsidP="00036A25">
            <w:pPr>
              <w:pStyle w:val="TableListBullet"/>
              <w:contextualSpacing w:val="0"/>
            </w:pPr>
            <w:r w:rsidRPr="00881C00">
              <w:t>Blanket built form controls applied without consideration of their effect on housing supply</w:t>
            </w:r>
          </w:p>
        </w:tc>
      </w:tr>
    </w:tbl>
    <w:p w14:paraId="62FBB953" w14:textId="68FC35DE" w:rsidR="000A2D7A" w:rsidRPr="00F82BD9" w:rsidRDefault="000A2D7A" w:rsidP="005818CF">
      <w:pPr>
        <w:pStyle w:val="BodyText"/>
      </w:pPr>
    </w:p>
    <w:tbl>
      <w:tblPr>
        <w:tblStyle w:val="Boxtable"/>
        <w:tblW w:w="5000" w:type="pct"/>
        <w:tblLook w:val="04A0" w:firstRow="1" w:lastRow="0" w:firstColumn="1" w:lastColumn="0" w:noHBand="0" w:noVBand="1"/>
      </w:tblPr>
      <w:tblGrid>
        <w:gridCol w:w="9638"/>
      </w:tblGrid>
      <w:tr w:rsidR="000A2D7A" w14:paraId="4C674157" w14:textId="77777777">
        <w:trPr>
          <w:tblHeader/>
        </w:trPr>
        <w:tc>
          <w:tcPr>
            <w:tcW w:w="9638" w:type="dxa"/>
            <w:shd w:val="clear" w:color="auto" w:fill="EBEBEB"/>
            <w:tcMar>
              <w:top w:w="170" w:type="dxa"/>
              <w:left w:w="170" w:type="dxa"/>
              <w:bottom w:w="113" w:type="dxa"/>
              <w:right w:w="170" w:type="dxa"/>
            </w:tcMar>
            <w:hideMark/>
          </w:tcPr>
          <w:p w14:paraId="6E018C10" w14:textId="632F32A1" w:rsidR="000A2D7A" w:rsidRDefault="000A2D7A">
            <w:pPr>
              <w:pStyle w:val="BoxHeading1"/>
            </w:pPr>
            <w:r w:rsidRPr="00E60ED2">
              <w:t>Box</w:t>
            </w:r>
            <w:r>
              <w:t> </w:t>
            </w:r>
            <w:r w:rsidRPr="00E60ED2">
              <w:t>1.</w:t>
            </w:r>
            <w:r>
              <w:t>3</w:t>
            </w:r>
            <w:r w:rsidRPr="00E60ED2">
              <w:t xml:space="preserve"> – Principle in practice: </w:t>
            </w:r>
            <w:r>
              <w:t>u</w:t>
            </w:r>
            <w:r w:rsidRPr="00E60ED2">
              <w:t>pzoning in New Zealand</w:t>
            </w:r>
          </w:p>
        </w:tc>
      </w:tr>
      <w:tr w:rsidR="000A2D7A" w14:paraId="4423F781" w14:textId="77777777">
        <w:tc>
          <w:tcPr>
            <w:tcW w:w="9638" w:type="dxa"/>
            <w:shd w:val="clear" w:color="auto" w:fill="EBEBEB"/>
            <w:tcMar>
              <w:top w:w="28" w:type="dxa"/>
              <w:left w:w="170" w:type="dxa"/>
              <w:bottom w:w="170" w:type="dxa"/>
              <w:right w:w="170" w:type="dxa"/>
            </w:tcMar>
            <w:hideMark/>
          </w:tcPr>
          <w:p w14:paraId="30428671" w14:textId="19DE2F02" w:rsidR="000A2D7A" w:rsidRDefault="000A2D7A">
            <w:pPr>
              <w:pStyle w:val="BodyText"/>
            </w:pPr>
            <w:r>
              <w:t xml:space="preserve">In the 2010s, New Zealand faced housing supply and affordability challenges, driven by low supply responsiveness, low interest rates and strong population growth </w:t>
            </w:r>
            <w:r w:rsidRPr="00A43AFD">
              <w:t>(Barker 2019)</w:t>
            </w:r>
            <w:r>
              <w:t>. Several research papers argued supply responsiveness was largely limited by restrictive land</w:t>
            </w:r>
            <w:r w:rsidRPr="00A43AFD">
              <w:noBreakHyphen/>
            </w:r>
            <w:r>
              <w:t xml:space="preserve">use controls. For example, 95% of residential land in Auckland was zoned for low density housing </w:t>
            </w:r>
            <w:r w:rsidR="00877EF9" w:rsidRPr="00877EF9">
              <w:rPr>
                <w:rFonts w:cs="Open Sans"/>
              </w:rPr>
              <w:t>(Greenaway-</w:t>
            </w:r>
            <w:proofErr w:type="spellStart"/>
            <w:r w:rsidR="00877EF9" w:rsidRPr="00877EF9">
              <w:rPr>
                <w:rFonts w:cs="Open Sans"/>
              </w:rPr>
              <w:t>McGrevy</w:t>
            </w:r>
            <w:proofErr w:type="spellEnd"/>
            <w:r w:rsidR="00877EF9" w:rsidRPr="00877EF9">
              <w:rPr>
                <w:rFonts w:cs="Open Sans"/>
              </w:rPr>
              <w:t xml:space="preserve"> and Jones 2025a, p. 2420)</w:t>
            </w:r>
            <w:r>
              <w:t>.</w:t>
            </w:r>
          </w:p>
          <w:p w14:paraId="032C5CBE" w14:textId="58BE245A" w:rsidR="000A2D7A" w:rsidRDefault="000A2D7A">
            <w:pPr>
              <w:pStyle w:val="BodyText"/>
            </w:pPr>
            <w:r>
              <w:t>In 2010, the New Zealand Government consolidated the 7 district and city councils of Auckland into a single Auckland Council. The new Auckland Council proposed new medium and high</w:t>
            </w:r>
            <w:r w:rsidRPr="00A43AFD">
              <w:noBreakHyphen/>
            </w:r>
            <w:r>
              <w:t xml:space="preserve">density zones in 2013 via the Auckland Unitary Plan (AUP). The AUP permitted </w:t>
            </w:r>
            <w:r w:rsidRPr="00D71605">
              <w:t>upzon</w:t>
            </w:r>
            <w:r>
              <w:t>ing of</w:t>
            </w:r>
            <w:r w:rsidRPr="00D71605">
              <w:t xml:space="preserve"> </w:t>
            </w:r>
            <w:r>
              <w:t xml:space="preserve">approximately three quarters of Auckland’s residential land in 2016 </w:t>
            </w:r>
            <w:r w:rsidR="00877EF9" w:rsidRPr="00877EF9">
              <w:rPr>
                <w:rFonts w:cs="Open Sans"/>
              </w:rPr>
              <w:t>(Greenaway-</w:t>
            </w:r>
            <w:proofErr w:type="spellStart"/>
            <w:r w:rsidR="00877EF9" w:rsidRPr="00877EF9">
              <w:rPr>
                <w:rFonts w:cs="Open Sans"/>
              </w:rPr>
              <w:t>McGrevy</w:t>
            </w:r>
            <w:proofErr w:type="spellEnd"/>
            <w:r w:rsidR="00877EF9" w:rsidRPr="00877EF9">
              <w:rPr>
                <w:rFonts w:cs="Open Sans"/>
              </w:rPr>
              <w:t xml:space="preserve"> and Jones 2025a)</w:t>
            </w:r>
            <w:r w:rsidRPr="00A43AFD">
              <w:t>.</w:t>
            </w:r>
          </w:p>
          <w:p w14:paraId="57EEA7A2" w14:textId="66FE4277" w:rsidR="000A2D7A" w:rsidRDefault="000A2D7A">
            <w:pPr>
              <w:pStyle w:val="BodyText"/>
            </w:pPr>
            <w:r>
              <w:t>The AUP upzoning employed a ‘build mindset’ by recognising that while low density zoning may deliver some local benefit, it imposes broader economic, social and environmental costs by unduly restricting housing development below population needs. To maximise the benefits for each area, the extent of upzoning differed – informed by long</w:t>
            </w:r>
            <w:r w:rsidRPr="00A43AFD">
              <w:noBreakHyphen/>
            </w:r>
            <w:r>
              <w:t xml:space="preserve">term urban growth plans, infrastructure coordination and transport investment </w:t>
            </w:r>
            <w:r w:rsidRPr="00A43AFD">
              <w:t>(Bennetts 2026; Mecone Group, sub. 65, p. 13; PIA, sub. 34, p. 11; Sorensen and Allan Jones 2024, p. 6)</w:t>
            </w:r>
            <w:r>
              <w:t>. For example, areas with established transport infrastructure were</w:t>
            </w:r>
            <w:r w:rsidRPr="00162CA6">
              <w:t xml:space="preserve"> </w:t>
            </w:r>
            <w:r>
              <w:t xml:space="preserve">more </w:t>
            </w:r>
            <w:r w:rsidRPr="00162CA6">
              <w:t>likely to be upzoned to the highe</w:t>
            </w:r>
            <w:r>
              <w:t>r</w:t>
            </w:r>
            <w:r w:rsidRPr="00162CA6">
              <w:t xml:space="preserve"> density </w:t>
            </w:r>
            <w:r>
              <w:t xml:space="preserve">‘terrace house’ zone </w:t>
            </w:r>
            <w:r w:rsidRPr="00A43AFD">
              <w:t>(Greenaway-McGrevy 2025, p. 4)</w:t>
            </w:r>
            <w:r>
              <w:t xml:space="preserve">. Auckland Council upzoned most land, recognising that upzoning creates more benefits than costs in most areas, when supply and affordability are considered. </w:t>
            </w:r>
          </w:p>
          <w:p w14:paraId="79A1DE0C" w14:textId="346FD8EA" w:rsidR="000A2D7A" w:rsidRDefault="000A2D7A">
            <w:pPr>
              <w:pStyle w:val="BodyText"/>
            </w:pPr>
            <w:r>
              <w:t xml:space="preserve">Evaluations have demonstrated that following AUP residential construction productivity has improved, dwelling consents have significantly increased, and rents and house prices are lower than they would be if reform had not occurred </w:t>
            </w:r>
            <w:r w:rsidRPr="004E4A20">
              <w:rPr>
                <w:rFonts w:cs="Open Sans"/>
              </w:rPr>
              <w:t>(BCA, sub. 71, attachment, p. 49; CIS, sub. 18, attachment, pp. 2</w:t>
            </w:r>
            <w:r w:rsidR="00947ABB">
              <w:rPr>
                <w:rFonts w:cs="Open Sans"/>
              </w:rPr>
              <w:t>–</w:t>
            </w:r>
            <w:r w:rsidRPr="004E4A20">
              <w:rPr>
                <w:rFonts w:cs="Open Sans"/>
              </w:rPr>
              <w:t>3; Greenaway-McGrevy 2025, 2026; Greenaway-</w:t>
            </w:r>
            <w:proofErr w:type="spellStart"/>
            <w:r w:rsidRPr="004E4A20">
              <w:rPr>
                <w:rFonts w:cs="Open Sans"/>
              </w:rPr>
              <w:t>McGrevy</w:t>
            </w:r>
            <w:proofErr w:type="spellEnd"/>
            <w:r w:rsidRPr="004E4A20">
              <w:rPr>
                <w:rFonts w:cs="Open Sans"/>
              </w:rPr>
              <w:t xml:space="preserve"> and Phillips 2023; Maltman 2025; Maltman and Gibbons, sub. 41, p. 18</w:t>
            </w:r>
            <w:r w:rsidR="00947ABB">
              <w:rPr>
                <w:rFonts w:cs="Open Sans"/>
              </w:rPr>
              <w:t>,</w:t>
            </w:r>
            <w:r w:rsidRPr="004E4A20">
              <w:rPr>
                <w:rFonts w:cs="Open Sans"/>
              </w:rPr>
              <w:t xml:space="preserve"> 27</w:t>
            </w:r>
            <w:r w:rsidR="000D54C4">
              <w:rPr>
                <w:rFonts w:cs="Open Sans"/>
              </w:rPr>
              <w:t>–</w:t>
            </w:r>
            <w:r w:rsidRPr="004E4A20">
              <w:rPr>
                <w:rFonts w:cs="Open Sans"/>
              </w:rPr>
              <w:t>28)</w:t>
            </w:r>
            <w:r w:rsidRPr="00A43AFD">
              <w:t>.</w:t>
            </w:r>
            <w:r>
              <w:t xml:space="preserve"> </w:t>
            </w:r>
          </w:p>
          <w:p w14:paraId="51D06E4A" w14:textId="77777777" w:rsidR="000A2D7A" w:rsidRPr="00437304" w:rsidRDefault="000A2D7A">
            <w:pPr>
              <w:pStyle w:val="BodyText"/>
              <w:rPr>
                <w:b/>
                <w:bCs/>
              </w:rPr>
            </w:pPr>
            <w:r w:rsidRPr="00A43AFD">
              <w:t>The success of the AUP demonstrates how adopting a ‘build mindset</w:t>
            </w:r>
            <w:r>
              <w:t>’</w:t>
            </w:r>
            <w:r w:rsidRPr="00A43AFD">
              <w:t xml:space="preserve"> when designing planning policy can improve overall societal outcomes.</w:t>
            </w:r>
            <w:r>
              <w:t xml:space="preserve"> </w:t>
            </w:r>
          </w:p>
        </w:tc>
      </w:tr>
      <w:tr w:rsidR="000A2D7A" w14:paraId="15FEF0A4" w14:textId="77777777">
        <w:trPr>
          <w:hidden/>
        </w:trPr>
        <w:tc>
          <w:tcPr>
            <w:tcW w:w="9638" w:type="dxa"/>
            <w:shd w:val="clear" w:color="auto" w:fill="auto"/>
            <w:tcMar>
              <w:top w:w="0" w:type="dxa"/>
              <w:left w:w="170" w:type="dxa"/>
              <w:bottom w:w="0" w:type="dxa"/>
              <w:right w:w="170" w:type="dxa"/>
            </w:tcMar>
          </w:tcPr>
          <w:p w14:paraId="32DAFBE9" w14:textId="2EAB7EBC" w:rsidR="000A2D7A" w:rsidRPr="00465191" w:rsidRDefault="000A2D7A">
            <w:pPr>
              <w:pStyle w:val="BodyText"/>
              <w:spacing w:before="0" w:after="0" w:line="80" w:lineRule="atLeast"/>
              <w:rPr>
                <w:smallCaps/>
                <w:vanish/>
              </w:rPr>
            </w:pPr>
          </w:p>
        </w:tc>
      </w:tr>
    </w:tbl>
    <w:p w14:paraId="0BD48D64" w14:textId="5B0A185B" w:rsidR="000A2D7A" w:rsidRDefault="000A2D7A" w:rsidP="00225835">
      <w:pPr>
        <w:pStyle w:val="Heading3"/>
      </w:pPr>
      <w:r>
        <w:lastRenderedPageBreak/>
        <w:t>Principle 2: Only regulate where necessary</w:t>
      </w:r>
    </w:p>
    <w:p w14:paraId="7440F564" w14:textId="77777777" w:rsidR="000A2D7A" w:rsidRPr="007519DC" w:rsidRDefault="000A2D7A" w:rsidP="005F3478">
      <w:pPr>
        <w:pStyle w:val="ListBullet"/>
        <w:numPr>
          <w:ilvl w:val="0"/>
          <w:numId w:val="0"/>
        </w:numPr>
        <w:rPr>
          <w:rStyle w:val="ColourBlue"/>
          <w:rFonts w:ascii="Open Sans Semibold" w:hAnsi="Open Sans Semibold" w:cs="Open Sans Semibold"/>
          <w:color w:val="207291" w:themeColor="text2" w:themeShade="BF"/>
        </w:rPr>
      </w:pPr>
      <w:r w:rsidRPr="007519DC">
        <w:rPr>
          <w:rStyle w:val="ColourBlue"/>
          <w:rFonts w:ascii="Open Sans Semibold" w:hAnsi="Open Sans Semibold" w:cs="Open Sans Semibold"/>
          <w:color w:val="207291" w:themeColor="text2" w:themeShade="BF"/>
        </w:rPr>
        <w:t>Only regulate housing design features when there are clear market failures and allow households to choose and pay for other features they value.</w:t>
      </w:r>
    </w:p>
    <w:p w14:paraId="7B12E2C7" w14:textId="77777777" w:rsidR="000A2D7A" w:rsidRDefault="000A2D7A">
      <w:pPr>
        <w:pStyle w:val="BodyText"/>
      </w:pPr>
      <w:r w:rsidRPr="00A43AFD">
        <w:t xml:space="preserve">Prospective residents may not have the expertise or information to assess some important issues, such as whether </w:t>
      </w:r>
      <w:r>
        <w:t>housing</w:t>
      </w:r>
      <w:r w:rsidRPr="00A43AFD">
        <w:t xml:space="preserve"> has been constructed safely and with the appropriate materials. These information asymmetries can create a market failure, which occurs when resources are allocated in a way that is not best for society. For example, they could allow developers to charge market rates for houses that are lower than desired quality. Regulation can prevent this by setting minimum standards so that residents can trust </w:t>
      </w:r>
      <w:r>
        <w:t xml:space="preserve">that </w:t>
      </w:r>
      <w:r w:rsidRPr="00A43AFD">
        <w:t xml:space="preserve">their building is safe. </w:t>
      </w:r>
    </w:p>
    <w:p w14:paraId="1E92EA66" w14:textId="77777777" w:rsidR="000A2D7A" w:rsidRDefault="000A2D7A">
      <w:pPr>
        <w:pStyle w:val="BodyText"/>
      </w:pPr>
      <w:r>
        <w:t xml:space="preserve">In contrast, features that can be directly observed and assessed do not generate the same market failure. These features would mainly affect the occupant(s) and reflect preferences that </w:t>
      </w:r>
      <w:r w:rsidRPr="00A43AFD">
        <w:t>they</w:t>
      </w:r>
      <w:r>
        <w:t xml:space="preserve"> can value for themselves</w:t>
      </w:r>
      <w:r w:rsidDel="009704AD">
        <w:t>.</w:t>
      </w:r>
      <w:r w:rsidDel="00412E66">
        <w:t xml:space="preserve"> </w:t>
      </w:r>
      <w:r>
        <w:t>Regulating these observable features forces costs onto all occupants which may not have a corresponding benefit. For example, regulations that mandate minimum bedroom sizes could force a prospective resident to pay more for a larger bedroom that they may not value. Other practical examples of this principle are outlined in table 1.2.</w:t>
      </w:r>
    </w:p>
    <w:p w14:paraId="05371982" w14:textId="7CB8C71C" w:rsidR="000A2D7A" w:rsidRPr="007519DC" w:rsidRDefault="000A2D7A">
      <w:pPr>
        <w:pStyle w:val="BodyText"/>
        <w:rPr>
          <w:spacing w:val="-2"/>
        </w:rPr>
      </w:pPr>
      <w:r w:rsidRPr="007519DC">
        <w:rPr>
          <w:spacing w:val="-2"/>
        </w:rPr>
        <w:t>In some cases, cognitive biases mean that even with perfect information, people do not make ‘optimal’ economic choices about their housing needs. For example, in a market characterised by scarcity, people may overpay for features of a</w:t>
      </w:r>
      <w:r w:rsidRPr="007519DC" w:rsidDel="00BD478D">
        <w:rPr>
          <w:spacing w:val="-2"/>
        </w:rPr>
        <w:t xml:space="preserve"> </w:t>
      </w:r>
      <w:r w:rsidRPr="007519DC">
        <w:rPr>
          <w:spacing w:val="-2"/>
        </w:rPr>
        <w:t>home they do not want or need due to fear of being unable to secure anywhere to live (Christie et al. 2008, p. 2309). However, it is not possible nor desirable to regulate for every possible decision</w:t>
      </w:r>
      <w:r w:rsidRPr="007519DC">
        <w:rPr>
          <w:spacing w:val="-2"/>
        </w:rPr>
        <w:noBreakHyphen/>
        <w:t>making scenario. There is likely only a role for government to intervene when biases occur in a systemic way and cause harm to the person or others. Even then, regulating housing features may not be the appropriate means to address the issue compared to other interventions.</w:t>
      </w:r>
    </w:p>
    <w:p w14:paraId="2DDA4A86" w14:textId="1708BB8B" w:rsidR="000A2D7A" w:rsidRDefault="000A2D7A">
      <w:pPr>
        <w:pStyle w:val="BodyText"/>
      </w:pPr>
      <w:r>
        <w:t xml:space="preserve">‘Only regulate where necessary’ encourages regulation that promotes choice and enables people to act on their preferences </w:t>
      </w:r>
      <w:r w:rsidRPr="00A43AFD">
        <w:t>(NSW PC 2021; PIA 2022)</w:t>
      </w:r>
      <w:r>
        <w:t xml:space="preserve"> – where preferences do not have a negative impact on others. </w:t>
      </w:r>
      <w:r w:rsidRPr="00A43AFD">
        <w:t>This should result in a</w:t>
      </w:r>
      <w:r>
        <w:t xml:space="preserve"> wider range of housing types and innovative designs that will allow people to choose what features they value, as shown in box 1.4. </w:t>
      </w:r>
    </w:p>
    <w:p w14:paraId="2A69B64C" w14:textId="21D82C76" w:rsidR="000A2D7A" w:rsidRDefault="000A2D7A">
      <w:pPr>
        <w:pStyle w:val="FigureTableHeading"/>
      </w:pPr>
      <w:r>
        <w:t xml:space="preserve">Table 1.2 </w:t>
      </w:r>
      <w:r w:rsidR="00671884">
        <w:t xml:space="preserve">– </w:t>
      </w:r>
      <w:r>
        <w:t xml:space="preserve">Only regulate where necessary (principle 2)  </w:t>
      </w:r>
    </w:p>
    <w:tbl>
      <w:tblPr>
        <w:tblW w:w="0" w:type="auto"/>
        <w:tblBorders>
          <w:bottom w:val="single" w:sz="4" w:space="0" w:color="B3B3B3"/>
          <w:insideH w:val="single" w:sz="4" w:space="0" w:color="B3B3B3"/>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4819"/>
        <w:gridCol w:w="4819"/>
      </w:tblGrid>
      <w:tr w:rsidR="000A2D7A" w:rsidRPr="007D7EA9" w14:paraId="6C6F8F3A" w14:textId="77777777">
        <w:trPr>
          <w:tblHeader/>
        </w:trPr>
        <w:tc>
          <w:tcPr>
            <w:tcW w:w="4819" w:type="dxa"/>
            <w:vAlign w:val="bottom"/>
          </w:tcPr>
          <w:p w14:paraId="34833D41" w14:textId="77777777" w:rsidR="000A2D7A" w:rsidRPr="007E4363" w:rsidRDefault="000A2D7A">
            <w:pPr>
              <w:pStyle w:val="TableHeading"/>
            </w:pPr>
            <w:r w:rsidRPr="007E4363">
              <w:t>What this principle is</w:t>
            </w:r>
          </w:p>
        </w:tc>
        <w:tc>
          <w:tcPr>
            <w:tcW w:w="4819" w:type="dxa"/>
            <w:vAlign w:val="bottom"/>
          </w:tcPr>
          <w:p w14:paraId="29D1B092" w14:textId="77777777" w:rsidR="000A2D7A" w:rsidRPr="007E4363" w:rsidRDefault="000A2D7A">
            <w:pPr>
              <w:pStyle w:val="TableHeading"/>
            </w:pPr>
            <w:r w:rsidRPr="007E4363">
              <w:t>What this principle is not</w:t>
            </w:r>
          </w:p>
        </w:tc>
      </w:tr>
      <w:tr w:rsidR="000A2D7A" w:rsidRPr="007D7EA9" w14:paraId="5A4F521F" w14:textId="77777777">
        <w:tc>
          <w:tcPr>
            <w:tcW w:w="4819" w:type="dxa"/>
          </w:tcPr>
          <w:p w14:paraId="0ED69B22" w14:textId="77777777" w:rsidR="000A2D7A" w:rsidRPr="00881C00" w:rsidRDefault="000A2D7A" w:rsidP="00881C00">
            <w:pPr>
              <w:pStyle w:val="TableListBullet"/>
            </w:pPr>
            <w:r w:rsidRPr="00881C00">
              <w:t>Regulate built form where there are information asymmetries which could affect safety e.g. minimum building standards such as insulation, fire safety</w:t>
            </w:r>
          </w:p>
        </w:tc>
        <w:tc>
          <w:tcPr>
            <w:tcW w:w="4819" w:type="dxa"/>
          </w:tcPr>
          <w:p w14:paraId="5A0A32F4" w14:textId="77777777" w:rsidR="000A2D7A" w:rsidRPr="00881C00" w:rsidRDefault="000A2D7A" w:rsidP="007519DC">
            <w:pPr>
              <w:pStyle w:val="TableListBullet"/>
              <w:contextualSpacing w:val="0"/>
            </w:pPr>
            <w:r w:rsidRPr="00881C00">
              <w:t>Regulating obvious building features i.e. visual or design features like window size, balconies, materials, appearance</w:t>
            </w:r>
          </w:p>
          <w:p w14:paraId="54519F0B" w14:textId="77777777" w:rsidR="000A2D7A" w:rsidRPr="00881C00" w:rsidRDefault="000A2D7A" w:rsidP="007519DC">
            <w:pPr>
              <w:pStyle w:val="TableListBullet"/>
              <w:contextualSpacing w:val="0"/>
            </w:pPr>
            <w:r w:rsidRPr="00881C00">
              <w:t>Prescribing rules for features or design based on subjective value judgements such as ‘neighbourhood character’</w:t>
            </w:r>
          </w:p>
        </w:tc>
      </w:tr>
      <w:tr w:rsidR="000A2D7A" w:rsidRPr="007D7EA9" w14:paraId="4522A325" w14:textId="77777777">
        <w:tc>
          <w:tcPr>
            <w:tcW w:w="4819" w:type="dxa"/>
          </w:tcPr>
          <w:p w14:paraId="300E4308" w14:textId="77777777" w:rsidR="000A2D7A" w:rsidRPr="00881C00" w:rsidRDefault="000A2D7A" w:rsidP="00881C00">
            <w:pPr>
              <w:pStyle w:val="TableListBullet"/>
            </w:pPr>
            <w:r w:rsidRPr="00881C00">
              <w:t>Ensure basic habitability and health (e.g. ventilation, minimum ceiling heights)</w:t>
            </w:r>
          </w:p>
        </w:tc>
        <w:tc>
          <w:tcPr>
            <w:tcW w:w="4819" w:type="dxa"/>
          </w:tcPr>
          <w:p w14:paraId="2E2E6698" w14:textId="77777777" w:rsidR="000A2D7A" w:rsidRPr="00881C00" w:rsidRDefault="000A2D7A" w:rsidP="007519DC">
            <w:pPr>
              <w:pStyle w:val="TableListBullet"/>
              <w:contextualSpacing w:val="0"/>
            </w:pPr>
            <w:r w:rsidRPr="00881C00">
              <w:t>Prescribing internal design choices beyond those necessary for welfare e.g. internal layout or storage requirements, bedroom sizes</w:t>
            </w:r>
          </w:p>
        </w:tc>
      </w:tr>
      <w:tr w:rsidR="000A2D7A" w:rsidRPr="007D7EA9" w14:paraId="39958EA7" w14:textId="77777777">
        <w:tc>
          <w:tcPr>
            <w:tcW w:w="4819" w:type="dxa"/>
          </w:tcPr>
          <w:p w14:paraId="5CD998AF" w14:textId="77777777" w:rsidR="000A2D7A" w:rsidRPr="00881C00" w:rsidRDefault="000A2D7A" w:rsidP="00881C00">
            <w:pPr>
              <w:pStyle w:val="TableListBullet"/>
            </w:pPr>
            <w:r w:rsidRPr="00881C00">
              <w:t>Allow households to pay for features which are valued but not essential for all such as larger lot size or outdoor space</w:t>
            </w:r>
          </w:p>
        </w:tc>
        <w:tc>
          <w:tcPr>
            <w:tcW w:w="4819" w:type="dxa"/>
          </w:tcPr>
          <w:p w14:paraId="22C34E0A" w14:textId="77777777" w:rsidR="000A2D7A" w:rsidRPr="00881C00" w:rsidRDefault="000A2D7A" w:rsidP="007519DC">
            <w:pPr>
              <w:pStyle w:val="TableListBullet"/>
              <w:contextualSpacing w:val="0"/>
            </w:pPr>
            <w:r w:rsidRPr="00881C00">
              <w:t>Setting broad and unchanging standards for certain features which limit choice – such as a minimum lot size, parking and private space requirements</w:t>
            </w:r>
          </w:p>
        </w:tc>
      </w:tr>
      <w:tr w:rsidR="000A2D7A" w:rsidRPr="007D7EA9" w14:paraId="0F59F828" w14:textId="77777777">
        <w:tc>
          <w:tcPr>
            <w:tcW w:w="4819" w:type="dxa"/>
          </w:tcPr>
          <w:p w14:paraId="398E7F46" w14:textId="77777777" w:rsidR="000A2D7A" w:rsidRPr="00881C00" w:rsidRDefault="000A2D7A" w:rsidP="00881C00">
            <w:pPr>
              <w:pStyle w:val="TableListBullet"/>
            </w:pPr>
            <w:r w:rsidRPr="00881C00">
              <w:lastRenderedPageBreak/>
              <w:t xml:space="preserve">Ensuring regulation supports necessary infrastructure e.g. infrastructure buffers, emergency vehicle access </w:t>
            </w:r>
          </w:p>
        </w:tc>
        <w:tc>
          <w:tcPr>
            <w:tcW w:w="4819" w:type="dxa"/>
          </w:tcPr>
          <w:p w14:paraId="2AB57BC5" w14:textId="77777777" w:rsidR="000A2D7A" w:rsidRPr="00881C00" w:rsidRDefault="000A2D7A" w:rsidP="007519DC">
            <w:pPr>
              <w:pStyle w:val="TableListBullet"/>
              <w:contextualSpacing w:val="0"/>
            </w:pPr>
            <w:r w:rsidRPr="00881C00">
              <w:t xml:space="preserve">Requiring access to infrastructure which individuals may not need e.g. gas connections when a household may prefer to be fully electric </w:t>
            </w:r>
          </w:p>
        </w:tc>
      </w:tr>
    </w:tbl>
    <w:p w14:paraId="3905EC19" w14:textId="318C7B8F" w:rsidR="00CB1954" w:rsidRPr="00CB1954" w:rsidRDefault="00CB1954" w:rsidP="00CB1954">
      <w:pPr>
        <w:pStyle w:val="BodyTex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9638"/>
      </w:tblGrid>
      <w:tr w:rsidR="000A2D7A" w14:paraId="6848029A" w14:textId="77777777" w:rsidTr="00CB1954">
        <w:tc>
          <w:tcPr>
            <w:tcW w:w="5000" w:type="pct"/>
            <w:shd w:val="clear" w:color="auto" w:fill="EBEBEB"/>
          </w:tcPr>
          <w:p w14:paraId="0991C3DE" w14:textId="77777777" w:rsidR="000A2D7A" w:rsidRPr="00337725" w:rsidRDefault="000A2D7A" w:rsidP="00CB1954">
            <w:pPr>
              <w:pStyle w:val="BoxHeading1"/>
              <w:rPr>
                <w:b/>
                <w:bCs/>
              </w:rPr>
            </w:pPr>
            <w:r>
              <w:rPr>
                <w:b/>
                <w:bCs/>
              </w:rPr>
              <w:t xml:space="preserve">Box 1.4 </w:t>
            </w:r>
            <w:r w:rsidRPr="4F675E18">
              <w:rPr>
                <w:rFonts w:asciiTheme="minorHAnsi" w:hAnsiTheme="minorHAnsi"/>
                <w:color w:val="auto"/>
              </w:rPr>
              <w:t>–</w:t>
            </w:r>
            <w:r w:rsidRPr="00805F3D">
              <w:rPr>
                <w:b/>
                <w:bCs/>
              </w:rPr>
              <w:t xml:space="preserve"> </w:t>
            </w:r>
            <w:r>
              <w:rPr>
                <w:b/>
                <w:bCs/>
              </w:rPr>
              <w:t xml:space="preserve">Principle </w:t>
            </w:r>
            <w:r w:rsidRPr="00B64637">
              <w:rPr>
                <w:b/>
                <w:bCs/>
                <w:u w:val="single"/>
              </w:rPr>
              <w:t>not</w:t>
            </w:r>
            <w:r>
              <w:rPr>
                <w:b/>
                <w:bCs/>
              </w:rPr>
              <w:t xml:space="preserve"> in practice: The ‘Best Apartment’ in 2015 does not adhere to the Apartment Design Guide </w:t>
            </w:r>
          </w:p>
          <w:p w14:paraId="3813CB01" w14:textId="56D60889" w:rsidR="000A2D7A" w:rsidRDefault="000A2D7A" w:rsidP="00CB1954">
            <w:pPr>
              <w:pStyle w:val="BodyText"/>
            </w:pPr>
            <w:r>
              <w:t xml:space="preserve">In 2015, a 27 square metre studio apartment in Darlinghurst, Sydney, won the </w:t>
            </w:r>
            <w:r w:rsidRPr="008E5FB2">
              <w:rPr>
                <w:i/>
                <w:iCs/>
              </w:rPr>
              <w:t>Houses</w:t>
            </w:r>
            <w:r>
              <w:t xml:space="preserve"> Awards category of ‘Apartment or </w:t>
            </w:r>
            <w:r w:rsidRPr="00C27323">
              <w:t>Unit</w:t>
            </w:r>
            <w:r>
              <w:t>’</w:t>
            </w:r>
            <w:r w:rsidRPr="00C27323">
              <w:t xml:space="preserve"> (Houses 2015). Each year </w:t>
            </w:r>
            <w:r w:rsidRPr="008E5FB2">
              <w:rPr>
                <w:i/>
              </w:rPr>
              <w:t>Houses</w:t>
            </w:r>
            <w:r w:rsidRPr="00C27323">
              <w:t xml:space="preserve"> magazine presents the House Awards celebrating </w:t>
            </w:r>
            <w:r>
              <w:t xml:space="preserve">excellence in </w:t>
            </w:r>
            <w:r w:rsidRPr="00C27323">
              <w:t>Australia</w:t>
            </w:r>
            <w:r>
              <w:t xml:space="preserve">n residential </w:t>
            </w:r>
            <w:r w:rsidRPr="00C27323">
              <w:t>projects. The competition is judged by an expert panel of architects, with entries assessed on their conceptual framework, experimentation and innovation, relationship to context, social and environmental sustainability and response to the occupant brief (i.e. how does a house become a home</w:t>
            </w:r>
            <w:r>
              <w:t xml:space="preserve">) </w:t>
            </w:r>
            <w:r w:rsidRPr="00A43AFD">
              <w:t>(Houses 2026)</w:t>
            </w:r>
            <w:r w:rsidRPr="00C27323">
              <w:t xml:space="preserve">. </w:t>
            </w:r>
          </w:p>
          <w:p w14:paraId="6A5FB768" w14:textId="2516215E" w:rsidR="000A2D7A" w:rsidRDefault="000A2D7A" w:rsidP="00CB1954">
            <w:pPr>
              <w:pStyle w:val="BodyText"/>
            </w:pPr>
            <w:r w:rsidRPr="00C27323">
              <w:t xml:space="preserve">The apartment was designed by architect Brad Swartz aiming to demonstrate that inner city living can be </w:t>
            </w:r>
            <w:proofErr w:type="gramStart"/>
            <w:r w:rsidRPr="00C27323">
              <w:t>affordable</w:t>
            </w:r>
            <w:r>
              <w:t>,</w:t>
            </w:r>
            <w:r w:rsidRPr="00C27323">
              <w:t xml:space="preserve"> and</w:t>
            </w:r>
            <w:proofErr w:type="gramEnd"/>
            <w:r w:rsidRPr="00C27323">
              <w:t xml:space="preserve"> challeng</w:t>
            </w:r>
            <w:r>
              <w:t>e</w:t>
            </w:r>
            <w:r w:rsidRPr="00C27323">
              <w:t xml:space="preserve"> the need for urban sprawl. The apartment was carefully designed to maintain functionality and liveability within a </w:t>
            </w:r>
            <w:r>
              <w:t>’</w:t>
            </w:r>
            <w:r w:rsidRPr="00C27323">
              <w:t>very small space</w:t>
            </w:r>
            <w:r>
              <w:t xml:space="preserve">’ </w:t>
            </w:r>
            <w:r w:rsidRPr="00C27323">
              <w:t>(Houses 2015). For example, it contains elements designed for multiple uses and sliding doors to separate the space into 2 distinct living areas (Croaker 2017).</w:t>
            </w:r>
          </w:p>
          <w:p w14:paraId="750C0D02" w14:textId="78B4D9AC" w:rsidR="000A2D7A" w:rsidRDefault="000A2D7A" w:rsidP="00CB1954">
            <w:pPr>
              <w:pStyle w:val="BodyText"/>
            </w:pPr>
            <w:r>
              <w:t xml:space="preserve">However, this studio apartment does not meet New South </w:t>
            </w:r>
            <w:proofErr w:type="spellStart"/>
            <w:r>
              <w:t>Wales’</w:t>
            </w:r>
            <w:proofErr w:type="spellEnd"/>
            <w:r>
              <w:t xml:space="preserve"> Apartment Design Guide, which states studio apartments are required to have a minimum internal area of 35 square metres (NSW DPE 2015, p. 89)</w:t>
            </w:r>
            <w:r w:rsidRPr="00C27323">
              <w:t>.</w:t>
            </w:r>
            <w:r>
              <w:t xml:space="preserve"> While it is guidance, there is a close relationship between the Apartment Design Guide and the </w:t>
            </w:r>
            <w:r w:rsidRPr="00763712">
              <w:rPr>
                <w:i/>
                <w:iCs/>
              </w:rPr>
              <w:t>State Environmental Planning Policy No. 65 (2002)</w:t>
            </w:r>
            <w:r>
              <w:t xml:space="preserve">, which has a statutory effect on development </w:t>
            </w:r>
            <w:r w:rsidRPr="00171CFF">
              <w:rPr>
                <w:rFonts w:cs="Open Sans"/>
              </w:rPr>
              <w:t>(NSW DPE 2015, p. 9)</w:t>
            </w:r>
            <w:r>
              <w:t xml:space="preserve">. By setting standards, the Apartment Design Guide encourages people to default to its design criteria, particularly if it means apartments are more likely to be approved (applications must demonstrate how else they achieve the design objective if they fail to meet criteria such as the 35 square metre internal area) </w:t>
            </w:r>
            <w:r w:rsidRPr="004510D0">
              <w:rPr>
                <w:rFonts w:cs="Open Sans"/>
              </w:rPr>
              <w:t>(NSW DPE 2015, p. 11)</w:t>
            </w:r>
            <w:r>
              <w:t xml:space="preserve">. </w:t>
            </w:r>
          </w:p>
          <w:p w14:paraId="6A5C0C12" w14:textId="16AA0448" w:rsidR="000A2D7A" w:rsidRPr="00B34B1E" w:rsidRDefault="000A2D7A" w:rsidP="00CB1954">
            <w:pPr>
              <w:pStyle w:val="BodyText"/>
            </w:pPr>
            <w:r>
              <w:t xml:space="preserve">This example shows that failing to ‘only regulate where necessary’ can prevent people from acting upon personal preference. In this instance, prospective owners could not readily act on a willingness to trade off floor space for location. </w:t>
            </w:r>
            <w:r w:rsidRPr="00C27323">
              <w:t xml:space="preserve">The apartment’s </w:t>
            </w:r>
            <w:r>
              <w:t>award shows</w:t>
            </w:r>
            <w:r w:rsidRPr="00C27323">
              <w:t xml:space="preserve"> that when well</w:t>
            </w:r>
            <w:r w:rsidRPr="00C27323">
              <w:noBreakHyphen/>
              <w:t>designed, decreased floor space does not necessarily decrease amenity for its residents (Swartz 2015).</w:t>
            </w:r>
          </w:p>
        </w:tc>
      </w:tr>
      <w:tr w:rsidR="000A2D7A" w14:paraId="567D63C4" w14:textId="77777777" w:rsidTr="00CB1954">
        <w:tc>
          <w:tcPr>
            <w:tcW w:w="5000" w:type="pct"/>
            <w:tcMar>
              <w:bottom w:w="0" w:type="dxa"/>
            </w:tcMar>
          </w:tcPr>
          <w:p w14:paraId="2D98B5A6" w14:textId="0429BA28" w:rsidR="000A2D7A" w:rsidRDefault="000A2D7A" w:rsidP="00CB1954">
            <w:pPr>
              <w:pStyle w:val="NoSpacing"/>
              <w:spacing w:line="200" w:lineRule="atLeast"/>
            </w:pPr>
          </w:p>
        </w:tc>
      </w:tr>
    </w:tbl>
    <w:p w14:paraId="23693477" w14:textId="77777777" w:rsidR="000A2D7A" w:rsidRDefault="000A2D7A">
      <w:pPr>
        <w:pStyle w:val="Heading3-noTOC"/>
        <w:keepNext w:val="0"/>
      </w:pPr>
      <w:r>
        <w:t>Principle 3: Coordinate with infrastructure</w:t>
      </w:r>
    </w:p>
    <w:p w14:paraId="160E800A" w14:textId="77777777" w:rsidR="000A2D7A" w:rsidRPr="00CB1954" w:rsidRDefault="000A2D7A" w:rsidP="005F3478">
      <w:pPr>
        <w:pStyle w:val="ListBullet"/>
        <w:numPr>
          <w:ilvl w:val="0"/>
          <w:numId w:val="0"/>
        </w:numPr>
        <w:rPr>
          <w:rStyle w:val="ColourBlue"/>
          <w:rFonts w:ascii="Open Sans Semibold" w:hAnsi="Open Sans Semibold" w:cs="Open Sans Semibold"/>
          <w:color w:val="207291" w:themeColor="text2" w:themeShade="BF"/>
        </w:rPr>
      </w:pPr>
      <w:r w:rsidRPr="00CB1954">
        <w:rPr>
          <w:rStyle w:val="ColourBlue"/>
          <w:rFonts w:ascii="Open Sans Semibold" w:hAnsi="Open Sans Semibold" w:cs="Open Sans Semibold"/>
          <w:color w:val="207291" w:themeColor="text2" w:themeShade="BF"/>
        </w:rPr>
        <w:t>Plan housing and infrastructure together, so new development is supported by the infrastructure it needs, with clear and efficient rules for developer contributions.</w:t>
      </w:r>
    </w:p>
    <w:p w14:paraId="4552CC0F" w14:textId="77777777" w:rsidR="000A2D7A" w:rsidRDefault="000A2D7A">
      <w:pPr>
        <w:pStyle w:val="BodyText"/>
      </w:pPr>
      <w:r w:rsidRPr="00317E37">
        <w:t>Housing</w:t>
      </w:r>
      <w:r w:rsidRPr="00317E37">
        <w:noBreakHyphen/>
        <w:t xml:space="preserve">enabling </w:t>
      </w:r>
      <w:r>
        <w:t xml:space="preserve">infrastructure – the supporting infrastructure and services that make a residential area liveable – is essential for housing development. People need water, power and roads connected to their homes (basic infrastructure) and they want to live in places where there are playgrounds for their children to play, community centres and libraries to learn and participate in activities, sports facilities and green space to undertake physical activity and connect with nature, and public transport to get from A to B with ease (social infrastructure). </w:t>
      </w:r>
    </w:p>
    <w:p w14:paraId="146B3FC8" w14:textId="77777777" w:rsidR="000A2D7A" w:rsidRDefault="000A2D7A">
      <w:pPr>
        <w:pStyle w:val="BodyText"/>
      </w:pPr>
      <w:r>
        <w:lastRenderedPageBreak/>
        <w:t>Principle 3 is about ensuring that governments, local authorities and infrastructure service providers coordinate i</w:t>
      </w:r>
      <w:r w:rsidRPr="00827447">
        <w:t xml:space="preserve">nfrastructure provision, housing planning and </w:t>
      </w:r>
      <w:r>
        <w:t>land</w:t>
      </w:r>
      <w:r>
        <w:noBreakHyphen/>
        <w:t>use controls</w:t>
      </w:r>
      <w:r w:rsidRPr="00317E37">
        <w:t>.</w:t>
      </w:r>
      <w:r>
        <w:t xml:space="preserve"> Coordination and timely delivery of housing</w:t>
      </w:r>
      <w:r>
        <w:noBreakHyphen/>
        <w:t xml:space="preserve">enabling infrastructure </w:t>
      </w:r>
      <w:r w:rsidRPr="00317E37">
        <w:t>is</w:t>
      </w:r>
      <w:r>
        <w:t xml:space="preserve"> essential to ensuring homes are built in the places where they provide the greatest benefit to the community. Box 1.5 provides an example of good practice infrastructure coordination. Other examples of this principle are provided in table 1.3. </w:t>
      </w:r>
    </w:p>
    <w:p w14:paraId="717A9772" w14:textId="16268FFE" w:rsidR="000A2D7A" w:rsidRDefault="000A2D7A">
      <w:pPr>
        <w:pStyle w:val="BodyText"/>
      </w:pPr>
      <w:r>
        <w:t xml:space="preserve">Additional housing drives demand for infrastructure, and conversely, good infrastructure can facilitate the flow of new housing supply, as people are attracted to live in the area </w:t>
      </w:r>
      <w:r w:rsidRPr="00317E37">
        <w:t>(NHFIC 2021, p. 2)</w:t>
      </w:r>
      <w:r>
        <w:t xml:space="preserve">. More housing can also place pressure on existing infrastructure. Consequently, coordination between infrastructure and housing planning must occur </w:t>
      </w:r>
      <w:r w:rsidR="0075718D" w:rsidRPr="00AB1D49">
        <w:t>at a system level across a state or territory, in concert with</w:t>
      </w:r>
      <w:r>
        <w:t xml:space="preserve"> local governments. This will enable strategic decisions to be made regarding infrastructure investment, including between infill and greenfield sites.</w:t>
      </w:r>
    </w:p>
    <w:p w14:paraId="0710EEAC" w14:textId="77777777" w:rsidR="000A2D7A" w:rsidRDefault="000A2D7A">
      <w:pPr>
        <w:pStyle w:val="BodyText"/>
      </w:pPr>
      <w:r>
        <w:t xml:space="preserve">This principle includes being clear and consistent about the respective roles of different funders (government and developers) and the types of infrastructure each of these groups should pay for. Developer contributions are one mechanism for funding infrastructure. Developer contributions and frameworks should not harm development feasibility. To achieve this, they should align with best practice regulation, including being simple, certain, transparent, consistent, timely and efficient. </w:t>
      </w:r>
    </w:p>
    <w:p w14:paraId="2FA0F282" w14:textId="2B8C3316" w:rsidR="000A2D7A" w:rsidRDefault="000A2D7A">
      <w:pPr>
        <w:pStyle w:val="FigureTableHeading"/>
      </w:pPr>
      <w:r>
        <w:t xml:space="preserve">Table 1.3 </w:t>
      </w:r>
      <w:r w:rsidR="00CB1954">
        <w:t xml:space="preserve">– </w:t>
      </w:r>
      <w:r>
        <w:t>Examples of coordinating with infrastructure (principle 3)</w:t>
      </w:r>
    </w:p>
    <w:tbl>
      <w:tblPr>
        <w:tblW w:w="0" w:type="auto"/>
        <w:tblBorders>
          <w:bottom w:val="single" w:sz="4" w:space="0" w:color="B3B3B3"/>
          <w:insideH w:val="single" w:sz="4" w:space="0" w:color="B3B3B3"/>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4819"/>
        <w:gridCol w:w="4819"/>
      </w:tblGrid>
      <w:tr w:rsidR="000A2D7A" w:rsidRPr="007D7EA9" w14:paraId="3FAEC24D" w14:textId="77777777">
        <w:trPr>
          <w:tblHeader/>
        </w:trPr>
        <w:tc>
          <w:tcPr>
            <w:tcW w:w="4819" w:type="dxa"/>
            <w:vAlign w:val="bottom"/>
          </w:tcPr>
          <w:p w14:paraId="4C843DA4" w14:textId="77777777" w:rsidR="000A2D7A" w:rsidRPr="003737E5" w:rsidRDefault="000A2D7A">
            <w:pPr>
              <w:pStyle w:val="TableHeading"/>
            </w:pPr>
            <w:r w:rsidRPr="003737E5">
              <w:t>What this principle is</w:t>
            </w:r>
          </w:p>
        </w:tc>
        <w:tc>
          <w:tcPr>
            <w:tcW w:w="4819" w:type="dxa"/>
            <w:vAlign w:val="bottom"/>
          </w:tcPr>
          <w:p w14:paraId="083DA34F" w14:textId="77777777" w:rsidR="000A2D7A" w:rsidRPr="003737E5" w:rsidRDefault="000A2D7A">
            <w:pPr>
              <w:pStyle w:val="TableHeading"/>
            </w:pPr>
            <w:r w:rsidRPr="003737E5">
              <w:t>What this principle is not</w:t>
            </w:r>
          </w:p>
        </w:tc>
      </w:tr>
      <w:tr w:rsidR="000A2D7A" w:rsidRPr="007D7EA9" w14:paraId="4545BDF9" w14:textId="77777777">
        <w:tc>
          <w:tcPr>
            <w:tcW w:w="4819" w:type="dxa"/>
          </w:tcPr>
          <w:p w14:paraId="2E60CB15" w14:textId="20180DE0" w:rsidR="000A2D7A" w:rsidRPr="00AD2D15" w:rsidRDefault="000D00B9" w:rsidP="000D00B9">
            <w:pPr>
              <w:pStyle w:val="TableListBullet"/>
            </w:pPr>
            <w:r w:rsidRPr="000D00B9">
              <w:t>A coordinated infrastructure planning system across all</w:t>
            </w:r>
            <w:r>
              <w:t> </w:t>
            </w:r>
            <w:r w:rsidRPr="000D00B9">
              <w:t>levels of government (local, state or territory and Australian Government)</w:t>
            </w:r>
          </w:p>
        </w:tc>
        <w:tc>
          <w:tcPr>
            <w:tcW w:w="4819" w:type="dxa"/>
          </w:tcPr>
          <w:p w14:paraId="525BA691" w14:textId="77777777" w:rsidR="000A2D7A" w:rsidRPr="00AD2D15" w:rsidRDefault="000A2D7A" w:rsidP="00CB1954">
            <w:pPr>
              <w:pStyle w:val="TableListBullet"/>
              <w:contextualSpacing w:val="0"/>
            </w:pPr>
            <w:r w:rsidRPr="00AD2D15">
              <w:t>Planning frameworks applied inconsistently between levels of government</w:t>
            </w:r>
          </w:p>
          <w:p w14:paraId="2111DC86" w14:textId="77777777" w:rsidR="000A2D7A" w:rsidRPr="00AD2D15" w:rsidRDefault="000A2D7A" w:rsidP="00CB1954">
            <w:pPr>
              <w:pStyle w:val="TableListBullet"/>
              <w:contextualSpacing w:val="0"/>
            </w:pPr>
            <w:r w:rsidRPr="00AD2D15">
              <w:t>Rezoning land prior to infrastructure planning</w:t>
            </w:r>
          </w:p>
        </w:tc>
      </w:tr>
      <w:tr w:rsidR="000A2D7A" w:rsidRPr="007D7EA9" w14:paraId="324E0AF2" w14:textId="77777777">
        <w:tc>
          <w:tcPr>
            <w:tcW w:w="4819" w:type="dxa"/>
          </w:tcPr>
          <w:p w14:paraId="1F95C344" w14:textId="77777777" w:rsidR="000A2D7A" w:rsidRPr="00AD2D15" w:rsidRDefault="000A2D7A" w:rsidP="00AD2D15">
            <w:pPr>
              <w:pStyle w:val="TableListBullet"/>
            </w:pPr>
            <w:r w:rsidRPr="00AD2D15">
              <w:t>A state</w:t>
            </w:r>
            <w:r w:rsidRPr="00AD2D15">
              <w:noBreakHyphen/>
              <w:t>wide strategic infrastructure planning framework that considers the efficient allocation of funds across in</w:t>
            </w:r>
            <w:r w:rsidRPr="00AD2D15">
              <w:noBreakHyphen/>
              <w:t>fill and greenfield sites</w:t>
            </w:r>
          </w:p>
        </w:tc>
        <w:tc>
          <w:tcPr>
            <w:tcW w:w="4819" w:type="dxa"/>
          </w:tcPr>
          <w:p w14:paraId="4F70B7F5" w14:textId="77777777" w:rsidR="000A2D7A" w:rsidRPr="00AD2D15" w:rsidRDefault="000A2D7A" w:rsidP="00CB1954">
            <w:pPr>
              <w:pStyle w:val="TableListBullet"/>
              <w:contextualSpacing w:val="0"/>
            </w:pPr>
            <w:r w:rsidRPr="00AD2D15">
              <w:t>Ad hoc infrastructure spending that does not consider relative needs and priorities from a state</w:t>
            </w:r>
            <w:r w:rsidRPr="00AD2D15">
              <w:noBreakHyphen/>
              <w:t>wide housing supply perspective</w:t>
            </w:r>
          </w:p>
        </w:tc>
      </w:tr>
      <w:tr w:rsidR="000A2D7A" w:rsidRPr="007D7EA9" w14:paraId="06687477" w14:textId="77777777">
        <w:tc>
          <w:tcPr>
            <w:tcW w:w="4819" w:type="dxa"/>
          </w:tcPr>
          <w:p w14:paraId="7706B0B1" w14:textId="77777777" w:rsidR="000A2D7A" w:rsidRPr="00AD2D15" w:rsidRDefault="000A2D7A" w:rsidP="00AD2D15">
            <w:pPr>
              <w:pStyle w:val="TableListBullet"/>
            </w:pPr>
            <w:r w:rsidRPr="00AD2D15">
              <w:t xml:space="preserve">Clarity around who is paying for what type of infrastructure, when and how much it will cost </w:t>
            </w:r>
          </w:p>
        </w:tc>
        <w:tc>
          <w:tcPr>
            <w:tcW w:w="4819" w:type="dxa"/>
          </w:tcPr>
          <w:p w14:paraId="56B55AC7" w14:textId="77777777" w:rsidR="000A2D7A" w:rsidRPr="00AD2D15" w:rsidRDefault="000A2D7A" w:rsidP="00CB1954">
            <w:pPr>
              <w:pStyle w:val="TableListBullet"/>
              <w:contextualSpacing w:val="0"/>
            </w:pPr>
            <w:r w:rsidRPr="00AD2D15">
              <w:t>Different rules for who pays based on location</w:t>
            </w:r>
          </w:p>
        </w:tc>
      </w:tr>
      <w:tr w:rsidR="000A2D7A" w:rsidRPr="007D7EA9" w14:paraId="049CFEC4" w14:textId="77777777">
        <w:tc>
          <w:tcPr>
            <w:tcW w:w="4819" w:type="dxa"/>
          </w:tcPr>
          <w:p w14:paraId="7048A97B" w14:textId="77777777" w:rsidR="000A2D7A" w:rsidRPr="00AD2D15" w:rsidRDefault="000A2D7A" w:rsidP="00AD2D15">
            <w:pPr>
              <w:pStyle w:val="TableListBullet"/>
            </w:pPr>
            <w:r w:rsidRPr="00AD2D15">
              <w:t>Developer cost</w:t>
            </w:r>
            <w:r w:rsidRPr="00AD2D15">
              <w:noBreakHyphen/>
              <w:t>sharing arrangements for new major developments</w:t>
            </w:r>
          </w:p>
        </w:tc>
        <w:tc>
          <w:tcPr>
            <w:tcW w:w="4819" w:type="dxa"/>
          </w:tcPr>
          <w:p w14:paraId="2E9AD2FD" w14:textId="101DA237" w:rsidR="000A2D7A" w:rsidRPr="00AD2D15" w:rsidRDefault="000A2D7A" w:rsidP="00CB1954">
            <w:pPr>
              <w:pStyle w:val="TableListBullet"/>
              <w:contextualSpacing w:val="0"/>
            </w:pPr>
            <w:r w:rsidRPr="00AD2D15">
              <w:t>First</w:t>
            </w:r>
            <w:r w:rsidR="00F8549D">
              <w:t xml:space="preserve"> </w:t>
            </w:r>
            <w:r w:rsidRPr="00AD2D15">
              <w:t>in pays for upgrades, creating a free</w:t>
            </w:r>
            <w:r w:rsidRPr="00AD2D15">
              <w:noBreakHyphen/>
              <w:t>rider problem</w:t>
            </w:r>
          </w:p>
        </w:tc>
      </w:tr>
      <w:tr w:rsidR="000A2D7A" w:rsidRPr="007D7EA9" w14:paraId="619DD7CC" w14:textId="77777777">
        <w:tc>
          <w:tcPr>
            <w:tcW w:w="4819" w:type="dxa"/>
          </w:tcPr>
          <w:p w14:paraId="15E66A4A" w14:textId="41780D76" w:rsidR="000A2D7A" w:rsidRPr="00AD2D15" w:rsidRDefault="000A2D7A" w:rsidP="00AD2D15">
            <w:pPr>
              <w:pStyle w:val="TableListBullet"/>
            </w:pPr>
            <w:r w:rsidRPr="00AD2D15">
              <w:t>A developer</w:t>
            </w:r>
            <w:r w:rsidR="00A02CE4">
              <w:t xml:space="preserve"> </w:t>
            </w:r>
            <w:r w:rsidRPr="00AD2D15">
              <w:t>contribution framework that is efficient, transparent, consistent within states and territories, timely, certain and simple</w:t>
            </w:r>
          </w:p>
        </w:tc>
        <w:tc>
          <w:tcPr>
            <w:tcW w:w="4819" w:type="dxa"/>
          </w:tcPr>
          <w:p w14:paraId="43885E7E" w14:textId="77777777" w:rsidR="000A2D7A" w:rsidRPr="00AD2D15" w:rsidRDefault="000A2D7A" w:rsidP="00CB1954">
            <w:pPr>
              <w:pStyle w:val="TableListBullet"/>
              <w:contextualSpacing w:val="0"/>
            </w:pPr>
            <w:r w:rsidRPr="00AD2D15">
              <w:t>Developer contribution frameworks that are not efficient and act as a tax on new housing</w:t>
            </w:r>
          </w:p>
        </w:tc>
      </w:tr>
      <w:tr w:rsidR="000A2D7A" w:rsidRPr="007D7EA9" w14:paraId="36DF4141" w14:textId="77777777">
        <w:tc>
          <w:tcPr>
            <w:tcW w:w="4819" w:type="dxa"/>
          </w:tcPr>
          <w:p w14:paraId="7F6C86A5" w14:textId="77777777" w:rsidR="000A2D7A" w:rsidRPr="00AD2D15" w:rsidRDefault="000A2D7A" w:rsidP="00AD2D15">
            <w:pPr>
              <w:pStyle w:val="TableListBullet"/>
            </w:pPr>
            <w:r w:rsidRPr="00AD2D15">
              <w:t>Setting developer contribution caps to send a price signal and provide certainty</w:t>
            </w:r>
          </w:p>
        </w:tc>
        <w:tc>
          <w:tcPr>
            <w:tcW w:w="4819" w:type="dxa"/>
          </w:tcPr>
          <w:p w14:paraId="01766A78" w14:textId="77777777" w:rsidR="000A2D7A" w:rsidRPr="00AD2D15" w:rsidRDefault="000A2D7A" w:rsidP="00CB1954">
            <w:pPr>
              <w:pStyle w:val="TableListBullet"/>
              <w:contextualSpacing w:val="0"/>
            </w:pPr>
            <w:r w:rsidRPr="00AD2D15">
              <w:t>Easy avenues to override developer contribution caps</w:t>
            </w:r>
          </w:p>
        </w:tc>
      </w:tr>
    </w:tbl>
    <w:p w14:paraId="2DD73547" w14:textId="77777777" w:rsidR="000A2D7A" w:rsidRPr="00B605B6" w:rsidRDefault="000A2D7A" w:rsidP="00B605B6">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9638"/>
      </w:tblGrid>
      <w:tr w:rsidR="000A2D7A" w14:paraId="4110348C" w14:textId="77777777" w:rsidTr="00834A20">
        <w:tc>
          <w:tcPr>
            <w:tcW w:w="5000" w:type="pct"/>
            <w:shd w:val="clear" w:color="auto" w:fill="EBEBEB"/>
          </w:tcPr>
          <w:p w14:paraId="3423C1DB" w14:textId="1418221E" w:rsidR="000A2D7A" w:rsidRPr="00D54F66" w:rsidRDefault="000A2D7A" w:rsidP="00834A20">
            <w:pPr>
              <w:pStyle w:val="BoxHeading1"/>
              <w:rPr>
                <w:b/>
                <w:bCs/>
              </w:rPr>
            </w:pPr>
            <w:r>
              <w:rPr>
                <w:b/>
                <w:bCs/>
              </w:rPr>
              <w:lastRenderedPageBreak/>
              <w:t xml:space="preserve">Box 1.5 </w:t>
            </w:r>
            <w:r w:rsidR="00FA69BD">
              <w:rPr>
                <w:b/>
                <w:bCs/>
              </w:rPr>
              <w:t xml:space="preserve">– </w:t>
            </w:r>
            <w:r>
              <w:rPr>
                <w:b/>
                <w:bCs/>
              </w:rPr>
              <w:t xml:space="preserve">Principle in practice: growth area compacts </w:t>
            </w:r>
          </w:p>
          <w:p w14:paraId="5AD0B8F6" w14:textId="77777777" w:rsidR="000A2D7A" w:rsidRDefault="000A2D7A" w:rsidP="00834A20">
            <w:pPr>
              <w:pStyle w:val="BodyText"/>
            </w:pPr>
            <w:r>
              <w:t>Growth area (or infrastructure) compacts have been used in several locations to better coordinate infrastructure and housing. A growth area compact is a strategic planning approach that brings together a range of parties, such as different levels of government, developers and infrastructure service providers, to plan, fund and deliver infrastructure to support growth in a coordinated and sequenced manner.</w:t>
            </w:r>
          </w:p>
          <w:p w14:paraId="14549D5F" w14:textId="77777777" w:rsidR="000A2D7A" w:rsidRDefault="000A2D7A" w:rsidP="00834A20">
            <w:pPr>
              <w:pStyle w:val="BodyText"/>
            </w:pPr>
            <w:r>
              <w:t>A growth area compact, or place</w:t>
            </w:r>
            <w:r>
              <w:noBreakHyphen/>
              <w:t>based infrastructure compact (PIC), was piloted in the Greater Parramatta to Olympic Peninsula (GPOP) corridor in 2018</w:t>
            </w:r>
            <w:r>
              <w:noBreakHyphen/>
              <w:t>19. Its purpose was to better integrate land</w:t>
            </w:r>
            <w:r>
              <w:noBreakHyphen/>
              <w:t>use and infrastructure investment decision</w:t>
            </w:r>
            <w:r>
              <w:noBreakHyphen/>
              <w:t>making processes within the NSW Government and provide greater certainty for investors, developers and importantly, the local community. It comprised</w:t>
            </w:r>
            <w:r w:rsidDel="00A47E0F">
              <w:t xml:space="preserve"> </w:t>
            </w:r>
            <w:r>
              <w:t>3 components:</w:t>
            </w:r>
          </w:p>
          <w:p w14:paraId="0D25FD7D" w14:textId="77777777" w:rsidR="000A2D7A" w:rsidRDefault="000A2D7A" w:rsidP="00834A20">
            <w:pPr>
              <w:pStyle w:val="ListNumber"/>
              <w:numPr>
                <w:ilvl w:val="0"/>
                <w:numId w:val="5"/>
              </w:numPr>
            </w:pPr>
            <w:r>
              <w:t xml:space="preserve">A </w:t>
            </w:r>
            <w:r w:rsidRPr="00060A60">
              <w:t>collaborative approach</w:t>
            </w:r>
            <w:r>
              <w:t xml:space="preserve"> with over 20 state agencies, infrastructure service providers and local governments</w:t>
            </w:r>
          </w:p>
          <w:p w14:paraId="057A4BD4" w14:textId="6FED7AB0" w:rsidR="000A2D7A" w:rsidRDefault="000A2D7A" w:rsidP="00834A20">
            <w:pPr>
              <w:pStyle w:val="ListNumber"/>
              <w:numPr>
                <w:ilvl w:val="0"/>
                <w:numId w:val="5"/>
              </w:numPr>
            </w:pPr>
            <w:r>
              <w:t xml:space="preserve">A </w:t>
            </w:r>
            <w:r w:rsidRPr="00060A60">
              <w:t>six</w:t>
            </w:r>
            <w:r w:rsidRPr="00060A60">
              <w:noBreakHyphen/>
              <w:t xml:space="preserve">step method </w:t>
            </w:r>
            <w:r w:rsidRPr="00EF33BF">
              <w:t>to integrate land</w:t>
            </w:r>
            <w:r w:rsidR="00AD193E">
              <w:t xml:space="preserve"> </w:t>
            </w:r>
            <w:r w:rsidRPr="00EF33BF">
              <w:t>use, infrastructure planning and economic evaluation</w:t>
            </w:r>
          </w:p>
          <w:p w14:paraId="3FBBA5F5" w14:textId="77777777" w:rsidR="000A2D7A" w:rsidRDefault="000A2D7A" w:rsidP="00834A20">
            <w:pPr>
              <w:pStyle w:val="ListNumber"/>
              <w:numPr>
                <w:ilvl w:val="0"/>
                <w:numId w:val="5"/>
              </w:numPr>
            </w:pPr>
            <w:r>
              <w:t xml:space="preserve">A </w:t>
            </w:r>
            <w:r w:rsidRPr="00060A60">
              <w:t xml:space="preserve">digital and data tool </w:t>
            </w:r>
            <w:r>
              <w:t>to provide analytics and insights to support evidence</w:t>
            </w:r>
            <w:r>
              <w:noBreakHyphen/>
              <w:t xml:space="preserve">based planning. </w:t>
            </w:r>
          </w:p>
          <w:p w14:paraId="1CDA8CB6" w14:textId="77777777" w:rsidR="000A2D7A" w:rsidRDefault="000A2D7A" w:rsidP="00834A20">
            <w:pPr>
              <w:pStyle w:val="BodyText"/>
            </w:pPr>
            <w:r>
              <w:t xml:space="preserve">The PIC model was piloted in GPOP to identify the growth potential for an area, identify the basic and social infrastructure required to support this growth accompanied by costs and funding feasibility, and prioritise infrastructure investment decisions to sequence growth. </w:t>
            </w:r>
          </w:p>
          <w:p w14:paraId="0754DA64" w14:textId="7AEE57EC" w:rsidR="000A2D7A" w:rsidRPr="00184388" w:rsidRDefault="000A2D7A" w:rsidP="00834A20">
            <w:pPr>
              <w:pStyle w:val="BodyText"/>
              <w:rPr>
                <w:spacing w:val="-2"/>
              </w:rPr>
            </w:pPr>
            <w:r w:rsidRPr="00184388">
              <w:rPr>
                <w:spacing w:val="-2"/>
              </w:rPr>
              <w:t>The PIC pilot represented a new way of undertaking regional planning in New South Wales, as it was the first time the state had adopted a place</w:t>
            </w:r>
            <w:r w:rsidRPr="00184388">
              <w:rPr>
                <w:spacing w:val="-2"/>
              </w:rPr>
              <w:noBreakHyphen/>
              <w:t>based approach to understanding infrastructure costs upfront and ahead of land</w:t>
            </w:r>
            <w:r w:rsidRPr="00184388">
              <w:rPr>
                <w:spacing w:val="-2"/>
              </w:rPr>
              <w:noBreakHyphen/>
              <w:t>use decisions. It was used to help identify 10, 20 and 40</w:t>
            </w:r>
            <w:r w:rsidRPr="00184388">
              <w:rPr>
                <w:spacing w:val="-2"/>
              </w:rPr>
              <w:noBreakHyphen/>
              <w:t>year infrastructure priorities across basic and social infrastructure for the GPOP region across its 26</w:t>
            </w:r>
            <w:r w:rsidR="00184388" w:rsidRPr="00184388">
              <w:rPr>
                <w:spacing w:val="-2"/>
              </w:rPr>
              <w:t> </w:t>
            </w:r>
            <w:r w:rsidRPr="00184388">
              <w:rPr>
                <w:spacing w:val="-2"/>
              </w:rPr>
              <w:t>precincts. Its findings were subsequently used by Infrastructure NSW to develop a strategic business case, on behalf of eight service and infrastructure delivery agencies, for the GPOP corridor outlining the 10</w:t>
            </w:r>
            <w:r w:rsidRPr="00184388">
              <w:rPr>
                <w:spacing w:val="-2"/>
              </w:rPr>
              <w:noBreakHyphen/>
              <w:t xml:space="preserve">year service and infrastructure priorities and potential funding.  </w:t>
            </w:r>
          </w:p>
          <w:p w14:paraId="5D4AF19D" w14:textId="77777777" w:rsidR="000A2D7A" w:rsidRDefault="000A2D7A" w:rsidP="00834A20">
            <w:pPr>
              <w:pStyle w:val="BodyText"/>
            </w:pPr>
            <w:r>
              <w:t>More recently, a growth area compact has been used to deliver housing</w:t>
            </w:r>
            <w:r>
              <w:noBreakHyphen/>
              <w:t>enabling infrastructure to support affordable housing options in Caboolture West, Queensland. This growth area compact involves all three levels of government and the private sector working together to deliver infrastructure in the area, including road constructions and a completed water and sewerage project.</w:t>
            </w:r>
          </w:p>
          <w:p w14:paraId="1F23F239" w14:textId="55A0D6CD" w:rsidR="000A2D7A" w:rsidRPr="00D43245" w:rsidRDefault="000A2D7A" w:rsidP="00834A20">
            <w:pPr>
              <w:pStyle w:val="Source"/>
            </w:pPr>
            <w:r w:rsidRPr="002D245C">
              <w:t xml:space="preserve">Source: Greater Sydney Commission </w:t>
            </w:r>
            <w:r w:rsidRPr="003B1214">
              <w:t>(2019, 2020)</w:t>
            </w:r>
            <w:r w:rsidRPr="002D245C">
              <w:t xml:space="preserve">; NSW DPHI </w:t>
            </w:r>
            <w:r w:rsidR="00877EF9" w:rsidRPr="00877EF9">
              <w:rPr>
                <w:rFonts w:cs="Open Sans"/>
              </w:rPr>
              <w:t>(2023a)</w:t>
            </w:r>
            <w:r w:rsidRPr="002D245C">
              <w:t xml:space="preserve">; Queensland DSIP </w:t>
            </w:r>
            <w:r w:rsidRPr="003B1214">
              <w:t>(2026)</w:t>
            </w:r>
            <w:r w:rsidRPr="002D245C">
              <w:t>.</w:t>
            </w:r>
          </w:p>
        </w:tc>
      </w:tr>
    </w:tbl>
    <w:tbl>
      <w:tblPr>
        <w:tblStyle w:val="Boxtable"/>
        <w:tblW w:w="5000" w:type="pct"/>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9638"/>
      </w:tblGrid>
      <w:tr w:rsidR="000A2D7A" w:rsidRPr="00465191" w14:paraId="52A20CBC" w14:textId="77777777">
        <w:trPr>
          <w:hidden/>
        </w:trPr>
        <w:tc>
          <w:tcPr>
            <w:tcW w:w="9638" w:type="dxa"/>
            <w:shd w:val="clear" w:color="auto" w:fill="auto"/>
            <w:tcMar>
              <w:top w:w="0" w:type="dxa"/>
              <w:left w:w="170" w:type="dxa"/>
              <w:bottom w:w="0" w:type="dxa"/>
              <w:right w:w="170" w:type="dxa"/>
            </w:tcMar>
          </w:tcPr>
          <w:p w14:paraId="25BCAF69" w14:textId="4FD74B6D" w:rsidR="000A2D7A" w:rsidRPr="00465191" w:rsidRDefault="000A2D7A">
            <w:pPr>
              <w:pStyle w:val="BodyText"/>
              <w:spacing w:before="0" w:after="0" w:line="80" w:lineRule="atLeast"/>
              <w:rPr>
                <w:smallCaps/>
                <w:vanish/>
              </w:rPr>
            </w:pPr>
          </w:p>
        </w:tc>
      </w:tr>
    </w:tbl>
    <w:p w14:paraId="2DCF6DFA" w14:textId="77777777" w:rsidR="000A2D7A" w:rsidRDefault="000A2D7A" w:rsidP="00E22FD4">
      <w:pPr>
        <w:pStyle w:val="Heading3-noTOC"/>
        <w:keepNext w:val="0"/>
        <w:spacing w:before="360"/>
      </w:pPr>
      <w:r>
        <w:t>Principle 4: Keep the process simple</w:t>
      </w:r>
    </w:p>
    <w:p w14:paraId="09BAD5F5" w14:textId="77777777" w:rsidR="000A2D7A" w:rsidRPr="00184388" w:rsidRDefault="000A2D7A" w:rsidP="005F3478">
      <w:pPr>
        <w:pStyle w:val="ListBullet"/>
        <w:numPr>
          <w:ilvl w:val="0"/>
          <w:numId w:val="0"/>
        </w:numPr>
        <w:rPr>
          <w:rStyle w:val="ColourBlue"/>
          <w:rFonts w:ascii="Open Sans Semibold" w:hAnsi="Open Sans Semibold" w:cs="Open Sans Semibold"/>
          <w:color w:val="207291" w:themeColor="text2" w:themeShade="BF"/>
        </w:rPr>
      </w:pPr>
      <w:r w:rsidRPr="00184388">
        <w:rPr>
          <w:rStyle w:val="ColourBlue"/>
          <w:rFonts w:ascii="Open Sans Semibold" w:hAnsi="Open Sans Semibold" w:cs="Open Sans Semibold"/>
          <w:color w:val="207291" w:themeColor="text2" w:themeShade="BF"/>
        </w:rPr>
        <w:t xml:space="preserve">Make planning decisions timely, predictable and simple by setting clear decision pathways, limiting discretion where possible and aligning with broader housing goals. </w:t>
      </w:r>
    </w:p>
    <w:p w14:paraId="5FAECC14" w14:textId="77777777" w:rsidR="000A2D7A" w:rsidRPr="00184388" w:rsidRDefault="000A2D7A">
      <w:pPr>
        <w:pStyle w:val="BodyText"/>
        <w:rPr>
          <w:spacing w:val="-2"/>
        </w:rPr>
      </w:pPr>
      <w:r w:rsidRPr="00184388">
        <w:rPr>
          <w:spacing w:val="-2"/>
        </w:rPr>
        <w:t xml:space="preserve">Governments must balance the need to assess risks of proposed developments with the regulatory burden that approvals processes create. Principle 4 is about designing approvals processes that address risks without imposing undue regulatory burden that could delay or deter housing development. </w:t>
      </w:r>
    </w:p>
    <w:p w14:paraId="4FD7FE52" w14:textId="77777777" w:rsidR="000A2D7A" w:rsidRDefault="000A2D7A">
      <w:pPr>
        <w:pStyle w:val="BodyText"/>
      </w:pPr>
      <w:r>
        <w:t>Australian and state and territory governments should agree upon housing policy objectives and reflect them in state and territory planning documents and strategies. These objectives should guide the design of, and rules for, decision</w:t>
      </w:r>
      <w:r>
        <w:noBreakHyphen/>
        <w:t>making processes.</w:t>
      </w:r>
      <w:r w:rsidRPr="000641CD">
        <w:t xml:space="preserve"> </w:t>
      </w:r>
      <w:r>
        <w:t xml:space="preserve">This means ensuring all levels of decision making </w:t>
      </w:r>
      <w:r>
        <w:lastRenderedPageBreak/>
        <w:t>related to housing and planning approvals should support achievement of those broader housing policy goals, while appropriately assessing that regulatory standards have been met.</w:t>
      </w:r>
    </w:p>
    <w:p w14:paraId="2C446E93" w14:textId="169B9163" w:rsidR="000A2D7A" w:rsidRDefault="000A2D7A">
      <w:pPr>
        <w:pStyle w:val="BodyText"/>
      </w:pPr>
      <w:r w:rsidRPr="00317E37">
        <w:t>Decision</w:t>
      </w:r>
      <w:r w:rsidR="00D2502F">
        <w:t>-</w:t>
      </w:r>
      <w:r>
        <w:t xml:space="preserve">making timeframes should be reasonable, transparent, enforceable and supported by digital technologies where possible </w:t>
      </w:r>
      <w:r w:rsidRPr="00317E37">
        <w:t>(NHSAC 2025, p. 128; PIA 2025, p. 21).</w:t>
      </w:r>
      <w:r>
        <w:t xml:space="preserve"> Processes should minimise uncertainty and </w:t>
      </w:r>
      <w:proofErr w:type="gramStart"/>
      <w:r>
        <w:t xml:space="preserve">complexity, </w:t>
      </w:r>
      <w:r w:rsidR="00456142">
        <w:t>and</w:t>
      </w:r>
      <w:proofErr w:type="gramEnd"/>
      <w:r w:rsidR="00456142">
        <w:t xml:space="preserve"> </w:t>
      </w:r>
      <w:r>
        <w:t xml:space="preserve">be efficient and clear. Objective processes will make it easier to integrate </w:t>
      </w:r>
      <w:r w:rsidRPr="00317E37">
        <w:t>AI</w:t>
      </w:r>
      <w:r>
        <w:t xml:space="preserve"> into approval processes and support fast decision</w:t>
      </w:r>
      <w:r w:rsidR="00D2502F">
        <w:t xml:space="preserve"> </w:t>
      </w:r>
      <w:r>
        <w:t xml:space="preserve">making. Appeals should be limited and assessment pathways aligned to risk and complexity </w:t>
      </w:r>
      <w:r w:rsidRPr="00317E37">
        <w:t>(PIA 2025, p. 22)</w:t>
      </w:r>
      <w:r>
        <w:t>.</w:t>
      </w:r>
      <w:r w:rsidRPr="002A0AF8">
        <w:t xml:space="preserve"> </w:t>
      </w:r>
      <w:r w:rsidRPr="00317E37">
        <w:t>Decision</w:t>
      </w:r>
      <w:r>
        <w:noBreakHyphen/>
        <w:t xml:space="preserve">making processes should be underpinned by quantitative performance metrics to report transparently on progress and minimise discretionary judgement </w:t>
      </w:r>
      <w:r w:rsidRPr="00317E37">
        <w:t>(NHSAC 2025, p. 128; PIA 2025)</w:t>
      </w:r>
      <w:r>
        <w:t>.</w:t>
      </w:r>
    </w:p>
    <w:p w14:paraId="5852CEA0" w14:textId="77777777" w:rsidR="000A2D7A" w:rsidRDefault="000A2D7A">
      <w:pPr>
        <w:pStyle w:val="BodyText"/>
      </w:pPr>
      <w:r>
        <w:t xml:space="preserve">Development processes often require referrals to third parties to provide expert advice on </w:t>
      </w:r>
      <w:proofErr w:type="gramStart"/>
      <w:r>
        <w:t>particular risks</w:t>
      </w:r>
      <w:proofErr w:type="gramEnd"/>
      <w:r>
        <w:t xml:space="preserve"> – for example arborist and engineering reports. </w:t>
      </w:r>
      <w:r w:rsidRPr="00317E37">
        <w:t>These</w:t>
      </w:r>
      <w:r>
        <w:t xml:space="preserve"> referral processes </w:t>
      </w:r>
      <w:r w:rsidRPr="00317E37">
        <w:t>should</w:t>
      </w:r>
      <w:r>
        <w:t xml:space="preserve"> also be simple, transparent and easy to follow. Information requirements should be limited to addressing essential risks and information asymmetries to minimise their complexity while ensuring they provide the requisite information. Pathways for resolving conflicting advice from reports should be clear. </w:t>
      </w:r>
    </w:p>
    <w:p w14:paraId="7BCDA610" w14:textId="77777777" w:rsidR="000A2D7A" w:rsidRDefault="000A2D7A">
      <w:pPr>
        <w:pStyle w:val="BodyText"/>
      </w:pPr>
      <w:r>
        <w:t xml:space="preserve">Speeding up approvals by setting objective standards was a core feature of </w:t>
      </w:r>
      <w:r w:rsidRPr="003737E5">
        <w:t>California’s Senate Bill No. 35 (SB 35) reforms (box</w:t>
      </w:r>
      <w:r>
        <w:t> </w:t>
      </w:r>
      <w:r w:rsidRPr="003737E5">
        <w:t>1.</w:t>
      </w:r>
      <w:r>
        <w:t>6</w:t>
      </w:r>
      <w:r w:rsidRPr="003737E5">
        <w:t>)</w:t>
      </w:r>
      <w:r>
        <w:t xml:space="preserve">, and further examples of this principle are outlined in table 1.4.    </w:t>
      </w:r>
    </w:p>
    <w:p w14:paraId="1B68C121" w14:textId="5D152D73" w:rsidR="000A2D7A" w:rsidRPr="008F6C41" w:rsidRDefault="000A2D7A">
      <w:pPr>
        <w:pStyle w:val="FigureTableHeading"/>
      </w:pPr>
      <w:r>
        <w:t xml:space="preserve">Table 1.4 </w:t>
      </w:r>
      <w:r w:rsidR="007C01AB">
        <w:t xml:space="preserve">– </w:t>
      </w:r>
      <w:r>
        <w:t>Keep the process simple (principle 4)</w:t>
      </w:r>
    </w:p>
    <w:tbl>
      <w:tblPr>
        <w:tblW w:w="0" w:type="auto"/>
        <w:tblBorders>
          <w:bottom w:val="single" w:sz="4" w:space="0" w:color="B3B3B3"/>
          <w:insideH w:val="single" w:sz="4" w:space="0" w:color="B3B3B3"/>
        </w:tblBorders>
        <w:tblLayout w:type="fixed"/>
        <w:tblCellMar>
          <w:left w:w="0" w:type="dxa"/>
          <w:right w:w="0" w:type="dxa"/>
        </w:tblCellMar>
        <w:tblLook w:val="06A0" w:firstRow="1" w:lastRow="0" w:firstColumn="1" w:lastColumn="0" w:noHBand="1"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4536"/>
        <w:gridCol w:w="5102"/>
      </w:tblGrid>
      <w:tr w:rsidR="000A2D7A" w:rsidRPr="007D7EA9" w14:paraId="58DF86F1" w14:textId="77777777">
        <w:trPr>
          <w:tblHeader/>
        </w:trPr>
        <w:tc>
          <w:tcPr>
            <w:tcW w:w="4536" w:type="dxa"/>
            <w:vAlign w:val="bottom"/>
          </w:tcPr>
          <w:p w14:paraId="1CC5D8A5" w14:textId="77777777" w:rsidR="000A2D7A" w:rsidRPr="003737E5" w:rsidRDefault="000A2D7A">
            <w:pPr>
              <w:pStyle w:val="TableHeading"/>
            </w:pPr>
            <w:r w:rsidRPr="003737E5">
              <w:t>What this principle is</w:t>
            </w:r>
          </w:p>
        </w:tc>
        <w:tc>
          <w:tcPr>
            <w:tcW w:w="5102" w:type="dxa"/>
            <w:vAlign w:val="bottom"/>
          </w:tcPr>
          <w:p w14:paraId="6D14FA9F" w14:textId="77777777" w:rsidR="000A2D7A" w:rsidRPr="003737E5" w:rsidRDefault="000A2D7A">
            <w:pPr>
              <w:pStyle w:val="TableHeading"/>
            </w:pPr>
            <w:r w:rsidRPr="003737E5">
              <w:t>What this principle is not</w:t>
            </w:r>
          </w:p>
        </w:tc>
      </w:tr>
      <w:tr w:rsidR="000A2D7A" w:rsidRPr="007D7EA9" w14:paraId="43A6275F" w14:textId="77777777">
        <w:tc>
          <w:tcPr>
            <w:tcW w:w="4536" w:type="dxa"/>
          </w:tcPr>
          <w:p w14:paraId="1248BC05" w14:textId="77777777" w:rsidR="000A2D7A" w:rsidRPr="00AD2D15" w:rsidRDefault="000A2D7A" w:rsidP="00AD2D15">
            <w:pPr>
              <w:pStyle w:val="TableListBullet"/>
            </w:pPr>
            <w:r w:rsidRPr="00AD2D15">
              <w:t>Local governments applying state</w:t>
            </w:r>
            <w:r w:rsidRPr="00AD2D15">
              <w:noBreakHyphen/>
              <w:t>based policies in a coherent and consistent manner</w:t>
            </w:r>
          </w:p>
        </w:tc>
        <w:tc>
          <w:tcPr>
            <w:tcW w:w="5102" w:type="dxa"/>
          </w:tcPr>
          <w:p w14:paraId="0B61D7F2" w14:textId="77777777" w:rsidR="000A2D7A" w:rsidRPr="00AD2D15" w:rsidRDefault="000A2D7A" w:rsidP="00184388">
            <w:pPr>
              <w:pStyle w:val="TableListBullet"/>
              <w:contextualSpacing w:val="0"/>
            </w:pPr>
            <w:r w:rsidRPr="00AD2D15">
              <w:t>Significant local government discretionary decision</w:t>
            </w:r>
            <w:r w:rsidRPr="00AD2D15">
              <w:noBreakHyphen/>
              <w:t>making power</w:t>
            </w:r>
          </w:p>
        </w:tc>
      </w:tr>
      <w:tr w:rsidR="000A2D7A" w:rsidRPr="007D7EA9" w14:paraId="5AAD7054" w14:textId="77777777">
        <w:tc>
          <w:tcPr>
            <w:tcW w:w="4536" w:type="dxa"/>
          </w:tcPr>
          <w:p w14:paraId="584133CA" w14:textId="77777777" w:rsidR="000A2D7A" w:rsidRPr="00AD2D15" w:rsidRDefault="000A2D7A" w:rsidP="00AD2D15">
            <w:pPr>
              <w:pStyle w:val="TableListBullet"/>
            </w:pPr>
            <w:r w:rsidRPr="00AD2D15">
              <w:t>Approval pathways are clear, easy to follow and proportionate to risk</w:t>
            </w:r>
          </w:p>
        </w:tc>
        <w:tc>
          <w:tcPr>
            <w:tcW w:w="5102" w:type="dxa"/>
          </w:tcPr>
          <w:p w14:paraId="586CA2C6" w14:textId="77777777" w:rsidR="000A2D7A" w:rsidRPr="00AD2D15" w:rsidRDefault="000A2D7A" w:rsidP="00184388">
            <w:pPr>
              <w:pStyle w:val="TableListBullet"/>
              <w:contextualSpacing w:val="0"/>
            </w:pPr>
            <w:r w:rsidRPr="00AD2D15">
              <w:t>Approval pathways adopt a rigid ‘one size fits all’ approach that focuses on minimising risk to the regulator</w:t>
            </w:r>
          </w:p>
        </w:tc>
      </w:tr>
      <w:tr w:rsidR="000A2D7A" w:rsidRPr="007D7EA9" w14:paraId="12A23F43" w14:textId="77777777">
        <w:tc>
          <w:tcPr>
            <w:tcW w:w="4536" w:type="dxa"/>
          </w:tcPr>
          <w:p w14:paraId="4ABB1DA8" w14:textId="77777777" w:rsidR="000A2D7A" w:rsidRPr="00AD2D15" w:rsidRDefault="000A2D7A" w:rsidP="00AD2D15">
            <w:pPr>
              <w:pStyle w:val="TableListBullet"/>
            </w:pPr>
            <w:r w:rsidRPr="00AD2D15">
              <w:t>Fast track pathways for common, low</w:t>
            </w:r>
            <w:r w:rsidRPr="00AD2D15">
              <w:noBreakHyphen/>
              <w:t>risk dwelling types</w:t>
            </w:r>
          </w:p>
        </w:tc>
        <w:tc>
          <w:tcPr>
            <w:tcW w:w="5102" w:type="dxa"/>
          </w:tcPr>
          <w:p w14:paraId="076D9964" w14:textId="77777777" w:rsidR="000A2D7A" w:rsidRPr="00AD2D15" w:rsidRDefault="000A2D7A" w:rsidP="00184388">
            <w:pPr>
              <w:pStyle w:val="TableListBullet"/>
              <w:contextualSpacing w:val="0"/>
            </w:pPr>
            <w:r w:rsidRPr="00AD2D15">
              <w:t>Long forms to complete and requirement for multiple consultant reports that are disproportionate to the potential problem</w:t>
            </w:r>
          </w:p>
        </w:tc>
      </w:tr>
      <w:tr w:rsidR="000A2D7A" w:rsidRPr="007D7EA9" w14:paraId="62D454B1" w14:textId="77777777">
        <w:tc>
          <w:tcPr>
            <w:tcW w:w="4536" w:type="dxa"/>
          </w:tcPr>
          <w:p w14:paraId="7561AE13" w14:textId="77777777" w:rsidR="000A2D7A" w:rsidRPr="00AD2D15" w:rsidRDefault="000A2D7A" w:rsidP="00AD2D15">
            <w:pPr>
              <w:pStyle w:val="TableListBullet"/>
            </w:pPr>
            <w:r w:rsidRPr="00AD2D15">
              <w:t>Adoption of digital technologies and AI to speed up processes and decision</w:t>
            </w:r>
            <w:r w:rsidRPr="00AD2D15">
              <w:noBreakHyphen/>
              <w:t xml:space="preserve">making </w:t>
            </w:r>
          </w:p>
        </w:tc>
        <w:tc>
          <w:tcPr>
            <w:tcW w:w="5102" w:type="dxa"/>
          </w:tcPr>
          <w:p w14:paraId="3F600CB5" w14:textId="77777777" w:rsidR="000A2D7A" w:rsidRPr="00AD2D15" w:rsidRDefault="000A2D7A" w:rsidP="00184388">
            <w:pPr>
              <w:pStyle w:val="TableListBullet"/>
              <w:contextualSpacing w:val="0"/>
            </w:pPr>
            <w:r w:rsidRPr="00AD2D15">
              <w:t>No human oversight or safeguards in place to check and verify AI</w:t>
            </w:r>
            <w:r w:rsidRPr="00AD2D15">
              <w:noBreakHyphen/>
              <w:t>assisted approvals as required</w:t>
            </w:r>
          </w:p>
        </w:tc>
      </w:tr>
      <w:tr w:rsidR="000A2D7A" w:rsidRPr="007D7EA9" w14:paraId="2BE5E523" w14:textId="77777777">
        <w:trPr>
          <w:trHeight w:val="85"/>
        </w:trPr>
        <w:tc>
          <w:tcPr>
            <w:tcW w:w="4536" w:type="dxa"/>
          </w:tcPr>
          <w:p w14:paraId="06C1FB72" w14:textId="77777777" w:rsidR="000A2D7A" w:rsidRPr="00AD2D15" w:rsidRDefault="000A2D7A" w:rsidP="00AD2D15">
            <w:pPr>
              <w:pStyle w:val="TableListBullet"/>
            </w:pPr>
            <w:r w:rsidRPr="00AD2D15">
              <w:t>Coordinated referrals that provide independent expert advice for high</w:t>
            </w:r>
            <w:r w:rsidRPr="00AD2D15">
              <w:noBreakHyphen/>
              <w:t>risk issues</w:t>
            </w:r>
          </w:p>
        </w:tc>
        <w:tc>
          <w:tcPr>
            <w:tcW w:w="5102" w:type="dxa"/>
          </w:tcPr>
          <w:p w14:paraId="5AD80287" w14:textId="77777777" w:rsidR="000A2D7A" w:rsidRPr="00AD2D15" w:rsidRDefault="000A2D7A" w:rsidP="00184388">
            <w:pPr>
              <w:pStyle w:val="TableListBullet"/>
              <w:contextualSpacing w:val="0"/>
            </w:pPr>
            <w:r w:rsidRPr="00AD2D15">
              <w:t>Multiple consultant reports with conflicting advice and protracted processes to resolve competing priorities</w:t>
            </w:r>
          </w:p>
        </w:tc>
      </w:tr>
      <w:tr w:rsidR="000A2D7A" w:rsidRPr="007D7EA9" w14:paraId="2B19E23D" w14:textId="77777777">
        <w:tc>
          <w:tcPr>
            <w:tcW w:w="4536" w:type="dxa"/>
          </w:tcPr>
          <w:p w14:paraId="2D943F5D" w14:textId="77777777" w:rsidR="000A2D7A" w:rsidRPr="00AD2D15" w:rsidRDefault="000A2D7A" w:rsidP="00AD2D15">
            <w:pPr>
              <w:pStyle w:val="TableListBullet"/>
            </w:pPr>
            <w:r w:rsidRPr="00AD2D15">
              <w:t>Councils meet target timeframes without using ‘stop the clock’ exclusions to achieve them</w:t>
            </w:r>
          </w:p>
        </w:tc>
        <w:tc>
          <w:tcPr>
            <w:tcW w:w="5102" w:type="dxa"/>
          </w:tcPr>
          <w:p w14:paraId="2B4FAFD9" w14:textId="77777777" w:rsidR="000A2D7A" w:rsidRPr="00AD2D15" w:rsidRDefault="000A2D7A" w:rsidP="00184388">
            <w:pPr>
              <w:pStyle w:val="TableListBullet"/>
              <w:contextualSpacing w:val="0"/>
            </w:pPr>
            <w:r w:rsidRPr="00AD2D15">
              <w:t>Constant ‘stop clocks’ to meet timeframes</w:t>
            </w:r>
          </w:p>
        </w:tc>
      </w:tr>
    </w:tbl>
    <w:p w14:paraId="1B08FFCD" w14:textId="5FC75F9E" w:rsidR="000A2D7A" w:rsidRPr="00E22FD4" w:rsidRDefault="000A2D7A" w:rsidP="00E22FD4">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false,&quot;BandedColumns&quot;:false},&quot;Aaf&quot;:false}"/>
      </w:tblPr>
      <w:tblGrid>
        <w:gridCol w:w="9638"/>
      </w:tblGrid>
      <w:tr w:rsidR="000A2D7A" w14:paraId="2413559E" w14:textId="77777777" w:rsidTr="00CD0553">
        <w:tc>
          <w:tcPr>
            <w:tcW w:w="5000" w:type="pct"/>
            <w:shd w:val="clear" w:color="auto" w:fill="EBEBEB"/>
          </w:tcPr>
          <w:p w14:paraId="434A1372" w14:textId="58FB5146" w:rsidR="000A2D7A" w:rsidRPr="00D54F66" w:rsidRDefault="000A2D7A" w:rsidP="00CD0553">
            <w:pPr>
              <w:pStyle w:val="BoxHeading1"/>
              <w:rPr>
                <w:b/>
                <w:bCs/>
              </w:rPr>
            </w:pPr>
            <w:r>
              <w:rPr>
                <w:b/>
                <w:bCs/>
              </w:rPr>
              <w:lastRenderedPageBreak/>
              <w:t>Box 1.6</w:t>
            </w:r>
            <w:r w:rsidR="0002655F">
              <w:rPr>
                <w:b/>
                <w:bCs/>
              </w:rPr>
              <w:t xml:space="preserve"> – </w:t>
            </w:r>
            <w:r>
              <w:rPr>
                <w:b/>
                <w:bCs/>
              </w:rPr>
              <w:t xml:space="preserve">Principle in practice: California’s Senate Bill No. 35 (SB 35) reforms </w:t>
            </w:r>
          </w:p>
          <w:p w14:paraId="0BD8CA31" w14:textId="77777777" w:rsidR="000A2D7A" w:rsidRPr="00024532" w:rsidRDefault="000A2D7A" w:rsidP="00CD0553">
            <w:pPr>
              <w:pStyle w:val="BodyText"/>
            </w:pPr>
            <w:r w:rsidRPr="00024532">
              <w:t xml:space="preserve">SB 35 was introduced in California in 2017 to streamline approval pathways for qualifying housing developments in local government areas that were not meeting their housing construction targets (in </w:t>
            </w:r>
            <w:r>
              <w:t>June 2022 this comprised</w:t>
            </w:r>
            <w:r w:rsidRPr="00024532">
              <w:t xml:space="preserve"> 501 of California’s 539 jurisdictions).</w:t>
            </w:r>
          </w:p>
          <w:p w14:paraId="16D1821C" w14:textId="77777777" w:rsidR="000A2D7A" w:rsidRDefault="000A2D7A" w:rsidP="00CD0553">
            <w:pPr>
              <w:pStyle w:val="BodyText"/>
            </w:pPr>
            <w:r w:rsidRPr="00DB3E31">
              <w:t>Eligible projects that comply with predetermined standards can proceed through a ministerial approval pathway within statutory timeframes, rather than requiring a full discretionary approval process.</w:t>
            </w:r>
            <w:r>
              <w:t xml:space="preserve"> This means that rather than an application being subject to public hearings, conditions and approver’s discretion, it instead receives ministerial approval if it meets a set of objective standards. These standards comprise objective measures related to zoning and design review standards but exclude subjective features such as ‘neighbourhood compatibility’. In addition, projects must meet certain housing affordability and labour provision requirements. </w:t>
            </w:r>
          </w:p>
          <w:p w14:paraId="7E792A82" w14:textId="77777777" w:rsidR="000A2D7A" w:rsidRPr="00DB3E31" w:rsidRDefault="000A2D7A" w:rsidP="00CD0553">
            <w:pPr>
              <w:pStyle w:val="BodyText"/>
            </w:pPr>
            <w:r>
              <w:t xml:space="preserve">These features of SB 35 align with best practice principle 4 as it limits discretion and provides an alternative pathway for development that meets objective criteria aligned to broader housing goals, such as housing affordability. Further, it aligns with principle 2 as it focuses on checking that applications address market failures rather than discretionary design features.  </w:t>
            </w:r>
          </w:p>
          <w:p w14:paraId="0960C23A" w14:textId="77777777" w:rsidR="000A2D7A" w:rsidRDefault="000A2D7A" w:rsidP="00CD0553">
            <w:pPr>
              <w:pStyle w:val="BodyText"/>
            </w:pPr>
            <w:r>
              <w:t>The legislation also stipulates approval timeframes – overall approval or denial within 90 days for smaller projects and 180 days for larger ones. If a decision is not made within this legislated timeframe, the application is deemed to comply, adding teeth to the timeframes. This enforceability mechanism demonstrates further alignment with principle 4, by setting clear decision timeframes.</w:t>
            </w:r>
          </w:p>
          <w:p w14:paraId="6007EE6E" w14:textId="6B70526A" w:rsidR="000A2D7A" w:rsidRPr="005D64A0" w:rsidRDefault="000A2D7A" w:rsidP="00CD0553">
            <w:pPr>
              <w:pStyle w:val="BodyText"/>
              <w:rPr>
                <w:spacing w:val="-2"/>
              </w:rPr>
            </w:pPr>
            <w:r w:rsidRPr="005D64A0">
              <w:rPr>
                <w:spacing w:val="-2"/>
              </w:rPr>
              <w:t>Between 2018 and 2021, 156 projects were approved or pending through the SB 35 process, equivalent to over 18,000 new housing units. Approval processes have been faster and more certain (which has also accelerated funding timelines), and around 62% of projects are for 100% affordable housing.</w:t>
            </w:r>
          </w:p>
          <w:p w14:paraId="2B52D71E" w14:textId="3459FB94" w:rsidR="000A2D7A" w:rsidRPr="00437304" w:rsidRDefault="000A2D7A" w:rsidP="00CD0553">
            <w:pPr>
              <w:pStyle w:val="Source"/>
            </w:pPr>
            <w:r>
              <w:t xml:space="preserve">Source: Legal Clarity California </w:t>
            </w:r>
            <w:r w:rsidRPr="00317E37">
              <w:t>(2026)</w:t>
            </w:r>
            <w:r>
              <w:t xml:space="preserve">; Manji and Finnigan </w:t>
            </w:r>
            <w:r w:rsidRPr="00317E37">
              <w:t>(2023)</w:t>
            </w:r>
            <w:r>
              <w:t xml:space="preserve">; </w:t>
            </w:r>
            <w:r w:rsidRPr="00317E37">
              <w:t>Wiener</w:t>
            </w:r>
            <w:r>
              <w:t xml:space="preserve"> </w:t>
            </w:r>
            <w:r w:rsidRPr="00317E37">
              <w:t>(2017)</w:t>
            </w:r>
            <w:r>
              <w:t>.</w:t>
            </w:r>
          </w:p>
        </w:tc>
      </w:tr>
    </w:tbl>
    <w:p w14:paraId="14C85F53" w14:textId="77777777" w:rsidR="000A2D7A" w:rsidRPr="005D64A0" w:rsidRDefault="000A2D7A">
      <w:pPr>
        <w:pStyle w:val="Heading2"/>
        <w:rPr>
          <w:spacing w:val="-2"/>
        </w:rPr>
      </w:pPr>
      <w:bookmarkStart w:id="20" w:name="_Toc235103143"/>
      <w:r w:rsidRPr="005D64A0">
        <w:rPr>
          <w:spacing w:val="-2"/>
        </w:rPr>
        <w:t>Using best practice principles to assess reform directions</w:t>
      </w:r>
      <w:bookmarkEnd w:id="20"/>
    </w:p>
    <w:p w14:paraId="65FDAD38" w14:textId="663606BF" w:rsidR="000A2D7A" w:rsidRDefault="000A2D7A">
      <w:pPr>
        <w:pStyle w:val="BodyText"/>
      </w:pPr>
      <w:r>
        <w:t>In this report we use our best practice principles to identify the extent to which current regulatory settings across land</w:t>
      </w:r>
      <w:r w:rsidRPr="00317E37">
        <w:noBreakHyphen/>
      </w:r>
      <w:r>
        <w:t>use controls, approval processes and housing infrastructure, are falling short of best practice, and as a result, adversely affecting housing supply for insufficient upside</w:t>
      </w:r>
      <w:r w:rsidR="006030C4">
        <w:t xml:space="preserve"> </w:t>
      </w:r>
      <w:r>
        <w:t xml:space="preserve">gain. In identifying priority regulatory barriers, we consider the interaction between the best practice principles. </w:t>
      </w:r>
    </w:p>
    <w:p w14:paraId="4FEB34C7" w14:textId="447243F4" w:rsidR="000A2D7A" w:rsidRDefault="000A2D7A">
      <w:pPr>
        <w:pStyle w:val="BodyText"/>
      </w:pPr>
      <w:r>
        <w:t xml:space="preserve">For example, a prospective resident may be concerned about noise pollution and be unsure whether design features such as double glazing on windows have been used to address the issue, creating information asymmetry (principle 2). However, by considering whether this should be regulated, the economic and other costs and benefits of doing so need to be considered (principle 1). </w:t>
      </w:r>
    </w:p>
    <w:p w14:paraId="0D54A4AA" w14:textId="77777777" w:rsidR="000A2D7A" w:rsidRDefault="000A2D7A">
      <w:pPr>
        <w:pStyle w:val="BodyText"/>
      </w:pPr>
      <w:r>
        <w:t>In other instances, governments will need to design regulation in conjunction with supporting policies that minimise potential costs (principle 1). For example, the removal of minimum car parking requirements (principle 2) requires coordination with on</w:t>
      </w:r>
      <w:r w:rsidRPr="00317E37">
        <w:noBreakHyphen/>
      </w:r>
      <w:r>
        <w:t xml:space="preserve">street parking infrastructure (principle 3) to appropriately manage the resulting externalities.  </w:t>
      </w:r>
    </w:p>
    <w:p w14:paraId="033DD698" w14:textId="77777777" w:rsidR="000A2D7A" w:rsidRDefault="000A2D7A">
      <w:pPr>
        <w:pStyle w:val="BodyText"/>
      </w:pPr>
      <w:r>
        <w:t xml:space="preserve">To overcome the identified regulatory barriers, we consider how rules should be changed to support faster and simpler approvals and make more land available and ready to build more homes. Reform directions are then prioritised based on their likely impact on housing supply. Our prioritisation of </w:t>
      </w:r>
      <w:r>
        <w:lastRenderedPageBreak/>
        <w:t xml:space="preserve">reform directions relies on existing empirical research in Australia and globally, and qualitative data, including the perspectives of inquiry participants gathered through consultations and submissions. </w:t>
      </w:r>
    </w:p>
    <w:p w14:paraId="765E279C" w14:textId="77777777" w:rsidR="000A2D7A" w:rsidRDefault="000A2D7A">
      <w:pPr>
        <w:pStyle w:val="BodyText"/>
      </w:pPr>
      <w:r>
        <w:t xml:space="preserve">Our final report, due in March 2027, will build upon this interim report and identify detailed opportunities to better align housing </w:t>
      </w:r>
      <w:r w:rsidRPr="00317E37">
        <w:t>regulatory</w:t>
      </w:r>
      <w:r>
        <w:t xml:space="preserve"> systems with the established principles of best practice. Our approach to the final report, including the additional analysis we will be undertaking, is detailed in chapter 5. To help us assess these opportunities, we welcome participants’ views on our best practice principles (information request 1.2</w:t>
      </w:r>
      <w:r w:rsidRPr="00317E37">
        <w:t>).</w:t>
      </w:r>
    </w:p>
    <w:p w14:paraId="152273D4" w14:textId="6B8B6D68" w:rsidR="000A2D7A" w:rsidRDefault="000A2D7A" w:rsidP="005D64A0">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A2D7A" w14:paraId="10C7CC37" w14:textId="77777777">
        <w:trPr>
          <w:trHeight w:val="765"/>
          <w:tblHeader/>
        </w:trPr>
        <w:tc>
          <w:tcPr>
            <w:tcW w:w="366" w:type="pct"/>
            <w:shd w:val="clear" w:color="auto" w:fill="EBEBEB"/>
            <w:tcMar>
              <w:bottom w:w="0" w:type="dxa"/>
            </w:tcMar>
            <w:vAlign w:val="center"/>
          </w:tcPr>
          <w:p w14:paraId="65C242A3" w14:textId="77777777" w:rsidR="000A2D7A" w:rsidRDefault="000A2D7A">
            <w:pPr>
              <w:pStyle w:val="NoSpacing"/>
              <w:keepNext/>
              <w:keepLines/>
              <w:jc w:val="right"/>
            </w:pPr>
            <w:r w:rsidRPr="00A51374">
              <w:rPr>
                <w:noProof/>
              </w:rPr>
              <w:drawing>
                <wp:inline distT="0" distB="0" distL="0" distR="0" wp14:anchorId="7AF27846" wp14:editId="42FD0287">
                  <wp:extent cx="288000" cy="288000"/>
                  <wp:effectExtent l="0" t="0" r="0" b="0"/>
                  <wp:docPr id="762593899" name="Graphic 7625938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68835103" w14:textId="66D27EF4" w:rsidR="000A2D7A" w:rsidRPr="002530FF" w:rsidRDefault="000A2D7A">
            <w:pPr>
              <w:pStyle w:val="FindingRecRequesttitle"/>
            </w:pPr>
            <w:r w:rsidRPr="000B0B71">
              <w:t xml:space="preserve">Information request </w:t>
            </w:r>
            <w:r w:rsidR="00CB06D8">
              <w:rPr>
                <w:noProof/>
              </w:rPr>
              <w:t>1</w:t>
            </w:r>
            <w:r w:rsidRPr="00DF7217">
              <w:t>.</w:t>
            </w:r>
            <w:r w:rsidR="00CB06D8">
              <w:rPr>
                <w:noProof/>
              </w:rPr>
              <w:t>2</w:t>
            </w:r>
          </w:p>
        </w:tc>
      </w:tr>
      <w:tr w:rsidR="000A2D7A" w:rsidRPr="000956E1" w14:paraId="26D2B62D" w14:textId="77777777">
        <w:tc>
          <w:tcPr>
            <w:tcW w:w="5000" w:type="pct"/>
            <w:gridSpan w:val="2"/>
            <w:shd w:val="clear" w:color="auto" w:fill="EBEBEB"/>
          </w:tcPr>
          <w:p w14:paraId="5BF21193" w14:textId="77777777" w:rsidR="000A2D7A" w:rsidRPr="000956E1" w:rsidRDefault="000A2D7A" w:rsidP="00E11D04">
            <w:pPr>
              <w:pStyle w:val="ListBullet"/>
              <w:rPr>
                <w:color w:val="265A9A" w:themeColor="background2"/>
              </w:rPr>
            </w:pPr>
            <w:r w:rsidRPr="000956E1">
              <w:rPr>
                <w:color w:val="265A9A" w:themeColor="background2"/>
              </w:rPr>
              <w:t xml:space="preserve">What features should governments have in mind when evaluating reforms to move housing regulatory systems towards best practice? </w:t>
            </w:r>
          </w:p>
          <w:p w14:paraId="70992C0F" w14:textId="77777777" w:rsidR="000A2D7A" w:rsidRPr="000956E1" w:rsidRDefault="000A2D7A" w:rsidP="00E11D04">
            <w:pPr>
              <w:pStyle w:val="ListBullet"/>
              <w:rPr>
                <w:color w:val="265A9A" w:themeColor="background2"/>
              </w:rPr>
            </w:pPr>
            <w:r w:rsidRPr="000956E1">
              <w:rPr>
                <w:color w:val="265A9A" w:themeColor="background2"/>
              </w:rPr>
              <w:t>Are the best practice principles and overarching objective (figure 1.2) we have identified appropriate? If not, what changes should be made?</w:t>
            </w:r>
          </w:p>
          <w:p w14:paraId="3F3C3EB9" w14:textId="77777777" w:rsidR="000A2D7A" w:rsidRPr="000956E1" w:rsidRDefault="000A2D7A" w:rsidP="005D64A0">
            <w:pPr>
              <w:pStyle w:val="ListBullet"/>
              <w:spacing w:after="0"/>
              <w:rPr>
                <w:color w:val="265A9A" w:themeColor="background2"/>
                <w:spacing w:val="-4"/>
              </w:rPr>
            </w:pPr>
            <w:r w:rsidRPr="000956E1">
              <w:rPr>
                <w:color w:val="265A9A" w:themeColor="background2"/>
                <w:spacing w:val="-4"/>
              </w:rPr>
              <w:t xml:space="preserve">What are some examples of specific housing supply regulations </w:t>
            </w:r>
            <w:r w:rsidRPr="000956E1" w:rsidDel="009A5578">
              <w:rPr>
                <w:color w:val="265A9A" w:themeColor="background2"/>
                <w:spacing w:val="-4"/>
              </w:rPr>
              <w:t>(in Australia or internationally)</w:t>
            </w:r>
            <w:r w:rsidRPr="000956E1">
              <w:rPr>
                <w:color w:val="265A9A" w:themeColor="background2"/>
                <w:spacing w:val="-4"/>
              </w:rPr>
              <w:t xml:space="preserve"> that:</w:t>
            </w:r>
          </w:p>
          <w:p w14:paraId="053F220B" w14:textId="77777777" w:rsidR="000A2D7A" w:rsidRPr="000956E1" w:rsidRDefault="000A2D7A" w:rsidP="00583C78">
            <w:pPr>
              <w:pStyle w:val="ListNumber2"/>
              <w:numPr>
                <w:ilvl w:val="0"/>
                <w:numId w:val="4"/>
              </w:numPr>
              <w:rPr>
                <w:color w:val="265A9A" w:themeColor="background2"/>
              </w:rPr>
            </w:pPr>
            <w:r w:rsidRPr="000956E1">
              <w:rPr>
                <w:color w:val="265A9A" w:themeColor="background2"/>
              </w:rPr>
              <w:t>exemplify the features of a best practice system for housing regulation</w:t>
            </w:r>
          </w:p>
          <w:p w14:paraId="6209A383" w14:textId="77777777" w:rsidR="000A2D7A" w:rsidRPr="000956E1" w:rsidRDefault="000A2D7A" w:rsidP="00583C78">
            <w:pPr>
              <w:pStyle w:val="ListNumber2"/>
              <w:numPr>
                <w:ilvl w:val="0"/>
                <w:numId w:val="4"/>
              </w:numPr>
              <w:rPr>
                <w:color w:val="265A9A" w:themeColor="background2"/>
              </w:rPr>
            </w:pPr>
            <w:r w:rsidRPr="000956E1">
              <w:rPr>
                <w:color w:val="265A9A" w:themeColor="background2"/>
              </w:rPr>
              <w:t>clearly do not reflect these features?</w:t>
            </w:r>
          </w:p>
        </w:tc>
      </w:tr>
      <w:tr w:rsidR="000A2D7A" w14:paraId="2ED089C7" w14:textId="77777777">
        <w:tc>
          <w:tcPr>
            <w:tcW w:w="5000" w:type="pct"/>
            <w:gridSpan w:val="2"/>
            <w:tcMar>
              <w:bottom w:w="0" w:type="dxa"/>
            </w:tcMar>
          </w:tcPr>
          <w:p w14:paraId="7CA3B12A" w14:textId="187F42BF" w:rsidR="000A2D7A" w:rsidRDefault="000A2D7A">
            <w:pPr>
              <w:pStyle w:val="NoSpacing"/>
              <w:spacing w:line="200" w:lineRule="atLeast"/>
            </w:pPr>
          </w:p>
        </w:tc>
      </w:tr>
    </w:tbl>
    <w:p w14:paraId="3BC2E13E" w14:textId="77777777" w:rsidR="00C42F53" w:rsidRDefault="00C42F53">
      <w:pPr>
        <w:pStyle w:val="Bibliography"/>
        <w:sectPr w:rsidR="00C42F53" w:rsidSect="0030738E">
          <w:headerReference w:type="even" r:id="rId63"/>
          <w:headerReference w:type="default" r:id="rId64"/>
          <w:footerReference w:type="even" r:id="rId65"/>
          <w:footerReference w:type="default" r:id="rId66"/>
          <w:headerReference w:type="first" r:id="rId67"/>
          <w:type w:val="oddPage"/>
          <w:pgSz w:w="11906" w:h="16838" w:code="9"/>
          <w:pgMar w:top="1134" w:right="1134" w:bottom="1134" w:left="1134" w:header="794" w:footer="510" w:gutter="0"/>
          <w:cols w:space="708"/>
          <w:docGrid w:linePitch="360"/>
        </w:sectPr>
      </w:pPr>
    </w:p>
    <w:p w14:paraId="4E13ED51" w14:textId="04776C6F" w:rsidR="000A2D7A" w:rsidRDefault="000A2D7A" w:rsidP="00C42F53">
      <w:pPr>
        <w:pStyle w:val="Bibliography"/>
        <w:tabs>
          <w:tab w:val="left" w:pos="4357"/>
        </w:tabs>
      </w:pPr>
    </w:p>
    <w:p w14:paraId="384F2CD3" w14:textId="77777777" w:rsidR="000A2D7A" w:rsidRDefault="000A2D7A">
      <w:pPr>
        <w:spacing w:before="0" w:after="160" w:line="259" w:lineRule="auto"/>
      </w:pPr>
    </w:p>
    <w:p w14:paraId="560C9B0A" w14:textId="77777777" w:rsidR="000A2D7A" w:rsidRDefault="000A2D7A" w:rsidP="00E76EEC">
      <w:pPr>
        <w:pStyle w:val="BodyText"/>
        <w:sectPr w:rsidR="000A2D7A" w:rsidSect="00C42F53">
          <w:headerReference w:type="even" r:id="rId68"/>
          <w:pgSz w:w="11906" w:h="16838" w:code="9"/>
          <w:pgMar w:top="1134" w:right="1134" w:bottom="1134" w:left="1134" w:header="794" w:footer="510" w:gutter="0"/>
          <w:cols w:space="708"/>
          <w:docGrid w:linePitch="360"/>
        </w:sectPr>
      </w:pPr>
    </w:p>
    <w:p w14:paraId="68226E1F" w14:textId="77777777" w:rsidR="000A2D7A" w:rsidRPr="00FE3E96" w:rsidRDefault="000A2D7A">
      <w:pPr>
        <w:pStyle w:val="Heading1"/>
      </w:pPr>
      <w:bookmarkStart w:id="21" w:name="_Toc235103144"/>
      <w:r>
        <w:lastRenderedPageBreak/>
        <w:t>Unlocking more homes through better land</w:t>
      </w:r>
      <w:r>
        <w:noBreakHyphen/>
        <w:t>use regulation</w:t>
      </w:r>
      <w:bookmarkEnd w:id="21"/>
    </w:p>
    <w:tbl>
      <w:tblPr>
        <w:tblStyle w:val="Texttable-Paleblue"/>
        <w:tblW w:w="5000" w:type="pct"/>
        <w:shd w:val="clear" w:color="auto" w:fill="E7F6FD"/>
        <w:tblLook w:val="04A0" w:firstRow="1" w:lastRow="0" w:firstColumn="1" w:lastColumn="0" w:noHBand="0" w:noVBand="1"/>
      </w:tblPr>
      <w:tblGrid>
        <w:gridCol w:w="577"/>
        <w:gridCol w:w="9061"/>
      </w:tblGrid>
      <w:tr w:rsidR="000A2D7A" w:rsidRPr="002F759A" w14:paraId="4E9A5D88" w14:textId="77777777">
        <w:tc>
          <w:tcPr>
            <w:tcW w:w="9638" w:type="dxa"/>
            <w:gridSpan w:val="2"/>
            <w:shd w:val="clear" w:color="auto" w:fill="E7F6FD"/>
            <w:tcMar>
              <w:left w:w="170" w:type="dxa"/>
            </w:tcMar>
          </w:tcPr>
          <w:p w14:paraId="0BE7970C" w14:textId="77777777" w:rsidR="000A2D7A" w:rsidRPr="002F759A" w:rsidRDefault="000A2D7A">
            <w:pPr>
              <w:pStyle w:val="Keypoints-heading"/>
            </w:pPr>
            <w:r w:rsidRPr="002F759A">
              <w:t>Key points</w:t>
            </w:r>
          </w:p>
        </w:tc>
      </w:tr>
      <w:tr w:rsidR="000A2D7A" w14:paraId="2B42DAB2" w14:textId="77777777">
        <w:tc>
          <w:tcPr>
            <w:tcW w:w="577" w:type="dxa"/>
            <w:shd w:val="clear" w:color="auto" w:fill="E7F6FD"/>
            <w:tcMar>
              <w:top w:w="0" w:type="dxa"/>
              <w:bottom w:w="0" w:type="dxa"/>
              <w:right w:w="113" w:type="dxa"/>
            </w:tcMar>
          </w:tcPr>
          <w:p w14:paraId="130310C3" w14:textId="77777777" w:rsidR="000A2D7A" w:rsidRDefault="000A2D7A">
            <w:pPr>
              <w:pStyle w:val="KeyPointsicon"/>
            </w:pPr>
            <w:r w:rsidRPr="00A51374">
              <w:rPr>
                <w:noProof/>
              </w:rPr>
              <w:drawing>
                <wp:inline distT="0" distB="0" distL="0" distR="0" wp14:anchorId="7BCD2854" wp14:editId="0891264A">
                  <wp:extent cx="180000" cy="180000"/>
                  <wp:effectExtent l="0" t="0" r="0" b="0"/>
                  <wp:docPr id="570863226" name="Graphic 5708632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7A6C0F5" w14:textId="77777777" w:rsidR="000A2D7A" w:rsidRPr="00EA7F37" w:rsidRDefault="000A2D7A">
            <w:pPr>
              <w:pStyle w:val="KeyPoints-Bold"/>
            </w:pPr>
            <w:r w:rsidRPr="00EA7F37">
              <w:t>Land</w:t>
            </w:r>
            <w:r>
              <w:noBreakHyphen/>
            </w:r>
            <w:r w:rsidRPr="00EA7F37">
              <w:t>use regulation affects housing supply by determining where homes can be built, what kinds of homes are allowed, and whether permitted homes are commercially feasible to deliver.</w:t>
            </w:r>
          </w:p>
          <w:p w14:paraId="53457914" w14:textId="77777777" w:rsidR="000A2D7A" w:rsidRPr="005D64A0" w:rsidRDefault="000A2D7A" w:rsidP="005D64A0">
            <w:pPr>
              <w:pStyle w:val="KeyPoints-Bullet"/>
            </w:pPr>
            <w:r w:rsidRPr="005D64A0">
              <w:t>Land</w:t>
            </w:r>
            <w:r w:rsidRPr="005D64A0">
              <w:noBreakHyphen/>
              <w:t>use controls have an important role in urban planning and liveability, but when controls are overly broad, poorly targeted or layered together, they can unduly restrict housing supply, reducing housing choice and increasing prices.</w:t>
            </w:r>
          </w:p>
        </w:tc>
      </w:tr>
      <w:tr w:rsidR="000A2D7A" w14:paraId="6E068048" w14:textId="77777777">
        <w:tc>
          <w:tcPr>
            <w:tcW w:w="577" w:type="dxa"/>
            <w:shd w:val="clear" w:color="auto" w:fill="E7F6FD"/>
            <w:tcMar>
              <w:top w:w="0" w:type="dxa"/>
              <w:bottom w:w="0" w:type="dxa"/>
              <w:right w:w="113" w:type="dxa"/>
            </w:tcMar>
          </w:tcPr>
          <w:p w14:paraId="3ECC9DC1" w14:textId="77777777" w:rsidR="000A2D7A" w:rsidRPr="00A51374" w:rsidRDefault="000A2D7A">
            <w:pPr>
              <w:pStyle w:val="KeyPointsicon"/>
            </w:pPr>
            <w:r w:rsidRPr="00F31E73">
              <w:rPr>
                <w:noProof/>
              </w:rPr>
              <w:drawing>
                <wp:inline distT="0" distB="0" distL="0" distR="0" wp14:anchorId="43769D74" wp14:editId="38834A4D">
                  <wp:extent cx="180000" cy="180000"/>
                  <wp:effectExtent l="0" t="0" r="0" b="0"/>
                  <wp:docPr id="362188032" name="Graphic 3621880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ACCCCB4" w14:textId="77777777" w:rsidR="000A2D7A" w:rsidRPr="0083236C" w:rsidRDefault="000A2D7A">
            <w:pPr>
              <w:pStyle w:val="KeyPoints-Bold"/>
            </w:pPr>
            <w:r w:rsidRPr="005451AA">
              <w:t>The most restrictive control often determines what can be built.</w:t>
            </w:r>
          </w:p>
          <w:p w14:paraId="2DD5FC32" w14:textId="77777777" w:rsidR="000A2D7A" w:rsidRPr="005D64A0" w:rsidRDefault="000A2D7A" w:rsidP="005D64A0">
            <w:pPr>
              <w:pStyle w:val="KeyPoints-Bullet"/>
            </w:pPr>
            <w:r w:rsidRPr="005D64A0">
              <w:t>Low</w:t>
            </w:r>
            <w:r w:rsidRPr="005D64A0">
              <w:noBreakHyphen/>
              <w:t>density zoning, height limits, maximum floor</w:t>
            </w:r>
            <w:r w:rsidRPr="005D64A0">
              <w:noBreakHyphen/>
              <w:t>space ratios, minimum lot sizes, setback requirements, site coverage rules and mandated parking can all limit housing supply.</w:t>
            </w:r>
          </w:p>
          <w:p w14:paraId="0538C5BC" w14:textId="77777777" w:rsidR="000A2D7A" w:rsidRPr="00610627" w:rsidRDefault="000A2D7A" w:rsidP="005D64A0">
            <w:pPr>
              <w:pStyle w:val="KeyPoints-Bullet"/>
            </w:pPr>
            <w:r w:rsidRPr="005D64A0">
              <w:t>These controls interact. Reforms to increase density through zoning changes can be more effective if done in combination</w:t>
            </w:r>
            <w:r w:rsidRPr="000417A3">
              <w:t xml:space="preserve"> with changes to other controls.</w:t>
            </w:r>
          </w:p>
        </w:tc>
      </w:tr>
      <w:tr w:rsidR="000A2D7A" w14:paraId="6EB42E25" w14:textId="77777777">
        <w:tc>
          <w:tcPr>
            <w:tcW w:w="577" w:type="dxa"/>
            <w:shd w:val="clear" w:color="auto" w:fill="E7F6FD"/>
            <w:tcMar>
              <w:top w:w="0" w:type="dxa"/>
              <w:bottom w:w="0" w:type="dxa"/>
              <w:right w:w="113" w:type="dxa"/>
            </w:tcMar>
          </w:tcPr>
          <w:p w14:paraId="0A7432D6" w14:textId="77777777" w:rsidR="000A2D7A" w:rsidRPr="00A51374" w:rsidRDefault="000A2D7A">
            <w:pPr>
              <w:pStyle w:val="KeyPointsicon"/>
            </w:pPr>
            <w:r w:rsidRPr="00F31E73">
              <w:rPr>
                <w:noProof/>
              </w:rPr>
              <w:drawing>
                <wp:inline distT="0" distB="0" distL="0" distR="0" wp14:anchorId="1FC639AD" wp14:editId="129F6330">
                  <wp:extent cx="180000" cy="180000"/>
                  <wp:effectExtent l="0" t="0" r="0" b="0"/>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26CEE5C7" w14:textId="77777777" w:rsidR="000A2D7A" w:rsidRDefault="000A2D7A">
            <w:pPr>
              <w:pStyle w:val="KeyPoints-Bold"/>
            </w:pPr>
            <w:r>
              <w:t xml:space="preserve">Zoned capacity does not always translate to additional housing supply. Governments should prioritise reforms that increase commercially feasible capacity. We have identified the reform directions that are likely to deliver the greatest uplift commercially feasible capacity. </w:t>
            </w:r>
          </w:p>
          <w:p w14:paraId="6A51D94F" w14:textId="77777777" w:rsidR="000A2D7A" w:rsidRPr="007E7AEE" w:rsidRDefault="000A2D7A" w:rsidP="007E7AEE">
            <w:pPr>
              <w:pStyle w:val="KeyPoints-Bullet"/>
            </w:pPr>
            <w:r w:rsidRPr="007E7AEE">
              <w:t>Priority reform directions include allowing up to 3</w:t>
            </w:r>
            <w:r w:rsidRPr="007E7AEE">
              <w:noBreakHyphen/>
              <w:t>storey developments in residential areas, enabling mid and high</w:t>
            </w:r>
            <w:r w:rsidRPr="007E7AEE">
              <w:noBreakHyphen/>
              <w:t>rise apartments in high</w:t>
            </w:r>
            <w:r w:rsidRPr="007E7AEE">
              <w:noBreakHyphen/>
              <w:t xml:space="preserve">demand areas with existing or readily expandable transportation infrastructure capacity, and reducing minimum lot size requirements to allow more subdivisions. </w:t>
            </w:r>
          </w:p>
          <w:p w14:paraId="610A999E" w14:textId="77777777" w:rsidR="000A2D7A" w:rsidRPr="00610627" w:rsidRDefault="000A2D7A" w:rsidP="007E7AEE">
            <w:pPr>
              <w:pStyle w:val="KeyPoints-Bullet"/>
            </w:pPr>
            <w:r w:rsidRPr="007E7AEE">
              <w:t>Enabling reforms include removing or reducing minimum parking requirements, replacing broad heritage protections with more targeted heritage listings, removing maximum floor</w:t>
            </w:r>
            <w:r w:rsidRPr="007E7AEE">
              <w:noBreakHyphen/>
              <w:t xml:space="preserve">space ratio restrictions and removing design requirements such as minimum dwelling sizes. </w:t>
            </w:r>
          </w:p>
        </w:tc>
      </w:tr>
      <w:tr w:rsidR="000A2D7A" w14:paraId="6C4A311F" w14:textId="77777777">
        <w:tc>
          <w:tcPr>
            <w:tcW w:w="577" w:type="dxa"/>
            <w:shd w:val="clear" w:color="auto" w:fill="E7F6FD"/>
            <w:tcMar>
              <w:top w:w="0" w:type="dxa"/>
              <w:bottom w:w="0" w:type="dxa"/>
              <w:right w:w="113" w:type="dxa"/>
            </w:tcMar>
          </w:tcPr>
          <w:p w14:paraId="115B22ED" w14:textId="77777777" w:rsidR="000A2D7A" w:rsidRPr="00A51374" w:rsidRDefault="000A2D7A">
            <w:pPr>
              <w:pStyle w:val="KeyPointsicon"/>
            </w:pPr>
            <w:r w:rsidRPr="00F31E73">
              <w:rPr>
                <w:noProof/>
              </w:rPr>
              <w:drawing>
                <wp:inline distT="0" distB="0" distL="0" distR="0" wp14:anchorId="07ACEAE7" wp14:editId="0FBC57D1">
                  <wp:extent cx="180000" cy="180000"/>
                  <wp:effectExtent l="0" t="0" r="0" b="0"/>
                  <wp:docPr id="68630313" name="Graphic 686303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0579DB6" w14:textId="77777777" w:rsidR="000A2D7A" w:rsidRPr="00610627" w:rsidRDefault="000A2D7A">
            <w:pPr>
              <w:pStyle w:val="KeyPoints-Bold"/>
            </w:pPr>
            <w:r w:rsidRPr="00916A71">
              <w:t>Land release remains important, but it is only one part of the housing supply pipeline.</w:t>
            </w:r>
            <w:r>
              <w:t xml:space="preserve"> </w:t>
            </w:r>
            <w:r w:rsidRPr="00F67118">
              <w:t>Governments should place more emphasis on converting suitable land into development</w:t>
            </w:r>
            <w:r>
              <w:noBreakHyphen/>
            </w:r>
            <w:r w:rsidRPr="00F67118">
              <w:t xml:space="preserve">ready </w:t>
            </w:r>
            <w:r>
              <w:t xml:space="preserve">land for </w:t>
            </w:r>
            <w:r w:rsidRPr="00F67118">
              <w:t>housing</w:t>
            </w:r>
            <w:r>
              <w:t>, which means planning and coordinating enabling infrastructure</w:t>
            </w:r>
            <w:r w:rsidRPr="00F67118">
              <w:t>.</w:t>
            </w:r>
          </w:p>
        </w:tc>
      </w:tr>
      <w:tr w:rsidR="000A2D7A" w14:paraId="090F7670" w14:textId="77777777">
        <w:tc>
          <w:tcPr>
            <w:tcW w:w="577" w:type="dxa"/>
            <w:shd w:val="clear" w:color="auto" w:fill="E7F6FD"/>
            <w:tcMar>
              <w:top w:w="0" w:type="dxa"/>
              <w:bottom w:w="0" w:type="dxa"/>
              <w:right w:w="113" w:type="dxa"/>
            </w:tcMar>
          </w:tcPr>
          <w:p w14:paraId="754B6294" w14:textId="77777777" w:rsidR="000A2D7A" w:rsidRPr="00F31E73" w:rsidRDefault="000A2D7A">
            <w:pPr>
              <w:pStyle w:val="KeyPointsicon"/>
              <w:rPr>
                <w:noProof/>
              </w:rPr>
            </w:pPr>
            <w:r w:rsidRPr="00F31E73">
              <w:rPr>
                <w:noProof/>
              </w:rPr>
              <w:drawing>
                <wp:inline distT="0" distB="0" distL="0" distR="0" wp14:anchorId="4781B3BC" wp14:editId="55D8FFB9">
                  <wp:extent cx="180000" cy="180000"/>
                  <wp:effectExtent l="0" t="0" r="0" b="0"/>
                  <wp:docPr id="1677057822" name="Graphic 16770578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811AC64" w14:textId="77777777" w:rsidR="000A2D7A" w:rsidRDefault="000A2D7A">
            <w:pPr>
              <w:pStyle w:val="KeyPoints-Bold"/>
            </w:pPr>
            <w:r>
              <w:t xml:space="preserve">The Productivity Commission is seeking feedback on </w:t>
            </w:r>
            <w:r w:rsidRPr="004019F2">
              <w:rPr>
                <w:bCs/>
              </w:rPr>
              <w:t>policies that would have the biggest impact on housing supply, including for each state and territory.</w:t>
            </w:r>
            <w:r>
              <w:t xml:space="preserve"> </w:t>
            </w:r>
          </w:p>
        </w:tc>
      </w:tr>
    </w:tbl>
    <w:p w14:paraId="313F4EB3" w14:textId="77777777" w:rsidR="000A2D7A" w:rsidRPr="009A788C" w:rsidRDefault="000A2D7A">
      <w:pPr>
        <w:pStyle w:val="Heading2"/>
      </w:pPr>
      <w:bookmarkStart w:id="22" w:name="_Toc235103145"/>
      <w:r w:rsidRPr="00752DE9">
        <w:lastRenderedPageBreak/>
        <w:t xml:space="preserve">How </w:t>
      </w:r>
      <w:r>
        <w:t>do</w:t>
      </w:r>
      <w:r w:rsidRPr="00752DE9">
        <w:t xml:space="preserve"> land</w:t>
      </w:r>
      <w:r>
        <w:noBreakHyphen/>
      </w:r>
      <w:r w:rsidRPr="00752DE9">
        <w:t>use controls operate in Australia?</w:t>
      </w:r>
      <w:bookmarkEnd w:id="22"/>
      <w:r w:rsidRPr="00752DE9">
        <w:t xml:space="preserve"> </w:t>
      </w:r>
    </w:p>
    <w:p w14:paraId="64BB02B7" w14:textId="77777777" w:rsidR="000A2D7A" w:rsidRPr="00123FD7" w:rsidRDefault="000A2D7A">
      <w:pPr>
        <w:pStyle w:val="BodyText"/>
      </w:pPr>
      <w:r w:rsidRPr="00123FD7">
        <w:t>Land</w:t>
      </w:r>
      <w:r>
        <w:noBreakHyphen/>
      </w:r>
      <w:r w:rsidRPr="00123FD7">
        <w:t xml:space="preserve">use controls refer to all regulations </w:t>
      </w:r>
      <w:r w:rsidRPr="00BE36C3">
        <w:t>– such as zones, overlays and built</w:t>
      </w:r>
      <w:r>
        <w:noBreakHyphen/>
      </w:r>
      <w:r w:rsidRPr="00BE36C3">
        <w:t>form controls –</w:t>
      </w:r>
      <w:r w:rsidRPr="00123FD7">
        <w:t xml:space="preserve"> that affect how land can be used, </w:t>
      </w:r>
      <w:r>
        <w:t>and</w:t>
      </w:r>
      <w:r w:rsidRPr="00123FD7">
        <w:t xml:space="preserve"> how housing can be built.</w:t>
      </w:r>
      <w:r w:rsidRPr="00D83A89">
        <w:t xml:space="preserve"> </w:t>
      </w:r>
    </w:p>
    <w:p w14:paraId="75641093" w14:textId="77777777" w:rsidR="000A2D7A" w:rsidRPr="005D64A0" w:rsidRDefault="000A2D7A">
      <w:pPr>
        <w:pStyle w:val="BodyText"/>
        <w:rPr>
          <w:spacing w:val="-4"/>
        </w:rPr>
      </w:pPr>
      <w:r w:rsidRPr="005D64A0">
        <w:rPr>
          <w:spacing w:val="-4"/>
        </w:rPr>
        <w:t>Zoning is the primary land</w:t>
      </w:r>
      <w:r w:rsidRPr="005D64A0">
        <w:rPr>
          <w:spacing w:val="-4"/>
        </w:rPr>
        <w:noBreakHyphen/>
        <w:t>use control. It involves dividing a jurisdiction into geographically adjoining areas and applying a ‘zone’ to each that</w:t>
      </w:r>
      <w:r w:rsidRPr="005D64A0">
        <w:rPr>
          <w:rStyle w:val="Heading4Char"/>
          <w:rFonts w:ascii="Open Sans" w:eastAsiaTheme="minorHAnsi" w:hAnsi="Open Sans" w:cstheme="minorBidi"/>
          <w:color w:val="auto"/>
          <w:spacing w:val="-4"/>
          <w:szCs w:val="20"/>
        </w:rPr>
        <w:t xml:space="preserve"> reflects the main </w:t>
      </w:r>
      <w:r w:rsidRPr="005D64A0">
        <w:rPr>
          <w:spacing w:val="-4"/>
        </w:rPr>
        <w:t xml:space="preserve">intended use of land (such as residential or industrial). Governments can also apply overlays to sections of land that establish further rules around its use. For example, environmental overlays protect important environmental features by adding controls, such as requiring a permit to remove vegetation or restricting where a dwelling can be located on that land. </w:t>
      </w:r>
    </w:p>
    <w:p w14:paraId="1ADCDF66" w14:textId="77777777" w:rsidR="000A2D7A" w:rsidRPr="00BE36C3" w:rsidRDefault="000A2D7A">
      <w:pPr>
        <w:pStyle w:val="BodyText"/>
      </w:pPr>
      <w:r>
        <w:t>Additional</w:t>
      </w:r>
      <w:r w:rsidRPr="00BE36C3">
        <w:t xml:space="preserve"> layer</w:t>
      </w:r>
      <w:r>
        <w:t>s</w:t>
      </w:r>
      <w:r w:rsidRPr="00BE36C3">
        <w:t xml:space="preserve"> of controls determine the types of building </w:t>
      </w:r>
      <w:r>
        <w:t>that are</w:t>
      </w:r>
      <w:r w:rsidRPr="00BE36C3">
        <w:t xml:space="preserve"> permitted</w:t>
      </w:r>
      <w:r>
        <w:t xml:space="preserve"> on a given section of land</w:t>
      </w:r>
      <w:r w:rsidRPr="002615B0">
        <w:t xml:space="preserve">. </w:t>
      </w:r>
      <w:r>
        <w:t xml:space="preserve">Residential zones are typically defined in terms of a desired density of housing, </w:t>
      </w:r>
      <w:r w:rsidRPr="00BE36C3">
        <w:t xml:space="preserve">and </w:t>
      </w:r>
      <w:r w:rsidRPr="00C94638">
        <w:t xml:space="preserve">governments achieve this either by setting a combination of controls or by regulating the type of dwelling permitted. </w:t>
      </w:r>
      <w:r>
        <w:t>For example, state and territory governments establish built</w:t>
      </w:r>
      <w:r>
        <w:noBreakHyphen/>
        <w:t>form controls, such as maximum floor</w:t>
      </w:r>
      <w:r>
        <w:noBreakHyphen/>
        <w:t>space ratio (FSR), height restrictions and setbacks, which are then typically applied by local government to influence the type, size, shape and placement of dwellings permitted within a given parcel of land (figure 2.</w:t>
      </w:r>
      <w:r w:rsidRPr="00BE36C3">
        <w:t xml:space="preserve">1). </w:t>
      </w:r>
    </w:p>
    <w:p w14:paraId="2673199B" w14:textId="23BDC0E7" w:rsidR="000A2D7A" w:rsidRDefault="000A2D7A">
      <w:pPr>
        <w:pStyle w:val="FigureTableHeading"/>
      </w:pPr>
      <w:r>
        <w:t xml:space="preserve">Figure 2.1 </w:t>
      </w:r>
      <w:r w:rsidR="00A17423">
        <w:rPr>
          <w:b/>
          <w:bCs/>
        </w:rPr>
        <w:t xml:space="preserve">— </w:t>
      </w:r>
      <w:r>
        <w:t>How regulations apply to the site of a housing development</w:t>
      </w:r>
    </w:p>
    <w:p w14:paraId="28AA2913" w14:textId="1864B1C6" w:rsidR="000A2D7A" w:rsidRPr="00E5121A" w:rsidRDefault="00DB7455" w:rsidP="00916287">
      <w:pPr>
        <w:pStyle w:val="BodyText"/>
        <w:spacing w:after="360"/>
      </w:pPr>
      <w:r w:rsidRPr="00DB7455">
        <w:rPr>
          <w:noProof/>
        </w:rPr>
        <w:drawing>
          <wp:inline distT="0" distB="0" distL="0" distR="0" wp14:anchorId="4DBD14ED" wp14:editId="6BA5E671">
            <wp:extent cx="6120130" cy="2975610"/>
            <wp:effectExtent l="0" t="0" r="0" b="0"/>
            <wp:docPr id="1233623517" name="Picture 27" descr="This figure is a conceptual site plan showing how different land-use controls affect the amount of land that can be developed on a residential lot. The figure depicts a rectangular parcel of land with a dwelling in the middle and surrounding areas coloured to illustrate different planning requirements. The dwelling label (top left) explains FSR.&#10; &#10;The figure shows side and front setback requirements, around the dwelling which specify the minimum distance that must be maintained between a new building and neighbouring dwellings, property boundaries or infrastructure.&#10; &#10;The figure also depicts a road, driveway and land required for landscaping. These areas are labelled to explain that site access and driveway requirements interact with open space, site coverage and landscaping requirements to determine how much of a lot can be built on and where landscaping must be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23517" name="Picture 27" descr="This figure is a conceptual site plan showing how different land-use controls affect the amount of land that can be developed on a residential lot. The figure depicts a rectangular parcel of land with a dwelling in the middle and surrounding areas coloured to illustrate different planning requirements. The dwelling label (top left) explains FSR.&#10; &#10;The figure shows side and front setback requirements, around the dwelling which specify the minimum distance that must be maintained between a new building and neighbouring dwellings, property boundaries or infrastructure.&#10; &#10;The figure also depicts a road, driveway and land required for landscaping. These areas are labelled to explain that site access and driveway requirements interact with open space, site coverage and landscaping requirements to determine how much of a lot can be built on and where landscaping must be provid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0130" cy="2975610"/>
                    </a:xfrm>
                    <a:prstGeom prst="rect">
                      <a:avLst/>
                    </a:prstGeom>
                    <a:noFill/>
                    <a:ln>
                      <a:noFill/>
                    </a:ln>
                  </pic:spPr>
                </pic:pic>
              </a:graphicData>
            </a:graphic>
          </wp:inline>
        </w:drawing>
      </w:r>
    </w:p>
    <w:p w14:paraId="22F6889C" w14:textId="77777777" w:rsidR="000A2D7A" w:rsidRDefault="000A2D7A">
      <w:pPr>
        <w:pStyle w:val="BodyText"/>
        <w:keepNext/>
      </w:pPr>
      <w:r>
        <w:t>Governments use land</w:t>
      </w:r>
      <w:r>
        <w:noBreakHyphen/>
        <w:t>use controls for 3 main reasons.</w:t>
      </w:r>
    </w:p>
    <w:p w14:paraId="66E37FD1" w14:textId="77777777" w:rsidR="000A2D7A" w:rsidRPr="009F5FD7" w:rsidRDefault="000A2D7A" w:rsidP="00583C78">
      <w:pPr>
        <w:pStyle w:val="ListNumber"/>
        <w:numPr>
          <w:ilvl w:val="0"/>
          <w:numId w:val="8"/>
        </w:numPr>
        <w:rPr>
          <w:spacing w:val="-4"/>
        </w:rPr>
      </w:pPr>
      <w:r w:rsidRPr="009F5FD7">
        <w:rPr>
          <w:b/>
          <w:bCs/>
          <w:spacing w:val="-4"/>
        </w:rPr>
        <w:t>Prioritising land use</w:t>
      </w:r>
      <w:r w:rsidRPr="009F5FD7">
        <w:rPr>
          <w:spacing w:val="-4"/>
        </w:rPr>
        <w:t xml:space="preserve">: Controls manage conflicting priorities for land use, particularly where market prices do not adequately weigh broader benefits and costs, such as environmental damage. </w:t>
      </w:r>
    </w:p>
    <w:p w14:paraId="40AB6924" w14:textId="77777777" w:rsidR="000A2D7A" w:rsidRPr="00BB211D" w:rsidRDefault="000A2D7A" w:rsidP="00583C78">
      <w:pPr>
        <w:pStyle w:val="ListNumber"/>
        <w:numPr>
          <w:ilvl w:val="0"/>
          <w:numId w:val="6"/>
        </w:numPr>
      </w:pPr>
      <w:r w:rsidRPr="009C0B72">
        <w:rPr>
          <w:b/>
          <w:bCs/>
        </w:rPr>
        <w:t>Managing infrastructure pressures and liveability:</w:t>
      </w:r>
      <w:r w:rsidRPr="00BB211D">
        <w:t xml:space="preserve"> </w:t>
      </w:r>
      <w:r w:rsidRPr="00C94638">
        <w:rPr>
          <w:spacing w:val="-4"/>
        </w:rPr>
        <w:t>Governments can use controls to align residential development with infrastructure capacity so that an area’s infrastructure is not unduly strained, and all residents can access the services they want and need. Controls</w:t>
      </w:r>
      <w:r w:rsidRPr="00BB211D">
        <w:t xml:space="preserve"> can also manage negative impacts of buildings on neighbours to promote amenity. </w:t>
      </w:r>
    </w:p>
    <w:p w14:paraId="0AED595B" w14:textId="77777777" w:rsidR="000A2D7A" w:rsidRPr="00BB211D" w:rsidRDefault="000A2D7A" w:rsidP="00583C78">
      <w:pPr>
        <w:pStyle w:val="ListNumber"/>
        <w:numPr>
          <w:ilvl w:val="0"/>
          <w:numId w:val="6"/>
        </w:numPr>
        <w:rPr>
          <w:rStyle w:val="Heading4Char"/>
          <w:rFonts w:ascii="Open Sans" w:eastAsiaTheme="minorHAnsi" w:hAnsi="Open Sans" w:cstheme="minorBidi"/>
          <w:iCs w:val="0"/>
          <w:color w:val="auto"/>
          <w:szCs w:val="20"/>
        </w:rPr>
      </w:pPr>
      <w:r w:rsidRPr="009C0B72">
        <w:rPr>
          <w:rStyle w:val="Heading4Char"/>
          <w:rFonts w:ascii="Open Sans" w:eastAsiaTheme="minorHAnsi" w:hAnsi="Open Sans" w:cstheme="minorBidi"/>
          <w:b/>
          <w:bCs/>
          <w:iCs w:val="0"/>
          <w:color w:val="auto"/>
          <w:szCs w:val="20"/>
        </w:rPr>
        <w:t>Promoting safety:</w:t>
      </w:r>
      <w:r w:rsidRPr="00BB211D">
        <w:rPr>
          <w:rStyle w:val="Heading4Char"/>
          <w:rFonts w:ascii="Open Sans" w:eastAsiaTheme="minorHAnsi" w:hAnsi="Open Sans" w:cstheme="minorBidi"/>
          <w:iCs w:val="0"/>
          <w:color w:val="auto"/>
          <w:szCs w:val="20"/>
        </w:rPr>
        <w:t xml:space="preserve"> While safety is often regulated at the building level (via the National Construction Code), some state or local government regulations are required to manage safety </w:t>
      </w:r>
      <w:r w:rsidRPr="00BB211D">
        <w:rPr>
          <w:rStyle w:val="Heading4Char"/>
          <w:rFonts w:ascii="Open Sans" w:eastAsiaTheme="minorHAnsi" w:hAnsi="Open Sans" w:cstheme="minorBidi"/>
          <w:iCs w:val="0"/>
          <w:color w:val="auto"/>
          <w:szCs w:val="20"/>
        </w:rPr>
        <w:lastRenderedPageBreak/>
        <w:t xml:space="preserve">risks beyond the individual dwelling. For example, stormwater regulations help prevent structural damage and health risks of poor drainage. </w:t>
      </w:r>
    </w:p>
    <w:p w14:paraId="4E89B247" w14:textId="77777777" w:rsidR="000A2D7A" w:rsidRPr="009843AD" w:rsidRDefault="000A2D7A">
      <w:pPr>
        <w:pStyle w:val="Heading2"/>
      </w:pPr>
      <w:bookmarkStart w:id="23" w:name="_Toc235103146"/>
      <w:r>
        <w:t>Land</w:t>
      </w:r>
      <w:r>
        <w:noBreakHyphen/>
        <w:t>use controls limit housing supply</w:t>
      </w:r>
      <w:bookmarkEnd w:id="23"/>
      <w:r w:rsidRPr="009843AD">
        <w:t xml:space="preserve"> </w:t>
      </w:r>
    </w:p>
    <w:p w14:paraId="13892CCE" w14:textId="77777777" w:rsidR="000A2D7A" w:rsidRDefault="000A2D7A">
      <w:pPr>
        <w:pStyle w:val="BodyText"/>
      </w:pPr>
      <w:r>
        <w:t xml:space="preserve">By restricting </w:t>
      </w:r>
      <w:r w:rsidRPr="00D73DDE">
        <w:t>what kind of housing can be built and where</w:t>
      </w:r>
      <w:r>
        <w:t>, land</w:t>
      </w:r>
      <w:r>
        <w:noBreakHyphen/>
        <w:t>use controls</w:t>
      </w:r>
      <w:r w:rsidRPr="00D73DDE">
        <w:t xml:space="preserve"> reduce supply from what the market would otherwise provide.</w:t>
      </w:r>
      <w:r>
        <w:t xml:space="preserve"> </w:t>
      </w:r>
    </w:p>
    <w:p w14:paraId="10889A9A" w14:textId="77777777" w:rsidR="000A2D7A" w:rsidRDefault="000A2D7A">
      <w:pPr>
        <w:pStyle w:val="BodyText"/>
        <w:keepNext/>
      </w:pPr>
      <w:r>
        <w:t>In practice, land</w:t>
      </w:r>
      <w:r>
        <w:noBreakHyphen/>
        <w:t xml:space="preserve">use controls affect whether land can be used for housing, what housing is allowed on residential land and whether residentially zoned land is commercially feasible to develop. </w:t>
      </w:r>
    </w:p>
    <w:p w14:paraId="639FCF86" w14:textId="77777777" w:rsidR="000A2D7A" w:rsidRDefault="000A2D7A" w:rsidP="00E11D04">
      <w:pPr>
        <w:pStyle w:val="ListBullet"/>
      </w:pPr>
      <w:r>
        <w:t>Non</w:t>
      </w:r>
      <w:r>
        <w:noBreakHyphen/>
        <w:t xml:space="preserve">residential zoning can ban housing on land that may otherwise be suitable for residential use. </w:t>
      </w:r>
    </w:p>
    <w:p w14:paraId="04E92FC2" w14:textId="77777777" w:rsidR="000A2D7A" w:rsidRDefault="000A2D7A" w:rsidP="00E11D04">
      <w:pPr>
        <w:pStyle w:val="ListBullet"/>
      </w:pPr>
      <w:r>
        <w:t>Low</w:t>
      </w:r>
      <w:r>
        <w:noBreakHyphen/>
        <w:t xml:space="preserve">density zoning, height limits, maximum FSRs, minimum lot sizes and setback rules determine whether a site can accommodate a detached house, townhouse or apartment building. </w:t>
      </w:r>
    </w:p>
    <w:p w14:paraId="00D9E46C" w14:textId="77777777" w:rsidR="000A2D7A" w:rsidRDefault="000A2D7A" w:rsidP="00E11D04">
      <w:pPr>
        <w:pStyle w:val="ListBullet"/>
      </w:pPr>
      <w:r>
        <w:t>Environment, heritage and neighbourhood character overlays further restrict what type of developments can occur.</w:t>
      </w:r>
    </w:p>
    <w:p w14:paraId="421CA687" w14:textId="4BF31A19" w:rsidR="000A2D7A" w:rsidRDefault="000A2D7A" w:rsidP="00E11D04">
      <w:pPr>
        <w:pStyle w:val="ListBullet"/>
      </w:pPr>
      <w:r>
        <w:t xml:space="preserve">The combination of zoning rules and overlays can mean that the housing that is allowed to be built on residential land is not sufficiently profitable to develop </w:t>
      </w:r>
      <w:r w:rsidR="00665019">
        <w:t>–</w:t>
      </w:r>
      <w:r>
        <w:t xml:space="preserve"> meaning it will not be.</w:t>
      </w:r>
    </w:p>
    <w:p w14:paraId="602D51B9" w14:textId="77777777" w:rsidR="000A2D7A" w:rsidRDefault="000A2D7A">
      <w:pPr>
        <w:pStyle w:val="BodyText"/>
      </w:pPr>
      <w:r>
        <w:t>There is strong empirical evidence that relaxing land-use controls to allow more housing would put downward pressure on housing costs (box 2.1).</w:t>
      </w:r>
    </w:p>
    <w:p w14:paraId="45A512DA" w14:textId="179D7806" w:rsidR="000A2D7A" w:rsidRPr="007E0560" w:rsidRDefault="000A2D7A" w:rsidP="00E85DD2">
      <w:pPr>
        <w:pStyle w:val="BodyText"/>
        <w:rPr>
          <w:spacing w:val="-4"/>
        </w:rPr>
      </w:pPr>
      <w:r w:rsidRPr="007E0560">
        <w:rPr>
          <w:spacing w:val="-4"/>
        </w:rPr>
        <w:t>This section examines how these constraints operate in practice. It considers controls that determine where housing can be built, controls that determine whether residential land can be developed, and controls that determine the amount and type of housing that can be supplied on each site. It also considers how these controls affect prices, feasibility, supply and where the evidence base remains incomplete.</w:t>
      </w:r>
    </w:p>
    <w:p w14:paraId="68D11D91" w14:textId="77777777" w:rsidR="000A2D7A" w:rsidRPr="00F82BD9" w:rsidRDefault="000A2D7A">
      <w:pPr>
        <w:pStyle w:val="NoSpacing"/>
      </w:pPr>
    </w:p>
    <w:tbl>
      <w:tblPr>
        <w:tblStyle w:val="Boxtable"/>
        <w:tblW w:w="5000" w:type="pct"/>
        <w:tblLook w:val="04A0" w:firstRow="1" w:lastRow="0" w:firstColumn="1" w:lastColumn="0" w:noHBand="0" w:noVBand="1"/>
      </w:tblPr>
      <w:tblGrid>
        <w:gridCol w:w="9638"/>
      </w:tblGrid>
      <w:tr w:rsidR="000A2D7A" w14:paraId="70263EBA" w14:textId="77777777">
        <w:trPr>
          <w:tblHeader/>
        </w:trPr>
        <w:tc>
          <w:tcPr>
            <w:tcW w:w="9638" w:type="dxa"/>
            <w:shd w:val="clear" w:color="auto" w:fill="EBEBEB"/>
            <w:tcMar>
              <w:top w:w="170" w:type="dxa"/>
              <w:left w:w="170" w:type="dxa"/>
              <w:bottom w:w="113" w:type="dxa"/>
              <w:right w:w="170" w:type="dxa"/>
            </w:tcMar>
            <w:hideMark/>
          </w:tcPr>
          <w:p w14:paraId="396844DA" w14:textId="6C598A37" w:rsidR="000A2D7A" w:rsidRDefault="000A2D7A">
            <w:pPr>
              <w:pStyle w:val="BoxHeading1"/>
            </w:pPr>
            <w:r>
              <w:t>Box 2.</w:t>
            </w:r>
            <w:r w:rsidR="00CB06D8">
              <w:rPr>
                <w:noProof/>
              </w:rPr>
              <w:t>1</w:t>
            </w:r>
            <w:r>
              <w:t xml:space="preserve"> – </w:t>
            </w:r>
            <w:r w:rsidRPr="00111FB8">
              <w:t>Relaxing land controls will take pressure off housing costs, especially if the reforms are widespread</w:t>
            </w:r>
          </w:p>
        </w:tc>
      </w:tr>
      <w:tr w:rsidR="000A2D7A" w14:paraId="3F6CE9B7" w14:textId="77777777">
        <w:tc>
          <w:tcPr>
            <w:tcW w:w="9638" w:type="dxa"/>
            <w:shd w:val="clear" w:color="auto" w:fill="EBEBEB"/>
            <w:tcMar>
              <w:top w:w="28" w:type="dxa"/>
              <w:left w:w="170" w:type="dxa"/>
              <w:bottom w:w="170" w:type="dxa"/>
              <w:right w:w="170" w:type="dxa"/>
            </w:tcMar>
            <w:hideMark/>
          </w:tcPr>
          <w:p w14:paraId="0641561E" w14:textId="77777777" w:rsidR="000A2D7A" w:rsidRPr="0057367B" w:rsidRDefault="000A2D7A">
            <w:pPr>
              <w:pStyle w:val="BodyText"/>
              <w:rPr>
                <w:spacing w:val="-4"/>
              </w:rPr>
            </w:pPr>
            <w:r w:rsidRPr="0057367B">
              <w:rPr>
                <w:spacing w:val="-4"/>
              </w:rPr>
              <w:t>Several studies find that, over the long term, loosening land</w:t>
            </w:r>
            <w:r w:rsidRPr="0057367B">
              <w:rPr>
                <w:spacing w:val="-4"/>
              </w:rPr>
              <w:noBreakHyphen/>
              <w:t>use controls (or upzoning) across broad areas increases housing supply and leaves city</w:t>
            </w:r>
            <w:r w:rsidRPr="0057367B">
              <w:rPr>
                <w:spacing w:val="-4"/>
              </w:rPr>
              <w:noBreakHyphen/>
              <w:t xml:space="preserve">wide rents lower than they would otherwise have been. </w:t>
            </w:r>
          </w:p>
          <w:p w14:paraId="139169C9" w14:textId="76AF9094" w:rsidR="000A2D7A" w:rsidRPr="0057367B" w:rsidRDefault="000A2D7A" w:rsidP="00E11D04">
            <w:pPr>
              <w:pStyle w:val="ListBullet"/>
              <w:rPr>
                <w:spacing w:val="-4"/>
              </w:rPr>
            </w:pPr>
            <w:r w:rsidRPr="0057367B">
              <w:rPr>
                <w:spacing w:val="-4"/>
              </w:rPr>
              <w:t>Auckland upzoned three</w:t>
            </w:r>
            <w:r w:rsidRPr="0057367B">
              <w:rPr>
                <w:spacing w:val="-4"/>
              </w:rPr>
              <w:noBreakHyphen/>
              <w:t xml:space="preserve">quarters of its urban land in 2016 to allow more townhouses, duplexes and small apartment blocks (Donovan and Maltman 2025; Maltman and Gibbons, sub. 41, p. 18). </w:t>
            </w:r>
            <w:r w:rsidR="00763B55">
              <w:rPr>
                <w:spacing w:val="-4"/>
              </w:rPr>
              <w:t>Eight</w:t>
            </w:r>
            <w:r w:rsidR="00763B55" w:rsidRPr="00763B55">
              <w:rPr>
                <w:spacing w:val="-4"/>
              </w:rPr>
              <w:t xml:space="preserve"> years later, rents were 23% </w:t>
            </w:r>
            <w:r w:rsidR="00402EBC">
              <w:rPr>
                <w:spacing w:val="-4"/>
              </w:rPr>
              <w:t xml:space="preserve">lower </w:t>
            </w:r>
            <w:r w:rsidR="00763B55" w:rsidRPr="00763B55">
              <w:rPr>
                <w:spacing w:val="-4"/>
              </w:rPr>
              <w:t>than under the counterfactual (Greenaway-</w:t>
            </w:r>
            <w:proofErr w:type="spellStart"/>
            <w:r w:rsidR="00763B55" w:rsidRPr="00763B55">
              <w:rPr>
                <w:spacing w:val="-4"/>
              </w:rPr>
              <w:t>Mcgrevy</w:t>
            </w:r>
            <w:proofErr w:type="spellEnd"/>
            <w:r w:rsidR="00763B55" w:rsidRPr="00763B55">
              <w:rPr>
                <w:spacing w:val="-4"/>
              </w:rPr>
              <w:t xml:space="preserve"> and So 2026)</w:t>
            </w:r>
            <w:r w:rsidRPr="0057367B">
              <w:rPr>
                <w:spacing w:val="-4"/>
              </w:rPr>
              <w:t>.</w:t>
            </w:r>
          </w:p>
          <w:p w14:paraId="4C93EFED" w14:textId="5EA69B33" w:rsidR="000A2D7A" w:rsidRPr="001838AA" w:rsidRDefault="000A2D7A" w:rsidP="00E11D04">
            <w:pPr>
              <w:pStyle w:val="ListBullet"/>
              <w:rPr>
                <w:spacing w:val="-2"/>
              </w:rPr>
            </w:pPr>
            <w:r w:rsidRPr="001838AA">
              <w:rPr>
                <w:spacing w:val="-2"/>
              </w:rPr>
              <w:t>Lower Hutt, New Zealand, removed parking minimums and enabled more medium</w:t>
            </w:r>
            <w:r w:rsidRPr="001838AA">
              <w:rPr>
                <w:spacing w:val="-2"/>
              </w:rPr>
              <w:noBreakHyphen/>
              <w:t>density housing between 2016 and 2023, leaving rents 21% lower than they would otherwise have been (Maltman and Greenaway-McGrevy 2025, pp. 1–4).</w:t>
            </w:r>
          </w:p>
          <w:p w14:paraId="626841DE" w14:textId="74151C28" w:rsidR="000A2D7A" w:rsidRPr="001838AA" w:rsidRDefault="000A2D7A" w:rsidP="00E11D04">
            <w:pPr>
              <w:pStyle w:val="ListBullet"/>
              <w:rPr>
                <w:spacing w:val="-2"/>
              </w:rPr>
            </w:pPr>
            <w:r w:rsidRPr="001838AA">
              <w:rPr>
                <w:spacing w:val="-2"/>
              </w:rPr>
              <w:t>Rollet (2025, p. 7) finds that removing all density restrictions in New York City would reduce citywide rents by about 17%, relative to the counterfactual.</w:t>
            </w:r>
          </w:p>
          <w:p w14:paraId="54B3DBA1" w14:textId="77777777" w:rsidR="000A2D7A" w:rsidRPr="001838AA" w:rsidRDefault="000A2D7A">
            <w:pPr>
              <w:pStyle w:val="BodyText"/>
              <w:rPr>
                <w:spacing w:val="-2"/>
              </w:rPr>
            </w:pPr>
            <w:r w:rsidRPr="001838AA">
              <w:rPr>
                <w:spacing w:val="-2"/>
              </w:rPr>
              <w:t>Many studies also find evidence of lower citywide dwelling price growth over the long term.</w:t>
            </w:r>
          </w:p>
          <w:p w14:paraId="12FDA49B" w14:textId="5FA1A119" w:rsidR="000A2D7A" w:rsidRPr="001838AA" w:rsidRDefault="000A2D7A" w:rsidP="00E11D04">
            <w:pPr>
              <w:pStyle w:val="ListBullet"/>
              <w:rPr>
                <w:spacing w:val="-2"/>
              </w:rPr>
            </w:pPr>
            <w:proofErr w:type="spellStart"/>
            <w:r w:rsidRPr="001838AA">
              <w:rPr>
                <w:spacing w:val="-2"/>
              </w:rPr>
              <w:t>Anagol</w:t>
            </w:r>
            <w:proofErr w:type="spellEnd"/>
            <w:r w:rsidRPr="001838AA">
              <w:rPr>
                <w:spacing w:val="-2"/>
              </w:rPr>
              <w:t xml:space="preserve"> et al. (2021, pp. 34–36) find a reduction in maximum FSR restrictions in Sao Paulo, Brazil, led to a 0.5% price reduction 10 years after the reform, relative to the counterfactual.</w:t>
            </w:r>
          </w:p>
          <w:p w14:paraId="27A07E1D" w14:textId="700790CA" w:rsidR="000A2D7A" w:rsidRPr="001838AA" w:rsidRDefault="000A2D7A" w:rsidP="00E11D04">
            <w:pPr>
              <w:pStyle w:val="ListBullet"/>
              <w:rPr>
                <w:spacing w:val="-2"/>
              </w:rPr>
            </w:pPr>
            <w:r w:rsidRPr="001838AA">
              <w:rPr>
                <w:spacing w:val="-2"/>
              </w:rPr>
              <w:lastRenderedPageBreak/>
              <w:t>Wang et al. (2025, p. 1) study the effect of reducing zoning restrictions and minimum parking requirements in Minneapolis, USA, in 2019. They find this was associated with a 15</w:t>
            </w:r>
            <w:r w:rsidR="00DE2323">
              <w:rPr>
                <w:spacing w:val="-2"/>
              </w:rPr>
              <w:t>–</w:t>
            </w:r>
            <w:r w:rsidRPr="001838AA">
              <w:rPr>
                <w:spacing w:val="-2"/>
              </w:rPr>
              <w:t>23% reduction in mid</w:t>
            </w:r>
            <w:r w:rsidRPr="001838AA">
              <w:rPr>
                <w:spacing w:val="-2"/>
              </w:rPr>
              <w:noBreakHyphen/>
              <w:t>tier dwelling price growth by 2024.</w:t>
            </w:r>
          </w:p>
          <w:p w14:paraId="5312F407" w14:textId="2D5E9900" w:rsidR="000A2D7A" w:rsidRPr="001838AA" w:rsidRDefault="000A2D7A" w:rsidP="00E11D04">
            <w:pPr>
              <w:pStyle w:val="ListBullet"/>
              <w:rPr>
                <w:spacing w:val="-2"/>
              </w:rPr>
            </w:pPr>
            <w:r w:rsidRPr="001838AA">
              <w:rPr>
                <w:spacing w:val="-2"/>
              </w:rPr>
              <w:t>Greenaway</w:t>
            </w:r>
            <w:r w:rsidRPr="001838AA">
              <w:rPr>
                <w:spacing w:val="-2"/>
              </w:rPr>
              <w:noBreakHyphen/>
            </w:r>
            <w:proofErr w:type="spellStart"/>
            <w:r w:rsidRPr="001838AA">
              <w:rPr>
                <w:spacing w:val="-2"/>
              </w:rPr>
              <w:t>McGrevy</w:t>
            </w:r>
            <w:proofErr w:type="spellEnd"/>
            <w:r w:rsidRPr="001838AA">
              <w:rPr>
                <w:spacing w:val="-2"/>
              </w:rPr>
              <w:t xml:space="preserve"> (2025) find that Auckland’s reforms generated additional housing supply that could lead to a 15</w:t>
            </w:r>
            <w:r w:rsidR="00330497">
              <w:rPr>
                <w:spacing w:val="-2"/>
              </w:rPr>
              <w:t>–</w:t>
            </w:r>
            <w:r w:rsidRPr="001838AA">
              <w:rPr>
                <w:spacing w:val="-2"/>
              </w:rPr>
              <w:t>27% decrease in dwelling prices, relative to the counterfactual.</w:t>
            </w:r>
          </w:p>
          <w:p w14:paraId="1928940D" w14:textId="679173AA" w:rsidR="000A2D7A" w:rsidRPr="0057367B" w:rsidRDefault="000A2D7A">
            <w:pPr>
              <w:pStyle w:val="BodyText"/>
              <w:rPr>
                <w:spacing w:val="-4"/>
              </w:rPr>
            </w:pPr>
            <w:r w:rsidRPr="0057367B">
              <w:rPr>
                <w:spacing w:val="-4"/>
              </w:rPr>
              <w:t>One area where caution is required is with respect to land values. Upzoning can increase the value of affected parcels of land by creating more profitable developable options (Phillips 2022). This is not necessarily a problem if housing supply increases and land costs per home decreases. But higher land prices could encourage some landowners to hold onto land as a speculative investment, or ‘land bank’, constraining supply if land is held back rather than developed (Fresh Economic Thinking, sub. 66).</w:t>
            </w:r>
          </w:p>
          <w:p w14:paraId="44C47297" w14:textId="6CAB721B" w:rsidR="000A2D7A" w:rsidRPr="001838AA" w:rsidRDefault="000A2D7A">
            <w:pPr>
              <w:pStyle w:val="BodyText"/>
              <w:rPr>
                <w:spacing w:val="-2"/>
              </w:rPr>
            </w:pPr>
            <w:r w:rsidRPr="001838AA">
              <w:rPr>
                <w:spacing w:val="-2"/>
              </w:rPr>
              <w:t xml:space="preserve">Empirical evidence for land banking in urban areas is weak </w:t>
            </w:r>
            <w:r w:rsidRPr="001838AA">
              <w:rPr>
                <w:rFonts w:cs="Open Sans"/>
                <w:spacing w:val="-2"/>
              </w:rPr>
              <w:t>(Donovan and Maltman 2025, p. 13; Tulip 2021, p. 12)</w:t>
            </w:r>
            <w:r w:rsidRPr="001838AA">
              <w:rPr>
                <w:spacing w:val="-2"/>
              </w:rPr>
              <w:t>, but the risk is likely greatest where upzoning is narrowly targeted (Phillips 2022). In those cases, high land values partly reflect a scarcity premium from constrained opportunities for higher</w:t>
            </w:r>
            <w:r w:rsidRPr="001838AA">
              <w:rPr>
                <w:spacing w:val="-2"/>
              </w:rPr>
              <w:noBreakHyphen/>
              <w:t>density housing development (box 1, overview; Kendall and Tulip 2018). Broad</w:t>
            </w:r>
            <w:r w:rsidRPr="001838AA">
              <w:rPr>
                <w:spacing w:val="-2"/>
              </w:rPr>
              <w:noBreakHyphen/>
              <w:t xml:space="preserve">based upzoning increases the supply of developable land and reduces this scarcity premium, particularly in highly competitive development markets such as Australia’s </w:t>
            </w:r>
            <w:r w:rsidR="00877EF9" w:rsidRPr="001838AA">
              <w:rPr>
                <w:rFonts w:cs="Open Sans"/>
                <w:spacing w:val="-2"/>
              </w:rPr>
              <w:t>(PC 2025c, p. 26)</w:t>
            </w:r>
            <w:r w:rsidRPr="001838AA">
              <w:rPr>
                <w:spacing w:val="-2"/>
              </w:rPr>
              <w:t xml:space="preserve">. This appears consistent with evidence from Auckland </w:t>
            </w:r>
            <w:r w:rsidRPr="001838AA">
              <w:rPr>
                <w:rFonts w:cs="Open Sans"/>
                <w:spacing w:val="-2"/>
              </w:rPr>
              <w:t>(Greenaway-</w:t>
            </w:r>
            <w:proofErr w:type="spellStart"/>
            <w:r w:rsidRPr="001838AA">
              <w:rPr>
                <w:rFonts w:cs="Open Sans"/>
                <w:spacing w:val="-2"/>
              </w:rPr>
              <w:t>McGrevy</w:t>
            </w:r>
            <w:proofErr w:type="spellEnd"/>
            <w:r w:rsidRPr="001838AA">
              <w:rPr>
                <w:rFonts w:cs="Open Sans"/>
                <w:spacing w:val="-2"/>
              </w:rPr>
              <w:t xml:space="preserve"> and Phillips 2023, p. 20; box 1.3, chapter 1)</w:t>
            </w:r>
            <w:r w:rsidRPr="001838AA">
              <w:rPr>
                <w:spacing w:val="-2"/>
              </w:rPr>
              <w:t>. As such, land values make the case for broad</w:t>
            </w:r>
            <w:r w:rsidRPr="001838AA">
              <w:rPr>
                <w:spacing w:val="-2"/>
              </w:rPr>
              <w:noBreakHyphen/>
              <w:t>based upzoning stronger, rather than detracting from it.</w:t>
            </w:r>
          </w:p>
        </w:tc>
      </w:tr>
      <w:tr w:rsidR="000A2D7A" w14:paraId="7E673D4D" w14:textId="77777777">
        <w:trPr>
          <w:hidden/>
        </w:trPr>
        <w:tc>
          <w:tcPr>
            <w:tcW w:w="9638" w:type="dxa"/>
            <w:shd w:val="clear" w:color="auto" w:fill="auto"/>
            <w:tcMar>
              <w:top w:w="0" w:type="dxa"/>
              <w:left w:w="170" w:type="dxa"/>
              <w:bottom w:w="0" w:type="dxa"/>
              <w:right w:w="170" w:type="dxa"/>
            </w:tcMar>
          </w:tcPr>
          <w:p w14:paraId="504EE9AC" w14:textId="0F12466A" w:rsidR="000A2D7A" w:rsidRPr="00465191" w:rsidRDefault="000A2D7A">
            <w:pPr>
              <w:pStyle w:val="BodyText"/>
              <w:spacing w:before="0" w:after="0" w:line="80" w:lineRule="atLeast"/>
              <w:rPr>
                <w:smallCaps/>
                <w:vanish/>
              </w:rPr>
            </w:pPr>
          </w:p>
        </w:tc>
      </w:tr>
    </w:tbl>
    <w:p w14:paraId="59A7C0A9" w14:textId="77777777" w:rsidR="000A2D7A" w:rsidRPr="002717E5" w:rsidRDefault="000A2D7A">
      <w:pPr>
        <w:pStyle w:val="Heading3"/>
        <w:rPr>
          <w:color w:val="FFFFFF" w:themeColor="background1"/>
        </w:rPr>
      </w:pPr>
      <w:r>
        <w:t>Non</w:t>
      </w:r>
      <w:r>
        <w:noBreakHyphen/>
        <w:t xml:space="preserve">residential zoning limits what land can be used for housing </w:t>
      </w:r>
    </w:p>
    <w:p w14:paraId="1396FFD2" w14:textId="77777777" w:rsidR="000A2D7A" w:rsidRDefault="000A2D7A">
      <w:pPr>
        <w:pStyle w:val="BodyText"/>
      </w:pPr>
      <w:r>
        <w:t>Non</w:t>
      </w:r>
      <w:r>
        <w:noBreakHyphen/>
        <w:t>residential zones designate land where housing cannot be built. Non</w:t>
      </w:r>
      <w:r>
        <w:noBreakHyphen/>
        <w:t>residential zones typically restrict land to industrial, commercial or agricultural uses, with the aim of restricting residential development in areas where it would not be safe or appropriate to build housing. Governments have historically supported housing supply by releasing land in areas that were previously zoned non</w:t>
      </w:r>
      <w:r>
        <w:noBreakHyphen/>
        <w:t>residential, particularly on the urban fringe of cities</w:t>
      </w:r>
      <w:r w:rsidRPr="0008600B">
        <w:t xml:space="preserve"> (</w:t>
      </w:r>
      <w:r w:rsidRPr="001276E4">
        <w:t>section</w:t>
      </w:r>
      <w:r w:rsidRPr="00D6689C">
        <w:t xml:space="preserve"> 2.</w:t>
      </w:r>
      <w:r>
        <w:t>3</w:t>
      </w:r>
      <w:r w:rsidRPr="001276E4">
        <w:t>)</w:t>
      </w:r>
      <w:r>
        <w:t>.</w:t>
      </w:r>
    </w:p>
    <w:p w14:paraId="22E0C866" w14:textId="1FD4A744" w:rsidR="000A2D7A" w:rsidRDefault="000A2D7A">
      <w:pPr>
        <w:pStyle w:val="BodyText"/>
      </w:pPr>
      <w:r>
        <w:t>Governments are also increasingly</w:t>
      </w:r>
      <w:r w:rsidRPr="0050770B">
        <w:t xml:space="preserve"> rezoning </w:t>
      </w:r>
      <w:r>
        <w:t xml:space="preserve">land to mixed use </w:t>
      </w:r>
      <w:r w:rsidRPr="0050770B">
        <w:t>to allow housing development in high</w:t>
      </w:r>
      <w:r>
        <w:noBreakHyphen/>
      </w:r>
      <w:r w:rsidRPr="0050770B">
        <w:t>demand housing areas. For example, YIMBY Melbourne reports that mixed</w:t>
      </w:r>
      <w:r>
        <w:noBreakHyphen/>
      </w:r>
      <w:r w:rsidRPr="0050770B">
        <w:t xml:space="preserve">use commercial areas </w:t>
      </w:r>
      <w:r>
        <w:t xml:space="preserve">now </w:t>
      </w:r>
      <w:r w:rsidRPr="0050770B">
        <w:t xml:space="preserve">account for 38% of residential developments of 10 or more </w:t>
      </w:r>
      <w:r>
        <w:t xml:space="preserve">dwellings in Melbourne </w:t>
      </w:r>
      <w:r w:rsidRPr="0050770B">
        <w:t>(sub.</w:t>
      </w:r>
      <w:r>
        <w:t> </w:t>
      </w:r>
      <w:r w:rsidRPr="0050770B">
        <w:t>90</w:t>
      </w:r>
      <w:r>
        <w:t>, p. 5</w:t>
      </w:r>
      <w:r w:rsidRPr="0050770B">
        <w:t xml:space="preserve">). </w:t>
      </w:r>
      <w:r>
        <w:t>Mixed</w:t>
      </w:r>
      <w:r>
        <w:noBreakHyphen/>
        <w:t>use areas</w:t>
      </w:r>
      <w:r w:rsidRPr="0050770B">
        <w:t xml:space="preserve"> are also becoming a more important source of new housing over time. In established suburbs</w:t>
      </w:r>
      <w:r>
        <w:t xml:space="preserve"> of Melbourne</w:t>
      </w:r>
      <w:r w:rsidRPr="0050770B">
        <w:t>, the percentage of new dwellings that are developed in commercial and mixed</w:t>
      </w:r>
      <w:r>
        <w:noBreakHyphen/>
      </w:r>
      <w:r w:rsidRPr="0050770B">
        <w:t>use areas increased from 30% in 2005</w:t>
      </w:r>
      <w:r>
        <w:t>–</w:t>
      </w:r>
      <w:r w:rsidRPr="0050770B">
        <w:t>10 to nearly 50% in 2011</w:t>
      </w:r>
      <w:r>
        <w:t>–</w:t>
      </w:r>
      <w:r w:rsidRPr="0050770B">
        <w:t>16</w:t>
      </w:r>
      <w:r w:rsidRPr="006E6CA3">
        <w:t xml:space="preserve">, with a third of the growth occurring in the Commercial 1 Zone </w:t>
      </w:r>
      <w:r w:rsidRPr="009C5D35">
        <w:t>(Victorian DELWP 2018, p. 18)</w:t>
      </w:r>
      <w:r w:rsidRPr="0050770B">
        <w:t xml:space="preserve">. </w:t>
      </w:r>
      <w:r>
        <w:t xml:space="preserve">The </w:t>
      </w:r>
      <w:r w:rsidRPr="0050770B">
        <w:t xml:space="preserve">PC </w:t>
      </w:r>
      <w:r>
        <w:t xml:space="preserve">previously </w:t>
      </w:r>
      <w:r w:rsidRPr="0050770B">
        <w:t>found that these mixed</w:t>
      </w:r>
      <w:r>
        <w:noBreakHyphen/>
      </w:r>
      <w:r w:rsidRPr="0050770B">
        <w:t>use areas were also able to effectively manage local amenity through other built</w:t>
      </w:r>
      <w:r>
        <w:noBreakHyphen/>
      </w:r>
      <w:r w:rsidRPr="0050770B">
        <w:t>form controls</w:t>
      </w:r>
      <w:r>
        <w:t xml:space="preserve"> </w:t>
      </w:r>
      <w:r w:rsidR="00877EF9" w:rsidRPr="00877EF9">
        <w:rPr>
          <w:rFonts w:cs="Open Sans"/>
        </w:rPr>
        <w:t>(2020b, pp. 29–30)</w:t>
      </w:r>
      <w:r w:rsidRPr="0050770B">
        <w:t>.</w:t>
      </w:r>
    </w:p>
    <w:p w14:paraId="2474B1DF" w14:textId="77777777" w:rsidR="000A2D7A" w:rsidRPr="007E0560" w:rsidRDefault="000A2D7A">
      <w:pPr>
        <w:pStyle w:val="BodyText"/>
        <w:rPr>
          <w:spacing w:val="-4"/>
        </w:rPr>
      </w:pPr>
      <w:r w:rsidRPr="007E0560">
        <w:rPr>
          <w:spacing w:val="-4"/>
        </w:rPr>
        <w:t>However, separation of residential and commercial land uses remains common, and in many cases, unjustified (Urban Taskforce Australia, sub. 69 attachment, p. 19). For example, despite the success of Victoria’s Commercial 1 Zone, its Commercial 2 Zone prohibits residential use without a sufficient rationale for the prohibition. Given the success of mixed</w:t>
      </w:r>
      <w:r w:rsidRPr="007E0560">
        <w:rPr>
          <w:spacing w:val="-4"/>
        </w:rPr>
        <w:noBreakHyphen/>
        <w:t>use zoning, the use of commercial</w:t>
      </w:r>
      <w:r w:rsidRPr="007E0560">
        <w:rPr>
          <w:spacing w:val="-4"/>
        </w:rPr>
        <w:noBreakHyphen/>
        <w:t xml:space="preserve">only zones should require clear justification, including evidence that excluding residential development delivers a net benefit. </w:t>
      </w:r>
    </w:p>
    <w:p w14:paraId="2BD8700F" w14:textId="77777777" w:rsidR="000A2D7A" w:rsidRDefault="000A2D7A">
      <w:pPr>
        <w:pStyle w:val="Heading3"/>
        <w:rPr>
          <w:rFonts w:ascii="Arial" w:hAnsi="Arial" w:cs="Arial"/>
        </w:rPr>
      </w:pPr>
      <w:r>
        <w:lastRenderedPageBreak/>
        <w:t>Low</w:t>
      </w:r>
      <w:r>
        <w:noBreakHyphen/>
        <w:t>density residential zoning and other restrictions limit how much housing is permitted</w:t>
      </w:r>
    </w:p>
    <w:p w14:paraId="294FC432" w14:textId="14630411" w:rsidR="000A2D7A" w:rsidRDefault="000A2D7A">
      <w:pPr>
        <w:pStyle w:val="BodyText"/>
      </w:pPr>
      <w:r w:rsidRPr="00EA3EE2">
        <w:t>While governments have sought to allow residential housing in places people want to live, most residential land is zoned low density</w:t>
      </w:r>
      <w:r>
        <w:t>,</w:t>
      </w:r>
      <w:r w:rsidRPr="00EA3EE2">
        <w:t xml:space="preserve"> </w:t>
      </w:r>
      <w:r>
        <w:t>which means it is subject to strict constraints that limit how much housing can be built.</w:t>
      </w:r>
      <w:r w:rsidRPr="00EA3EE2">
        <w:t xml:space="preserve"> In Brisbane, even within 1km of train stations, 69% of residential land is low density or has character provisions preventing density </w:t>
      </w:r>
      <w:r w:rsidRPr="005C7D2C">
        <w:rPr>
          <w:rFonts w:cs="Open Sans"/>
        </w:rPr>
        <w:t>(QPC 2025, p. 231)</w:t>
      </w:r>
      <w:r w:rsidRPr="00EA3EE2">
        <w:t>. Low</w:t>
      </w:r>
      <w:r>
        <w:noBreakHyphen/>
      </w:r>
      <w:r w:rsidRPr="00EA3EE2">
        <w:t xml:space="preserve">density zoning directly limits the amount and diversity of homes available </w:t>
      </w:r>
      <w:r w:rsidRPr="004E6165">
        <w:rPr>
          <w:rFonts w:cs="Open Sans"/>
        </w:rPr>
        <w:t>(Gilbert et al. 2020, p. 50)</w:t>
      </w:r>
      <w:r>
        <w:t>.</w:t>
      </w:r>
      <w:r w:rsidRPr="00EA3EE2">
        <w:t xml:space="preserve"> </w:t>
      </w:r>
      <w:r>
        <w:t>For example, l</w:t>
      </w:r>
      <w:r w:rsidRPr="00EA3EE2">
        <w:t>ow</w:t>
      </w:r>
      <w:r>
        <w:noBreakHyphen/>
      </w:r>
      <w:r w:rsidRPr="00EA3EE2">
        <w:t>density residential zones in</w:t>
      </w:r>
      <w:r w:rsidRPr="00EA3EE2" w:rsidDel="002232A1">
        <w:t xml:space="preserve"> </w:t>
      </w:r>
      <w:r>
        <w:t>Queensland</w:t>
      </w:r>
      <w:r w:rsidRPr="00EA3EE2">
        <w:t xml:space="preserve"> and </w:t>
      </w:r>
      <w:r>
        <w:t>Sydney</w:t>
      </w:r>
      <w:r w:rsidRPr="00EA3EE2">
        <w:t xml:space="preserve"> typically do not allow 3</w:t>
      </w:r>
      <w:r>
        <w:noBreakHyphen/>
      </w:r>
      <w:r w:rsidRPr="00EA3EE2">
        <w:t xml:space="preserve">storey dwellings except in certain areas near transport </w:t>
      </w:r>
      <w:r w:rsidRPr="005876B4">
        <w:rPr>
          <w:rFonts w:cs="Open Sans"/>
        </w:rPr>
        <w:t>(Coates et al. 2025, p. 20; Queensland DSDIP 2021)</w:t>
      </w:r>
      <w:r w:rsidRPr="00EA3EE2">
        <w:t xml:space="preserve">. </w:t>
      </w:r>
    </w:p>
    <w:p w14:paraId="74267659" w14:textId="5779EE32" w:rsidR="000A2D7A" w:rsidRDefault="000A2D7A">
      <w:pPr>
        <w:pStyle w:val="BodyText"/>
      </w:pPr>
      <w:r w:rsidRPr="0055402C">
        <w:t>Recent</w:t>
      </w:r>
      <w:r>
        <w:t xml:space="preserve"> state</w:t>
      </w:r>
      <w:r w:rsidRPr="0055402C">
        <w:t xml:space="preserve"> government upzoning policies</w:t>
      </w:r>
      <w:r>
        <w:t xml:space="preserve"> </w:t>
      </w:r>
      <w:r w:rsidRPr="0055402C">
        <w:t xml:space="preserve">have </w:t>
      </w:r>
      <w:r>
        <w:t>shown</w:t>
      </w:r>
      <w:r w:rsidRPr="0055402C">
        <w:t xml:space="preserve"> that allowing </w:t>
      </w:r>
      <w:r>
        <w:t>higher</w:t>
      </w:r>
      <w:r>
        <w:noBreakHyphen/>
      </w:r>
      <w:r w:rsidRPr="0055402C">
        <w:t>density dwelling</w:t>
      </w:r>
      <w:r>
        <w:t>s</w:t>
      </w:r>
      <w:r w:rsidRPr="0055402C">
        <w:t xml:space="preserve"> increases the amount of housing allowed on available land</w:t>
      </w:r>
      <w:r>
        <w:t>.</w:t>
      </w:r>
      <w:r w:rsidRPr="0055402C">
        <w:t xml:space="preserve"> </w:t>
      </w:r>
      <w:r>
        <w:t xml:space="preserve">Coates et al. </w:t>
      </w:r>
      <w:r w:rsidRPr="00EF662F">
        <w:rPr>
          <w:rFonts w:cs="Open Sans"/>
        </w:rPr>
        <w:t>(2025, p. 58)</w:t>
      </w:r>
      <w:r w:rsidRPr="00EA3EE2">
        <w:t xml:space="preserve"> </w:t>
      </w:r>
      <w:r>
        <w:t>estimate</w:t>
      </w:r>
      <w:r w:rsidRPr="00EA3EE2">
        <w:t xml:space="preserve"> that N</w:t>
      </w:r>
      <w:r>
        <w:t xml:space="preserve">ew </w:t>
      </w:r>
      <w:r w:rsidRPr="00EA3EE2">
        <w:t>S</w:t>
      </w:r>
      <w:r>
        <w:t xml:space="preserve">outh </w:t>
      </w:r>
      <w:r w:rsidRPr="00EA3EE2">
        <w:t>W</w:t>
      </w:r>
      <w:r>
        <w:t>ales</w:t>
      </w:r>
      <w:r w:rsidRPr="00EA3EE2">
        <w:t>’s Low</w:t>
      </w:r>
      <w:r>
        <w:noBreakHyphen/>
      </w:r>
      <w:r w:rsidRPr="00EA3EE2">
        <w:t xml:space="preserve"> and Mid</w:t>
      </w:r>
      <w:r>
        <w:noBreakHyphen/>
      </w:r>
      <w:r w:rsidRPr="00EA3EE2">
        <w:t xml:space="preserve">Rise Housing policy (which encourages </w:t>
      </w:r>
      <w:proofErr w:type="gramStart"/>
      <w:r w:rsidRPr="00EA3EE2">
        <w:t>more low and mid</w:t>
      </w:r>
      <w:proofErr w:type="gramEnd"/>
      <w:r>
        <w:noBreakHyphen/>
      </w:r>
      <w:r w:rsidRPr="00EA3EE2">
        <w:t>rise housing types within walking distance of nominated areas) w</w:t>
      </w:r>
      <w:r>
        <w:t xml:space="preserve">ill </w:t>
      </w:r>
      <w:r w:rsidRPr="00EA3EE2">
        <w:t>increase zoned capacity by 650</w:t>
      </w:r>
      <w:r>
        <w:t>,</w:t>
      </w:r>
      <w:r w:rsidRPr="00EA3EE2">
        <w:t>000</w:t>
      </w:r>
      <w:r>
        <w:t>, of which 240,000 will be commercially feasible to build</w:t>
      </w:r>
      <w:r w:rsidRPr="00EA3EE2">
        <w:t xml:space="preserve">. </w:t>
      </w:r>
      <w:r>
        <w:t xml:space="preserve">The same modelling found that </w:t>
      </w:r>
      <w:r w:rsidRPr="0055402C">
        <w:t>Victoria’s townhouse code</w:t>
      </w:r>
      <w:r>
        <w:t xml:space="preserve"> (which allows townhouses to be built in more areas in Melbourne) increases zoned capacity by 980,000, and commercially feasible capacity by 420,000.</w:t>
      </w:r>
    </w:p>
    <w:p w14:paraId="0297196A" w14:textId="77777777" w:rsidR="000A2D7A" w:rsidRDefault="000A2D7A">
      <w:pPr>
        <w:pStyle w:val="BodyText"/>
      </w:pPr>
      <w:r w:rsidRPr="005F0FA7">
        <w:t xml:space="preserve">However, even where land is zoned for high or medium density, overlays such as heritage controls can constrain the amount of housing that will be built </w:t>
      </w:r>
      <w:r>
        <w:t xml:space="preserve">and limit density </w:t>
      </w:r>
      <w:r w:rsidRPr="005F0FA7">
        <w:t>(box 2.2)</w:t>
      </w:r>
      <w:r>
        <w:t>.</w:t>
      </w:r>
      <w:r w:rsidRPr="005F0FA7">
        <w:t xml:space="preserve"> </w:t>
      </w:r>
    </w:p>
    <w:p w14:paraId="5109B062" w14:textId="77777777" w:rsidR="007E0560" w:rsidRPr="005F0FA7" w:rsidRDefault="007E0560" w:rsidP="007E0560">
      <w:pPr>
        <w:pStyle w:val="NoSpacing"/>
      </w:pPr>
    </w:p>
    <w:tbl>
      <w:tblPr>
        <w:tblStyle w:val="Boxtable"/>
        <w:tblW w:w="5000" w:type="pct"/>
        <w:tblLook w:val="04A0" w:firstRow="1" w:lastRow="0" w:firstColumn="1" w:lastColumn="0" w:noHBand="0" w:noVBand="1"/>
      </w:tblPr>
      <w:tblGrid>
        <w:gridCol w:w="9638"/>
      </w:tblGrid>
      <w:tr w:rsidR="000A2D7A" w14:paraId="6FFE14E4" w14:textId="77777777">
        <w:trPr>
          <w:tblHeader/>
        </w:trPr>
        <w:tc>
          <w:tcPr>
            <w:tcW w:w="9638" w:type="dxa"/>
            <w:shd w:val="clear" w:color="auto" w:fill="EBEBEB"/>
            <w:tcMar>
              <w:top w:w="170" w:type="dxa"/>
              <w:left w:w="170" w:type="dxa"/>
              <w:bottom w:w="113" w:type="dxa"/>
              <w:right w:w="170" w:type="dxa"/>
            </w:tcMar>
            <w:hideMark/>
          </w:tcPr>
          <w:p w14:paraId="79B6AC54" w14:textId="05DFBA15" w:rsidR="000A2D7A" w:rsidRDefault="000A2D7A">
            <w:pPr>
              <w:pStyle w:val="BoxHeading1"/>
            </w:pPr>
            <w:r>
              <w:t xml:space="preserve">Box </w:t>
            </w:r>
            <w:r w:rsidR="00CB06D8">
              <w:rPr>
                <w:noProof/>
              </w:rPr>
              <w:t>2</w:t>
            </w:r>
            <w:r>
              <w:t>.</w:t>
            </w:r>
            <w:r w:rsidR="00CB06D8">
              <w:rPr>
                <w:noProof/>
              </w:rPr>
              <w:t>2</w:t>
            </w:r>
            <w:r>
              <w:t xml:space="preserve"> – Heritage controls constrain housing supply where people want to live </w:t>
            </w:r>
          </w:p>
        </w:tc>
      </w:tr>
      <w:tr w:rsidR="000A2D7A" w14:paraId="59E47557" w14:textId="77777777">
        <w:tc>
          <w:tcPr>
            <w:tcW w:w="9638" w:type="dxa"/>
            <w:shd w:val="clear" w:color="auto" w:fill="EBEBEB"/>
            <w:tcMar>
              <w:top w:w="28" w:type="dxa"/>
              <w:left w:w="170" w:type="dxa"/>
              <w:bottom w:w="170" w:type="dxa"/>
              <w:right w:w="170" w:type="dxa"/>
            </w:tcMar>
            <w:hideMark/>
          </w:tcPr>
          <w:p w14:paraId="017461D9" w14:textId="77777777" w:rsidR="000A2D7A" w:rsidRDefault="000A2D7A">
            <w:pPr>
              <w:pStyle w:val="BoxHeading2"/>
            </w:pPr>
            <w:r w:rsidRPr="00240AEB">
              <w:t>A lot of high</w:t>
            </w:r>
            <w:r>
              <w:t>-</w:t>
            </w:r>
            <w:r w:rsidRPr="00240AEB">
              <w:t xml:space="preserve">demand land is covered by heritage overlays </w:t>
            </w:r>
          </w:p>
          <w:p w14:paraId="68DA6E6A" w14:textId="0C084C69" w:rsidR="000A2D7A" w:rsidRPr="00772666" w:rsidRDefault="000A2D7A">
            <w:pPr>
              <w:pStyle w:val="BodyText"/>
            </w:pPr>
            <w:r w:rsidRPr="00772666">
              <w:t xml:space="preserve">Heritage overlays are widespread, covering 21% of residential land within 10km of the </w:t>
            </w:r>
            <w:r>
              <w:t>central business district (</w:t>
            </w:r>
            <w:r w:rsidRPr="00772666">
              <w:t>CBD</w:t>
            </w:r>
            <w:r>
              <w:t>)</w:t>
            </w:r>
            <w:r w:rsidRPr="00772666">
              <w:t xml:space="preserve"> in Sydney and 29% in Melbourne</w:t>
            </w:r>
            <w:r>
              <w:t xml:space="preserve"> </w:t>
            </w:r>
            <w:r w:rsidRPr="00E56C82">
              <w:rPr>
                <w:rFonts w:cs="Open Sans"/>
              </w:rPr>
              <w:t>(Coates 2025, p. 23)</w:t>
            </w:r>
            <w:r w:rsidRPr="00772666">
              <w:t xml:space="preserve">. Across certain suburbs this is even higher, covering at least 50% of the residential land in 50 suburbs across Sydney </w:t>
            </w:r>
            <w:r w:rsidRPr="00B155C1">
              <w:rPr>
                <w:rFonts w:cs="Open Sans"/>
              </w:rPr>
              <w:t>(NSW PEC 2024b, p. 42)</w:t>
            </w:r>
            <w:r w:rsidRPr="00772666">
              <w:t xml:space="preserve"> and up to 58% in</w:t>
            </w:r>
            <w:r w:rsidRPr="00772666" w:rsidDel="001248BC">
              <w:t xml:space="preserve"> </w:t>
            </w:r>
            <w:r w:rsidRPr="00772666">
              <w:t>Yarra, Melbourne</w:t>
            </w:r>
            <w:r>
              <w:t xml:space="preserve"> </w:t>
            </w:r>
            <w:r w:rsidRPr="00633C7D">
              <w:rPr>
                <w:rFonts w:cs="Open Sans"/>
              </w:rPr>
              <w:t>(Florence and Triscari 2024, p. 19)</w:t>
            </w:r>
            <w:r w:rsidRPr="00772666">
              <w:t xml:space="preserve">. </w:t>
            </w:r>
          </w:p>
          <w:p w14:paraId="1ECAB546" w14:textId="77777777" w:rsidR="000A2D7A" w:rsidRDefault="000A2D7A">
            <w:pPr>
              <w:pStyle w:val="BoxHeading2"/>
            </w:pPr>
            <w:r>
              <w:t>Heritage controls can limit housing supply</w:t>
            </w:r>
          </w:p>
          <w:p w14:paraId="6198F86C" w14:textId="77777777" w:rsidR="000A2D7A" w:rsidRPr="00772666" w:rsidRDefault="000A2D7A">
            <w:pPr>
              <w:pStyle w:val="BodyText"/>
            </w:pPr>
            <w:r w:rsidRPr="00772666">
              <w:t>Heritage overlays can benefit the community by protecting important and unique land and buildings that have historic, architectural or cultural value. But to do this, they apply additional controls or approval steps that restrict or delay development</w:t>
            </w:r>
            <w:r>
              <w:t xml:space="preserve"> (FHA</w:t>
            </w:r>
            <w:r w:rsidRPr="00143CFE">
              <w:t>, sub.</w:t>
            </w:r>
            <w:r>
              <w:t> </w:t>
            </w:r>
            <w:r w:rsidRPr="00143CFE">
              <w:t>79, p.</w:t>
            </w:r>
            <w:r>
              <w:t> </w:t>
            </w:r>
            <w:r w:rsidRPr="00143CFE">
              <w:t>10</w:t>
            </w:r>
            <w:r>
              <w:t xml:space="preserve">; </w:t>
            </w:r>
            <w:r w:rsidRPr="00564839">
              <w:t>National Shelter, sub.</w:t>
            </w:r>
            <w:r>
              <w:t> </w:t>
            </w:r>
            <w:r w:rsidRPr="00564839">
              <w:t>53, p.</w:t>
            </w:r>
            <w:r>
              <w:t> </w:t>
            </w:r>
            <w:r w:rsidRPr="00564839">
              <w:t>8</w:t>
            </w:r>
            <w:r>
              <w:t xml:space="preserve">; </w:t>
            </w:r>
            <w:r w:rsidRPr="00564839">
              <w:t>Urban Taskforce Australia, sub.</w:t>
            </w:r>
            <w:r>
              <w:t> </w:t>
            </w:r>
            <w:r w:rsidRPr="00564839">
              <w:t>69, p.</w:t>
            </w:r>
            <w:r>
              <w:t> 5)</w:t>
            </w:r>
            <w:r w:rsidRPr="00772666">
              <w:t>. The extent of heritage overlays in Australian cities likely exceeds the benefit they provide.</w:t>
            </w:r>
          </w:p>
          <w:p w14:paraId="447F37B4" w14:textId="10D870CF" w:rsidR="000A2D7A" w:rsidRPr="00772666" w:rsidRDefault="000A2D7A">
            <w:pPr>
              <w:pStyle w:val="BodyText"/>
            </w:pPr>
            <w:r w:rsidRPr="00772666">
              <w:t xml:space="preserve">PC estimates, based on Coates et al. </w:t>
            </w:r>
            <w:r w:rsidRPr="0031202B">
              <w:rPr>
                <w:rFonts w:cs="Open Sans"/>
              </w:rPr>
              <w:t>(2025)</w:t>
            </w:r>
            <w:r w:rsidRPr="00772666">
              <w:t xml:space="preserve">, suggest that removing broad heritage controls could increase significant infill development within 10km of </w:t>
            </w:r>
            <w:r>
              <w:t>Melbourne’s</w:t>
            </w:r>
            <w:r w:rsidRPr="00772666">
              <w:t xml:space="preserve"> CBD by around 17% (assuming heritage</w:t>
            </w:r>
            <w:r>
              <w:noBreakHyphen/>
            </w:r>
            <w:r w:rsidRPr="00772666">
              <w:t>covered sites would then develop at the same rate as comparable non</w:t>
            </w:r>
            <w:r>
              <w:noBreakHyphen/>
            </w:r>
            <w:r w:rsidRPr="00772666">
              <w:t>heritage sites). This aligns with previous findings that heritage controls reduce</w:t>
            </w:r>
            <w:r>
              <w:t xml:space="preserve"> the</w:t>
            </w:r>
            <w:r w:rsidRPr="00772666">
              <w:t xml:space="preserve"> number of potential of dwellings</w:t>
            </w:r>
            <w:r>
              <w:t xml:space="preserve"> </w:t>
            </w:r>
            <w:r w:rsidRPr="00D663A4">
              <w:rPr>
                <w:rFonts w:cs="Open Sans"/>
              </w:rPr>
              <w:t>(Buxton et al. 2015, pp. 30–31)</w:t>
            </w:r>
            <w:r w:rsidRPr="00772666">
              <w:t xml:space="preserve">. </w:t>
            </w:r>
          </w:p>
          <w:p w14:paraId="5F88C084" w14:textId="39122277" w:rsidR="000A2D7A" w:rsidRPr="00772666" w:rsidRDefault="000A2D7A">
            <w:pPr>
              <w:pStyle w:val="BodyText"/>
            </w:pPr>
            <w:r w:rsidRPr="00772666">
              <w:t>These estimates should be treated as indicative. They may overstate the effect because some heritage land would remain protected through individual listings if broad controls were removed, and because some differences in infill rates may reflect other site characteristics. However, they may also understate the effect if heritage</w:t>
            </w:r>
            <w:r>
              <w:noBreakHyphen/>
            </w:r>
            <w:r w:rsidRPr="00772666">
              <w:t xml:space="preserve">covered areas are in locations that would otherwise have </w:t>
            </w:r>
            <w:r w:rsidRPr="00772666">
              <w:lastRenderedPageBreak/>
              <w:t>stronger development potential than comparable non</w:t>
            </w:r>
            <w:r>
              <w:noBreakHyphen/>
            </w:r>
            <w:r w:rsidRPr="00772666">
              <w:t>heritage areas.</w:t>
            </w:r>
            <w:r w:rsidRPr="00772666" w:rsidDel="00626C4D">
              <w:t xml:space="preserve"> </w:t>
            </w:r>
            <w:r w:rsidRPr="00772666">
              <w:t>Within</w:t>
            </w:r>
            <w:r>
              <w:noBreakHyphen/>
            </w:r>
            <w:r w:rsidRPr="00772666">
              <w:t>suburb analysis of housing development data from 2005 to 2016 in Melbourne</w:t>
            </w:r>
            <w:r>
              <w:t>’s</w:t>
            </w:r>
            <w:r w:rsidRPr="00772666">
              <w:t xml:space="preserve"> local government areas of Yarra, Port Phillip and Stonnington – 44% of which is under heritage overlay – corroborates that the volume and density of development within heritage areas is significantly less than in locations not subject to the overlay</w:t>
            </w:r>
            <w:r>
              <w:t xml:space="preserve"> </w:t>
            </w:r>
            <w:r w:rsidRPr="00313EEE">
              <w:rPr>
                <w:rFonts w:cs="Open Sans"/>
              </w:rPr>
              <w:t>(Victorian DELWP 2018, pp. 19–20)</w:t>
            </w:r>
            <w:r w:rsidRPr="00564839">
              <w:t>.</w:t>
            </w:r>
          </w:p>
          <w:p w14:paraId="1C4E76C6" w14:textId="77777777" w:rsidR="000A2D7A" w:rsidRDefault="000A2D7A">
            <w:pPr>
              <w:pStyle w:val="BoxHeading2"/>
            </w:pPr>
            <w:r>
              <w:t>The costs of heritage protection are not well evaluated against the benefits</w:t>
            </w:r>
          </w:p>
          <w:p w14:paraId="092F5636" w14:textId="27A02583" w:rsidR="000A2D7A" w:rsidRDefault="000A2D7A">
            <w:pPr>
              <w:pStyle w:val="BodyText"/>
            </w:pPr>
            <w:r>
              <w:t>E</w:t>
            </w:r>
            <w:r w:rsidRPr="008849FB">
              <w:t xml:space="preserve">xisting </w:t>
            </w:r>
            <w:r w:rsidRPr="00172D83">
              <w:t xml:space="preserve">heritage listing processes </w:t>
            </w:r>
            <w:r w:rsidRPr="00172D83" w:rsidDel="00583012">
              <w:t>are inconsistent</w:t>
            </w:r>
            <w:r w:rsidRPr="00172D83">
              <w:t xml:space="preserve"> and do not quantify the costs and benefits of protection appropriately. For example, in New South Wales</w:t>
            </w:r>
            <w:r w:rsidRPr="00000C98">
              <w:t xml:space="preserve"> lost sale value o</w:t>
            </w:r>
            <w:r>
              <w:t xml:space="preserve">r </w:t>
            </w:r>
            <w:r w:rsidRPr="00000C98">
              <w:t>benefit forgone are not on their own sufficient evidence of ‘hardship’ for the purposes of preventing a heritage listing</w:t>
            </w:r>
            <w:r w:rsidRPr="00172D83">
              <w:t xml:space="preserve"> </w:t>
            </w:r>
            <w:r w:rsidRPr="00FF4CAC">
              <w:rPr>
                <w:rFonts w:cs="Open Sans"/>
              </w:rPr>
              <w:t>(Hewitt and Hill 2017)</w:t>
            </w:r>
            <w:r w:rsidRPr="00172D83">
              <w:t xml:space="preserve">. As such, there are </w:t>
            </w:r>
            <w:r>
              <w:t>many</w:t>
            </w:r>
            <w:r w:rsidRPr="00172D83">
              <w:t xml:space="preserve"> examples of heritage overlays being used to protect low value sites, such as car park</w:t>
            </w:r>
            <w:r w:rsidRPr="00172D83" w:rsidDel="001D2556">
              <w:t>s</w:t>
            </w:r>
            <w:r w:rsidRPr="00172D83">
              <w:t xml:space="preserve"> </w:t>
            </w:r>
            <w:r w:rsidRPr="000F0BFE">
              <w:rPr>
                <w:rFonts w:cs="Open Sans"/>
              </w:rPr>
              <w:t>(BCA, sub. 71, p. 2; Tulip 2026, pp. 9–14)</w:t>
            </w:r>
            <w:r w:rsidRPr="00172D83">
              <w:t xml:space="preserve">. The benefit forgone (cost) from restricting development is often excluded completely, despite evidence suggesting that the costs of restricting development vastly exceed the benefits of heritage listing </w:t>
            </w:r>
            <w:r w:rsidRPr="002A1CF5">
              <w:rPr>
                <w:rFonts w:cs="Open Sans"/>
              </w:rPr>
              <w:t>(Fifer 2025; Tulip 2026, p. 2)</w:t>
            </w:r>
            <w:r w:rsidRPr="00172D83">
              <w:t xml:space="preserve">. For example, evidence quantifying </w:t>
            </w:r>
            <w:r w:rsidRPr="00172D83" w:rsidDel="00083FAF">
              <w:t>th</w:t>
            </w:r>
            <w:r>
              <w:t>e</w:t>
            </w:r>
            <w:r w:rsidRPr="00172D83" w:rsidDel="00083FAF">
              <w:t xml:space="preserve"> </w:t>
            </w:r>
            <w:r w:rsidRPr="00172D83">
              <w:t xml:space="preserve">costs </w:t>
            </w:r>
            <w:r>
              <w:t>of New Zealand</w:t>
            </w:r>
            <w:r w:rsidRPr="00172D83">
              <w:t xml:space="preserve"> character protections, which operate similarly to Australian heritage rules, finds negative welfare effects equivalent to a reduction of household income by $391 to $1</w:t>
            </w:r>
            <w:r>
              <w:t>,</w:t>
            </w:r>
            <w:r w:rsidRPr="00172D83">
              <w:t xml:space="preserve">375 per year </w:t>
            </w:r>
            <w:r w:rsidR="00877EF9" w:rsidRPr="00877EF9">
              <w:rPr>
                <w:rFonts w:cs="Open Sans"/>
              </w:rPr>
              <w:t>(Greenaway-</w:t>
            </w:r>
            <w:proofErr w:type="spellStart"/>
            <w:r w:rsidR="00877EF9" w:rsidRPr="00877EF9">
              <w:rPr>
                <w:rFonts w:cs="Open Sans"/>
              </w:rPr>
              <w:t>McGrevy</w:t>
            </w:r>
            <w:proofErr w:type="spellEnd"/>
            <w:r w:rsidR="00877EF9" w:rsidRPr="00877EF9">
              <w:rPr>
                <w:rFonts w:cs="Open Sans"/>
              </w:rPr>
              <w:t xml:space="preserve"> and Jones 2025b)</w:t>
            </w:r>
            <w:r w:rsidRPr="00172D83">
              <w:t>.</w:t>
            </w:r>
            <w:r w:rsidRPr="00172D83" w:rsidDel="008B638C">
              <w:t xml:space="preserve"> </w:t>
            </w:r>
          </w:p>
          <w:p w14:paraId="780B05A5" w14:textId="77777777" w:rsidR="000A2D7A" w:rsidRDefault="000A2D7A">
            <w:pPr>
              <w:pStyle w:val="BodyText"/>
            </w:pPr>
            <w:r>
              <w:t>It is therefore likely that housing supply is being restricted by heritage overlays beyond what is socially justified (</w:t>
            </w:r>
            <w:r w:rsidRPr="00143CFE">
              <w:t>Master Builders</w:t>
            </w:r>
            <w:r>
              <w:t xml:space="preserve"> Australia</w:t>
            </w:r>
            <w:r w:rsidRPr="00143CFE">
              <w:t>, sub.</w:t>
            </w:r>
            <w:r>
              <w:t> </w:t>
            </w:r>
            <w:r w:rsidRPr="00143CFE">
              <w:t>74, p.</w:t>
            </w:r>
            <w:r>
              <w:t> </w:t>
            </w:r>
            <w:r w:rsidRPr="00143CFE">
              <w:t>9</w:t>
            </w:r>
            <w:r>
              <w:t>). In our final report we will further consider the potential impacts of heritage controls on feasible housing supply.</w:t>
            </w:r>
          </w:p>
        </w:tc>
      </w:tr>
    </w:tbl>
    <w:p w14:paraId="34DD8382" w14:textId="77777777" w:rsidR="009B5E72" w:rsidRDefault="009B5E72" w:rsidP="009B5E72">
      <w:pPr>
        <w:pStyle w:val="NoSpacing"/>
      </w:pPr>
    </w:p>
    <w:p w14:paraId="2C7661C0" w14:textId="1FF5D448" w:rsidR="000A2D7A" w:rsidRDefault="000A2D7A">
      <w:pPr>
        <w:pStyle w:val="Heading4"/>
      </w:pPr>
      <w:r>
        <w:t>Maximum floor</w:t>
      </w:r>
      <w:r>
        <w:noBreakHyphen/>
        <w:t>space ratio and height restrictions restrict the number and type of dwellings that can be built</w:t>
      </w:r>
    </w:p>
    <w:p w14:paraId="5490BFBE" w14:textId="77777777" w:rsidR="000A2D7A" w:rsidRDefault="000A2D7A">
      <w:pPr>
        <w:pStyle w:val="BodyText"/>
      </w:pPr>
      <w:r w:rsidRPr="00117D0B">
        <w:t>Even if zoning permits medium</w:t>
      </w:r>
      <w:r>
        <w:noBreakHyphen/>
      </w:r>
      <w:r w:rsidRPr="00117D0B">
        <w:t xml:space="preserve"> or high</w:t>
      </w:r>
      <w:r>
        <w:noBreakHyphen/>
      </w:r>
      <w:r w:rsidRPr="00117D0B">
        <w:t>density housing</w:t>
      </w:r>
      <w:r>
        <w:t xml:space="preserve"> in</w:t>
      </w:r>
      <w:r>
        <w:noBreakHyphen/>
        <w:t>principle</w:t>
      </w:r>
      <w:r w:rsidRPr="00117D0B">
        <w:t>, built</w:t>
      </w:r>
      <w:r>
        <w:noBreakHyphen/>
      </w:r>
      <w:r w:rsidRPr="00117D0B">
        <w:t xml:space="preserve">form controls such as </w:t>
      </w:r>
      <w:r>
        <w:t>maximum FSR</w:t>
      </w:r>
      <w:r w:rsidRPr="00117D0B">
        <w:t xml:space="preserve"> and height restrictions may limit what can be built in practice</w:t>
      </w:r>
      <w:r>
        <w:t>.</w:t>
      </w:r>
      <w:r>
        <w:rPr>
          <w:rStyle w:val="FootnoteReference"/>
        </w:rPr>
        <w:footnoteReference w:id="3"/>
      </w:r>
      <w:r w:rsidRPr="00117D0B">
        <w:t xml:space="preserve"> </w:t>
      </w:r>
    </w:p>
    <w:p w14:paraId="5018B051" w14:textId="6361668A" w:rsidR="000A2D7A" w:rsidRDefault="000A2D7A">
      <w:pPr>
        <w:pStyle w:val="BodyText"/>
      </w:pPr>
      <w:r>
        <w:t>Height</w:t>
      </w:r>
      <w:r w:rsidDel="00746A5E">
        <w:t xml:space="preserve"> </w:t>
      </w:r>
      <w:r>
        <w:t xml:space="preserve">restrictions </w:t>
      </w:r>
      <w:r w:rsidRPr="006F3BA3">
        <w:t>reduce</w:t>
      </w:r>
      <w:r>
        <w:t xml:space="preserve"> supply by </w:t>
      </w:r>
      <w:r w:rsidRPr="006F3BA3">
        <w:t>limiting the number of</w:t>
      </w:r>
      <w:r w:rsidRPr="00FC4FD5">
        <w:t xml:space="preserve"> higher</w:t>
      </w:r>
      <w:r>
        <w:t>-</w:t>
      </w:r>
      <w:r w:rsidRPr="00FC4FD5">
        <w:t xml:space="preserve">density dwellings </w:t>
      </w:r>
      <w:r w:rsidRPr="00B155C1">
        <w:rPr>
          <w:rFonts w:cs="Open Sans"/>
        </w:rPr>
        <w:t>(NSW PC 2023, p. 29; NSW PEC 2024a, p. 37)</w:t>
      </w:r>
      <w:r>
        <w:t xml:space="preserve"> </w:t>
      </w:r>
      <w:r w:rsidRPr="006F3BA3">
        <w:t>and making otherwise viable projects commercially unfeasible</w:t>
      </w:r>
      <w:r>
        <w:t xml:space="preserve"> </w:t>
      </w:r>
      <w:r w:rsidRPr="00703153">
        <w:rPr>
          <w:rFonts w:cs="Open Sans"/>
        </w:rPr>
        <w:t>(Jenner and Tulip 2020, p. 4)</w:t>
      </w:r>
      <w:r w:rsidRPr="00FC4FD5">
        <w:t>.</w:t>
      </w:r>
      <w:r>
        <w:t xml:space="preserve"> </w:t>
      </w:r>
      <w:r w:rsidRPr="00EA3EE2">
        <w:t>For example, 75% or more of residential land in Brisbane, Sydney, Perth and Adelaide is zoned for</w:t>
      </w:r>
      <w:r>
        <w:t xml:space="preserve"> just 1 or</w:t>
      </w:r>
      <w:r w:rsidRPr="00EA3EE2">
        <w:t xml:space="preserve"> 2 storeys </w:t>
      </w:r>
      <w:r w:rsidRPr="00534692">
        <w:rPr>
          <w:rFonts w:cs="Open Sans"/>
        </w:rPr>
        <w:t>(Coates et al. 2025, p. 3; NSW DPE 2023, p. 18)</w:t>
      </w:r>
      <w:r w:rsidRPr="00117D0B">
        <w:t xml:space="preserve">. </w:t>
      </w:r>
    </w:p>
    <w:p w14:paraId="5E30FA87" w14:textId="77777777" w:rsidR="000A2D7A" w:rsidRDefault="000A2D7A">
      <w:pPr>
        <w:pStyle w:val="BodyText"/>
      </w:pPr>
      <w:r>
        <w:t>Maximum FSR restricts the amount of floor space permitted on a given parcel of land, which determines the type and amount of housing that can be built there. For example, if a dwelling is being built on a 1000 square metre site and the maximum FSR is 1:1, then 1000 square metres of floor space can be built. If the maximum FSR is 2:1, then this same parcel of land could accommodate double the amount of floor space and potentially more dwellings (f</w:t>
      </w:r>
      <w:r w:rsidRPr="00117D0B">
        <w:t>igure</w:t>
      </w:r>
      <w:r>
        <w:t xml:space="preserve"> 2.2). The configuration of the building and location on the site is determined by other controls operating alongside maximum FSR – such as site coverage and setbacks. </w:t>
      </w:r>
    </w:p>
    <w:p w14:paraId="1807E47D" w14:textId="146E17B5" w:rsidR="000A2D7A" w:rsidRDefault="000A2D7A">
      <w:pPr>
        <w:pStyle w:val="FigureTableHeading"/>
      </w:pPr>
      <w:r>
        <w:lastRenderedPageBreak/>
        <w:t>Figure </w:t>
      </w:r>
      <w:r w:rsidR="00CB06D8">
        <w:rPr>
          <w:noProof/>
        </w:rPr>
        <w:t>2</w:t>
      </w:r>
      <w:r>
        <w:t>.2</w:t>
      </w:r>
      <w:r>
        <w:rPr>
          <w:noProof/>
        </w:rPr>
        <w:t xml:space="preserve"> </w:t>
      </w:r>
      <w:r>
        <w:t>– Maximum FSR and site coverage regulations</w:t>
      </w:r>
    </w:p>
    <w:p w14:paraId="01D541EA" w14:textId="45097C6B" w:rsidR="000A2D7A" w:rsidRDefault="006B5987" w:rsidP="00B23715">
      <w:pPr>
        <w:pStyle w:val="BodyText"/>
        <w:spacing w:after="360"/>
      </w:pPr>
      <w:r w:rsidRPr="006B5987">
        <w:rPr>
          <w:noProof/>
        </w:rPr>
        <w:drawing>
          <wp:inline distT="0" distB="0" distL="0" distR="0" wp14:anchorId="1F3F2C13" wp14:editId="6657029F">
            <wp:extent cx="6120130" cy="2854325"/>
            <wp:effectExtent l="0" t="0" r="0" b="3175"/>
            <wp:docPr id="1388084136" name="Picture 26" descr="This figure demonstrates how FSR and site coverage interact to determine the potential size and form of a building on a lot.&#10;The figure is arranged in 3 rows representing different maximum FSRs of 0.5:1, 1:1 and 2:1. Within each row, 3 building forms are shown corresponding to different levels of site coverage. The 3 site coverages shown are; the entire parcel of land, half the parcel of land and a quarter of the parcel of land.  &#10; &#10;The first row shows that when the FSR is 0.5:1, a building cannot cover the entire parcel of land. At this FSR the building forms shown are 1 storey covering half the parcel of land or 2 storeys covering a quarter.&#10; &#10;The middle row shows FSR 1:1. At this FSR the building forms shown are a 1 storey building covering the entire parcel of land, a 2 storey building covering half, or a 4 storey building covering a quarter.&#10; &#10;The bottom row shows FSR 2:1. At this FSR the building forms shown are a 2 storey building covering the entire parcel of land, a 4 storey building covering half, or an 8 storey building covering a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84136" name="Picture 26" descr="This figure demonstrates how FSR and site coverage interact to determine the potential size and form of a building on a lot.&#10;The figure is arranged in 3 rows representing different maximum FSRs of 0.5:1, 1:1 and 2:1. Within each row, 3 building forms are shown corresponding to different levels of site coverage. The 3 site coverages shown are; the entire parcel of land, half the parcel of land and a quarter of the parcel of land.  &#10; &#10;The first row shows that when the FSR is 0.5:1, a building cannot cover the entire parcel of land. At this FSR the building forms shown are 1 storey covering half the parcel of land or 2 storeys covering a quarter.&#10; &#10;The middle row shows FSR 1:1. At this FSR the building forms shown are a 1 storey building covering the entire parcel of land, a 2 storey building covering half, or a 4 storey building covering a quarter.&#10; &#10;The bottom row shows FSR 2:1. At this FSR the building forms shown are a 2 storey building covering the entire parcel of land, a 4 storey building covering half, or an 8 storey building covering a quarte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130" cy="2854325"/>
                    </a:xfrm>
                    <a:prstGeom prst="rect">
                      <a:avLst/>
                    </a:prstGeom>
                    <a:noFill/>
                    <a:ln>
                      <a:noFill/>
                    </a:ln>
                  </pic:spPr>
                </pic:pic>
              </a:graphicData>
            </a:graphic>
          </wp:inline>
        </w:drawing>
      </w:r>
    </w:p>
    <w:p w14:paraId="6D4E71D1" w14:textId="77777777" w:rsidR="000A2D7A" w:rsidRPr="00B23715" w:rsidRDefault="000A2D7A">
      <w:pPr>
        <w:pStyle w:val="Heading5"/>
        <w:rPr>
          <w:spacing w:val="-4"/>
        </w:rPr>
      </w:pPr>
      <w:r w:rsidRPr="00B23715">
        <w:rPr>
          <w:spacing w:val="-4"/>
        </w:rPr>
        <w:t>Zoning, height restrictions and maximum FSR can act in concert to unduly control density</w:t>
      </w:r>
    </w:p>
    <w:p w14:paraId="75714786" w14:textId="234DE18D" w:rsidR="000A2D7A" w:rsidRDefault="000A2D7A">
      <w:pPr>
        <w:pStyle w:val="BodyText"/>
      </w:pPr>
      <w:r>
        <w:t xml:space="preserve">While height restrictions, maximum FSR and zoning should in principle work together to produce a desirable housing density </w:t>
      </w:r>
      <w:proofErr w:type="gramStart"/>
      <w:r>
        <w:t>in a given</w:t>
      </w:r>
      <w:proofErr w:type="gramEnd"/>
      <w:r>
        <w:t xml:space="preserve"> location, in some cases they undermine one another.</w:t>
      </w:r>
      <w:r w:rsidRPr="00292018">
        <w:t xml:space="preserve"> </w:t>
      </w:r>
      <w:r>
        <w:t xml:space="preserve">Both height and maximum FSR can limit the number of storeys (and therefore types of development) that can be built to less than permitted by zoning and the other control </w:t>
      </w:r>
      <w:r w:rsidR="00877EF9" w:rsidRPr="00877EF9">
        <w:rPr>
          <w:rFonts w:cs="Open Sans"/>
        </w:rPr>
        <w:t>(Coates et al. 2025; Ge et al. 2021; NSW DPHI 2025d)</w:t>
      </w:r>
      <w:r>
        <w:t xml:space="preserve">. In locations where both controls apply, the more restrictive control will determine supply by preventing the development from being built further up or out. This control is considered the ‘binding constraint’. </w:t>
      </w:r>
    </w:p>
    <w:p w14:paraId="15D1E67B" w14:textId="7DF29168" w:rsidR="000A2D7A" w:rsidRDefault="000A2D7A">
      <w:pPr>
        <w:pStyle w:val="BodyText"/>
      </w:pPr>
      <w:r>
        <w:t>For example, in figure 2.2, if maximum FSR was 2:1 but the height restriction was 3m, height would be the binding constraint because although there could be enough floor space for a 4</w:t>
      </w:r>
      <w:r>
        <w:noBreakHyphen/>
        <w:t>storey building, it would not be permitted. Similarly, a restrictive maximum FSR can limit building heights as every extra storey requires the building footprint to shrink. Again, in figure 2.2, if the height restriction permitted 8</w:t>
      </w:r>
      <w:r w:rsidR="00206E62">
        <w:t> </w:t>
      </w:r>
      <w:r>
        <w:t>storeys on a parcel of land with a maximum FSR of 2:1, each storey of the 8</w:t>
      </w:r>
      <w:r>
        <w:noBreakHyphen/>
        <w:t>storey building would cover a quarter of the parcel of land, which is unlikely to be practical.</w:t>
      </w:r>
    </w:p>
    <w:p w14:paraId="3083A778" w14:textId="77777777" w:rsidR="000A2D7A" w:rsidRPr="00610CDA" w:rsidRDefault="000A2D7A">
      <w:pPr>
        <w:pStyle w:val="Heading5"/>
      </w:pPr>
      <w:r>
        <w:t>Relaxing binding built</w:t>
      </w:r>
      <w:r>
        <w:noBreakHyphen/>
        <w:t>form controls would increase zoned capacity</w:t>
      </w:r>
    </w:p>
    <w:p w14:paraId="45BC7591" w14:textId="77777777" w:rsidR="000A2D7A" w:rsidRDefault="000A2D7A">
      <w:pPr>
        <w:pStyle w:val="BodyText"/>
      </w:pPr>
      <w:r>
        <w:t>Given that maximum FSR, height restrictions and their complex interactions can prevent mid</w:t>
      </w:r>
      <w:r>
        <w:noBreakHyphen/>
        <w:t xml:space="preserve"> and high</w:t>
      </w:r>
      <w:r>
        <w:noBreakHyphen/>
        <w:t>rise development, identifying and relaxing inappropriately binding controls could increase housing supply without any formal ‘rezoning’ required (Maltman and Gibbons, sub. 41, p. 17).</w:t>
      </w:r>
    </w:p>
    <w:p w14:paraId="69F726BF" w14:textId="30504DB8" w:rsidR="000A2D7A" w:rsidRDefault="000A2D7A">
      <w:pPr>
        <w:pStyle w:val="BodyText"/>
      </w:pPr>
      <w:r w:rsidRPr="00FC4FD5">
        <w:t>Grattan</w:t>
      </w:r>
      <w:r>
        <w:t xml:space="preserve"> Institute</w:t>
      </w:r>
      <w:r w:rsidRPr="00FC4FD5">
        <w:t xml:space="preserve"> modelling estimates </w:t>
      </w:r>
      <w:r>
        <w:t>that</w:t>
      </w:r>
      <w:r w:rsidRPr="00FC4FD5">
        <w:t xml:space="preserve"> lifting </w:t>
      </w:r>
      <w:r>
        <w:t xml:space="preserve">height restrictions on </w:t>
      </w:r>
      <w:r w:rsidRPr="00FC4FD5">
        <w:t>lower</w:t>
      </w:r>
      <w:r>
        <w:noBreakHyphen/>
      </w:r>
      <w:r w:rsidRPr="00FC4FD5">
        <w:t xml:space="preserve">density zoned outer areas to 4 </w:t>
      </w:r>
      <w:proofErr w:type="spellStart"/>
      <w:r w:rsidRPr="00FC4FD5">
        <w:t>storeys</w:t>
      </w:r>
      <w:proofErr w:type="spellEnd"/>
      <w:r w:rsidRPr="00FC4FD5">
        <w:t xml:space="preserve"> in Sydney could increase capacity by 210,000 </w:t>
      </w:r>
      <w:r>
        <w:t xml:space="preserve">dwellings, and </w:t>
      </w:r>
      <w:r w:rsidRPr="00FC4FD5">
        <w:t xml:space="preserve">increasing </w:t>
      </w:r>
      <w:r w:rsidRPr="00FC4FD5">
        <w:rPr>
          <w:rStyle w:val="BodyTextChar"/>
        </w:rPr>
        <w:t xml:space="preserve">height </w:t>
      </w:r>
      <w:r>
        <w:rPr>
          <w:rStyle w:val="BodyTextChar"/>
        </w:rPr>
        <w:t>restrictions</w:t>
      </w:r>
      <w:r w:rsidRPr="00FC4FD5">
        <w:rPr>
          <w:rStyle w:val="BodyTextChar"/>
        </w:rPr>
        <w:t xml:space="preserve"> across the outer areas of the Activity Centre catchments in Melbourne to </w:t>
      </w:r>
      <w:r>
        <w:rPr>
          <w:rStyle w:val="BodyTextChar"/>
        </w:rPr>
        <w:t xml:space="preserve">6 </w:t>
      </w:r>
      <w:r w:rsidRPr="00FC4FD5">
        <w:rPr>
          <w:rStyle w:val="BodyTextChar"/>
        </w:rPr>
        <w:t>storeys would increase the zoned capacity in Activity Ce</w:t>
      </w:r>
      <w:r w:rsidRPr="00A75280">
        <w:t xml:space="preserve">ntres by 100,000 dwellings </w:t>
      </w:r>
      <w:r w:rsidRPr="00A312E4">
        <w:rPr>
          <w:rFonts w:cs="Open Sans"/>
        </w:rPr>
        <w:t>(Coates et al. 2025, pp. 57–58)</w:t>
      </w:r>
      <w:r w:rsidRPr="00A75280">
        <w:t>.</w:t>
      </w:r>
      <w:r>
        <w:rPr>
          <w:rStyle w:val="BodyTextChar"/>
        </w:rPr>
        <w:t xml:space="preserve"> Further, the Grattan Institute estimates that if maximum FSR was removed in Sydney (residential zones 1</w:t>
      </w:r>
      <w:r w:rsidR="00206E62">
        <w:rPr>
          <w:rStyle w:val="BodyTextChar"/>
        </w:rPr>
        <w:t>–</w:t>
      </w:r>
      <w:r>
        <w:rPr>
          <w:rStyle w:val="BodyTextChar"/>
        </w:rPr>
        <w:t xml:space="preserve">4) and maximum floor space was regulated through reasonable setbacks and site coverage, there could be an uplift in commercially feasible capacity of 140,000 </w:t>
      </w:r>
      <w:r w:rsidRPr="00A75280">
        <w:t xml:space="preserve">homes </w:t>
      </w:r>
      <w:r w:rsidRPr="0057015D">
        <w:rPr>
          <w:rFonts w:cs="Open Sans"/>
        </w:rPr>
        <w:t>(Coates et al. 2025, pp. 58–59)</w:t>
      </w:r>
      <w:r w:rsidRPr="005F0FA7">
        <w:t>.</w:t>
      </w:r>
    </w:p>
    <w:p w14:paraId="49965CE1" w14:textId="77777777" w:rsidR="000A2D7A" w:rsidRDefault="000A2D7A">
      <w:pPr>
        <w:pStyle w:val="Heading4"/>
      </w:pPr>
      <w:r>
        <w:lastRenderedPageBreak/>
        <w:t>Land</w:t>
      </w:r>
      <w:r>
        <w:noBreakHyphen/>
        <w:t>use controls can discourage land</w:t>
      </w:r>
      <w:r>
        <w:noBreakHyphen/>
        <w:t>efficient housing types</w:t>
      </w:r>
    </w:p>
    <w:p w14:paraId="2876085E" w14:textId="77777777" w:rsidR="000A2D7A" w:rsidRDefault="000A2D7A">
      <w:pPr>
        <w:pStyle w:val="BodyText"/>
      </w:pPr>
      <w:r w:rsidRPr="009265CF">
        <w:t>Allowing more dwellings on a given parcel of land can further increase zoned capacity</w:t>
      </w:r>
      <w:r w:rsidRPr="009265CF" w:rsidDel="009265CF">
        <w:t xml:space="preserve"> </w:t>
      </w:r>
      <w:r>
        <w:t>(Maltman and Gibbons, sub. 41, p. 3). This could be achieved by reducing minimum lot sizes or promoting more land</w:t>
      </w:r>
      <w:r>
        <w:noBreakHyphen/>
        <w:t>efficient alternative housing models such as land</w:t>
      </w:r>
      <w:r>
        <w:noBreakHyphen/>
        <w:t xml:space="preserve">lease communities and tiny homes. </w:t>
      </w:r>
    </w:p>
    <w:p w14:paraId="532BD5D0" w14:textId="59681205" w:rsidR="000A2D7A" w:rsidRDefault="000A2D7A">
      <w:pPr>
        <w:pStyle w:val="BodyText"/>
      </w:pPr>
      <w:r w:rsidRPr="00E20A57">
        <w:t xml:space="preserve">Minimum lot size </w:t>
      </w:r>
      <w:r>
        <w:t>rules</w:t>
      </w:r>
      <w:r w:rsidRPr="00E20A57">
        <w:t xml:space="preserve"> </w:t>
      </w:r>
      <w:r>
        <w:t xml:space="preserve">designate what size a lot must be to accommodate a dwelling, which can prevent subdivision on sites that would otherwise be able to accommodate more housing </w:t>
      </w:r>
      <w:r w:rsidRPr="00DF29B9">
        <w:t>(HIA 2026; HIA, sub. 25, p.</w:t>
      </w:r>
      <w:r>
        <w:t xml:space="preserve"> </w:t>
      </w:r>
      <w:r w:rsidRPr="00DF29B9">
        <w:t>7)</w:t>
      </w:r>
      <w:r>
        <w:t xml:space="preserve">. Relaxing or removing minimum lot sizes, alongside effective subdivision rules, can increase supply and encourage more diverse housing types. </w:t>
      </w:r>
    </w:p>
    <w:p w14:paraId="53B67A55" w14:textId="5259686A" w:rsidR="000A2D7A" w:rsidRPr="001F330F" w:rsidRDefault="000A2D7A">
      <w:pPr>
        <w:pStyle w:val="BodyText"/>
      </w:pPr>
      <w:r>
        <w:t>A</w:t>
      </w:r>
      <w:r w:rsidRPr="00B35967">
        <w:t xml:space="preserve"> quasi</w:t>
      </w:r>
      <w:r>
        <w:noBreakHyphen/>
      </w:r>
      <w:r w:rsidRPr="00B35967">
        <w:t xml:space="preserve">experimental evaluation of </w:t>
      </w:r>
      <w:r>
        <w:t xml:space="preserve">reforms to reduce minimum lot size in Campbelltown, Adelaide </w:t>
      </w:r>
      <w:r w:rsidRPr="00B35967">
        <w:t xml:space="preserve">found that they increased building approvals by </w:t>
      </w:r>
      <w:r>
        <w:t>more than 60%</w:t>
      </w:r>
      <w:r w:rsidRPr="00B35967">
        <w:t xml:space="preserve">, driven entirely by townhouses and rowhouses, with limited evidence of adverse amenity effects </w:t>
      </w:r>
      <w:r w:rsidRPr="00DF29B9">
        <w:t>(Behrens et al. </w:t>
      </w:r>
      <w:r w:rsidR="001A2AE3">
        <w:t>2026</w:t>
      </w:r>
      <w:r w:rsidRPr="00DF29B9">
        <w:t>; Maltman and Gibbons, sub. 41, p. 15)</w:t>
      </w:r>
      <w:r w:rsidRPr="00B35967">
        <w:t>.</w:t>
      </w:r>
      <w:r>
        <w:t xml:space="preserve"> </w:t>
      </w:r>
      <w:r w:rsidRPr="00295D35">
        <w:t>Evidence from the United States points in the same direction, with minimum</w:t>
      </w:r>
      <w:r>
        <w:t xml:space="preserve"> </w:t>
      </w:r>
      <w:r w:rsidRPr="00295D35">
        <w:t>lot</w:t>
      </w:r>
      <w:r>
        <w:t xml:space="preserve"> </w:t>
      </w:r>
      <w:r w:rsidRPr="00295D35">
        <w:t>size reform enabling substantial small</w:t>
      </w:r>
      <w:r>
        <w:noBreakHyphen/>
      </w:r>
      <w:r w:rsidRPr="00295D35">
        <w:t>lot townhouse redevelopment in middle</w:t>
      </w:r>
      <w:r>
        <w:noBreakHyphen/>
      </w:r>
      <w:r w:rsidRPr="00295D35">
        <w:t>income, underbuilt neighbourhoods</w:t>
      </w:r>
      <w:r>
        <w:t xml:space="preserve"> </w:t>
      </w:r>
      <w:r w:rsidRPr="00DF29B9">
        <w:t>(Gray and Millsap 2023)</w:t>
      </w:r>
      <w:r w:rsidRPr="00A55969">
        <w:rPr>
          <w:rStyle w:val="BodyTextChar"/>
        </w:rPr>
        <w:t>.</w:t>
      </w:r>
      <w:r w:rsidRPr="00A55969" w:rsidDel="00547551">
        <w:rPr>
          <w:rStyle w:val="BodyTextChar"/>
        </w:rPr>
        <w:t xml:space="preserve"> </w:t>
      </w:r>
      <w:r w:rsidRPr="00A55969">
        <w:rPr>
          <w:rStyle w:val="BodyTextChar"/>
        </w:rPr>
        <w:t>The size of this effect can differ across locations, as the increase in supply</w:t>
      </w:r>
      <w:r>
        <w:rPr>
          <w:rStyle w:val="BodyTextChar"/>
        </w:rPr>
        <w:t xml:space="preserve"> will</w:t>
      </w:r>
      <w:r w:rsidRPr="00A55969">
        <w:rPr>
          <w:rStyle w:val="BodyTextChar"/>
        </w:rPr>
        <w:t xml:space="preserve"> depend</w:t>
      </w:r>
      <w:r>
        <w:rPr>
          <w:rStyle w:val="BodyTextChar"/>
        </w:rPr>
        <w:t xml:space="preserve"> </w:t>
      </w:r>
      <w:r w:rsidRPr="00A55969">
        <w:rPr>
          <w:rStyle w:val="BodyTextChar"/>
        </w:rPr>
        <w:t xml:space="preserve">on </w:t>
      </w:r>
      <w:r>
        <w:rPr>
          <w:rStyle w:val="BodyTextChar"/>
        </w:rPr>
        <w:t xml:space="preserve">the </w:t>
      </w:r>
      <w:r w:rsidRPr="00DF29B9">
        <w:rPr>
          <w:rStyle w:val="BodyTextChar"/>
        </w:rPr>
        <w:t>siz</w:t>
      </w:r>
      <w:r>
        <w:rPr>
          <w:rStyle w:val="BodyTextChar"/>
        </w:rPr>
        <w:t xml:space="preserve">e of </w:t>
      </w:r>
      <w:r w:rsidRPr="00A55969">
        <w:rPr>
          <w:rStyle w:val="BodyTextChar"/>
        </w:rPr>
        <w:t xml:space="preserve">existing </w:t>
      </w:r>
      <w:r>
        <w:rPr>
          <w:rStyle w:val="BodyTextChar"/>
        </w:rPr>
        <w:t>parcels of land</w:t>
      </w:r>
      <w:r w:rsidRPr="00A55969">
        <w:rPr>
          <w:rStyle w:val="BodyTextChar"/>
        </w:rPr>
        <w:t xml:space="preserve"> and how feasible subdivision is (</w:t>
      </w:r>
      <w:r>
        <w:rPr>
          <w:rStyle w:val="BodyTextChar"/>
        </w:rPr>
        <w:t>Emeritus Prof Peter Phibbs,</w:t>
      </w:r>
      <w:r w:rsidRPr="00A55969">
        <w:rPr>
          <w:rStyle w:val="BodyTextChar"/>
        </w:rPr>
        <w:t xml:space="preserve"> sub</w:t>
      </w:r>
      <w:r>
        <w:rPr>
          <w:rStyle w:val="BodyTextChar"/>
        </w:rPr>
        <w:t>. </w:t>
      </w:r>
      <w:r w:rsidRPr="0030505A">
        <w:rPr>
          <w:rStyle w:val="BodyTextChar"/>
        </w:rPr>
        <w:t>63</w:t>
      </w:r>
      <w:r w:rsidRPr="00A55969">
        <w:rPr>
          <w:rStyle w:val="BodyTextChar"/>
        </w:rPr>
        <w:t>, p.</w:t>
      </w:r>
      <w:r>
        <w:rPr>
          <w:rStyle w:val="BodyTextChar"/>
        </w:rPr>
        <w:t> </w:t>
      </w:r>
      <w:r w:rsidRPr="00A55969">
        <w:rPr>
          <w:rStyle w:val="BodyTextChar"/>
        </w:rPr>
        <w:t>10).</w:t>
      </w:r>
      <w:r w:rsidRPr="001F330F">
        <w:t xml:space="preserve"> </w:t>
      </w:r>
    </w:p>
    <w:p w14:paraId="1A7FECB1" w14:textId="78D806CB" w:rsidR="000A2D7A" w:rsidRDefault="000A2D7A">
      <w:pPr>
        <w:pStyle w:val="BodyText"/>
      </w:pPr>
      <w:r>
        <w:t>Controls can also constrain supply by discouraging or preventing specific dwelling types. For example, a local council in Sydney amended its local planning rules in 2023 to prohibit certain kinds of mid</w:t>
      </w:r>
      <w:r>
        <w:noBreakHyphen/>
        <w:t>rise apartments and unit blocks in its medium</w:t>
      </w:r>
      <w:r>
        <w:noBreakHyphen/>
        <w:t xml:space="preserve">density residential zone </w:t>
      </w:r>
      <w:r w:rsidR="00877EF9" w:rsidRPr="00877EF9">
        <w:rPr>
          <w:rFonts w:cs="Open Sans"/>
        </w:rPr>
        <w:t>(NSW DPHI 2023b, 2023c)</w:t>
      </w:r>
      <w:r>
        <w:t xml:space="preserve">. </w:t>
      </w:r>
    </w:p>
    <w:p w14:paraId="38A805A9" w14:textId="0BE5575D" w:rsidR="000A2D7A" w:rsidRDefault="000A2D7A">
      <w:pPr>
        <w:pStyle w:val="BodyText"/>
      </w:pPr>
      <w:r>
        <w:t>Similarly, controls may discourage or prevent non</w:t>
      </w:r>
      <w:r>
        <w:noBreakHyphen/>
        <w:t xml:space="preserve">typical dwelling types, which tend to require less land. State and territory governments have started to address this via reforms that enable </w:t>
      </w:r>
      <w:r w:rsidRPr="006218BA">
        <w:t>permit</w:t>
      </w:r>
      <w:r>
        <w:noBreakHyphen/>
      </w:r>
      <w:r w:rsidRPr="006218BA">
        <w:t>free or fast</w:t>
      </w:r>
      <w:r>
        <w:noBreakHyphen/>
      </w:r>
      <w:r w:rsidRPr="006218BA">
        <w:t xml:space="preserve">track pathways for compliant small </w:t>
      </w:r>
      <w:r>
        <w:t xml:space="preserve">secondary </w:t>
      </w:r>
      <w:r w:rsidRPr="006218BA">
        <w:t>dwellings</w:t>
      </w:r>
      <w:r>
        <w:t>. For example,</w:t>
      </w:r>
      <w:r w:rsidRPr="00511AAD">
        <w:t xml:space="preserve"> </w:t>
      </w:r>
      <w:r w:rsidRPr="001F330F">
        <w:t>N</w:t>
      </w:r>
      <w:r>
        <w:t xml:space="preserve">ew </w:t>
      </w:r>
      <w:r w:rsidRPr="001F330F">
        <w:t>S</w:t>
      </w:r>
      <w:r>
        <w:t xml:space="preserve">outh </w:t>
      </w:r>
      <w:r w:rsidRPr="001F330F">
        <w:t>W</w:t>
      </w:r>
      <w:r>
        <w:t>ales’s</w:t>
      </w:r>
      <w:r w:rsidRPr="00E20A57">
        <w:t xml:space="preserve"> </w:t>
      </w:r>
      <w:r>
        <w:t>2009</w:t>
      </w:r>
      <w:r w:rsidRPr="00E20A57">
        <w:t xml:space="preserve"> reform to</w:t>
      </w:r>
      <w:r w:rsidRPr="00E20A57" w:rsidDel="00AE0D83">
        <w:t xml:space="preserve"> </w:t>
      </w:r>
      <w:r>
        <w:t>increase supply of</w:t>
      </w:r>
      <w:r w:rsidRPr="00E20A57">
        <w:t xml:space="preserve"> granny flats and boarding houses</w:t>
      </w:r>
      <w:r>
        <w:t xml:space="preserve"> </w:t>
      </w:r>
      <w:r w:rsidRPr="00E20A57">
        <w:t>was correlated with increased supply</w:t>
      </w:r>
      <w:r>
        <w:t xml:space="preserve"> of </w:t>
      </w:r>
      <w:r w:rsidRPr="00511AAD">
        <w:t>around 11,000 accessory dwellings and at least 2</w:t>
      </w:r>
      <w:r>
        <w:t>,</w:t>
      </w:r>
      <w:r w:rsidRPr="00511AAD">
        <w:t xml:space="preserve">280 boarding </w:t>
      </w:r>
      <w:proofErr w:type="gramStart"/>
      <w:r w:rsidRPr="00511AAD">
        <w:t>house</w:t>
      </w:r>
      <w:proofErr w:type="gramEnd"/>
      <w:r w:rsidRPr="00511AAD">
        <w:t xml:space="preserve"> </w:t>
      </w:r>
      <w:r>
        <w:t>‘</w:t>
      </w:r>
      <w:r w:rsidRPr="00511AAD">
        <w:t>rooms</w:t>
      </w:r>
      <w:r>
        <w:t>’</w:t>
      </w:r>
      <w:r w:rsidRPr="00511AAD">
        <w:t xml:space="preserve"> </w:t>
      </w:r>
      <w:r w:rsidRPr="001F330F">
        <w:t>(Gurran et al. 2018)</w:t>
      </w:r>
      <w:r>
        <w:t xml:space="preserve">. </w:t>
      </w:r>
    </w:p>
    <w:p w14:paraId="20EE098D" w14:textId="77777777" w:rsidR="000A2D7A" w:rsidRDefault="000A2D7A">
      <w:pPr>
        <w:pStyle w:val="BodyText"/>
      </w:pPr>
      <w:r>
        <w:t>However, there is opportunity for further reform to support other diverse, land</w:t>
      </w:r>
      <w:r>
        <w:noBreakHyphen/>
        <w:t>efficient housing options. For example, participants in this inquiry reported there are</w:t>
      </w:r>
      <w:r w:rsidRPr="00BE3F6A">
        <w:t xml:space="preserve"> regulatory barriers</w:t>
      </w:r>
      <w:r>
        <w:t xml:space="preserve"> to land</w:t>
      </w:r>
      <w:r>
        <w:noBreakHyphen/>
        <w:t xml:space="preserve">lease housing models which </w:t>
      </w:r>
      <w:r w:rsidRPr="00BE3F6A">
        <w:t xml:space="preserve">are </w:t>
      </w:r>
      <w:r>
        <w:t xml:space="preserve">commonly used as an affordable </w:t>
      </w:r>
      <w:r w:rsidRPr="00BE3F6A">
        <w:t xml:space="preserve">retirement </w:t>
      </w:r>
      <w:r>
        <w:t>option. Land</w:t>
      </w:r>
      <w:r>
        <w:noBreakHyphen/>
        <w:t xml:space="preserve">lease models allow </w:t>
      </w:r>
      <w:r w:rsidRPr="00BE3F6A">
        <w:t>residents</w:t>
      </w:r>
      <w:r>
        <w:t xml:space="preserve"> to </w:t>
      </w:r>
      <w:r w:rsidRPr="00BE3F6A">
        <w:t>own their home but lease the land from an operator</w:t>
      </w:r>
      <w:r>
        <w:t xml:space="preserve">. </w:t>
      </w:r>
      <w:r w:rsidRPr="00BE3F6A">
        <w:t>They can enabl</w:t>
      </w:r>
      <w:r>
        <w:t>e</w:t>
      </w:r>
      <w:r w:rsidRPr="00BE3F6A">
        <w:t xml:space="preserve"> </w:t>
      </w:r>
      <w:r>
        <w:t xml:space="preserve">supply by encouraging efficient land use and can promote affordability by facilitating </w:t>
      </w:r>
      <w:r w:rsidRPr="00BE3F6A">
        <w:t>downsizing and freeing up existing homes (</w:t>
      </w:r>
      <w:r>
        <w:t>CIAA</w:t>
      </w:r>
      <w:r w:rsidRPr="00842EE9">
        <w:t>, sub</w:t>
      </w:r>
      <w:r>
        <w:t>. </w:t>
      </w:r>
      <w:r w:rsidRPr="00842EE9">
        <w:t>44</w:t>
      </w:r>
      <w:r w:rsidRPr="00BE3F6A">
        <w:t>).</w:t>
      </w:r>
      <w:r>
        <w:t xml:space="preserve"> Despite their increasing demand, land</w:t>
      </w:r>
      <w:r>
        <w:noBreakHyphen/>
        <w:t>lease models are treated inconsistently or not addressed in regulation (AEON,</w:t>
      </w:r>
      <w:r w:rsidRPr="00A55969">
        <w:t xml:space="preserve"> sub</w:t>
      </w:r>
      <w:r>
        <w:t>. </w:t>
      </w:r>
      <w:r w:rsidRPr="00A55969">
        <w:t>35</w:t>
      </w:r>
      <w:r>
        <w:t>; ATHA</w:t>
      </w:r>
      <w:r w:rsidRPr="00A55969">
        <w:t>, sub</w:t>
      </w:r>
      <w:r>
        <w:t>. </w:t>
      </w:r>
      <w:r w:rsidRPr="00A55969">
        <w:t>51</w:t>
      </w:r>
      <w:r>
        <w:t>;</w:t>
      </w:r>
      <w:r w:rsidRPr="00131F9C">
        <w:t xml:space="preserve"> </w:t>
      </w:r>
      <w:r>
        <w:t>CIAA</w:t>
      </w:r>
      <w:r w:rsidRPr="00131F9C">
        <w:t>,</w:t>
      </w:r>
      <w:r w:rsidRPr="006905A6">
        <w:t xml:space="preserve"> </w:t>
      </w:r>
      <w:r w:rsidRPr="00A55969">
        <w:t>sub</w:t>
      </w:r>
      <w:r>
        <w:t>. </w:t>
      </w:r>
      <w:r w:rsidRPr="00A55969">
        <w:t>44</w:t>
      </w:r>
      <w:r w:rsidRPr="00131F9C">
        <w:t>)</w:t>
      </w:r>
      <w:r>
        <w:t xml:space="preserve">. For example, while allowed across </w:t>
      </w:r>
      <w:r w:rsidRPr="001F330F">
        <w:t>N</w:t>
      </w:r>
      <w:r>
        <w:t xml:space="preserve">ew </w:t>
      </w:r>
      <w:r w:rsidRPr="001F330F">
        <w:t>S</w:t>
      </w:r>
      <w:r>
        <w:t xml:space="preserve">outh </w:t>
      </w:r>
      <w:r w:rsidRPr="001F330F">
        <w:t>W</w:t>
      </w:r>
      <w:r>
        <w:t>ales, they are not permitted in the greater Sydney area (Urban Taskforce Australia, sub. </w:t>
      </w:r>
      <w:r w:rsidRPr="0030505A">
        <w:t>69</w:t>
      </w:r>
      <w:r w:rsidRPr="006B03A6">
        <w:t xml:space="preserve">, </w:t>
      </w:r>
      <w:r>
        <w:t>attachment</w:t>
      </w:r>
      <w:r w:rsidRPr="006B03A6">
        <w:t xml:space="preserve">, </w:t>
      </w:r>
      <w:r>
        <w:t xml:space="preserve">p. 27). </w:t>
      </w:r>
      <w:r w:rsidRPr="008C0F84">
        <w:t>C</w:t>
      </w:r>
      <w:r>
        <w:t xml:space="preserve">aravan and Residential Parks Victoria estimate that current regulatory conditions in Victoria would allow </w:t>
      </w:r>
      <w:r w:rsidRPr="0003756C">
        <w:t xml:space="preserve">only 32,400 </w:t>
      </w:r>
      <w:r>
        <w:t xml:space="preserve">residential land-lease community </w:t>
      </w:r>
      <w:r w:rsidRPr="0003756C">
        <w:t xml:space="preserve">homes </w:t>
      </w:r>
      <w:r>
        <w:t>to</w:t>
      </w:r>
      <w:r w:rsidRPr="0003756C">
        <w:t xml:space="preserve"> be built in Victoria by 2051, 45,149 </w:t>
      </w:r>
      <w:r>
        <w:t xml:space="preserve">fewer homes than predicted demand </w:t>
      </w:r>
      <w:r w:rsidRPr="00BE3F6A">
        <w:t>(</w:t>
      </w:r>
      <w:r>
        <w:t>CIAA</w:t>
      </w:r>
      <w:r w:rsidRPr="00842EE9">
        <w:t>, sub</w:t>
      </w:r>
      <w:r>
        <w:t>. </w:t>
      </w:r>
      <w:r w:rsidRPr="00842EE9">
        <w:t>44</w:t>
      </w:r>
      <w:r>
        <w:t>, p. 5).</w:t>
      </w:r>
    </w:p>
    <w:p w14:paraId="66F121F0" w14:textId="74C1573D" w:rsidR="000A2D7A" w:rsidRDefault="000A2D7A">
      <w:pPr>
        <w:pStyle w:val="BodyText"/>
      </w:pPr>
      <w:r>
        <w:t>Design regulations can also reduce the number of dwellings that can legally be built by increasing the amount of land required for a dwelling (BCA, sub. 71, p. 3; Urban Taskforce Australia, sub. 69,</w:t>
      </w:r>
      <w:r w:rsidRPr="003414D8">
        <w:t xml:space="preserve"> </w:t>
      </w:r>
      <w:r>
        <w:t xml:space="preserve">attachment, </w:t>
      </w:r>
      <w:r w:rsidRPr="00A955C1">
        <w:t>p.</w:t>
      </w:r>
      <w:r>
        <w:t> 15). For example, upper</w:t>
      </w:r>
      <w:r>
        <w:noBreakHyphen/>
        <w:t xml:space="preserve">level setbacks can force architects to deliver complex, lower floor space apartments and reduce the number of dwellings in a block </w:t>
      </w:r>
      <w:r w:rsidRPr="001F330F">
        <w:t>(YIMBY Melbourne 2024)</w:t>
      </w:r>
      <w:r>
        <w:t xml:space="preserve">. </w:t>
      </w:r>
    </w:p>
    <w:p w14:paraId="4BAFEB79" w14:textId="77777777" w:rsidR="000A2D7A" w:rsidRPr="00D95E9C" w:rsidRDefault="000A2D7A" w:rsidP="00BF7140">
      <w:pPr>
        <w:pStyle w:val="Heading3"/>
      </w:pPr>
      <w:r w:rsidRPr="009843AD">
        <w:lastRenderedPageBreak/>
        <w:t xml:space="preserve">Controls can make </w:t>
      </w:r>
      <w:r>
        <w:t xml:space="preserve">allowable </w:t>
      </w:r>
      <w:r w:rsidRPr="009843AD">
        <w:t xml:space="preserve">development </w:t>
      </w:r>
      <w:r>
        <w:t>un</w:t>
      </w:r>
      <w:r w:rsidRPr="009843AD">
        <w:t xml:space="preserve">feasible </w:t>
      </w:r>
    </w:p>
    <w:p w14:paraId="36E96164" w14:textId="7BE9D50B" w:rsidR="000A2D7A" w:rsidRDefault="000A2D7A" w:rsidP="00BF7140">
      <w:pPr>
        <w:pStyle w:val="BodyText"/>
        <w:keepNext/>
        <w:keepLines/>
      </w:pPr>
      <w:r>
        <w:t>Relaxing</w:t>
      </w:r>
      <w:r w:rsidRPr="00BB3863">
        <w:t xml:space="preserve"> land</w:t>
      </w:r>
      <w:r>
        <w:noBreakHyphen/>
      </w:r>
      <w:r w:rsidRPr="00BB3863">
        <w:t xml:space="preserve">use controls can increase zoned capacity and the number of </w:t>
      </w:r>
      <w:r>
        <w:t xml:space="preserve">dwellings theoretically allowed, which can potentially increase housing supply </w:t>
      </w:r>
      <w:r w:rsidRPr="00DF29B9">
        <w:t>(</w:t>
      </w:r>
      <w:proofErr w:type="spellStart"/>
      <w:r w:rsidRPr="00DF29B9">
        <w:t>Büchler</w:t>
      </w:r>
      <w:proofErr w:type="spellEnd"/>
      <w:r w:rsidRPr="00DF29B9">
        <w:t xml:space="preserve"> and Lutz 2024, pp. 6–7; Greenaway-McGrevy 2026, pp. 10–11)</w:t>
      </w:r>
      <w:r>
        <w:t>. However,</w:t>
      </w:r>
      <w:r w:rsidRPr="00BB3863">
        <w:t xml:space="preserve"> </w:t>
      </w:r>
      <w:r>
        <w:t>n</w:t>
      </w:r>
      <w:r w:rsidRPr="0091232C">
        <w:t>ot all zoned capacity will become housing</w:t>
      </w:r>
      <w:r>
        <w:t>.</w:t>
      </w:r>
      <w:r w:rsidRPr="003D5EFB">
        <w:t xml:space="preserve"> </w:t>
      </w:r>
      <w:r>
        <w:t>D</w:t>
      </w:r>
      <w:r w:rsidRPr="00BB3863">
        <w:t xml:space="preserve">evelopment will only proceed </w:t>
      </w:r>
      <w:r>
        <w:t>when</w:t>
      </w:r>
      <w:r w:rsidRPr="00BB3863">
        <w:t xml:space="preserve"> expected sale prices exceed development costs. </w:t>
      </w:r>
    </w:p>
    <w:p w14:paraId="324A0A67" w14:textId="77777777" w:rsidR="000A2D7A" w:rsidRDefault="000A2D7A">
      <w:pPr>
        <w:pStyle w:val="BodyText"/>
      </w:pPr>
      <w:r>
        <w:t>While many factors influence commercially feasible capacity (box 2.3), built</w:t>
      </w:r>
      <w:r>
        <w:noBreakHyphen/>
        <w:t xml:space="preserve">form requirements and design regulation can have significant impacts on the feasibility of development and therefore housing supply over time. </w:t>
      </w:r>
    </w:p>
    <w:p w14:paraId="5D7DD96C" w14:textId="404F257E" w:rsidR="000A2D7A" w:rsidRPr="00F82BD9" w:rsidRDefault="000A2D7A">
      <w:pPr>
        <w:pStyle w:val="NoSpacing"/>
      </w:pPr>
    </w:p>
    <w:tbl>
      <w:tblPr>
        <w:tblStyle w:val="Boxtable"/>
        <w:tblW w:w="5000" w:type="pct"/>
        <w:tblLook w:val="04A0" w:firstRow="1" w:lastRow="0" w:firstColumn="1" w:lastColumn="0" w:noHBand="0" w:noVBand="1"/>
      </w:tblPr>
      <w:tblGrid>
        <w:gridCol w:w="9638"/>
      </w:tblGrid>
      <w:tr w:rsidR="000A2D7A" w14:paraId="7F298BB6" w14:textId="77777777">
        <w:trPr>
          <w:tblHeader/>
        </w:trPr>
        <w:tc>
          <w:tcPr>
            <w:tcW w:w="9638" w:type="dxa"/>
            <w:shd w:val="clear" w:color="auto" w:fill="EBEBEB"/>
            <w:tcMar>
              <w:top w:w="170" w:type="dxa"/>
              <w:left w:w="170" w:type="dxa"/>
              <w:bottom w:w="113" w:type="dxa"/>
              <w:right w:w="170" w:type="dxa"/>
            </w:tcMar>
            <w:hideMark/>
          </w:tcPr>
          <w:p w14:paraId="400AF36E" w14:textId="77777777" w:rsidR="000A2D7A" w:rsidRDefault="000A2D7A">
            <w:pPr>
              <w:pStyle w:val="BoxHeading1"/>
            </w:pPr>
            <w:r>
              <w:t xml:space="preserve">Box 2.3 – </w:t>
            </w:r>
            <w:r w:rsidRPr="00821B53">
              <w:t xml:space="preserve">Commercial feasibility determines how many homes can and will be </w:t>
            </w:r>
            <w:r>
              <w:t xml:space="preserve">built </w:t>
            </w:r>
          </w:p>
        </w:tc>
      </w:tr>
      <w:tr w:rsidR="000A2D7A" w14:paraId="178A9A62" w14:textId="77777777">
        <w:tc>
          <w:tcPr>
            <w:tcW w:w="9638" w:type="dxa"/>
            <w:shd w:val="clear" w:color="auto" w:fill="EBEBEB"/>
            <w:tcMar>
              <w:top w:w="28" w:type="dxa"/>
              <w:left w:w="170" w:type="dxa"/>
              <w:bottom w:w="170" w:type="dxa"/>
              <w:right w:w="170" w:type="dxa"/>
            </w:tcMar>
            <w:hideMark/>
          </w:tcPr>
          <w:p w14:paraId="77E1D3A1" w14:textId="37457394" w:rsidR="000A2D7A" w:rsidRDefault="000A2D7A">
            <w:pPr>
              <w:pStyle w:val="BoxHeading3"/>
              <w:rPr>
                <w:b w:val="0"/>
                <w:i w:val="0"/>
              </w:rPr>
            </w:pPr>
            <w:r>
              <w:rPr>
                <w:b w:val="0"/>
                <w:i w:val="0"/>
              </w:rPr>
              <w:t>Commercially feasible capacity is the proportion of zoned capacity that is sufficiently profitable to develop by private parties. While c</w:t>
            </w:r>
            <w:r w:rsidRPr="00DD4E51">
              <w:rPr>
                <w:b w:val="0"/>
                <w:i w:val="0"/>
              </w:rPr>
              <w:t xml:space="preserve">ommercial feasibility does not guarantee development will occur, it is a necessary </w:t>
            </w:r>
            <w:r w:rsidRPr="307BB9A2">
              <w:rPr>
                <w:b w:val="0"/>
                <w:i w:val="0"/>
              </w:rPr>
              <w:t>condition</w:t>
            </w:r>
            <w:r w:rsidRPr="107C20E1">
              <w:rPr>
                <w:b w:val="0"/>
                <w:i w:val="0"/>
              </w:rPr>
              <w:t xml:space="preserve"> </w:t>
            </w:r>
            <w:r>
              <w:rPr>
                <w:b w:val="0"/>
                <w:i w:val="0"/>
              </w:rPr>
              <w:t>for changes in zoned capacity to translate into actual supply</w:t>
            </w:r>
            <w:r w:rsidRPr="00DD4E51">
              <w:rPr>
                <w:b w:val="0"/>
                <w:i w:val="0"/>
              </w:rPr>
              <w:t>.</w:t>
            </w:r>
            <w:r>
              <w:rPr>
                <w:b w:val="0"/>
                <w:i w:val="0"/>
              </w:rPr>
              <w:t xml:space="preserve"> </w:t>
            </w:r>
            <w:r w:rsidRPr="00CF46FA">
              <w:rPr>
                <w:b w:val="0"/>
                <w:i w:val="0"/>
              </w:rPr>
              <w:t>Many factors influence whether development is commercially feasible, such as development costs (</w:t>
            </w:r>
            <w:r>
              <w:rPr>
                <w:b w:val="0"/>
                <w:i w:val="0"/>
              </w:rPr>
              <w:t>f</w:t>
            </w:r>
            <w:r w:rsidRPr="00CF46FA">
              <w:rPr>
                <w:b w:val="0"/>
                <w:i w:val="0"/>
              </w:rPr>
              <w:t>igure</w:t>
            </w:r>
            <w:r>
              <w:rPr>
                <w:b w:val="0"/>
                <w:i w:val="0"/>
              </w:rPr>
              <w:t> </w:t>
            </w:r>
            <w:r w:rsidR="005E74C5">
              <w:rPr>
                <w:b w:val="0"/>
                <w:i w:val="0"/>
              </w:rPr>
              <w:t>below</w:t>
            </w:r>
            <w:r w:rsidRPr="00CF46FA">
              <w:rPr>
                <w:b w:val="0"/>
                <w:i w:val="0"/>
              </w:rPr>
              <w:t>), local housing demand and government settings around developer c</w:t>
            </w:r>
            <w:r>
              <w:rPr>
                <w:b w:val="0"/>
                <w:i w:val="0"/>
              </w:rPr>
              <w:t>ontributions</w:t>
            </w:r>
            <w:r w:rsidRPr="00CF46FA">
              <w:rPr>
                <w:b w:val="0"/>
                <w:i w:val="0"/>
              </w:rPr>
              <w:t>, approvals and land use.</w:t>
            </w:r>
            <w:r>
              <w:rPr>
                <w:b w:val="0"/>
                <w:i w:val="0"/>
              </w:rPr>
              <w:t xml:space="preserve"> </w:t>
            </w:r>
          </w:p>
          <w:p w14:paraId="2D80B3E9" w14:textId="7EB2663D" w:rsidR="000A2D7A" w:rsidRDefault="000A2D7A">
            <w:pPr>
              <w:pStyle w:val="FigureTableHeading"/>
            </w:pPr>
            <w:r>
              <w:t>Sydney 2023 infill high</w:t>
            </w:r>
            <w:r>
              <w:noBreakHyphen/>
              <w:t xml:space="preserve">rise apartment development costs versus sale price </w:t>
            </w:r>
          </w:p>
          <w:p w14:paraId="3D82C531" w14:textId="6931E199" w:rsidR="000A2D7A" w:rsidRDefault="00883C07">
            <w:pPr>
              <w:pStyle w:val="Note"/>
            </w:pPr>
            <w:r w:rsidRPr="00883C07">
              <w:rPr>
                <w:noProof/>
              </w:rPr>
              <w:drawing>
                <wp:inline distT="0" distB="0" distL="0" distR="0" wp14:anchorId="479C6332" wp14:editId="6DE6F185">
                  <wp:extent cx="5943600" cy="2876550"/>
                  <wp:effectExtent l="0" t="0" r="0" b="0"/>
                  <wp:docPr id="1884734066" name="Picture 9" descr="This figure is a waterfall chart showing the development cost components of infill high-rise apartment, compared to the expected sale price. &#10;&#10;The chart presents costs in thousands of dollars and shows how individual cost components contribute to total development costs. Construction is the largest cost component at $507,000. Then the following costs are shown as columns from left to right; land costs of $60,000, financing costs of $69,000, taxes and charges of $28,000, other costs of $70,000, and a required developer margin of $127,000.&#10;Together, these components result in total development costs of $860,000. This total cost is shown in a column next to the expected sale price of $897,0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34066" name="Picture 9" descr="This figure is a waterfall chart showing the development cost components of infill high-rise apartment, compared to the expected sale price. &#10;&#10;The chart presents costs in thousands of dollars and shows how individual cost components contribute to total development costs. Construction is the largest cost component at $507,000. Then the following costs are shown as columns from left to right; land costs of $60,000, financing costs of $69,000, taxes and charges of $28,000, other costs of $70,000, and a required developer margin of $127,000.&#10;Together, these components result in total development costs of $860,000. This total cost is shown in a column next to the expected sale price of $897,000.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2876550"/>
                          </a:xfrm>
                          <a:prstGeom prst="rect">
                            <a:avLst/>
                          </a:prstGeom>
                          <a:noFill/>
                          <a:ln>
                            <a:noFill/>
                          </a:ln>
                        </pic:spPr>
                      </pic:pic>
                    </a:graphicData>
                  </a:graphic>
                </wp:inline>
              </w:drawing>
            </w:r>
          </w:p>
          <w:p w14:paraId="5CD3B095" w14:textId="77777777" w:rsidR="000A2D7A" w:rsidRPr="00B97C8C" w:rsidRDefault="000A2D7A">
            <w:pPr>
              <w:pStyle w:val="Note"/>
              <w:rPr>
                <w:spacing w:val="-4"/>
              </w:rPr>
            </w:pPr>
            <w:r w:rsidRPr="00B97C8C">
              <w:rPr>
                <w:spacing w:val="-4"/>
              </w:rPr>
              <w:t>Cost stack components are for high</w:t>
            </w:r>
            <w:r w:rsidRPr="00B97C8C">
              <w:rPr>
                <w:spacing w:val="-4"/>
              </w:rPr>
              <w:noBreakHyphen/>
              <w:t xml:space="preserve">rise infill apartments in Sydney in 2023. ‘Construction’ includes parking, site preparation and demolition costs. ‘Taxes and charges’ </w:t>
            </w:r>
            <w:proofErr w:type="gramStart"/>
            <w:r w:rsidRPr="00B97C8C">
              <w:rPr>
                <w:spacing w:val="-4"/>
              </w:rPr>
              <w:t>includes</w:t>
            </w:r>
            <w:proofErr w:type="gramEnd"/>
            <w:r w:rsidRPr="00B97C8C">
              <w:rPr>
                <w:spacing w:val="-4"/>
              </w:rPr>
              <w:t xml:space="preserve"> state and other contributions, local government infrastructure charges, land tax and stamp duty. ‘Other costs’ includes professional fees, and sales and marketing. </w:t>
            </w:r>
          </w:p>
          <w:p w14:paraId="402A1E6B" w14:textId="01E53B29" w:rsidR="000A2D7A" w:rsidRDefault="000A2D7A">
            <w:pPr>
              <w:pStyle w:val="Source"/>
            </w:pPr>
            <w:r>
              <w:t xml:space="preserve">Source: Reproduced from CIE </w:t>
            </w:r>
            <w:r w:rsidRPr="000657C8">
              <w:t>(2024, p. 16)</w:t>
            </w:r>
            <w:r>
              <w:t>.</w:t>
            </w:r>
          </w:p>
          <w:p w14:paraId="2ADDC3FE" w14:textId="30951566" w:rsidR="000A2D7A" w:rsidRDefault="000A2D7A">
            <w:pPr>
              <w:pStyle w:val="BodyText"/>
            </w:pPr>
            <w:r>
              <w:t>D</w:t>
            </w:r>
            <w:r w:rsidRPr="00005666">
              <w:t xml:space="preserve">eterminants of commercial feasibility can change over time, meaning that commercially feasible capacity can rise or fall even when zoned capacity remains unchanged. </w:t>
            </w:r>
            <w:r w:rsidRPr="00800006">
              <w:t>Rising</w:t>
            </w:r>
            <w:r>
              <w:t xml:space="preserve"> construction </w:t>
            </w:r>
            <w:r w:rsidRPr="00800006">
              <w:t>costs</w:t>
            </w:r>
            <w:r w:rsidRPr="0030429E">
              <w:t xml:space="preserve"> </w:t>
            </w:r>
            <w:r>
              <w:t xml:space="preserve">between </w:t>
            </w:r>
            <w:r w:rsidRPr="00800006">
              <w:t>2020 and</w:t>
            </w:r>
            <w:r>
              <w:t xml:space="preserve"> 2025 </w:t>
            </w:r>
            <w:r w:rsidRPr="0030429E">
              <w:t>have</w:t>
            </w:r>
            <w:r>
              <w:t xml:space="preserve"> </w:t>
            </w:r>
            <w:r w:rsidRPr="00800006">
              <w:t>reduced development</w:t>
            </w:r>
            <w:r>
              <w:t xml:space="preserve"> feasibility </w:t>
            </w:r>
            <w:r w:rsidRPr="00800006">
              <w:t>across Australia</w:t>
            </w:r>
            <w:r>
              <w:t xml:space="preserve"> </w:t>
            </w:r>
            <w:r w:rsidRPr="000657C8">
              <w:t xml:space="preserve">(CBRE </w:t>
            </w:r>
            <w:r w:rsidRPr="000657C8">
              <w:lastRenderedPageBreak/>
              <w:t>Research 2025, p. 15; Quantify 2026, p. 40)</w:t>
            </w:r>
            <w:r w:rsidRPr="00800006">
              <w:t xml:space="preserve">, with apartment projects in Sydney </w:t>
            </w:r>
            <w:r>
              <w:t>also</w:t>
            </w:r>
            <w:r w:rsidRPr="00800006">
              <w:t xml:space="preserve"> affected by higher land acquisition and financing costs</w:t>
            </w:r>
            <w:r>
              <w:t xml:space="preserve"> </w:t>
            </w:r>
            <w:r w:rsidRPr="000657C8">
              <w:t>(CIE 2024, p. 14)</w:t>
            </w:r>
            <w:r w:rsidRPr="00800006">
              <w:t>.</w:t>
            </w:r>
          </w:p>
          <w:p w14:paraId="18B4A7F0" w14:textId="77777777" w:rsidR="000A2D7A" w:rsidRPr="005D3EA4" w:rsidRDefault="000A2D7A">
            <w:pPr>
              <w:pStyle w:val="BodyText"/>
              <w:rPr>
                <w:spacing w:val="-4"/>
              </w:rPr>
            </w:pPr>
            <w:r w:rsidRPr="005D3EA4">
              <w:rPr>
                <w:spacing w:val="-4"/>
              </w:rPr>
              <w:t>However, periods of low commercial feasibility do not weaken the case for upzoning – they strengthen it. Even when construction costs are high, land</w:t>
            </w:r>
            <w:r w:rsidRPr="005D3EA4">
              <w:rPr>
                <w:spacing w:val="-4"/>
              </w:rPr>
              <w:noBreakHyphen/>
              <w:t>use reform can create more profitable opportunities to build, increasing dwelling supply relative to what would have been delivered without reform. For example, Auckland’s upzoning did not prevent construction from falling during the 2022</w:t>
            </w:r>
            <w:r w:rsidRPr="005D3EA4">
              <w:rPr>
                <w:spacing w:val="-4"/>
              </w:rPr>
              <w:noBreakHyphen/>
              <w:t>23 building cycle downturn, when interest rates and material costs were high, but construction remained above its pre</w:t>
            </w:r>
            <w:r w:rsidRPr="005D3EA4">
              <w:rPr>
                <w:spacing w:val="-4"/>
              </w:rPr>
              <w:noBreakHyphen/>
              <w:t>upzoning average throughout the cycle (Maltman and Gibbons, sub. 41, pp. 30</w:t>
            </w:r>
            <w:r w:rsidRPr="005D3EA4">
              <w:rPr>
                <w:spacing w:val="-4"/>
              </w:rPr>
              <w:noBreakHyphen/>
              <w:t xml:space="preserve">31). </w:t>
            </w:r>
          </w:p>
          <w:p w14:paraId="659B72A9" w14:textId="0AE4A635" w:rsidR="000A2D7A" w:rsidRPr="00B97C8C" w:rsidRDefault="000A2D7A">
            <w:pPr>
              <w:pStyle w:val="BodyText"/>
              <w:rPr>
                <w:spacing w:val="-2"/>
              </w:rPr>
            </w:pPr>
            <w:r w:rsidRPr="00B97C8C">
              <w:rPr>
                <w:spacing w:val="-2"/>
              </w:rPr>
              <w:t>Governments can increase the impact of land</w:t>
            </w:r>
            <w:r w:rsidRPr="00B97C8C">
              <w:rPr>
                <w:spacing w:val="-2"/>
              </w:rPr>
              <w:noBreakHyphen/>
              <w:t xml:space="preserve">use reforms by increasing zoned capacity in areas where development is most commercially feasible (AHNA, sub. 75, p. 2; Mecone Group, sub. 65, p. 10), and by ensuring the changes allow housing typologies that are more feasible to develop – such as higher rise apartments and townhouses (Glen Searle, sub. 3, p. 5; Inner West Council 2025, p. 7). </w:t>
            </w:r>
          </w:p>
        </w:tc>
      </w:tr>
      <w:tr w:rsidR="000A2D7A" w14:paraId="3C9DF664" w14:textId="77777777">
        <w:trPr>
          <w:hidden/>
        </w:trPr>
        <w:tc>
          <w:tcPr>
            <w:tcW w:w="9638" w:type="dxa"/>
            <w:shd w:val="clear" w:color="auto" w:fill="auto"/>
            <w:tcMar>
              <w:top w:w="0" w:type="dxa"/>
              <w:left w:w="170" w:type="dxa"/>
              <w:bottom w:w="0" w:type="dxa"/>
              <w:right w:w="170" w:type="dxa"/>
            </w:tcMar>
          </w:tcPr>
          <w:p w14:paraId="3B51650A" w14:textId="375E3C0C" w:rsidR="000A2D7A" w:rsidRPr="00465191" w:rsidRDefault="000A2D7A">
            <w:pPr>
              <w:pStyle w:val="BodyText"/>
              <w:spacing w:before="0" w:after="0" w:line="80" w:lineRule="atLeast"/>
              <w:rPr>
                <w:smallCaps/>
                <w:vanish/>
              </w:rPr>
            </w:pPr>
          </w:p>
        </w:tc>
      </w:tr>
    </w:tbl>
    <w:p w14:paraId="1302384B" w14:textId="77777777" w:rsidR="000A2D7A" w:rsidRPr="00AC063A" w:rsidRDefault="000A2D7A">
      <w:pPr>
        <w:pStyle w:val="Heading4"/>
      </w:pPr>
      <w:r>
        <w:t>Built</w:t>
      </w:r>
      <w:r>
        <w:noBreakHyphen/>
        <w:t>form c</w:t>
      </w:r>
      <w:r w:rsidRPr="00AC063A">
        <w:t xml:space="preserve">ontrols </w:t>
      </w:r>
      <w:r>
        <w:t>and design requirements affect the feasibility of development</w:t>
      </w:r>
      <w:r w:rsidRPr="00AC063A">
        <w:t xml:space="preserve"> </w:t>
      </w:r>
    </w:p>
    <w:p w14:paraId="5736402E" w14:textId="76E1923D" w:rsidR="000A2D7A" w:rsidRDefault="000A2D7A">
      <w:pPr>
        <w:pStyle w:val="BodyText"/>
      </w:pPr>
      <w:r w:rsidDel="006B3195">
        <w:rPr>
          <w:lang w:val="en-US"/>
        </w:rPr>
        <w:t>T</w:t>
      </w:r>
      <w:r w:rsidRPr="000B02C1">
        <w:t>he controls most likely to affect feasibility are those that limit the number of dwellings that can be built on a site</w:t>
      </w:r>
      <w:r>
        <w:t>, either directly (through height and floor space controls) or indirectly (by mandating design or amenity features).</w:t>
      </w:r>
      <w:r w:rsidRPr="00BD4A65">
        <w:rPr>
          <w:rStyle w:val="FootnoteReference"/>
        </w:rPr>
        <w:footnoteReference w:id="4"/>
      </w:r>
      <w:r w:rsidRPr="000B02C1">
        <w:t xml:space="preserve"> </w:t>
      </w:r>
      <w:r>
        <w:t xml:space="preserve">These include </w:t>
      </w:r>
      <w:r w:rsidRPr="000B02C1">
        <w:t xml:space="preserve">maximum </w:t>
      </w:r>
      <w:r>
        <w:t>FSR</w:t>
      </w:r>
      <w:r w:rsidRPr="000B02C1">
        <w:t xml:space="preserve">, height limits, minimum setbacks, communal space requirements and commercial space </w:t>
      </w:r>
      <w:r>
        <w:t>requirements</w:t>
      </w:r>
      <w:r w:rsidRPr="00323F7C">
        <w:t xml:space="preserve"> </w:t>
      </w:r>
      <w:r w:rsidRPr="00B155C1">
        <w:rPr>
          <w:rFonts w:cs="Open Sans"/>
        </w:rPr>
        <w:t>(NSW PEC 2024a, p. 41)</w:t>
      </w:r>
      <w:r w:rsidRPr="00323F7C">
        <w:t xml:space="preserve">. </w:t>
      </w:r>
    </w:p>
    <w:p w14:paraId="5749019F" w14:textId="4608E3E8" w:rsidR="000A2D7A" w:rsidRDefault="000A2D7A">
      <w:pPr>
        <w:pStyle w:val="BodyText"/>
      </w:pPr>
      <w:r w:rsidRPr="00323F7C">
        <w:t>Allowing more dwellings on a site can improve feasibility because fixed costs, such as land acquisition, design and approvals, are spread across more homes.</w:t>
      </w:r>
      <w:r>
        <w:t xml:space="preserve"> </w:t>
      </w:r>
      <w:r w:rsidRPr="00A75280">
        <w:t>For example, h</w:t>
      </w:r>
      <w:r w:rsidRPr="00A75280" w:rsidDel="00F14635">
        <w:t>eight</w:t>
      </w:r>
      <w:r w:rsidRPr="00A75280">
        <w:t xml:space="preserve"> limits that prohibit high</w:t>
      </w:r>
      <w:r>
        <w:noBreakHyphen/>
      </w:r>
      <w:r w:rsidRPr="00A75280">
        <w:t>rise apartments in areas with high land values can reduce feasible development, as high</w:t>
      </w:r>
      <w:r>
        <w:noBreakHyphen/>
      </w:r>
      <w:r w:rsidRPr="00A75280">
        <w:t>rise apartments are generally more commercially feasible than mid</w:t>
      </w:r>
      <w:r>
        <w:noBreakHyphen/>
      </w:r>
      <w:r w:rsidRPr="00A75280">
        <w:t xml:space="preserve">rise apartments across major cities </w:t>
      </w:r>
      <w:r w:rsidRPr="00323F7C">
        <w:t>(CIE 2024, pp. 14, 16; Coates et al. 2025, p. 60)</w:t>
      </w:r>
      <w:r>
        <w:t>. This is despite some</w:t>
      </w:r>
      <w:r w:rsidRPr="00EA5C92">
        <w:t xml:space="preserve"> fixed costs associated with a development </w:t>
      </w:r>
      <w:r w:rsidRPr="00323F7C">
        <w:t>increas</w:t>
      </w:r>
      <w:r>
        <w:t>ing</w:t>
      </w:r>
      <w:r w:rsidRPr="00323F7C">
        <w:t xml:space="preserve"> </w:t>
      </w:r>
      <w:r>
        <w:t>with</w:t>
      </w:r>
      <w:r w:rsidRPr="00EA5C92">
        <w:t xml:space="preserve"> more expensive construction </w:t>
      </w:r>
      <w:r w:rsidRPr="00323F7C">
        <w:t>type</w:t>
      </w:r>
      <w:r>
        <w:t>s</w:t>
      </w:r>
      <w:r w:rsidRPr="00EA5C92">
        <w:t>, such as from townhouses to apartments, or from walk</w:t>
      </w:r>
      <w:r>
        <w:noBreakHyphen/>
      </w:r>
      <w:r w:rsidRPr="00EA5C92">
        <w:t>up apartments</w:t>
      </w:r>
      <w:r>
        <w:t xml:space="preserve"> (less than 4 storeys)</w:t>
      </w:r>
      <w:r w:rsidRPr="00EA5C92">
        <w:t xml:space="preserve"> to buildings requiring elevators.</w:t>
      </w:r>
    </w:p>
    <w:p w14:paraId="26D01398" w14:textId="4D2B79B1" w:rsidR="000A2D7A" w:rsidRDefault="000A2D7A">
      <w:pPr>
        <w:pStyle w:val="BodyText"/>
      </w:pPr>
      <w:r>
        <w:t xml:space="preserve">Design regulations can also impact feasibility as they dictate how developers must allocate land. For example, to fulfil requirements for private space, access to solar or minimum car parking (box 2.4), a developer needs to reserve a section of the available parcel of land for each control. Similarly, </w:t>
      </w:r>
      <w:r w:rsidRPr="000C08F7">
        <w:t xml:space="preserve">minimum sizes for apartments, balconies and storage reduce apartment feasibility by limiting how many apartments can fit into a given parcel </w:t>
      </w:r>
      <w:r>
        <w:t>of land</w:t>
      </w:r>
      <w:r w:rsidRPr="000C08F7">
        <w:t xml:space="preserve"> </w:t>
      </w:r>
      <w:r w:rsidRPr="00B155C1">
        <w:rPr>
          <w:rFonts w:cs="Open Sans"/>
        </w:rPr>
        <w:t>(NSW PEC 2024a, p. 60)</w:t>
      </w:r>
      <w:r w:rsidRPr="000C08F7">
        <w:t>.</w:t>
      </w:r>
      <w:r w:rsidRPr="00640F1E">
        <w:t xml:space="preserve"> </w:t>
      </w:r>
      <w:r>
        <w:t>Removing minimum apartment sizes</w:t>
      </w:r>
      <w:r w:rsidDel="002E6154">
        <w:t xml:space="preserve"> </w:t>
      </w:r>
      <w:r>
        <w:t>in NSW</w:t>
      </w:r>
      <w:r w:rsidDel="002E6154">
        <w:t xml:space="preserve"> </w:t>
      </w:r>
      <w:r>
        <w:t xml:space="preserve">would allow developers to meet more of the demand for </w:t>
      </w:r>
      <w:r w:rsidRPr="00E20A57">
        <w:t>one</w:t>
      </w:r>
      <w:r>
        <w:noBreakHyphen/>
      </w:r>
      <w:r w:rsidRPr="00E20A57">
        <w:t>bedroom apartments and studios</w:t>
      </w:r>
      <w:r>
        <w:t xml:space="preserve">, providing a net benefit of around $1 billion </w:t>
      </w:r>
      <w:r w:rsidRPr="00197A2D">
        <w:rPr>
          <w:rFonts w:cs="Open Sans"/>
        </w:rPr>
        <w:t>(NSW PC 2021, p. 286)</w:t>
      </w:r>
      <w:r>
        <w:t>.</w:t>
      </w:r>
      <w:r w:rsidRPr="00E20A57">
        <w:t xml:space="preserve"> </w:t>
      </w:r>
    </w:p>
    <w:p w14:paraId="178C781A" w14:textId="3A71AF8C" w:rsidR="000A2D7A" w:rsidRDefault="000A2D7A">
      <w:pPr>
        <w:pStyle w:val="BodyText"/>
      </w:pPr>
      <w:r w:rsidRPr="00FF184C">
        <w:t>Title</w:t>
      </w:r>
      <w:r>
        <w:noBreakHyphen/>
      </w:r>
      <w:r w:rsidRPr="00CC25D9">
        <w:t>based land</w:t>
      </w:r>
      <w:r>
        <w:noBreakHyphen/>
      </w:r>
      <w:r w:rsidRPr="00CC25D9">
        <w:t>use constraints</w:t>
      </w:r>
      <w:r w:rsidRPr="00FF184C">
        <w:t xml:space="preserve"> can have similar effects.</w:t>
      </w:r>
      <w:r w:rsidRPr="00CC25D9">
        <w:t xml:space="preserve"> </w:t>
      </w:r>
      <w:r>
        <w:t>Some properties are subject to private legally binding agreements that restrict how a property can be developed. These</w:t>
      </w:r>
      <w:r w:rsidRPr="00CC25D9">
        <w:t xml:space="preserve"> restrictive covenants </w:t>
      </w:r>
      <w:r>
        <w:t>can</w:t>
      </w:r>
      <w:r w:rsidRPr="00CC25D9">
        <w:t xml:space="preserve"> reduce project feasibility by limiting building height, building materials, setbacks</w:t>
      </w:r>
      <w:r>
        <w:t xml:space="preserve">, </w:t>
      </w:r>
      <w:r w:rsidRPr="00CC25D9">
        <w:t>building footprints</w:t>
      </w:r>
      <w:r w:rsidRPr="00AC063A">
        <w:t xml:space="preserve"> </w:t>
      </w:r>
      <w:r w:rsidR="00877EF9" w:rsidRPr="00877EF9">
        <w:rPr>
          <w:rFonts w:cs="Open Sans"/>
        </w:rPr>
        <w:t>(HIA 2025b, pp. 14–17)</w:t>
      </w:r>
      <w:r>
        <w:t xml:space="preserve"> and the number of dwellings permitted</w:t>
      </w:r>
      <w:r w:rsidRPr="00AC063A">
        <w:t xml:space="preserve">. </w:t>
      </w:r>
      <w:r w:rsidRPr="00CC25D9">
        <w:t xml:space="preserve">Where these constraints bind, they can </w:t>
      </w:r>
      <w:r w:rsidRPr="00CC25D9">
        <w:lastRenderedPageBreak/>
        <w:t>reduce achievable yield or add compliance costs, limiting the amount of zoned capacity that is commercially deliverable</w:t>
      </w:r>
      <w:r>
        <w:t>.</w:t>
      </w:r>
    </w:p>
    <w:p w14:paraId="02E834AC" w14:textId="77777777" w:rsidR="000A2D7A" w:rsidRPr="0024624B" w:rsidRDefault="000A2D7A">
      <w:pPr>
        <w:pStyle w:val="Heading4"/>
      </w:pPr>
      <w:r w:rsidRPr="00114A66">
        <w:rPr>
          <w:b/>
          <w:bCs/>
        </w:rPr>
        <w:t>Commercial feasibility should guide zoned capacity up</w:t>
      </w:r>
      <w:r>
        <w:t>lift</w:t>
      </w:r>
    </w:p>
    <w:p w14:paraId="213958F1" w14:textId="37337EF6" w:rsidR="000A2D7A" w:rsidRDefault="000A2D7A">
      <w:pPr>
        <w:pStyle w:val="BodyText"/>
      </w:pPr>
      <w:r>
        <w:t xml:space="preserve">To affect housing supply, zoned capacity needs to be created in places where developments are likely to be feasible </w:t>
      </w:r>
      <w:r w:rsidRPr="00FB4485">
        <w:t>(Rollet 2025, pp. 33–34)</w:t>
      </w:r>
      <w:r>
        <w:t xml:space="preserve">. </w:t>
      </w:r>
      <w:r w:rsidRPr="00D95BCA">
        <w:t xml:space="preserve">The location of a development might </w:t>
      </w:r>
      <w:r>
        <w:t>have relatively minor effects on how much it costs</w:t>
      </w:r>
      <w:r w:rsidRPr="00D95BCA">
        <w:t xml:space="preserve"> to build, but it will significantly affect how much revenue it generates, which determines feasibility</w:t>
      </w:r>
      <w:r>
        <w:t xml:space="preserve"> </w:t>
      </w:r>
      <w:r w:rsidRPr="000A0E41">
        <w:rPr>
          <w:rFonts w:cs="Open Sans"/>
        </w:rPr>
        <w:t>(CIE 2024, pp. 17–21; Royal Australian Institute of Architects, sub. 48, p. 5)</w:t>
      </w:r>
      <w:r>
        <w:t>.</w:t>
      </w:r>
      <w:r w:rsidRPr="00226C93">
        <w:t xml:space="preserve"> </w:t>
      </w:r>
    </w:p>
    <w:p w14:paraId="3015E0B5" w14:textId="77777777" w:rsidR="000A2D7A" w:rsidRDefault="000A2D7A">
      <w:pPr>
        <w:pStyle w:val="BodyText"/>
      </w:pPr>
      <w:r>
        <w:t xml:space="preserve">Therefore, the release of zoned capacity needs to consider the types of housing demanded in different areas (Mark Nutting, sub. 61, p. 9; Mecone Group, sub. 65, pp. 1, 12). For example, areas with unmet demand for townhouse style living may see a greater housing supply response from permitting townhouses compared to apartments, even if apartments result in a larger increase in zoned capacity. </w:t>
      </w:r>
    </w:p>
    <w:p w14:paraId="525A515A" w14:textId="6C81B29E" w:rsidR="000A2D7A" w:rsidRPr="00F82BD9" w:rsidRDefault="000A2D7A">
      <w:pPr>
        <w:pStyle w:val="NoSpacing"/>
      </w:pPr>
    </w:p>
    <w:tbl>
      <w:tblPr>
        <w:tblStyle w:val="Boxtable"/>
        <w:tblW w:w="5000" w:type="pct"/>
        <w:tblLook w:val="04A0" w:firstRow="1" w:lastRow="0" w:firstColumn="1" w:lastColumn="0" w:noHBand="0" w:noVBand="1"/>
      </w:tblPr>
      <w:tblGrid>
        <w:gridCol w:w="9638"/>
      </w:tblGrid>
      <w:tr w:rsidR="000A2D7A" w14:paraId="21109D3F" w14:textId="77777777">
        <w:trPr>
          <w:tblHeader/>
        </w:trPr>
        <w:tc>
          <w:tcPr>
            <w:tcW w:w="9638" w:type="dxa"/>
            <w:shd w:val="clear" w:color="auto" w:fill="EBEBEB"/>
            <w:tcMar>
              <w:top w:w="170" w:type="dxa"/>
              <w:left w:w="170" w:type="dxa"/>
              <w:bottom w:w="113" w:type="dxa"/>
              <w:right w:w="170" w:type="dxa"/>
            </w:tcMar>
            <w:hideMark/>
          </w:tcPr>
          <w:p w14:paraId="6DEFBC1D" w14:textId="753930CA" w:rsidR="000A2D7A" w:rsidRPr="002A64D7" w:rsidRDefault="000A2D7A">
            <w:pPr>
              <w:pStyle w:val="BoxHeading1"/>
            </w:pPr>
            <w:r>
              <w:t xml:space="preserve">Box </w:t>
            </w:r>
            <w:r w:rsidR="00CB06D8">
              <w:rPr>
                <w:noProof/>
              </w:rPr>
              <w:t>2</w:t>
            </w:r>
            <w:r>
              <w:t>.4 – The cost of minimum parking rules on housing supply could be greater than the benefits</w:t>
            </w:r>
          </w:p>
        </w:tc>
      </w:tr>
      <w:tr w:rsidR="000A2D7A" w14:paraId="7E7F0274" w14:textId="77777777">
        <w:tc>
          <w:tcPr>
            <w:tcW w:w="9638" w:type="dxa"/>
            <w:shd w:val="clear" w:color="auto" w:fill="EBEBEB"/>
            <w:tcMar>
              <w:top w:w="28" w:type="dxa"/>
              <w:left w:w="170" w:type="dxa"/>
              <w:bottom w:w="170" w:type="dxa"/>
              <w:right w:w="170" w:type="dxa"/>
            </w:tcMar>
            <w:hideMark/>
          </w:tcPr>
          <w:p w14:paraId="156D4558" w14:textId="77777777" w:rsidR="000A2D7A" w:rsidRDefault="000A2D7A">
            <w:pPr>
              <w:pStyle w:val="BodyText"/>
            </w:pPr>
            <w:r>
              <w:t xml:space="preserve">Rules requiring minimum car parking allocations </w:t>
            </w:r>
            <w:r w:rsidRPr="00774C1E">
              <w:t>often lead to more parking spaces being constructed in a development than residents require</w:t>
            </w:r>
            <w:r>
              <w:t xml:space="preserve">, resulting in wasted space, higher development costs and reduced commercial feasibility. </w:t>
            </w:r>
          </w:p>
          <w:p w14:paraId="1C09F113" w14:textId="77777777" w:rsidR="000A2D7A" w:rsidRDefault="000A2D7A">
            <w:pPr>
              <w:pStyle w:val="BodyText"/>
            </w:pPr>
            <w:r>
              <w:t>Minimum parking requirements can affect housing supply directly or indirectly:</w:t>
            </w:r>
          </w:p>
          <w:p w14:paraId="447230E8" w14:textId="1C1A01CE" w:rsidR="000A2D7A" w:rsidRPr="00B97C8C" w:rsidRDefault="000A2D7A" w:rsidP="00E11D04">
            <w:pPr>
              <w:pStyle w:val="ListBullet"/>
            </w:pPr>
            <w:r w:rsidRPr="00133437">
              <w:t xml:space="preserve">directly – parking spaces take up land, often more than required for a bedroom </w:t>
            </w:r>
            <w:r w:rsidRPr="00B04D64">
              <w:rPr>
                <w:rFonts w:cs="Open Sans"/>
              </w:rPr>
              <w:t>(Litman 2025, p. 22)</w:t>
            </w:r>
            <w:r w:rsidRPr="00133437">
              <w:t xml:space="preserve">. This land could otherwise </w:t>
            </w:r>
            <w:r>
              <w:t>be</w:t>
            </w:r>
            <w:r w:rsidRPr="00133437">
              <w:t xml:space="preserve"> used for housing or to support amenity. Alternatively, if there </w:t>
            </w:r>
            <w:r w:rsidRPr="00B97C8C">
              <w:t xml:space="preserve">is insufficient land for required car parking, this could constrain the number of dwellings that can be built on a site (Litman 2025, p. 7). </w:t>
            </w:r>
          </w:p>
          <w:p w14:paraId="6BCB074D" w14:textId="77777777" w:rsidR="000A2D7A" w:rsidRDefault="000A2D7A" w:rsidP="00E11D04">
            <w:pPr>
              <w:pStyle w:val="ListBullet"/>
            </w:pPr>
            <w:r w:rsidRPr="00B97C8C">
              <w:t>indirectly – parking requirements increase the cost of housing, which affects the commercial feasibility of dwelling construction</w:t>
            </w:r>
            <w:r>
              <w:t>, as purchasers do not value the parking sufficiently to pay the increased price</w:t>
            </w:r>
            <w:r w:rsidRPr="00133437">
              <w:t xml:space="preserve"> (Master Builders Australia, sub.</w:t>
            </w:r>
            <w:r>
              <w:t> </w:t>
            </w:r>
            <w:r w:rsidRPr="00133437">
              <w:t>74, p.</w:t>
            </w:r>
            <w:r>
              <w:t> </w:t>
            </w:r>
            <w:r w:rsidRPr="00133437">
              <w:t>9).</w:t>
            </w:r>
            <w:r>
              <w:t xml:space="preserve"> </w:t>
            </w:r>
          </w:p>
          <w:p w14:paraId="66E3F8B3" w14:textId="77777777" w:rsidR="000A2D7A" w:rsidRDefault="000A2D7A">
            <w:pPr>
              <w:pStyle w:val="BodyText"/>
            </w:pPr>
            <w:r>
              <w:t xml:space="preserve">Minimum car parking rules require apartment developers to provide a set number of parking spaces for each dwelling, dependent on the number of bedrooms. This regulation aims to ensure enough parking is provided for </w:t>
            </w:r>
            <w:r w:rsidRPr="00731333">
              <w:t>residents</w:t>
            </w:r>
            <w:r>
              <w:t xml:space="preserve">, reduce any potential burden on street parking and promote convenient access for residents who own cars. </w:t>
            </w:r>
          </w:p>
          <w:p w14:paraId="52C8E23D" w14:textId="60708E16" w:rsidR="000A2D7A" w:rsidRDefault="000A2D7A">
            <w:pPr>
              <w:pStyle w:val="BodyText"/>
            </w:pPr>
            <w:r w:rsidRPr="001950CA">
              <w:t xml:space="preserve">However, regulations tend to mandate more parking than residents need. </w:t>
            </w:r>
            <w:r>
              <w:t>When Brisbane</w:t>
            </w:r>
            <w:r w:rsidRPr="001950CA">
              <w:t xml:space="preserve"> increased minimum requirements</w:t>
            </w:r>
            <w:r>
              <w:t xml:space="preserve"> in 2019, </w:t>
            </w:r>
            <w:r w:rsidRPr="001950CA">
              <w:t xml:space="preserve">the number of spaces </w:t>
            </w:r>
            <w:r>
              <w:t xml:space="preserve">provided in new multiple dwelling developments </w:t>
            </w:r>
            <w:r w:rsidRPr="001950CA">
              <w:t xml:space="preserve">increased </w:t>
            </w:r>
            <w:r>
              <w:t xml:space="preserve">by </w:t>
            </w:r>
            <w:r w:rsidRPr="001950CA">
              <w:t xml:space="preserve">23% </w:t>
            </w:r>
            <w:r w:rsidRPr="00CD4E1B">
              <w:rPr>
                <w:rFonts w:cs="Open Sans"/>
              </w:rPr>
              <w:t>(CIE 2025, p. 33)</w:t>
            </w:r>
            <w:r>
              <w:t xml:space="preserve"> – suggesting the new minimums required developers to build more parking than customers were willing to pay for before the regulation was applied</w:t>
            </w:r>
            <w:r w:rsidRPr="001950CA">
              <w:t xml:space="preserve">. A survey across Perth, Sydney and Melbourne </w:t>
            </w:r>
            <w:r>
              <w:t>also</w:t>
            </w:r>
            <w:r w:rsidRPr="001950CA">
              <w:t xml:space="preserve"> estimated that 20.2% of households experience an oversupply of off</w:t>
            </w:r>
            <w:r>
              <w:noBreakHyphen/>
            </w:r>
            <w:r w:rsidRPr="001950CA">
              <w:t xml:space="preserve">street parking </w:t>
            </w:r>
            <w:r w:rsidRPr="00E47F33">
              <w:rPr>
                <w:rFonts w:cs="Open Sans"/>
              </w:rPr>
              <w:t>(De Gruyter et al. 2023)</w:t>
            </w:r>
            <w:r w:rsidRPr="001950CA">
              <w:t>, and other surveys and estimates find high vacancy rates for off</w:t>
            </w:r>
            <w:r>
              <w:noBreakHyphen/>
            </w:r>
            <w:r w:rsidRPr="001950CA">
              <w:t xml:space="preserve">street and residential parking spaces in Sydney and Melbourne </w:t>
            </w:r>
            <w:r w:rsidRPr="008A300E">
              <w:rPr>
                <w:rFonts w:cs="Open Sans"/>
              </w:rPr>
              <w:t xml:space="preserve">(City of Melbourne 2018; </w:t>
            </w:r>
            <w:proofErr w:type="spellStart"/>
            <w:r w:rsidRPr="008A300E">
              <w:rPr>
                <w:rFonts w:cs="Open Sans"/>
              </w:rPr>
              <w:t>Sathanapally</w:t>
            </w:r>
            <w:proofErr w:type="spellEnd"/>
            <w:r w:rsidRPr="008A300E">
              <w:rPr>
                <w:rFonts w:cs="Open Sans"/>
              </w:rPr>
              <w:t xml:space="preserve"> et al. 2026, pp. 6, 10–12)</w:t>
            </w:r>
            <w:r w:rsidRPr="001950CA">
              <w:t>.</w:t>
            </w:r>
          </w:p>
          <w:p w14:paraId="7F9C179F" w14:textId="1163BC7A" w:rsidR="000A2D7A" w:rsidRDefault="000A2D7A">
            <w:pPr>
              <w:pStyle w:val="BodyText"/>
            </w:pPr>
            <w:r>
              <w:t>Research has shown that the cost of parking requirements often far outstrips how much home purchasers value it, meaning added</w:t>
            </w:r>
            <w:r w:rsidRPr="00AC063A">
              <w:t xml:space="preserve"> </w:t>
            </w:r>
            <w:r w:rsidRPr="00E16F09">
              <w:t>development costs</w:t>
            </w:r>
            <w:r>
              <w:t xml:space="preserve"> cannot be fully recouped in sale prices.</w:t>
            </w:r>
            <w:r w:rsidRPr="00E16F09">
              <w:t xml:space="preserve"> The NSW PEC estimated they add $93,000, or around one</w:t>
            </w:r>
            <w:r>
              <w:noBreakHyphen/>
            </w:r>
            <w:r w:rsidRPr="00E16F09">
              <w:t>fifth of construction costs, to new mid</w:t>
            </w:r>
            <w:r>
              <w:noBreakHyphen/>
            </w:r>
            <w:r w:rsidRPr="00E16F09">
              <w:t xml:space="preserve">rise </w:t>
            </w:r>
            <w:r w:rsidRPr="00E16F09">
              <w:lastRenderedPageBreak/>
              <w:t>apartments in Sydney</w:t>
            </w:r>
            <w:r w:rsidRPr="001950CA">
              <w:t xml:space="preserve"> </w:t>
            </w:r>
            <w:r w:rsidRPr="00B155C1">
              <w:rPr>
                <w:rFonts w:cs="Open Sans"/>
              </w:rPr>
              <w:t>(2024a, p. 59)</w:t>
            </w:r>
            <w:r w:rsidRPr="001950CA">
              <w:t>.</w:t>
            </w:r>
            <w:r>
              <w:t xml:space="preserve"> </w:t>
            </w:r>
            <w:r w:rsidRPr="00E16F09">
              <w:t xml:space="preserve">The Grattan Institute reached a similar conclusion, estimating that minimum parking requirements add tens of thousands of dollars to the cost of a typical </w:t>
            </w:r>
            <w:r w:rsidR="00995F73">
              <w:br/>
            </w:r>
            <w:r>
              <w:t>2-</w:t>
            </w:r>
            <w:r w:rsidRPr="00E16F09">
              <w:t>bedroom apartment in major cities, including around $70,000 in Sydney and $62,000 in Melbourne</w:t>
            </w:r>
            <w:r w:rsidRPr="001950CA">
              <w:t xml:space="preserve"> </w:t>
            </w:r>
            <w:r w:rsidRPr="00976B3D">
              <w:rPr>
                <w:rFonts w:cs="Open Sans"/>
              </w:rPr>
              <w:t>(</w:t>
            </w:r>
            <w:proofErr w:type="spellStart"/>
            <w:r w:rsidRPr="00976B3D">
              <w:rPr>
                <w:rFonts w:cs="Open Sans"/>
              </w:rPr>
              <w:t>Sathanapally</w:t>
            </w:r>
            <w:proofErr w:type="spellEnd"/>
            <w:r w:rsidRPr="00976B3D">
              <w:rPr>
                <w:rFonts w:cs="Open Sans"/>
              </w:rPr>
              <w:t xml:space="preserve"> et al. 2026, p. 14)</w:t>
            </w:r>
            <w:r w:rsidRPr="001950CA">
              <w:t>.</w:t>
            </w:r>
            <w:r>
              <w:t xml:space="preserve"> </w:t>
            </w:r>
            <w:proofErr w:type="spellStart"/>
            <w:r w:rsidRPr="001950CA">
              <w:t>Sathanapally</w:t>
            </w:r>
            <w:proofErr w:type="spellEnd"/>
            <w:r w:rsidRPr="001950CA">
              <w:t xml:space="preserve"> et al. </w:t>
            </w:r>
            <w:r w:rsidRPr="0041600C">
              <w:rPr>
                <w:rFonts w:cs="Open Sans"/>
              </w:rPr>
              <w:t>(2026, p. 34)</w:t>
            </w:r>
            <w:r w:rsidRPr="001950CA">
              <w:t xml:space="preserve"> also found that removing parking requirements for residential dwellings would increase commercially feasible capacity by 140,000 in Sydney and Melbourne.</w:t>
            </w:r>
          </w:p>
          <w:p w14:paraId="05BB5380" w14:textId="696ACFA6" w:rsidR="000A2D7A" w:rsidRPr="005D3EA4" w:rsidRDefault="000A2D7A">
            <w:pPr>
              <w:pStyle w:val="BodyText"/>
            </w:pPr>
            <w:r w:rsidRPr="001950CA">
              <w:t xml:space="preserve">Some states have begun to remove car parking minimum requirements. For example, Melbourne’s minimum parking rates are now determined by the area’s public transport accessibility level </w:t>
            </w:r>
            <w:r w:rsidRPr="00A64AE1">
              <w:rPr>
                <w:rFonts w:cs="Open Sans"/>
              </w:rPr>
              <w:t>(Victorian DTP 2025a)</w:t>
            </w:r>
            <w:r w:rsidRPr="001950CA">
              <w:t xml:space="preserve">. New Zealand also removed minimum parking requirements from most of the country in 2020 </w:t>
            </w:r>
            <w:r w:rsidRPr="00045241">
              <w:rPr>
                <w:rFonts w:cs="Open Sans"/>
              </w:rPr>
              <w:t>(New Zealand Ministry for the Environment 2020)</w:t>
            </w:r>
            <w:r w:rsidRPr="001950CA">
              <w:t xml:space="preserve">, and evidence from Christchurch suggests that </w:t>
            </w:r>
            <w:r>
              <w:t>removing minimum parking requirements</w:t>
            </w:r>
            <w:r w:rsidRPr="001950CA">
              <w:t xml:space="preserve"> can support a more efficient allocation of spaces without constraining parking supply </w:t>
            </w:r>
            <w:r w:rsidRPr="00BE0A04">
              <w:rPr>
                <w:rFonts w:cs="Open Sans"/>
              </w:rPr>
              <w:t>(PwC 2020, p. 91)</w:t>
            </w:r>
            <w:r w:rsidRPr="001950CA">
              <w:t>.</w:t>
            </w:r>
          </w:p>
        </w:tc>
      </w:tr>
      <w:tr w:rsidR="000A2D7A" w14:paraId="0BCB2EC1" w14:textId="77777777">
        <w:trPr>
          <w:hidden/>
        </w:trPr>
        <w:tc>
          <w:tcPr>
            <w:tcW w:w="9638" w:type="dxa"/>
            <w:shd w:val="clear" w:color="auto" w:fill="auto"/>
            <w:tcMar>
              <w:top w:w="0" w:type="dxa"/>
              <w:left w:w="170" w:type="dxa"/>
              <w:bottom w:w="0" w:type="dxa"/>
              <w:right w:w="170" w:type="dxa"/>
            </w:tcMar>
          </w:tcPr>
          <w:p w14:paraId="698E1BBE" w14:textId="46AE4C70" w:rsidR="000A2D7A" w:rsidRPr="00465191" w:rsidRDefault="000A2D7A">
            <w:pPr>
              <w:pStyle w:val="BodyText"/>
              <w:spacing w:before="0" w:after="0" w:line="80" w:lineRule="atLeast"/>
              <w:rPr>
                <w:smallCaps/>
                <w:vanish/>
              </w:rPr>
            </w:pPr>
          </w:p>
        </w:tc>
      </w:tr>
    </w:tbl>
    <w:p w14:paraId="0CCD56B7" w14:textId="3A5424D2" w:rsidR="000A2D7A" w:rsidRDefault="000A2D7A">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A2D7A" w14:paraId="51FB9297" w14:textId="77777777">
        <w:trPr>
          <w:trHeight w:val="765"/>
          <w:tblHeader/>
        </w:trPr>
        <w:tc>
          <w:tcPr>
            <w:tcW w:w="366" w:type="pct"/>
            <w:shd w:val="clear" w:color="auto" w:fill="EBEBEB"/>
            <w:tcMar>
              <w:bottom w:w="0" w:type="dxa"/>
            </w:tcMar>
            <w:vAlign w:val="center"/>
          </w:tcPr>
          <w:p w14:paraId="3C847197" w14:textId="77777777" w:rsidR="000A2D7A" w:rsidRDefault="000A2D7A">
            <w:pPr>
              <w:pStyle w:val="NoSpacing"/>
              <w:keepNext/>
              <w:keepLines/>
              <w:jc w:val="right"/>
            </w:pPr>
            <w:r w:rsidRPr="00A51374">
              <w:rPr>
                <w:noProof/>
              </w:rPr>
              <w:drawing>
                <wp:inline distT="0" distB="0" distL="0" distR="0" wp14:anchorId="08F21425" wp14:editId="49FB7907">
                  <wp:extent cx="288000" cy="288000"/>
                  <wp:effectExtent l="0" t="0" r="0" b="0"/>
                  <wp:docPr id="205861655" name="Graphic 2058616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40066FCB" w14:textId="71B4B900" w:rsidR="000A2D7A" w:rsidRPr="002530FF" w:rsidRDefault="000A2D7A">
            <w:pPr>
              <w:pStyle w:val="FindingRecRequesttitle"/>
            </w:pPr>
            <w:r w:rsidRPr="000B0B71">
              <w:t xml:space="preserve">Information request </w:t>
            </w:r>
            <w:r w:rsidR="00CB06D8">
              <w:rPr>
                <w:noProof/>
              </w:rPr>
              <w:t>2</w:t>
            </w:r>
            <w:r w:rsidRPr="00DF7217">
              <w:t>.</w:t>
            </w:r>
            <w:r w:rsidR="00CB06D8">
              <w:rPr>
                <w:noProof/>
              </w:rPr>
              <w:t>1</w:t>
            </w:r>
          </w:p>
        </w:tc>
      </w:tr>
      <w:tr w:rsidR="000A2D7A" w:rsidRPr="002315D8" w14:paraId="5F227AEF" w14:textId="77777777">
        <w:tc>
          <w:tcPr>
            <w:tcW w:w="5000" w:type="pct"/>
            <w:gridSpan w:val="2"/>
            <w:shd w:val="clear" w:color="auto" w:fill="EBEBEB"/>
          </w:tcPr>
          <w:p w14:paraId="3B338E83" w14:textId="424F9D03" w:rsidR="000A2D7A" w:rsidRPr="002315D8" w:rsidRDefault="000A2D7A" w:rsidP="00E11D04">
            <w:pPr>
              <w:pStyle w:val="ListBullet"/>
              <w:rPr>
                <w:color w:val="265A9A" w:themeColor="background2"/>
              </w:rPr>
            </w:pPr>
            <w:r w:rsidRPr="002315D8">
              <w:rPr>
                <w:color w:val="265A9A" w:themeColor="background2"/>
              </w:rPr>
              <w:t>Do design</w:t>
            </w:r>
            <w:r w:rsidRPr="002315D8">
              <w:rPr>
                <w:color w:val="265A9A" w:themeColor="background2"/>
              </w:rPr>
              <w:noBreakHyphen/>
              <w:t xml:space="preserve">focused regulations (e.g. tree canopy requirements, apartment layout and storage) directly impact commercially feasible capacity? </w:t>
            </w:r>
          </w:p>
          <w:p w14:paraId="43EF0165" w14:textId="77777777" w:rsidR="000A2D7A" w:rsidRPr="002315D8" w:rsidRDefault="000A2D7A" w:rsidP="00E11D04">
            <w:pPr>
              <w:pStyle w:val="ListBullet"/>
              <w:rPr>
                <w:color w:val="265A9A" w:themeColor="background2"/>
              </w:rPr>
            </w:pPr>
            <w:r w:rsidRPr="002315D8">
              <w:rPr>
                <w:color w:val="265A9A" w:themeColor="background2"/>
              </w:rPr>
              <w:t xml:space="preserve">What impact would </w:t>
            </w:r>
            <w:proofErr w:type="gramStart"/>
            <w:r w:rsidRPr="002315D8">
              <w:rPr>
                <w:color w:val="265A9A" w:themeColor="background2"/>
              </w:rPr>
              <w:t>reducing</w:t>
            </w:r>
            <w:proofErr w:type="gramEnd"/>
            <w:r w:rsidRPr="002315D8">
              <w:rPr>
                <w:color w:val="265A9A" w:themeColor="background2"/>
              </w:rPr>
              <w:t xml:space="preserve"> the coverage of heritage overlays have on housing supply? </w:t>
            </w:r>
          </w:p>
          <w:p w14:paraId="4315564F" w14:textId="77777777" w:rsidR="000A2D7A" w:rsidRPr="002315D8" w:rsidRDefault="000A2D7A" w:rsidP="00E11D04">
            <w:pPr>
              <w:pStyle w:val="ListBullet"/>
              <w:rPr>
                <w:color w:val="265A9A" w:themeColor="background2"/>
              </w:rPr>
            </w:pPr>
            <w:r w:rsidRPr="002315D8">
              <w:rPr>
                <w:color w:val="265A9A" w:themeColor="background2"/>
              </w:rPr>
              <w:t>What land</w:t>
            </w:r>
            <w:r w:rsidRPr="002315D8">
              <w:rPr>
                <w:color w:val="265A9A" w:themeColor="background2"/>
              </w:rPr>
              <w:noBreakHyphen/>
              <w:t xml:space="preserve">use controls need to change to enable more alternative dwelling types to be built? What impact would such reforms have on housing supply? </w:t>
            </w:r>
          </w:p>
          <w:p w14:paraId="249CEDA4" w14:textId="77777777" w:rsidR="000A2D7A" w:rsidRPr="002315D8" w:rsidRDefault="000A2D7A" w:rsidP="00E11D04">
            <w:pPr>
              <w:pStyle w:val="ListBullet"/>
              <w:rPr>
                <w:color w:val="265A9A" w:themeColor="background2"/>
              </w:rPr>
            </w:pPr>
            <w:r w:rsidRPr="002315D8">
              <w:rPr>
                <w:color w:val="265A9A" w:themeColor="background2"/>
              </w:rPr>
              <w:t xml:space="preserve">Is there a need for further reforms to enable a greater supply of small secondary dwellings such as granny flats? </w:t>
            </w:r>
          </w:p>
          <w:p w14:paraId="3355775C" w14:textId="77777777" w:rsidR="000A2D7A" w:rsidRPr="002315D8" w:rsidRDefault="000A2D7A" w:rsidP="00E11D04">
            <w:pPr>
              <w:pStyle w:val="ListBullet"/>
              <w:rPr>
                <w:color w:val="265A9A" w:themeColor="background2"/>
              </w:rPr>
            </w:pPr>
            <w:r w:rsidRPr="002315D8">
              <w:rPr>
                <w:color w:val="265A9A" w:themeColor="background2"/>
              </w:rPr>
              <w:t>Are there other land</w:t>
            </w:r>
            <w:r w:rsidRPr="002315D8">
              <w:rPr>
                <w:color w:val="265A9A" w:themeColor="background2"/>
              </w:rPr>
              <w:noBreakHyphen/>
              <w:t>use controls which significantly impact supply?</w:t>
            </w:r>
          </w:p>
          <w:p w14:paraId="70D0C289" w14:textId="77777777" w:rsidR="000A2D7A" w:rsidRPr="002315D8" w:rsidRDefault="000A2D7A" w:rsidP="00E11D04">
            <w:pPr>
              <w:pStyle w:val="ListBullet"/>
              <w:rPr>
                <w:color w:val="265A9A" w:themeColor="background2"/>
              </w:rPr>
            </w:pPr>
            <w:r w:rsidRPr="002315D8">
              <w:rPr>
                <w:color w:val="265A9A" w:themeColor="background2"/>
              </w:rPr>
              <w:t>Can you provide information</w:t>
            </w:r>
            <w:r w:rsidRPr="002315D8" w:rsidDel="00FF4146">
              <w:rPr>
                <w:color w:val="265A9A" w:themeColor="background2"/>
              </w:rPr>
              <w:t>, data</w:t>
            </w:r>
            <w:r w:rsidRPr="002315D8">
              <w:rPr>
                <w:color w:val="265A9A" w:themeColor="background2"/>
              </w:rPr>
              <w:t>,</w:t>
            </w:r>
            <w:r w:rsidRPr="002315D8" w:rsidDel="00FF4146">
              <w:rPr>
                <w:color w:val="265A9A" w:themeColor="background2"/>
              </w:rPr>
              <w:t xml:space="preserve"> or analysis on development cost stacks across </w:t>
            </w:r>
            <w:r w:rsidRPr="002315D8">
              <w:rPr>
                <w:color w:val="265A9A" w:themeColor="background2"/>
              </w:rPr>
              <w:t xml:space="preserve">different housing typologies and geographic areas (for example, construction cost information)? </w:t>
            </w:r>
          </w:p>
          <w:p w14:paraId="13C3F1DE" w14:textId="77777777" w:rsidR="000A2D7A" w:rsidRPr="002315D8" w:rsidRDefault="000A2D7A" w:rsidP="00E11D04">
            <w:pPr>
              <w:pStyle w:val="ListBullet"/>
              <w:rPr>
                <w:color w:val="265A9A" w:themeColor="background2"/>
              </w:rPr>
            </w:pPr>
            <w:r w:rsidRPr="002315D8">
              <w:rPr>
                <w:color w:val="265A9A" w:themeColor="background2"/>
              </w:rPr>
              <w:t>Can you provide information, data, or analysis on the extent to which dense housing typologies differ in commercial feasibility (for example, comparisons between apartment and townhouse developments)?</w:t>
            </w:r>
          </w:p>
        </w:tc>
      </w:tr>
      <w:tr w:rsidR="000A2D7A" w14:paraId="61AF71DE" w14:textId="77777777">
        <w:tc>
          <w:tcPr>
            <w:tcW w:w="5000" w:type="pct"/>
            <w:gridSpan w:val="2"/>
            <w:tcMar>
              <w:bottom w:w="0" w:type="dxa"/>
            </w:tcMar>
          </w:tcPr>
          <w:p w14:paraId="48D2FFE3" w14:textId="4915672D" w:rsidR="000A2D7A" w:rsidRDefault="000A2D7A">
            <w:pPr>
              <w:pStyle w:val="NoSpacing"/>
              <w:spacing w:line="200" w:lineRule="atLeast"/>
            </w:pPr>
          </w:p>
        </w:tc>
      </w:tr>
    </w:tbl>
    <w:p w14:paraId="22B039A7" w14:textId="77777777" w:rsidR="000A2D7A" w:rsidRDefault="000A2D7A">
      <w:pPr>
        <w:pStyle w:val="Heading3"/>
      </w:pPr>
      <w:r>
        <w:t xml:space="preserve">The interaction of controls ultimately determines the impact on housing supply </w:t>
      </w:r>
    </w:p>
    <w:p w14:paraId="5DA073A3" w14:textId="315C0DDB" w:rsidR="000A2D7A" w:rsidRDefault="000A2D7A">
      <w:pPr>
        <w:pStyle w:val="BodyText"/>
      </w:pPr>
      <w:r>
        <w:t>Land</w:t>
      </w:r>
      <w:r>
        <w:noBreakHyphen/>
        <w:t xml:space="preserve">use </w:t>
      </w:r>
      <w:r w:rsidRPr="2752AA13">
        <w:t>controls</w:t>
      </w:r>
      <w:r>
        <w:t xml:space="preserve"> and other regulatory requirements (like developer contributions and approval processes, see chapters 3 and 4) have</w:t>
      </w:r>
      <w:r w:rsidRPr="2752AA13">
        <w:t xml:space="preserve"> a compounding impact on zoned capacity and feasibility</w:t>
      </w:r>
      <w:r>
        <w:t xml:space="preserve"> (</w:t>
      </w:r>
      <w:r w:rsidRPr="00FC6107">
        <w:t>HIA</w:t>
      </w:r>
      <w:r w:rsidRPr="00A55969">
        <w:t>, sub.</w:t>
      </w:r>
      <w:r>
        <w:t> </w:t>
      </w:r>
      <w:r w:rsidRPr="00A55969">
        <w:t>25,</w:t>
      </w:r>
      <w:r w:rsidRPr="00FC6107">
        <w:t xml:space="preserve"> p. 19</w:t>
      </w:r>
      <w:r>
        <w:t xml:space="preserve">; Property Council of Australia, sub. 73, p. 5; </w:t>
      </w:r>
      <w:r w:rsidRPr="00A55969">
        <w:t>UDIA South A</w:t>
      </w:r>
      <w:r>
        <w:t>u</w:t>
      </w:r>
      <w:r w:rsidRPr="00A55969">
        <w:t>stralia</w:t>
      </w:r>
      <w:r w:rsidRPr="00FC6107">
        <w:t>,</w:t>
      </w:r>
      <w:r w:rsidRPr="00A55969">
        <w:t xml:space="preserve"> sub.</w:t>
      </w:r>
      <w:r>
        <w:t> </w:t>
      </w:r>
      <w:r w:rsidRPr="00A55969">
        <w:t>31,</w:t>
      </w:r>
      <w:r w:rsidRPr="00FC6107">
        <w:t xml:space="preserve"> p. 2</w:t>
      </w:r>
      <w:r>
        <w:t>)</w:t>
      </w:r>
      <w:r w:rsidRPr="2752AA13">
        <w:t>.</w:t>
      </w:r>
      <w:r>
        <w:t xml:space="preserve"> For example, in local councils, such as Ku</w:t>
      </w:r>
      <w:r>
        <w:noBreakHyphen/>
        <w:t>ring</w:t>
      </w:r>
      <w:r>
        <w:noBreakHyphen/>
        <w:t>gai in Sydney, the local government plan makes it hard to build ‘multi</w:t>
      </w:r>
      <w:r>
        <w:noBreakHyphen/>
        <w:t xml:space="preserve">dwelling’ housing, although it is theoretically permitted under zoning rules </w:t>
      </w:r>
      <w:r w:rsidRPr="0026054C">
        <w:t>(Coates et al. 2025, p. 19)</w:t>
      </w:r>
      <w:r>
        <w:t xml:space="preserve">. </w:t>
      </w:r>
      <w:r w:rsidRPr="00ED7BA3">
        <w:t>Our final report will consider these interactions and the combination of reforms that will have the greatest impact on housing supply</w:t>
      </w:r>
      <w:r>
        <w:t>.</w:t>
      </w:r>
    </w:p>
    <w:p w14:paraId="6F81285A" w14:textId="77777777" w:rsidR="000A2D7A" w:rsidRPr="005D3EA4" w:rsidRDefault="000A2D7A">
      <w:pPr>
        <w:pStyle w:val="Heading2"/>
        <w:rPr>
          <w:spacing w:val="-6"/>
        </w:rPr>
      </w:pPr>
      <w:bookmarkStart w:id="24" w:name="_Toc235103147"/>
      <w:r w:rsidRPr="005D3EA4">
        <w:rPr>
          <w:spacing w:val="-6"/>
        </w:rPr>
        <w:lastRenderedPageBreak/>
        <w:t>Land release only matters if land is ready for development</w:t>
      </w:r>
      <w:bookmarkEnd w:id="24"/>
      <w:r w:rsidRPr="005D3EA4">
        <w:rPr>
          <w:spacing w:val="-6"/>
        </w:rPr>
        <w:t xml:space="preserve"> </w:t>
      </w:r>
    </w:p>
    <w:p w14:paraId="48F5F35D" w14:textId="77777777" w:rsidR="000A2D7A" w:rsidRPr="00B97C8C" w:rsidRDefault="000A2D7A">
      <w:pPr>
        <w:pStyle w:val="BodyText"/>
        <w:rPr>
          <w:spacing w:val="-2"/>
        </w:rPr>
      </w:pPr>
      <w:r w:rsidRPr="00B97C8C">
        <w:rPr>
          <w:spacing w:val="-2"/>
        </w:rPr>
        <w:t>Land release is central to Australia’s housing supply model, but it is only the first step in a longer development pipeline. Governments identify land for urban development, zone it for residential use and provide the infrastructure needed to make development feasible before firms can begin building. The key regulatory question is therefore not only whether more land should be released, but whether housing regulatory systems are converting suitable land into serviced and developable housing quickly enough.</w:t>
      </w:r>
    </w:p>
    <w:p w14:paraId="1E861B91" w14:textId="77777777" w:rsidR="000A2D7A" w:rsidRPr="00B97C8C" w:rsidRDefault="000A2D7A">
      <w:pPr>
        <w:pStyle w:val="BodyText"/>
        <w:rPr>
          <w:spacing w:val="-4"/>
        </w:rPr>
      </w:pPr>
      <w:r w:rsidRPr="00B97C8C">
        <w:rPr>
          <w:spacing w:val="-4"/>
        </w:rPr>
        <w:t>Land release can occur on the urban fringe or within existing urban areas. ‘Greenfield’ release typically converts rural or agricultural land to urban development, while ‘brownfield’ redevelopment rezones former industrial or commercial land for housing. Each involves trade</w:t>
      </w:r>
      <w:r w:rsidRPr="00B97C8C">
        <w:rPr>
          <w:spacing w:val="-4"/>
        </w:rPr>
        <w:noBreakHyphen/>
        <w:t>offs. Greenfield release can expand the metropolitan footprint and displace environmental or agricultural uses, while brownfield redevelopment can involve contamination risks, land</w:t>
      </w:r>
      <w:r w:rsidRPr="00B97C8C">
        <w:rPr>
          <w:spacing w:val="-4"/>
        </w:rPr>
        <w:noBreakHyphen/>
        <w:t>use conflicts and the relocation of existing businesses.</w:t>
      </w:r>
    </w:p>
    <w:p w14:paraId="19DC48EB" w14:textId="77777777" w:rsidR="000A2D7A" w:rsidRPr="00997862" w:rsidRDefault="000A2D7A">
      <w:pPr>
        <w:pStyle w:val="Heading3"/>
      </w:pPr>
      <w:r w:rsidRPr="00997862">
        <w:t xml:space="preserve">Greenfield release </w:t>
      </w:r>
      <w:r>
        <w:t>i</w:t>
      </w:r>
      <w:r w:rsidRPr="00997862">
        <w:t>s a major source of new housing supply</w:t>
      </w:r>
    </w:p>
    <w:p w14:paraId="32E61E89" w14:textId="0D802DE2" w:rsidR="000A2D7A" w:rsidRPr="00B97C8C" w:rsidRDefault="000A2D7A">
      <w:pPr>
        <w:pStyle w:val="BodyText"/>
        <w:rPr>
          <w:spacing w:val="-2"/>
        </w:rPr>
      </w:pPr>
      <w:r w:rsidRPr="00B97C8C">
        <w:rPr>
          <w:spacing w:val="-2"/>
        </w:rPr>
        <w:t>Greenfield land release has historically been an attractive way for governments to accommodate urban growth. These large sites can be planned and developed at scale, supporting lower</w:t>
      </w:r>
      <w:r w:rsidRPr="00B97C8C">
        <w:rPr>
          <w:spacing w:val="-2"/>
        </w:rPr>
        <w:noBreakHyphen/>
        <w:t xml:space="preserve">cost standardised construction and the preference of some Australians for detached housing (Gallagher et al. 2025). Greenfield growth should be a commercially feasible avenue for new housing supply, provided necessary infrastructure is funded via clear and predictable developer contributions (chapter 4). It also allows governments to avoid local opposition to density in established suburbs </w:t>
      </w:r>
      <w:r w:rsidRPr="00B97C8C">
        <w:rPr>
          <w:rFonts w:cs="Open Sans"/>
          <w:spacing w:val="-2"/>
        </w:rPr>
        <w:t>(</w:t>
      </w:r>
      <w:proofErr w:type="spellStart"/>
      <w:r w:rsidRPr="00B97C8C">
        <w:rPr>
          <w:rFonts w:cs="Open Sans"/>
          <w:spacing w:val="-2"/>
        </w:rPr>
        <w:t>Bolleter</w:t>
      </w:r>
      <w:proofErr w:type="spellEnd"/>
      <w:r w:rsidRPr="00B97C8C">
        <w:rPr>
          <w:rFonts w:cs="Open Sans"/>
          <w:spacing w:val="-2"/>
        </w:rPr>
        <w:t xml:space="preserve"> et al. 2024, pp. 9–10)</w:t>
      </w:r>
      <w:r w:rsidRPr="00B97C8C">
        <w:rPr>
          <w:spacing w:val="-2"/>
        </w:rPr>
        <w:t xml:space="preserve">. </w:t>
      </w:r>
    </w:p>
    <w:p w14:paraId="412E4C54" w14:textId="4B3A596B" w:rsidR="000A2D7A" w:rsidRDefault="000A2D7A">
      <w:pPr>
        <w:pStyle w:val="BodyText"/>
      </w:pPr>
      <w:r w:rsidRPr="004F53F7">
        <w:t>Greenfield release remains a substantial source of new housing supply in many Australian cities. It accounted for 6</w:t>
      </w:r>
      <w:r>
        <w:t>1</w:t>
      </w:r>
      <w:r w:rsidRPr="004F53F7">
        <w:t xml:space="preserve">% of </w:t>
      </w:r>
      <w:r>
        <w:t>Perth and Peel’s 2023</w:t>
      </w:r>
      <w:r w:rsidRPr="004F53F7">
        <w:t xml:space="preserve"> housing delivery </w:t>
      </w:r>
      <w:r w:rsidRPr="0077768D">
        <w:t>(WA Planning Commission 2025, p. 2)</w:t>
      </w:r>
      <w:r w:rsidRPr="004F53F7">
        <w:t xml:space="preserve">, and </w:t>
      </w:r>
      <w:r>
        <w:t>about</w:t>
      </w:r>
      <w:r w:rsidRPr="004F53F7">
        <w:t xml:space="preserve"> 5</w:t>
      </w:r>
      <w:r>
        <w:t>6</w:t>
      </w:r>
      <w:r w:rsidRPr="004F53F7">
        <w:t xml:space="preserve">% in Melbourne </w:t>
      </w:r>
      <w:r w:rsidRPr="0077768D">
        <w:t>(Quantify 2026, p. 29)</w:t>
      </w:r>
      <w:r w:rsidRPr="004F53F7">
        <w:t>.</w:t>
      </w:r>
      <w:r>
        <w:t xml:space="preserve"> This is despite many states and territories aiming to increase infill development as a share of new supply.</w:t>
      </w:r>
      <w:r>
        <w:rPr>
          <w:rStyle w:val="FootnoteReference"/>
        </w:rPr>
        <w:footnoteReference w:id="5"/>
      </w:r>
      <w:r w:rsidRPr="0077768D">
        <w:rPr>
          <w:rStyle w:val="DraftingNoteChar"/>
          <w:color w:val="auto"/>
          <w:sz w:val="20"/>
          <w:u w:val="none"/>
        </w:rPr>
        <w:t xml:space="preserve"> </w:t>
      </w:r>
    </w:p>
    <w:p w14:paraId="28331533" w14:textId="053E4EE2" w:rsidR="000A2D7A" w:rsidRPr="00B97C8C" w:rsidRDefault="000A2D7A">
      <w:pPr>
        <w:pStyle w:val="BodyText"/>
        <w:rPr>
          <w:spacing w:val="-2"/>
        </w:rPr>
      </w:pPr>
      <w:r w:rsidRPr="00B97C8C">
        <w:rPr>
          <w:spacing w:val="-2"/>
        </w:rPr>
        <w:t>Greenfield development can be cheaper for developers despite higher infrastructure costs in most cases. This is in part because infill development involves dealing with complex matters such as strata agreements, parcel amalgamation, lengthy approval processes (chapter 3) and other land</w:t>
      </w:r>
      <w:r w:rsidRPr="00B97C8C">
        <w:rPr>
          <w:spacing w:val="-2"/>
        </w:rPr>
        <w:noBreakHyphen/>
        <w:t xml:space="preserve">use controls </w:t>
      </w:r>
      <w:r w:rsidRPr="00B97C8C">
        <w:rPr>
          <w:rFonts w:cs="Open Sans"/>
          <w:spacing w:val="-2"/>
        </w:rPr>
        <w:t>(Rowley and Phibbs 2012, pp. 12, 22; Strata Community Association 2025, p. 27)</w:t>
      </w:r>
      <w:r w:rsidRPr="00B97C8C">
        <w:rPr>
          <w:spacing w:val="-2"/>
        </w:rPr>
        <w:t xml:space="preserve">. The feasibility of infill development has declined further relative to greenfield development due to recent fluctuations in construction, land acquisition and financing costs </w:t>
      </w:r>
      <w:r w:rsidRPr="00B97C8C">
        <w:rPr>
          <w:rFonts w:cs="Open Sans"/>
          <w:spacing w:val="-2"/>
        </w:rPr>
        <w:t>(CIE 2024, pp. 13–14, 28; Quantify 2026, pp. 23, 38–42)</w:t>
      </w:r>
      <w:r w:rsidRPr="00B97C8C">
        <w:rPr>
          <w:spacing w:val="-2"/>
        </w:rPr>
        <w:t>.</w:t>
      </w:r>
    </w:p>
    <w:p w14:paraId="4AC10178" w14:textId="77777777" w:rsidR="000A2D7A" w:rsidRDefault="000A2D7A">
      <w:pPr>
        <w:pStyle w:val="Heading3"/>
      </w:pPr>
      <w:r>
        <w:t>Rez</w:t>
      </w:r>
      <w:r w:rsidRPr="00744685">
        <w:t>on</w:t>
      </w:r>
      <w:r>
        <w:t>ing</w:t>
      </w:r>
      <w:r w:rsidRPr="00744685">
        <w:t xml:space="preserve"> land does not always translate into housing supply</w:t>
      </w:r>
    </w:p>
    <w:p w14:paraId="69623E6B" w14:textId="08FB8BB3" w:rsidR="000A2D7A" w:rsidRDefault="000A2D7A">
      <w:pPr>
        <w:pStyle w:val="BodyText"/>
      </w:pPr>
      <w:r w:rsidRPr="00171AB5">
        <w:t xml:space="preserve">In many parts of Australia, greenfield housing supply appears to be constrained less by the amount of land released </w:t>
      </w:r>
      <w:r>
        <w:t>and rezoned</w:t>
      </w:r>
      <w:r w:rsidRPr="00171AB5">
        <w:t xml:space="preserve"> than by whether that land can feasibly be developed.</w:t>
      </w:r>
      <w:r w:rsidDel="00A927F0">
        <w:t xml:space="preserve"> </w:t>
      </w:r>
      <w:r w:rsidRPr="004E2E71">
        <w:t xml:space="preserve">For example, despite the </w:t>
      </w:r>
      <w:r>
        <w:t>WA</w:t>
      </w:r>
      <w:r w:rsidRPr="004E2E71">
        <w:t xml:space="preserve"> </w:t>
      </w:r>
      <w:r>
        <w:t>G</w:t>
      </w:r>
      <w:r w:rsidRPr="004E2E71">
        <w:t>overnment reporting a 27</w:t>
      </w:r>
      <w:r>
        <w:noBreakHyphen/>
      </w:r>
      <w:r w:rsidRPr="004E2E71">
        <w:t xml:space="preserve">year supply of </w:t>
      </w:r>
      <w:r w:rsidRPr="00C45C6C">
        <w:t>non</w:t>
      </w:r>
      <w:r>
        <w:noBreakHyphen/>
      </w:r>
      <w:r w:rsidRPr="00C45C6C">
        <w:t>urbanised</w:t>
      </w:r>
      <w:r w:rsidRPr="004E2E71">
        <w:t xml:space="preserve"> land</w:t>
      </w:r>
      <w:r w:rsidRPr="00C45C6C">
        <w:t xml:space="preserve"> available for development</w:t>
      </w:r>
      <w:r w:rsidRPr="004E2E71">
        <w:t>, land prices in metropolitan Perth have increased substantiall</w:t>
      </w:r>
      <w:r>
        <w:t>y</w:t>
      </w:r>
      <w:r w:rsidRPr="004E2E71">
        <w:t xml:space="preserve"> </w:t>
      </w:r>
      <w:r w:rsidRPr="009E7B57">
        <w:rPr>
          <w:rFonts w:cs="Open Sans"/>
        </w:rPr>
        <w:t>(UDIA 2026, pp. 62–63; WA DPLH 2025, p. 2)</w:t>
      </w:r>
      <w:r w:rsidRPr="004E2E71">
        <w:t>.</w:t>
      </w:r>
      <w:r w:rsidRPr="00191E11">
        <w:rPr>
          <w:rStyle w:val="FootnoteReference"/>
        </w:rPr>
        <w:footnoteReference w:id="6"/>
      </w:r>
      <w:r>
        <w:t xml:space="preserve"> This suggests</w:t>
      </w:r>
      <w:r w:rsidRPr="004E2E71">
        <w:t xml:space="preserve"> that effective supply may be constrained further along the development process</w:t>
      </w:r>
      <w:r>
        <w:t xml:space="preserve"> – for example, due to restrictions on what can be built. It could also suggest that governments may be releasing land in places where development is unfeasible</w:t>
      </w:r>
      <w:r w:rsidRPr="004E2E71">
        <w:t xml:space="preserve">. </w:t>
      </w:r>
    </w:p>
    <w:p w14:paraId="7901894D" w14:textId="77777777" w:rsidR="000A2D7A" w:rsidRDefault="000A2D7A">
      <w:pPr>
        <w:pStyle w:val="BodyText"/>
      </w:pPr>
      <w:r w:rsidRPr="008D1698">
        <w:lastRenderedPageBreak/>
        <w:t xml:space="preserve">Releasing land </w:t>
      </w:r>
      <w:r>
        <w:t>(including divesting government</w:t>
      </w:r>
      <w:r>
        <w:noBreakHyphen/>
        <w:t xml:space="preserve">owned land under the </w:t>
      </w:r>
      <w:r w:rsidRPr="000657C8">
        <w:rPr>
          <w:i/>
          <w:iCs/>
        </w:rPr>
        <w:t>National Housing Accord</w:t>
      </w:r>
      <w:r>
        <w:t xml:space="preserve">) </w:t>
      </w:r>
      <w:r w:rsidRPr="008D1698">
        <w:t xml:space="preserve">that is subject to other regulatory constraints may increase measured zoned capacity without materially increasing dwelling supply. </w:t>
      </w:r>
      <w:r>
        <w:t>A p</w:t>
      </w:r>
      <w:r w:rsidRPr="008D1698">
        <w:t xml:space="preserve">articipant in this inquiry </w:t>
      </w:r>
      <w:r>
        <w:t xml:space="preserve">noted </w:t>
      </w:r>
      <w:r w:rsidRPr="008D1698">
        <w:t>that divested land is often unfeasible because environmental or conservation zoning is not removed, limiting its residential development potential (</w:t>
      </w:r>
      <w:r>
        <w:t xml:space="preserve">FHA, </w:t>
      </w:r>
      <w:r w:rsidRPr="008D1698">
        <w:t>sub.</w:t>
      </w:r>
      <w:r>
        <w:t> </w:t>
      </w:r>
      <w:r w:rsidRPr="008D1698">
        <w:t>79, p. 8).</w:t>
      </w:r>
      <w:r>
        <w:t xml:space="preserve"> </w:t>
      </w:r>
      <w:r w:rsidRPr="008D1698">
        <w:t>Where feasible sites are excluded or delayed by regulatory barriers such as approvals processes (chapter 3), governments may need to release less suitable land which is less likely to be developed.</w:t>
      </w:r>
      <w:r>
        <w:t xml:space="preserve"> </w:t>
      </w:r>
    </w:p>
    <w:p w14:paraId="4AFD4788" w14:textId="77777777" w:rsidR="000A2D7A" w:rsidRPr="008D1698" w:rsidRDefault="000A2D7A">
      <w:pPr>
        <w:pStyle w:val="BodyText"/>
      </w:pPr>
      <w:r w:rsidRPr="008D1698">
        <w:t>Preparing development</w:t>
      </w:r>
      <w:r>
        <w:noBreakHyphen/>
      </w:r>
      <w:r w:rsidRPr="008D1698">
        <w:t>ready land is best achieved when governments coordinate land release with planning assessments at the precinct level and effective sequencing and coordinating of infrastructure and service agencies involved in land preparation (box 3.</w:t>
      </w:r>
      <w:r>
        <w:t xml:space="preserve">3, </w:t>
      </w:r>
      <w:r w:rsidRPr="008D1698">
        <w:t>chapter 3). Infrastructure coordination appears to be a key post</w:t>
      </w:r>
      <w:r>
        <w:noBreakHyphen/>
      </w:r>
      <w:r w:rsidRPr="008D1698">
        <w:t>release constraint</w:t>
      </w:r>
      <w:r>
        <w:t xml:space="preserve"> (chapter 4).</w:t>
      </w:r>
      <w:r w:rsidRPr="008D1698">
        <w:t xml:space="preserve"> Aligning land release with strategic infrastructure planning can help ensure zoned land is </w:t>
      </w:r>
      <w:r>
        <w:t>able to be</w:t>
      </w:r>
      <w:r w:rsidRPr="008D1698">
        <w:t xml:space="preserve"> serviced and </w:t>
      </w:r>
      <w:r>
        <w:t>feasible to develop.</w:t>
      </w:r>
    </w:p>
    <w:p w14:paraId="71AE1048" w14:textId="77777777" w:rsidR="000A2D7A" w:rsidRPr="00864DB7" w:rsidRDefault="000A2D7A">
      <w:pPr>
        <w:pStyle w:val="Heading3"/>
      </w:pPr>
      <w:r w:rsidRPr="00864DB7">
        <w:t xml:space="preserve">Greenfield expansion </w:t>
      </w:r>
      <w:r>
        <w:t>can face physical and environmental constraints</w:t>
      </w:r>
    </w:p>
    <w:p w14:paraId="3DB39F3B" w14:textId="77777777" w:rsidR="000A2D7A" w:rsidRDefault="000A2D7A">
      <w:pPr>
        <w:pStyle w:val="BodyText"/>
      </w:pPr>
      <w:r>
        <w:t>G</w:t>
      </w:r>
      <w:r w:rsidRPr="0019520B">
        <w:t xml:space="preserve">overnments </w:t>
      </w:r>
      <w:r>
        <w:t xml:space="preserve">cannot </w:t>
      </w:r>
      <w:r w:rsidRPr="0019520B">
        <w:t>rely on greenfield expansion as an unconstrained long</w:t>
      </w:r>
      <w:r>
        <w:noBreakHyphen/>
      </w:r>
      <w:r w:rsidRPr="0019520B">
        <w:t xml:space="preserve">term </w:t>
      </w:r>
      <w:r>
        <w:t>source of supply</w:t>
      </w:r>
      <w:r w:rsidRPr="0019520B">
        <w:t>. As developable fringe land becomes more physically</w:t>
      </w:r>
      <w:r>
        <w:t xml:space="preserve"> and </w:t>
      </w:r>
      <w:r w:rsidRPr="0019520B">
        <w:t xml:space="preserve">environmentally </w:t>
      </w:r>
      <w:r>
        <w:t>constrained</w:t>
      </w:r>
      <w:r w:rsidRPr="0019520B">
        <w:t>, policy will need to focus more on enabling housing on land that is already zoned, serviced or close to existing infrastructure.</w:t>
      </w:r>
    </w:p>
    <w:p w14:paraId="2EF064B0" w14:textId="5E1DD368" w:rsidR="000A2D7A" w:rsidRPr="00CD659F" w:rsidRDefault="000A2D7A">
      <w:pPr>
        <w:pStyle w:val="BodyText"/>
      </w:pPr>
      <w:r w:rsidRPr="00CD659F">
        <w:t xml:space="preserve">Even where </w:t>
      </w:r>
      <w:r>
        <w:t>housing regulatory systems</w:t>
      </w:r>
      <w:r w:rsidRPr="00CD659F">
        <w:t xml:space="preserve"> allow additional land release, the amount of land that can be converted into housing is constrained by factors outside direct government control. </w:t>
      </w:r>
      <w:r w:rsidRPr="00AC19EC">
        <w:t>Greenfield supply is</w:t>
      </w:r>
      <w:r w:rsidRPr="00AC19EC" w:rsidDel="00CC1080">
        <w:t xml:space="preserve"> </w:t>
      </w:r>
      <w:r>
        <w:t>constrained</w:t>
      </w:r>
      <w:r w:rsidRPr="00AC19EC">
        <w:t xml:space="preserve"> by city topography, with Brisbane, Melbourne and Perth having more suitable fringe land than Adelaide and Sydney</w:t>
      </w:r>
      <w:r w:rsidRPr="00272C26">
        <w:t xml:space="preserve"> </w:t>
      </w:r>
      <w:r w:rsidRPr="005D704D">
        <w:t>(NHFIC 2020, p. 31; Ong Vifor J et al. 2017, p. 7)</w:t>
      </w:r>
      <w:r w:rsidRPr="00CD659F">
        <w:t>.</w:t>
      </w:r>
    </w:p>
    <w:p w14:paraId="57538E00" w14:textId="2D5986EF" w:rsidR="000A2D7A" w:rsidRPr="00191E11" w:rsidRDefault="000A2D7A">
      <w:pPr>
        <w:pStyle w:val="BodyText"/>
        <w:rPr>
          <w:spacing w:val="-2"/>
        </w:rPr>
      </w:pPr>
      <w:r w:rsidRPr="00191E11">
        <w:rPr>
          <w:spacing w:val="-4"/>
        </w:rPr>
        <w:t>Climate risks are further narrowing options for outward expansion. Parts of Sydney’s Hawkesbury</w:t>
      </w:r>
      <w:r w:rsidRPr="00191E11">
        <w:rPr>
          <w:spacing w:val="-4"/>
        </w:rPr>
        <w:noBreakHyphen/>
        <w:t>Nepean</w:t>
      </w:r>
      <w:r w:rsidRPr="00191E11">
        <w:rPr>
          <w:spacing w:val="-2"/>
        </w:rPr>
        <w:t xml:space="preserve"> floodplain were rezoned in 2023 to prevent housing development </w:t>
      </w:r>
      <w:r w:rsidRPr="00191E11">
        <w:rPr>
          <w:rFonts w:cs="Open Sans"/>
          <w:spacing w:val="-2"/>
        </w:rPr>
        <w:t>(Car and Scully 2023)</w:t>
      </w:r>
      <w:r w:rsidRPr="00191E11">
        <w:rPr>
          <w:spacing w:val="-2"/>
        </w:rPr>
        <w:t xml:space="preserve">, while residential rezoning of 2.6 kilometres of coastline at Two Rocks in Perth’s urban fringe was rejected because of sea level rise risks </w:t>
      </w:r>
      <w:r w:rsidRPr="00191E11">
        <w:rPr>
          <w:rFonts w:cs="Open Sans"/>
          <w:spacing w:val="-2"/>
        </w:rPr>
        <w:t>(WA State Administrative Tribunal 2019, pp. 3–5)</w:t>
      </w:r>
      <w:r w:rsidRPr="00191E11">
        <w:rPr>
          <w:spacing w:val="-2"/>
        </w:rPr>
        <w:t xml:space="preserve">. Increasing climate risks may also lengthen development assessment times by requiring more technical analysis (chapter 3). The PC has previously recommended that governments embed climate risk in strategic planning to avoid unnecessarily increasing Australians’ exposure to climate hazards </w:t>
      </w:r>
      <w:r w:rsidR="00877EF9" w:rsidRPr="00191E11">
        <w:rPr>
          <w:rFonts w:cs="Open Sans"/>
          <w:spacing w:val="-2"/>
        </w:rPr>
        <w:t>(PC 2025d, p. 69)</w:t>
      </w:r>
      <w:r w:rsidRPr="00191E11">
        <w:rPr>
          <w:spacing w:val="-2"/>
        </w:rPr>
        <w:t>.</w:t>
      </w:r>
    </w:p>
    <w:p w14:paraId="3B7B7C94" w14:textId="77777777" w:rsidR="000A2D7A" w:rsidRPr="000224BF" w:rsidRDefault="000A2D7A">
      <w:pPr>
        <w:pStyle w:val="Heading3"/>
      </w:pPr>
      <w:r w:rsidRPr="000224BF">
        <w:t>Brownfield redevelopment can add housing, but only where feasible</w:t>
      </w:r>
    </w:p>
    <w:p w14:paraId="0B6706CC" w14:textId="1FDFBDF3" w:rsidR="000A2D7A" w:rsidRPr="00413CD8" w:rsidRDefault="000A2D7A">
      <w:pPr>
        <w:pStyle w:val="BodyText"/>
      </w:pPr>
      <w:r>
        <w:t xml:space="preserve">Brownfield rezoning can unlock land for housing, and existing infrastructure can make some industrial redevelopment cheaper than greenfield new infrastructure provision </w:t>
      </w:r>
      <w:r w:rsidRPr="00016805">
        <w:t>(Hamilton and Kellett 2017; Infrastructure Victoria 2019, p. 64)</w:t>
      </w:r>
      <w:r>
        <w:t xml:space="preserve"> (chapter 4),</w:t>
      </w:r>
      <w:r w:rsidRPr="001777C3">
        <w:t xml:space="preserve"> but industrial redevelopment is rarely just a matter of </w:t>
      </w:r>
      <w:r>
        <w:t>rezoning</w:t>
      </w:r>
      <w:r w:rsidRPr="001777C3">
        <w:t xml:space="preserve"> land. </w:t>
      </w:r>
      <w:r>
        <w:t xml:space="preserve">Some industrial land may also be unsuitable for residential development due to chemical hazards or other safety risks associated with its previous use. </w:t>
      </w:r>
      <w:r w:rsidRPr="001777C3">
        <w:t xml:space="preserve">Former industrial sites often require </w:t>
      </w:r>
      <w:r>
        <w:t xml:space="preserve">costly </w:t>
      </w:r>
      <w:r w:rsidRPr="001777C3">
        <w:t>remediation</w:t>
      </w:r>
      <w:r>
        <w:t xml:space="preserve"> such as contamination removal</w:t>
      </w:r>
      <w:r w:rsidRPr="001777C3">
        <w:t xml:space="preserve"> and residential infrastructure before they can support dwellings </w:t>
      </w:r>
      <w:r w:rsidRPr="00B155C1">
        <w:rPr>
          <w:rFonts w:cs="Open Sans"/>
        </w:rPr>
        <w:t>(Greaves et al. 2006, p. 12)</w:t>
      </w:r>
      <w:r w:rsidRPr="00413CD8">
        <w:t>.</w:t>
      </w:r>
      <w:r>
        <w:t xml:space="preserve"> This can affect feasibility and limit redevelopment to higher</w:t>
      </w:r>
      <w:r>
        <w:noBreakHyphen/>
        <w:t xml:space="preserve">value precincts. </w:t>
      </w:r>
      <w:r w:rsidRPr="00413CD8">
        <w:t xml:space="preserve">Bowden is a notable example </w:t>
      </w:r>
      <w:r>
        <w:t xml:space="preserve">of a successful brownfield redevelopment, </w:t>
      </w:r>
      <w:r w:rsidRPr="00413CD8">
        <w:t xml:space="preserve">where </w:t>
      </w:r>
      <w:r w:rsidRPr="00573B95">
        <w:t>former industrial and gasworks land 2.5 kilometres from the Adelaide CBD has been redeveloped into a mixed</w:t>
      </w:r>
      <w:r>
        <w:noBreakHyphen/>
      </w:r>
      <w:r w:rsidRPr="00573B95">
        <w:t>use precinct</w:t>
      </w:r>
      <w:r>
        <w:t xml:space="preserve"> </w:t>
      </w:r>
      <w:r w:rsidRPr="00016805">
        <w:t>(Renewal SA 2025)</w:t>
      </w:r>
      <w:r w:rsidRPr="00413CD8">
        <w:t>.</w:t>
      </w:r>
      <w:r>
        <w:t xml:space="preserve"> </w:t>
      </w:r>
    </w:p>
    <w:p w14:paraId="0A7C6919" w14:textId="24580EAA" w:rsidR="000A2D7A" w:rsidRDefault="000A2D7A">
      <w:pPr>
        <w:pStyle w:val="BodyText"/>
      </w:pPr>
      <w:r w:rsidRPr="001777C3">
        <w:t>Industrial redevelopment is likely to be a targeted, not broad</w:t>
      </w:r>
      <w:r>
        <w:noBreakHyphen/>
      </w:r>
      <w:r w:rsidRPr="001777C3">
        <w:t>based, source of additional housing</w:t>
      </w:r>
      <w:r>
        <w:t xml:space="preserve"> land</w:t>
      </w:r>
      <w:r w:rsidRPr="001777C3">
        <w:t>. Industrial land accounts for only 1.6% of parcels</w:t>
      </w:r>
      <w:r>
        <w:t xml:space="preserve"> of land</w:t>
      </w:r>
      <w:r w:rsidRPr="001777C3">
        <w:t xml:space="preserve"> in Australia’s most populous urban areas</w:t>
      </w:r>
      <w:r>
        <w:t xml:space="preserve"> </w:t>
      </w:r>
      <w:r w:rsidRPr="00016805">
        <w:t>(ABS 2022)</w:t>
      </w:r>
      <w:r w:rsidRPr="001777C3">
        <w:t xml:space="preserve">, and </w:t>
      </w:r>
      <w:r>
        <w:t xml:space="preserve">New South Wales is </w:t>
      </w:r>
      <w:r w:rsidRPr="001777C3">
        <w:t>alread</w:t>
      </w:r>
      <w:r>
        <w:t>y</w:t>
      </w:r>
      <w:r w:rsidRPr="001777C3">
        <w:t xml:space="preserve"> report</w:t>
      </w:r>
      <w:r>
        <w:t>ing</w:t>
      </w:r>
      <w:r w:rsidRPr="001777C3">
        <w:t xml:space="preserve"> shortages of immediately developable industrial </w:t>
      </w:r>
      <w:r w:rsidRPr="001777C3">
        <w:lastRenderedPageBreak/>
        <w:t>land</w:t>
      </w:r>
      <w:r>
        <w:t xml:space="preserve"> </w:t>
      </w:r>
      <w:r w:rsidR="00877EF9" w:rsidRPr="00877EF9">
        <w:rPr>
          <w:rFonts w:cs="Open Sans"/>
        </w:rPr>
        <w:t>(NSW DPHI 2025b, p. 3)</w:t>
      </w:r>
      <w:r w:rsidRPr="001777C3">
        <w:t xml:space="preserve">. </w:t>
      </w:r>
      <w:r>
        <w:t>F</w:t>
      </w:r>
      <w:r w:rsidRPr="001777C3">
        <w:t>easible brownfield redevelopment in high</w:t>
      </w:r>
      <w:r>
        <w:noBreakHyphen/>
      </w:r>
      <w:r w:rsidRPr="001777C3">
        <w:t xml:space="preserve">demand areas </w:t>
      </w:r>
      <w:r>
        <w:t xml:space="preserve">can be better supported </w:t>
      </w:r>
      <w:r w:rsidRPr="001777C3">
        <w:t>by making approval pathways, remediation requirements and infrastructure charges clear, predictable and proportionate to expected public benefits</w:t>
      </w:r>
      <w:r>
        <w:t xml:space="preserve"> (chapter 3 and chapter 4)</w:t>
      </w:r>
      <w:r w:rsidRPr="001777C3">
        <w:t>.</w:t>
      </w:r>
    </w:p>
    <w:p w14:paraId="61D8A545" w14:textId="77777777" w:rsidR="000A2D7A" w:rsidRPr="0063435B" w:rsidRDefault="000A2D7A">
      <w:pPr>
        <w:pStyle w:val="Heading3"/>
      </w:pPr>
      <w:r w:rsidRPr="000F06EC">
        <w:t xml:space="preserve">Focus on </w:t>
      </w:r>
      <w:r>
        <w:t>the supply of</w:t>
      </w:r>
      <w:r w:rsidRPr="000F06EC">
        <w:t xml:space="preserve"> development</w:t>
      </w:r>
      <w:r>
        <w:noBreakHyphen/>
      </w:r>
      <w:r w:rsidRPr="000F06EC">
        <w:t>ready land, not just land release</w:t>
      </w:r>
    </w:p>
    <w:p w14:paraId="4F4922F4" w14:textId="77777777" w:rsidR="000A2D7A" w:rsidRDefault="000A2D7A">
      <w:pPr>
        <w:pStyle w:val="NoSpacing"/>
      </w:pPr>
      <w:r w:rsidRPr="008A5471">
        <w:t>Australia’s land</w:t>
      </w:r>
      <w:r>
        <w:t xml:space="preserve"> </w:t>
      </w:r>
      <w:r w:rsidRPr="008A5471">
        <w:t>release systems appear relatively strong compared with other parts of the housing supply system. Governments should therefore maintain a healthy supply of released residential land, while focusing reform effort on constraints further along the development pipeline.</w:t>
      </w:r>
      <w:r>
        <w:t xml:space="preserve"> Government reporting of a developable land measure</w:t>
      </w:r>
      <w:r w:rsidRPr="008A5471">
        <w:t xml:space="preserve"> </w:t>
      </w:r>
      <w:r>
        <w:t>could</w:t>
      </w:r>
      <w:r w:rsidRPr="008A5471">
        <w:t xml:space="preserve"> distinguish land that is merely zoned from land that is serviced, approved, infrastructure</w:t>
      </w:r>
      <w:r>
        <w:noBreakHyphen/>
      </w:r>
      <w:r w:rsidRPr="008A5471">
        <w:t xml:space="preserve">ready and commercially feasible. </w:t>
      </w:r>
      <w:r w:rsidRPr="006905A6">
        <w:t xml:space="preserve">It </w:t>
      </w:r>
      <w:r>
        <w:t>could</w:t>
      </w:r>
      <w:r w:rsidRPr="006905A6">
        <w:t xml:space="preserve"> also help identify which infrastructure, planning, environmental or market constraints are most limiting the conversion of zoned land into dwelling completions. Greater consistency across jurisdictions </w:t>
      </w:r>
      <w:r>
        <w:t>could</w:t>
      </w:r>
      <w:r w:rsidRPr="006905A6">
        <w:t xml:space="preserve"> allow policymakers to assess relative progress and target reform more effectively.</w:t>
      </w:r>
      <w:r w:rsidRPr="00AF32C7">
        <w:t xml:space="preserve"> </w:t>
      </w:r>
      <w:r>
        <w:t>We will consider this in more detail in our final report.</w:t>
      </w:r>
      <w:r w:rsidRPr="00D46819">
        <w:t xml:space="preserve"> </w:t>
      </w:r>
    </w:p>
    <w:p w14:paraId="43CED125" w14:textId="6380E440" w:rsidR="000A2D7A" w:rsidRDefault="000A2D7A">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A2D7A" w14:paraId="15791C6C" w14:textId="77777777">
        <w:trPr>
          <w:trHeight w:val="765"/>
          <w:tblHeader/>
        </w:trPr>
        <w:tc>
          <w:tcPr>
            <w:tcW w:w="366" w:type="pct"/>
            <w:shd w:val="clear" w:color="auto" w:fill="EBEBEB"/>
            <w:tcMar>
              <w:bottom w:w="0" w:type="dxa"/>
            </w:tcMar>
            <w:vAlign w:val="center"/>
          </w:tcPr>
          <w:p w14:paraId="703A3E7F" w14:textId="77777777" w:rsidR="000A2D7A" w:rsidRDefault="000A2D7A">
            <w:pPr>
              <w:pStyle w:val="NoSpacing"/>
              <w:keepNext/>
              <w:keepLines/>
              <w:jc w:val="right"/>
            </w:pPr>
            <w:r w:rsidRPr="00A51374">
              <w:rPr>
                <w:noProof/>
              </w:rPr>
              <w:drawing>
                <wp:inline distT="0" distB="0" distL="0" distR="0" wp14:anchorId="4F5ED41D" wp14:editId="03FC3CD2">
                  <wp:extent cx="288000" cy="288000"/>
                  <wp:effectExtent l="0" t="0" r="0" b="0"/>
                  <wp:docPr id="1967701402" name="Graphic 19677014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057C87F9" w14:textId="528C6783" w:rsidR="000A2D7A" w:rsidRPr="002530FF" w:rsidRDefault="000A2D7A">
            <w:pPr>
              <w:pStyle w:val="FindingRecRequesttitle"/>
            </w:pPr>
            <w:r w:rsidRPr="000B0B71">
              <w:t xml:space="preserve">Information request </w:t>
            </w:r>
            <w:r w:rsidR="00CB06D8">
              <w:rPr>
                <w:noProof/>
              </w:rPr>
              <w:t>2</w:t>
            </w:r>
            <w:r w:rsidRPr="00DF7217">
              <w:t>.</w:t>
            </w:r>
            <w:r w:rsidR="00CB06D8">
              <w:rPr>
                <w:noProof/>
              </w:rPr>
              <w:t>2</w:t>
            </w:r>
          </w:p>
        </w:tc>
      </w:tr>
      <w:tr w:rsidR="000A2D7A" w:rsidRPr="000956E1" w14:paraId="43A3173D" w14:textId="77777777">
        <w:tc>
          <w:tcPr>
            <w:tcW w:w="5000" w:type="pct"/>
            <w:gridSpan w:val="2"/>
            <w:shd w:val="clear" w:color="auto" w:fill="EBEBEB"/>
          </w:tcPr>
          <w:p w14:paraId="62442137" w14:textId="77777777" w:rsidR="000A2D7A" w:rsidRPr="000956E1" w:rsidRDefault="000A2D7A" w:rsidP="00E11D04">
            <w:pPr>
              <w:pStyle w:val="ListBullet"/>
              <w:rPr>
                <w:color w:val="265A9A" w:themeColor="background2"/>
              </w:rPr>
            </w:pPr>
            <w:r w:rsidRPr="000956E1">
              <w:rPr>
                <w:color w:val="265A9A" w:themeColor="background2"/>
              </w:rPr>
              <w:t>Can you provide information, data or analysis on the degree to which available land is a barrier to new housing supply?</w:t>
            </w:r>
          </w:p>
          <w:p w14:paraId="6ABB2DD8" w14:textId="77777777" w:rsidR="000A2D7A" w:rsidRPr="000956E1" w:rsidRDefault="000A2D7A" w:rsidP="00E11D04">
            <w:pPr>
              <w:pStyle w:val="ListBullet"/>
              <w:rPr>
                <w:color w:val="265A9A" w:themeColor="background2"/>
              </w:rPr>
            </w:pPr>
            <w:r w:rsidRPr="000956E1">
              <w:rPr>
                <w:color w:val="265A9A" w:themeColor="background2"/>
              </w:rPr>
              <w:t>Can you provide examples of released land that has not been able to be developed for housing, and explain the barriers to development in these cases?</w:t>
            </w:r>
          </w:p>
          <w:p w14:paraId="29DAA2C5" w14:textId="77777777" w:rsidR="000A2D7A" w:rsidRPr="000956E1" w:rsidRDefault="000A2D7A" w:rsidP="00E11D04">
            <w:pPr>
              <w:pStyle w:val="ListBullet"/>
              <w:rPr>
                <w:color w:val="265A9A" w:themeColor="background2"/>
              </w:rPr>
            </w:pPr>
            <w:r w:rsidRPr="000956E1">
              <w:rPr>
                <w:color w:val="265A9A" w:themeColor="background2"/>
              </w:rPr>
              <w:t>Would it be helpful for governments to report a land measure which distinguishes land that is zoned residential, from land that is serviced, approved, infrastructure</w:t>
            </w:r>
            <w:r w:rsidRPr="000956E1">
              <w:rPr>
                <w:color w:val="265A9A" w:themeColor="background2"/>
              </w:rPr>
              <w:noBreakHyphen/>
              <w:t>ready and commercially feasible to develop?</w:t>
            </w:r>
          </w:p>
        </w:tc>
      </w:tr>
      <w:tr w:rsidR="000A2D7A" w14:paraId="6189C963" w14:textId="77777777">
        <w:tc>
          <w:tcPr>
            <w:tcW w:w="5000" w:type="pct"/>
            <w:gridSpan w:val="2"/>
            <w:tcMar>
              <w:bottom w:w="0" w:type="dxa"/>
            </w:tcMar>
          </w:tcPr>
          <w:p w14:paraId="62BF576D" w14:textId="62C16515" w:rsidR="000A2D7A" w:rsidRDefault="000A2D7A">
            <w:pPr>
              <w:pStyle w:val="NoSpacing"/>
              <w:spacing w:line="200" w:lineRule="atLeast"/>
            </w:pPr>
          </w:p>
        </w:tc>
      </w:tr>
    </w:tbl>
    <w:p w14:paraId="7DFFBE2B" w14:textId="77777777" w:rsidR="000A2D7A" w:rsidRDefault="000A2D7A">
      <w:pPr>
        <w:pStyle w:val="Heading2"/>
      </w:pPr>
      <w:bookmarkStart w:id="25" w:name="_Toc235103148"/>
      <w:r>
        <w:t>R</w:t>
      </w:r>
      <w:r w:rsidRPr="007629C9">
        <w:t>eform</w:t>
      </w:r>
      <w:r>
        <w:t xml:space="preserve"> directions for land</w:t>
      </w:r>
      <w:r>
        <w:noBreakHyphen/>
        <w:t>use controls</w:t>
      </w:r>
      <w:bookmarkEnd w:id="25"/>
    </w:p>
    <w:p w14:paraId="572F6457" w14:textId="77777777" w:rsidR="000A2D7A" w:rsidRPr="007629C9" w:rsidRDefault="000A2D7A">
      <w:pPr>
        <w:pStyle w:val="Heading3"/>
      </w:pPr>
      <w:r>
        <w:t>Jurisdictions should</w:t>
      </w:r>
      <w:r w:rsidRPr="007629C9">
        <w:t xml:space="preserve"> increase </w:t>
      </w:r>
      <w:r>
        <w:t xml:space="preserve">commercially feasible </w:t>
      </w:r>
      <w:r w:rsidRPr="007629C9">
        <w:t xml:space="preserve">capacity </w:t>
      </w:r>
    </w:p>
    <w:p w14:paraId="50294D06" w14:textId="77777777" w:rsidR="000A2D7A" w:rsidRDefault="000A2D7A">
      <w:pPr>
        <w:pStyle w:val="BodyText"/>
      </w:pPr>
      <w:r>
        <w:t>P</w:t>
      </w:r>
      <w:r w:rsidRPr="0048184E">
        <w:t>lanners have typically used zoned capacity as a measure of potential supply</w:t>
      </w:r>
      <w:r>
        <w:t>. While the measure is useful for assessing how land</w:t>
      </w:r>
      <w:r>
        <w:noBreakHyphen/>
        <w:t xml:space="preserve">use controls theoretically constrain development, </w:t>
      </w:r>
      <w:r w:rsidRPr="0048184E">
        <w:t xml:space="preserve">much of this capacity may not be commercially viable to develop. </w:t>
      </w:r>
      <w:r>
        <w:t>In fact, many local councils</w:t>
      </w:r>
      <w:r w:rsidDel="0068791B">
        <w:t xml:space="preserve"> </w:t>
      </w:r>
      <w:r>
        <w:t>report high on</w:t>
      </w:r>
      <w:r>
        <w:noBreakHyphen/>
        <w:t xml:space="preserve">paper zoned capacity but limited housing development, suggesting that feasibility could be a significant constraint (LGAQ, sub. 4, p. 1). Governments </w:t>
      </w:r>
      <w:r w:rsidRPr="0048184E">
        <w:t xml:space="preserve">should therefore assess how reforms affect development feasibility </w:t>
      </w:r>
      <w:r>
        <w:t>in addition to zoned capacity.</w:t>
      </w:r>
      <w:r w:rsidRPr="0048184E">
        <w:t xml:space="preserve"> </w:t>
      </w:r>
      <w:r>
        <w:t>This would enable them to</w:t>
      </w:r>
      <w:r w:rsidRPr="0048184E">
        <w:t xml:space="preserve"> prioritise </w:t>
      </w:r>
      <w:r>
        <w:t>reform</w:t>
      </w:r>
      <w:r w:rsidRPr="0048184E">
        <w:t xml:space="preserve"> that </w:t>
      </w:r>
      <w:r>
        <w:t xml:space="preserve">will allow for </w:t>
      </w:r>
      <w:r w:rsidRPr="0048184E">
        <w:t xml:space="preserve">commercially feasible dwelling types in locations where development is </w:t>
      </w:r>
      <w:r>
        <w:t>financially viable</w:t>
      </w:r>
      <w:r w:rsidRPr="0048184E">
        <w:t>.</w:t>
      </w:r>
      <w:r>
        <w:t xml:space="preserve"> </w:t>
      </w:r>
    </w:p>
    <w:p w14:paraId="5B7CBCD7" w14:textId="77777777" w:rsidR="000A2D7A" w:rsidRDefault="000A2D7A">
      <w:pPr>
        <w:pStyle w:val="BodyText"/>
        <w:keepNext/>
      </w:pPr>
      <w:r>
        <w:t xml:space="preserve">In recent years, many jurisdictions have enacted promising reforms that are likely to boost commercially feasible capacity (box </w:t>
      </w:r>
      <w:r w:rsidRPr="00C3461F">
        <w:t>2.</w:t>
      </w:r>
      <w:r>
        <w:t>5).</w:t>
      </w:r>
    </w:p>
    <w:p w14:paraId="5B655FE4" w14:textId="3D8B65FB" w:rsidR="000A2D7A" w:rsidRDefault="000A2D7A" w:rsidP="00E11D04">
      <w:pPr>
        <w:pStyle w:val="ListBullet"/>
      </w:pPr>
      <w:r w:rsidRPr="006641E2">
        <w:t xml:space="preserve">The NSW Government’s </w:t>
      </w:r>
      <w:r>
        <w:t>Low and Mid</w:t>
      </w:r>
      <w:r>
        <w:noBreakHyphen/>
        <w:t>Rise Housing Policy modified land</w:t>
      </w:r>
      <w:r>
        <w:noBreakHyphen/>
        <w:t>use controls to encourage dual occupancies, terraces, townhouses, apartments and shop top housing in low</w:t>
      </w:r>
      <w:r>
        <w:noBreakHyphen/>
        <w:t>density residential areas close to city centres and public transport</w:t>
      </w:r>
      <w:r w:rsidRPr="006641E2">
        <w:t xml:space="preserve"> </w:t>
      </w:r>
      <w:r w:rsidR="00877EF9" w:rsidRPr="00877EF9">
        <w:rPr>
          <w:rFonts w:cs="Open Sans"/>
        </w:rPr>
        <w:t>(NSW DPHI 2025c)</w:t>
      </w:r>
      <w:r w:rsidRPr="006641E2">
        <w:t xml:space="preserve">. </w:t>
      </w:r>
    </w:p>
    <w:p w14:paraId="5B1C9B39" w14:textId="1ECFB1AB" w:rsidR="000A2D7A" w:rsidRDefault="000A2D7A" w:rsidP="00E11D04">
      <w:pPr>
        <w:pStyle w:val="ListBullet"/>
      </w:pPr>
      <w:r>
        <w:lastRenderedPageBreak/>
        <w:t>The Victorian Government’s Townhouse and Low</w:t>
      </w:r>
      <w:r>
        <w:noBreakHyphen/>
        <w:t xml:space="preserve">Rise Code </w:t>
      </w:r>
      <w:proofErr w:type="gramStart"/>
      <w:r>
        <w:t>allows</w:t>
      </w:r>
      <w:proofErr w:type="gramEnd"/>
      <w:r>
        <w:t xml:space="preserve"> duplexes, townhouses and low</w:t>
      </w:r>
      <w:r>
        <w:noBreakHyphen/>
        <w:t>rise apartments up to three storeys under statewide built</w:t>
      </w:r>
      <w:r>
        <w:noBreakHyphen/>
        <w:t>form standards, increasing the effective capacity for medium</w:t>
      </w:r>
      <w:r>
        <w:noBreakHyphen/>
        <w:t xml:space="preserve">density infill housing </w:t>
      </w:r>
      <w:r w:rsidR="00877EF9" w:rsidRPr="00877EF9">
        <w:rPr>
          <w:rFonts w:cs="Open Sans"/>
        </w:rPr>
        <w:t>(Coates 2025, pp. 51–52; Victorian DTP 2026d)</w:t>
      </w:r>
      <w:r>
        <w:t xml:space="preserve">. </w:t>
      </w:r>
    </w:p>
    <w:p w14:paraId="737BBB09" w14:textId="1730860D" w:rsidR="000A2D7A" w:rsidRDefault="000A2D7A" w:rsidP="00E11D04">
      <w:pPr>
        <w:pStyle w:val="ListBullet"/>
      </w:pPr>
      <w:r w:rsidRPr="006641E2">
        <w:t xml:space="preserve">The WA Government has recently proposed several reforms including abolishing average lot size requirements for certain zones, removing minimum parking requirements for apartments and granny flats and increasing height limits in certain zones </w:t>
      </w:r>
      <w:r w:rsidRPr="003247B6">
        <w:rPr>
          <w:rFonts w:cs="Open Sans"/>
        </w:rPr>
        <w:t>(WA Government 2026)</w:t>
      </w:r>
      <w:r w:rsidRPr="006641E2">
        <w:t>.</w:t>
      </w:r>
    </w:p>
    <w:p w14:paraId="6CC34699" w14:textId="3E9674DE" w:rsidR="000A2D7A" w:rsidRDefault="000A2D7A" w:rsidP="00E11D04">
      <w:pPr>
        <w:pStyle w:val="ListBullet"/>
      </w:pPr>
      <w:r w:rsidRPr="006641E2">
        <w:t xml:space="preserve">The </w:t>
      </w:r>
      <w:proofErr w:type="gramStart"/>
      <w:r w:rsidRPr="006641E2">
        <w:t>ACT’s</w:t>
      </w:r>
      <w:proofErr w:type="gramEnd"/>
      <w:r w:rsidRPr="006641E2">
        <w:t xml:space="preserve"> recently announced Missing Middle Housing reforms introduce changes to planning rules focused on allowing low</w:t>
      </w:r>
      <w:r>
        <w:noBreakHyphen/>
      </w:r>
      <w:r w:rsidRPr="006641E2">
        <w:t>rise developments such as townhouses, duplexes and low</w:t>
      </w:r>
      <w:r>
        <w:noBreakHyphen/>
      </w:r>
      <w:r w:rsidRPr="006641E2">
        <w:t xml:space="preserve">rise apartments in most residential land </w:t>
      </w:r>
      <w:r w:rsidRPr="00364DD1">
        <w:rPr>
          <w:rFonts w:cs="Open Sans"/>
        </w:rPr>
        <w:t>(ACT Planning 2026)</w:t>
      </w:r>
      <w:r w:rsidRPr="006641E2">
        <w:t xml:space="preserve">. </w:t>
      </w:r>
    </w:p>
    <w:p w14:paraId="1A783F04" w14:textId="77777777" w:rsidR="000A2D7A" w:rsidRPr="00F82BD9" w:rsidRDefault="000A2D7A">
      <w:pPr>
        <w:pStyle w:val="BodyText"/>
      </w:pPr>
      <w:r>
        <w:t xml:space="preserve">Despite the progress, states and territories are falling short of their </w:t>
      </w:r>
      <w:r w:rsidRPr="000657C8">
        <w:rPr>
          <w:i/>
          <w:iCs/>
        </w:rPr>
        <w:t>National Housing Accord</w:t>
      </w:r>
      <w:r>
        <w:t xml:space="preserve"> targets and there is significant need for more reform.</w:t>
      </w:r>
    </w:p>
    <w:p w14:paraId="1216316E" w14:textId="7E31663E" w:rsidR="000A2D7A" w:rsidRPr="00F82BD9" w:rsidRDefault="000A2D7A">
      <w:pPr>
        <w:pStyle w:val="NoSpacing"/>
      </w:pPr>
    </w:p>
    <w:tbl>
      <w:tblPr>
        <w:tblStyle w:val="Boxtable"/>
        <w:tblW w:w="5000" w:type="pct"/>
        <w:tblLook w:val="04A0" w:firstRow="1" w:lastRow="0" w:firstColumn="1" w:lastColumn="0" w:noHBand="0" w:noVBand="1"/>
      </w:tblPr>
      <w:tblGrid>
        <w:gridCol w:w="9638"/>
      </w:tblGrid>
      <w:tr w:rsidR="000A2D7A" w14:paraId="70B52A8D" w14:textId="77777777">
        <w:trPr>
          <w:tblHeader/>
        </w:trPr>
        <w:tc>
          <w:tcPr>
            <w:tcW w:w="9638" w:type="dxa"/>
            <w:shd w:val="clear" w:color="auto" w:fill="EBEBEB"/>
            <w:tcMar>
              <w:top w:w="170" w:type="dxa"/>
              <w:left w:w="170" w:type="dxa"/>
              <w:bottom w:w="113" w:type="dxa"/>
              <w:right w:w="170" w:type="dxa"/>
            </w:tcMar>
            <w:hideMark/>
          </w:tcPr>
          <w:p w14:paraId="78730C8B" w14:textId="4EB3E156" w:rsidR="000A2D7A" w:rsidRDefault="000A2D7A">
            <w:pPr>
              <w:pStyle w:val="BoxHeading1"/>
            </w:pPr>
            <w:r>
              <w:t xml:space="preserve">Box </w:t>
            </w:r>
            <w:r w:rsidR="00CB06D8">
              <w:rPr>
                <w:noProof/>
              </w:rPr>
              <w:t>2</w:t>
            </w:r>
            <w:r>
              <w:t>.5 – Recent reforms move states towards best practice but could be improved by targeting commercially feasible capacity</w:t>
            </w:r>
          </w:p>
        </w:tc>
      </w:tr>
      <w:tr w:rsidR="000A2D7A" w14:paraId="18F9A1DB" w14:textId="77777777">
        <w:tc>
          <w:tcPr>
            <w:tcW w:w="9638" w:type="dxa"/>
            <w:shd w:val="clear" w:color="auto" w:fill="EBEBEB"/>
            <w:tcMar>
              <w:top w:w="28" w:type="dxa"/>
              <w:left w:w="170" w:type="dxa"/>
              <w:bottom w:w="170" w:type="dxa"/>
              <w:right w:w="170" w:type="dxa"/>
            </w:tcMar>
            <w:hideMark/>
          </w:tcPr>
          <w:p w14:paraId="712E5F60" w14:textId="77777777" w:rsidR="000A2D7A" w:rsidRPr="0013697F" w:rsidRDefault="000A2D7A">
            <w:pPr>
              <w:pStyle w:val="BodyText"/>
            </w:pPr>
            <w:r w:rsidRPr="00904E57">
              <w:t xml:space="preserve">States and territories are in the process of rolling out </w:t>
            </w:r>
            <w:r w:rsidRPr="0082057F">
              <w:t>various reforms to land</w:t>
            </w:r>
            <w:r>
              <w:noBreakHyphen/>
            </w:r>
            <w:r w:rsidRPr="0082057F">
              <w:t xml:space="preserve">use controls to help meet the </w:t>
            </w:r>
            <w:r w:rsidRPr="000657C8">
              <w:rPr>
                <w:i/>
                <w:iCs/>
              </w:rPr>
              <w:t>National Housing Accord’s</w:t>
            </w:r>
            <w:r w:rsidRPr="0082057F">
              <w:t xml:space="preserve"> targets.</w:t>
            </w:r>
            <w:r w:rsidRPr="0013697F">
              <w:t xml:space="preserve"> </w:t>
            </w:r>
          </w:p>
          <w:p w14:paraId="1B0DE555" w14:textId="231FA956" w:rsidR="000A2D7A" w:rsidRDefault="000A2D7A">
            <w:pPr>
              <w:pStyle w:val="BodyText"/>
            </w:pPr>
            <w:r>
              <w:t>One example is Victoria’s Train and Tram Activity Centre Program which allows more mid</w:t>
            </w:r>
            <w:r>
              <w:noBreakHyphen/>
              <w:t xml:space="preserve"> and high</w:t>
            </w:r>
            <w:r>
              <w:noBreakHyphen/>
              <w:t xml:space="preserve">density apartments around selected train and tram stops in Melbourne. </w:t>
            </w:r>
            <w:r w:rsidRPr="00F318F9">
              <w:t xml:space="preserve">The specific controls vary by activity </w:t>
            </w:r>
            <w:proofErr w:type="gramStart"/>
            <w:r w:rsidRPr="00F318F9">
              <w:t>centre</w:t>
            </w:r>
            <w:proofErr w:type="gramEnd"/>
            <w:r w:rsidRPr="00F318F9">
              <w:t xml:space="preserve"> but </w:t>
            </w:r>
            <w:r>
              <w:t>the latest set of activity centres announced (stage 2) generally set maximum building heights</w:t>
            </w:r>
            <w:r w:rsidRPr="00F318F9">
              <w:t xml:space="preserve"> of </w:t>
            </w:r>
            <w:r>
              <w:t>3 to 12</w:t>
            </w:r>
            <w:r w:rsidRPr="00F318F9">
              <w:t xml:space="preserve"> </w:t>
            </w:r>
            <w:proofErr w:type="spellStart"/>
            <w:r w:rsidRPr="00F318F9">
              <w:t>storeys</w:t>
            </w:r>
            <w:proofErr w:type="spellEnd"/>
            <w:r w:rsidRPr="00F318F9">
              <w:t xml:space="preserve"> in activity</w:t>
            </w:r>
            <w:r>
              <w:noBreakHyphen/>
            </w:r>
            <w:r w:rsidRPr="00F318F9">
              <w:t xml:space="preserve">centre cores, </w:t>
            </w:r>
            <w:r>
              <w:t xml:space="preserve">4 </w:t>
            </w:r>
            <w:r w:rsidRPr="00F318F9">
              <w:t xml:space="preserve">to </w:t>
            </w:r>
            <w:r>
              <w:t>6</w:t>
            </w:r>
            <w:r w:rsidRPr="00F318F9">
              <w:t xml:space="preserve"> </w:t>
            </w:r>
            <w:proofErr w:type="spellStart"/>
            <w:r w:rsidRPr="00F318F9">
              <w:t>storeys</w:t>
            </w:r>
            <w:proofErr w:type="spellEnd"/>
            <w:r w:rsidRPr="00F318F9">
              <w:t xml:space="preserve"> in inner catchments, and </w:t>
            </w:r>
            <w:r>
              <w:t>3</w:t>
            </w:r>
            <w:r w:rsidRPr="00F318F9">
              <w:t xml:space="preserve"> to </w:t>
            </w:r>
            <w:r>
              <w:t>4</w:t>
            </w:r>
            <w:r w:rsidRPr="00F318F9">
              <w:t xml:space="preserve"> </w:t>
            </w:r>
            <w:proofErr w:type="spellStart"/>
            <w:r w:rsidRPr="00F318F9">
              <w:t>storeys</w:t>
            </w:r>
            <w:proofErr w:type="spellEnd"/>
            <w:r w:rsidRPr="00F318F9">
              <w:t xml:space="preserve"> in outer catchments, depending on block size</w:t>
            </w:r>
            <w:r>
              <w:t xml:space="preserve"> </w:t>
            </w:r>
            <w:r w:rsidRPr="0013697F">
              <w:t>(Victorian DTP 2026a)</w:t>
            </w:r>
            <w:r w:rsidRPr="00F318F9">
              <w:t xml:space="preserve">. </w:t>
            </w:r>
          </w:p>
          <w:p w14:paraId="7F23A04D" w14:textId="58C75D17" w:rsidR="000A2D7A" w:rsidRDefault="000A2D7A">
            <w:pPr>
              <w:pStyle w:val="BodyText"/>
            </w:pPr>
            <w:r w:rsidRPr="00693119">
              <w:t>The reform moves Victoria closer to best</w:t>
            </w:r>
            <w:r>
              <w:noBreakHyphen/>
            </w:r>
            <w:r w:rsidRPr="00693119">
              <w:t>practice land</w:t>
            </w:r>
            <w:r>
              <w:noBreakHyphen/>
            </w:r>
            <w:r w:rsidRPr="00693119">
              <w:t xml:space="preserve">use regulation by adopting a stronger </w:t>
            </w:r>
            <w:r>
              <w:t>‘</w:t>
            </w:r>
            <w:r w:rsidRPr="00693119">
              <w:t>build mindset</w:t>
            </w:r>
            <w:r>
              <w:t>’ –</w:t>
            </w:r>
            <w:r w:rsidRPr="00693119">
              <w:t xml:space="preserve"> it</w:t>
            </w:r>
            <w:r>
              <w:t xml:space="preserve"> </w:t>
            </w:r>
            <w:r w:rsidRPr="00693119">
              <w:t xml:space="preserve">allows more homes </w:t>
            </w:r>
            <w:r>
              <w:t xml:space="preserve">where people want to live, </w:t>
            </w:r>
            <w:r w:rsidRPr="00693119">
              <w:t xml:space="preserve">near public transport, jobs and services, where the benefits of additional housing are likely to be high </w:t>
            </w:r>
            <w:r w:rsidR="00877EF9" w:rsidRPr="00877EF9">
              <w:rPr>
                <w:rFonts w:cs="Open Sans"/>
              </w:rPr>
              <w:t>(Victorian DTP 2026e)</w:t>
            </w:r>
            <w:r w:rsidRPr="00693119">
              <w:t>. It also better reflects the principle of regulating only where necessary, because it relaxes restrictions on location and built form in areas where higher</w:t>
            </w:r>
            <w:r>
              <w:noBreakHyphen/>
            </w:r>
            <w:r w:rsidRPr="00693119">
              <w:t xml:space="preserve">density housing is more likely to be appropriate. </w:t>
            </w:r>
            <w:r>
              <w:t xml:space="preserve">The reform is expected to increase zoned capacity by 600,000 </w:t>
            </w:r>
            <w:r w:rsidRPr="0013697F">
              <w:t>(Coates et al. 2025, p. 56)</w:t>
            </w:r>
            <w:r>
              <w:t>.</w:t>
            </w:r>
          </w:p>
          <w:p w14:paraId="14C9B38B" w14:textId="5639F684" w:rsidR="000A2D7A" w:rsidRDefault="000A2D7A">
            <w:pPr>
              <w:pStyle w:val="BodyText"/>
            </w:pPr>
            <w:r>
              <w:t xml:space="preserve">However, one of its limitations is that much of this additional capacity is not commercially feasible – only 110,000 dwellings of the additional zoned dwellings can be developed under 2025 conditions </w:t>
            </w:r>
            <w:r w:rsidRPr="0013697F">
              <w:t>(Coates et al. 2025, p. 56)</w:t>
            </w:r>
            <w:r>
              <w:t xml:space="preserve">. </w:t>
            </w:r>
            <w:r w:rsidRPr="00B17FE5">
              <w:t xml:space="preserve">The reform’s impact on feasible supply could be increased by allowing </w:t>
            </w:r>
            <w:r>
              <w:t>6</w:t>
            </w:r>
            <w:r>
              <w:noBreakHyphen/>
            </w:r>
            <w:r w:rsidRPr="00B17FE5">
              <w:t>storey or taller apartments throughout activity</w:t>
            </w:r>
            <w:r>
              <w:noBreakHyphen/>
            </w:r>
            <w:r w:rsidRPr="00B17FE5">
              <w:t xml:space="preserve">centre catchments, since these are more likely to be feasible than </w:t>
            </w:r>
            <w:r>
              <w:t>4</w:t>
            </w:r>
            <w:r>
              <w:noBreakHyphen/>
            </w:r>
            <w:r w:rsidRPr="00B17FE5">
              <w:t xml:space="preserve"> to </w:t>
            </w:r>
            <w:r>
              <w:t>5</w:t>
            </w:r>
            <w:r>
              <w:noBreakHyphen/>
            </w:r>
            <w:r w:rsidRPr="00B17FE5">
              <w:t>storey apartments</w:t>
            </w:r>
            <w:r>
              <w:t xml:space="preserve"> </w:t>
            </w:r>
            <w:r w:rsidRPr="00241886">
              <w:rPr>
                <w:rFonts w:cs="Open Sans"/>
              </w:rPr>
              <w:t>(Coates et al. 2025, p. 60)</w:t>
            </w:r>
            <w:r w:rsidRPr="00B17FE5">
              <w:t>. Relaxing large</w:t>
            </w:r>
            <w:r>
              <w:noBreakHyphen/>
            </w:r>
            <w:r w:rsidRPr="00B17FE5">
              <w:t xml:space="preserve">site thresholds could also allow smaller </w:t>
            </w:r>
            <w:r>
              <w:t>parcels of land</w:t>
            </w:r>
            <w:r w:rsidRPr="00B17FE5">
              <w:t xml:space="preserve"> to use the higher controls and increase commercially feasible capacity </w:t>
            </w:r>
            <w:r w:rsidRPr="001B6896">
              <w:rPr>
                <w:rFonts w:cs="Open Sans"/>
              </w:rPr>
              <w:t>(Coates et al. 2025, p. 57; YIMBY Melbourne 2026a)</w:t>
            </w:r>
            <w:r w:rsidRPr="00D2590C">
              <w:t>.</w:t>
            </w:r>
          </w:p>
        </w:tc>
      </w:tr>
      <w:tr w:rsidR="000A2D7A" w14:paraId="466ADFD3" w14:textId="77777777">
        <w:trPr>
          <w:hidden/>
        </w:trPr>
        <w:tc>
          <w:tcPr>
            <w:tcW w:w="9638" w:type="dxa"/>
            <w:shd w:val="clear" w:color="auto" w:fill="auto"/>
            <w:tcMar>
              <w:top w:w="0" w:type="dxa"/>
              <w:left w:w="170" w:type="dxa"/>
              <w:bottom w:w="0" w:type="dxa"/>
              <w:right w:w="170" w:type="dxa"/>
            </w:tcMar>
          </w:tcPr>
          <w:p w14:paraId="3BC3178A" w14:textId="482C53A1" w:rsidR="000A2D7A" w:rsidRPr="00465191" w:rsidRDefault="000A2D7A">
            <w:pPr>
              <w:pStyle w:val="BodyText"/>
              <w:spacing w:before="0" w:after="0" w:line="80" w:lineRule="atLeast"/>
              <w:rPr>
                <w:smallCaps/>
                <w:vanish/>
              </w:rPr>
            </w:pPr>
          </w:p>
        </w:tc>
      </w:tr>
    </w:tbl>
    <w:p w14:paraId="0D198190" w14:textId="77777777" w:rsidR="000A2D7A" w:rsidRDefault="000A2D7A">
      <w:pPr>
        <w:pStyle w:val="Heading3"/>
      </w:pPr>
      <w:r>
        <w:t>Priority land</w:t>
      </w:r>
      <w:r>
        <w:noBreakHyphen/>
        <w:t xml:space="preserve">use control reforms </w:t>
      </w:r>
    </w:p>
    <w:p w14:paraId="268C37F9" w14:textId="77777777" w:rsidR="000A2D7A" w:rsidRDefault="000A2D7A">
      <w:pPr>
        <w:pStyle w:val="BodyText"/>
      </w:pPr>
      <w:r>
        <w:t xml:space="preserve">Our reform directions are based on our review of the existing literature and initial consultation and should be treated as preliminary. We seek feedback on these directions, noting that further quantitative work and consultation are required to inform our final set of priority reforms for each jurisdiction. </w:t>
      </w:r>
      <w:proofErr w:type="gramStart"/>
      <w:r>
        <w:t>In particular, we</w:t>
      </w:r>
      <w:proofErr w:type="gramEnd"/>
      <w:r>
        <w:t xml:space="preserve"> will need to determine how and where reforms should be implemented to </w:t>
      </w:r>
      <w:r>
        <w:lastRenderedPageBreak/>
        <w:t>best manage any potential negative externalities, market failure and infrastructure needs. This includes the role of strategic planning in supporting reforms to land</w:t>
      </w:r>
      <w:r>
        <w:noBreakHyphen/>
        <w:t xml:space="preserve">use controls. </w:t>
      </w:r>
    </w:p>
    <w:p w14:paraId="6C4C09F2" w14:textId="77777777" w:rsidR="000A2D7A" w:rsidRDefault="000A2D7A">
      <w:pPr>
        <w:pStyle w:val="BodyText"/>
      </w:pPr>
      <w:r>
        <w:t xml:space="preserve">Moreover, while our interim report provides general reform directions at the national level, </w:t>
      </w:r>
      <w:r w:rsidRPr="008A1F07">
        <w:t>there may be different and more effective ways to increase</w:t>
      </w:r>
      <w:r>
        <w:t xml:space="preserve"> commercially </w:t>
      </w:r>
      <w:r w:rsidRPr="008A1F07">
        <w:t xml:space="preserve">feasible capacity </w:t>
      </w:r>
      <w:r>
        <w:t xml:space="preserve">in specific locations, </w:t>
      </w:r>
      <w:r w:rsidRPr="008A1F07">
        <w:t xml:space="preserve">depending on </w:t>
      </w:r>
      <w:r>
        <w:t xml:space="preserve">local housing markets and housing regulatory systems. Our final report will provide recommendations tailored to jurisdictions. </w:t>
      </w:r>
    </w:p>
    <w:p w14:paraId="3C26757C" w14:textId="77777777" w:rsidR="000A2D7A" w:rsidRPr="009C6DEA" w:rsidRDefault="000A2D7A">
      <w:pPr>
        <w:pStyle w:val="Heading4"/>
      </w:pPr>
      <w:r>
        <w:t>How we have identified reform directions</w:t>
      </w:r>
    </w:p>
    <w:p w14:paraId="2A75F788" w14:textId="77777777" w:rsidR="000A2D7A" w:rsidRDefault="000A2D7A">
      <w:pPr>
        <w:pStyle w:val="BodyText"/>
      </w:pPr>
      <w:r>
        <w:t>We have prioritised</w:t>
      </w:r>
      <w:r w:rsidRPr="006E2DA5">
        <w:t xml:space="preserve"> reforms </w:t>
      </w:r>
      <w:r>
        <w:t>with the strongest evidence of delivering relatively large increases in housing supply</w:t>
      </w:r>
      <w:r w:rsidRPr="006E2DA5">
        <w:t xml:space="preserve">. This evidence </w:t>
      </w:r>
      <w:r>
        <w:t>comes</w:t>
      </w:r>
      <w:r w:rsidRPr="006E2DA5">
        <w:t xml:space="preserve"> from estimates of zoned and commercially feasible capacity, or from quasi</w:t>
      </w:r>
      <w:r>
        <w:noBreakHyphen/>
      </w:r>
      <w:r w:rsidRPr="006E2DA5">
        <w:t>experimental studies of actual supply responses in Australia or New Zealand.</w:t>
      </w:r>
      <w:r>
        <w:t xml:space="preserve"> </w:t>
      </w:r>
    </w:p>
    <w:p w14:paraId="0AA5DBF3" w14:textId="535F1997" w:rsidR="000A2D7A" w:rsidRDefault="000A2D7A">
      <w:pPr>
        <w:pStyle w:val="BodyText"/>
      </w:pPr>
      <w:r>
        <w:t>Reform packages should target broad upzoning across all or most residential areas.</w:t>
      </w:r>
      <w:r w:rsidRPr="0036003D">
        <w:t xml:space="preserve"> </w:t>
      </w:r>
      <w:r>
        <w:t>Evidence suggests that b</w:t>
      </w:r>
      <w:r w:rsidRPr="00B11A10">
        <w:t xml:space="preserve">road upzoning is more likely to improve affordability </w:t>
      </w:r>
      <w:r>
        <w:t>as it generates a</w:t>
      </w:r>
      <w:r w:rsidRPr="00B11A10">
        <w:t xml:space="preserve"> large</w:t>
      </w:r>
      <w:r>
        <w:t>r</w:t>
      </w:r>
      <w:r w:rsidRPr="00B11A10">
        <w:t xml:space="preserve"> supply response</w:t>
      </w:r>
      <w:r>
        <w:t xml:space="preserve"> (box 2.1). </w:t>
      </w:r>
      <w:r w:rsidRPr="00594E69">
        <w:t xml:space="preserve">Since many </w:t>
      </w:r>
      <w:proofErr w:type="gramStart"/>
      <w:r w:rsidRPr="00594E69">
        <w:t>upzoned</w:t>
      </w:r>
      <w:proofErr w:type="gramEnd"/>
      <w:r w:rsidRPr="00594E69">
        <w:t xml:space="preserve"> sites may not be feasible for development, the actual short</w:t>
      </w:r>
      <w:r>
        <w:noBreakHyphen/>
      </w:r>
      <w:r w:rsidRPr="00594E69">
        <w:t>run response is often smaller than implied by the scale of the zoning change</w:t>
      </w:r>
      <w:r>
        <w:t xml:space="preserve"> </w:t>
      </w:r>
      <w:r w:rsidRPr="00D35F75">
        <w:rPr>
          <w:rFonts w:cs="Open Sans"/>
        </w:rPr>
        <w:t>(Coates et al. 2025, p. 35; Maltman and Gibbons, sub</w:t>
      </w:r>
      <w:r>
        <w:rPr>
          <w:rFonts w:cs="Open Sans"/>
        </w:rPr>
        <w:t>.</w:t>
      </w:r>
      <w:r w:rsidRPr="00D35F75">
        <w:rPr>
          <w:rFonts w:cs="Open Sans"/>
        </w:rPr>
        <w:t xml:space="preserve"> 41, p</w:t>
      </w:r>
      <w:r>
        <w:rPr>
          <w:rFonts w:cs="Open Sans"/>
        </w:rPr>
        <w:t>p</w:t>
      </w:r>
      <w:r w:rsidRPr="00D35F75">
        <w:rPr>
          <w:rFonts w:cs="Open Sans"/>
        </w:rPr>
        <w:t>. 22-23)</w:t>
      </w:r>
      <w:r w:rsidRPr="00594E69">
        <w:t>.</w:t>
      </w:r>
      <w:r>
        <w:t xml:space="preserve"> </w:t>
      </w:r>
    </w:p>
    <w:p w14:paraId="17F3ADF4" w14:textId="77777777" w:rsidR="000A2D7A" w:rsidRPr="00EB6C28" w:rsidRDefault="000A2D7A">
      <w:pPr>
        <w:pStyle w:val="BodyText"/>
        <w:rPr>
          <w:spacing w:val="-4"/>
        </w:rPr>
      </w:pPr>
      <w:r w:rsidRPr="00EB6C28">
        <w:rPr>
          <w:spacing w:val="-4"/>
        </w:rPr>
        <w:t>In practice, this means pairing targeted upzoning, such as reforms allowing mid</w:t>
      </w:r>
      <w:r w:rsidRPr="00EB6C28">
        <w:rPr>
          <w:spacing w:val="-4"/>
        </w:rPr>
        <w:noBreakHyphen/>
        <w:t xml:space="preserve"> or high</w:t>
      </w:r>
      <w:r w:rsidRPr="00EB6C28">
        <w:rPr>
          <w:spacing w:val="-4"/>
        </w:rPr>
        <w:noBreakHyphen/>
        <w:t>rise apartments in high</w:t>
      </w:r>
      <w:r w:rsidRPr="00EB6C28">
        <w:rPr>
          <w:spacing w:val="-4"/>
        </w:rPr>
        <w:noBreakHyphen/>
        <w:t xml:space="preserve">demand areas, with broader upzoning across residential areas. Strategic planning is needed to support this, as well as enabling reforms that ensure other controls do not limit density. It will also ensure that higher-density housing is supported by transport, infrastructure and other urban amenity needs. </w:t>
      </w:r>
    </w:p>
    <w:p w14:paraId="7A6537B6" w14:textId="77777777" w:rsidR="000A2D7A" w:rsidRDefault="000A2D7A">
      <w:pPr>
        <w:pStyle w:val="Heading4"/>
      </w:pPr>
      <w:r>
        <w:t>Reforms to unlock the biggest</w:t>
      </w:r>
      <w:r w:rsidDel="00424253">
        <w:t xml:space="preserve"> </w:t>
      </w:r>
      <w:r>
        <w:t xml:space="preserve">increases in commercially feasible supply </w:t>
      </w:r>
    </w:p>
    <w:p w14:paraId="18174BAA" w14:textId="77777777" w:rsidR="000A2D7A" w:rsidRDefault="000A2D7A">
      <w:pPr>
        <w:pStyle w:val="Heading5"/>
      </w:pPr>
      <w:r w:rsidRPr="0008600B">
        <w:t xml:space="preserve">Allow up to </w:t>
      </w:r>
      <w:r>
        <w:t>3</w:t>
      </w:r>
      <w:r>
        <w:noBreakHyphen/>
      </w:r>
      <w:r w:rsidRPr="0008600B">
        <w:t>storey developments across most residential land</w:t>
      </w:r>
      <w:r>
        <w:t xml:space="preserve"> </w:t>
      </w:r>
    </w:p>
    <w:p w14:paraId="50BE66B0" w14:textId="77777777" w:rsidR="000A2D7A" w:rsidRDefault="000A2D7A">
      <w:pPr>
        <w:pStyle w:val="BodyText"/>
      </w:pPr>
      <w:r>
        <w:t>States should allow up to 3</w:t>
      </w:r>
      <w:r>
        <w:noBreakHyphen/>
        <w:t>storey developments across all residential land. Exceptions may be appropriate for areas with environmental protection or hazard</w:t>
      </w:r>
      <w:r>
        <w:noBreakHyphen/>
        <w:t>related overlays or heritage listed buildings, but exceptions should be supported by benefit</w:t>
      </w:r>
      <w:r>
        <w:noBreakHyphen/>
        <w:t xml:space="preserve">cost analysis to ensure the benefits of the exemptions exceed the costs of restricting housing supply. </w:t>
      </w:r>
    </w:p>
    <w:p w14:paraId="3376550A" w14:textId="69C762A0" w:rsidR="000A2D7A" w:rsidRDefault="000A2D7A">
      <w:pPr>
        <w:pStyle w:val="BodyText"/>
      </w:pPr>
      <w:r w:rsidRPr="00831305">
        <w:t>Analysis indicates that this reform would substantially increase zoned capacity across all major cities</w:t>
      </w:r>
      <w:r>
        <w:t xml:space="preserve"> </w:t>
      </w:r>
      <w:r w:rsidRPr="00831305">
        <w:rPr>
          <w:rFonts w:cs="Open Sans"/>
        </w:rPr>
        <w:t>(YIMBY Melbourne 2026b)</w:t>
      </w:r>
      <w:r w:rsidRPr="00831305">
        <w:t>, and that its effect on commercially feasible zoned capacity in Sydney and Melbourne is large relative to other reforms</w:t>
      </w:r>
      <w:r>
        <w:t xml:space="preserve"> </w:t>
      </w:r>
      <w:r w:rsidRPr="00664FAA">
        <w:rPr>
          <w:rFonts w:cs="Open Sans"/>
        </w:rPr>
        <w:t>(Coates 2025, pp. 51–52, 60)</w:t>
      </w:r>
      <w:r>
        <w:t xml:space="preserve">. This is supported by preliminary analysis by the PC on zoned capacity in Melbourne. </w:t>
      </w:r>
      <w:r w:rsidRPr="00E644C7">
        <w:t>Moreover, multiple causal studies show that Auckland’s broad</w:t>
      </w:r>
      <w:r w:rsidRPr="00434D89">
        <w:t xml:space="preserve"> residential </w:t>
      </w:r>
      <w:r w:rsidRPr="00E644C7">
        <w:t>upzoning, which largely enabled</w:t>
      </w:r>
      <w:r w:rsidRPr="00434D89">
        <w:t xml:space="preserve"> medium</w:t>
      </w:r>
      <w:r>
        <w:noBreakHyphen/>
      </w:r>
      <w:r w:rsidRPr="00434D89">
        <w:t>density housing</w:t>
      </w:r>
      <w:r w:rsidRPr="00E644C7">
        <w:t xml:space="preserve"> such as</w:t>
      </w:r>
      <w:r w:rsidRPr="00434D89">
        <w:t xml:space="preserve"> townhouses</w:t>
      </w:r>
      <w:r>
        <w:t xml:space="preserve"> and terrace houses</w:t>
      </w:r>
      <w:r w:rsidRPr="00E644C7">
        <w:t>,</w:t>
      </w:r>
      <w:r>
        <w:t xml:space="preserve"> led to a significant increase in dwelling approvals. </w:t>
      </w:r>
    </w:p>
    <w:p w14:paraId="5DA93813" w14:textId="483C4838" w:rsidR="000A2D7A" w:rsidRDefault="000A2D7A">
      <w:pPr>
        <w:pStyle w:val="NoSpacing"/>
      </w:pPr>
    </w:p>
    <w:tbl>
      <w:tblPr>
        <w:tblStyle w:val="Texttable-Paleblue"/>
        <w:tblW w:w="5000" w:type="pct"/>
        <w:tblLook w:val="04A0" w:firstRow="1" w:lastRow="0" w:firstColumn="1" w:lastColumn="0" w:noHBand="0" w:noVBand="1"/>
      </w:tblPr>
      <w:tblGrid>
        <w:gridCol w:w="713"/>
        <w:gridCol w:w="8925"/>
      </w:tblGrid>
      <w:tr w:rsidR="000A2D7A" w14:paraId="3D88CEAD" w14:textId="77777777">
        <w:trPr>
          <w:tblHeader/>
        </w:trPr>
        <w:tc>
          <w:tcPr>
            <w:tcW w:w="709" w:type="dxa"/>
            <w:shd w:val="clear" w:color="auto" w:fill="E7F6FD"/>
            <w:tcMar>
              <w:top w:w="0" w:type="dxa"/>
              <w:bottom w:w="0" w:type="dxa"/>
            </w:tcMar>
            <w:vAlign w:val="center"/>
          </w:tcPr>
          <w:p w14:paraId="3FD909C5" w14:textId="77777777" w:rsidR="000A2D7A" w:rsidRDefault="000A2D7A">
            <w:pPr>
              <w:keepLines/>
              <w:jc w:val="center"/>
            </w:pPr>
            <w:r w:rsidRPr="00A51374">
              <w:rPr>
                <w:noProof/>
              </w:rPr>
              <w:drawing>
                <wp:inline distT="0" distB="0" distL="0" distR="0" wp14:anchorId="7EB6076C" wp14:editId="2847B0D9">
                  <wp:extent cx="288000" cy="288000"/>
                  <wp:effectExtent l="0" t="0" r="0" b="0"/>
                  <wp:docPr id="880858535" name="Graphic 8808585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04588E61" w14:textId="0F64F770" w:rsidR="000A2D7A" w:rsidRPr="00715040" w:rsidRDefault="000A2D7A">
            <w:pPr>
              <w:pStyle w:val="FindingRecRequesttitle"/>
            </w:pPr>
            <w:r w:rsidRPr="00715040">
              <w:t>Re</w:t>
            </w:r>
            <w:r>
              <w:t>form direction</w:t>
            </w:r>
            <w:r w:rsidRPr="00715040">
              <w:t xml:space="preserve"> </w:t>
            </w:r>
            <w:r w:rsidR="00CB06D8">
              <w:rPr>
                <w:noProof/>
              </w:rPr>
              <w:t>2</w:t>
            </w:r>
            <w:r w:rsidRPr="00715040">
              <w:t>.</w:t>
            </w:r>
            <w:r w:rsidR="00CB06D8">
              <w:rPr>
                <w:noProof/>
              </w:rPr>
              <w:t>1</w:t>
            </w:r>
          </w:p>
          <w:p w14:paraId="545AE179" w14:textId="77777777" w:rsidR="000A2D7A" w:rsidRPr="00715040" w:rsidRDefault="000A2D7A">
            <w:pPr>
              <w:pStyle w:val="FindingRecRequesttitle"/>
            </w:pPr>
            <w:r w:rsidRPr="0008600B">
              <w:t xml:space="preserve">Allow up to </w:t>
            </w:r>
            <w:r>
              <w:t>3</w:t>
            </w:r>
            <w:r>
              <w:noBreakHyphen/>
            </w:r>
            <w:r w:rsidRPr="0008600B">
              <w:t>storey developments across most residential land</w:t>
            </w:r>
          </w:p>
        </w:tc>
      </w:tr>
      <w:tr w:rsidR="000A2D7A" w14:paraId="3B21091F" w14:textId="77777777">
        <w:tc>
          <w:tcPr>
            <w:tcW w:w="9583" w:type="dxa"/>
            <w:gridSpan w:val="2"/>
            <w:shd w:val="clear" w:color="auto" w:fill="E7F6FD"/>
            <w:tcMar>
              <w:top w:w="0" w:type="dxa"/>
            </w:tcMar>
          </w:tcPr>
          <w:p w14:paraId="446D9605" w14:textId="77777777" w:rsidR="000A2D7A" w:rsidRPr="00767EAE" w:rsidRDefault="000A2D7A">
            <w:pPr>
              <w:pStyle w:val="BodyText"/>
            </w:pPr>
            <w:r>
              <w:t>State and territory governments should allow up to 3</w:t>
            </w:r>
            <w:r>
              <w:noBreakHyphen/>
              <w:t>storey developments across all residential land, with exceptions made for areas with environmental protection, hazard</w:t>
            </w:r>
            <w:r>
              <w:noBreakHyphen/>
              <w:t>related overlays or heritage listed buildings only where the benefits of exceptions outweigh the costs.</w:t>
            </w:r>
          </w:p>
        </w:tc>
      </w:tr>
      <w:tr w:rsidR="000A2D7A" w14:paraId="0E42E8FF" w14:textId="77777777">
        <w:tc>
          <w:tcPr>
            <w:tcW w:w="9583" w:type="dxa"/>
            <w:gridSpan w:val="2"/>
            <w:shd w:val="clear" w:color="auto" w:fill="auto"/>
            <w:tcMar>
              <w:top w:w="0" w:type="dxa"/>
              <w:bottom w:w="0" w:type="dxa"/>
            </w:tcMar>
          </w:tcPr>
          <w:p w14:paraId="7D67B2CA" w14:textId="4BAB6356" w:rsidR="000A2D7A" w:rsidRPr="007E0EA8" w:rsidRDefault="000A2D7A">
            <w:pPr>
              <w:pStyle w:val="NoSpacing"/>
              <w:spacing w:line="200" w:lineRule="exact"/>
            </w:pPr>
          </w:p>
        </w:tc>
      </w:tr>
    </w:tbl>
    <w:p w14:paraId="37F12A9F" w14:textId="77777777" w:rsidR="000A2D7A" w:rsidRDefault="000A2D7A">
      <w:pPr>
        <w:pStyle w:val="Heading5"/>
      </w:pPr>
      <w:r w:rsidRPr="0008600B">
        <w:lastRenderedPageBreak/>
        <w:t>Allow mid</w:t>
      </w:r>
      <w:r>
        <w:noBreakHyphen/>
      </w:r>
      <w:r w:rsidRPr="0008600B">
        <w:t>rise or high</w:t>
      </w:r>
      <w:r>
        <w:noBreakHyphen/>
      </w:r>
      <w:r w:rsidRPr="0008600B">
        <w:t>rise apartments in high</w:t>
      </w:r>
      <w:r>
        <w:noBreakHyphen/>
      </w:r>
      <w:r w:rsidRPr="0008600B">
        <w:t>demand areas</w:t>
      </w:r>
      <w:r>
        <w:rPr>
          <w:bCs/>
        </w:rPr>
        <w:t xml:space="preserve"> </w:t>
      </w:r>
    </w:p>
    <w:p w14:paraId="39FCE124" w14:textId="47AE98AD" w:rsidR="000A2D7A" w:rsidRDefault="000A2D7A">
      <w:pPr>
        <w:pStyle w:val="BodyText"/>
      </w:pPr>
      <w:r>
        <w:t>Other high</w:t>
      </w:r>
      <w:r>
        <w:noBreakHyphen/>
        <w:t>priority reforms include allowing up to mid</w:t>
      </w:r>
      <w:r>
        <w:noBreakHyphen/>
        <w:t>rise (4</w:t>
      </w:r>
      <w:r>
        <w:noBreakHyphen/>
        <w:t>9 storeys) and/or high</w:t>
      </w:r>
      <w:r>
        <w:noBreakHyphen/>
        <w:t>rise (10+ storeys) apartments in high</w:t>
      </w:r>
      <w:r>
        <w:noBreakHyphen/>
        <w:t xml:space="preserve">demand areas </w:t>
      </w:r>
      <w:r w:rsidRPr="00F7272D">
        <w:t xml:space="preserve">with existing or readily expandable </w:t>
      </w:r>
      <w:r>
        <w:t xml:space="preserve">transportation </w:t>
      </w:r>
      <w:r w:rsidRPr="00F7272D">
        <w:t>infrastructure capacity</w:t>
      </w:r>
      <w:r>
        <w:t xml:space="preserve">. </w:t>
      </w:r>
      <w:r w:rsidRPr="009E0993">
        <w:t xml:space="preserve">These reforms </w:t>
      </w:r>
      <w:r>
        <w:t>would allow more mid</w:t>
      </w:r>
      <w:r>
        <w:noBreakHyphen/>
        <w:t xml:space="preserve"> and high</w:t>
      </w:r>
      <w:r>
        <w:noBreakHyphen/>
        <w:t xml:space="preserve">rise apartments to be built, but what is </w:t>
      </w:r>
      <w:proofErr w:type="gramStart"/>
      <w:r>
        <w:t>actually built</w:t>
      </w:r>
      <w:proofErr w:type="gramEnd"/>
      <w:r>
        <w:t xml:space="preserve"> will depend on market feasibility. </w:t>
      </w:r>
      <w:r w:rsidRPr="00EC670B">
        <w:t xml:space="preserve">Coates et al. </w:t>
      </w:r>
      <w:r>
        <w:t>(2025) modelled different scenarios that involved allowing 6 or more storeys in high-demand areas in Melbourne and Sydney, and found that they significantly increase zoned capacity, with high</w:t>
      </w:r>
      <w:r>
        <w:noBreakHyphen/>
        <w:t>rise apartments presenting the greatest uplift.</w:t>
      </w:r>
    </w:p>
    <w:p w14:paraId="3555F194" w14:textId="3C42890D" w:rsidR="000A2D7A" w:rsidRDefault="000A2D7A">
      <w:pPr>
        <w:pStyle w:val="BodyText"/>
      </w:pPr>
      <w:r>
        <w:t xml:space="preserve">As a general principle, governments should err towards allowing taller buildings, unless the negative externality from doing so outweighs the benefits. </w:t>
      </w:r>
      <w:r w:rsidRPr="00EC670B">
        <w:t>Allowing taller buildings would give the market greater flexibility to determine the most feasible dwelling types and deliver housing that reflects people’s preferences</w:t>
      </w:r>
      <w:r>
        <w:t>.</w:t>
      </w:r>
      <w:r w:rsidRPr="00EC670B">
        <w:t xml:space="preserve"> </w:t>
      </w:r>
      <w:r>
        <w:t>In many areas where people want to live, the externalities from allowing high</w:t>
      </w:r>
      <w:r>
        <w:noBreakHyphen/>
        <w:t xml:space="preserve">rise development are likely to be small relative to the benefits of additional homes, particularly where impacts on privacy, traffic and infrastructure can be managed through design standards and strategic planning. </w:t>
      </w:r>
      <w:r w:rsidRPr="00EC670B">
        <w:t xml:space="preserve">This is consistent with Tulip and Lanigan </w:t>
      </w:r>
      <w:r w:rsidRPr="00A75280">
        <w:t>(2021)</w:t>
      </w:r>
      <w:r>
        <w:t xml:space="preserve"> who find no discernible decrease in nearby dwelling prices from several high</w:t>
      </w:r>
      <w:r>
        <w:noBreakHyphen/>
        <w:t xml:space="preserve">rise developments in Sydney and Melbourne, suggesting that concerns about damage to neighbourhood amenity may be overstated. </w:t>
      </w:r>
    </w:p>
    <w:p w14:paraId="3D2189E4" w14:textId="1375C2EF" w:rsidR="000A2D7A" w:rsidRDefault="000A2D7A">
      <w:pPr>
        <w:pStyle w:val="NoSpacing"/>
      </w:pPr>
    </w:p>
    <w:tbl>
      <w:tblPr>
        <w:tblStyle w:val="Texttable-Paleblue"/>
        <w:tblW w:w="5000" w:type="pct"/>
        <w:tblLook w:val="04A0" w:firstRow="1" w:lastRow="0" w:firstColumn="1" w:lastColumn="0" w:noHBand="0" w:noVBand="1"/>
      </w:tblPr>
      <w:tblGrid>
        <w:gridCol w:w="713"/>
        <w:gridCol w:w="8925"/>
      </w:tblGrid>
      <w:tr w:rsidR="000A2D7A" w14:paraId="4090B08D" w14:textId="77777777">
        <w:trPr>
          <w:tblHeader/>
        </w:trPr>
        <w:tc>
          <w:tcPr>
            <w:tcW w:w="709" w:type="dxa"/>
            <w:shd w:val="clear" w:color="auto" w:fill="E7F6FD"/>
            <w:tcMar>
              <w:top w:w="0" w:type="dxa"/>
              <w:bottom w:w="0" w:type="dxa"/>
            </w:tcMar>
            <w:vAlign w:val="center"/>
          </w:tcPr>
          <w:p w14:paraId="4AB3C279" w14:textId="77777777" w:rsidR="000A2D7A" w:rsidRDefault="000A2D7A">
            <w:pPr>
              <w:keepLines/>
              <w:jc w:val="center"/>
            </w:pPr>
            <w:r w:rsidRPr="00A51374">
              <w:rPr>
                <w:noProof/>
              </w:rPr>
              <w:drawing>
                <wp:inline distT="0" distB="0" distL="0" distR="0" wp14:anchorId="61583CFC" wp14:editId="11288CAE">
                  <wp:extent cx="288000" cy="288000"/>
                  <wp:effectExtent l="0" t="0" r="0" b="0"/>
                  <wp:docPr id="2022981189" name="Graphic 2022981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6D388335" w14:textId="60CE7612" w:rsidR="000A2D7A" w:rsidRPr="00715040" w:rsidRDefault="000A2D7A">
            <w:pPr>
              <w:pStyle w:val="FindingRecRequesttitle"/>
            </w:pPr>
            <w:r w:rsidRPr="00715040">
              <w:t>Re</w:t>
            </w:r>
            <w:r>
              <w:t>form direction</w:t>
            </w:r>
            <w:r w:rsidRPr="00715040">
              <w:t xml:space="preserve"> </w:t>
            </w:r>
            <w:r w:rsidR="00CB06D8">
              <w:rPr>
                <w:noProof/>
              </w:rPr>
              <w:t>2</w:t>
            </w:r>
            <w:r w:rsidRPr="00715040">
              <w:t>.</w:t>
            </w:r>
            <w:r w:rsidR="00CB06D8">
              <w:rPr>
                <w:noProof/>
              </w:rPr>
              <w:t>2</w:t>
            </w:r>
          </w:p>
          <w:p w14:paraId="2C0E6DA2" w14:textId="77777777" w:rsidR="000A2D7A" w:rsidRPr="00715040" w:rsidRDefault="000A2D7A">
            <w:pPr>
              <w:pStyle w:val="FindingRecRequesttitle"/>
            </w:pPr>
            <w:r w:rsidRPr="0008600B">
              <w:t>Allow mid</w:t>
            </w:r>
            <w:r>
              <w:noBreakHyphen/>
            </w:r>
            <w:r w:rsidRPr="0008600B">
              <w:t>rise or high</w:t>
            </w:r>
            <w:r>
              <w:noBreakHyphen/>
            </w:r>
            <w:r w:rsidRPr="0008600B">
              <w:t>rise apartments in high</w:t>
            </w:r>
            <w:r>
              <w:noBreakHyphen/>
            </w:r>
            <w:r w:rsidRPr="0008600B">
              <w:t>demand areas</w:t>
            </w:r>
            <w:r>
              <w:rPr>
                <w:bCs/>
              </w:rPr>
              <w:t xml:space="preserve"> </w:t>
            </w:r>
          </w:p>
        </w:tc>
      </w:tr>
      <w:tr w:rsidR="000A2D7A" w14:paraId="530E8F2F" w14:textId="77777777">
        <w:tc>
          <w:tcPr>
            <w:tcW w:w="9583" w:type="dxa"/>
            <w:gridSpan w:val="2"/>
            <w:shd w:val="clear" w:color="auto" w:fill="E7F6FD"/>
            <w:tcMar>
              <w:top w:w="0" w:type="dxa"/>
            </w:tcMar>
          </w:tcPr>
          <w:p w14:paraId="09D1DCC1" w14:textId="35F4FEFA" w:rsidR="000A2D7A" w:rsidRPr="00767EAE" w:rsidRDefault="000A2D7A">
            <w:pPr>
              <w:pStyle w:val="BodyText"/>
            </w:pPr>
            <w:r>
              <w:t>State, territory and local governments should update planning schemes to allow mid</w:t>
            </w:r>
            <w:r>
              <w:noBreakHyphen/>
              <w:t xml:space="preserve">rise </w:t>
            </w:r>
            <w:r w:rsidR="00DE05E7">
              <w:br/>
            </w:r>
            <w:r>
              <w:t>(</w:t>
            </w:r>
            <w:r w:rsidRPr="00F11DB0">
              <w:t>4</w:t>
            </w:r>
            <w:r w:rsidR="00DE05E7">
              <w:t>–</w:t>
            </w:r>
            <w:r w:rsidRPr="00F11DB0">
              <w:t>9 storeys</w:t>
            </w:r>
            <w:r>
              <w:t>) and/or high</w:t>
            </w:r>
            <w:r>
              <w:noBreakHyphen/>
              <w:t>rise (10+ storeys) apartments in high</w:t>
            </w:r>
            <w:r>
              <w:noBreakHyphen/>
              <w:t xml:space="preserve">demand areas </w:t>
            </w:r>
            <w:r w:rsidRPr="00F7272D">
              <w:t xml:space="preserve">with existing or readily expandable </w:t>
            </w:r>
            <w:r>
              <w:t>transportation infrastructure. This will require changes to a variety of land</w:t>
            </w:r>
            <w:r>
              <w:noBreakHyphen/>
              <w:t xml:space="preserve">use controls which will vary by local government area and/or state and should be implemented in conjunction with reform direction 2.6. </w:t>
            </w:r>
          </w:p>
        </w:tc>
      </w:tr>
      <w:tr w:rsidR="000A2D7A" w14:paraId="0F2B7C30" w14:textId="77777777">
        <w:tc>
          <w:tcPr>
            <w:tcW w:w="9583" w:type="dxa"/>
            <w:gridSpan w:val="2"/>
            <w:shd w:val="clear" w:color="auto" w:fill="auto"/>
            <w:tcMar>
              <w:top w:w="0" w:type="dxa"/>
              <w:bottom w:w="0" w:type="dxa"/>
            </w:tcMar>
          </w:tcPr>
          <w:p w14:paraId="7097EB51" w14:textId="27C40AD1" w:rsidR="000A2D7A" w:rsidRPr="007E0EA8" w:rsidRDefault="000A2D7A">
            <w:pPr>
              <w:pStyle w:val="NoSpacing"/>
              <w:spacing w:line="200" w:lineRule="exact"/>
            </w:pPr>
          </w:p>
        </w:tc>
      </w:tr>
    </w:tbl>
    <w:p w14:paraId="1247F75C" w14:textId="77777777" w:rsidR="000A2D7A" w:rsidRDefault="000A2D7A">
      <w:pPr>
        <w:pStyle w:val="Heading5"/>
      </w:pPr>
      <w:r w:rsidRPr="0008600B">
        <w:t xml:space="preserve">Reduce </w:t>
      </w:r>
      <w:r>
        <w:t xml:space="preserve">or remove </w:t>
      </w:r>
      <w:r w:rsidRPr="0008600B">
        <w:t>minimum lot size requirements</w:t>
      </w:r>
    </w:p>
    <w:p w14:paraId="6DE9478E" w14:textId="1ACAB5C4" w:rsidR="000A2D7A" w:rsidRDefault="000A2D7A">
      <w:pPr>
        <w:pStyle w:val="BodyText"/>
      </w:pPr>
      <w:r>
        <w:t xml:space="preserve">Reducing or removing minimum lot size requirements will likely help facilitate higher-density development, by allowing for subdivision. Early evidence from Adelaide suggests this could significantly increase supply (section 2.2). Moreover, </w:t>
      </w:r>
      <w:r w:rsidRPr="000657C8">
        <w:t xml:space="preserve">there is precedent for not regulating minimum lot sizes </w:t>
      </w:r>
      <w:r w:rsidRPr="000657C8">
        <w:rPr>
          <w:rFonts w:hint="cs"/>
        </w:rPr>
        <w:t>–</w:t>
      </w:r>
      <w:r w:rsidRPr="000657C8">
        <w:t xml:space="preserve"> most Victorian residential zones do not regulate minimum lot sizes, although other built</w:t>
      </w:r>
      <w:r>
        <w:noBreakHyphen/>
      </w:r>
      <w:r w:rsidRPr="000657C8">
        <w:t xml:space="preserve">form controls still constrain subdivision </w:t>
      </w:r>
      <w:r w:rsidR="00877EF9" w:rsidRPr="00877EF9">
        <w:rPr>
          <w:rFonts w:cs="Open Sans"/>
        </w:rPr>
        <w:t>(Victorian DTP 2026c)</w:t>
      </w:r>
      <w:r w:rsidRPr="000657C8">
        <w:t xml:space="preserve">. </w:t>
      </w:r>
    </w:p>
    <w:p w14:paraId="296B0933" w14:textId="6DD82412" w:rsidR="000A2D7A" w:rsidRDefault="000A2D7A">
      <w:pPr>
        <w:pStyle w:val="NoSpacing"/>
      </w:pPr>
    </w:p>
    <w:tbl>
      <w:tblPr>
        <w:tblStyle w:val="Texttable-Paleblue"/>
        <w:tblW w:w="5000" w:type="pct"/>
        <w:tblLook w:val="04A0" w:firstRow="1" w:lastRow="0" w:firstColumn="1" w:lastColumn="0" w:noHBand="0" w:noVBand="1"/>
      </w:tblPr>
      <w:tblGrid>
        <w:gridCol w:w="713"/>
        <w:gridCol w:w="8925"/>
      </w:tblGrid>
      <w:tr w:rsidR="000A2D7A" w14:paraId="666E8C95" w14:textId="77777777">
        <w:trPr>
          <w:tblHeader/>
        </w:trPr>
        <w:tc>
          <w:tcPr>
            <w:tcW w:w="709" w:type="dxa"/>
            <w:shd w:val="clear" w:color="auto" w:fill="E7F6FD"/>
            <w:tcMar>
              <w:top w:w="0" w:type="dxa"/>
              <w:bottom w:w="0" w:type="dxa"/>
            </w:tcMar>
            <w:vAlign w:val="center"/>
          </w:tcPr>
          <w:p w14:paraId="0A4CB1B0" w14:textId="77777777" w:rsidR="000A2D7A" w:rsidRDefault="000A2D7A">
            <w:pPr>
              <w:keepLines/>
              <w:jc w:val="center"/>
            </w:pPr>
            <w:r w:rsidRPr="00A51374">
              <w:rPr>
                <w:noProof/>
              </w:rPr>
              <w:drawing>
                <wp:inline distT="0" distB="0" distL="0" distR="0" wp14:anchorId="5BA9AFB9" wp14:editId="17C7351C">
                  <wp:extent cx="288000" cy="288000"/>
                  <wp:effectExtent l="0" t="0" r="0" b="0"/>
                  <wp:docPr id="1879061459" name="Graphic 18790614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3B495D57" w14:textId="76521DF9" w:rsidR="000A2D7A" w:rsidRPr="00715040" w:rsidRDefault="000A2D7A">
            <w:pPr>
              <w:pStyle w:val="FindingRecRequesttitle"/>
            </w:pPr>
            <w:r w:rsidRPr="00715040">
              <w:t>Re</w:t>
            </w:r>
            <w:r>
              <w:t>form direction</w:t>
            </w:r>
            <w:r w:rsidRPr="00715040">
              <w:t xml:space="preserve"> </w:t>
            </w:r>
            <w:r w:rsidR="00CB06D8">
              <w:rPr>
                <w:noProof/>
              </w:rPr>
              <w:t>2</w:t>
            </w:r>
            <w:r w:rsidRPr="00715040">
              <w:t>.</w:t>
            </w:r>
            <w:r w:rsidR="00CB06D8">
              <w:rPr>
                <w:noProof/>
              </w:rPr>
              <w:t>3</w:t>
            </w:r>
          </w:p>
          <w:p w14:paraId="088EB97C" w14:textId="77777777" w:rsidR="000A2D7A" w:rsidRPr="00715040" w:rsidRDefault="000A2D7A">
            <w:pPr>
              <w:pStyle w:val="FindingRecRequesttitle"/>
            </w:pPr>
            <w:r w:rsidRPr="0008600B">
              <w:t xml:space="preserve">Reduce </w:t>
            </w:r>
            <w:r>
              <w:t xml:space="preserve">or remove </w:t>
            </w:r>
            <w:r w:rsidRPr="0008600B">
              <w:t>minimum lot size requirements</w:t>
            </w:r>
          </w:p>
        </w:tc>
      </w:tr>
      <w:tr w:rsidR="000A2D7A" w14:paraId="2F842D1C" w14:textId="77777777">
        <w:tc>
          <w:tcPr>
            <w:tcW w:w="9583" w:type="dxa"/>
            <w:gridSpan w:val="2"/>
            <w:shd w:val="clear" w:color="auto" w:fill="E7F6FD"/>
            <w:tcMar>
              <w:top w:w="0" w:type="dxa"/>
            </w:tcMar>
          </w:tcPr>
          <w:p w14:paraId="3A14155C" w14:textId="77777777" w:rsidR="000A2D7A" w:rsidRPr="00767EAE" w:rsidRDefault="000A2D7A">
            <w:pPr>
              <w:pStyle w:val="BodyText"/>
            </w:pPr>
            <w:r>
              <w:t>State, territory and local governments should recognise where minimum lot size requirements are reducing commercially feasible capacity, particularly in high</w:t>
            </w:r>
            <w:r>
              <w:noBreakHyphen/>
              <w:t xml:space="preserve">demand areas, and remove or reduce requirements in those places. Subdivision requirements need to be permissive to enable this reform to have its full effect. </w:t>
            </w:r>
          </w:p>
        </w:tc>
      </w:tr>
      <w:tr w:rsidR="000A2D7A" w14:paraId="6D12CC43" w14:textId="77777777">
        <w:tc>
          <w:tcPr>
            <w:tcW w:w="9583" w:type="dxa"/>
            <w:gridSpan w:val="2"/>
            <w:shd w:val="clear" w:color="auto" w:fill="auto"/>
            <w:tcMar>
              <w:top w:w="0" w:type="dxa"/>
              <w:bottom w:w="0" w:type="dxa"/>
            </w:tcMar>
          </w:tcPr>
          <w:p w14:paraId="7CC357F8" w14:textId="17ECACF8" w:rsidR="000A2D7A" w:rsidRPr="007E0EA8" w:rsidRDefault="000A2D7A">
            <w:pPr>
              <w:pStyle w:val="NoSpacing"/>
              <w:spacing w:line="200" w:lineRule="exact"/>
            </w:pPr>
          </w:p>
        </w:tc>
      </w:tr>
    </w:tbl>
    <w:p w14:paraId="05331A42" w14:textId="77777777" w:rsidR="000A2D7A" w:rsidRDefault="000A2D7A">
      <w:pPr>
        <w:pStyle w:val="Heading5"/>
      </w:pPr>
      <w:r>
        <w:lastRenderedPageBreak/>
        <w:t>Allow residential development in commercial zones, unless there is a clear rationale for excluding them</w:t>
      </w:r>
    </w:p>
    <w:p w14:paraId="14830975" w14:textId="77777777" w:rsidR="000A2D7A" w:rsidRDefault="000A2D7A">
      <w:pPr>
        <w:pStyle w:val="BodyText"/>
      </w:pPr>
      <w:r w:rsidRPr="00A55969">
        <w:t>In many cases,</w:t>
      </w:r>
      <w:r>
        <w:rPr>
          <w:b/>
        </w:rPr>
        <w:t xml:space="preserve"> </w:t>
      </w:r>
      <w:r>
        <w:t>residential development can be complementary with commercial development. Allowing housing as</w:t>
      </w:r>
      <w:r>
        <w:noBreakHyphen/>
        <w:t>of</w:t>
      </w:r>
      <w:r>
        <w:noBreakHyphen/>
        <w:t>right in suitable commercial zones can help increase housing supply in well</w:t>
      </w:r>
      <w:r>
        <w:noBreakHyphen/>
        <w:t xml:space="preserve">connected areas. </w:t>
      </w:r>
    </w:p>
    <w:p w14:paraId="020E78D1" w14:textId="3C9D7389" w:rsidR="000A2D7A" w:rsidRDefault="000A2D7A">
      <w:pPr>
        <w:pStyle w:val="NoSpacing"/>
      </w:pPr>
    </w:p>
    <w:tbl>
      <w:tblPr>
        <w:tblStyle w:val="Texttable-Paleblue"/>
        <w:tblW w:w="5000" w:type="pct"/>
        <w:tblLook w:val="04A0" w:firstRow="1" w:lastRow="0" w:firstColumn="1" w:lastColumn="0" w:noHBand="0" w:noVBand="1"/>
      </w:tblPr>
      <w:tblGrid>
        <w:gridCol w:w="713"/>
        <w:gridCol w:w="8925"/>
      </w:tblGrid>
      <w:tr w:rsidR="000A2D7A" w14:paraId="79E72711" w14:textId="77777777">
        <w:trPr>
          <w:tblHeader/>
        </w:trPr>
        <w:tc>
          <w:tcPr>
            <w:tcW w:w="709" w:type="dxa"/>
            <w:shd w:val="clear" w:color="auto" w:fill="E7F6FD"/>
            <w:tcMar>
              <w:top w:w="0" w:type="dxa"/>
              <w:bottom w:w="0" w:type="dxa"/>
            </w:tcMar>
            <w:vAlign w:val="center"/>
          </w:tcPr>
          <w:p w14:paraId="003D9CF5" w14:textId="77777777" w:rsidR="000A2D7A" w:rsidRDefault="000A2D7A">
            <w:pPr>
              <w:keepLines/>
              <w:jc w:val="center"/>
            </w:pPr>
            <w:r w:rsidRPr="00A51374">
              <w:rPr>
                <w:noProof/>
              </w:rPr>
              <w:drawing>
                <wp:inline distT="0" distB="0" distL="0" distR="0" wp14:anchorId="504D3209" wp14:editId="3C856C52">
                  <wp:extent cx="288000" cy="288000"/>
                  <wp:effectExtent l="0" t="0" r="0" b="0"/>
                  <wp:docPr id="813987513" name="Graphic 8139875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56BB0ADE" w14:textId="77C70436" w:rsidR="000A2D7A" w:rsidRPr="000E09F0" w:rsidRDefault="000A2D7A">
            <w:pPr>
              <w:pStyle w:val="FindingRecRequesttitle"/>
            </w:pPr>
            <w:r>
              <w:t>Reform direction</w:t>
            </w:r>
            <w:r w:rsidRPr="00715040">
              <w:t xml:space="preserve"> </w:t>
            </w:r>
            <w:r w:rsidR="00CB06D8">
              <w:rPr>
                <w:noProof/>
              </w:rPr>
              <w:t>2</w:t>
            </w:r>
            <w:r w:rsidRPr="00715040">
              <w:t>.</w:t>
            </w:r>
            <w:r w:rsidR="00CB06D8">
              <w:rPr>
                <w:noProof/>
              </w:rPr>
              <w:t>4</w:t>
            </w:r>
          </w:p>
          <w:p w14:paraId="609CC966" w14:textId="77777777" w:rsidR="000A2D7A" w:rsidRPr="00715040" w:rsidRDefault="000A2D7A">
            <w:pPr>
              <w:pStyle w:val="FindingRecRequesttitle"/>
            </w:pPr>
            <w:r w:rsidRPr="00AD7E3B">
              <w:t xml:space="preserve">Allow residential development in commercial zones, unless there is a clear rationale for excluding </w:t>
            </w:r>
            <w:r>
              <w:t>it</w:t>
            </w:r>
          </w:p>
        </w:tc>
      </w:tr>
      <w:tr w:rsidR="000A2D7A" w14:paraId="349B63F4" w14:textId="77777777">
        <w:tc>
          <w:tcPr>
            <w:tcW w:w="9583" w:type="dxa"/>
            <w:gridSpan w:val="2"/>
            <w:shd w:val="clear" w:color="auto" w:fill="E7F6FD"/>
            <w:tcMar>
              <w:top w:w="0" w:type="dxa"/>
            </w:tcMar>
          </w:tcPr>
          <w:p w14:paraId="33D2AF49" w14:textId="77777777" w:rsidR="000A2D7A" w:rsidRPr="00767EAE" w:rsidRDefault="000A2D7A">
            <w:pPr>
              <w:pStyle w:val="BodyText"/>
              <w:keepLines/>
            </w:pPr>
            <w:r>
              <w:t xml:space="preserve">State and territory governments should review all commercial zones that restrict residential </w:t>
            </w:r>
            <w:r w:rsidRPr="00823494">
              <w:t>development</w:t>
            </w:r>
            <w:r>
              <w:t xml:space="preserve"> and change </w:t>
            </w:r>
            <w:proofErr w:type="gramStart"/>
            <w:r w:rsidRPr="00823494">
              <w:t>them</w:t>
            </w:r>
            <w:proofErr w:type="gramEnd"/>
            <w:r w:rsidRPr="00823494">
              <w:t xml:space="preserve"> so they </w:t>
            </w:r>
            <w:r>
              <w:t xml:space="preserve">restrict residential development </w:t>
            </w:r>
            <w:r w:rsidRPr="00823494">
              <w:t xml:space="preserve">only </w:t>
            </w:r>
            <w:r>
              <w:t xml:space="preserve">where there is a clear rationale to do so and </w:t>
            </w:r>
            <w:r w:rsidRPr="00823494">
              <w:t xml:space="preserve">there is </w:t>
            </w:r>
            <w:r>
              <w:t>a net benefit from restriction.</w:t>
            </w:r>
          </w:p>
        </w:tc>
      </w:tr>
      <w:tr w:rsidR="000A2D7A" w14:paraId="33962C7D" w14:textId="77777777">
        <w:tc>
          <w:tcPr>
            <w:tcW w:w="9583" w:type="dxa"/>
            <w:gridSpan w:val="2"/>
            <w:shd w:val="clear" w:color="auto" w:fill="auto"/>
            <w:tcMar>
              <w:top w:w="0" w:type="dxa"/>
              <w:bottom w:w="0" w:type="dxa"/>
            </w:tcMar>
          </w:tcPr>
          <w:p w14:paraId="485658B6" w14:textId="7F663199" w:rsidR="000A2D7A" w:rsidRPr="007E0EA8" w:rsidRDefault="000A2D7A">
            <w:pPr>
              <w:pStyle w:val="NoSpacing"/>
              <w:spacing w:line="200" w:lineRule="exact"/>
            </w:pPr>
          </w:p>
        </w:tc>
      </w:tr>
    </w:tbl>
    <w:p w14:paraId="2335803E" w14:textId="77777777" w:rsidR="000A2D7A" w:rsidRDefault="000A2D7A">
      <w:pPr>
        <w:pStyle w:val="Heading3"/>
      </w:pPr>
      <w:r>
        <w:t xml:space="preserve">Enabling reforms </w:t>
      </w:r>
    </w:p>
    <w:p w14:paraId="56859347" w14:textId="77777777" w:rsidR="000A2D7A" w:rsidRPr="00680EC1" w:rsidRDefault="000A2D7A">
      <w:pPr>
        <w:pStyle w:val="BodyText"/>
        <w:keepNext/>
      </w:pPr>
      <w:r>
        <w:t>To increase housing supply, our priority reforms should be accompanied by several</w:t>
      </w:r>
      <w:r w:rsidRPr="002D3872">
        <w:t xml:space="preserve"> ‘enabling reforms’</w:t>
      </w:r>
      <w:r>
        <w:t xml:space="preserve">. These reforms would </w:t>
      </w:r>
      <w:r w:rsidRPr="002D3872">
        <w:t xml:space="preserve">remove controls that </w:t>
      </w:r>
      <w:r>
        <w:t>reduce</w:t>
      </w:r>
      <w:r w:rsidRPr="002D3872">
        <w:t xml:space="preserve"> the effectiveness of </w:t>
      </w:r>
      <w:r>
        <w:t xml:space="preserve">the </w:t>
      </w:r>
      <w:r w:rsidRPr="002D3872">
        <w:t xml:space="preserve">priority reforms, duplicate other functions of regulations, impose additional development costs and </w:t>
      </w:r>
      <w:r>
        <w:t>do</w:t>
      </w:r>
      <w:r w:rsidRPr="002D3872">
        <w:t xml:space="preserve"> not align with the best practice </w:t>
      </w:r>
      <w:r>
        <w:t xml:space="preserve">principles </w:t>
      </w:r>
      <w:r w:rsidRPr="002D3872">
        <w:t xml:space="preserve">described in chapter </w:t>
      </w:r>
      <w:r>
        <w:t>1</w:t>
      </w:r>
      <w:r w:rsidRPr="002D3872">
        <w:t>.</w:t>
      </w:r>
      <w:r>
        <w:t xml:space="preserve"> The effect of many of these reforms on commercially feasible capacity is uncertain, and we will seek to quantify these effects, where possible, for the final report. Identified enabling reforms </w:t>
      </w:r>
      <w:r w:rsidRPr="002D3872">
        <w:t>include:</w:t>
      </w:r>
      <w:r>
        <w:t xml:space="preserve"> </w:t>
      </w:r>
    </w:p>
    <w:p w14:paraId="5D6FF2F1" w14:textId="0EEEA292" w:rsidR="000A2D7A" w:rsidRPr="00323733" w:rsidRDefault="000A2D7A" w:rsidP="00E11D04">
      <w:pPr>
        <w:pStyle w:val="ListBullet"/>
      </w:pPr>
      <w:r w:rsidRPr="00323733">
        <w:rPr>
          <w:b/>
          <w:bCs/>
        </w:rPr>
        <w:t>Remove or reduce parking requirements</w:t>
      </w:r>
      <w:r w:rsidRPr="00323733">
        <w:t>: Removing off</w:t>
      </w:r>
      <w:r>
        <w:noBreakHyphen/>
      </w:r>
      <w:r w:rsidRPr="00323733">
        <w:t xml:space="preserve">street parking requirements (especially minimum requirements) would improve the feasibility of apartments and some townhouses </w:t>
      </w:r>
      <w:r w:rsidRPr="00B155C1">
        <w:rPr>
          <w:rFonts w:cs="Open Sans"/>
        </w:rPr>
        <w:t>(NSW PEC 2024a, p. 59)</w:t>
      </w:r>
      <w:r w:rsidRPr="00323733">
        <w:t xml:space="preserve">. This reform could significantly increase the housing supply response from policies that permit more apartment development. To reduce potential adverse effects on parking congestion, this reform is most applicable in areas where there is evidence of underused parking spots and sufficient public transport connectivity. </w:t>
      </w:r>
    </w:p>
    <w:p w14:paraId="2AC7F3D3" w14:textId="77777777" w:rsidR="000A2D7A" w:rsidRPr="00323733" w:rsidRDefault="000A2D7A" w:rsidP="00E11D04">
      <w:pPr>
        <w:pStyle w:val="ListBullet"/>
      </w:pPr>
      <w:r w:rsidRPr="00674A43">
        <w:rPr>
          <w:b/>
          <w:bCs/>
        </w:rPr>
        <w:t>Replace broad heritage protections</w:t>
      </w:r>
      <w:r w:rsidRPr="00323733">
        <w:t xml:space="preserve"> </w:t>
      </w:r>
      <w:r w:rsidRPr="00674A43">
        <w:rPr>
          <w:b/>
          <w:bCs/>
        </w:rPr>
        <w:t>with more targeted heritage listings with cost</w:t>
      </w:r>
      <w:r w:rsidRPr="00674A43">
        <w:rPr>
          <w:b/>
          <w:bCs/>
        </w:rPr>
        <w:noBreakHyphen/>
        <w:t>benefit analysis and more robust mechanisms to review and delist buildings</w:t>
      </w:r>
      <w:r w:rsidRPr="00323733">
        <w:t>: Broad heritage controls including heritage overlays and heritage conservation areas prevent development and will likely reduce the effectiveness of other priority reforms. Blanket heritage areas risk indiscriminate classification, protecting buildings with limited heritage value while imposing substantial costs on housing supply. These controls should be replaced with more targeted heritage listings for specific buildings or small areas. Targeted heritage listings</w:t>
      </w:r>
      <w:r w:rsidRPr="00323733" w:rsidDel="00B874EB">
        <w:t xml:space="preserve"> </w:t>
      </w:r>
      <w:r w:rsidRPr="00323733">
        <w:t>should also be based on cost</w:t>
      </w:r>
      <w:r>
        <w:noBreakHyphen/>
      </w:r>
      <w:r w:rsidRPr="00323733">
        <w:t>benefit analysis, including consideration of cultural value to Aboriginal and Torres Strait Islander people. Heritage listings should be supported with more robust mechanisms to review and delist buildings.</w:t>
      </w:r>
    </w:p>
    <w:p w14:paraId="53E1AB2F" w14:textId="77777777" w:rsidR="000A2D7A" w:rsidRPr="00323733" w:rsidRDefault="000A2D7A" w:rsidP="00E11D04">
      <w:pPr>
        <w:pStyle w:val="ListBullet"/>
      </w:pPr>
      <w:r w:rsidRPr="00323733">
        <w:rPr>
          <w:b/>
          <w:bCs/>
        </w:rPr>
        <w:t>Relax or remove combinations of other built</w:t>
      </w:r>
      <w:r>
        <w:rPr>
          <w:b/>
          <w:bCs/>
        </w:rPr>
        <w:noBreakHyphen/>
      </w:r>
      <w:r w:rsidRPr="00323733">
        <w:rPr>
          <w:b/>
          <w:bCs/>
        </w:rPr>
        <w:t>form controls that prevent development</w:t>
      </w:r>
      <w:r w:rsidRPr="00323733">
        <w:t>: Reforms to allow townhouses and apartments will likely require relaxing several built</w:t>
      </w:r>
      <w:r>
        <w:noBreakHyphen/>
      </w:r>
      <w:r w:rsidRPr="00323733">
        <w:t xml:space="preserve">form controls including </w:t>
      </w:r>
      <w:r>
        <w:t xml:space="preserve">maximum </w:t>
      </w:r>
      <w:r w:rsidRPr="00323733">
        <w:t xml:space="preserve">FSR, site coverage ratios, setback requirements and height restrictions. State and territory governments will need to identify the controls that restrict </w:t>
      </w:r>
      <w:proofErr w:type="gramStart"/>
      <w:r w:rsidRPr="00323733">
        <w:t>particular developments</w:t>
      </w:r>
      <w:proofErr w:type="gramEnd"/>
      <w:r w:rsidRPr="00323733">
        <w:t xml:space="preserve"> and modify them to enable reform. </w:t>
      </w:r>
    </w:p>
    <w:p w14:paraId="1371197F" w14:textId="26056239" w:rsidR="000A2D7A" w:rsidRPr="00323733" w:rsidRDefault="000A2D7A" w:rsidP="00E11D04">
      <w:pPr>
        <w:pStyle w:val="ListBullet"/>
      </w:pPr>
      <w:r w:rsidRPr="00323733">
        <w:rPr>
          <w:b/>
          <w:bCs/>
        </w:rPr>
        <w:t>Remove m</w:t>
      </w:r>
      <w:r>
        <w:rPr>
          <w:b/>
          <w:bCs/>
        </w:rPr>
        <w:t>aximum</w:t>
      </w:r>
      <w:r w:rsidRPr="00323733">
        <w:rPr>
          <w:b/>
          <w:bCs/>
        </w:rPr>
        <w:t xml:space="preserve"> floor</w:t>
      </w:r>
      <w:r>
        <w:rPr>
          <w:b/>
          <w:bCs/>
        </w:rPr>
        <w:noBreakHyphen/>
      </w:r>
      <w:r w:rsidRPr="00323733">
        <w:rPr>
          <w:b/>
          <w:bCs/>
        </w:rPr>
        <w:t>space ratios</w:t>
      </w:r>
      <w:r w:rsidRPr="00323733">
        <w:t>: These controls attempt to regulate density but duplicate the functions of height restrictions and other built</w:t>
      </w:r>
      <w:r>
        <w:noBreakHyphen/>
      </w:r>
      <w:r w:rsidRPr="00323733">
        <w:t>form controls. In N</w:t>
      </w:r>
      <w:r>
        <w:t xml:space="preserve">ew </w:t>
      </w:r>
      <w:r w:rsidRPr="00323733">
        <w:t>S</w:t>
      </w:r>
      <w:r>
        <w:t xml:space="preserve">outh </w:t>
      </w:r>
      <w:r w:rsidRPr="00323733">
        <w:t>W</w:t>
      </w:r>
      <w:r>
        <w:t>ales</w:t>
      </w:r>
      <w:r w:rsidRPr="00323733">
        <w:t xml:space="preserve">, they restrict the </w:t>
      </w:r>
      <w:r w:rsidRPr="00323733">
        <w:lastRenderedPageBreak/>
        <w:t>effectiveness of the</w:t>
      </w:r>
      <w:r w:rsidRPr="00323733" w:rsidDel="00FD478E">
        <w:t xml:space="preserve"> </w:t>
      </w:r>
      <w:r w:rsidRPr="00323733">
        <w:t xml:space="preserve">reforms that aim to increase housing in transit areas (Coates et al. 2025), suggesting that removing </w:t>
      </w:r>
      <w:r>
        <w:t>maximum FSR</w:t>
      </w:r>
      <w:r w:rsidRPr="00323733">
        <w:t xml:space="preserve"> will likely significantly increase the impact of reforms to allow apartments and townhouses. </w:t>
      </w:r>
    </w:p>
    <w:p w14:paraId="74EBD46E" w14:textId="77777777" w:rsidR="000A2D7A" w:rsidRPr="00323733" w:rsidRDefault="000A2D7A" w:rsidP="00E11D04">
      <w:pPr>
        <w:pStyle w:val="ListBullet"/>
      </w:pPr>
      <w:r w:rsidRPr="00323733">
        <w:rPr>
          <w:b/>
          <w:bCs/>
        </w:rPr>
        <w:t>Remove restrictions on housing types</w:t>
      </w:r>
      <w:r w:rsidRPr="00323733">
        <w:t>: There is little clear rationale for these requirements, as they artificially limit housing typologies independent of density. Density can be effectively controlled through other land</w:t>
      </w:r>
      <w:r>
        <w:noBreakHyphen/>
      </w:r>
      <w:r w:rsidRPr="00323733">
        <w:t>use controls such as height limits, setbacks and site</w:t>
      </w:r>
      <w:r>
        <w:noBreakHyphen/>
      </w:r>
      <w:r w:rsidRPr="00323733">
        <w:t>coverage rules. Removing restrictions on housing types will help enable reforms to allow higher</w:t>
      </w:r>
      <w:r>
        <w:t>-</w:t>
      </w:r>
      <w:r w:rsidRPr="00323733">
        <w:t xml:space="preserve">density dwelling types such as townhouses and apartments in suitable locations. </w:t>
      </w:r>
    </w:p>
    <w:p w14:paraId="1641821D" w14:textId="217776EC" w:rsidR="000A2D7A" w:rsidRPr="00323733" w:rsidRDefault="000A2D7A" w:rsidP="00E11D04">
      <w:pPr>
        <w:pStyle w:val="ListBullet"/>
      </w:pPr>
      <w:r w:rsidRPr="00323733">
        <w:rPr>
          <w:b/>
          <w:bCs/>
        </w:rPr>
        <w:t>Remove restrictions on minimum dwelling sizes, minimum balcony sizes and storage requirements for apartments</w:t>
      </w:r>
      <w:r w:rsidRPr="00323733">
        <w:t xml:space="preserve">: Many characteristics of dwellings are clearly observable and </w:t>
      </w:r>
      <w:r>
        <w:t>have limited effect on</w:t>
      </w:r>
      <w:r w:rsidRPr="00323733">
        <w:t xml:space="preserve"> broader society. Moreover, these requirements contribute to </w:t>
      </w:r>
      <w:r>
        <w:t xml:space="preserve">higher </w:t>
      </w:r>
      <w:r w:rsidRPr="00323733">
        <w:t>construction costs and may reduce the potential uplift of reforms to allow apartments in high</w:t>
      </w:r>
      <w:r>
        <w:noBreakHyphen/>
      </w:r>
      <w:r w:rsidRPr="00323733">
        <w:t xml:space="preserve">demand areas </w:t>
      </w:r>
      <w:r w:rsidRPr="00B155C1">
        <w:rPr>
          <w:rFonts w:cs="Open Sans"/>
        </w:rPr>
        <w:t>(NSW PEC 2024a, p. 60)</w:t>
      </w:r>
      <w:r w:rsidRPr="00323733">
        <w:t xml:space="preserve">. </w:t>
      </w:r>
    </w:p>
    <w:p w14:paraId="6A2959A4" w14:textId="4CC28629" w:rsidR="000A2D7A" w:rsidRPr="00323733" w:rsidRDefault="000A2D7A" w:rsidP="00E11D04">
      <w:pPr>
        <w:pStyle w:val="ListBullet"/>
      </w:pPr>
      <w:r w:rsidRPr="00323733">
        <w:rPr>
          <w:b/>
          <w:bCs/>
        </w:rPr>
        <w:t>Review and remove other restrictive overlays that do not adhere to best</w:t>
      </w:r>
      <w:r>
        <w:rPr>
          <w:b/>
          <w:bCs/>
        </w:rPr>
        <w:noBreakHyphen/>
      </w:r>
      <w:r w:rsidRPr="00323733">
        <w:rPr>
          <w:b/>
          <w:bCs/>
        </w:rPr>
        <w:t>practice principles</w:t>
      </w:r>
      <w:r w:rsidRPr="00323733">
        <w:t>: For example, neighbourhood character overlays can prevent higher</w:t>
      </w:r>
      <w:r>
        <w:t>-</w:t>
      </w:r>
      <w:r w:rsidRPr="00323733">
        <w:t xml:space="preserve">density dwellings if they are perceived to disrupt the </w:t>
      </w:r>
      <w:r>
        <w:t>distinct character</w:t>
      </w:r>
      <w:r w:rsidRPr="00323733">
        <w:t xml:space="preserve"> of a locality</w:t>
      </w:r>
      <w:r>
        <w:t xml:space="preserve"> </w:t>
      </w:r>
      <w:r w:rsidR="00877EF9" w:rsidRPr="00877EF9">
        <w:rPr>
          <w:rFonts w:cs="Open Sans"/>
        </w:rPr>
        <w:t>(HIA 2021; Victorian DTP 2024a)</w:t>
      </w:r>
      <w:r>
        <w:t xml:space="preserve">. Such assessments are often qualitative and require personal judgement </w:t>
      </w:r>
      <w:r w:rsidR="00877EF9" w:rsidRPr="00877EF9">
        <w:rPr>
          <w:rFonts w:cs="Open Sans"/>
        </w:rPr>
        <w:t>(Victorian DTP 2024a)</w:t>
      </w:r>
      <w:r w:rsidRPr="00323733">
        <w:t>.</w:t>
      </w:r>
    </w:p>
    <w:p w14:paraId="4F60D0E1" w14:textId="49F822D5" w:rsidR="000A2D7A" w:rsidRDefault="000A2D7A" w:rsidP="00E11D04">
      <w:pPr>
        <w:pStyle w:val="ListBullet"/>
      </w:pPr>
      <w:r w:rsidRPr="00323733">
        <w:rPr>
          <w:b/>
          <w:bCs/>
        </w:rPr>
        <w:t>Review blanket mandatory requirements on developers to build affordable housing</w:t>
      </w:r>
      <w:r w:rsidRPr="00323733">
        <w:t>: Mandatory inclusionary zoning for affordable housing involves placing regulatory requirements on developers to provide a certain level affordable housing.</w:t>
      </w:r>
      <w:r w:rsidRPr="00A45FDE">
        <w:rPr>
          <w:rStyle w:val="FootnoteReference"/>
        </w:rPr>
        <w:t xml:space="preserve"> </w:t>
      </w:r>
      <w:r w:rsidRPr="00323733">
        <w:t>Broad mandatory requirements could make developments unfeasible and reduce overall housing supply and affordability, and voluntary inclusionary zoning can add uncertainty to the development process (box 2.6). We seek further evidence on the effect of mandatory and voluntary inclusionary zoning for affordable housing on overall housing supply and affordability</w:t>
      </w:r>
      <w:r w:rsidR="006F13E9">
        <w:t>.</w:t>
      </w:r>
    </w:p>
    <w:p w14:paraId="503A1B95" w14:textId="526B3E63" w:rsidR="000A2D7A" w:rsidRPr="00B97C8C" w:rsidRDefault="000A2D7A" w:rsidP="00B97C8C">
      <w:pPr>
        <w:pStyle w:val="NoSpacing"/>
      </w:pPr>
    </w:p>
    <w:tbl>
      <w:tblPr>
        <w:tblStyle w:val="Boxtable"/>
        <w:tblW w:w="5000" w:type="pct"/>
        <w:tblLook w:val="04A0" w:firstRow="1" w:lastRow="0" w:firstColumn="1" w:lastColumn="0" w:noHBand="0" w:noVBand="1"/>
      </w:tblPr>
      <w:tblGrid>
        <w:gridCol w:w="9638"/>
      </w:tblGrid>
      <w:tr w:rsidR="000A2D7A" w14:paraId="39AE16D3" w14:textId="77777777" w:rsidTr="00011B66">
        <w:trPr>
          <w:tblHeader/>
        </w:trPr>
        <w:tc>
          <w:tcPr>
            <w:tcW w:w="5000" w:type="pct"/>
            <w:shd w:val="clear" w:color="auto" w:fill="EBEBEB"/>
            <w:tcMar>
              <w:top w:w="170" w:type="dxa"/>
              <w:left w:w="170" w:type="dxa"/>
              <w:bottom w:w="113" w:type="dxa"/>
              <w:right w:w="170" w:type="dxa"/>
            </w:tcMar>
            <w:hideMark/>
          </w:tcPr>
          <w:p w14:paraId="604106C8" w14:textId="4611A621" w:rsidR="000A2D7A" w:rsidRDefault="000A2D7A">
            <w:pPr>
              <w:pStyle w:val="BoxHeading1"/>
            </w:pPr>
            <w:r>
              <w:t xml:space="preserve">Box </w:t>
            </w:r>
            <w:r w:rsidR="00CB06D8">
              <w:rPr>
                <w:noProof/>
              </w:rPr>
              <w:t>2</w:t>
            </w:r>
            <w:r>
              <w:t xml:space="preserve">.6 – Governments should approach inclusionary zoning for affordable housing with caution </w:t>
            </w:r>
          </w:p>
        </w:tc>
      </w:tr>
      <w:tr w:rsidR="000A2D7A" w14:paraId="6E2EBC0C" w14:textId="77777777" w:rsidTr="00011B66">
        <w:tc>
          <w:tcPr>
            <w:tcW w:w="5000" w:type="pct"/>
            <w:shd w:val="clear" w:color="auto" w:fill="EBEBEB"/>
            <w:tcMar>
              <w:top w:w="28" w:type="dxa"/>
              <w:left w:w="170" w:type="dxa"/>
              <w:bottom w:w="170" w:type="dxa"/>
              <w:right w:w="170" w:type="dxa"/>
            </w:tcMar>
            <w:hideMark/>
          </w:tcPr>
          <w:p w14:paraId="66AE7344" w14:textId="09C2F719" w:rsidR="000A2D7A" w:rsidRDefault="000A2D7A">
            <w:pPr>
              <w:pStyle w:val="BodyText"/>
            </w:pPr>
            <w:r>
              <w:t>‘Affordable’ housing generally refers to housing offered at below</w:t>
            </w:r>
            <w:r>
              <w:noBreakHyphen/>
              <w:t>market rents to eligible low</w:t>
            </w:r>
            <w:r>
              <w:noBreakHyphen/>
              <w:t xml:space="preserve"> and moderate</w:t>
            </w:r>
            <w:r>
              <w:noBreakHyphen/>
              <w:t>income households. This is different from social housing (box 1.2, chapter 1), which is government</w:t>
            </w:r>
            <w:r>
              <w:noBreakHyphen/>
              <w:t>subsidised rental housing targeted to low</w:t>
            </w:r>
            <w:r>
              <w:noBreakHyphen/>
              <w:t xml:space="preserve">income households with the greatest need, including people experiencing homelessness, disability, family violence or other forms of acute housing stress </w:t>
            </w:r>
            <w:r w:rsidRPr="00614FF2">
              <w:rPr>
                <w:rFonts w:cs="Open Sans"/>
              </w:rPr>
              <w:t>(AHURI 2023; AIHW 2026)</w:t>
            </w:r>
            <w:r>
              <w:t>.</w:t>
            </w:r>
          </w:p>
          <w:p w14:paraId="4D88F701" w14:textId="0B2E801B" w:rsidR="000A2D7A" w:rsidRDefault="000A2D7A">
            <w:pPr>
              <w:pStyle w:val="BodyText"/>
            </w:pPr>
            <w:r>
              <w:t>Governments can support affordable housing through direct subsidies or through inclusionary zoning, which encourages or requires developers to include affordable housing in new developments (PC 2022, p. 278). Inclusionary zoning can be voluntary, where developers receive incentives such as density bonuses or reduced fees for providing affordable housing. It can also be mandatory, where eligible developments are required to include affordable housing.</w:t>
            </w:r>
          </w:p>
          <w:p w14:paraId="1A78D282" w14:textId="77777777" w:rsidR="000A2D7A" w:rsidRDefault="000A2D7A">
            <w:pPr>
              <w:pStyle w:val="BodyText"/>
            </w:pPr>
            <w:r>
              <w:t xml:space="preserve">Inclusionary zoning for affordable housing can seem appealing, because it seeks to correct a market failure (undersupply of affordable housing). Several participants in this inquiry supported mandatory inclusionary zoning to increase affordable housing supply (ACH, sub. 37, p. 3; National Shelter, sub. 53, p. 10; Terry Burke, sub. 46, p. 9). </w:t>
            </w:r>
          </w:p>
          <w:p w14:paraId="28308358" w14:textId="144B5059" w:rsidR="000A2D7A" w:rsidRDefault="000A2D7A">
            <w:pPr>
              <w:pStyle w:val="BodyText"/>
            </w:pPr>
            <w:r>
              <w:lastRenderedPageBreak/>
              <w:t xml:space="preserve">However, mandatory inclusionary zoning can act as a ‘tax’ on new housing by requiring lower prices or rents, making projects less feasible and lowering overall supply </w:t>
            </w:r>
            <w:r w:rsidRPr="00E47070">
              <w:rPr>
                <w:rFonts w:cs="Open Sans"/>
              </w:rPr>
              <w:t>(CIS, sub. 18, p</w:t>
            </w:r>
            <w:r>
              <w:rPr>
                <w:rFonts w:cs="Open Sans"/>
              </w:rPr>
              <w:t>p</w:t>
            </w:r>
            <w:r w:rsidRPr="00E47070">
              <w:rPr>
                <w:rFonts w:cs="Open Sans"/>
              </w:rPr>
              <w:t>. 11-13; NSW PEC 2024, p. 86; PC 2022, pp. 289–290; UDIA, sub. 83, p. 11)</w:t>
            </w:r>
            <w:r>
              <w:t>. Even if the zoning is known up front and can in theory be ‘priced in’ to the cost of development, it is difficult to cost</w:t>
            </w:r>
            <w:r>
              <w:noBreakHyphen/>
              <w:t>effectively capture the value for those who need housing support (below).</w:t>
            </w:r>
          </w:p>
          <w:p w14:paraId="682B90B2" w14:textId="00AF67AD" w:rsidR="000A2D7A" w:rsidRDefault="000A2D7A">
            <w:pPr>
              <w:pStyle w:val="BodyText"/>
            </w:pPr>
            <w:r>
              <w:t>Voluntary inclusionary zoning could in theory support supply by allowing developers to build more housing in selected areas in exchange for meeting affordable housing requirements. Where existing controls prevent otherwise viable apartment projects, and requirements are known up front and well</w:t>
            </w:r>
            <w:r>
              <w:noBreakHyphen/>
              <w:t xml:space="preserve">designed, additional height or density could unlock more affordable housing supply (ACH sub. 37, p. 4; FHA, sub. 79, p. 4; UDIA, sub. 83, p. 22; Uniting </w:t>
            </w:r>
            <w:proofErr w:type="spellStart"/>
            <w:r>
              <w:t>Vic.Tas</w:t>
            </w:r>
            <w:proofErr w:type="spellEnd"/>
            <w:r>
              <w:t xml:space="preserve">, sub. 39, p. 2). But in practice, the incorporation of voluntary inclusionary zoning to date has often been ad hoc, adding complexity and uncertainty to the development process (NHSAC 2023; PC 2022). </w:t>
            </w:r>
          </w:p>
          <w:p w14:paraId="6A5AF2AD" w14:textId="2579D197" w:rsidR="000A2D7A" w:rsidRDefault="000A2D7A">
            <w:pPr>
              <w:pStyle w:val="BodyText"/>
            </w:pPr>
            <w:r>
              <w:t xml:space="preserve">In addition, unlike social housing (box 1.2, chapter 1), affordable housing provided via inclusionary zoning is often poorly </w:t>
            </w:r>
            <w:proofErr w:type="gramStart"/>
            <w:r>
              <w:t>targeted, and</w:t>
            </w:r>
            <w:proofErr w:type="gramEnd"/>
            <w:r>
              <w:t xml:space="preserve"> does not benefit households in need of the most support (Behrens and Gilbert 2026). As such, it may be less efficient than more direct value</w:t>
            </w:r>
            <w:r>
              <w:noBreakHyphen/>
              <w:t xml:space="preserve">capture mechanisms and targeted interventions for those who need housing support. </w:t>
            </w:r>
          </w:p>
          <w:p w14:paraId="3E1CB3E9" w14:textId="77777777" w:rsidR="000A2D7A" w:rsidRDefault="000A2D7A">
            <w:pPr>
              <w:pStyle w:val="BodyText"/>
            </w:pPr>
            <w:r>
              <w:t>Ultimately, increasing overall housing supply is likely to be one of the most effective ways to improve affordability across the housing market (box 1, overview). Social housing and other direct interventions like rent assistance should be provided for households that are unable to secure stable housing in the private rental market.</w:t>
            </w:r>
          </w:p>
        </w:tc>
      </w:tr>
      <w:tr w:rsidR="000A2D7A" w14:paraId="65A7A7C1" w14:textId="77777777" w:rsidTr="00011B66">
        <w:trPr>
          <w:hidden/>
        </w:trPr>
        <w:tc>
          <w:tcPr>
            <w:tcW w:w="5000" w:type="pct"/>
            <w:shd w:val="clear" w:color="auto" w:fill="auto"/>
            <w:tcMar>
              <w:top w:w="0" w:type="dxa"/>
              <w:left w:w="170" w:type="dxa"/>
              <w:bottom w:w="0" w:type="dxa"/>
              <w:right w:w="170" w:type="dxa"/>
            </w:tcMar>
          </w:tcPr>
          <w:p w14:paraId="11F1005D" w14:textId="77453EB8" w:rsidR="000A2D7A" w:rsidRPr="00465191" w:rsidRDefault="000A2D7A">
            <w:pPr>
              <w:pStyle w:val="BodyText"/>
              <w:spacing w:before="0" w:after="0" w:line="80" w:lineRule="atLeast"/>
              <w:rPr>
                <w:smallCaps/>
                <w:vanish/>
              </w:rPr>
            </w:pPr>
          </w:p>
        </w:tc>
      </w:tr>
    </w:tbl>
    <w:p w14:paraId="6BDB8B40" w14:textId="01521AAF" w:rsidR="000A2D7A" w:rsidRPr="00B97C8C" w:rsidRDefault="000A2D7A" w:rsidP="00B97C8C">
      <w:pPr>
        <w:pStyle w:val="NoSpacing"/>
      </w:pPr>
    </w:p>
    <w:tbl>
      <w:tblPr>
        <w:tblStyle w:val="Texttable-Paleblue"/>
        <w:tblW w:w="5000" w:type="pct"/>
        <w:tblLook w:val="04A0" w:firstRow="1" w:lastRow="0" w:firstColumn="1" w:lastColumn="0" w:noHBand="0" w:noVBand="1"/>
      </w:tblPr>
      <w:tblGrid>
        <w:gridCol w:w="729"/>
        <w:gridCol w:w="8909"/>
      </w:tblGrid>
      <w:tr w:rsidR="000A2D7A" w14:paraId="763B664E" w14:textId="77777777">
        <w:trPr>
          <w:tblHeader/>
        </w:trPr>
        <w:tc>
          <w:tcPr>
            <w:tcW w:w="708" w:type="dxa"/>
            <w:shd w:val="clear" w:color="auto" w:fill="E7F6FD"/>
            <w:tcMar>
              <w:top w:w="0" w:type="dxa"/>
              <w:bottom w:w="0" w:type="dxa"/>
            </w:tcMar>
            <w:vAlign w:val="center"/>
          </w:tcPr>
          <w:p w14:paraId="607A04EB" w14:textId="77777777" w:rsidR="000A2D7A" w:rsidRDefault="000A2D7A">
            <w:pPr>
              <w:keepLines/>
              <w:jc w:val="center"/>
            </w:pPr>
            <w:r w:rsidRPr="00A51374">
              <w:rPr>
                <w:noProof/>
              </w:rPr>
              <w:drawing>
                <wp:inline distT="0" distB="0" distL="0" distR="0" wp14:anchorId="65995297" wp14:editId="46024BAA">
                  <wp:extent cx="288000" cy="288000"/>
                  <wp:effectExtent l="0" t="0" r="0" b="0"/>
                  <wp:docPr id="2086595051" name="Graphic 2086595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652" w:type="dxa"/>
            <w:shd w:val="clear" w:color="auto" w:fill="E7F6FD"/>
            <w:tcMar>
              <w:top w:w="0" w:type="dxa"/>
              <w:bottom w:w="0" w:type="dxa"/>
            </w:tcMar>
            <w:vAlign w:val="center"/>
          </w:tcPr>
          <w:p w14:paraId="441B9026" w14:textId="14E27C78" w:rsidR="000A2D7A" w:rsidRPr="00715040" w:rsidRDefault="000A2D7A">
            <w:pPr>
              <w:pStyle w:val="FindingRecRequesttitle"/>
            </w:pPr>
            <w:r w:rsidRPr="00715040">
              <w:t>Re</w:t>
            </w:r>
            <w:r>
              <w:t>form direction</w:t>
            </w:r>
            <w:r w:rsidRPr="00715040">
              <w:t xml:space="preserve"> </w:t>
            </w:r>
            <w:r w:rsidR="00CB06D8">
              <w:rPr>
                <w:noProof/>
              </w:rPr>
              <w:t>2</w:t>
            </w:r>
            <w:r w:rsidRPr="00715040">
              <w:t>.</w:t>
            </w:r>
            <w:r w:rsidR="00CB06D8">
              <w:rPr>
                <w:noProof/>
              </w:rPr>
              <w:t>5</w:t>
            </w:r>
          </w:p>
          <w:p w14:paraId="7075E768" w14:textId="77777777" w:rsidR="000A2D7A" w:rsidRPr="00715040" w:rsidRDefault="000A2D7A">
            <w:pPr>
              <w:pStyle w:val="FindingRecRequesttitle"/>
            </w:pPr>
            <w:r>
              <w:t>Review, reduce and remove land</w:t>
            </w:r>
            <w:r>
              <w:noBreakHyphen/>
              <w:t>use controls that reduce commercial feasibility and do not adhere to best practice principles</w:t>
            </w:r>
          </w:p>
        </w:tc>
      </w:tr>
      <w:tr w:rsidR="000A2D7A" w14:paraId="082B8B2F" w14:textId="77777777">
        <w:tc>
          <w:tcPr>
            <w:tcW w:w="9360" w:type="dxa"/>
            <w:gridSpan w:val="2"/>
            <w:shd w:val="clear" w:color="auto" w:fill="E7F6FD"/>
            <w:tcMar>
              <w:top w:w="0" w:type="dxa"/>
            </w:tcMar>
          </w:tcPr>
          <w:p w14:paraId="5FD0C355" w14:textId="77777777" w:rsidR="000A2D7A" w:rsidRPr="00123FD7" w:rsidRDefault="000A2D7A">
            <w:pPr>
              <w:pStyle w:val="BodyText"/>
            </w:pPr>
            <w:r>
              <w:t>State, territory and local governments should identify and reduce controls that reduce commercial feasibility and do not adhere to best practice principles.</w:t>
            </w:r>
          </w:p>
          <w:p w14:paraId="66E27D9A" w14:textId="77777777" w:rsidR="000A2D7A" w:rsidRDefault="000A2D7A" w:rsidP="00E11D04">
            <w:pPr>
              <w:pStyle w:val="ListBullet"/>
            </w:pPr>
            <w:r w:rsidRPr="0008600B">
              <w:rPr>
                <w:b/>
              </w:rPr>
              <w:t>Remove or reduce parking requirements</w:t>
            </w:r>
            <w:r>
              <w:rPr>
                <w:b/>
              </w:rPr>
              <w:t>.</w:t>
            </w:r>
            <w:r>
              <w:t xml:space="preserve"> Governments should remove or reduce</w:t>
            </w:r>
            <w:r w:rsidRPr="004F27FE">
              <w:t xml:space="preserve"> </w:t>
            </w:r>
            <w:r>
              <w:t>off</w:t>
            </w:r>
            <w:r>
              <w:noBreakHyphen/>
              <w:t xml:space="preserve">street parking requirements (especially minimum requirements) in areas where there is evidence of underused parking spaces and sufficient public transport connectivity. </w:t>
            </w:r>
          </w:p>
          <w:p w14:paraId="19F9621A" w14:textId="77777777" w:rsidR="000A2D7A" w:rsidRDefault="000A2D7A" w:rsidP="00E11D04">
            <w:pPr>
              <w:pStyle w:val="ListBullet"/>
            </w:pPr>
            <w:r w:rsidRPr="0008600B">
              <w:rPr>
                <w:b/>
              </w:rPr>
              <w:t>Replace broad heritage protections with more targeted heritage listings with cost</w:t>
            </w:r>
            <w:r>
              <w:rPr>
                <w:b/>
              </w:rPr>
              <w:noBreakHyphen/>
            </w:r>
            <w:r w:rsidRPr="004F27FE">
              <w:rPr>
                <w:b/>
              </w:rPr>
              <w:t xml:space="preserve">benefit </w:t>
            </w:r>
            <w:r w:rsidRPr="0008600B">
              <w:rPr>
                <w:b/>
              </w:rPr>
              <w:t>analysis</w:t>
            </w:r>
            <w:r>
              <w:rPr>
                <w:b/>
              </w:rPr>
              <w:t xml:space="preserve"> and review processes. </w:t>
            </w:r>
            <w:r w:rsidRPr="00F9305C">
              <w:t xml:space="preserve">Blanket heritage areas </w:t>
            </w:r>
            <w:r>
              <w:t>should be replaced by heritage listings for specific buildings or small areas. Targeted heritage listings should be justified by cost</w:t>
            </w:r>
            <w:r>
              <w:noBreakHyphen/>
              <w:t xml:space="preserve">benefit analysis, and there should be </w:t>
            </w:r>
            <w:r w:rsidRPr="0002473A">
              <w:t>more robust mechanisms to review and delist</w:t>
            </w:r>
            <w:r>
              <w:t xml:space="preserve"> buildings.</w:t>
            </w:r>
          </w:p>
          <w:p w14:paraId="0F353B2B" w14:textId="77777777" w:rsidR="000A2D7A" w:rsidRPr="001246E6" w:rsidRDefault="000A2D7A" w:rsidP="00E11D04">
            <w:pPr>
              <w:pStyle w:val="ListBullet"/>
            </w:pPr>
            <w:r w:rsidRPr="00796549">
              <w:rPr>
                <w:b/>
              </w:rPr>
              <w:t>Review and re</w:t>
            </w:r>
            <w:r>
              <w:rPr>
                <w:b/>
              </w:rPr>
              <w:t>duce</w:t>
            </w:r>
            <w:r w:rsidRPr="00796549">
              <w:rPr>
                <w:b/>
              </w:rPr>
              <w:t xml:space="preserve"> </w:t>
            </w:r>
            <w:r>
              <w:rPr>
                <w:b/>
              </w:rPr>
              <w:t xml:space="preserve">neighbourhood character restrictions. </w:t>
            </w:r>
            <w:r w:rsidRPr="00A55969">
              <w:t xml:space="preserve">Restrictive overlays which apply blanket restrictions to entire streets or </w:t>
            </w:r>
            <w:r>
              <w:t>local government areas</w:t>
            </w:r>
            <w:r w:rsidRPr="00A55969">
              <w:t xml:space="preserve"> should be reviewed and replaced by targeted protections where </w:t>
            </w:r>
            <w:r>
              <w:rPr>
                <w:bCs/>
              </w:rPr>
              <w:t>possible.</w:t>
            </w:r>
            <w:r>
              <w:t xml:space="preserve"> </w:t>
            </w:r>
          </w:p>
        </w:tc>
      </w:tr>
    </w:tbl>
    <w:p w14:paraId="09874426" w14:textId="45D660A0" w:rsidR="000A2D7A" w:rsidRPr="00B97C8C" w:rsidRDefault="000A2D7A" w:rsidP="00B97C8C">
      <w:pPr>
        <w:pStyle w:val="NoSpacing"/>
      </w:pPr>
    </w:p>
    <w:p w14:paraId="254E1084" w14:textId="26CB8240" w:rsidR="000A2D7A" w:rsidRPr="00B97C8C" w:rsidRDefault="000A2D7A" w:rsidP="00B97C8C">
      <w:pPr>
        <w:pStyle w:val="NoSpacing"/>
      </w:pPr>
    </w:p>
    <w:tbl>
      <w:tblPr>
        <w:tblStyle w:val="Texttable-Paleblue"/>
        <w:tblW w:w="5000" w:type="pct"/>
        <w:tblLook w:val="04A0" w:firstRow="1" w:lastRow="0" w:firstColumn="1" w:lastColumn="0" w:noHBand="0" w:noVBand="1"/>
      </w:tblPr>
      <w:tblGrid>
        <w:gridCol w:w="713"/>
        <w:gridCol w:w="8925"/>
      </w:tblGrid>
      <w:tr w:rsidR="000A2D7A" w14:paraId="06C07C4F" w14:textId="77777777">
        <w:trPr>
          <w:tblHeader/>
        </w:trPr>
        <w:tc>
          <w:tcPr>
            <w:tcW w:w="709" w:type="dxa"/>
            <w:shd w:val="clear" w:color="auto" w:fill="E7F6FD"/>
            <w:tcMar>
              <w:top w:w="0" w:type="dxa"/>
              <w:bottom w:w="0" w:type="dxa"/>
            </w:tcMar>
            <w:vAlign w:val="center"/>
          </w:tcPr>
          <w:p w14:paraId="3EDC5FF6" w14:textId="77777777" w:rsidR="000A2D7A" w:rsidRDefault="000A2D7A">
            <w:pPr>
              <w:keepLines/>
              <w:jc w:val="center"/>
            </w:pPr>
            <w:r w:rsidRPr="00A51374">
              <w:rPr>
                <w:noProof/>
              </w:rPr>
              <w:lastRenderedPageBreak/>
              <w:drawing>
                <wp:inline distT="0" distB="0" distL="0" distR="0" wp14:anchorId="611D864F" wp14:editId="44B65E77">
                  <wp:extent cx="288000" cy="288000"/>
                  <wp:effectExtent l="0" t="0" r="0" b="0"/>
                  <wp:docPr id="779724150" name="Graphic 7797241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275A2933" w14:textId="2FCDB914" w:rsidR="000A2D7A" w:rsidRPr="00715040" w:rsidRDefault="000A2D7A">
            <w:pPr>
              <w:pStyle w:val="FindingRecRequesttitle"/>
            </w:pPr>
            <w:r w:rsidRPr="00715040">
              <w:t>Re</w:t>
            </w:r>
            <w:r>
              <w:t>form direction</w:t>
            </w:r>
            <w:r w:rsidRPr="00715040">
              <w:t xml:space="preserve"> </w:t>
            </w:r>
            <w:r w:rsidR="00CB06D8">
              <w:rPr>
                <w:noProof/>
              </w:rPr>
              <w:t>2</w:t>
            </w:r>
            <w:r w:rsidRPr="00715040">
              <w:t>.</w:t>
            </w:r>
            <w:r w:rsidR="00CB06D8">
              <w:rPr>
                <w:noProof/>
              </w:rPr>
              <w:t>6</w:t>
            </w:r>
          </w:p>
          <w:p w14:paraId="48EB5248" w14:textId="77777777" w:rsidR="000A2D7A" w:rsidRPr="00715040" w:rsidRDefault="000A2D7A">
            <w:pPr>
              <w:pStyle w:val="FindingRecRequesttitle"/>
            </w:pPr>
            <w:r w:rsidRPr="00DF27A7">
              <w:rPr>
                <w:bCs/>
              </w:rPr>
              <w:t xml:space="preserve">Relax or remove </w:t>
            </w:r>
            <w:r>
              <w:rPr>
                <w:bCs/>
              </w:rPr>
              <w:t>built</w:t>
            </w:r>
            <w:r>
              <w:rPr>
                <w:bCs/>
              </w:rPr>
              <w:noBreakHyphen/>
              <w:t>form</w:t>
            </w:r>
            <w:r w:rsidRPr="00DF27A7">
              <w:rPr>
                <w:bCs/>
              </w:rPr>
              <w:t xml:space="preserve"> controls </w:t>
            </w:r>
            <w:r>
              <w:rPr>
                <w:bCs/>
              </w:rPr>
              <w:t xml:space="preserve">that limit flexibility and choice for households </w:t>
            </w:r>
          </w:p>
        </w:tc>
      </w:tr>
      <w:tr w:rsidR="000A2D7A" w14:paraId="5BF353A6" w14:textId="77777777">
        <w:tc>
          <w:tcPr>
            <w:tcW w:w="9583" w:type="dxa"/>
            <w:gridSpan w:val="2"/>
            <w:shd w:val="clear" w:color="auto" w:fill="E7F6FD"/>
            <w:tcMar>
              <w:top w:w="0" w:type="dxa"/>
            </w:tcMar>
          </w:tcPr>
          <w:p w14:paraId="216DA89C" w14:textId="77777777" w:rsidR="000A2D7A" w:rsidRDefault="000A2D7A">
            <w:pPr>
              <w:pStyle w:val="BodyText"/>
            </w:pPr>
            <w:r>
              <w:t>State, territory and local governments should identify and reduce or remove built</w:t>
            </w:r>
            <w:r>
              <w:noBreakHyphen/>
              <w:t xml:space="preserve">form controls that limit the range of dwelling types available to households. </w:t>
            </w:r>
          </w:p>
          <w:p w14:paraId="06EA2E36" w14:textId="77777777" w:rsidR="000A2D7A" w:rsidRPr="00A55969" w:rsidRDefault="000A2D7A" w:rsidP="00E11D04">
            <w:pPr>
              <w:pStyle w:val="ListBullet"/>
            </w:pPr>
            <w:r w:rsidRPr="00A55969">
              <w:rPr>
                <w:b/>
              </w:rPr>
              <w:t>Modify controls as required to enable townhouse and apartment reform</w:t>
            </w:r>
            <w:r>
              <w:rPr>
                <w:b/>
                <w:bCs/>
              </w:rPr>
              <w:t xml:space="preserve">. </w:t>
            </w:r>
            <w:r w:rsidRPr="00A55969">
              <w:t>In areas</w:t>
            </w:r>
            <w:r w:rsidRPr="00D55D4F">
              <w:t xml:space="preserve"> suitable </w:t>
            </w:r>
            <w:r w:rsidRPr="00A55969">
              <w:t>for townhouse</w:t>
            </w:r>
            <w:r>
              <w:t>s</w:t>
            </w:r>
            <w:r w:rsidRPr="00A55969">
              <w:t xml:space="preserve"> and apartments, controls</w:t>
            </w:r>
            <w:r w:rsidRPr="00D55D4F">
              <w:t xml:space="preserve"> such as</w:t>
            </w:r>
            <w:r>
              <w:rPr>
                <w:b/>
              </w:rPr>
              <w:t xml:space="preserve"> </w:t>
            </w:r>
            <w:r>
              <w:t xml:space="preserve">site coverage ratios, setback requirements and height restrictions should be modified to enable reform uptake. </w:t>
            </w:r>
          </w:p>
          <w:p w14:paraId="60FB704F" w14:textId="77777777" w:rsidR="000A2D7A" w:rsidRDefault="000A2D7A" w:rsidP="00E11D04">
            <w:pPr>
              <w:pStyle w:val="ListBullet"/>
            </w:pPr>
            <w:r>
              <w:rPr>
                <w:b/>
                <w:bCs/>
              </w:rPr>
              <w:t>Remove maximum floor</w:t>
            </w:r>
            <w:r>
              <w:rPr>
                <w:b/>
                <w:bCs/>
              </w:rPr>
              <w:noBreakHyphen/>
              <w:t xml:space="preserve">space ratios. </w:t>
            </w:r>
            <w:r w:rsidRPr="00A55969">
              <w:t>State</w:t>
            </w:r>
            <w:r>
              <w:t xml:space="preserve">, </w:t>
            </w:r>
            <w:r w:rsidRPr="00A55969">
              <w:t xml:space="preserve">territory and </w:t>
            </w:r>
            <w:r w:rsidRPr="00116037">
              <w:t>local</w:t>
            </w:r>
            <w:r w:rsidRPr="00A55969">
              <w:t xml:space="preserve"> governments should avoid using </w:t>
            </w:r>
            <w:r>
              <w:t>maximum floor</w:t>
            </w:r>
            <w:r>
              <w:noBreakHyphen/>
              <w:t>space ratios</w:t>
            </w:r>
            <w:r w:rsidRPr="00A55969">
              <w:t xml:space="preserve"> to manage density where the desired outcome can be achieved through height restrictions or other built</w:t>
            </w:r>
            <w:r>
              <w:noBreakHyphen/>
            </w:r>
            <w:r w:rsidRPr="00A55969">
              <w:t>form controls.</w:t>
            </w:r>
            <w:r>
              <w:rPr>
                <w:b/>
              </w:rPr>
              <w:t xml:space="preserve"> </w:t>
            </w:r>
          </w:p>
          <w:p w14:paraId="2910645C" w14:textId="77777777" w:rsidR="000A2D7A" w:rsidRPr="00011B66" w:rsidRDefault="000A2D7A" w:rsidP="00E11D04">
            <w:pPr>
              <w:pStyle w:val="ListBullet"/>
              <w:rPr>
                <w:spacing w:val="2"/>
              </w:rPr>
            </w:pPr>
            <w:r w:rsidRPr="00011B66">
              <w:rPr>
                <w:b/>
                <w:bCs/>
                <w:spacing w:val="2"/>
              </w:rPr>
              <w:t>Remove restrictions</w:t>
            </w:r>
            <w:r w:rsidRPr="00011B66">
              <w:rPr>
                <w:b/>
                <w:spacing w:val="2"/>
              </w:rPr>
              <w:t xml:space="preserve"> on housing types. </w:t>
            </w:r>
            <w:r w:rsidRPr="00011B66">
              <w:rPr>
                <w:spacing w:val="2"/>
              </w:rPr>
              <w:t>State, territory and local governments should avoid restricting certain dwelling types as desired outcomes can be better managed by other built</w:t>
            </w:r>
            <w:r w:rsidRPr="00011B66">
              <w:rPr>
                <w:spacing w:val="2"/>
              </w:rPr>
              <w:noBreakHyphen/>
              <w:t>form controls.</w:t>
            </w:r>
            <w:r w:rsidRPr="00011B66">
              <w:rPr>
                <w:b/>
                <w:spacing w:val="2"/>
              </w:rPr>
              <w:t xml:space="preserve"> </w:t>
            </w:r>
          </w:p>
          <w:p w14:paraId="74E6F935" w14:textId="77777777" w:rsidR="000A2D7A" w:rsidRPr="009C5A0B" w:rsidRDefault="000A2D7A" w:rsidP="00E11D04">
            <w:pPr>
              <w:pStyle w:val="ListBullet"/>
              <w:rPr>
                <w:color w:val="000000" w:themeColor="text1"/>
              </w:rPr>
            </w:pPr>
            <w:r>
              <w:rPr>
                <w:b/>
                <w:bCs/>
              </w:rPr>
              <w:t xml:space="preserve">Remove restrictions on minimum dwelling sizes, minimum balcony sizes and storage requirements for apartments. </w:t>
            </w:r>
            <w:r>
              <w:t>State, territory and local governments should avoid regulating observable characteristics that do not negatively affect the wider community.</w:t>
            </w:r>
          </w:p>
        </w:tc>
      </w:tr>
      <w:tr w:rsidR="000A2D7A" w14:paraId="55D58D2E" w14:textId="77777777">
        <w:tc>
          <w:tcPr>
            <w:tcW w:w="9583" w:type="dxa"/>
            <w:gridSpan w:val="2"/>
            <w:shd w:val="clear" w:color="auto" w:fill="auto"/>
            <w:tcMar>
              <w:top w:w="0" w:type="dxa"/>
              <w:bottom w:w="0" w:type="dxa"/>
            </w:tcMar>
          </w:tcPr>
          <w:p w14:paraId="20DCE8A4" w14:textId="68509F53" w:rsidR="000A2D7A" w:rsidRPr="007E0EA8" w:rsidRDefault="000A2D7A">
            <w:pPr>
              <w:pStyle w:val="NoSpacing"/>
              <w:spacing w:line="200" w:lineRule="exact"/>
            </w:pPr>
          </w:p>
        </w:tc>
      </w:tr>
    </w:tbl>
    <w:p w14:paraId="7C9600FD" w14:textId="77777777" w:rsidR="000A2D7A" w:rsidRDefault="000A2D7A">
      <w:pPr>
        <w:pStyle w:val="Heading3"/>
      </w:pPr>
      <w:r>
        <w:t>Upzoning requires strategic planning to succeed</w:t>
      </w:r>
    </w:p>
    <w:p w14:paraId="21B0DD9A" w14:textId="77777777" w:rsidR="000A2D7A" w:rsidRDefault="000A2D7A">
      <w:pPr>
        <w:pStyle w:val="BodyText"/>
      </w:pPr>
      <w:r>
        <w:t>Successful upzoning, particularly reforms that enable substantially higher densities,</w:t>
      </w:r>
      <w:r w:rsidRPr="009468E6">
        <w:t xml:space="preserve"> will require upfront planning to ensure infrastructure keeps pace with population growth, housing is well connected to jobs, transport and services,</w:t>
      </w:r>
      <w:r>
        <w:t xml:space="preserve"> local amenity is protected,</w:t>
      </w:r>
      <w:r w:rsidRPr="009468E6">
        <w:t xml:space="preserve"> and communities understand and support the changes.</w:t>
      </w:r>
      <w:r>
        <w:t xml:space="preserve"> Strategic planning, particularly around the provision of infrastructure, has been identified as critical for community acceptance of upzoning measures. A survey by AMPLIFY (sub. 42, p. 11) found that 73% of Australians support more townhouses and apartments if the additional density is paired with investment in new public transport. The PC will consider this in more detail in its final report.</w:t>
      </w:r>
    </w:p>
    <w:p w14:paraId="193221CF" w14:textId="77777777" w:rsidR="000A2D7A" w:rsidRDefault="000A2D7A">
      <w:pPr>
        <w:pStyle w:val="Heading2"/>
      </w:pPr>
      <w:bookmarkStart w:id="26" w:name="_Toc235103149"/>
      <w:r>
        <w:t>Inquiry next steps on land</w:t>
      </w:r>
      <w:r>
        <w:noBreakHyphen/>
        <w:t>use regulation</w:t>
      </w:r>
      <w:bookmarkEnd w:id="26"/>
      <w:r>
        <w:t xml:space="preserve"> </w:t>
      </w:r>
    </w:p>
    <w:p w14:paraId="3347B2E7" w14:textId="77777777" w:rsidR="000A2D7A" w:rsidRDefault="000A2D7A">
      <w:pPr>
        <w:pStyle w:val="BodyText"/>
      </w:pPr>
      <w:r>
        <w:t>The interim report provides broad reform directions based on existing evidence on the impact of different land</w:t>
      </w:r>
      <w:r>
        <w:noBreakHyphen/>
        <w:t xml:space="preserve">use controls on housing supply. The report aims to give policymakers and stakeholders an understanding of where the evidence stands and what the gaps are. </w:t>
      </w:r>
    </w:p>
    <w:p w14:paraId="60A7244E" w14:textId="2A5B1A42" w:rsidR="000A2D7A" w:rsidRPr="00B97C8C" w:rsidRDefault="000A2D7A">
      <w:pPr>
        <w:pStyle w:val="BodyText"/>
        <w:rPr>
          <w:spacing w:val="-2"/>
        </w:rPr>
      </w:pPr>
      <w:r w:rsidRPr="00B97C8C">
        <w:rPr>
          <w:spacing w:val="-2"/>
        </w:rPr>
        <w:t>Our final report will provide more specific recommendations for each state and territory, based on quantitative analysis and consultation. While we have provided general directions, the effects of reforms are likely to vary significantly by jurisdiction. This will depend on factors such as the commercial feasibility of different housing types, existing planning controls, and what types of development are already permissible. For example, reforms that increase the permissibility of apartments may have greater impacts in Queensland and New South Wales, since Sydney and Brisbane have higher levels of feasibility for developing mid</w:t>
      </w:r>
      <w:r w:rsidRPr="00B97C8C">
        <w:rPr>
          <w:spacing w:val="-2"/>
        </w:rPr>
        <w:noBreakHyphen/>
        <w:t xml:space="preserve"> and high</w:t>
      </w:r>
      <w:r w:rsidRPr="00B97C8C">
        <w:rPr>
          <w:spacing w:val="-2"/>
        </w:rPr>
        <w:noBreakHyphen/>
        <w:t xml:space="preserve">rise apartments, relative to other cities </w:t>
      </w:r>
      <w:r w:rsidRPr="00B97C8C">
        <w:rPr>
          <w:rFonts w:cs="Open Sans"/>
          <w:spacing w:val="-2"/>
        </w:rPr>
        <w:t>(CIE 2024, p. 5)</w:t>
      </w:r>
      <w:r w:rsidRPr="00B97C8C">
        <w:rPr>
          <w:spacing w:val="-2"/>
        </w:rPr>
        <w:t xml:space="preserve">. </w:t>
      </w:r>
    </w:p>
    <w:p w14:paraId="07289CC1" w14:textId="75194F1D" w:rsidR="000A2D7A" w:rsidRDefault="000A2D7A">
      <w:pPr>
        <w:pStyle w:val="BodyText"/>
      </w:pPr>
      <w:r>
        <w:t>We will also focus more on potential implementation challenges and consider in more detail how the potential negative externalities of different reform options should be considered when prioritising reforms. For example, high</w:t>
      </w:r>
      <w:r>
        <w:noBreakHyphen/>
        <w:t xml:space="preserve">rise apartments </w:t>
      </w:r>
      <w:r w:rsidRPr="006079EE">
        <w:t>will likely increase commercially feasible zoned capacity more</w:t>
      </w:r>
      <w:r>
        <w:t xml:space="preserve"> than</w:t>
      </w:r>
      <w:r w:rsidRPr="006079EE">
        <w:t xml:space="preserve"> reforms to allow mid</w:t>
      </w:r>
      <w:r>
        <w:noBreakHyphen/>
      </w:r>
      <w:r w:rsidRPr="006079EE">
        <w:t>rise apartments</w:t>
      </w:r>
      <w:r>
        <w:t xml:space="preserve">, so may be desirable from a supply perspective. But </w:t>
      </w:r>
      <w:r w:rsidRPr="006079EE">
        <w:lastRenderedPageBreak/>
        <w:t>high</w:t>
      </w:r>
      <w:r>
        <w:noBreakHyphen/>
      </w:r>
      <w:r w:rsidRPr="006079EE">
        <w:t xml:space="preserve">rise apartments can have greater negative impacts on </w:t>
      </w:r>
      <w:r>
        <w:t xml:space="preserve">nearby </w:t>
      </w:r>
      <w:r w:rsidRPr="006079EE">
        <w:t>residents relative to mid</w:t>
      </w:r>
      <w:r>
        <w:noBreakHyphen/>
      </w:r>
      <w:r w:rsidRPr="006079EE">
        <w:t>rise apartments through things like higher loss of sunlight and privacy</w:t>
      </w:r>
      <w:r>
        <w:t>, traffic congestion</w:t>
      </w:r>
      <w:r w:rsidRPr="006079EE">
        <w:t xml:space="preserve"> and </w:t>
      </w:r>
      <w:r>
        <w:t>strain on infrastructure</w:t>
      </w:r>
      <w:r w:rsidRPr="006079EE">
        <w:t xml:space="preserve">. </w:t>
      </w:r>
      <w:r>
        <w:t xml:space="preserve">While existing evidence suggests these externalities tend to be minimal </w:t>
      </w:r>
      <w:r w:rsidRPr="000657C8">
        <w:t>(Tulip and Lanigan 2021)</w:t>
      </w:r>
      <w:r>
        <w:t>, t</w:t>
      </w:r>
      <w:r w:rsidRPr="00D62103">
        <w:t>he experience of minimum</w:t>
      </w:r>
      <w:r>
        <w:t xml:space="preserve"> </w:t>
      </w:r>
      <w:r w:rsidRPr="00D62103">
        <w:t>lot</w:t>
      </w:r>
      <w:r>
        <w:t xml:space="preserve"> </w:t>
      </w:r>
      <w:r w:rsidRPr="00D62103">
        <w:t>size reform in Adelaide suggests that even small perceived externalities, such as parking congestion, can generate substantial community opposition</w:t>
      </w:r>
      <w:r>
        <w:t xml:space="preserve"> </w:t>
      </w:r>
      <w:r w:rsidRPr="006A31EE">
        <w:rPr>
          <w:rFonts w:cs="Open Sans"/>
        </w:rPr>
        <w:t>(Behrens et al. </w:t>
      </w:r>
      <w:r w:rsidR="00426AF5">
        <w:rPr>
          <w:rFonts w:cs="Open Sans"/>
        </w:rPr>
        <w:t>2026</w:t>
      </w:r>
      <w:r w:rsidRPr="006A31EE">
        <w:rPr>
          <w:rFonts w:cs="Open Sans"/>
        </w:rPr>
        <w:t>)</w:t>
      </w:r>
      <w:r w:rsidRPr="00D62103">
        <w:t>.</w:t>
      </w:r>
      <w:r>
        <w:t xml:space="preserve"> </w:t>
      </w:r>
    </w:p>
    <w:p w14:paraId="3C12587A" w14:textId="77777777" w:rsidR="000A2D7A" w:rsidRDefault="000A2D7A">
      <w:pPr>
        <w:pStyle w:val="BodyText"/>
      </w:pPr>
      <w:r>
        <w:t>We seek further information on the benefits and trade</w:t>
      </w:r>
      <w:r>
        <w:noBreakHyphen/>
        <w:t>offs associated with different reform options to inform our final report.</w:t>
      </w:r>
    </w:p>
    <w:p w14:paraId="26D91B49" w14:textId="4374EC19" w:rsidR="000A2D7A" w:rsidRDefault="000A2D7A">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A2D7A" w14:paraId="621E7971" w14:textId="77777777">
        <w:trPr>
          <w:trHeight w:val="765"/>
          <w:tblHeader/>
        </w:trPr>
        <w:tc>
          <w:tcPr>
            <w:tcW w:w="366" w:type="pct"/>
            <w:shd w:val="clear" w:color="auto" w:fill="EBEBEB"/>
            <w:tcMar>
              <w:bottom w:w="0" w:type="dxa"/>
            </w:tcMar>
            <w:vAlign w:val="center"/>
          </w:tcPr>
          <w:p w14:paraId="71F886A0" w14:textId="77777777" w:rsidR="000A2D7A" w:rsidRDefault="000A2D7A">
            <w:pPr>
              <w:pStyle w:val="NoSpacing"/>
              <w:keepNext/>
              <w:keepLines/>
              <w:jc w:val="right"/>
            </w:pPr>
            <w:r w:rsidRPr="00A51374">
              <w:rPr>
                <w:noProof/>
              </w:rPr>
              <w:drawing>
                <wp:inline distT="0" distB="0" distL="0" distR="0" wp14:anchorId="2352C5F0" wp14:editId="39803F56">
                  <wp:extent cx="288000" cy="288000"/>
                  <wp:effectExtent l="0" t="0" r="0" b="0"/>
                  <wp:docPr id="1071292923" name="Graphic 10712929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6651906C" w14:textId="5E692E8B" w:rsidR="000A2D7A" w:rsidRPr="002530FF" w:rsidRDefault="000A2D7A">
            <w:pPr>
              <w:pStyle w:val="FindingRecRequesttitle"/>
            </w:pPr>
            <w:r w:rsidRPr="000B0B71">
              <w:t xml:space="preserve">Information request </w:t>
            </w:r>
            <w:r w:rsidR="00CB06D8">
              <w:rPr>
                <w:noProof/>
              </w:rPr>
              <w:t>2</w:t>
            </w:r>
            <w:r w:rsidRPr="00DF7217">
              <w:t>.</w:t>
            </w:r>
            <w:r w:rsidR="00CB06D8">
              <w:rPr>
                <w:noProof/>
              </w:rPr>
              <w:t>3</w:t>
            </w:r>
          </w:p>
        </w:tc>
      </w:tr>
      <w:tr w:rsidR="000A2D7A" w:rsidRPr="000956E1" w14:paraId="0759472E" w14:textId="77777777">
        <w:tc>
          <w:tcPr>
            <w:tcW w:w="5000" w:type="pct"/>
            <w:gridSpan w:val="2"/>
            <w:shd w:val="clear" w:color="auto" w:fill="EBEBEB"/>
          </w:tcPr>
          <w:p w14:paraId="4625C7B5" w14:textId="77777777" w:rsidR="000A2D7A" w:rsidRPr="000956E1" w:rsidRDefault="000A2D7A" w:rsidP="00E11D04">
            <w:pPr>
              <w:pStyle w:val="ListBullet"/>
              <w:rPr>
                <w:color w:val="265A9A" w:themeColor="background2"/>
              </w:rPr>
            </w:pPr>
            <w:r w:rsidRPr="000956E1">
              <w:rPr>
                <w:color w:val="265A9A" w:themeColor="background2"/>
              </w:rPr>
              <w:t>What evidence do you have on which land</w:t>
            </w:r>
            <w:r w:rsidRPr="000956E1">
              <w:rPr>
                <w:color w:val="265A9A" w:themeColor="background2"/>
              </w:rPr>
              <w:noBreakHyphen/>
              <w:t xml:space="preserve">use controls or combinations of controls are the greatest constraint on housing supply in your jurisdiction? </w:t>
            </w:r>
          </w:p>
          <w:p w14:paraId="326B348F" w14:textId="77777777" w:rsidR="000A2D7A" w:rsidRPr="000956E1" w:rsidRDefault="000A2D7A" w:rsidP="00E11D04">
            <w:pPr>
              <w:pStyle w:val="ListBullet"/>
              <w:rPr>
                <w:color w:val="265A9A" w:themeColor="background2"/>
              </w:rPr>
            </w:pPr>
            <w:r w:rsidRPr="000956E1">
              <w:rPr>
                <w:color w:val="265A9A" w:themeColor="background2"/>
              </w:rPr>
              <w:t>What reforms to land</w:t>
            </w:r>
            <w:r w:rsidRPr="000956E1">
              <w:rPr>
                <w:color w:val="265A9A" w:themeColor="background2"/>
              </w:rPr>
              <w:noBreakHyphen/>
              <w:t>use controls are likely to boost housing supply in each jurisdiction? What are the expected impacts of reforms on zoned capacity, commercially feasible capacity and/or other measures of supply? What are the expected impacts on positive and negative externalities? We are particularly interested in quantitative evidence on reforms to minimum lot size and reducing coverage of broad heritage controls.</w:t>
            </w:r>
          </w:p>
          <w:p w14:paraId="55CC2891" w14:textId="77777777" w:rsidR="000A2D7A" w:rsidRPr="000956E1" w:rsidRDefault="000A2D7A" w:rsidP="00E11D04">
            <w:pPr>
              <w:pStyle w:val="ListBullet"/>
              <w:rPr>
                <w:color w:val="265A9A" w:themeColor="background2"/>
              </w:rPr>
            </w:pPr>
            <w:r w:rsidRPr="000956E1">
              <w:rPr>
                <w:color w:val="265A9A" w:themeColor="background2"/>
              </w:rPr>
              <w:t>How should potential reforms be implemented? What does the evidence show about the effectiveness of past zoning and land</w:t>
            </w:r>
            <w:r w:rsidRPr="000956E1">
              <w:rPr>
                <w:color w:val="265A9A" w:themeColor="background2"/>
              </w:rPr>
              <w:noBreakHyphen/>
              <w:t>use reforms in Australia?</w:t>
            </w:r>
          </w:p>
          <w:p w14:paraId="143D1B9E" w14:textId="77777777" w:rsidR="000A2D7A" w:rsidRPr="000956E1" w:rsidRDefault="000A2D7A" w:rsidP="00E11D04">
            <w:pPr>
              <w:pStyle w:val="ListBullet"/>
              <w:rPr>
                <w:color w:val="265A9A" w:themeColor="background2"/>
              </w:rPr>
            </w:pPr>
            <w:r w:rsidRPr="000956E1">
              <w:rPr>
                <w:color w:val="265A9A" w:themeColor="background2"/>
              </w:rPr>
              <w:t>What evidence do you have on the effects of mandatory and voluntary inclusionary zoning requirements for affordable housing on housing supply and affordability?</w:t>
            </w:r>
          </w:p>
        </w:tc>
      </w:tr>
      <w:tr w:rsidR="000A2D7A" w14:paraId="02DE27C0" w14:textId="77777777">
        <w:tc>
          <w:tcPr>
            <w:tcW w:w="5000" w:type="pct"/>
            <w:gridSpan w:val="2"/>
            <w:tcMar>
              <w:bottom w:w="0" w:type="dxa"/>
            </w:tcMar>
          </w:tcPr>
          <w:p w14:paraId="070C6DD5" w14:textId="77925B36" w:rsidR="000A2D7A" w:rsidRDefault="000A2D7A">
            <w:pPr>
              <w:pStyle w:val="NoSpacing"/>
              <w:spacing w:line="200" w:lineRule="atLeast"/>
            </w:pPr>
          </w:p>
        </w:tc>
      </w:tr>
    </w:tbl>
    <w:p w14:paraId="4793546B" w14:textId="77777777" w:rsidR="00C42F53" w:rsidRDefault="00C42F53">
      <w:pPr>
        <w:spacing w:before="0" w:after="160" w:line="259" w:lineRule="auto"/>
        <w:sectPr w:rsidR="00C42F53" w:rsidSect="00176281">
          <w:headerReference w:type="even" r:id="rId72"/>
          <w:headerReference w:type="default" r:id="rId73"/>
          <w:footerReference w:type="even" r:id="rId74"/>
          <w:footerReference w:type="default" r:id="rId75"/>
          <w:headerReference w:type="first" r:id="rId76"/>
          <w:type w:val="oddPage"/>
          <w:pgSz w:w="11906" w:h="16838" w:code="9"/>
          <w:pgMar w:top="1134" w:right="1134" w:bottom="1134" w:left="1134" w:header="794" w:footer="510" w:gutter="0"/>
          <w:cols w:space="708"/>
          <w:docGrid w:linePitch="360"/>
        </w:sectPr>
      </w:pPr>
    </w:p>
    <w:p w14:paraId="1FA79A0A" w14:textId="6CE32FF9" w:rsidR="002E1C0B" w:rsidRDefault="002E1C0B">
      <w:pPr>
        <w:spacing w:before="0" w:after="160" w:line="259" w:lineRule="auto"/>
      </w:pPr>
    </w:p>
    <w:p w14:paraId="1A4F35A5" w14:textId="77777777" w:rsidR="002E1C0B" w:rsidRPr="00116B85" w:rsidRDefault="002E1C0B">
      <w:pPr>
        <w:spacing w:before="0" w:after="160" w:line="259" w:lineRule="auto"/>
      </w:pPr>
    </w:p>
    <w:p w14:paraId="048999D9" w14:textId="77777777" w:rsidR="00D95005" w:rsidRDefault="00D95005" w:rsidP="00E76EEC">
      <w:pPr>
        <w:pStyle w:val="BodyText"/>
        <w:sectPr w:rsidR="00D95005" w:rsidSect="00C42F53">
          <w:headerReference w:type="even" r:id="rId77"/>
          <w:pgSz w:w="11906" w:h="16838" w:code="9"/>
          <w:pgMar w:top="1134" w:right="1134" w:bottom="1134" w:left="1134" w:header="794" w:footer="510" w:gutter="0"/>
          <w:cols w:space="708"/>
          <w:docGrid w:linePitch="360"/>
        </w:sectPr>
      </w:pPr>
    </w:p>
    <w:p w14:paraId="3462443F" w14:textId="77777777" w:rsidR="00D95005" w:rsidRDefault="00D95005">
      <w:pPr>
        <w:pStyle w:val="Heading1"/>
      </w:pPr>
      <w:bookmarkStart w:id="27" w:name="_Toc235103150"/>
      <w:r w:rsidDel="00705D59">
        <w:lastRenderedPageBreak/>
        <w:t>R</w:t>
      </w:r>
      <w:r>
        <w:t>educing the burden of approvals</w:t>
      </w:r>
      <w:bookmarkEnd w:id="27"/>
    </w:p>
    <w:tbl>
      <w:tblPr>
        <w:tblStyle w:val="Texttable-Paleblue"/>
        <w:tblW w:w="5000" w:type="pct"/>
        <w:shd w:val="clear" w:color="auto" w:fill="E7F6FD"/>
        <w:tblLook w:val="04A0" w:firstRow="1" w:lastRow="0" w:firstColumn="1" w:lastColumn="0" w:noHBand="0" w:noVBand="1"/>
      </w:tblPr>
      <w:tblGrid>
        <w:gridCol w:w="869"/>
        <w:gridCol w:w="8769"/>
      </w:tblGrid>
      <w:tr w:rsidR="00D95005" w:rsidRPr="002F759A" w14:paraId="281DB3D3" w14:textId="77777777">
        <w:tc>
          <w:tcPr>
            <w:tcW w:w="9638" w:type="dxa"/>
            <w:gridSpan w:val="2"/>
            <w:shd w:val="clear" w:color="auto" w:fill="E7F6FD"/>
            <w:tcMar>
              <w:left w:w="170" w:type="dxa"/>
            </w:tcMar>
          </w:tcPr>
          <w:p w14:paraId="38E0EE2B" w14:textId="77777777" w:rsidR="00D95005" w:rsidRPr="002F759A" w:rsidRDefault="00D95005">
            <w:pPr>
              <w:pStyle w:val="Keypoints-heading"/>
            </w:pPr>
            <w:r w:rsidRPr="00B96774">
              <w:t>Key points</w:t>
            </w:r>
          </w:p>
        </w:tc>
      </w:tr>
      <w:tr w:rsidR="00D95005" w14:paraId="01E72E01" w14:textId="77777777">
        <w:tc>
          <w:tcPr>
            <w:tcW w:w="869" w:type="dxa"/>
            <w:shd w:val="clear" w:color="auto" w:fill="E7F6FD"/>
            <w:tcMar>
              <w:top w:w="0" w:type="dxa"/>
              <w:bottom w:w="0" w:type="dxa"/>
              <w:right w:w="113" w:type="dxa"/>
            </w:tcMar>
          </w:tcPr>
          <w:p w14:paraId="16887514" w14:textId="77777777" w:rsidR="00D95005" w:rsidRDefault="00D95005" w:rsidP="000C6B77">
            <w:pPr>
              <w:pStyle w:val="KeyPointsicon"/>
            </w:pPr>
            <w:r w:rsidRPr="00A51374">
              <w:rPr>
                <w:noProof/>
              </w:rPr>
              <w:drawing>
                <wp:inline distT="0" distB="0" distL="0" distR="0" wp14:anchorId="1DAF4A13" wp14:editId="68B97EEF">
                  <wp:extent cx="180000" cy="180000"/>
                  <wp:effectExtent l="0" t="0" r="0" b="0"/>
                  <wp:docPr id="1180676396" name="Graphic 11806763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8769" w:type="dxa"/>
            <w:shd w:val="clear" w:color="auto" w:fill="E7F6FD"/>
            <w:tcMar>
              <w:top w:w="28" w:type="dxa"/>
              <w:left w:w="28" w:type="dxa"/>
            </w:tcMar>
          </w:tcPr>
          <w:p w14:paraId="0C00486D" w14:textId="77777777" w:rsidR="00D95005" w:rsidRDefault="00D95005">
            <w:pPr>
              <w:pStyle w:val="KeyPoints-Bold"/>
            </w:pPr>
            <w:r>
              <w:t>State, territory and local governments need to assess new developments to make sure housing is built to an appropriate standard. But when approval</w:t>
            </w:r>
            <w:r w:rsidDel="002024B0">
              <w:t>s</w:t>
            </w:r>
            <w:r>
              <w:t xml:space="preserve"> processes are overly complex or unpredictable, the cost of developing new housing goes up, and fewer homes get built.</w:t>
            </w:r>
          </w:p>
        </w:tc>
      </w:tr>
      <w:tr w:rsidR="00D95005" w14:paraId="3C689CDD" w14:textId="77777777">
        <w:trPr>
          <w:trHeight w:val="1710"/>
        </w:trPr>
        <w:tc>
          <w:tcPr>
            <w:tcW w:w="869" w:type="dxa"/>
            <w:shd w:val="clear" w:color="auto" w:fill="E7F6FD"/>
            <w:tcMar>
              <w:top w:w="0" w:type="dxa"/>
              <w:bottom w:w="0" w:type="dxa"/>
              <w:right w:w="113" w:type="dxa"/>
            </w:tcMar>
          </w:tcPr>
          <w:p w14:paraId="1CDC9CE1" w14:textId="77777777" w:rsidR="00D95005" w:rsidRPr="00A51374" w:rsidRDefault="00D95005" w:rsidP="000C6B77">
            <w:pPr>
              <w:pStyle w:val="KeyPointsicon"/>
            </w:pPr>
            <w:r w:rsidRPr="00F31E73">
              <w:rPr>
                <w:noProof/>
              </w:rPr>
              <w:drawing>
                <wp:inline distT="0" distB="0" distL="0" distR="0" wp14:anchorId="2F479455" wp14:editId="68123DDE">
                  <wp:extent cx="180000" cy="180000"/>
                  <wp:effectExtent l="0" t="0" r="0" b="0"/>
                  <wp:docPr id="511117895" name="Graphic 5111178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8769" w:type="dxa"/>
            <w:shd w:val="clear" w:color="auto" w:fill="E7F6FD"/>
            <w:tcMar>
              <w:top w:w="28" w:type="dxa"/>
              <w:left w:w="28" w:type="dxa"/>
            </w:tcMar>
          </w:tcPr>
          <w:p w14:paraId="567B2647" w14:textId="77777777" w:rsidR="00D95005" w:rsidRPr="005835A7" w:rsidRDefault="00D95005" w:rsidP="00610627">
            <w:pPr>
              <w:pStyle w:val="KeyPoints-Bold"/>
            </w:pPr>
            <w:r w:rsidRPr="005835A7">
              <w:t xml:space="preserve">The process for receiving regulatory approvals for new housing is a significant barrier for many developments. </w:t>
            </w:r>
          </w:p>
          <w:p w14:paraId="4D7847A9" w14:textId="77777777" w:rsidR="00D95005" w:rsidRPr="005835A7" w:rsidRDefault="00D95005">
            <w:pPr>
              <w:pStyle w:val="KeyPoints-Bullet"/>
            </w:pPr>
            <w:r w:rsidRPr="005835A7">
              <w:t>The Productivity Commission has heard of developments that were abandoned or significantly delayed due to slow decisions, contradictory requirements</w:t>
            </w:r>
            <w:r>
              <w:t>,</w:t>
            </w:r>
            <w:r w:rsidRPr="005835A7">
              <w:t xml:space="preserve"> requirements that are impossible to meet </w:t>
            </w:r>
            <w:r>
              <w:t>or</w:t>
            </w:r>
            <w:r w:rsidRPr="005835A7">
              <w:t xml:space="preserve"> complex application processes. </w:t>
            </w:r>
          </w:p>
          <w:p w14:paraId="1A61FE61" w14:textId="77777777" w:rsidR="00D95005" w:rsidRPr="005835A7" w:rsidRDefault="00D95005">
            <w:pPr>
              <w:pStyle w:val="KeyPoints-Bullet"/>
            </w:pPr>
            <w:r w:rsidRPr="005835A7">
              <w:t>Developers may choose to avoid undertaking projects due</w:t>
            </w:r>
            <w:r>
              <w:t xml:space="preserve"> to</w:t>
            </w:r>
            <w:r w:rsidRPr="005835A7">
              <w:t xml:space="preserve"> the risk of long delays. </w:t>
            </w:r>
          </w:p>
        </w:tc>
      </w:tr>
      <w:tr w:rsidR="00D95005" w14:paraId="0CE692C6" w14:textId="77777777">
        <w:tc>
          <w:tcPr>
            <w:tcW w:w="869" w:type="dxa"/>
            <w:shd w:val="clear" w:color="auto" w:fill="E7F6FD"/>
            <w:tcMar>
              <w:top w:w="0" w:type="dxa"/>
              <w:bottom w:w="0" w:type="dxa"/>
              <w:right w:w="113" w:type="dxa"/>
            </w:tcMar>
          </w:tcPr>
          <w:p w14:paraId="1456AB05" w14:textId="77777777" w:rsidR="00D95005" w:rsidRPr="00A51374" w:rsidRDefault="00D95005" w:rsidP="000C6B77">
            <w:pPr>
              <w:pStyle w:val="KeyPointsicon"/>
            </w:pPr>
            <w:r w:rsidRPr="00F31E73">
              <w:rPr>
                <w:noProof/>
              </w:rPr>
              <w:drawing>
                <wp:inline distT="0" distB="0" distL="0" distR="0" wp14:anchorId="1EDC684F" wp14:editId="089A5F71">
                  <wp:extent cx="180000" cy="180000"/>
                  <wp:effectExtent l="0" t="0" r="0" b="0"/>
                  <wp:docPr id="1492113674" name="Graphic 14921136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8769" w:type="dxa"/>
            <w:shd w:val="clear" w:color="auto" w:fill="E7F6FD"/>
            <w:tcMar>
              <w:top w:w="28" w:type="dxa"/>
              <w:left w:w="28" w:type="dxa"/>
            </w:tcMar>
          </w:tcPr>
          <w:p w14:paraId="5BEBA566" w14:textId="77777777" w:rsidR="00D95005" w:rsidRDefault="00D95005" w:rsidP="00610627">
            <w:pPr>
              <w:pStyle w:val="KeyPoints-Bold"/>
            </w:pPr>
            <w:r>
              <w:t>Australian governments have recognised the need for simple, streamlined approvals processes for new housing in the National Housing Accord and other recent reforms. Many states and territories are establishing or expanding the use of streamlined approval pathways. But there is still room to make approval</w:t>
            </w:r>
            <w:r w:rsidDel="00257835">
              <w:t>s</w:t>
            </w:r>
            <w:r>
              <w:t xml:space="preserve"> processes less complex and more efficient. </w:t>
            </w:r>
          </w:p>
          <w:p w14:paraId="7A3517F0" w14:textId="77777777" w:rsidR="00D95005" w:rsidRDefault="00D95005">
            <w:pPr>
              <w:pStyle w:val="KeyPoints-Bullet"/>
            </w:pPr>
            <w:r>
              <w:t>States and territories should continue to move more approvals towards tiered assessment pathways based on project complexity.</w:t>
            </w:r>
          </w:p>
          <w:p w14:paraId="61E442E1" w14:textId="77777777" w:rsidR="00D95005" w:rsidRPr="00610627" w:rsidRDefault="00D95005">
            <w:pPr>
              <w:pStyle w:val="KeyPoints-Bullet"/>
            </w:pPr>
            <w:r>
              <w:t>Tiered pathways should be supported by coordination bodies to help resolve conflicts and delays, better accountability and reporting of timeframes, and the use of technology including AI to support efficient decision</w:t>
            </w:r>
            <w:r>
              <w:noBreakHyphen/>
              <w:t>making.</w:t>
            </w:r>
          </w:p>
        </w:tc>
      </w:tr>
      <w:tr w:rsidR="00D95005" w14:paraId="6B53A8F4" w14:textId="77777777">
        <w:tc>
          <w:tcPr>
            <w:tcW w:w="869" w:type="dxa"/>
            <w:shd w:val="clear" w:color="auto" w:fill="E7F6FD"/>
            <w:tcMar>
              <w:top w:w="0" w:type="dxa"/>
              <w:bottom w:w="0" w:type="dxa"/>
              <w:right w:w="113" w:type="dxa"/>
            </w:tcMar>
          </w:tcPr>
          <w:p w14:paraId="04997207" w14:textId="77777777" w:rsidR="00D95005" w:rsidRPr="00F31E73" w:rsidRDefault="00D95005">
            <w:pPr>
              <w:pStyle w:val="KeyPointsicon"/>
              <w:ind w:left="360"/>
              <w:rPr>
                <w:noProof/>
              </w:rPr>
            </w:pPr>
            <w:r w:rsidRPr="00F31E73">
              <w:rPr>
                <w:noProof/>
              </w:rPr>
              <w:drawing>
                <wp:inline distT="0" distB="0" distL="0" distR="0" wp14:anchorId="254C2321" wp14:editId="74EC81DA">
                  <wp:extent cx="180000" cy="180000"/>
                  <wp:effectExtent l="0" t="0" r="0" b="0"/>
                  <wp:docPr id="1188333411" name="Graphic 11883334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8769" w:type="dxa"/>
            <w:shd w:val="clear" w:color="auto" w:fill="E7F6FD"/>
            <w:tcMar>
              <w:top w:w="28" w:type="dxa"/>
              <w:left w:w="28" w:type="dxa"/>
            </w:tcMar>
          </w:tcPr>
          <w:p w14:paraId="0DB81D96" w14:textId="77777777" w:rsidR="00D95005" w:rsidRDefault="00D95005">
            <w:pPr>
              <w:pStyle w:val="KeyPoints-Bold"/>
            </w:pPr>
            <w:r w:rsidRPr="00285705">
              <w:t>Strategic planning should account for infrastructure needs and the environmental and social trade</w:t>
            </w:r>
            <w:r>
              <w:noBreakHyphen/>
            </w:r>
            <w:r w:rsidRPr="00285705">
              <w:t>offs of higher</w:t>
            </w:r>
            <w:r>
              <w:noBreakHyphen/>
            </w:r>
            <w:r w:rsidRPr="00285705">
              <w:t xml:space="preserve">density and greenfield housing. </w:t>
            </w:r>
            <w:r>
              <w:t>T</w:t>
            </w:r>
            <w:r w:rsidRPr="00285705">
              <w:t xml:space="preserve">hese decisions should be reflected in planning schemes to give developers clearer </w:t>
            </w:r>
            <w:r>
              <w:t xml:space="preserve">and faster </w:t>
            </w:r>
            <w:r w:rsidRPr="00285705">
              <w:t>approval pathways</w:t>
            </w:r>
            <w:r>
              <w:t>.</w:t>
            </w:r>
          </w:p>
        </w:tc>
      </w:tr>
      <w:tr w:rsidR="00D95005" w14:paraId="5B6DD865" w14:textId="77777777">
        <w:tc>
          <w:tcPr>
            <w:tcW w:w="869" w:type="dxa"/>
            <w:shd w:val="clear" w:color="auto" w:fill="E7F6FD"/>
            <w:tcMar>
              <w:top w:w="0" w:type="dxa"/>
              <w:bottom w:w="0" w:type="dxa"/>
              <w:right w:w="113" w:type="dxa"/>
            </w:tcMar>
          </w:tcPr>
          <w:p w14:paraId="038591F4" w14:textId="77777777" w:rsidR="00D95005" w:rsidRPr="00F31E73" w:rsidRDefault="00D95005">
            <w:pPr>
              <w:pStyle w:val="KeyPointsicon"/>
              <w:ind w:left="360"/>
              <w:rPr>
                <w:noProof/>
              </w:rPr>
            </w:pPr>
            <w:r w:rsidRPr="00F31E73">
              <w:rPr>
                <w:noProof/>
              </w:rPr>
              <w:drawing>
                <wp:inline distT="0" distB="0" distL="0" distR="0" wp14:anchorId="303E725F" wp14:editId="66B668D2">
                  <wp:extent cx="180000" cy="180000"/>
                  <wp:effectExtent l="0" t="0" r="0" b="0"/>
                  <wp:docPr id="1916419620" name="Graphic 1916419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8769" w:type="dxa"/>
            <w:shd w:val="clear" w:color="auto" w:fill="E7F6FD"/>
            <w:tcMar>
              <w:top w:w="28" w:type="dxa"/>
              <w:left w:w="28" w:type="dxa"/>
            </w:tcMar>
          </w:tcPr>
          <w:p w14:paraId="363CF41D" w14:textId="77777777" w:rsidR="00D95005" w:rsidRPr="00285705" w:rsidRDefault="00D95005">
            <w:pPr>
              <w:pStyle w:val="KeyPoints-Bold"/>
            </w:pPr>
            <w:r>
              <w:t>The PC is seeking feedback on which reforms are the most important for reducing the burden and increasing the speed of approvals.</w:t>
            </w:r>
          </w:p>
        </w:tc>
      </w:tr>
    </w:tbl>
    <w:p w14:paraId="2963E94C" w14:textId="77777777" w:rsidR="00D95005" w:rsidRDefault="00D95005">
      <w:pPr>
        <w:pStyle w:val="NoSpacing"/>
      </w:pPr>
    </w:p>
    <w:p w14:paraId="78F9E0F2" w14:textId="77777777" w:rsidR="00D95005" w:rsidRDefault="00D95005">
      <w:pPr>
        <w:pStyle w:val="FigureTableHeading"/>
        <w:rPr>
          <w:rStyle w:val="normaltextrun"/>
        </w:rPr>
        <w:sectPr w:rsidR="00D95005" w:rsidSect="001C6EBC">
          <w:headerReference w:type="even" r:id="rId78"/>
          <w:footerReference w:type="even" r:id="rId79"/>
          <w:footerReference w:type="default" r:id="rId80"/>
          <w:headerReference w:type="first" r:id="rId81"/>
          <w:type w:val="oddPage"/>
          <w:pgSz w:w="11906" w:h="16838" w:code="9"/>
          <w:pgMar w:top="1134" w:right="1134" w:bottom="1134" w:left="1134" w:header="794" w:footer="510" w:gutter="0"/>
          <w:cols w:space="708"/>
          <w:docGrid w:linePitch="360"/>
        </w:sectPr>
      </w:pPr>
    </w:p>
    <w:p w14:paraId="2537AA0A" w14:textId="77777777" w:rsidR="00D95005" w:rsidRDefault="00D95005">
      <w:pPr>
        <w:pStyle w:val="Heading2"/>
      </w:pPr>
      <w:bookmarkStart w:id="28" w:name="_Toc235103151"/>
      <w:r>
        <w:lastRenderedPageBreak/>
        <w:t>The process for approval can be challenging and costly for developers</w:t>
      </w:r>
      <w:bookmarkEnd w:id="28"/>
    </w:p>
    <w:p w14:paraId="6382FA80" w14:textId="77777777" w:rsidR="00D95005" w:rsidRDefault="00D95005">
      <w:pPr>
        <w:pStyle w:val="BodyText"/>
      </w:pPr>
      <w:r w:rsidDel="0065398D">
        <w:t xml:space="preserve">The process for </w:t>
      </w:r>
      <w:r>
        <w:t xml:space="preserve">receiving approvals </w:t>
      </w:r>
      <w:r w:rsidDel="0065398D">
        <w:t>is made up of</w:t>
      </w:r>
      <w:r>
        <w:t xml:space="preserve"> multiple steps that require developers to work with councils, infrastructure service providers, certifiers and sometimes state, territory or federal governments (figure 3.1).</w:t>
      </w:r>
      <w:r w:rsidRPr="00CB0759">
        <w:rPr>
          <w:rStyle w:val="FootnoteReference"/>
        </w:rPr>
        <w:footnoteReference w:id="7"/>
      </w:r>
      <w:r>
        <w:t xml:space="preserve"> While some of the approval steps can be undertaken in tandem, others are sequential. For example, you need to have met the conditions of your development approval before you can get an approval to start building.</w:t>
      </w:r>
    </w:p>
    <w:p w14:paraId="32D0FB89" w14:textId="75F6C992" w:rsidR="00D95005" w:rsidDel="00A77F50" w:rsidRDefault="00D95005">
      <w:pPr>
        <w:pStyle w:val="BodyText"/>
        <w:rPr>
          <w:rStyle w:val="normaltextrun"/>
        </w:rPr>
      </w:pPr>
      <w:r w:rsidRPr="00385241" w:rsidDel="00A77F50">
        <w:rPr>
          <w:rStyle w:val="normaltextrun"/>
        </w:rPr>
        <w:t xml:space="preserve">It can take a very long time </w:t>
      </w:r>
      <w:r w:rsidRPr="00385241" w:rsidDel="00A77F50">
        <w:t xml:space="preserve">to receive approvals for new housing. </w:t>
      </w:r>
      <w:r w:rsidDel="00A77F50">
        <w:t xml:space="preserve">Approvals from one entity often rely on decisions from </w:t>
      </w:r>
      <w:r w:rsidRPr="00D2120B" w:rsidDel="00A77F50">
        <w:t xml:space="preserve">others, which means delays in one area of the approvals pipeline can ‘cascade’ and cause problems in another </w:t>
      </w:r>
      <w:r w:rsidR="00877EF9" w:rsidRPr="00877EF9">
        <w:rPr>
          <w:rFonts w:cs="Open Sans"/>
        </w:rPr>
        <w:t>(PC 2025c, p. 26)</w:t>
      </w:r>
      <w:r w:rsidRPr="00387EE1" w:rsidDel="00A77F50">
        <w:t xml:space="preserve">. </w:t>
      </w:r>
      <w:r w:rsidDel="00A77F50">
        <w:t>For complex projects, like greenfield or apartment developments, it can take up to multiple years to receive all the necessary approvals</w:t>
      </w:r>
      <w:r w:rsidRPr="00D2120B" w:rsidDel="00A77F50">
        <w:t xml:space="preserve"> </w:t>
      </w:r>
      <w:r w:rsidRPr="0009486B" w:rsidDel="00A77F50">
        <w:rPr>
          <w:rFonts w:cs="Open Sans"/>
          <w:szCs w:val="24"/>
        </w:rPr>
        <w:t>(Property Council of Australia 2024, pp. 53–59)</w:t>
      </w:r>
      <w:r w:rsidRPr="00387EE1" w:rsidDel="00A77F50">
        <w:rPr>
          <w:rStyle w:val="normaltextrun"/>
        </w:rPr>
        <w:t xml:space="preserve">. </w:t>
      </w:r>
    </w:p>
    <w:p w14:paraId="164E73FD" w14:textId="7448582F" w:rsidR="00D95005" w:rsidRPr="000A6121" w:rsidRDefault="00D95005">
      <w:pPr>
        <w:pStyle w:val="BodyText"/>
        <w:rPr>
          <w:lang w:bidi="th-TH"/>
        </w:rPr>
      </w:pPr>
      <w:r w:rsidRPr="000C0F05">
        <w:rPr>
          <w:rStyle w:val="normaltextrun"/>
        </w:rPr>
        <w:t>Long approval processes</w:t>
      </w:r>
      <w:r w:rsidRPr="004C7DB0">
        <w:rPr>
          <w:rStyle w:val="normaltextrun"/>
        </w:rPr>
        <w:t xml:space="preserve"> drive up the cost of development. </w:t>
      </w:r>
      <w:r w:rsidRPr="000C0F05">
        <w:t xml:space="preserve">Developers incur costs for holding land and debt in the time between when the land is acquired and the development is completed </w:t>
      </w:r>
      <w:r w:rsidRPr="00AA2A73">
        <w:rPr>
          <w:rFonts w:cs="Open Sans"/>
          <w:szCs w:val="24"/>
        </w:rPr>
        <w:t>(CIE 2024, p. 48)</w:t>
      </w:r>
      <w:r w:rsidRPr="00387EE1">
        <w:t>.</w:t>
      </w:r>
      <w:r w:rsidRPr="000C0F05">
        <w:t xml:space="preserve"> The Centre for International Economics (CIE) estimated that a one</w:t>
      </w:r>
      <w:r>
        <w:noBreakHyphen/>
      </w:r>
      <w:r w:rsidRPr="000C0F05">
        <w:t>month delay cost $7,609 for a greenfield development, $11,166 for a character zone townhouse and $3,403 for an inner</w:t>
      </w:r>
      <w:r>
        <w:noBreakHyphen/>
      </w:r>
      <w:r w:rsidRPr="000C0F05">
        <w:t xml:space="preserve">city apartment in 2025 </w:t>
      </w:r>
      <w:r w:rsidRPr="00C0442C">
        <w:rPr>
          <w:rFonts w:cs="Open Sans"/>
          <w:szCs w:val="24"/>
        </w:rPr>
        <w:t>(CIE 2025, pp. 30, 60–61)</w:t>
      </w:r>
      <w:r w:rsidRPr="00387EE1">
        <w:t>.</w:t>
      </w:r>
      <w:r w:rsidRPr="000C0F05">
        <w:t xml:space="preserve"> Urban Taskforce Australia told us that long approval timeframes can increase financing risk and reduce investor confidence, particularly for high</w:t>
      </w:r>
      <w:r>
        <w:noBreakHyphen/>
      </w:r>
      <w:r w:rsidRPr="000C0F05">
        <w:t xml:space="preserve">density and more affordable housing developments </w:t>
      </w:r>
      <w:r w:rsidRPr="00385241">
        <w:t>(sub.</w:t>
      </w:r>
      <w:r>
        <w:t> </w:t>
      </w:r>
      <w:r w:rsidRPr="00385241">
        <w:t>69, p. 11).</w:t>
      </w:r>
      <w:r w:rsidRPr="004C7DB0">
        <w:rPr>
          <w:rStyle w:val="normaltextrun"/>
        </w:rPr>
        <w:t xml:space="preserve"> </w:t>
      </w:r>
    </w:p>
    <w:p w14:paraId="5AC473BF" w14:textId="06F58A19" w:rsidR="00D95005" w:rsidRDefault="00D95005">
      <w:pPr>
        <w:pStyle w:val="BodyText"/>
      </w:pPr>
      <w:r>
        <w:t xml:space="preserve">These costs can make the difference between a project being feasible or unfeasible (HIA sub. 25, p. 9). The </w:t>
      </w:r>
      <w:r w:rsidRPr="00746254">
        <w:t>CIE</w:t>
      </w:r>
      <w:r>
        <w:t xml:space="preserve"> found that adding an extra year to the pre</w:t>
      </w:r>
      <w:r>
        <w:noBreakHyphen/>
        <w:t>construction development period reduced feasibility by 2 per cent for mid</w:t>
      </w:r>
      <w:r>
        <w:noBreakHyphen/>
        <w:t>rise apartments and 1 per cent for high</w:t>
      </w:r>
      <w:r>
        <w:noBreakHyphen/>
        <w:t xml:space="preserve">rise apartments in Sydney in 2023 </w:t>
      </w:r>
      <w:r w:rsidRPr="00385241">
        <w:t>(CIE 2024, p. 26)</w:t>
      </w:r>
      <w:r w:rsidRPr="00387EE1">
        <w:t>.</w:t>
      </w:r>
      <w:r>
        <w:t xml:space="preserve"> </w:t>
      </w:r>
    </w:p>
    <w:p w14:paraId="3D994120" w14:textId="77777777" w:rsidR="00D95005" w:rsidRDefault="00D95005">
      <w:pPr>
        <w:pStyle w:val="Heading3"/>
      </w:pPr>
      <w:r>
        <w:rPr>
          <w:rStyle w:val="normaltextrun"/>
        </w:rPr>
        <w:t xml:space="preserve">Developers face significant costs to prove compliance with regulations </w:t>
      </w:r>
    </w:p>
    <w:p w14:paraId="3B644131" w14:textId="77777777" w:rsidR="00D95005" w:rsidRDefault="00D95005">
      <w:pPr>
        <w:pStyle w:val="BodyText"/>
      </w:pPr>
      <w:r>
        <w:t xml:space="preserve">In addition to the costs of delays, developers also incur substantial costs to prove compliance with planning and building rules. Depending on the council, they are often required to submit detailed reports addressing a wide range of social, environmental, engineering and design requirements – which often rely on input from external consultants or other paid experts. </w:t>
      </w:r>
    </w:p>
    <w:p w14:paraId="1025C31B" w14:textId="77777777" w:rsidR="00D95005" w:rsidRDefault="00D95005">
      <w:pPr>
        <w:pStyle w:val="BodyText"/>
        <w:sectPr w:rsidR="00D95005" w:rsidSect="00D95005">
          <w:headerReference w:type="even" r:id="rId82"/>
          <w:pgSz w:w="11906" w:h="16838" w:code="9"/>
          <w:pgMar w:top="1134" w:right="1134" w:bottom="1134" w:left="1134" w:header="794" w:footer="510" w:gutter="0"/>
          <w:cols w:space="708"/>
          <w:docGrid w:linePitch="360"/>
        </w:sectPr>
      </w:pPr>
      <w:r>
        <w:t>Many of these requirements are necessary to ensure the proposed development meets important regulatory standards. For example, Emergency Leaders for Climate Action noted that proper assessment of bushfire, flood and storm risk is particularly important to ensure homes are built to withstand growing risks posed by climate change (sub. 47, pp. 1–8).</w:t>
      </w:r>
    </w:p>
    <w:p w14:paraId="13BA8F2B" w14:textId="77777777" w:rsidR="00D95005" w:rsidRDefault="00D95005">
      <w:pPr>
        <w:pStyle w:val="FigureTableHeading"/>
        <w:rPr>
          <w:noProof/>
        </w:rPr>
      </w:pPr>
      <w:r>
        <w:rPr>
          <w:noProof/>
        </w:rPr>
        <w:lastRenderedPageBreak/>
        <w:t xml:space="preserve">Figure 3.1 </w:t>
      </w:r>
      <w:r>
        <w:rPr>
          <w:rFonts w:cs="Open Sans Extrabold"/>
          <w:noProof/>
        </w:rPr>
        <w:t>–</w:t>
      </w:r>
      <w:r>
        <w:rPr>
          <w:noProof/>
        </w:rPr>
        <w:t xml:space="preserve"> </w:t>
      </w:r>
      <w:r w:rsidRPr="0080759E">
        <w:rPr>
          <w:b/>
          <w:bCs/>
          <w:noProof/>
          <w:lang w:val="en-US"/>
        </w:rPr>
        <w:t>Process for receiving approvals to build a new home</w:t>
      </w:r>
    </w:p>
    <w:p w14:paraId="77132C79" w14:textId="46C61958" w:rsidR="00D95005" w:rsidRDefault="00C56F4F">
      <w:pPr>
        <w:pStyle w:val="BodyText"/>
      </w:pPr>
      <w:r w:rsidRPr="00C56F4F">
        <w:rPr>
          <w:noProof/>
        </w:rPr>
        <w:drawing>
          <wp:inline distT="0" distB="0" distL="0" distR="0" wp14:anchorId="495E4A7C" wp14:editId="56079B99">
            <wp:extent cx="9251950" cy="3697605"/>
            <wp:effectExtent l="0" t="0" r="6350" b="0"/>
            <wp:docPr id="250384122" name="Picture 25" descr="This figure is a diagram showing the main approvals required to take a housing development from undeveloped land to occupation. The process is divided into three stages. &#10;&#10;Stage 1 is approvals to prepare land for housing. A rezoning approval allows housing on land and commonly involves technical studies, and may include community consultation, EPBC approval where required, structure planning, and planning scheme amendments. Next, a subdivision approval creates individual housing lots and commonly involves subdivision design and lot layout, infrastructure approvals, referrals, and responding to requests for information (RFIs). Civil works, infrastructure installation and land titling then occur before housing construction can begin. &#10;&#10;Stage 2 is approvals to start building. A development approval checks that the proposed housing complies with planning rules and often requires consultant reports and plans, neighbour notification, responding to RFIs, and satisfying post-approval conditions. A building approval checks that the housing meets safety and building standards and commonly requires detailed building plans and specifications, structural and engineering assessments, and appointment of a building certifier. &#10;&#10;Stage 3 is approvals to occupy the home. Construction begins, with construction approvals confirming that the home is built safely and in accordance with approved plans. Common requirements include mid-construction inspections and obtaining an occupancy certificate. Once these approvals are complete, the development is finished and the home can be occupi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84122" name="Picture 25" descr="This figure is a diagram showing the main approvals required to take a housing development from undeveloped land to occupation. The process is divided into three stages. &#10;&#10;Stage 1 is approvals to prepare land for housing. A rezoning approval allows housing on land and commonly involves technical studies, and may include community consultation, EPBC approval where required, structure planning, and planning scheme amendments. Next, a subdivision approval creates individual housing lots and commonly involves subdivision design and lot layout, infrastructure approvals, referrals, and responding to requests for information (RFIs). Civil works, infrastructure installation and land titling then occur before housing construction can begin. &#10;&#10;Stage 2 is approvals to start building. A development approval checks that the proposed housing complies with planning rules and often requires consultant reports and plans, neighbour notification, responding to RFIs, and satisfying post-approval conditions. A building approval checks that the housing meets safety and building standards and commonly requires detailed building plans and specifications, structural and engineering assessments, and appointment of a building certifier. &#10;&#10;Stage 3 is approvals to occupy the home. Construction begins, with construction approvals confirming that the home is built safely and in accordance with approved plans. Common requirements include mid-construction inspections and obtaining an occupancy certificate. Once these approvals are complete, the development is finished and the home can be occupied.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251950" cy="3697605"/>
                    </a:xfrm>
                    <a:prstGeom prst="rect">
                      <a:avLst/>
                    </a:prstGeom>
                    <a:noFill/>
                    <a:ln>
                      <a:noFill/>
                    </a:ln>
                  </pic:spPr>
                </pic:pic>
              </a:graphicData>
            </a:graphic>
          </wp:inline>
        </w:drawing>
      </w:r>
    </w:p>
    <w:p w14:paraId="359E2594" w14:textId="77777777" w:rsidR="00D95005" w:rsidRDefault="00D95005">
      <w:pPr>
        <w:pStyle w:val="Note"/>
      </w:pPr>
      <w:r>
        <w:t xml:space="preserve">Note: RFIs are requests for further information. EPBC approvals are environmental approvals under the </w:t>
      </w:r>
      <w:r>
        <w:rPr>
          <w:i/>
          <w:iCs/>
        </w:rPr>
        <w:t>Environmental Protection and Biodiversity Conservation Act</w:t>
      </w:r>
      <w:r w:rsidDel="00B8078C">
        <w:rPr>
          <w:i/>
          <w:iCs/>
        </w:rPr>
        <w:t xml:space="preserve"> </w:t>
      </w:r>
      <w:r>
        <w:rPr>
          <w:i/>
          <w:iCs/>
        </w:rPr>
        <w:t xml:space="preserve">1999 </w:t>
      </w:r>
      <w:r>
        <w:t>(</w:t>
      </w:r>
      <w:proofErr w:type="spellStart"/>
      <w:r>
        <w:t>Cth</w:t>
      </w:r>
      <w:proofErr w:type="spellEnd"/>
      <w:r>
        <w:t>).</w:t>
      </w:r>
    </w:p>
    <w:p w14:paraId="0F146FEB" w14:textId="77777777" w:rsidR="00D95005" w:rsidRDefault="00D95005">
      <w:pPr>
        <w:pStyle w:val="Source"/>
      </w:pPr>
      <w:r>
        <w:t>Source: PC analysis based on engagement with inquiry participants.</w:t>
      </w:r>
    </w:p>
    <w:p w14:paraId="1E1632FC" w14:textId="77777777" w:rsidR="00D95005" w:rsidRDefault="00D95005">
      <w:pPr>
        <w:pStyle w:val="BodyText"/>
      </w:pPr>
    </w:p>
    <w:p w14:paraId="54AEB241" w14:textId="77777777" w:rsidR="00D95005" w:rsidRDefault="00D95005">
      <w:pPr>
        <w:pStyle w:val="BodyText"/>
        <w:sectPr w:rsidR="00D95005" w:rsidSect="00D95005">
          <w:pgSz w:w="16838" w:h="11906" w:orient="landscape" w:code="9"/>
          <w:pgMar w:top="1134" w:right="1134" w:bottom="1134" w:left="1134" w:header="794" w:footer="510" w:gutter="0"/>
          <w:cols w:space="708"/>
          <w:docGrid w:linePitch="360"/>
        </w:sectPr>
      </w:pPr>
    </w:p>
    <w:p w14:paraId="4CF9571B" w14:textId="070C5BCF" w:rsidR="00D95005" w:rsidRDefault="00D95005">
      <w:pPr>
        <w:pStyle w:val="BodyText"/>
      </w:pPr>
      <w:r>
        <w:lastRenderedPageBreak/>
        <w:t xml:space="preserve">However, the cost of consultants to prepare required documentation can be significant. </w:t>
      </w:r>
      <w:r w:rsidRPr="00B33AB4">
        <w:t>F</w:t>
      </w:r>
      <w:r w:rsidRPr="005A5BED">
        <w:t>or example, the CIE</w:t>
      </w:r>
      <w:r>
        <w:t xml:space="preserve"> </w:t>
      </w:r>
      <w:r w:rsidRPr="005A5BED">
        <w:t xml:space="preserve">estimates total consultant costs at $23,597 for the construction of a </w:t>
      </w:r>
      <w:r>
        <w:t>townhouse</w:t>
      </w:r>
      <w:r w:rsidRPr="005A5BED">
        <w:t xml:space="preserve"> </w:t>
      </w:r>
      <w:r>
        <w:t>in one of Queensland’s</w:t>
      </w:r>
      <w:r w:rsidRPr="005A5BED">
        <w:t xml:space="preserve"> character zone</w:t>
      </w:r>
      <w:r>
        <w:t>s</w:t>
      </w:r>
      <w:r w:rsidRPr="00CB0759">
        <w:rPr>
          <w:rStyle w:val="FootnoteReference"/>
        </w:rPr>
        <w:footnoteReference w:id="8"/>
      </w:r>
      <w:r w:rsidRPr="005A5BED">
        <w:t xml:space="preserve"> </w:t>
      </w:r>
      <w:r w:rsidRPr="007A60B7">
        <w:rPr>
          <w:rFonts w:cs="Open Sans"/>
          <w:szCs w:val="24"/>
        </w:rPr>
        <w:t>(CIE 2025, p. 56)</w:t>
      </w:r>
      <w:r w:rsidRPr="005A5BED">
        <w:t>.</w:t>
      </w:r>
      <w:r>
        <w:t xml:space="preserve"> Master Builders Australia commented:</w:t>
      </w:r>
    </w:p>
    <w:p w14:paraId="148F8B71" w14:textId="77777777" w:rsidR="00D95005" w:rsidRDefault="00D95005">
      <w:pPr>
        <w:pStyle w:val="Quote"/>
      </w:pPr>
      <w:r>
        <w:t>For smaller builders and developers, who represent 98 per cent of Australia’s construction businesses, commissioning this suite of consultants represents a material financial commitment with no guarantee of approval. (sub. 74, p. 5)</w:t>
      </w:r>
    </w:p>
    <w:p w14:paraId="61E51F5A" w14:textId="27162450" w:rsidR="00D95005" w:rsidRDefault="00D95005">
      <w:pPr>
        <w:pStyle w:val="BodyText"/>
      </w:pPr>
      <w:r>
        <w:t xml:space="preserve">Understanding approval requirements, coordinating with decision makers and third parties, and preparing applications can add further administrative costs. Past PC analysis suggests that the total cost of preparing an application ranges from $3,900 to $22,000 for a development approval and $3,700 to $18,000 for a building approval, per dwelling </w:t>
      </w:r>
      <w:r w:rsidRPr="00385241">
        <w:t>(PC 2025a, pp. 184–185)</w:t>
      </w:r>
      <w:r>
        <w:t>, before factoring in the costs resulting from approval delays, which tend to be longer for development approvals.</w:t>
      </w:r>
    </w:p>
    <w:p w14:paraId="2DF0AD77" w14:textId="77777777" w:rsidR="00D95005" w:rsidRDefault="00D95005">
      <w:pPr>
        <w:pStyle w:val="Heading3"/>
      </w:pPr>
      <w:r>
        <w:t>Approval requirements can be uncertain and inconsistent</w:t>
      </w:r>
    </w:p>
    <w:p w14:paraId="053B8C0B" w14:textId="6B5FE21A" w:rsidR="00D95005" w:rsidRDefault="00D95005">
      <w:pPr>
        <w:pStyle w:val="BodyText"/>
      </w:pPr>
      <w:r>
        <w:t xml:space="preserve">The planning rules that developments are assessed against can be subjective. For example, neighbourhood character provisions in Victoria require developers to predict how assessors might judge the ways their project will </w:t>
      </w:r>
      <w:r w:rsidRPr="00841302">
        <w:t xml:space="preserve">contribute to the ‘architectural rhythm’ of their street </w:t>
      </w:r>
      <w:r w:rsidRPr="00923FD2">
        <w:rPr>
          <w:rFonts w:cs="Open Sans"/>
          <w:szCs w:val="24"/>
        </w:rPr>
        <w:t>(Victorian DTP 2024a)</w:t>
      </w:r>
      <w:r w:rsidRPr="00841302">
        <w:t>. While discretion in the planning system can sometimes be useful to prevent overly rigid decision</w:t>
      </w:r>
      <w:r>
        <w:t xml:space="preserve"> </w:t>
      </w:r>
      <w:r w:rsidRPr="00841302">
        <w:t xml:space="preserve">making, it can also mean councils, developers and referral agencies interpret requirements differently. This can leave developers uncertain about the outcomes and timeframes of approval processes </w:t>
      </w:r>
      <w:r w:rsidRPr="00915171">
        <w:rPr>
          <w:rFonts w:cs="Open Sans"/>
          <w:szCs w:val="24"/>
        </w:rPr>
        <w:t>(Coates et al. 2025, p. 27)</w:t>
      </w:r>
      <w:r>
        <w:t>.</w:t>
      </w:r>
    </w:p>
    <w:p w14:paraId="5878455B" w14:textId="22348C60" w:rsidR="00D95005" w:rsidRPr="00394017" w:rsidRDefault="00D95005">
      <w:pPr>
        <w:pStyle w:val="BodyText"/>
      </w:pPr>
      <w:r w:rsidRPr="00841302">
        <w:rPr>
          <w:rStyle w:val="normaltextrun"/>
        </w:rPr>
        <w:t xml:space="preserve">There is also significant variation in these processes between states and territories. Even within states and territories, some councils can be more stringent than others. For example, Noosa council has 44 more variations (95 total) to the standard Queensland Development Code than neighbouring Sunshine Coast council (51 </w:t>
      </w:r>
      <w:r w:rsidRPr="00385241">
        <w:t>total)</w:t>
      </w:r>
      <w:r w:rsidRPr="00E739A2" w:rsidDel="00C9781B">
        <w:t xml:space="preserve"> </w:t>
      </w:r>
      <w:r w:rsidR="00877EF9" w:rsidRPr="00877EF9">
        <w:rPr>
          <w:rFonts w:cs="Open Sans"/>
        </w:rPr>
        <w:t>(HIA 2025a, p. 20)</w:t>
      </w:r>
      <w:r w:rsidRPr="00385241">
        <w:t>.</w:t>
      </w:r>
      <w:r w:rsidRPr="00841302">
        <w:rPr>
          <w:rStyle w:val="normaltextrun"/>
        </w:rPr>
        <w:t xml:space="preserve"> Although discrepancies can be based on real </w:t>
      </w:r>
      <w:r w:rsidRPr="00186B3C">
        <w:t>differences between council</w:t>
      </w:r>
      <w:r>
        <w:t xml:space="preserve"> areas</w:t>
      </w:r>
      <w:r w:rsidRPr="00186B3C">
        <w:t xml:space="preserve"> </w:t>
      </w:r>
      <w:r>
        <w:noBreakHyphen/>
      </w:r>
      <w:r w:rsidRPr="00186B3C">
        <w:t xml:space="preserve"> such as climate conditions or local character </w:t>
      </w:r>
      <w:r>
        <w:noBreakHyphen/>
      </w:r>
      <w:r w:rsidRPr="00186B3C">
        <w:t xml:space="preserve"> they</w:t>
      </w:r>
      <w:r>
        <w:t xml:space="preserve"> are</w:t>
      </w:r>
      <w:r w:rsidRPr="00186B3C">
        <w:t xml:space="preserve"> </w:t>
      </w:r>
      <w:r w:rsidRPr="00841302">
        <w:t>often</w:t>
      </w:r>
      <w:r>
        <w:t xml:space="preserve"> subjective or unquantifiable.</w:t>
      </w:r>
      <w:r w:rsidRPr="00186B3C" w:rsidDel="00FE278A">
        <w:t xml:space="preserve"> </w:t>
      </w:r>
      <w:r w:rsidRPr="00841302">
        <w:t>We</w:t>
      </w:r>
      <w:r w:rsidDel="00721D86">
        <w:t xml:space="preserve"> </w:t>
      </w:r>
      <w:r w:rsidRPr="00EA3A81">
        <w:t xml:space="preserve">heard that variation in approval </w:t>
      </w:r>
      <w:r w:rsidRPr="00841302">
        <w:t>requirements</w:t>
      </w:r>
      <w:r w:rsidRPr="00EA3A81">
        <w:t xml:space="preserve"> </w:t>
      </w:r>
      <w:r>
        <w:t xml:space="preserve">across </w:t>
      </w:r>
      <w:r w:rsidRPr="00EA3A81">
        <w:t>jurisdiction</w:t>
      </w:r>
      <w:r>
        <w:t>s</w:t>
      </w:r>
      <w:r w:rsidRPr="00EA3A81">
        <w:t xml:space="preserve"> </w:t>
      </w:r>
      <w:r>
        <w:t>hinders productivity</w:t>
      </w:r>
      <w:r w:rsidRPr="00EA3A81">
        <w:t xml:space="preserve"> for </w:t>
      </w:r>
      <w:r>
        <w:t>developer</w:t>
      </w:r>
      <w:r w:rsidRPr="00EA3A81">
        <w:t>s</w:t>
      </w:r>
      <w:r w:rsidRPr="002F428E">
        <w:t xml:space="preserve"> </w:t>
      </w:r>
      <w:r>
        <w:t>(HIA, sub. 25, p. 4) and can require them to create bespoke processes for different areas (Master Builders Australia, sub. 74, p. 6).</w:t>
      </w:r>
    </w:p>
    <w:p w14:paraId="19099937" w14:textId="77777777" w:rsidR="00D95005" w:rsidRDefault="00D95005">
      <w:pPr>
        <w:pStyle w:val="Heading3"/>
      </w:pPr>
      <w:r>
        <w:t xml:space="preserve">Requests for further information can cause significant delays </w:t>
      </w:r>
    </w:p>
    <w:p w14:paraId="20478EB3" w14:textId="77777777" w:rsidR="00D95005" w:rsidRDefault="00D95005">
      <w:pPr>
        <w:pStyle w:val="BodyText"/>
      </w:pPr>
      <w:r>
        <w:t xml:space="preserve">Once developers have lodged their approval application, councils sometimes ask for additional details through a request for further information (RFI). RFIs are important </w:t>
      </w:r>
      <w:r w:rsidRPr="002E3369">
        <w:t>because</w:t>
      </w:r>
      <w:r>
        <w:t xml:space="preserve"> in some cases</w:t>
      </w:r>
      <w:r w:rsidRPr="002E3369">
        <w:t xml:space="preserve"> </w:t>
      </w:r>
      <w:r>
        <w:t>developer</w:t>
      </w:r>
      <w:r w:rsidRPr="002E3369">
        <w:t xml:space="preserve">s do not provide </w:t>
      </w:r>
      <w:r>
        <w:t>all the</w:t>
      </w:r>
      <w:r w:rsidRPr="002E3369">
        <w:t xml:space="preserve"> information </w:t>
      </w:r>
      <w:r>
        <w:t xml:space="preserve">required for a complete assessment </w:t>
      </w:r>
      <w:r w:rsidRPr="002E3369">
        <w:t>in their initial application.</w:t>
      </w:r>
      <w:r>
        <w:t xml:space="preserve"> However, they can be a significant source of delay and uncertainty (Le Mottee Group, sub. 56, pp. 5–6), particularly for the development approval process where they are common (section 3.3). </w:t>
      </w:r>
    </w:p>
    <w:p w14:paraId="743A39F2" w14:textId="7287D628" w:rsidR="00D95005" w:rsidRDefault="00D95005">
      <w:pPr>
        <w:pStyle w:val="BodyText"/>
      </w:pPr>
      <w:r>
        <w:t xml:space="preserve">Additionally, many states and territories exclude the time spent responding to RFIs from reported application assessment times (sometimes the approval timeframe clock is stopped or even reset). Stopping or </w:t>
      </w:r>
      <w:r w:rsidRPr="000F6C67">
        <w:t xml:space="preserve">resetting the </w:t>
      </w:r>
      <w:r w:rsidRPr="006B5E33">
        <w:t xml:space="preserve">clock is </w:t>
      </w:r>
      <w:r w:rsidRPr="000F6C67">
        <w:t>justified</w:t>
      </w:r>
      <w:r>
        <w:t xml:space="preserve"> because the onus is on the developer for action, and councils cannot control how long it takes a developer to respond to them. However, it means that the cost and time taken to receive approvals is not fully represented in performance reporting. As a result</w:t>
      </w:r>
      <w:r w:rsidDel="00BA3849">
        <w:t xml:space="preserve">, </w:t>
      </w:r>
      <w:r>
        <w:t xml:space="preserve">governments may not be properly aware of the burden of approvals for developers.  </w:t>
      </w:r>
    </w:p>
    <w:p w14:paraId="78CDFFB5" w14:textId="77777777" w:rsidR="00D95005" w:rsidRPr="00310F4B" w:rsidRDefault="00D95005">
      <w:pPr>
        <w:pStyle w:val="Heading3"/>
      </w:pPr>
      <w:r w:rsidRPr="00310F4B">
        <w:lastRenderedPageBreak/>
        <w:t xml:space="preserve">Poorly coordinated referrals </w:t>
      </w:r>
      <w:r>
        <w:t>slow application assessment times</w:t>
      </w:r>
    </w:p>
    <w:p w14:paraId="11D7BA45" w14:textId="77777777" w:rsidR="00D95005" w:rsidRPr="00310F4B" w:rsidRDefault="00D95005">
      <w:pPr>
        <w:pStyle w:val="BodyText"/>
      </w:pPr>
      <w:r>
        <w:t>Councils may require help from government agencies and relevant experts in assessing applications. For example, they may require a hydrologist to properly assess the flood risk of a development. Infrastructure service providers may also be required to advise councils on or approve connections to infrastructure such as water, sewerage and electricity.</w:t>
      </w:r>
    </w:p>
    <w:p w14:paraId="1C1191C1" w14:textId="15FDA3C8" w:rsidR="00D95005" w:rsidRDefault="00D95005">
      <w:pPr>
        <w:pStyle w:val="BodyText"/>
      </w:pPr>
      <w:r w:rsidRPr="003605CC">
        <w:t xml:space="preserve">However, </w:t>
      </w:r>
      <w:r>
        <w:t xml:space="preserve">the number of referrals required for some projects can be extreme – with some developments in New South Wales requiring referrals to up to 22 different areas of government </w:t>
      </w:r>
      <w:r w:rsidRPr="1AC665C5">
        <w:rPr>
          <w:rFonts w:cs="Open Sans"/>
        </w:rPr>
        <w:t>(NSW DPHI 2026c)</w:t>
      </w:r>
      <w:r w:rsidRPr="00387EE1">
        <w:t>.</w:t>
      </w:r>
      <w:r>
        <w:t xml:space="preserve"> Referral processes can also be a significant source of delay. In New South Wales, one referral adds an average of 60 days to development approval assessment times, with each additional referral adding up to 100 days to assessment tim</w:t>
      </w:r>
      <w:r w:rsidRPr="00387EE1">
        <w:t xml:space="preserve">es </w:t>
      </w:r>
      <w:r w:rsidRPr="1AC665C5">
        <w:rPr>
          <w:rFonts w:cs="Open Sans"/>
        </w:rPr>
        <w:t>(NSW DPHI 2026c)</w:t>
      </w:r>
      <w:r w:rsidRPr="00387EE1">
        <w:t xml:space="preserve">. </w:t>
      </w:r>
      <w:r>
        <w:t xml:space="preserve">The </w:t>
      </w:r>
      <w:r w:rsidRPr="00387EE1">
        <w:t>Urban</w:t>
      </w:r>
      <w:r>
        <w:t xml:space="preserve"> Development Institute of Australia (National) (UDIA) explains:</w:t>
      </w:r>
    </w:p>
    <w:p w14:paraId="691164CA" w14:textId="77777777" w:rsidR="00D95005" w:rsidRDefault="00D95005">
      <w:pPr>
        <w:pStyle w:val="Quote"/>
      </w:pPr>
      <w:r>
        <w:t>A proponent is often beholden to utilities, water authorities, transport agencies or environmental regulators, and there is often no simple way to escalate a stalled decision. Even where the housing outcome is supported in principle, these separate steps can add months or years of delay. (sub. 83, p. 42)</w:t>
      </w:r>
    </w:p>
    <w:p w14:paraId="5B5484C1" w14:textId="77777777" w:rsidR="00D95005" w:rsidRDefault="00D95005">
      <w:pPr>
        <w:pStyle w:val="BodyText"/>
      </w:pPr>
      <w:r w:rsidRPr="00210E47">
        <w:t>The information received and the prioritisation of the issues in these referral processes is also often poorly coordinated between different arms of government, with experts or agencies sometimes lacking broader perspective outside of their specific remit. We heard that this can often lead to conflicting advice (Westpac, sub.</w:t>
      </w:r>
      <w:r>
        <w:t> </w:t>
      </w:r>
      <w:r w:rsidRPr="00210E47">
        <w:t xml:space="preserve">38, p. 7), with developers </w:t>
      </w:r>
      <w:r w:rsidRPr="00210E47" w:rsidDel="00D1750D">
        <w:t xml:space="preserve">being </w:t>
      </w:r>
      <w:r w:rsidRPr="00210E47" w:rsidDel="00F3556E">
        <w:t xml:space="preserve">unsure which </w:t>
      </w:r>
      <w:r w:rsidRPr="00210E47">
        <w:t>advice takes precedence</w:t>
      </w:r>
      <w:r>
        <w:t xml:space="preserve"> and having</w:t>
      </w:r>
      <w:r w:rsidRPr="00210E47">
        <w:t xml:space="preserve"> to resolve conflicts</w:t>
      </w:r>
      <w:r>
        <w:t xml:space="preserve"> themselves</w:t>
      </w:r>
      <w:r w:rsidRPr="00210E47">
        <w:t xml:space="preserve"> (box</w:t>
      </w:r>
      <w:r>
        <w:t> </w:t>
      </w:r>
      <w:r w:rsidRPr="00210E47">
        <w:t>3.1</w:t>
      </w:r>
      <w:r>
        <w:t>;</w:t>
      </w:r>
      <w:r w:rsidRPr="00210E47">
        <w:t xml:space="preserve"> UDIA South Australia, sub.</w:t>
      </w:r>
      <w:r>
        <w:t> </w:t>
      </w:r>
      <w:r w:rsidRPr="00210E47">
        <w:t xml:space="preserve">31, p. 2). </w:t>
      </w:r>
      <w:r w:rsidRPr="00CD7F0E">
        <w:t xml:space="preserve">The PC heard of one developer who was informed by the council that they needed to plant native trees and vegetation to support the local </w:t>
      </w:r>
      <w:proofErr w:type="gramStart"/>
      <w:r w:rsidRPr="00CD7F0E">
        <w:t>environment, but</w:t>
      </w:r>
      <w:proofErr w:type="gramEnd"/>
      <w:r w:rsidRPr="00CD7F0E">
        <w:t xml:space="preserve"> was also told by the local fire authority that they needed to minimise the tree canopy around the property to manage bushfire risk</w:t>
      </w:r>
      <w:r>
        <w:t xml:space="preserve">. </w:t>
      </w:r>
      <w:r w:rsidRPr="00315880">
        <w:t>The developer</w:t>
      </w:r>
      <w:r w:rsidRPr="00FD4687">
        <w:t xml:space="preserve"> required approval for the </w:t>
      </w:r>
      <w:r w:rsidRPr="00315880">
        <w:t xml:space="preserve">project </w:t>
      </w:r>
      <w:r w:rsidRPr="00FD4687">
        <w:t>to be non</w:t>
      </w:r>
      <w:r w:rsidRPr="00FD4687">
        <w:noBreakHyphen/>
        <w:t xml:space="preserve">compliant with the council’s landscape controls </w:t>
      </w:r>
      <w:proofErr w:type="gramStart"/>
      <w:r w:rsidRPr="00FD4687">
        <w:t>in order to</w:t>
      </w:r>
      <w:proofErr w:type="gramEnd"/>
      <w:r w:rsidRPr="00FD4687">
        <w:t xml:space="preserve"> proceed ([name withheld], personal communication, July 2026). </w:t>
      </w:r>
    </w:p>
    <w:p w14:paraId="5475C51E" w14:textId="77777777" w:rsidR="00D95005" w:rsidRPr="00113654" w:rsidRDefault="00D95005">
      <w:pPr>
        <w:pStyle w:val="BodyText"/>
        <w:rPr>
          <w:rStyle w:val="DraftingNoteChar"/>
          <w:color w:val="auto"/>
          <w:sz w:val="20"/>
          <w:u w:val="none"/>
        </w:rPr>
      </w:pPr>
      <w:r>
        <w:t>It appears that while councils</w:t>
      </w:r>
      <w:r w:rsidRPr="00210E47">
        <w:t xml:space="preserve"> are often responsible for managing referrals</w:t>
      </w:r>
      <w:r>
        <w:t>, they</w:t>
      </w:r>
      <w:r w:rsidRPr="00210E47">
        <w:t xml:space="preserve"> typically have little power </w:t>
      </w:r>
      <w:r>
        <w:t xml:space="preserve">to </w:t>
      </w:r>
      <w:r w:rsidRPr="00210E47">
        <w:t>enforc</w:t>
      </w:r>
      <w:r>
        <w:t>e</w:t>
      </w:r>
      <w:r w:rsidRPr="00210E47">
        <w:t xml:space="preserve"> referral agency response time</w:t>
      </w:r>
      <w:r>
        <w:t>s</w:t>
      </w:r>
      <w:r w:rsidRPr="00210E47">
        <w:t xml:space="preserve"> or adjudica</w:t>
      </w:r>
      <w:r>
        <w:t>te</w:t>
      </w:r>
      <w:r w:rsidRPr="00210E47">
        <w:t xml:space="preserve"> on opposing pieces of advice, meaning referrals and the information arising from them can cause significant delays.</w:t>
      </w:r>
      <w:r>
        <w:t xml:space="preserve"> </w:t>
      </w:r>
    </w:p>
    <w:p w14:paraId="4517E40B" w14:textId="71C4D13C" w:rsidR="00D95005" w:rsidRPr="00F82BD9" w:rsidRDefault="00D95005">
      <w:pPr>
        <w:pStyle w:val="NoSpacing"/>
      </w:pPr>
    </w:p>
    <w:tbl>
      <w:tblPr>
        <w:tblStyle w:val="Boxtable"/>
        <w:tblW w:w="5000" w:type="pct"/>
        <w:tblLook w:val="04A0" w:firstRow="1" w:lastRow="0" w:firstColumn="1" w:lastColumn="0" w:noHBand="0" w:noVBand="1"/>
      </w:tblPr>
      <w:tblGrid>
        <w:gridCol w:w="9638"/>
      </w:tblGrid>
      <w:tr w:rsidR="00D95005" w14:paraId="15472B95" w14:textId="77777777">
        <w:trPr>
          <w:tblHeader/>
        </w:trPr>
        <w:tc>
          <w:tcPr>
            <w:tcW w:w="9638" w:type="dxa"/>
            <w:shd w:val="clear" w:color="auto" w:fill="EBEBEB"/>
            <w:tcMar>
              <w:top w:w="170" w:type="dxa"/>
              <w:left w:w="170" w:type="dxa"/>
              <w:bottom w:w="113" w:type="dxa"/>
              <w:right w:w="170" w:type="dxa"/>
            </w:tcMar>
            <w:hideMark/>
          </w:tcPr>
          <w:p w14:paraId="40945329" w14:textId="2F98DAFC" w:rsidR="00D95005" w:rsidRPr="006D48D5" w:rsidRDefault="00D95005" w:rsidP="006D48D5">
            <w:pPr>
              <w:pStyle w:val="BoxHeading1"/>
            </w:pPr>
            <w:r>
              <w:t>Box </w:t>
            </w:r>
            <w:r w:rsidR="00CB06D8">
              <w:rPr>
                <w:noProof/>
              </w:rPr>
              <w:t>3</w:t>
            </w:r>
            <w:r>
              <w:t>.</w:t>
            </w:r>
            <w:r w:rsidR="00CB06D8">
              <w:rPr>
                <w:noProof/>
              </w:rPr>
              <w:t>1</w:t>
            </w:r>
            <w:r>
              <w:t xml:space="preserve"> – Case study: conflicting advice for subdivision approvals in Victoria’s southeast growth corridor</w:t>
            </w:r>
          </w:p>
        </w:tc>
      </w:tr>
      <w:tr w:rsidR="00D95005" w14:paraId="6025C641" w14:textId="77777777">
        <w:tc>
          <w:tcPr>
            <w:tcW w:w="9638" w:type="dxa"/>
            <w:shd w:val="clear" w:color="auto" w:fill="EBEBEB"/>
            <w:tcMar>
              <w:top w:w="28" w:type="dxa"/>
              <w:left w:w="170" w:type="dxa"/>
              <w:bottom w:w="170" w:type="dxa"/>
              <w:right w:w="170" w:type="dxa"/>
            </w:tcMar>
            <w:hideMark/>
          </w:tcPr>
          <w:p w14:paraId="665FA4E1" w14:textId="77777777" w:rsidR="00D95005" w:rsidRDefault="00D95005">
            <w:pPr>
              <w:pStyle w:val="BodyText"/>
            </w:pPr>
            <w:r>
              <w:t xml:space="preserve">The PC met with developers to hear about their experiences securing approvals for new housing. </w:t>
            </w:r>
          </w:p>
          <w:p w14:paraId="7E453CF4" w14:textId="77777777" w:rsidR="00D95005" w:rsidRPr="0038798B" w:rsidRDefault="00D95005">
            <w:pPr>
              <w:pStyle w:val="BodyText"/>
            </w:pPr>
            <w:r>
              <w:t xml:space="preserve">A large residential property developer with housing projects located around Australia told us </w:t>
            </w:r>
            <w:r w:rsidRPr="0038798B">
              <w:t xml:space="preserve">about a greenfield project in Melbourne’s southeast growth corridor </w:t>
            </w:r>
            <w:r>
              <w:t>that</w:t>
            </w:r>
            <w:r w:rsidRPr="0038798B">
              <w:t xml:space="preserve"> began construction in 2020. The goal of the project was to convert the farmland to around 1600 individual development</w:t>
            </w:r>
            <w:r>
              <w:noBreakHyphen/>
            </w:r>
            <w:r w:rsidRPr="0038798B">
              <w:t>ready lots by subdividing the land, setting up infrastructure to support the site (for example, road, water, drainage and sewerage services), and securing planning permits for the lots.</w:t>
            </w:r>
          </w:p>
          <w:p w14:paraId="41404817" w14:textId="77777777" w:rsidR="00D95005" w:rsidRPr="006D48D5" w:rsidRDefault="00D95005">
            <w:pPr>
              <w:pStyle w:val="BodyText"/>
              <w:rPr>
                <w:spacing w:val="-4"/>
              </w:rPr>
            </w:pPr>
            <w:r w:rsidRPr="006D48D5">
              <w:rPr>
                <w:spacing w:val="-4"/>
              </w:rPr>
              <w:t>The project experienced delays during the process for receiving infrastructure connections. The developer told us these were mostly caused by a lack of high</w:t>
            </w:r>
            <w:r w:rsidRPr="006D48D5">
              <w:rPr>
                <w:spacing w:val="-4"/>
              </w:rPr>
              <w:noBreakHyphen/>
              <w:t>level planning and coordination between different parties (e.g. landowners, infrastructure service providers and different arms of government).</w:t>
            </w:r>
          </w:p>
          <w:p w14:paraId="5A1A601D" w14:textId="77777777" w:rsidR="00D95005" w:rsidRDefault="00D95005">
            <w:pPr>
              <w:pStyle w:val="BodyText"/>
            </w:pPr>
            <w:r>
              <w:lastRenderedPageBreak/>
              <w:t>For example, it took the developer 18 months to build a road over a pipe track that included a water pipe connected to a desalination plant. While the council told the developer that the road was required to secure subdivision approval under the Precinct Structure Plan (PSP), the relevant department told them that there would be significant detailed design, construction and warranty conditions imposed to build over their infrastructure, as they would be liable to pay the state hundreds of millions of dollars if any damage prevented waterflow. The developer explained:</w:t>
            </w:r>
          </w:p>
          <w:p w14:paraId="40E6167F" w14:textId="131EF42C" w:rsidR="00D95005" w:rsidRPr="006D48D5" w:rsidRDefault="00D95005">
            <w:pPr>
              <w:pStyle w:val="Quote"/>
              <w:rPr>
                <w:spacing w:val="-2"/>
              </w:rPr>
            </w:pPr>
            <w:proofErr w:type="gramStart"/>
            <w:r w:rsidRPr="006D48D5">
              <w:rPr>
                <w:spacing w:val="-2"/>
              </w:rPr>
              <w:t>So</w:t>
            </w:r>
            <w:proofErr w:type="gramEnd"/>
            <w:r w:rsidRPr="006D48D5">
              <w:rPr>
                <w:spacing w:val="-2"/>
              </w:rPr>
              <w:t xml:space="preserve"> </w:t>
            </w:r>
            <w:proofErr w:type="gramStart"/>
            <w:r w:rsidRPr="006D48D5">
              <w:rPr>
                <w:spacing w:val="-2"/>
              </w:rPr>
              <w:t>all of a sudden</w:t>
            </w:r>
            <w:proofErr w:type="gramEnd"/>
            <w:r w:rsidRPr="006D48D5" w:rsidDel="008F7609">
              <w:rPr>
                <w:spacing w:val="-2"/>
              </w:rPr>
              <w:t xml:space="preserve"> </w:t>
            </w:r>
            <w:r w:rsidRPr="006D48D5">
              <w:rPr>
                <w:spacing w:val="-2"/>
              </w:rPr>
              <w:t>[the relevant department] turns around and says, well, you need to give me a warranty for $</w:t>
            </w:r>
            <w:r w:rsidR="00B87306">
              <w:rPr>
                <w:spacing w:val="-2"/>
              </w:rPr>
              <w:t>1</w:t>
            </w:r>
            <w:r w:rsidRPr="006D48D5">
              <w:rPr>
                <w:spacing w:val="-2"/>
              </w:rPr>
              <w:t>00 million. And now we're going, $</w:t>
            </w:r>
            <w:r w:rsidR="00B87306">
              <w:rPr>
                <w:spacing w:val="-2"/>
              </w:rPr>
              <w:t>1</w:t>
            </w:r>
            <w:r w:rsidRPr="006D48D5">
              <w:rPr>
                <w:spacing w:val="-2"/>
              </w:rPr>
              <w:t>00 million? I'm just building 1600</w:t>
            </w:r>
            <w:r w:rsidR="007B43F8">
              <w:rPr>
                <w:spacing w:val="-2"/>
              </w:rPr>
              <w:t> </w:t>
            </w:r>
            <w:r w:rsidRPr="006D48D5">
              <w:rPr>
                <w:spacing w:val="-2"/>
              </w:rPr>
              <w:t>lots. I don't have backing for $</w:t>
            </w:r>
            <w:r w:rsidR="00B87306">
              <w:rPr>
                <w:spacing w:val="-2"/>
              </w:rPr>
              <w:t>1</w:t>
            </w:r>
            <w:r w:rsidRPr="006D48D5">
              <w:rPr>
                <w:spacing w:val="-2"/>
              </w:rPr>
              <w:t>00 million just floating around</w:t>
            </w:r>
            <w:r w:rsidR="007B43F8">
              <w:rPr>
                <w:spacing w:val="-2"/>
              </w:rPr>
              <w:t xml:space="preserve"> </w:t>
            </w:r>
            <w:r w:rsidRPr="006D48D5">
              <w:rPr>
                <w:spacing w:val="-2"/>
              </w:rPr>
              <w:t xml:space="preserve">… to manage that sort of risk. </w:t>
            </w:r>
            <w:proofErr w:type="gramStart"/>
            <w:r w:rsidRPr="006D48D5">
              <w:rPr>
                <w:spacing w:val="-2"/>
              </w:rPr>
              <w:t>So</w:t>
            </w:r>
            <w:proofErr w:type="gramEnd"/>
            <w:r w:rsidRPr="006D48D5">
              <w:rPr>
                <w:spacing w:val="-2"/>
              </w:rPr>
              <w:t xml:space="preserve"> you get into these </w:t>
            </w:r>
            <w:proofErr w:type="gramStart"/>
            <w:r w:rsidRPr="006D48D5">
              <w:rPr>
                <w:spacing w:val="-2"/>
              </w:rPr>
              <w:t>really complex</w:t>
            </w:r>
            <w:proofErr w:type="gramEnd"/>
            <w:r w:rsidRPr="006D48D5">
              <w:rPr>
                <w:spacing w:val="-2"/>
              </w:rPr>
              <w:t xml:space="preserve"> conversations between the state, [the relevant department and] yourselves</w:t>
            </w:r>
            <w:r w:rsidR="009435FF">
              <w:rPr>
                <w:spacing w:val="-2"/>
              </w:rPr>
              <w:t xml:space="preserve"> </w:t>
            </w:r>
            <w:r w:rsidRPr="006D48D5">
              <w:rPr>
                <w:spacing w:val="-2"/>
              </w:rPr>
              <w:t xml:space="preserve">… we had to invent an agreement and process and insurances that no one had ever done before to be able to access and build over that asset. </w:t>
            </w:r>
          </w:p>
          <w:p w14:paraId="55F9D76F" w14:textId="77777777" w:rsidR="00D95005" w:rsidRDefault="00D95005">
            <w:pPr>
              <w:pStyle w:val="BodyText"/>
            </w:pPr>
            <w:r>
              <w:t>Elsewhere on the site, the same pipe</w:t>
            </w:r>
            <w:r>
              <w:noBreakHyphen/>
              <w:t>track presented another issue – with the PSP requiring a road be built over an electrical cable which generated significant heat. Resolving this issue required highly skilled technical parties to assess how the road could be built without damaging the cable. Resolving these additional thermal requirements took months of coordination.</w:t>
            </w:r>
          </w:p>
          <w:p w14:paraId="6CCA9A3C" w14:textId="77777777" w:rsidR="00D95005" w:rsidRDefault="00D95005">
            <w:pPr>
              <w:pStyle w:val="BodyText"/>
            </w:pPr>
            <w:r>
              <w:t>All up, it took the developer 2 years to prepare reports and apply for subdivision approval, with another 4 to 6 months spent satisfying post</w:t>
            </w:r>
            <w:r>
              <w:noBreakHyphen/>
              <w:t>approval conditions. It then took another year for the developer to receive a planning permit for the first building</w:t>
            </w:r>
            <w:r>
              <w:noBreakHyphen/>
              <w:t>ready lot, with each subsequent planning approval taking approximately 6 months. The developer told us that these delays and long timeframes had significant impacts on feasibility, with a one</w:t>
            </w:r>
            <w:r>
              <w:noBreakHyphen/>
              <w:t>month delay costing around $370,000 in interest alone. They said:</w:t>
            </w:r>
          </w:p>
          <w:p w14:paraId="338BD2A1" w14:textId="77777777" w:rsidR="00D95005" w:rsidRDefault="00D95005">
            <w:pPr>
              <w:pStyle w:val="Quote"/>
            </w:pPr>
            <w:r>
              <w:t xml:space="preserve">The cost of doing nothing is </w:t>
            </w:r>
            <w:proofErr w:type="gramStart"/>
            <w:r>
              <w:t>really expensive</w:t>
            </w:r>
            <w:proofErr w:type="gramEnd"/>
            <w:r>
              <w:t>.</w:t>
            </w:r>
          </w:p>
          <w:p w14:paraId="161C3472" w14:textId="1485F1D1" w:rsidR="00D95005" w:rsidRPr="00B2619F" w:rsidRDefault="00B2619F">
            <w:pPr>
              <w:pStyle w:val="BodyText"/>
              <w:rPr>
                <w:spacing w:val="-2"/>
              </w:rPr>
            </w:pPr>
            <w:r w:rsidRPr="00B2619F">
              <w:rPr>
                <w:spacing w:val="-2"/>
              </w:rPr>
              <w:t>In this case, better coordination between government agencies could have helped make land that was nominated as a growth corridor ready for development more quickly and at lower cost</w:t>
            </w:r>
            <w:r w:rsidR="00D95005" w:rsidRPr="00B2619F">
              <w:rPr>
                <w:spacing w:val="-2"/>
              </w:rPr>
              <w:t>. Improving these processes would require better planning and coordination across government agencies and decision makers to pre</w:t>
            </w:r>
            <w:r w:rsidR="00D95005" w:rsidRPr="00B2619F">
              <w:rPr>
                <w:spacing w:val="-2"/>
              </w:rPr>
              <w:noBreakHyphen/>
              <w:t>empt any issues within a PSP before the approvals process begins.</w:t>
            </w:r>
          </w:p>
          <w:p w14:paraId="5314B79B" w14:textId="77777777" w:rsidR="00D95005" w:rsidRDefault="00D95005">
            <w:pPr>
              <w:pStyle w:val="Note"/>
            </w:pPr>
            <w:r w:rsidRPr="00FA1311">
              <w:t xml:space="preserve">Note: To protect commercially sensitive information, the PC agreed to withhold identifying information for case study participants. The PC has verified </w:t>
            </w:r>
            <w:proofErr w:type="gramStart"/>
            <w:r w:rsidRPr="00FA1311">
              <w:t>factual information</w:t>
            </w:r>
            <w:proofErr w:type="gramEnd"/>
            <w:r w:rsidRPr="00FA1311">
              <w:t xml:space="preserve"> in the case study where possible.</w:t>
            </w:r>
          </w:p>
          <w:p w14:paraId="5CD48601" w14:textId="2FC7162F" w:rsidR="00D95005" w:rsidRDefault="00D95005">
            <w:pPr>
              <w:pStyle w:val="Source"/>
            </w:pPr>
            <w:r>
              <w:t>Source: [</w:t>
            </w:r>
            <w:r w:rsidRPr="00FA1311">
              <w:t>name withheld</w:t>
            </w:r>
            <w:r>
              <w:t>] (2026).</w:t>
            </w:r>
          </w:p>
        </w:tc>
      </w:tr>
      <w:tr w:rsidR="00D95005" w14:paraId="681D7E9A" w14:textId="77777777">
        <w:trPr>
          <w:hidden/>
        </w:trPr>
        <w:tc>
          <w:tcPr>
            <w:tcW w:w="9638" w:type="dxa"/>
            <w:shd w:val="clear" w:color="auto" w:fill="auto"/>
            <w:tcMar>
              <w:top w:w="0" w:type="dxa"/>
              <w:left w:w="170" w:type="dxa"/>
              <w:bottom w:w="0" w:type="dxa"/>
              <w:right w:w="170" w:type="dxa"/>
            </w:tcMar>
          </w:tcPr>
          <w:p w14:paraId="2433890D" w14:textId="269BD486" w:rsidR="00D95005" w:rsidRPr="00465191" w:rsidRDefault="00D95005">
            <w:pPr>
              <w:pStyle w:val="BodyText"/>
              <w:spacing w:before="0" w:after="0" w:line="80" w:lineRule="atLeast"/>
              <w:rPr>
                <w:smallCaps/>
                <w:vanish/>
              </w:rPr>
            </w:pPr>
          </w:p>
        </w:tc>
      </w:tr>
    </w:tbl>
    <w:p w14:paraId="4E8ED3B4" w14:textId="77777777" w:rsidR="00D95005" w:rsidRPr="001C3773" w:rsidRDefault="00D95005" w:rsidP="001C3773">
      <w:pPr>
        <w:pStyle w:val="BodyText"/>
      </w:pPr>
    </w:p>
    <w:p w14:paraId="585C8099" w14:textId="77777777" w:rsidR="00D95005" w:rsidRDefault="00D95005">
      <w:pPr>
        <w:pStyle w:val="Heading3"/>
      </w:pPr>
      <w:r>
        <w:t>Slow appeal processes increase uncertainty for developers</w:t>
      </w:r>
    </w:p>
    <w:p w14:paraId="6FBE501C" w14:textId="3B42C059" w:rsidR="00D95005" w:rsidRPr="0019200F" w:rsidRDefault="00D95005" w:rsidP="0019200F">
      <w:pPr>
        <w:pStyle w:val="BodyText"/>
        <w:rPr>
          <w:rStyle w:val="DraftingNoteChar"/>
          <w:color w:val="auto"/>
          <w:sz w:val="20"/>
          <w:u w:val="none"/>
        </w:rPr>
      </w:pPr>
      <w:r w:rsidRPr="0019200F">
        <w:t xml:space="preserve">Appeal processes are an important avenue for developers to challenge council decisions that they disagree with. But we heard from participants that the length and complexity of appeal processes can mean that challenging council decisions is often not worth it. For example, in Victoria, planning permit appeals took on average 188 days to reach an outcome in 2025 </w:t>
      </w:r>
      <w:r w:rsidR="00877EF9" w:rsidRPr="0019200F">
        <w:t>(Victorian DTP 2026b)</w:t>
      </w:r>
      <w:r w:rsidRPr="0019200F">
        <w:t>.</w:t>
      </w:r>
    </w:p>
    <w:p w14:paraId="73143CE7" w14:textId="788042C1" w:rsidR="00D95005" w:rsidRPr="00385241" w:rsidRDefault="00D95005">
      <w:pPr>
        <w:pStyle w:val="BodyText"/>
        <w:rPr>
          <w:rStyle w:val="DraftingNoteChar"/>
          <w:color w:val="auto"/>
          <w:sz w:val="20"/>
          <w:u w:val="none"/>
        </w:rPr>
      </w:pPr>
      <w:r>
        <w:lastRenderedPageBreak/>
        <w:t>In some states and territories, neighbours, tenants and landowners also have the right to appeal council decisions. These rights are designed to protect the interests of people who are affected by developments. However, third</w:t>
      </w:r>
      <w:r>
        <w:noBreakHyphen/>
        <w:t xml:space="preserve">party appeal rights give individual community members the power to delay a project without consideration of the broader community costs and benefits (BCA, sub. 71 attachment 2, p. 23). </w:t>
      </w:r>
      <w:r w:rsidRPr="00387EE1">
        <w:t>In</w:t>
      </w:r>
      <w:r>
        <w:t xml:space="preserve"> some states and </w:t>
      </w:r>
      <w:proofErr w:type="gramStart"/>
      <w:r>
        <w:t>territories</w:t>
      </w:r>
      <w:proofErr w:type="gramEnd"/>
      <w:r>
        <w:t xml:space="preserve"> the scope of third</w:t>
      </w:r>
      <w:r>
        <w:noBreakHyphen/>
        <w:t xml:space="preserve">party appeal rights can cause </w:t>
      </w:r>
      <w:r w:rsidRPr="00A424ED">
        <w:t>significant uncertainty and delays</w:t>
      </w:r>
      <w:r>
        <w:t xml:space="preserve"> for developers, particularly in infill areas </w:t>
      </w:r>
      <w:r w:rsidRPr="00385241">
        <w:t>(PC 2021, p. 13)</w:t>
      </w:r>
      <w:r w:rsidRPr="00387EE1">
        <w:t>.</w:t>
      </w:r>
      <w:r>
        <w:t xml:space="preserve"> Affordable and community housing projects may be more sensitive to the delays caused by third</w:t>
      </w:r>
      <w:r>
        <w:noBreakHyphen/>
        <w:t xml:space="preserve">party appeals as they both operate on tighter margins and are more likely to receive development objections </w:t>
      </w:r>
      <w:r w:rsidRPr="004E7DE2">
        <w:rPr>
          <w:rFonts w:cs="Open Sans"/>
          <w:szCs w:val="24"/>
        </w:rPr>
        <w:t>(Gilbert et al. 2020, pp. 53–54)</w:t>
      </w:r>
      <w:r w:rsidRPr="00387EE1">
        <w:t xml:space="preserve">. </w:t>
      </w:r>
    </w:p>
    <w:p w14:paraId="6A715823" w14:textId="5D3DD88B" w:rsidR="00D95005" w:rsidRDefault="00D95005">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D95005" w14:paraId="4794BF6F" w14:textId="77777777">
        <w:trPr>
          <w:trHeight w:val="765"/>
          <w:tblHeader/>
        </w:trPr>
        <w:tc>
          <w:tcPr>
            <w:tcW w:w="366" w:type="pct"/>
            <w:shd w:val="clear" w:color="auto" w:fill="EBEBEB"/>
            <w:tcMar>
              <w:bottom w:w="0" w:type="dxa"/>
            </w:tcMar>
            <w:vAlign w:val="center"/>
          </w:tcPr>
          <w:p w14:paraId="194F180D" w14:textId="77777777" w:rsidR="00D95005" w:rsidRDefault="00D95005">
            <w:pPr>
              <w:pStyle w:val="NoSpacing"/>
              <w:keepNext/>
              <w:keepLines/>
              <w:jc w:val="right"/>
            </w:pPr>
            <w:r w:rsidRPr="00A51374">
              <w:rPr>
                <w:noProof/>
              </w:rPr>
              <w:drawing>
                <wp:inline distT="0" distB="0" distL="0" distR="0" wp14:anchorId="6297ADC3" wp14:editId="6FF20441">
                  <wp:extent cx="288000" cy="288000"/>
                  <wp:effectExtent l="0" t="0" r="0" b="0"/>
                  <wp:docPr id="1774037486" name="Graphic 1774037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0A5A5C54" w14:textId="3FBB3387" w:rsidR="00D95005" w:rsidRPr="0012036F" w:rsidRDefault="00D95005">
            <w:pPr>
              <w:pStyle w:val="TableHeading"/>
              <w:keepNext/>
              <w:keepLines/>
              <w:spacing w:before="120" w:after="120"/>
              <w:contextualSpacing/>
              <w:rPr>
                <w:rStyle w:val="ColourDarkBlue"/>
                <w:sz w:val="20"/>
              </w:rPr>
            </w:pPr>
            <w:r w:rsidRPr="0012036F">
              <w:rPr>
                <w:rStyle w:val="ColourDarkBlue"/>
                <w:sz w:val="20"/>
              </w:rPr>
              <w:t xml:space="preserve">Information request </w:t>
            </w:r>
            <w:r w:rsidR="00CB06D8">
              <w:rPr>
                <w:rStyle w:val="ColourDarkBlue"/>
                <w:noProof/>
                <w:sz w:val="20"/>
              </w:rPr>
              <w:t>3</w:t>
            </w:r>
            <w:r w:rsidRPr="0012036F">
              <w:rPr>
                <w:rStyle w:val="ColourDarkBlue"/>
                <w:sz w:val="20"/>
              </w:rPr>
              <w:t>.</w:t>
            </w:r>
            <w:r w:rsidR="00CB06D8">
              <w:rPr>
                <w:rStyle w:val="ColourDarkBlue"/>
                <w:noProof/>
                <w:sz w:val="20"/>
              </w:rPr>
              <w:t>1</w:t>
            </w:r>
          </w:p>
        </w:tc>
      </w:tr>
      <w:tr w:rsidR="00D95005" w:rsidRPr="000956E1" w14:paraId="37E0158F" w14:textId="77777777">
        <w:tc>
          <w:tcPr>
            <w:tcW w:w="5000" w:type="pct"/>
            <w:gridSpan w:val="2"/>
            <w:shd w:val="clear" w:color="auto" w:fill="EBEBEB"/>
          </w:tcPr>
          <w:p w14:paraId="3080D2A7" w14:textId="77777777" w:rsidR="00D95005" w:rsidRPr="000956E1" w:rsidRDefault="00D95005" w:rsidP="00E11D04">
            <w:pPr>
              <w:pStyle w:val="ListBullet"/>
              <w:rPr>
                <w:rStyle w:val="ColourDarkBlue"/>
              </w:rPr>
            </w:pPr>
            <w:r w:rsidRPr="000956E1">
              <w:rPr>
                <w:rStyle w:val="ColourDarkBlue"/>
              </w:rPr>
              <w:t>What evidence do you have for the main causes of delays in receiving approvals for new housing?</w:t>
            </w:r>
          </w:p>
          <w:p w14:paraId="591E1587" w14:textId="77777777" w:rsidR="00D95005" w:rsidRPr="000956E1" w:rsidRDefault="00D95005" w:rsidP="00E11D04">
            <w:pPr>
              <w:pStyle w:val="ListBullet"/>
              <w:rPr>
                <w:color w:val="265A9A" w:themeColor="background2"/>
              </w:rPr>
            </w:pPr>
            <w:r w:rsidRPr="000956E1">
              <w:rPr>
                <w:color w:val="265A9A" w:themeColor="background2"/>
              </w:rPr>
              <w:t>When is discretion useful in planning processes, and when is it not useful? Are there examples of subjective requirements that should be changed or removed to improve certainty for developers?</w:t>
            </w:r>
          </w:p>
          <w:p w14:paraId="722CB31B" w14:textId="77777777" w:rsidR="00D95005" w:rsidRPr="000956E1" w:rsidRDefault="00D95005" w:rsidP="00E11D04">
            <w:pPr>
              <w:pStyle w:val="ListBullet"/>
              <w:rPr>
                <w:color w:val="265A9A" w:themeColor="background2"/>
              </w:rPr>
            </w:pPr>
            <w:r w:rsidRPr="000956E1">
              <w:rPr>
                <w:color w:val="265A9A" w:themeColor="background2"/>
              </w:rPr>
              <w:t>How should third</w:t>
            </w:r>
            <w:r w:rsidRPr="000956E1">
              <w:rPr>
                <w:color w:val="265A9A" w:themeColor="background2"/>
              </w:rPr>
              <w:noBreakHyphen/>
              <w:t>party appeal processes be changed to better balance the benefits they provide to community members and the uncertainty and delay costs they impose on developers?</w:t>
            </w:r>
          </w:p>
        </w:tc>
      </w:tr>
      <w:tr w:rsidR="00D95005" w14:paraId="0666A163" w14:textId="77777777">
        <w:tc>
          <w:tcPr>
            <w:tcW w:w="5000" w:type="pct"/>
            <w:gridSpan w:val="2"/>
            <w:tcMar>
              <w:bottom w:w="0" w:type="dxa"/>
            </w:tcMar>
          </w:tcPr>
          <w:p w14:paraId="2AA7E771" w14:textId="28A93FAA" w:rsidR="00D95005" w:rsidRDefault="00D95005">
            <w:pPr>
              <w:pStyle w:val="NoSpacing"/>
              <w:spacing w:line="200" w:lineRule="atLeast"/>
            </w:pPr>
          </w:p>
        </w:tc>
      </w:tr>
    </w:tbl>
    <w:p w14:paraId="2A4A0372" w14:textId="77777777" w:rsidR="00D95005" w:rsidRPr="002B3DF7" w:rsidRDefault="00D95005">
      <w:pPr>
        <w:pStyle w:val="Heading2"/>
      </w:pPr>
      <w:bookmarkStart w:id="29" w:name="_Toc235103152"/>
      <w:r>
        <w:t>Regulatory burden tends to be</w:t>
      </w:r>
      <w:r w:rsidDel="00966CB5">
        <w:t xml:space="preserve"> </w:t>
      </w:r>
      <w:r w:rsidDel="00DE1CD7">
        <w:t xml:space="preserve">highest </w:t>
      </w:r>
      <w:r w:rsidDel="002D6D76">
        <w:t xml:space="preserve">for </w:t>
      </w:r>
      <w:r>
        <w:t>planning approvals to release land or develop housing</w:t>
      </w:r>
      <w:bookmarkEnd w:id="29"/>
      <w:r>
        <w:t xml:space="preserve"> </w:t>
      </w:r>
    </w:p>
    <w:p w14:paraId="7472F3E5" w14:textId="77777777" w:rsidR="00D95005" w:rsidRDefault="00D95005">
      <w:pPr>
        <w:pStyle w:val="Heading3"/>
      </w:pPr>
      <w:r>
        <w:t>Approvals required for rezoning</w:t>
      </w:r>
      <w:r w:rsidRPr="00666F9B">
        <w:t xml:space="preserve"> </w:t>
      </w:r>
      <w:r>
        <w:t>land can take a very long time</w:t>
      </w:r>
    </w:p>
    <w:p w14:paraId="79037CF8" w14:textId="77777777" w:rsidR="00D95005" w:rsidRDefault="00D95005">
      <w:pPr>
        <w:pStyle w:val="BodyText"/>
      </w:pPr>
      <w:r>
        <w:t xml:space="preserve">If the parcel of land isn’t zoned for the required use, developers may need to seek approval to change the planning controls which apply to the land. Processes to apply for rezoning approval differ across jurisdictions, but may include strategic planning, completion of technical assessments, public consultation, legal drafting and environmental approvals under the </w:t>
      </w:r>
      <w:r>
        <w:rPr>
          <w:i/>
          <w:iCs/>
        </w:rPr>
        <w:t>Environmental Protection and Biodiversity Conservation Act</w:t>
      </w:r>
      <w:r w:rsidDel="00B8078C">
        <w:rPr>
          <w:i/>
          <w:iCs/>
        </w:rPr>
        <w:t xml:space="preserve"> </w:t>
      </w:r>
      <w:r>
        <w:rPr>
          <w:i/>
          <w:iCs/>
        </w:rPr>
        <w:t xml:space="preserve">1999 </w:t>
      </w:r>
      <w:r>
        <w:t>(</w:t>
      </w:r>
      <w:proofErr w:type="spellStart"/>
      <w:r>
        <w:t>Cth</w:t>
      </w:r>
      <w:proofErr w:type="spellEnd"/>
      <w:r>
        <w:t xml:space="preserve">). </w:t>
      </w:r>
    </w:p>
    <w:p w14:paraId="15DE1BC6" w14:textId="76E1BDE1" w:rsidR="00D95005" w:rsidRPr="0019200F" w:rsidRDefault="00D95005">
      <w:pPr>
        <w:pStyle w:val="BodyText"/>
        <w:rPr>
          <w:spacing w:val="-2"/>
        </w:rPr>
      </w:pPr>
      <w:r w:rsidRPr="0019200F">
        <w:rPr>
          <w:spacing w:val="-2"/>
        </w:rPr>
        <w:t>In most states and territories, rezoning land is formalised through an amendment to the relevant planning scheme.</w:t>
      </w:r>
      <w:r w:rsidRPr="0019200F">
        <w:rPr>
          <w:rStyle w:val="FootnoteReference"/>
          <w:spacing w:val="-2"/>
        </w:rPr>
        <w:footnoteReference w:id="9"/>
      </w:r>
      <w:r w:rsidRPr="0019200F">
        <w:rPr>
          <w:spacing w:val="-2"/>
        </w:rPr>
        <w:t xml:space="preserve"> This process often has several steps. For example, a planning scheme amendment in Victoria requires preparation, authorisation from the minister, public exhibition and submissions, panel review, council adoption and ministerial approval </w:t>
      </w:r>
      <w:r w:rsidRPr="0019200F">
        <w:rPr>
          <w:rFonts w:cs="Open Sans"/>
          <w:spacing w:val="-2"/>
          <w:szCs w:val="24"/>
        </w:rPr>
        <w:t>(BRV 2019, p. 33)</w:t>
      </w:r>
      <w:r w:rsidRPr="0019200F">
        <w:rPr>
          <w:spacing w:val="-2"/>
        </w:rPr>
        <w:t>. Evidence compiled by Mecone Group suggests planning scheme amendment processes typically take between 200 and more than 600 days, with timeframes varying considerably across jurisdictions (BCA, sub. 71 attachment 2, p. 15).</w:t>
      </w:r>
    </w:p>
    <w:p w14:paraId="04DC4124" w14:textId="77777777" w:rsidR="00D95005" w:rsidRDefault="00D95005">
      <w:pPr>
        <w:pStyle w:val="BodyText"/>
      </w:pPr>
      <w:r>
        <w:t xml:space="preserve">For greenfield developments, planning scheme amendments are often supported by strategic planning which aims to establish future land use, infrastructure connections and urban structure of an area. Examples include Precinct Structure Plans in Victoria, Precinct Plans in New South Wales and Structure </w:t>
      </w:r>
      <w:r>
        <w:lastRenderedPageBreak/>
        <w:t xml:space="preserve">Plans in Western Australia. However, in practice </w:t>
      </w:r>
      <w:r w:rsidDel="00CC7A63">
        <w:t>s</w:t>
      </w:r>
      <w:r>
        <w:t>trategic planning often does not go far enough in considering infrastructure requirements (chapter 4) and resolving planning trade</w:t>
      </w:r>
      <w:r>
        <w:noBreakHyphen/>
        <w:t>offs, meaning such issues must be resolved as part of subdivision and development approvals (section 3.5).</w:t>
      </w:r>
    </w:p>
    <w:p w14:paraId="10BBBD20" w14:textId="77777777" w:rsidR="00D95005" w:rsidRPr="009F7729" w:rsidRDefault="00D95005">
      <w:pPr>
        <w:pStyle w:val="BodyText"/>
      </w:pPr>
      <w:r>
        <w:t xml:space="preserve">We have been told by a greenfield developer that the broader process to rezone land – including preparation, the creation of strategic plans and planning scheme amendments – can take up to 7 to 10 years in some jurisdictions (HIA, sub. 25, p.10). </w:t>
      </w:r>
      <w:r w:rsidRPr="00FE2C32">
        <w:t xml:space="preserve">In its submission, the </w:t>
      </w:r>
      <w:r>
        <w:t>Housing Industry Association (HIA)</w:t>
      </w:r>
      <w:r w:rsidRPr="00FE2C32">
        <w:t xml:space="preserve"> highlighted an example of a greenfield development that took 17 years to move from landowner interest to completion of the first homes</w:t>
      </w:r>
      <w:r>
        <w:t>, with 12 of those years comprised of pre</w:t>
      </w:r>
      <w:r>
        <w:noBreakHyphen/>
        <w:t xml:space="preserve">subdivision rezoning processes (sub. 25, p. 11). </w:t>
      </w:r>
    </w:p>
    <w:p w14:paraId="0D532D33" w14:textId="77777777" w:rsidR="00D95005" w:rsidRDefault="00D95005">
      <w:pPr>
        <w:pStyle w:val="Heading3"/>
      </w:pPr>
      <w:r>
        <w:t>Development approvals are particularly slow and difficult</w:t>
      </w:r>
    </w:p>
    <w:p w14:paraId="4AF9B653" w14:textId="77777777" w:rsidR="00D95005" w:rsidRDefault="00D95005">
      <w:pPr>
        <w:pStyle w:val="BodyText"/>
      </w:pPr>
      <w:r>
        <w:t>The process to receive a development approval involves the assessment of a proposed development against planning rules.</w:t>
      </w:r>
      <w:r w:rsidRPr="00CB0759">
        <w:rPr>
          <w:rStyle w:val="FootnoteReference"/>
        </w:rPr>
        <w:footnoteReference w:id="10"/>
      </w:r>
      <w:r>
        <w:t xml:space="preserve"> The development approval process is one of the most onerous parts of the housing approval process, with numerous supporting documents and referrals required and many conditions often attached to the approval (Urban Taskforce Australia, sub. 69, p. 11; Master Builders Australia, sub. 74, pp. 5–6). </w:t>
      </w:r>
    </w:p>
    <w:p w14:paraId="68D45BDA" w14:textId="19C8AA55" w:rsidR="00D95005" w:rsidRPr="0019200F" w:rsidRDefault="00D95005" w:rsidP="0019200F">
      <w:pPr>
        <w:pStyle w:val="BodyText"/>
        <w:rPr>
          <w:rStyle w:val="DraftingNoteChar"/>
          <w:color w:val="auto"/>
          <w:sz w:val="20"/>
          <w:u w:val="none"/>
        </w:rPr>
      </w:pPr>
      <w:r w:rsidRPr="0019200F">
        <w:t>In many jurisdictions, the documentation required to prove compliance with planning rules in a development approval is extensive. For example, PC analysis of development approval records shows one development approval for a subdivision and construction of 2 dwellings in Parramatta required 30 different reports and plans, totalling 60 attached documents (City of Parramatta 2026).</w:t>
      </w:r>
    </w:p>
    <w:p w14:paraId="35D4A1E6" w14:textId="4A5DDDBA" w:rsidR="00D95005" w:rsidRPr="00C94638" w:rsidRDefault="00D95005" w:rsidP="00C94638">
      <w:pPr>
        <w:pStyle w:val="BodyText"/>
      </w:pPr>
      <w:r>
        <w:t>It can take a very long time to receive a development approval. The median time to receive a development approval is as high as 146</w:t>
      </w:r>
      <w:r w:rsidRPr="001F0D62">
        <w:t xml:space="preserve"> </w:t>
      </w:r>
      <w:r w:rsidRPr="005A4A20">
        <w:t>days in Victoria</w:t>
      </w:r>
      <w:r>
        <w:t xml:space="preserve"> and may be higher in states or territories that don’t report this data (table 3.1). Some projects take much longer than average to receive development approval. The HIA reports that a third of its small business stakeholders say development approvals </w:t>
      </w:r>
      <w:r w:rsidRPr="00C94638">
        <w:t>take more than 6 months on average (HIA 2026a, p. 20).</w:t>
      </w:r>
    </w:p>
    <w:p w14:paraId="3953B704" w14:textId="5073D41A" w:rsidR="00D95005" w:rsidRDefault="00D95005" w:rsidP="00C94638">
      <w:pPr>
        <w:pStyle w:val="BodyText"/>
      </w:pPr>
      <w:r w:rsidRPr="00C94638">
        <w:rPr>
          <w:rStyle w:val="normaltextrun"/>
        </w:rPr>
        <w:t>Evidence from Sydney and Melbourne suggests that development approval</w:t>
      </w:r>
      <w:r w:rsidRPr="00C94638" w:rsidDel="00AB389E">
        <w:rPr>
          <w:rStyle w:val="normaltextrun"/>
        </w:rPr>
        <w:t xml:space="preserve"> </w:t>
      </w:r>
      <w:r w:rsidRPr="00C94638">
        <w:rPr>
          <w:rStyle w:val="normaltextrun"/>
        </w:rPr>
        <w:t xml:space="preserve">processing times increase steadily as developments get larger </w:t>
      </w:r>
      <w:r w:rsidRPr="00C94638">
        <w:t>(Coates et al. 2025, p. 28)</w:t>
      </w:r>
      <w:r w:rsidRPr="00C94638">
        <w:rPr>
          <w:rStyle w:val="normaltextrun"/>
        </w:rPr>
        <w:t xml:space="preserve">, but this effect does not always appear to be consistent. </w:t>
      </w:r>
      <w:r w:rsidRPr="00C94638">
        <w:t>Research by Sharam and Bryant</w:t>
      </w:r>
      <w:r w:rsidRPr="00C94638" w:rsidDel="00D76886">
        <w:t xml:space="preserve"> </w:t>
      </w:r>
      <w:r w:rsidRPr="00C94638">
        <w:t>found that development approval times can be particularly long for</w:t>
      </w:r>
      <w:r>
        <w:t xml:space="preserve"> mid</w:t>
      </w:r>
      <w:r>
        <w:noBreakHyphen/>
        <w:t xml:space="preserve"> and high</w:t>
      </w:r>
      <w:r>
        <w:noBreakHyphen/>
        <w:t xml:space="preserve">rise apartment projects, finding an average approval time of 1.6 years for 4 to 8 storey projects and 2 years for 9 to 19 </w:t>
      </w:r>
      <w:r w:rsidRPr="00387EE1">
        <w:t>storey projects</w:t>
      </w:r>
      <w:r>
        <w:t xml:space="preserve"> </w:t>
      </w:r>
      <w:r w:rsidRPr="00EF0860">
        <w:rPr>
          <w:rFonts w:cs="Open Sans"/>
          <w:szCs w:val="24"/>
        </w:rPr>
        <w:t>(2025, pp. 10–12)</w:t>
      </w:r>
      <w:r w:rsidRPr="00387EE1">
        <w:t>. Some projects had approval times which extended significantly beyond these averages. For example, one 9</w:t>
      </w:r>
      <w:r>
        <w:t xml:space="preserve"> to </w:t>
      </w:r>
      <w:r w:rsidRPr="00387EE1">
        <w:t xml:space="preserve">19 storey apartment </w:t>
      </w:r>
      <w:proofErr w:type="gramStart"/>
      <w:r w:rsidRPr="00387EE1">
        <w:t>project</w:t>
      </w:r>
      <w:proofErr w:type="gramEnd"/>
      <w:r w:rsidRPr="00FB1469" w:rsidDel="00AC2A32">
        <w:t xml:space="preserve"> </w:t>
      </w:r>
      <w:r>
        <w:t>took just under 4 years to receive development approval.</w:t>
      </w:r>
    </w:p>
    <w:p w14:paraId="5BA0F2B6" w14:textId="226945C9" w:rsidR="00D95005" w:rsidRDefault="00D95005">
      <w:pPr>
        <w:pStyle w:val="FigureTableHeading"/>
      </w:pPr>
      <w:r>
        <w:t>Table </w:t>
      </w:r>
      <w:r w:rsidR="00CB06D8">
        <w:rPr>
          <w:noProof/>
        </w:rPr>
        <w:t>3</w:t>
      </w:r>
      <w:r>
        <w:t>.</w:t>
      </w:r>
      <w:r w:rsidR="00CB06D8">
        <w:rPr>
          <w:noProof/>
        </w:rPr>
        <w:t>1</w:t>
      </w:r>
      <w:r>
        <w:rPr>
          <w:noProof/>
        </w:rPr>
        <w:t xml:space="preserve"> – </w:t>
      </w:r>
      <w:r>
        <w:t>Median time taken to process a development approval by state and territory</w:t>
      </w:r>
    </w:p>
    <w:p w14:paraId="488C1D4A" w14:textId="77777777" w:rsidR="00D95005" w:rsidRDefault="00D95005">
      <w:pPr>
        <w:pStyle w:val="FigureTableSubheading"/>
      </w:pPr>
      <w:r>
        <w:t>6 months to September 2025</w:t>
      </w:r>
    </w:p>
    <w:tbl>
      <w:tblPr>
        <w:tblW w:w="4962"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1195"/>
        <w:gridCol w:w="1195"/>
        <w:gridCol w:w="1195"/>
        <w:gridCol w:w="1196"/>
        <w:gridCol w:w="1196"/>
        <w:gridCol w:w="1196"/>
        <w:gridCol w:w="1196"/>
        <w:gridCol w:w="1196"/>
      </w:tblGrid>
      <w:tr w:rsidR="00D95005" w:rsidRPr="00030C67" w14:paraId="56397BB3" w14:textId="77777777" w:rsidTr="00985983">
        <w:trPr>
          <w:tblHeader/>
        </w:trPr>
        <w:tc>
          <w:tcPr>
            <w:tcW w:w="625" w:type="pct"/>
            <w:tcBorders>
              <w:bottom w:val="single" w:sz="4" w:space="0" w:color="B3B3B3"/>
            </w:tcBorders>
            <w:shd w:val="clear" w:color="000000" w:fill="auto"/>
            <w:vAlign w:val="center"/>
          </w:tcPr>
          <w:p w14:paraId="424C6C4F" w14:textId="77777777" w:rsidR="00D95005" w:rsidRPr="007852AE" w:rsidRDefault="00D95005">
            <w:pPr>
              <w:pStyle w:val="TableHeading"/>
            </w:pPr>
            <w:r w:rsidRPr="007852AE">
              <w:t>NSW</w:t>
            </w:r>
          </w:p>
        </w:tc>
        <w:tc>
          <w:tcPr>
            <w:tcW w:w="625" w:type="pct"/>
            <w:tcBorders>
              <w:bottom w:val="single" w:sz="4" w:space="0" w:color="B3B3B3"/>
            </w:tcBorders>
            <w:shd w:val="clear" w:color="000000" w:fill="auto"/>
            <w:vAlign w:val="center"/>
          </w:tcPr>
          <w:p w14:paraId="08E3F708" w14:textId="69018DCC" w:rsidR="00D95005" w:rsidRPr="007852AE" w:rsidRDefault="00936935">
            <w:pPr>
              <w:pStyle w:val="TableHeading"/>
            </w:pPr>
            <w:r>
              <w:t>Vic</w:t>
            </w:r>
          </w:p>
        </w:tc>
        <w:tc>
          <w:tcPr>
            <w:tcW w:w="625" w:type="pct"/>
            <w:tcBorders>
              <w:bottom w:val="single" w:sz="4" w:space="0" w:color="B3B3B3"/>
            </w:tcBorders>
            <w:shd w:val="clear" w:color="000000" w:fill="auto"/>
            <w:vAlign w:val="center"/>
          </w:tcPr>
          <w:p w14:paraId="2C88A9B3" w14:textId="77777777" w:rsidR="00D95005" w:rsidRPr="007852AE" w:rsidRDefault="00D95005">
            <w:pPr>
              <w:pStyle w:val="TableHeading"/>
            </w:pPr>
            <w:r w:rsidRPr="007852AE">
              <w:t>SA</w:t>
            </w:r>
          </w:p>
        </w:tc>
        <w:tc>
          <w:tcPr>
            <w:tcW w:w="625" w:type="pct"/>
            <w:tcBorders>
              <w:bottom w:val="single" w:sz="4" w:space="0" w:color="B3B3B3"/>
            </w:tcBorders>
            <w:shd w:val="clear" w:color="000000" w:fill="auto"/>
            <w:vAlign w:val="center"/>
          </w:tcPr>
          <w:p w14:paraId="11E30FEC" w14:textId="77777777" w:rsidR="00D95005" w:rsidRPr="007852AE" w:rsidRDefault="00D95005">
            <w:pPr>
              <w:pStyle w:val="TableHeading"/>
            </w:pPr>
            <w:r w:rsidRPr="007852AE">
              <w:t>ACT</w:t>
            </w:r>
          </w:p>
        </w:tc>
        <w:tc>
          <w:tcPr>
            <w:tcW w:w="625" w:type="pct"/>
            <w:tcBorders>
              <w:bottom w:val="single" w:sz="4" w:space="0" w:color="B3B3B3"/>
            </w:tcBorders>
            <w:shd w:val="clear" w:color="000000" w:fill="auto"/>
            <w:vAlign w:val="center"/>
          </w:tcPr>
          <w:p w14:paraId="4EE686AF" w14:textId="7B1A33CD" w:rsidR="00D95005" w:rsidRPr="007852AE" w:rsidRDefault="00936935">
            <w:pPr>
              <w:pStyle w:val="TableHeading"/>
            </w:pPr>
            <w:r>
              <w:t>Qld</w:t>
            </w:r>
          </w:p>
        </w:tc>
        <w:tc>
          <w:tcPr>
            <w:tcW w:w="625" w:type="pct"/>
            <w:tcBorders>
              <w:bottom w:val="single" w:sz="4" w:space="0" w:color="B3B3B3"/>
            </w:tcBorders>
            <w:shd w:val="clear" w:color="000000" w:fill="auto"/>
            <w:vAlign w:val="center"/>
          </w:tcPr>
          <w:p w14:paraId="7CC9B905" w14:textId="77777777" w:rsidR="00D95005" w:rsidRPr="007852AE" w:rsidRDefault="00D95005">
            <w:pPr>
              <w:pStyle w:val="TableHeading"/>
            </w:pPr>
            <w:r w:rsidRPr="007852AE">
              <w:t>WA</w:t>
            </w:r>
          </w:p>
        </w:tc>
        <w:tc>
          <w:tcPr>
            <w:tcW w:w="625" w:type="pct"/>
            <w:tcBorders>
              <w:bottom w:val="single" w:sz="4" w:space="0" w:color="B3B3B3"/>
            </w:tcBorders>
            <w:shd w:val="clear" w:color="000000" w:fill="auto"/>
            <w:vAlign w:val="center"/>
          </w:tcPr>
          <w:p w14:paraId="61CBDFAA" w14:textId="7D8B4D1A" w:rsidR="00D95005" w:rsidRPr="007852AE" w:rsidRDefault="00936935">
            <w:pPr>
              <w:pStyle w:val="TableHeading"/>
            </w:pPr>
            <w:r>
              <w:t>Tas</w:t>
            </w:r>
          </w:p>
        </w:tc>
        <w:tc>
          <w:tcPr>
            <w:tcW w:w="625" w:type="pct"/>
            <w:tcBorders>
              <w:bottom w:val="single" w:sz="4" w:space="0" w:color="B3B3B3"/>
            </w:tcBorders>
            <w:shd w:val="clear" w:color="000000" w:fill="auto"/>
            <w:vAlign w:val="center"/>
          </w:tcPr>
          <w:p w14:paraId="6550577E" w14:textId="77777777" w:rsidR="00D95005" w:rsidRPr="007852AE" w:rsidRDefault="00D95005">
            <w:pPr>
              <w:pStyle w:val="TableHeading"/>
            </w:pPr>
            <w:r w:rsidRPr="007852AE">
              <w:t>NT</w:t>
            </w:r>
          </w:p>
        </w:tc>
      </w:tr>
      <w:tr w:rsidR="00D95005" w:rsidRPr="00030C67" w14:paraId="5A4BE567" w14:textId="77777777" w:rsidTr="00985983">
        <w:tc>
          <w:tcPr>
            <w:tcW w:w="625" w:type="pct"/>
            <w:tcBorders>
              <w:top w:val="single" w:sz="4" w:space="0" w:color="B3B3B3"/>
              <w:bottom w:val="single" w:sz="4" w:space="0" w:color="BFBFBF" w:themeColor="background1" w:themeShade="BF"/>
            </w:tcBorders>
            <w:shd w:val="clear" w:color="auto" w:fill="E6E6E6"/>
          </w:tcPr>
          <w:p w14:paraId="764B76B0" w14:textId="77777777" w:rsidR="00D95005" w:rsidRPr="00FE5D33" w:rsidRDefault="00D95005">
            <w:pPr>
              <w:pStyle w:val="TableBody"/>
            </w:pPr>
            <w:r>
              <w:t>59</w:t>
            </w:r>
            <w:r w:rsidRPr="00FE5D33">
              <w:t xml:space="preserve"> </w:t>
            </w:r>
            <w:r>
              <w:t xml:space="preserve">calendar </w:t>
            </w:r>
            <w:r w:rsidRPr="00FE5D33">
              <w:t xml:space="preserve">days </w:t>
            </w:r>
          </w:p>
        </w:tc>
        <w:tc>
          <w:tcPr>
            <w:tcW w:w="625" w:type="pct"/>
            <w:tcBorders>
              <w:top w:val="single" w:sz="4" w:space="0" w:color="B3B3B3"/>
              <w:bottom w:val="single" w:sz="4" w:space="0" w:color="BFBFBF" w:themeColor="background1" w:themeShade="BF"/>
            </w:tcBorders>
            <w:shd w:val="clear" w:color="auto" w:fill="E6E6E6"/>
          </w:tcPr>
          <w:p w14:paraId="48153705" w14:textId="77777777" w:rsidR="00D95005" w:rsidRPr="00FE5D33" w:rsidRDefault="00D95005">
            <w:pPr>
              <w:pStyle w:val="TableBody"/>
            </w:pPr>
            <w:r w:rsidRPr="00FE5D33">
              <w:t>1</w:t>
            </w:r>
            <w:r>
              <w:t>46</w:t>
            </w:r>
            <w:r w:rsidRPr="00FE5D33">
              <w:t xml:space="preserve"> </w:t>
            </w:r>
            <w:r>
              <w:t xml:space="preserve">business </w:t>
            </w:r>
            <w:r w:rsidRPr="00FE5D33">
              <w:t xml:space="preserve">days </w:t>
            </w:r>
          </w:p>
        </w:tc>
        <w:tc>
          <w:tcPr>
            <w:tcW w:w="625" w:type="pct"/>
            <w:tcBorders>
              <w:top w:val="single" w:sz="4" w:space="0" w:color="B3B3B3"/>
              <w:bottom w:val="single" w:sz="4" w:space="0" w:color="BFBFBF" w:themeColor="background1" w:themeShade="BF"/>
            </w:tcBorders>
            <w:shd w:val="clear" w:color="auto" w:fill="E6E6E6"/>
          </w:tcPr>
          <w:p w14:paraId="70ECA909" w14:textId="77777777" w:rsidR="00D95005" w:rsidRPr="00FE5D33" w:rsidRDefault="00D95005">
            <w:pPr>
              <w:pStyle w:val="TableBody"/>
            </w:pPr>
            <w:r>
              <w:t>18 calendar days</w:t>
            </w:r>
          </w:p>
        </w:tc>
        <w:tc>
          <w:tcPr>
            <w:tcW w:w="625" w:type="pct"/>
            <w:tcBorders>
              <w:top w:val="single" w:sz="4" w:space="0" w:color="B3B3B3"/>
              <w:bottom w:val="single" w:sz="4" w:space="0" w:color="BFBFBF" w:themeColor="background1" w:themeShade="BF"/>
            </w:tcBorders>
            <w:shd w:val="clear" w:color="auto" w:fill="E6E6E6"/>
          </w:tcPr>
          <w:p w14:paraId="421D9F87" w14:textId="77777777" w:rsidR="00D95005" w:rsidRPr="00FE5D33" w:rsidRDefault="00D95005">
            <w:pPr>
              <w:pStyle w:val="TableBody"/>
            </w:pPr>
            <w:r>
              <w:t>40 calendar days</w:t>
            </w:r>
          </w:p>
        </w:tc>
        <w:tc>
          <w:tcPr>
            <w:tcW w:w="625" w:type="pct"/>
            <w:tcBorders>
              <w:top w:val="single" w:sz="4" w:space="0" w:color="B3B3B3"/>
              <w:bottom w:val="single" w:sz="4" w:space="0" w:color="BFBFBF" w:themeColor="background1" w:themeShade="BF"/>
            </w:tcBorders>
            <w:shd w:val="clear" w:color="auto" w:fill="E6E6E6"/>
          </w:tcPr>
          <w:p w14:paraId="057DCF32" w14:textId="77777777" w:rsidR="00D95005" w:rsidRPr="00FE5D33" w:rsidRDefault="00D95005">
            <w:pPr>
              <w:pStyle w:val="TableBody"/>
            </w:pPr>
            <w:r>
              <w:t>Not submitted</w:t>
            </w:r>
          </w:p>
        </w:tc>
        <w:tc>
          <w:tcPr>
            <w:tcW w:w="625" w:type="pct"/>
            <w:tcBorders>
              <w:top w:val="single" w:sz="4" w:space="0" w:color="B3B3B3"/>
              <w:bottom w:val="single" w:sz="4" w:space="0" w:color="BFBFBF" w:themeColor="background1" w:themeShade="BF"/>
            </w:tcBorders>
            <w:shd w:val="clear" w:color="auto" w:fill="E6E6E6"/>
          </w:tcPr>
          <w:p w14:paraId="468259C6" w14:textId="77777777" w:rsidR="00D95005" w:rsidRPr="00FE5D33" w:rsidRDefault="00D95005">
            <w:pPr>
              <w:pStyle w:val="TableBody"/>
            </w:pPr>
            <w:r>
              <w:t>Not submitted</w:t>
            </w:r>
          </w:p>
        </w:tc>
        <w:tc>
          <w:tcPr>
            <w:tcW w:w="625" w:type="pct"/>
            <w:tcBorders>
              <w:top w:val="single" w:sz="4" w:space="0" w:color="B3B3B3"/>
              <w:bottom w:val="single" w:sz="4" w:space="0" w:color="BFBFBF" w:themeColor="background1" w:themeShade="BF"/>
            </w:tcBorders>
            <w:shd w:val="clear" w:color="auto" w:fill="E6E6E6"/>
          </w:tcPr>
          <w:p w14:paraId="11BAEC01" w14:textId="77777777" w:rsidR="00D95005" w:rsidRPr="00FE5D33" w:rsidRDefault="00D95005">
            <w:pPr>
              <w:pStyle w:val="TableBody"/>
            </w:pPr>
            <w:r>
              <w:t>37 calendar days</w:t>
            </w:r>
          </w:p>
        </w:tc>
        <w:tc>
          <w:tcPr>
            <w:tcW w:w="625" w:type="pct"/>
            <w:tcBorders>
              <w:top w:val="single" w:sz="4" w:space="0" w:color="B3B3B3"/>
              <w:bottom w:val="single" w:sz="4" w:space="0" w:color="BFBFBF" w:themeColor="background1" w:themeShade="BF"/>
            </w:tcBorders>
            <w:shd w:val="clear" w:color="auto" w:fill="E6E6E6"/>
          </w:tcPr>
          <w:p w14:paraId="4AFCAB7E" w14:textId="77777777" w:rsidR="00D95005" w:rsidRPr="00FE5D33" w:rsidRDefault="00D95005">
            <w:pPr>
              <w:pStyle w:val="TableBody"/>
            </w:pPr>
            <w:r>
              <w:t>40 business days</w:t>
            </w:r>
          </w:p>
        </w:tc>
      </w:tr>
    </w:tbl>
    <w:p w14:paraId="2CAC7816" w14:textId="7DC73EBF" w:rsidR="00D95005" w:rsidRPr="00502373" w:rsidRDefault="00D95005">
      <w:pPr>
        <w:pStyle w:val="Note"/>
        <w:rPr>
          <w:rFonts w:asciiTheme="minorHAnsi" w:hAnsiTheme="minorHAnsi" w:cstheme="minorHAnsi"/>
        </w:rPr>
      </w:pPr>
      <w:r w:rsidRPr="00696447">
        <w:t>Source:</w:t>
      </w:r>
      <w:r>
        <w:t xml:space="preserve"> National Planning Reform Blueprint fourth progress and metrics </w:t>
      </w:r>
      <w:r w:rsidRPr="00502373">
        <w:rPr>
          <w:rFonts w:asciiTheme="minorHAnsi" w:hAnsiTheme="minorHAnsi" w:cstheme="minorHAnsi"/>
        </w:rPr>
        <w:t xml:space="preserve">reports </w:t>
      </w:r>
      <w:r w:rsidR="00877EF9" w:rsidRPr="00502373">
        <w:rPr>
          <w:rFonts w:asciiTheme="minorHAnsi" w:hAnsiTheme="minorHAnsi" w:cstheme="minorHAnsi"/>
        </w:rPr>
        <w:t>(Treasury 2026a)</w:t>
      </w:r>
      <w:r w:rsidRPr="00502373">
        <w:rPr>
          <w:rFonts w:asciiTheme="minorHAnsi" w:hAnsiTheme="minorHAnsi" w:cstheme="minorHAnsi"/>
        </w:rPr>
        <w:t>.</w:t>
      </w:r>
    </w:p>
    <w:p w14:paraId="6F87AB65" w14:textId="3E1A827E" w:rsidR="00D95005" w:rsidRPr="00EA0EE5" w:rsidRDefault="00D95005">
      <w:pPr>
        <w:pStyle w:val="BodyText"/>
      </w:pPr>
      <w:r w:rsidRPr="00EA0EE5">
        <w:t xml:space="preserve">Given often complex and extensive requirements, RFIs are common in development approval assessments. At least one RFI was required in 47% of Victorian development approval applications in </w:t>
      </w:r>
      <w:r w:rsidRPr="00EA0EE5">
        <w:lastRenderedPageBreak/>
        <w:t xml:space="preserve">2025 </w:t>
      </w:r>
      <w:r w:rsidR="00877EF9" w:rsidRPr="00877EF9">
        <w:rPr>
          <w:rFonts w:cs="Open Sans"/>
        </w:rPr>
        <w:t>(Victorian DTP 2026b)</w:t>
      </w:r>
      <w:r w:rsidRPr="00EA0EE5">
        <w:t xml:space="preserve">. Development approvals can also require a significant number of referrals. Inquiry participants identified referrals as a significant source of delay during the assessment process (Property Council of Australia, sub. 73, p. 7; UDIA, sub. 83, pp. 17, 42). </w:t>
      </w:r>
    </w:p>
    <w:p w14:paraId="42C745DD" w14:textId="77777777" w:rsidR="00D95005" w:rsidRDefault="00D95005">
      <w:pPr>
        <w:pStyle w:val="Heading4"/>
      </w:pPr>
      <w:r>
        <w:t>Post</w:t>
      </w:r>
      <w:r>
        <w:noBreakHyphen/>
        <w:t>approval conditions are creating a major additional hurdle</w:t>
      </w:r>
    </w:p>
    <w:p w14:paraId="71D01902" w14:textId="18A6D942" w:rsidR="00D95005" w:rsidRDefault="00D95005">
      <w:pPr>
        <w:pStyle w:val="BodyText"/>
      </w:pPr>
      <w:r>
        <w:t>Governments are increasingly imposing conditions to development approval acceptance (‘post</w:t>
      </w:r>
      <w:r>
        <w:noBreakHyphen/>
        <w:t xml:space="preserve">approval conditions’). This creates an additional step between development approval and building approval which can require significant documentation, costs and consultant inputs </w:t>
      </w:r>
      <w:r w:rsidR="00877EF9" w:rsidRPr="00877EF9">
        <w:rPr>
          <w:rFonts w:cs="Open Sans"/>
        </w:rPr>
        <w:t>(NSW PEC 2024a, p. 49)</w:t>
      </w:r>
      <w:r w:rsidRPr="00387EE1">
        <w:t>.</w:t>
      </w:r>
      <w:r>
        <w:t xml:space="preserve"> Inquiry participants identified post</w:t>
      </w:r>
      <w:r>
        <w:noBreakHyphen/>
        <w:t>approval conditions as a key barrier within approval processes (National Shelter, sub. 53, pp. 14–15; Property Council of Australia, sub. 73, p. 7; Master Builders Australia, sub. 74, pp. 5–6).</w:t>
      </w:r>
    </w:p>
    <w:p w14:paraId="575C46E1" w14:textId="30FE1702" w:rsidR="00D95005" w:rsidRDefault="00D95005">
      <w:pPr>
        <w:pStyle w:val="BodyText"/>
      </w:pPr>
      <w:r>
        <w:t xml:space="preserve">The number of </w:t>
      </w:r>
      <w:proofErr w:type="gramStart"/>
      <w:r>
        <w:t>post</w:t>
      </w:r>
      <w:proofErr w:type="gramEnd"/>
      <w:r>
        <w:noBreakHyphen/>
        <w:t>approval conditions is often significant. For example, the PC found a Randwick development, involving subdivision and construction of 3 dwellings, with 70 post</w:t>
      </w:r>
      <w:r>
        <w:noBreakHyphen/>
        <w:t xml:space="preserve">approval conditions attached </w:t>
      </w:r>
      <w:r w:rsidRPr="00766A02">
        <w:rPr>
          <w:rFonts w:cs="Open Sans"/>
          <w:szCs w:val="24"/>
        </w:rPr>
        <w:t>(Randwick City Council 2026)</w:t>
      </w:r>
      <w:r w:rsidRPr="00387EE1">
        <w:t xml:space="preserve">. These conditions are wide ranging, including providing additional design details, receiving </w:t>
      </w:r>
      <w:r>
        <w:t>infrastructure</w:t>
      </w:r>
      <w:r w:rsidRPr="00387EE1">
        <w:t xml:space="preserve"> approvals</w:t>
      </w:r>
      <w:r>
        <w:t xml:space="preserve"> and preparing construction management plans. Additionally, post</w:t>
      </w:r>
      <w:r>
        <w:noBreakHyphen/>
        <w:t xml:space="preserve">approval conditions often require coordination with third parties (particularly around infrastructure approvals). </w:t>
      </w:r>
    </w:p>
    <w:p w14:paraId="0A1807F9" w14:textId="63DF50D9" w:rsidR="00D95005" w:rsidRPr="00B512A6" w:rsidRDefault="00D95005">
      <w:pPr>
        <w:pStyle w:val="BodyText"/>
      </w:pPr>
      <w:r>
        <w:t>The</w:t>
      </w:r>
      <w:r w:rsidRPr="00423F79">
        <w:t xml:space="preserve"> </w:t>
      </w:r>
      <w:r>
        <w:t>time</w:t>
      </w:r>
      <w:r w:rsidRPr="00423F79">
        <w:t xml:space="preserve"> spent meeting post</w:t>
      </w:r>
      <w:r>
        <w:noBreakHyphen/>
      </w:r>
      <w:r w:rsidRPr="00423F79">
        <w:t xml:space="preserve">approval conditions </w:t>
      </w:r>
      <w:r w:rsidRPr="000A75BA">
        <w:t>i</w:t>
      </w:r>
      <w:r>
        <w:t>s</w:t>
      </w:r>
      <w:r w:rsidRPr="00423F79">
        <w:t xml:space="preserve"> </w:t>
      </w:r>
      <w:r>
        <w:t>usually excluded from</w:t>
      </w:r>
      <w:r w:rsidRPr="00423F79">
        <w:t xml:space="preserve"> </w:t>
      </w:r>
      <w:r>
        <w:t xml:space="preserve">state and territory reporting of </w:t>
      </w:r>
      <w:r w:rsidRPr="00423F79">
        <w:t>development approval timeframe</w:t>
      </w:r>
      <w:r>
        <w:t>s</w:t>
      </w:r>
      <w:r w:rsidRPr="00711FC5">
        <w:t>, given that reported timeframes end at approval outcome</w:t>
      </w:r>
      <w:r>
        <w:t>.</w:t>
      </w:r>
      <w:r w:rsidRPr="00711FC5">
        <w:t xml:space="preserve"> T</w:t>
      </w:r>
      <w:r>
        <w:t>he NSW PEC suggests that greater focus on reform to development approval timeframes may have incentivised</w:t>
      </w:r>
      <w:r w:rsidRPr="00423F79">
        <w:t xml:space="preserve"> decision</w:t>
      </w:r>
      <w:r>
        <w:t xml:space="preserve"> </w:t>
      </w:r>
      <w:r w:rsidRPr="00423F79">
        <w:t xml:space="preserve">makers to </w:t>
      </w:r>
      <w:r>
        <w:t>move</w:t>
      </w:r>
      <w:r w:rsidRPr="00423F79">
        <w:t xml:space="preserve"> complex compliance requirements </w:t>
      </w:r>
      <w:r>
        <w:t>from the development approval assessment to</w:t>
      </w:r>
      <w:r w:rsidRPr="00423F79">
        <w:t xml:space="preserve"> post</w:t>
      </w:r>
      <w:r>
        <w:noBreakHyphen/>
      </w:r>
      <w:r w:rsidRPr="00423F79">
        <w:t xml:space="preserve">approval conditions </w:t>
      </w:r>
      <w:r w:rsidR="00877EF9" w:rsidRPr="00877EF9">
        <w:rPr>
          <w:rFonts w:cs="Open Sans"/>
        </w:rPr>
        <w:t>(NSW PEC 2024a, p. 50)</w:t>
      </w:r>
      <w:r>
        <w:t>.</w:t>
      </w:r>
    </w:p>
    <w:p w14:paraId="56F693F4" w14:textId="77777777" w:rsidR="00D95005" w:rsidRPr="00B10CE9" w:rsidRDefault="00D95005">
      <w:pPr>
        <w:pStyle w:val="Heading4"/>
      </w:pPr>
      <w:r w:rsidRPr="00B10CE9">
        <w:t xml:space="preserve">Subdivision approvals can be </w:t>
      </w:r>
      <w:r>
        <w:t xml:space="preserve">similarly </w:t>
      </w:r>
      <w:r w:rsidRPr="00B10CE9">
        <w:t xml:space="preserve">challenging for greenfield </w:t>
      </w:r>
      <w:r>
        <w:t>developers</w:t>
      </w:r>
    </w:p>
    <w:p w14:paraId="4C96CFD5" w14:textId="77777777" w:rsidR="00D95005" w:rsidRPr="001477FA" w:rsidRDefault="00D95005" w:rsidP="001477FA">
      <w:pPr>
        <w:pStyle w:val="BodyText"/>
        <w:rPr>
          <w:rStyle w:val="DraftingNoteChar"/>
          <w:color w:val="auto"/>
          <w:sz w:val="20"/>
          <w:u w:val="none"/>
        </w:rPr>
      </w:pPr>
      <w:r w:rsidRPr="001477FA">
        <w:t>Approvals to subdivide land can be a source of delay in the process to build greenfield housing (Policy Watchdog Australia, sub. 1, pp. 7–8; Master Builders Australia, sub. 74, p. 10). The PC has been told through consultations that the subdivision approval process can involve many technical reports prepared by consultants (for example environmental studies and heritage assessments). The developers told us that the assessment process typically involves coordination of numerous referrals and frequent RFIs. We also heard that compliance with post</w:t>
      </w:r>
      <w:r w:rsidRPr="001477FA">
        <w:noBreakHyphen/>
        <w:t>approval conditions, particularly around coordination and approval of infrastructure, can be very onerous.</w:t>
      </w:r>
      <w:r w:rsidRPr="001477FA" w:rsidDel="004F2602">
        <w:t xml:space="preserve"> </w:t>
      </w:r>
      <w:r w:rsidRPr="001477FA">
        <w:t>We plan to further explore the pain points of the subdivision approval process and potential areas for reform ahead of the final report.</w:t>
      </w:r>
    </w:p>
    <w:p w14:paraId="50AFF033" w14:textId="77777777" w:rsidR="00D95005" w:rsidRPr="001477FA" w:rsidRDefault="00D95005">
      <w:pPr>
        <w:pStyle w:val="Heading3"/>
        <w:rPr>
          <w:spacing w:val="-4"/>
        </w:rPr>
      </w:pPr>
      <w:r w:rsidRPr="001477FA">
        <w:rPr>
          <w:spacing w:val="-4"/>
        </w:rPr>
        <w:t>Building and construction approvals don’t appear to be a major pain point</w:t>
      </w:r>
    </w:p>
    <w:p w14:paraId="089EBBDB" w14:textId="77777777" w:rsidR="00D95005" w:rsidRPr="00C94638" w:rsidRDefault="00D95005" w:rsidP="00C94638">
      <w:pPr>
        <w:pStyle w:val="BodyText"/>
      </w:pPr>
      <w:r w:rsidRPr="00C94638">
        <w:rPr>
          <w:rStyle w:val="normaltextrun"/>
        </w:rPr>
        <w:t>Once the developer has received development approval, they need a building approval</w:t>
      </w:r>
      <w:r w:rsidRPr="00C94638">
        <w:rPr>
          <w:rStyle w:val="FootnoteReference"/>
        </w:rPr>
        <w:footnoteReference w:id="11"/>
      </w:r>
      <w:r w:rsidRPr="00C94638">
        <w:rPr>
          <w:rStyle w:val="normaltextrun"/>
        </w:rPr>
        <w:t xml:space="preserve"> to ensure the development meets technical construction and building requirements under the National Construction Code and other regulations. This typically involves the assessment of technical plans required for the construction process by councils or a private certifier. At this stage, developers are also required to demonstrate compliance with any post</w:t>
      </w:r>
      <w:r w:rsidRPr="00C94638">
        <w:rPr>
          <w:rStyle w:val="normaltextrun"/>
        </w:rPr>
        <w:noBreakHyphen/>
        <w:t>approval conditions given at the development approval stage. During the construction process, developers often need to pass mandatory inspections to continue progressing the development. Finally, after the construction process is completed, the dwelling is issued an occupancy approval pending inspections of the build.</w:t>
      </w:r>
    </w:p>
    <w:p w14:paraId="4C99868B" w14:textId="77777777" w:rsidR="00D95005" w:rsidRPr="009447CD" w:rsidRDefault="00D95005">
      <w:pPr>
        <w:pStyle w:val="BodyText"/>
        <w:rPr>
          <w:spacing w:val="-2"/>
        </w:rPr>
      </w:pPr>
      <w:r w:rsidRPr="009447CD">
        <w:rPr>
          <w:spacing w:val="-2"/>
        </w:rPr>
        <w:lastRenderedPageBreak/>
        <w:t>Throughout our consultations, the PC has heard that the process for receiving building and construction approvals is less onerous than the process for receiving a development approval.</w:t>
      </w:r>
      <w:r w:rsidRPr="009447CD">
        <w:rPr>
          <w:rStyle w:val="FootnoteReference"/>
          <w:spacing w:val="-2"/>
        </w:rPr>
        <w:footnoteReference w:id="12"/>
      </w:r>
      <w:r w:rsidRPr="009447CD">
        <w:rPr>
          <w:spacing w:val="-2"/>
        </w:rPr>
        <w:t xml:space="preserve"> For example,</w:t>
      </w:r>
      <w:r w:rsidRPr="009447CD" w:rsidDel="00596A63">
        <w:rPr>
          <w:spacing w:val="-2"/>
        </w:rPr>
        <w:t xml:space="preserve"> </w:t>
      </w:r>
      <w:r w:rsidRPr="009447CD">
        <w:rPr>
          <w:spacing w:val="-2"/>
        </w:rPr>
        <w:t>building approvals for simple developments are commonly granted in 1 to 3 days (HIA, sub. 25 p. 3).</w:t>
      </w:r>
    </w:p>
    <w:p w14:paraId="38CB4F00" w14:textId="57ECBCF3" w:rsidR="00D95005" w:rsidRDefault="00D95005">
      <w:pPr>
        <w:pStyle w:val="BodyText"/>
      </w:pPr>
      <w:r>
        <w:t>There may be several reasons for this. It is possible that one factor is the widespread use of private certification. In South Australia, for example, 72% of building approvals were completed privately in the 2024</w:t>
      </w:r>
      <w:r>
        <w:noBreakHyphen/>
        <w:t xml:space="preserve">25 financial year </w:t>
      </w:r>
      <w:r w:rsidRPr="00385241">
        <w:t>(</w:t>
      </w:r>
      <w:proofErr w:type="spellStart"/>
      <w:r w:rsidRPr="00385241">
        <w:t>PlanSA</w:t>
      </w:r>
      <w:proofErr w:type="spellEnd"/>
      <w:r w:rsidRPr="00385241">
        <w:t> 2025, p. 18)</w:t>
      </w:r>
      <w:r w:rsidRPr="00387EE1">
        <w:t>.</w:t>
      </w:r>
      <w:r>
        <w:t xml:space="preserve"> </w:t>
      </w:r>
      <w:r w:rsidRPr="003B5537">
        <w:t>Privat</w:t>
      </w:r>
      <w:r>
        <w:t xml:space="preserve">e certification operates through a contestable market </w:t>
      </w:r>
      <w:r w:rsidRPr="000F10CF">
        <w:rPr>
          <w:rFonts w:cs="Open Sans"/>
          <w:szCs w:val="24"/>
        </w:rPr>
        <w:t>(NHSAC 2025, p. 22)</w:t>
      </w:r>
      <w:r>
        <w:t xml:space="preserve">, </w:t>
      </w:r>
      <w:r w:rsidRPr="00387EE1">
        <w:t>which may speed up the time taken to receive a building approval through increased competition</w:t>
      </w:r>
      <w:r>
        <w:t>.</w:t>
      </w:r>
    </w:p>
    <w:p w14:paraId="6AA277EF" w14:textId="77777777" w:rsidR="00D95005" w:rsidRDefault="00D95005">
      <w:pPr>
        <w:pStyle w:val="BodyText"/>
      </w:pPr>
      <w:r>
        <w:t xml:space="preserve">Other aspects of the building approval process that can be more onerous, such as complying with the requirements of the National Construction Code, are out of scope for this inquiry. </w:t>
      </w:r>
    </w:p>
    <w:p w14:paraId="2A1B7530" w14:textId="0512F372" w:rsidR="00D95005" w:rsidRDefault="00D95005">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D95005" w14:paraId="3B822515" w14:textId="77777777">
        <w:trPr>
          <w:trHeight w:val="765"/>
          <w:tblHeader/>
        </w:trPr>
        <w:tc>
          <w:tcPr>
            <w:tcW w:w="366" w:type="pct"/>
            <w:shd w:val="clear" w:color="auto" w:fill="EBEBEB"/>
            <w:tcMar>
              <w:bottom w:w="0" w:type="dxa"/>
            </w:tcMar>
            <w:vAlign w:val="center"/>
          </w:tcPr>
          <w:p w14:paraId="7A6B8B60" w14:textId="77777777" w:rsidR="00D95005" w:rsidRDefault="00D95005">
            <w:pPr>
              <w:pStyle w:val="NoSpacing"/>
              <w:keepNext/>
              <w:keepLines/>
              <w:jc w:val="right"/>
            </w:pPr>
            <w:r w:rsidRPr="00A51374">
              <w:rPr>
                <w:noProof/>
              </w:rPr>
              <w:drawing>
                <wp:inline distT="0" distB="0" distL="0" distR="0" wp14:anchorId="329A1977" wp14:editId="5CCFBAC7">
                  <wp:extent cx="288000" cy="288000"/>
                  <wp:effectExtent l="0" t="0" r="0" b="0"/>
                  <wp:docPr id="1685810362" name="Graphic 1685810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0ACED305" w14:textId="37E7F11A" w:rsidR="00D95005" w:rsidRPr="002530FF" w:rsidRDefault="00D95005">
            <w:pPr>
              <w:pStyle w:val="FindingRecRequesttitle"/>
            </w:pPr>
            <w:r w:rsidRPr="000B0B71">
              <w:t xml:space="preserve">Information request </w:t>
            </w:r>
            <w:r w:rsidR="00CB06D8">
              <w:rPr>
                <w:noProof/>
              </w:rPr>
              <w:t>3</w:t>
            </w:r>
            <w:r w:rsidRPr="00DF7217">
              <w:t>.</w:t>
            </w:r>
            <w:r w:rsidR="00CB06D8">
              <w:rPr>
                <w:noProof/>
              </w:rPr>
              <w:t>2</w:t>
            </w:r>
          </w:p>
        </w:tc>
      </w:tr>
      <w:tr w:rsidR="00D95005" w:rsidRPr="000956E1" w14:paraId="3F791810" w14:textId="77777777">
        <w:tc>
          <w:tcPr>
            <w:tcW w:w="5000" w:type="pct"/>
            <w:gridSpan w:val="2"/>
            <w:shd w:val="clear" w:color="auto" w:fill="EBEBEB"/>
          </w:tcPr>
          <w:p w14:paraId="0AD56E4C" w14:textId="77777777" w:rsidR="00D95005" w:rsidRPr="000956E1" w:rsidRDefault="00D95005" w:rsidP="00E11D04">
            <w:pPr>
              <w:pStyle w:val="ListBullet"/>
              <w:rPr>
                <w:rStyle w:val="ColourDarkBlue"/>
              </w:rPr>
            </w:pPr>
            <w:r w:rsidRPr="000956E1">
              <w:rPr>
                <w:rStyle w:val="ColourDarkBlue"/>
              </w:rPr>
              <w:t xml:space="preserve">Which specific requirements (for example specific reports or referrals to an agency) are most onerous to comply with when receiving a development approval? </w:t>
            </w:r>
          </w:p>
          <w:p w14:paraId="38F52104" w14:textId="77777777" w:rsidR="00D95005" w:rsidRPr="000956E1" w:rsidRDefault="00D95005" w:rsidP="00E11D04">
            <w:pPr>
              <w:pStyle w:val="ListBullet"/>
              <w:rPr>
                <w:color w:val="265A9A" w:themeColor="background2"/>
              </w:rPr>
            </w:pPr>
            <w:r w:rsidRPr="000956E1">
              <w:rPr>
                <w:rStyle w:val="ColourDarkBlue"/>
              </w:rPr>
              <w:t>Are there any requirements for development approval that should be removed? In these cases</w:t>
            </w:r>
            <w:r w:rsidRPr="000956E1">
              <w:rPr>
                <w:color w:val="265A9A" w:themeColor="background2"/>
              </w:rPr>
              <w:t>, how should any risks be mitigated?</w:t>
            </w:r>
          </w:p>
          <w:p w14:paraId="2F007444" w14:textId="77777777" w:rsidR="00D95005" w:rsidRPr="000956E1" w:rsidRDefault="00D95005" w:rsidP="00E11D04">
            <w:pPr>
              <w:pStyle w:val="ListBullet"/>
              <w:rPr>
                <w:color w:val="265A9A" w:themeColor="background2"/>
              </w:rPr>
            </w:pPr>
            <w:r w:rsidRPr="000956E1">
              <w:rPr>
                <w:color w:val="265A9A" w:themeColor="background2"/>
              </w:rPr>
              <w:t>What could each state and territory do, if anything, to improve the process for receiving subdivision approvals?</w:t>
            </w:r>
          </w:p>
        </w:tc>
      </w:tr>
      <w:tr w:rsidR="00D95005" w14:paraId="59879FCF" w14:textId="77777777">
        <w:tc>
          <w:tcPr>
            <w:tcW w:w="5000" w:type="pct"/>
            <w:gridSpan w:val="2"/>
            <w:tcMar>
              <w:bottom w:w="0" w:type="dxa"/>
            </w:tcMar>
          </w:tcPr>
          <w:p w14:paraId="239D02F8" w14:textId="43120FE4" w:rsidR="00D95005" w:rsidRDefault="00D95005">
            <w:pPr>
              <w:pStyle w:val="NoSpacing"/>
              <w:spacing w:line="200" w:lineRule="atLeast"/>
            </w:pPr>
          </w:p>
        </w:tc>
      </w:tr>
    </w:tbl>
    <w:p w14:paraId="0E60D87C" w14:textId="77777777" w:rsidR="00D95005" w:rsidRPr="005A4A20" w:rsidRDefault="00D95005">
      <w:pPr>
        <w:pStyle w:val="Heading2"/>
      </w:pPr>
      <w:bookmarkStart w:id="30" w:name="_Toc235103153"/>
      <w:r w:rsidRPr="005A4A20">
        <w:t>Rigid processes may discourage innovation</w:t>
      </w:r>
      <w:bookmarkEnd w:id="30"/>
    </w:p>
    <w:p w14:paraId="345DB7C2" w14:textId="7B053B59" w:rsidR="00D95005" w:rsidRDefault="00D95005">
      <w:pPr>
        <w:pStyle w:val="BodyText"/>
      </w:pPr>
      <w:r>
        <w:t xml:space="preserve">While building and construction approvals tend to progress faster than development approvals, there is scope for these processes to become more flexible to support more productive methods of construction. Overly rigid development and building approval processes can constrain the ability of the construction industry to innovate and find better ways to build new homes. The PC found in 2025 that one of the contributing factors to poor productivity in the housing construction industry was low levels of innovation </w:t>
      </w:r>
      <w:r w:rsidR="00877EF9" w:rsidRPr="00877EF9">
        <w:rPr>
          <w:rFonts w:cs="Open Sans"/>
        </w:rPr>
        <w:t>(2025c, pp. 28–32)</w:t>
      </w:r>
      <w:r w:rsidRPr="00387EE1">
        <w:t>.</w:t>
      </w:r>
      <w:r>
        <w:t xml:space="preserve"> One driving factor is approval processes acting as a barrier to adoption of new methods. This can act as a constraint on the supply of new homes.</w:t>
      </w:r>
    </w:p>
    <w:p w14:paraId="0A5F557C" w14:textId="77777777" w:rsidR="00D95005" w:rsidRDefault="00D95005">
      <w:pPr>
        <w:pStyle w:val="BodyText"/>
      </w:pPr>
      <w:r>
        <w:t>Rigid approval processes can make it more difficult for homebuilders to adopt more productive methods of construction such as prefabricated and modular housing construction. Some inquiry participants suggested that land</w:t>
      </w:r>
      <w:r>
        <w:noBreakHyphen/>
        <w:t xml:space="preserve">use controls often do not explicitly include more productive methods of construction, leading to complexities and uncertainty at the approvals stage (GBCA, sub. 58, p. 2). This can require builders and developers to seek building approval repeatedly for identical components (REIA, sub. 16, pp. 7–8), and approvals processes can be inconsistent across jurisdictions (National Shelter, sub. 53, pp. 13–14). </w:t>
      </w:r>
    </w:p>
    <w:p w14:paraId="065F3EE2" w14:textId="77777777" w:rsidR="00D95005" w:rsidRDefault="00D95005" w:rsidP="0084590B">
      <w:pPr>
        <w:pStyle w:val="BodyText"/>
        <w:keepNext/>
      </w:pPr>
      <w:r>
        <w:lastRenderedPageBreak/>
        <w:t>Between them these issues can:</w:t>
      </w:r>
    </w:p>
    <w:p w14:paraId="0EFC067F" w14:textId="77777777" w:rsidR="00D95005" w:rsidRDefault="00D95005" w:rsidP="00E11D04">
      <w:pPr>
        <w:pStyle w:val="ListBullet"/>
      </w:pPr>
      <w:r>
        <w:t>cause ambiguity during the certification process for prefabricated homes</w:t>
      </w:r>
    </w:p>
    <w:p w14:paraId="7591F7EC" w14:textId="77777777" w:rsidR="00D95005" w:rsidRDefault="00D95005" w:rsidP="00E11D04">
      <w:pPr>
        <w:pStyle w:val="ListBullet"/>
      </w:pPr>
      <w:r>
        <w:t>increase uncertainty and costs for developers</w:t>
      </w:r>
    </w:p>
    <w:p w14:paraId="7BE10501" w14:textId="77777777" w:rsidR="00D95005" w:rsidRDefault="00D95005" w:rsidP="00E11D04">
      <w:pPr>
        <w:pStyle w:val="ListBullet"/>
      </w:pPr>
      <w:r>
        <w:t>act as a barrier to increased scale of more productive methods of construction businesses</w:t>
      </w:r>
    </w:p>
    <w:p w14:paraId="0289E357" w14:textId="77777777" w:rsidR="00D95005" w:rsidRDefault="00D95005" w:rsidP="00E11D04">
      <w:pPr>
        <w:pStyle w:val="ListBullet"/>
      </w:pPr>
      <w:r>
        <w:t>make access to finance for these projects more difficult</w:t>
      </w:r>
    </w:p>
    <w:p w14:paraId="7EE32A56" w14:textId="23058F69" w:rsidR="00D95005" w:rsidRDefault="00D95005" w:rsidP="00E11D04">
      <w:pPr>
        <w:pStyle w:val="ListBullet"/>
      </w:pPr>
      <w:r>
        <w:t xml:space="preserve">discourage further investment in construction innovation </w:t>
      </w:r>
      <w:r w:rsidR="00877EF9" w:rsidRPr="00877EF9">
        <w:rPr>
          <w:rFonts w:cs="Open Sans"/>
        </w:rPr>
        <w:t>(CEDA 2026, pp. 12–13; GBCA, sub. 58, p. 2; PC 2025c, p. 56)</w:t>
      </w:r>
      <w:r>
        <w:t xml:space="preserve"> (box 3.2)</w:t>
      </w:r>
      <w:r w:rsidRPr="00727AB1">
        <w:t>.</w:t>
      </w:r>
    </w:p>
    <w:p w14:paraId="6BDC2C1D" w14:textId="7D1564B9" w:rsidR="00D95005" w:rsidRDefault="00D95005">
      <w:pPr>
        <w:pStyle w:val="BodyText"/>
      </w:pPr>
      <w:r>
        <w:t>The PC found in 2025 that this ambiguity was partly caused by the lack of explicit recognition of prefabricated construction in the National Construction Code and the sequential nature of certification for on</w:t>
      </w:r>
      <w:r>
        <w:noBreakHyphen/>
        <w:t xml:space="preserve">site construction – which is more difficult with complex prefabricated or modular units that are installed as complete units </w:t>
      </w:r>
      <w:r w:rsidR="00877EF9" w:rsidRPr="00877EF9">
        <w:rPr>
          <w:rFonts w:cs="Open Sans"/>
        </w:rPr>
        <w:t>(2025c, p. 56)</w:t>
      </w:r>
      <w:r w:rsidRPr="00387EE1">
        <w:t>.</w:t>
      </w:r>
      <w:r>
        <w:t xml:space="preserve"> </w:t>
      </w:r>
    </w:p>
    <w:p w14:paraId="789543A7" w14:textId="3970A939" w:rsidR="00D95005" w:rsidRDefault="00D95005">
      <w:pPr>
        <w:pStyle w:val="BodyText"/>
      </w:pPr>
      <w:r>
        <w:t xml:space="preserve">Governments are working on these problems. For example, in 2024, the Australian Building Codes Board began working on developing nationally consistent definitions for more productive methods of construction, and a national voluntary certification scheme for more productive methods of construction manufacturers </w:t>
      </w:r>
      <w:r w:rsidR="00877EF9" w:rsidRPr="00877EF9">
        <w:rPr>
          <w:rFonts w:cs="Open Sans"/>
        </w:rPr>
        <w:t>(ABCB 2025a; DISR 2024)</w:t>
      </w:r>
      <w:r>
        <w:t xml:space="preserve">. And in May 2026, the NSW Government introduced the </w:t>
      </w:r>
      <w:proofErr w:type="gramStart"/>
      <w:r w:rsidRPr="00366D95">
        <w:t>Building</w:t>
      </w:r>
      <w:proofErr w:type="gramEnd"/>
      <w:r w:rsidRPr="00366D95">
        <w:t xml:space="preserve"> (Approvals and Practitioners) Bill 2026</w:t>
      </w:r>
      <w:r>
        <w:t xml:space="preserve">, which aims to support approvals for more productive methods of construction by defining ‘prefabricated buildings’ and integrating more productive methods of construction into the approvals system </w:t>
      </w:r>
      <w:r w:rsidRPr="00385241">
        <w:t>(</w:t>
      </w:r>
      <w:proofErr w:type="spellStart"/>
      <w:r w:rsidRPr="00385241">
        <w:t>Anoulack</w:t>
      </w:r>
      <w:proofErr w:type="spellEnd"/>
      <w:r w:rsidRPr="00385241">
        <w:t xml:space="preserve"> et al. 2026)</w:t>
      </w:r>
      <w:r w:rsidRPr="00245CD3">
        <w:t>.</w:t>
      </w:r>
      <w:r>
        <w:t xml:space="preserve"> Other measures such as the pattern book designs in New South Wales and South Australia can also support faster approval of new housing constructed by more productive methods of construction (</w:t>
      </w:r>
      <w:proofErr w:type="spellStart"/>
      <w:r>
        <w:t>prefabAUS</w:t>
      </w:r>
      <w:proofErr w:type="spellEnd"/>
      <w:r>
        <w:t>, sub. 28, pp. 2–3; REIA, sub. 48, p. 7). This can reduce the burden of approvals by allowing developers to use pre</w:t>
      </w:r>
      <w:r>
        <w:noBreakHyphen/>
        <w:t>approved plans that are eligible for fast</w:t>
      </w:r>
      <w:r>
        <w:noBreakHyphen/>
        <w:t xml:space="preserve">tracked approval pathways. </w:t>
      </w:r>
    </w:p>
    <w:p w14:paraId="115145E5" w14:textId="79036D0B" w:rsidR="00D95005" w:rsidRDefault="00D95005">
      <w:pPr>
        <w:pStyle w:val="BodyText"/>
      </w:pPr>
      <w:r>
        <w:t xml:space="preserve">While approvals processes are only one of many factors that can constrain the uptake of innovative construction methods </w:t>
      </w:r>
      <w:r w:rsidR="00877EF9" w:rsidRPr="00877EF9">
        <w:rPr>
          <w:rFonts w:cs="Open Sans"/>
        </w:rPr>
        <w:t>(CEDA 2026, pp. 12–13; PC 2025c, p. 30; Zhang et al. 2022, pp. 6–8)</w:t>
      </w:r>
      <w:r>
        <w:t>, ensuring approval processes are adequately flexible and clear to support more productive methods of construction will help enable housing construction productivity, and housing supply, to improve.</w:t>
      </w:r>
    </w:p>
    <w:p w14:paraId="75F32F24" w14:textId="23DA5AE4" w:rsidR="00D95005" w:rsidRPr="00F82BD9" w:rsidRDefault="00D95005">
      <w:pPr>
        <w:pStyle w:val="NoSpacing"/>
      </w:pPr>
    </w:p>
    <w:tbl>
      <w:tblPr>
        <w:tblStyle w:val="Boxtable"/>
        <w:tblW w:w="5000" w:type="pct"/>
        <w:tblLook w:val="04A0" w:firstRow="1" w:lastRow="0" w:firstColumn="1" w:lastColumn="0" w:noHBand="0" w:noVBand="1"/>
      </w:tblPr>
      <w:tblGrid>
        <w:gridCol w:w="9638"/>
      </w:tblGrid>
      <w:tr w:rsidR="00D95005" w14:paraId="4531608A" w14:textId="77777777">
        <w:trPr>
          <w:tblHeader/>
        </w:trPr>
        <w:tc>
          <w:tcPr>
            <w:tcW w:w="9638" w:type="dxa"/>
            <w:shd w:val="clear" w:color="auto" w:fill="EBEBEB"/>
            <w:tcMar>
              <w:top w:w="170" w:type="dxa"/>
              <w:left w:w="170" w:type="dxa"/>
              <w:bottom w:w="113" w:type="dxa"/>
              <w:right w:w="170" w:type="dxa"/>
            </w:tcMar>
            <w:hideMark/>
          </w:tcPr>
          <w:p w14:paraId="0D6466D3" w14:textId="7FD769EF" w:rsidR="00D95005" w:rsidRDefault="00D95005">
            <w:pPr>
              <w:pStyle w:val="BoxHeading1"/>
            </w:pPr>
            <w:r>
              <w:lastRenderedPageBreak/>
              <w:t>Box </w:t>
            </w:r>
            <w:r w:rsidR="00CB06D8">
              <w:rPr>
                <w:noProof/>
              </w:rPr>
              <w:t>3</w:t>
            </w:r>
            <w:r>
              <w:t>.</w:t>
            </w:r>
            <w:r w:rsidR="00CB06D8">
              <w:rPr>
                <w:noProof/>
              </w:rPr>
              <w:t>2</w:t>
            </w:r>
            <w:r>
              <w:t xml:space="preserve"> – Case study: Approval processes for homes built with more productive methods of construction can be lengthy</w:t>
            </w:r>
          </w:p>
          <w:p w14:paraId="5FC9721C" w14:textId="77777777" w:rsidR="00D95005" w:rsidRPr="003E7475" w:rsidRDefault="00D95005">
            <w:pPr>
              <w:pStyle w:val="BodyText"/>
            </w:pPr>
            <w:proofErr w:type="spellStart"/>
            <w:r>
              <w:t>PrefabAUS</w:t>
            </w:r>
            <w:proofErr w:type="spellEnd"/>
            <w:r>
              <w:t xml:space="preserve"> shared a case study of the complexities of gaining approval for a new home built with modular construction, which can discourage the industry and homebuilders from adopting more productive or innovative construction approaches.</w:t>
            </w:r>
          </w:p>
          <w:p w14:paraId="4E2B849F" w14:textId="77777777" w:rsidR="00D95005" w:rsidRPr="003E7475" w:rsidRDefault="00D95005">
            <w:pPr>
              <w:pStyle w:val="BodyText"/>
            </w:pPr>
            <w:r>
              <w:t>In the example, a family in New South Wales opted to knock down an existing home and rebuild a new dwelling using prefabricated (modular) construction. The development approval was lodged with the council and approved after 13 months. The delay was partly due to the council incorrectly processing the application as a standard build rather than using the modular construction approval pathway (the section 68 approval pathway).</w:t>
            </w:r>
          </w:p>
          <w:p w14:paraId="768BA98A" w14:textId="77777777" w:rsidR="00D95005" w:rsidRDefault="00D95005">
            <w:pPr>
              <w:pStyle w:val="BodyText"/>
            </w:pPr>
            <w:r>
              <w:t>The section 68 approval pathway for homes that are built off</w:t>
            </w:r>
            <w:r>
              <w:noBreakHyphen/>
              <w:t>site was originally designed for manufactured home parks and caravan parks rather than permanent homes on private residential land. This meant the builder had to comply with additional requirements including larger setbacks from boundaries compared to a conventionally</w:t>
            </w:r>
            <w:r>
              <w:noBreakHyphen/>
              <w:t xml:space="preserve">constructed </w:t>
            </w:r>
            <w:proofErr w:type="gramStart"/>
            <w:r>
              <w:t>home, and</w:t>
            </w:r>
            <w:proofErr w:type="gramEnd"/>
            <w:r>
              <w:t xml:space="preserve"> needed to amend the home design. The combination of factory</w:t>
            </w:r>
            <w:r>
              <w:noBreakHyphen/>
              <w:t>built modules and on</w:t>
            </w:r>
            <w:r>
              <w:noBreakHyphen/>
              <w:t>site construction for the home also required the builder to apply for 2 separate sets of approvals and certification. This required additional inspections and added to delays.</w:t>
            </w:r>
          </w:p>
          <w:p w14:paraId="66F414E8" w14:textId="77777777" w:rsidR="00D95005" w:rsidRPr="003E7475" w:rsidRDefault="00D95005">
            <w:pPr>
              <w:pStyle w:val="BodyText"/>
            </w:pPr>
            <w:r>
              <w:t>The builder completed the footings in 1 week, and the dwelling modules were installed the following week, with the projected on</w:t>
            </w:r>
            <w:r>
              <w:noBreakHyphen/>
              <w:t>site completion time being 3 months. The builder suggested that the approvals process was substantially more complex and time</w:t>
            </w:r>
            <w:r>
              <w:noBreakHyphen/>
              <w:t>consuming compared to if traditional construction was used.</w:t>
            </w:r>
          </w:p>
          <w:p w14:paraId="3CD2F933" w14:textId="77777777" w:rsidR="00D95005" w:rsidRPr="003E7475" w:rsidRDefault="00D95005">
            <w:pPr>
              <w:pStyle w:val="Quote"/>
            </w:pPr>
            <w:r>
              <w:t>Had this project been assessed as a complying development – as it would have been if built using conventional methods – approvals could have been secured within weeks of lodgement in mid</w:t>
            </w:r>
            <w:r>
              <w:noBreakHyphen/>
              <w:t>2022. With an 11</w:t>
            </w:r>
            <w:r>
              <w:noBreakHyphen/>
              <w:t>week factory build and approximately three months of on</w:t>
            </w:r>
            <w:r>
              <w:noBreakHyphen/>
              <w:t>site work, the family could have been living in their new home by early to mid</w:t>
            </w:r>
            <w:r>
              <w:noBreakHyphen/>
              <w:t>2023, approximately three years earlier than the current trajectory.</w:t>
            </w:r>
          </w:p>
          <w:p w14:paraId="3CAAA0CB" w14:textId="77777777" w:rsidR="00D95005" w:rsidRDefault="00D95005">
            <w:pPr>
              <w:pStyle w:val="BodyText"/>
            </w:pPr>
            <w:r>
              <w:t>In this example, both the construction industry and homebuilders are discouraged from adopting innovative or more productive ways of building homes, due to the increased cost, risk and uncertainty involved. At scale, this can contribute to slower delivery of new homes.</w:t>
            </w:r>
          </w:p>
          <w:p w14:paraId="04AEE91B" w14:textId="378A5337" w:rsidR="00692D1E" w:rsidRPr="00F050CF" w:rsidRDefault="00692D1E">
            <w:pPr>
              <w:pStyle w:val="BodyText"/>
            </w:pPr>
            <w:r w:rsidRPr="000F1565">
              <w:rPr>
                <w:lang w:val="fr-CA"/>
              </w:rPr>
              <w:t xml:space="preserve">Source: </w:t>
            </w:r>
            <w:proofErr w:type="spellStart"/>
            <w:r w:rsidRPr="000F1565">
              <w:rPr>
                <w:lang w:val="fr-CA"/>
              </w:rPr>
              <w:t>prefabAUS</w:t>
            </w:r>
            <w:proofErr w:type="spellEnd"/>
            <w:r>
              <w:rPr>
                <w:lang w:val="fr-CA"/>
              </w:rPr>
              <w:t xml:space="preserve"> (2026).</w:t>
            </w:r>
          </w:p>
        </w:tc>
      </w:tr>
      <w:tr w:rsidR="00D95005" w:rsidRPr="007C2045" w14:paraId="37367CD9" w14:textId="77777777">
        <w:trPr>
          <w:hidden/>
        </w:trPr>
        <w:tc>
          <w:tcPr>
            <w:tcW w:w="9638" w:type="dxa"/>
            <w:shd w:val="clear" w:color="auto" w:fill="auto"/>
            <w:tcMar>
              <w:top w:w="0" w:type="dxa"/>
              <w:left w:w="170" w:type="dxa"/>
              <w:bottom w:w="0" w:type="dxa"/>
              <w:right w:w="170" w:type="dxa"/>
            </w:tcMar>
          </w:tcPr>
          <w:p w14:paraId="35C08EE3" w14:textId="0ADDAB0F" w:rsidR="00D95005" w:rsidRPr="000F1565" w:rsidRDefault="00D95005">
            <w:pPr>
              <w:pStyle w:val="BodyText"/>
              <w:spacing w:before="0" w:after="0" w:line="80" w:lineRule="atLeast"/>
              <w:rPr>
                <w:smallCaps/>
                <w:vanish/>
                <w:lang w:val="fr-CA"/>
              </w:rPr>
            </w:pPr>
          </w:p>
        </w:tc>
      </w:tr>
    </w:tbl>
    <w:p w14:paraId="40605744" w14:textId="77777777" w:rsidR="00D95005" w:rsidRDefault="00D95005">
      <w:pPr>
        <w:spacing w:before="0" w:after="160" w:line="259" w:lineRule="auto"/>
      </w:pPr>
      <w:r>
        <w:br w:type="page"/>
      </w:r>
    </w:p>
    <w:p w14:paraId="4B009BA7" w14:textId="77777777" w:rsidR="00D95005" w:rsidRPr="00D82557" w:rsidRDefault="00D95005">
      <w:pPr>
        <w:pStyle w:val="Heading2"/>
      </w:pPr>
      <w:bookmarkStart w:id="31" w:name="_Toc235103154"/>
      <w:r w:rsidRPr="0040629E">
        <w:lastRenderedPageBreak/>
        <w:t>Recent reforms offer examples of best practice</w:t>
      </w:r>
      <w:bookmarkEnd w:id="31"/>
      <w:r w:rsidRPr="0040629E">
        <w:t xml:space="preserve"> </w:t>
      </w:r>
    </w:p>
    <w:p w14:paraId="7160283C" w14:textId="77777777" w:rsidR="00D95005" w:rsidRDefault="00D95005">
      <w:pPr>
        <w:pStyle w:val="BodyText"/>
      </w:pPr>
      <w:r>
        <w:t>Governments are working to make planning decisions more timely, predictable and simple through tiered assessment pathways, centralising approval decisions and improving supporting technology.</w:t>
      </w:r>
    </w:p>
    <w:p w14:paraId="10F48C72" w14:textId="77777777" w:rsidR="00D95005" w:rsidRDefault="00D95005">
      <w:pPr>
        <w:pStyle w:val="Heading3"/>
      </w:pPr>
      <w:r>
        <w:t>Tiered assessments</w:t>
      </w:r>
      <w:r w:rsidRPr="00216D61">
        <w:t xml:space="preserve"> </w:t>
      </w:r>
      <w:r>
        <w:t>speed up processes</w:t>
      </w:r>
      <w:r w:rsidRPr="00216D61">
        <w:t xml:space="preserve"> </w:t>
      </w:r>
      <w:r>
        <w:t>for</w:t>
      </w:r>
      <w:r w:rsidRPr="00216D61">
        <w:t xml:space="preserve"> low</w:t>
      </w:r>
      <w:r>
        <w:noBreakHyphen/>
      </w:r>
      <w:r w:rsidRPr="00216D61">
        <w:t xml:space="preserve">risk </w:t>
      </w:r>
      <w:r>
        <w:t>or state</w:t>
      </w:r>
      <w:r>
        <w:noBreakHyphen/>
        <w:t>significant developments</w:t>
      </w:r>
    </w:p>
    <w:p w14:paraId="10BCB4A1" w14:textId="77777777" w:rsidR="00D95005" w:rsidRDefault="00D95005">
      <w:pPr>
        <w:pStyle w:val="BodyText"/>
      </w:pPr>
      <w:r>
        <w:t>States and territories often use</w:t>
      </w:r>
      <w:r w:rsidDel="000F4A57">
        <w:t xml:space="preserve"> </w:t>
      </w:r>
      <w:r>
        <w:t>2 types of alternative assessment pathways: fast-track pathways for low</w:t>
      </w:r>
      <w:r>
        <w:noBreakHyphen/>
        <w:t>risk developments and state</w:t>
      </w:r>
      <w:r>
        <w:noBreakHyphen/>
        <w:t xml:space="preserve">significant pathways for developments that are important or have impacts extending beyond a single council. Most states and territories also exempt some very small developments (e.g. sheds, fences) from requiring any approval at all. </w:t>
      </w:r>
    </w:p>
    <w:p w14:paraId="326A3558" w14:textId="77777777" w:rsidR="00D95005" w:rsidRPr="00C34576" w:rsidRDefault="00D95005">
      <w:pPr>
        <w:pStyle w:val="BodyText"/>
      </w:pPr>
      <w:r>
        <w:t>Alternative assessment pathways are important because developments carry different levels of risk and complexity. For example, a standard single</w:t>
      </w:r>
      <w:r>
        <w:noBreakHyphen/>
        <w:t>dwelling home should not require the same documentation and consultation as a high</w:t>
      </w:r>
      <w:r>
        <w:noBreakHyphen/>
        <w:t>rise apartment building. They also work to reduce strain on standard approval systems and council resources. While the use of alternative pathways is not new in Australia, recent reform has focused on expanding pathways to make more homes eligible for non</w:t>
      </w:r>
      <w:r>
        <w:noBreakHyphen/>
        <w:t>standard assessment.</w:t>
      </w:r>
    </w:p>
    <w:p w14:paraId="2F8D34EE" w14:textId="77777777" w:rsidR="00D95005" w:rsidRPr="00C34576" w:rsidRDefault="00D95005">
      <w:pPr>
        <w:pStyle w:val="Heading4"/>
      </w:pPr>
      <w:r>
        <w:t>Fast</w:t>
      </w:r>
      <w:r>
        <w:noBreakHyphen/>
        <w:t>track pathways for simple developments</w:t>
      </w:r>
    </w:p>
    <w:p w14:paraId="57345EA2" w14:textId="77777777" w:rsidR="00D95005" w:rsidRDefault="00D95005">
      <w:pPr>
        <w:pStyle w:val="BodyText"/>
      </w:pPr>
      <w:r w:rsidRPr="00EF3B73">
        <w:t>Fast</w:t>
      </w:r>
      <w:r>
        <w:t>-</w:t>
      </w:r>
      <w:r w:rsidRPr="00EF3B73">
        <w:t>track pathways</w:t>
      </w:r>
      <w:r>
        <w:t xml:space="preserve"> allow simpler and more standardised developments to be assessed more quickly. Most pathways tend to use ‘deemed</w:t>
      </w:r>
      <w:r>
        <w:noBreakHyphen/>
        <w:t>to</w:t>
      </w:r>
      <w:r>
        <w:noBreakHyphen/>
        <w:t>comply’ assessments, where projects are automatically approved if they meet all the criteria. Unlike a standard development approval process, these processes typically do not involve consultation or referrals.</w:t>
      </w:r>
    </w:p>
    <w:p w14:paraId="0F1F5455" w14:textId="77777777" w:rsidR="00D95005" w:rsidRDefault="00D95005">
      <w:pPr>
        <w:pStyle w:val="BodyText"/>
      </w:pPr>
      <w:r>
        <w:t xml:space="preserve">Most states and territories have </w:t>
      </w:r>
      <w:proofErr w:type="gramStart"/>
      <w:r>
        <w:t>fast-track</w:t>
      </w:r>
      <w:proofErr w:type="gramEnd"/>
      <w:r>
        <w:t xml:space="preserve"> pathways, which are utilised to varying degrees. In</w:t>
      </w:r>
      <w:r w:rsidDel="009732BA">
        <w:t xml:space="preserve"> </w:t>
      </w:r>
      <w:r>
        <w:t>some cases, these pathways are integrated into existing development approvals systems, where simple developments are selected by the council to proceed through a fast track once the application has been lodged. For example, in South Australia 18% of applications were assessed through an internal fast</w:t>
      </w:r>
      <w:r>
        <w:noBreakHyphen/>
        <w:t>track pathway in the 2025</w:t>
      </w:r>
      <w:r>
        <w:noBreakHyphen/>
        <w:t xml:space="preserve">26 financial year (South Australian Government, sub. 87, p. 3). </w:t>
      </w:r>
    </w:p>
    <w:p w14:paraId="3FF2EE70" w14:textId="6B5FEF9F" w:rsidR="00D95005" w:rsidRDefault="00D95005">
      <w:pPr>
        <w:pStyle w:val="BodyText"/>
      </w:pPr>
      <w:r>
        <w:t>In other cases, fast</w:t>
      </w:r>
      <w:r>
        <w:noBreakHyphen/>
        <w:t xml:space="preserve">track pathways are external to standard development approval pathways. For example, </w:t>
      </w:r>
      <w:r w:rsidDel="00A7469F">
        <w:t xml:space="preserve">New South </w:t>
      </w:r>
      <w:r>
        <w:t>Wales’s Complying Development Certificate (CDC) is an external combined planning and building approval pathway for simple developments, where developments are assessed against a set of objective rules. Unlike a standard development approval, CDCs can also be approved by a registered certifier, as well as the council. It currently takes 20</w:t>
      </w:r>
      <w:r w:rsidRPr="005A4A20">
        <w:t xml:space="preserve"> days</w:t>
      </w:r>
      <w:r>
        <w:t xml:space="preserve"> on average to get approval through the CDC pathway </w:t>
      </w:r>
      <w:r w:rsidRPr="00245CD3">
        <w:rPr>
          <w:rFonts w:cs="Open Sans"/>
          <w:szCs w:val="24"/>
        </w:rPr>
        <w:t>(NSW DPHI 2026d)</w:t>
      </w:r>
      <w:r w:rsidRPr="00245CD3">
        <w:t>.</w:t>
      </w:r>
      <w:r>
        <w:t xml:space="preserve"> </w:t>
      </w:r>
    </w:p>
    <w:p w14:paraId="65B202F2" w14:textId="2407EC96" w:rsidR="00D95005" w:rsidRPr="008120C9" w:rsidRDefault="00D95005">
      <w:pPr>
        <w:pStyle w:val="BodyText"/>
        <w:rPr>
          <w:spacing w:val="-4"/>
        </w:rPr>
      </w:pPr>
      <w:r w:rsidRPr="008120C9">
        <w:rPr>
          <w:spacing w:val="-4"/>
        </w:rPr>
        <w:t>The CDC appears to be the most utilised fast</w:t>
      </w:r>
      <w:r w:rsidRPr="008120C9">
        <w:rPr>
          <w:spacing w:val="-4"/>
        </w:rPr>
        <w:noBreakHyphen/>
        <w:t xml:space="preserve">track pathway in Australia, with 46% of developments in New South Wales currently proceeding through the CDC </w:t>
      </w:r>
      <w:r w:rsidR="00877EF9" w:rsidRPr="008120C9">
        <w:rPr>
          <w:rFonts w:cs="Open Sans"/>
          <w:spacing w:val="-4"/>
        </w:rPr>
        <w:t>(Treasury 2026a)</w:t>
      </w:r>
      <w:r w:rsidRPr="008120C9">
        <w:rPr>
          <w:spacing w:val="-4"/>
        </w:rPr>
        <w:t>. The pathway has been expanded over recent years to include subdivisions, dual occupancies and manor houses. The NSW Government is also considering creating an additional targeted assessment pathway designed to bridge the gap between the CDC pathway and the standard pathway, in which small issues of non</w:t>
      </w:r>
      <w:r w:rsidRPr="008120C9">
        <w:rPr>
          <w:spacing w:val="-4"/>
        </w:rPr>
        <w:noBreakHyphen/>
        <w:t>compliance can be assessed in isolation rather than triggering a full development approval (NSW DPHI 2026a, pp. 1, 22).</w:t>
      </w:r>
    </w:p>
    <w:p w14:paraId="7927E9F5" w14:textId="3D99E35A" w:rsidR="00D95005" w:rsidRPr="008120C9" w:rsidRDefault="00D95005">
      <w:pPr>
        <w:pStyle w:val="BodyText"/>
        <w:rPr>
          <w:spacing w:val="-2"/>
        </w:rPr>
      </w:pPr>
      <w:r w:rsidRPr="008120C9">
        <w:rPr>
          <w:spacing w:val="-2"/>
        </w:rPr>
        <w:t>In Victoria, the recent introduction of the Townhouse and Low</w:t>
      </w:r>
      <w:r w:rsidRPr="008120C9">
        <w:rPr>
          <w:spacing w:val="-2"/>
        </w:rPr>
        <w:noBreakHyphen/>
        <w:t>Rise Code has made more developments eligible for their external fast</w:t>
      </w:r>
      <w:r w:rsidRPr="008120C9">
        <w:rPr>
          <w:spacing w:val="-2"/>
        </w:rPr>
        <w:noBreakHyphen/>
        <w:t xml:space="preserve">track pathway, </w:t>
      </w:r>
      <w:proofErr w:type="spellStart"/>
      <w:r w:rsidRPr="008120C9">
        <w:rPr>
          <w:spacing w:val="-2"/>
        </w:rPr>
        <w:t>VicSmart</w:t>
      </w:r>
      <w:proofErr w:type="spellEnd"/>
      <w:r w:rsidRPr="008120C9">
        <w:rPr>
          <w:spacing w:val="-2"/>
        </w:rPr>
        <w:t>. However, uptake is still low – only 8% of single</w:t>
      </w:r>
      <w:r w:rsidRPr="008120C9">
        <w:rPr>
          <w:spacing w:val="-2"/>
        </w:rPr>
        <w:noBreakHyphen/>
        <w:t xml:space="preserve">dwelling developments in Victoria were processed through </w:t>
      </w:r>
      <w:proofErr w:type="spellStart"/>
      <w:r w:rsidRPr="008120C9">
        <w:rPr>
          <w:spacing w:val="-2"/>
        </w:rPr>
        <w:t>VicSmart</w:t>
      </w:r>
      <w:proofErr w:type="spellEnd"/>
      <w:r w:rsidRPr="008120C9">
        <w:rPr>
          <w:spacing w:val="-2"/>
        </w:rPr>
        <w:t xml:space="preserve"> in 2025 </w:t>
      </w:r>
      <w:r w:rsidR="00877EF9" w:rsidRPr="008120C9">
        <w:rPr>
          <w:rFonts w:cs="Open Sans"/>
          <w:spacing w:val="-2"/>
        </w:rPr>
        <w:t>(Victorian DTP 2026b)</w:t>
      </w:r>
      <w:r w:rsidRPr="008120C9">
        <w:rPr>
          <w:spacing w:val="-2"/>
        </w:rPr>
        <w:t xml:space="preserve">. </w:t>
      </w:r>
    </w:p>
    <w:p w14:paraId="0B47595D" w14:textId="6236AB3B" w:rsidR="00D95005" w:rsidRDefault="00D95005">
      <w:pPr>
        <w:pStyle w:val="BodyText"/>
      </w:pPr>
      <w:r>
        <w:lastRenderedPageBreak/>
        <w:t>Some states and territories are expanding on this approach by publishing templates for home designs that are pre</w:t>
      </w:r>
      <w:r>
        <w:noBreakHyphen/>
        <w:t>approved to pass through fast</w:t>
      </w:r>
      <w:r>
        <w:noBreakHyphen/>
        <w:t>tracked approval pathways. For example, New South Wales’s Housing Pattern Book provides templates for low and mid</w:t>
      </w:r>
      <w:r>
        <w:noBreakHyphen/>
        <w:t xml:space="preserve">rise housing that are eligible for approval through the CDC or a streamlined development approval process </w:t>
      </w:r>
      <w:r w:rsidR="00877EF9" w:rsidRPr="00877EF9">
        <w:rPr>
          <w:rFonts w:cs="Open Sans"/>
        </w:rPr>
        <w:t>(NSW DPHI 2025a, p. 13)</w:t>
      </w:r>
      <w:r>
        <w:t xml:space="preserve">. </w:t>
      </w:r>
      <w:r w:rsidRPr="00245CD3">
        <w:t>Western</w:t>
      </w:r>
      <w:r>
        <w:t xml:space="preserve"> Australia and South Australia are both in the process of creating similar pattern books. </w:t>
      </w:r>
    </w:p>
    <w:p w14:paraId="4B3BF3EA" w14:textId="77777777" w:rsidR="00D95005" w:rsidRDefault="00D95005">
      <w:pPr>
        <w:pStyle w:val="Heading4"/>
      </w:pPr>
      <w:r>
        <w:t>State</w:t>
      </w:r>
      <w:r>
        <w:noBreakHyphen/>
        <w:t>significant development pathways for important developments</w:t>
      </w:r>
    </w:p>
    <w:p w14:paraId="56093B83" w14:textId="5026A184" w:rsidR="00D95005" w:rsidRDefault="00D95005">
      <w:pPr>
        <w:pStyle w:val="BodyText"/>
      </w:pPr>
      <w:r>
        <w:t xml:space="preserve">Several states and territories also assess some developments directly through </w:t>
      </w:r>
      <w:r w:rsidRPr="005A4A20">
        <w:t>state</w:t>
      </w:r>
      <w:r>
        <w:noBreakHyphen/>
      </w:r>
      <w:r w:rsidRPr="005A4A20">
        <w:t>significant development pathways</w:t>
      </w:r>
      <w:r>
        <w:t xml:space="preserve">. These pathways are typically used for large or important developments which will affect more than one council and require state and territory coordination of referrals and inputs from different agencies. One example is New South </w:t>
      </w:r>
      <w:r w:rsidRPr="007F6C9E">
        <w:t>Wales’s</w:t>
      </w:r>
      <w:r>
        <w:t xml:space="preserve"> Housing Delivery Authority, which was established in January 2025 to identify and assess high</w:t>
      </w:r>
      <w:r>
        <w:noBreakHyphen/>
        <w:t xml:space="preserve">yield housing projects </w:t>
      </w:r>
      <w:r w:rsidRPr="00D70293">
        <w:t>(NSW DPHI 2026b)</w:t>
      </w:r>
      <w:r>
        <w:t>.</w:t>
      </w:r>
    </w:p>
    <w:p w14:paraId="3B3CF2D2" w14:textId="2579ED79" w:rsidR="00D95005" w:rsidRDefault="00D95005">
      <w:pPr>
        <w:pStyle w:val="BodyText"/>
      </w:pPr>
      <w:r>
        <w:t>Western Australia has Development Assessment Panels, which is an opt</w:t>
      </w:r>
      <w:r>
        <w:noBreakHyphen/>
        <w:t>in pathway designed to assess routine large projects, and the Significant Development Pathway, which is used to assess strategically important projects worth over $20 million in metropolitan areas and $5 million in regional areas. While r</w:t>
      </w:r>
      <w:r w:rsidRPr="0CEC6397">
        <w:rPr>
          <w:rFonts w:eastAsia="Open Sans" w:cs="Open Sans"/>
          <w:color w:val="000000" w:themeColor="text1"/>
        </w:rPr>
        <w:t>eviews by Western Australia</w:t>
      </w:r>
      <w:r>
        <w:rPr>
          <w:rFonts w:eastAsia="Open Sans" w:cs="Open Sans"/>
          <w:color w:val="000000" w:themeColor="text1"/>
        </w:rPr>
        <w:t>n</w:t>
      </w:r>
      <w:r w:rsidRPr="0CEC6397">
        <w:rPr>
          <w:rFonts w:eastAsia="Open Sans" w:cs="Open Sans"/>
          <w:color w:val="000000" w:themeColor="text1"/>
        </w:rPr>
        <w:t xml:space="preserve"> Local Government Association (WALGA) found neither pathway was working well</w:t>
      </w:r>
      <w:r w:rsidRPr="543EB6EA">
        <w:rPr>
          <w:rFonts w:eastAsia="Open Sans" w:cs="Open Sans"/>
          <w:color w:val="000000" w:themeColor="text1"/>
        </w:rPr>
        <w:t xml:space="preserve"> –</w:t>
      </w:r>
      <w:r w:rsidRPr="0CEC6397">
        <w:rPr>
          <w:rFonts w:eastAsia="Open Sans" w:cs="Open Sans"/>
          <w:color w:val="000000" w:themeColor="text1"/>
        </w:rPr>
        <w:t xml:space="preserve"> suggesting</w:t>
      </w:r>
      <w:r w:rsidRPr="543EB6EA">
        <w:rPr>
          <w:rFonts w:eastAsia="Open Sans" w:cs="Open Sans"/>
          <w:color w:val="000000" w:themeColor="text1"/>
        </w:rPr>
        <w:t xml:space="preserve"> </w:t>
      </w:r>
      <w:r w:rsidRPr="0CEC6397">
        <w:rPr>
          <w:rFonts w:eastAsia="Open Sans" w:cs="Open Sans"/>
          <w:color w:val="000000" w:themeColor="text1"/>
        </w:rPr>
        <w:t>that too many low</w:t>
      </w:r>
      <w:r>
        <w:rPr>
          <w:rFonts w:eastAsia="Open Sans" w:cs="Open Sans"/>
          <w:color w:val="000000" w:themeColor="text1"/>
        </w:rPr>
        <w:noBreakHyphen/>
      </w:r>
      <w:r w:rsidRPr="0CEC6397">
        <w:rPr>
          <w:rFonts w:eastAsia="Open Sans" w:cs="Open Sans"/>
          <w:color w:val="000000" w:themeColor="text1"/>
        </w:rPr>
        <w:t>complexity developments were assessed through the resource</w:t>
      </w:r>
      <w:r>
        <w:rPr>
          <w:rFonts w:eastAsia="Open Sans" w:cs="Open Sans"/>
          <w:color w:val="000000" w:themeColor="text1"/>
        </w:rPr>
        <w:noBreakHyphen/>
      </w:r>
      <w:r w:rsidRPr="0CEC6397">
        <w:rPr>
          <w:rFonts w:eastAsia="Open Sans" w:cs="Open Sans"/>
          <w:color w:val="000000" w:themeColor="text1"/>
        </w:rPr>
        <w:t xml:space="preserve">intensive </w:t>
      </w:r>
      <w:r>
        <w:rPr>
          <w:rFonts w:eastAsia="Open Sans" w:cs="Open Sans"/>
          <w:color w:val="000000" w:themeColor="text1"/>
        </w:rPr>
        <w:t>Development Assessment Panels</w:t>
      </w:r>
      <w:r w:rsidRPr="0CEC6397">
        <w:rPr>
          <w:rFonts w:eastAsia="Open Sans" w:cs="Open Sans"/>
          <w:color w:val="000000" w:themeColor="text1"/>
        </w:rPr>
        <w:t xml:space="preserve"> process, while the </w:t>
      </w:r>
      <w:r>
        <w:rPr>
          <w:rFonts w:eastAsia="Open Sans" w:cs="Open Sans"/>
          <w:color w:val="000000" w:themeColor="text1"/>
        </w:rPr>
        <w:t>Significant Development Pathway</w:t>
      </w:r>
      <w:r w:rsidRPr="0CEC6397">
        <w:rPr>
          <w:rFonts w:eastAsia="Open Sans" w:cs="Open Sans"/>
          <w:color w:val="000000" w:themeColor="text1"/>
        </w:rPr>
        <w:t xml:space="preserve"> was underutilised, only assessing 44 projects from 2020 to 2025 (WALGA 2025a, pp. 5–6, 2025b, pp. 6–7</w:t>
      </w:r>
      <w:r w:rsidRPr="201AB7EE">
        <w:rPr>
          <w:rFonts w:eastAsia="Open Sans" w:cs="Open Sans"/>
          <w:color w:val="000000" w:themeColor="text1"/>
        </w:rPr>
        <w:t xml:space="preserve">) </w:t>
      </w:r>
      <w:r>
        <w:rPr>
          <w:rFonts w:eastAsia="Open Sans" w:cs="Open Sans"/>
          <w:color w:val="000000" w:themeColor="text1"/>
        </w:rPr>
        <w:t>–</w:t>
      </w:r>
      <w:r w:rsidRPr="0E81CE36">
        <w:rPr>
          <w:rFonts w:eastAsia="Open Sans" w:cs="Open Sans"/>
          <w:color w:val="000000" w:themeColor="text1"/>
        </w:rPr>
        <w:t xml:space="preserve"> </w:t>
      </w:r>
      <w:r w:rsidRPr="0CEC6397">
        <w:rPr>
          <w:rFonts w:eastAsia="Open Sans" w:cs="Open Sans"/>
          <w:color w:val="000000" w:themeColor="text1"/>
        </w:rPr>
        <w:t xml:space="preserve">other </w:t>
      </w:r>
      <w:r>
        <w:rPr>
          <w:rFonts w:eastAsia="Open Sans" w:cs="Open Sans"/>
          <w:color w:val="000000" w:themeColor="text1"/>
        </w:rPr>
        <w:t>participants were</w:t>
      </w:r>
      <w:r w:rsidRPr="0CEC6397">
        <w:rPr>
          <w:rFonts w:eastAsia="Open Sans" w:cs="Open Sans"/>
          <w:color w:val="000000" w:themeColor="text1"/>
        </w:rPr>
        <w:t xml:space="preserve"> more positive about the potential for the pathways to speed up approvals processes (HIA 2026b).</w:t>
      </w:r>
    </w:p>
    <w:p w14:paraId="2C3C4126" w14:textId="77777777" w:rsidR="00D95005" w:rsidRDefault="00D95005">
      <w:pPr>
        <w:pStyle w:val="BodyText"/>
      </w:pPr>
      <w:r>
        <w:t>By allowing states and territories to assess complicated developments, these pathways can, in principle, improve the coordination of inputs and strategic considerations. However, if state</w:t>
      </w:r>
      <w:r>
        <w:noBreakHyphen/>
        <w:t>significant pathways are not well designed they may not act to reduce the burden of approvals.</w:t>
      </w:r>
    </w:p>
    <w:p w14:paraId="1E9C26FF" w14:textId="77777777" w:rsidR="00D95005" w:rsidRPr="00310F4B" w:rsidRDefault="00D95005">
      <w:pPr>
        <w:pStyle w:val="Heading4"/>
        <w:rPr>
          <w:rStyle w:val="Heading3Char"/>
        </w:rPr>
      </w:pPr>
      <w:r w:rsidRPr="00310F4B">
        <w:rPr>
          <w:rStyle w:val="Heading3Char"/>
        </w:rPr>
        <w:t xml:space="preserve">States and territories are beginning to </w:t>
      </w:r>
      <w:r>
        <w:rPr>
          <w:rStyle w:val="Heading3Char"/>
          <w:b/>
        </w:rPr>
        <w:t>reduce discretion in</w:t>
      </w:r>
      <w:r w:rsidRPr="00310F4B">
        <w:rPr>
          <w:rStyle w:val="Heading3Char"/>
        </w:rPr>
        <w:t xml:space="preserve"> planning rules </w:t>
      </w:r>
      <w:r>
        <w:rPr>
          <w:rStyle w:val="Heading3Char"/>
        </w:rPr>
        <w:t>to improve certainty</w:t>
      </w:r>
    </w:p>
    <w:p w14:paraId="6790D675" w14:textId="27A563FF" w:rsidR="00D95005" w:rsidRPr="001C7E47" w:rsidRDefault="00D95005">
      <w:pPr>
        <w:pStyle w:val="BodyText"/>
        <w:rPr>
          <w:spacing w:val="-2"/>
        </w:rPr>
      </w:pPr>
      <w:r w:rsidRPr="001C7E47">
        <w:rPr>
          <w:spacing w:val="-2"/>
        </w:rPr>
        <w:t>Some states and territories are beginning to change the way planning rules are written to make them more objective. In 2025, the Victorian Government codified the planning clause which deals with townhouses and apartments under</w:t>
      </w:r>
      <w:r w:rsidRPr="001C7E47" w:rsidDel="000F4A57">
        <w:rPr>
          <w:spacing w:val="-2"/>
        </w:rPr>
        <w:t xml:space="preserve"> </w:t>
      </w:r>
      <w:r w:rsidRPr="001C7E47">
        <w:rPr>
          <w:spacing w:val="-2"/>
        </w:rPr>
        <w:t>3 storeys (Clause 55) across all planning schemes, making all these developments eligible for deemed</w:t>
      </w:r>
      <w:r w:rsidRPr="001C7E47">
        <w:rPr>
          <w:spacing w:val="-2"/>
        </w:rPr>
        <w:noBreakHyphen/>
        <w:t>to</w:t>
      </w:r>
      <w:r w:rsidRPr="001C7E47">
        <w:rPr>
          <w:spacing w:val="-2"/>
        </w:rPr>
        <w:noBreakHyphen/>
        <w:t xml:space="preserve">comply assessment. Clause 55 contains a list of codified objectives that must be met in a completed development. If an objective is met, no other discretionary factors such as standard decision guidelines will be considered. If a standard is not met, the decision maker considers the decision guidelines as normal </w:t>
      </w:r>
      <w:r w:rsidR="00877EF9" w:rsidRPr="001C7E47">
        <w:rPr>
          <w:rFonts w:cs="Open Sans"/>
          <w:spacing w:val="-2"/>
        </w:rPr>
        <w:t>(Victorian DTP 2026d)</w:t>
      </w:r>
      <w:r w:rsidRPr="001C7E47">
        <w:rPr>
          <w:spacing w:val="-2"/>
        </w:rPr>
        <w:t>. A key part of this reform is the replacement of discretionary standards around neighbourhood character with these codified objective standards (e.g. around street setbacks, building heights and tree canopy) (YIMBY Melbourne 2025).</w:t>
      </w:r>
    </w:p>
    <w:p w14:paraId="3A802DD5" w14:textId="77777777" w:rsidR="00D95005" w:rsidRPr="00F367B9" w:rsidRDefault="00D95005">
      <w:pPr>
        <w:pStyle w:val="BodyText"/>
      </w:pPr>
      <w:r w:rsidRPr="00310F4B">
        <w:t>S</w:t>
      </w:r>
      <w:r>
        <w:t>A</w:t>
      </w:r>
      <w:r w:rsidRPr="00310F4B">
        <w:t xml:space="preserve">’s </w:t>
      </w:r>
      <w:r>
        <w:t>Planning and Design Code</w:t>
      </w:r>
      <w:r w:rsidRPr="00310F4B">
        <w:t xml:space="preserve"> is another </w:t>
      </w:r>
      <w:r>
        <w:t xml:space="preserve">recent </w:t>
      </w:r>
      <w:r w:rsidRPr="00310F4B">
        <w:t xml:space="preserve">example of reform. The </w:t>
      </w:r>
      <w:r>
        <w:t>Code</w:t>
      </w:r>
      <w:r w:rsidRPr="00310F4B">
        <w:t xml:space="preserve"> creates a standardised state</w:t>
      </w:r>
      <w:r>
        <w:t>-</w:t>
      </w:r>
      <w:r w:rsidRPr="00310F4B">
        <w:t>wide framework against which applications are assessed</w:t>
      </w:r>
      <w:r>
        <w:t>,</w:t>
      </w:r>
      <w:r w:rsidDel="0014531F">
        <w:t xml:space="preserve"> </w:t>
      </w:r>
      <w:r>
        <w:t>aiming to promote greater consistency in decision</w:t>
      </w:r>
      <w:r>
        <w:noBreakHyphen/>
        <w:t xml:space="preserve">making (South Australian Government, sub. 87, p. 2), </w:t>
      </w:r>
      <w:r w:rsidRPr="00310F4B">
        <w:t xml:space="preserve">while </w:t>
      </w:r>
      <w:r>
        <w:t>keeping the</w:t>
      </w:r>
      <w:r w:rsidRPr="00310F4B">
        <w:t xml:space="preserve"> council as the decision maker</w:t>
      </w:r>
      <w:r>
        <w:t>.</w:t>
      </w:r>
    </w:p>
    <w:p w14:paraId="626B0A5C" w14:textId="77777777" w:rsidR="00D95005" w:rsidRDefault="00D95005">
      <w:pPr>
        <w:pStyle w:val="Heading3"/>
      </w:pPr>
      <w:r>
        <w:lastRenderedPageBreak/>
        <w:t>S</w:t>
      </w:r>
      <w:r w:rsidRPr="00216D61">
        <w:t>tate</w:t>
      </w:r>
      <w:r>
        <w:t>s</w:t>
      </w:r>
      <w:r w:rsidRPr="00216D61">
        <w:t xml:space="preserve"> </w:t>
      </w:r>
      <w:r>
        <w:t>and</w:t>
      </w:r>
      <w:r w:rsidRPr="00216D61">
        <w:t xml:space="preserve"> territo</w:t>
      </w:r>
      <w:r>
        <w:t>r</w:t>
      </w:r>
      <w:r w:rsidRPr="00216D61">
        <w:t xml:space="preserve">ies </w:t>
      </w:r>
      <w:r>
        <w:t>are working to improve coordination of referrals</w:t>
      </w:r>
    </w:p>
    <w:p w14:paraId="3F795E4A" w14:textId="77777777" w:rsidR="00D95005" w:rsidRDefault="00D95005">
      <w:pPr>
        <w:pStyle w:val="BodyText"/>
      </w:pPr>
      <w:r>
        <w:t>Some states and territories have set up coordination bodies to manage government agency and third</w:t>
      </w:r>
      <w:r>
        <w:noBreakHyphen/>
        <w:t xml:space="preserve">party input into development approvals. These coordination bodies aim to improve the referral process, which can be a significant source of delays for approvals processes. </w:t>
      </w:r>
    </w:p>
    <w:p w14:paraId="2E2301D1" w14:textId="2B300F71" w:rsidR="00D95005" w:rsidRDefault="00D95005">
      <w:pPr>
        <w:pStyle w:val="BodyText"/>
      </w:pPr>
      <w:r>
        <w:t>One example is Queensland’s State Assessment and Referral Agency (SARA)</w:t>
      </w:r>
      <w:r w:rsidDel="00D052A6">
        <w:t>,</w:t>
      </w:r>
      <w:r>
        <w:t xml:space="preserve"> established in 2013, which coordinates referrals for any developments that require state input. SARA uses advice from technical agencies to </w:t>
      </w:r>
      <w:proofErr w:type="gramStart"/>
      <w:r>
        <w:t>make a decision</w:t>
      </w:r>
      <w:proofErr w:type="gramEnd"/>
      <w:r>
        <w:t xml:space="preserve"> with a whole</w:t>
      </w:r>
      <w:r>
        <w:noBreakHyphen/>
        <w:t>of</w:t>
      </w:r>
      <w:r>
        <w:noBreakHyphen/>
        <w:t xml:space="preserve">government perspective about how developments meet policy objectives outlined in the State Development Assessment Provisions </w:t>
      </w:r>
      <w:r w:rsidRPr="00B9136E">
        <w:t>(Queensland DSDIP 2019)</w:t>
      </w:r>
      <w:r w:rsidRPr="00CB14D1">
        <w:t xml:space="preserve">. </w:t>
      </w:r>
      <w:r>
        <w:t xml:space="preserve">In its most recent customer satisfaction survey in 2022, 79% of respondents were satisfied with SARA’s performance </w:t>
      </w:r>
      <w:r w:rsidRPr="00B9136E">
        <w:t>(Queensland DSDIP 2022, p. 10)</w:t>
      </w:r>
      <w:r w:rsidRPr="00CB14D1">
        <w:t xml:space="preserve">. </w:t>
      </w:r>
      <w:r>
        <w:t>Similarly,</w:t>
      </w:r>
      <w:r w:rsidRPr="00CB14D1">
        <w:t xml:space="preserve"> </w:t>
      </w:r>
      <w:r w:rsidRPr="00CB14D1" w:rsidDel="00B32702">
        <w:t>N</w:t>
      </w:r>
      <w:r w:rsidDel="00B32702">
        <w:t>ew South Wales’s</w:t>
      </w:r>
      <w:r>
        <w:t xml:space="preserve"> new coordination body, the Development Coordination Authority, began managing and providing advice on state and territory agency referrals in July 2026. </w:t>
      </w:r>
    </w:p>
    <w:p w14:paraId="10098CF7" w14:textId="77777777" w:rsidR="00D95005" w:rsidDel="00345939" w:rsidRDefault="00D95005">
      <w:pPr>
        <w:pStyle w:val="BodyText"/>
      </w:pPr>
      <w:r>
        <w:t>We heard that coordination bodies can reduce the burden on developers significantly (Property Council of Australia, sub. 73, p. 9; box 3.3). However, Monash University Future Building Initiative notes that if coordination bodies do not have the power to make decisions in the face of conflicting advice from different referral agencies, they are less effective (sub. 40, p. 9).</w:t>
      </w:r>
    </w:p>
    <w:p w14:paraId="597191A2" w14:textId="77777777" w:rsidR="00D95005" w:rsidRDefault="00D95005">
      <w:pPr>
        <w:pStyle w:val="Heading3"/>
      </w:pPr>
      <w:r>
        <w:t>Some states and territories are making progress on reporting</w:t>
      </w:r>
    </w:p>
    <w:p w14:paraId="74ECCCA4" w14:textId="77777777" w:rsidR="00D95005" w:rsidRPr="008D6FFA" w:rsidRDefault="00D95005">
      <w:pPr>
        <w:pStyle w:val="BodyText"/>
      </w:pPr>
      <w:r>
        <w:t>It is important for accountability and transparency that states and territories regularly report approvals timeframes. Detailed reporting allows jurisdictions and stakeholders to hold decision makers to account and assists with identifying issues in the approval processes (such as excessive delays or particularly onerous requirements) that require policy action.</w:t>
      </w:r>
    </w:p>
    <w:p w14:paraId="3B7392C9" w14:textId="1ECC97EE" w:rsidR="00D95005" w:rsidRPr="00401208" w:rsidRDefault="00D95005">
      <w:pPr>
        <w:pStyle w:val="BodyText"/>
      </w:pPr>
      <w:r>
        <w:t xml:space="preserve">Some states and territories are beginning to report on development approval timeframes and outcomes. Victoria’s reporting is an example of best practice – their planning permit activity dashboard displays information on planning permit timeframes and outcomes across councils and development typologies. The dashboard also provides information about RFI frequencies and appeal process timeframes and outcomes. Similarly, New South Wales’s council league table evaluates council performance on development approval timeframes, with councils not meeting expectations asked to improve their performance. In March 2025, the NSW Minister for Planning and Public Spaces informed 6 councils they were required to develop action plans to improve their assessment times </w:t>
      </w:r>
      <w:r w:rsidRPr="00B9136E">
        <w:t>(NSW DPHI 2026b, p. 15)</w:t>
      </w:r>
      <w:r>
        <w:t>.</w:t>
      </w:r>
    </w:p>
    <w:p w14:paraId="5BD2EF60" w14:textId="0FCC295D" w:rsidR="00D95005" w:rsidRDefault="00D95005">
      <w:pPr>
        <w:pStyle w:val="BodyText"/>
      </w:pPr>
      <w:r>
        <w:t xml:space="preserve">However, other states and territories provide less detailed information. For example, Queensland provides almost no reporting on development approval timeframes, even at the aggregate level </w:t>
      </w:r>
      <w:r w:rsidR="00877EF9" w:rsidRPr="00877EF9">
        <w:rPr>
          <w:rFonts w:cs="Open Sans"/>
        </w:rPr>
        <w:t>(Treasury 2026a)</w:t>
      </w:r>
      <w:r w:rsidRPr="00401208">
        <w:t xml:space="preserve"> – making it challenging to hold </w:t>
      </w:r>
      <w:r>
        <w:t xml:space="preserve">decision makers to account. </w:t>
      </w:r>
      <w:r w:rsidRPr="00401208">
        <w:t>Most</w:t>
      </w:r>
      <w:r>
        <w:t xml:space="preserve"> states and territories do not report on timeframes for other approvals such as rezoning and building approvals.</w:t>
      </w:r>
    </w:p>
    <w:p w14:paraId="46362538" w14:textId="77777777" w:rsidR="00D95005" w:rsidRDefault="00D95005">
      <w:pPr>
        <w:pStyle w:val="BodyText"/>
      </w:pPr>
    </w:p>
    <w:p w14:paraId="263EAC0A" w14:textId="69B81B15" w:rsidR="00D95005" w:rsidRPr="00F82BD9" w:rsidRDefault="00D95005">
      <w:pPr>
        <w:pStyle w:val="NoSpacing"/>
      </w:pPr>
    </w:p>
    <w:tbl>
      <w:tblPr>
        <w:tblStyle w:val="Boxtable"/>
        <w:tblW w:w="5000" w:type="pct"/>
        <w:tblLook w:val="04A0" w:firstRow="1" w:lastRow="0" w:firstColumn="1" w:lastColumn="0" w:noHBand="0" w:noVBand="1"/>
      </w:tblPr>
      <w:tblGrid>
        <w:gridCol w:w="9638"/>
      </w:tblGrid>
      <w:tr w:rsidR="00D95005" w14:paraId="2BE56C5F" w14:textId="77777777">
        <w:trPr>
          <w:tblHeader/>
        </w:trPr>
        <w:tc>
          <w:tcPr>
            <w:tcW w:w="9638" w:type="dxa"/>
            <w:shd w:val="clear" w:color="auto" w:fill="EBEBEB"/>
            <w:tcMar>
              <w:top w:w="170" w:type="dxa"/>
              <w:left w:w="170" w:type="dxa"/>
              <w:bottom w:w="113" w:type="dxa"/>
              <w:right w:w="170" w:type="dxa"/>
            </w:tcMar>
            <w:hideMark/>
          </w:tcPr>
          <w:p w14:paraId="4D5AB52D" w14:textId="0B46D413" w:rsidR="00D95005" w:rsidRDefault="00D95005">
            <w:pPr>
              <w:pStyle w:val="BoxHeading1"/>
            </w:pPr>
            <w:r>
              <w:lastRenderedPageBreak/>
              <w:t>Box </w:t>
            </w:r>
            <w:r w:rsidR="00CB06D8">
              <w:rPr>
                <w:noProof/>
              </w:rPr>
              <w:t>3</w:t>
            </w:r>
            <w:r>
              <w:t>.</w:t>
            </w:r>
            <w:r w:rsidR="00CB06D8">
              <w:rPr>
                <w:noProof/>
              </w:rPr>
              <w:t>3</w:t>
            </w:r>
            <w:r>
              <w:t xml:space="preserve"> – </w:t>
            </w:r>
            <w:r w:rsidRPr="001616CA">
              <w:t>Case study: better</w:t>
            </w:r>
            <w:r>
              <w:t xml:space="preserve"> planning and coordination of approvals in Sydney’s Southwest Growth Centre </w:t>
            </w:r>
          </w:p>
        </w:tc>
      </w:tr>
      <w:tr w:rsidR="00D95005" w14:paraId="22F25461" w14:textId="77777777">
        <w:tc>
          <w:tcPr>
            <w:tcW w:w="9638" w:type="dxa"/>
            <w:shd w:val="clear" w:color="auto" w:fill="EBEBEB"/>
            <w:tcMar>
              <w:top w:w="28" w:type="dxa"/>
              <w:left w:w="170" w:type="dxa"/>
              <w:bottom w:w="170" w:type="dxa"/>
              <w:right w:w="170" w:type="dxa"/>
            </w:tcMar>
            <w:hideMark/>
          </w:tcPr>
          <w:p w14:paraId="1B7B3701" w14:textId="77777777" w:rsidR="00D95005" w:rsidRDefault="00D95005">
            <w:pPr>
              <w:pStyle w:val="BodyText"/>
            </w:pPr>
            <w:r>
              <w:t>A large residential property developer told the PC about a 4000</w:t>
            </w:r>
            <w:r>
              <w:noBreakHyphen/>
              <w:t xml:space="preserve">lot greenfield project located in Sydney’s Southwest Growth Centre, which was established by the NSW </w:t>
            </w:r>
            <w:r w:rsidDel="00A108B9">
              <w:t>G</w:t>
            </w:r>
            <w:r>
              <w:t xml:space="preserve">overnment in 2005. </w:t>
            </w:r>
          </w:p>
          <w:p w14:paraId="60F9E792" w14:textId="77777777" w:rsidR="00D95005" w:rsidRDefault="00D95005">
            <w:pPr>
              <w:pStyle w:val="BodyText"/>
            </w:pPr>
            <w:r>
              <w:t xml:space="preserve">When the NSW </w:t>
            </w:r>
            <w:r w:rsidDel="00A108B9">
              <w:t>G</w:t>
            </w:r>
            <w:r>
              <w:t>overnment established the Growth Centre, it made decisions about the development requirements for new housing across the entire precinct. When an area of land was nominated as a growth zone, trade</w:t>
            </w:r>
            <w:r>
              <w:noBreakHyphen/>
              <w:t>offs between housing supply and other goals – such as biodiversity, water management, and heritage – were considered across the whole area. This eliminated the need for lengthy site</w:t>
            </w:r>
            <w:r>
              <w:noBreakHyphen/>
              <w:t>by</w:t>
            </w:r>
            <w:r>
              <w:noBreakHyphen/>
              <w:t>site planning applications and gave developers a consistent set of requirements to work towards. For example, the developer told us:</w:t>
            </w:r>
          </w:p>
          <w:p w14:paraId="6E35AD71" w14:textId="77777777" w:rsidR="00D95005" w:rsidRDefault="00D95005">
            <w:pPr>
              <w:pStyle w:val="Quote"/>
            </w:pPr>
            <w:r>
              <w:t>…</w:t>
            </w:r>
            <w:r w:rsidRPr="001B03E1">
              <w:t xml:space="preserve">the decision taken when they did the </w:t>
            </w:r>
            <w:r>
              <w:t>G</w:t>
            </w:r>
            <w:r w:rsidRPr="001B03E1">
              <w:t xml:space="preserve">rowth </w:t>
            </w:r>
            <w:r>
              <w:t>C</w:t>
            </w:r>
            <w:r w:rsidRPr="001B03E1">
              <w:t xml:space="preserve">entres approach was to say, </w:t>
            </w:r>
            <w:r>
              <w:t>‘</w:t>
            </w:r>
            <w:r w:rsidRPr="001B03E1">
              <w:t>let's look at this not on a site</w:t>
            </w:r>
            <w:r>
              <w:noBreakHyphen/>
            </w:r>
            <w:r w:rsidRPr="001B03E1">
              <w:t>by</w:t>
            </w:r>
            <w:r>
              <w:noBreakHyphen/>
            </w:r>
            <w:r w:rsidRPr="001B03E1">
              <w:t>site basis</w:t>
            </w:r>
            <w:r>
              <w:t xml:space="preserve"> – </w:t>
            </w:r>
            <w:r w:rsidRPr="001B03E1">
              <w:t>what's the environmental impact on the site</w:t>
            </w:r>
            <w:r>
              <w:t xml:space="preserve"> – </w:t>
            </w:r>
            <w:r w:rsidRPr="001B03E1">
              <w:t>but what is the environmental impact of building 200,000 new homes on the edge of Sydney?</w:t>
            </w:r>
            <w:r>
              <w:t xml:space="preserve">’ </w:t>
            </w:r>
          </w:p>
          <w:p w14:paraId="1C4BCD5A" w14:textId="77777777" w:rsidR="00D95005" w:rsidRPr="001C7E47" w:rsidRDefault="00D95005">
            <w:pPr>
              <w:pStyle w:val="BodyText"/>
              <w:rPr>
                <w:spacing w:val="-2"/>
              </w:rPr>
            </w:pPr>
            <w:r w:rsidRPr="001C7E47">
              <w:rPr>
                <w:spacing w:val="-2"/>
              </w:rPr>
              <w:t>They explained this ‘macro’ approach to planning has ‘huge flow</w:t>
            </w:r>
            <w:r w:rsidRPr="001C7E47">
              <w:rPr>
                <w:spacing w:val="-2"/>
              </w:rPr>
              <w:noBreakHyphen/>
              <w:t>on productivity benefits’ in terms of ‘knowing where you can develop and where you can't develop’, as well as by ‘avoiding applications at a project</w:t>
            </w:r>
            <w:r w:rsidRPr="001C7E47">
              <w:rPr>
                <w:spacing w:val="-2"/>
              </w:rPr>
              <w:noBreakHyphen/>
              <w:t>by</w:t>
            </w:r>
            <w:r w:rsidRPr="001C7E47">
              <w:rPr>
                <w:spacing w:val="-2"/>
              </w:rPr>
              <w:noBreakHyphen/>
              <w:t>project stage with all the time and cost and uncertainty that comes with that’.</w:t>
            </w:r>
          </w:p>
          <w:p w14:paraId="2311AE91" w14:textId="77777777" w:rsidR="00D95005" w:rsidRDefault="00D95005">
            <w:pPr>
              <w:pStyle w:val="BodyText"/>
            </w:pPr>
            <w:r>
              <w:t xml:space="preserve">The NSW </w:t>
            </w:r>
            <w:r w:rsidDel="00A108B9">
              <w:t>G</w:t>
            </w:r>
            <w:r>
              <w:t>overnment also set up the Growth Centres Commission, which was responsible for sequencing inputs from government during the subdivision approval process. For this greenfield project, they handled numerous referrals including from gas agencies, state heritage and the regional fire service. The developer told us:</w:t>
            </w:r>
          </w:p>
          <w:p w14:paraId="7862C557" w14:textId="01E2C23F" w:rsidR="00D95005" w:rsidRPr="00BB6DF9" w:rsidRDefault="00D95005">
            <w:pPr>
              <w:pStyle w:val="Quote"/>
              <w:rPr>
                <w:spacing w:val="-4"/>
              </w:rPr>
            </w:pPr>
            <w:r w:rsidRPr="00BB6DF9">
              <w:rPr>
                <w:spacing w:val="-4"/>
              </w:rPr>
              <w:t xml:space="preserve">It was a very good way for government to take charge of not just colouring in a map around what development goes where, but </w:t>
            </w:r>
            <w:proofErr w:type="gramStart"/>
            <w:r w:rsidRPr="00BB6DF9">
              <w:rPr>
                <w:spacing w:val="-4"/>
              </w:rPr>
              <w:t>actually aligning</w:t>
            </w:r>
            <w:proofErr w:type="gramEnd"/>
            <w:r w:rsidRPr="00BB6DF9">
              <w:rPr>
                <w:spacing w:val="-4"/>
              </w:rPr>
              <w:t xml:space="preserve"> and sequencing infrastructure</w:t>
            </w:r>
            <w:r w:rsidR="00BB6DF9" w:rsidRPr="00BB6DF9">
              <w:rPr>
                <w:spacing w:val="-4"/>
              </w:rPr>
              <w:t xml:space="preserve"> </w:t>
            </w:r>
            <w:r w:rsidRPr="00BB6DF9">
              <w:rPr>
                <w:spacing w:val="-4"/>
              </w:rPr>
              <w:t>…</w:t>
            </w:r>
          </w:p>
          <w:p w14:paraId="0039A48D" w14:textId="77777777" w:rsidR="00D95005" w:rsidRDefault="00D95005">
            <w:pPr>
              <w:pStyle w:val="BodyText"/>
            </w:pPr>
            <w:r>
              <w:t>According to the developer, the Commission had ‘a direct line into the cabinet at the time’:</w:t>
            </w:r>
          </w:p>
          <w:p w14:paraId="3E6A7822" w14:textId="4E34A5EE" w:rsidR="00D95005" w:rsidRDefault="00D95005">
            <w:pPr>
              <w:pStyle w:val="Quote"/>
            </w:pPr>
            <w:r w:rsidRPr="0003131B">
              <w:t xml:space="preserve">it meant that like Sydney Water, Transport, all the key agencies </w:t>
            </w:r>
            <w:r>
              <w:t>[knew]</w:t>
            </w:r>
            <w:r w:rsidRPr="0003131B">
              <w:t xml:space="preserve"> that this development was planned and was coming</w:t>
            </w:r>
            <w:r w:rsidR="00BB6DF9">
              <w:t xml:space="preserve"> </w:t>
            </w:r>
            <w:r>
              <w:t xml:space="preserve">… </w:t>
            </w:r>
            <w:r w:rsidRPr="00EE0353">
              <w:t>That's why it worked so quickly and was</w:t>
            </w:r>
            <w:r>
              <w:t xml:space="preserve"> </w:t>
            </w:r>
            <w:r w:rsidRPr="009B195B">
              <w:t>relatively easy to navigate</w:t>
            </w:r>
            <w:r>
              <w:t>…</w:t>
            </w:r>
            <w:r w:rsidRPr="009B195B">
              <w:t xml:space="preserve"> We knew what we were delivering, they knew what they were delivering</w:t>
            </w:r>
            <w:r>
              <w:t>,</w:t>
            </w:r>
            <w:r w:rsidRPr="009B195B">
              <w:t xml:space="preserve"> and there was a clear timeline for activation of the precinct</w:t>
            </w:r>
            <w:r w:rsidR="00BB6DF9">
              <w:t xml:space="preserve"> …</w:t>
            </w:r>
          </w:p>
          <w:p w14:paraId="158F9210" w14:textId="77777777" w:rsidR="00D95005" w:rsidRDefault="00D95005">
            <w:pPr>
              <w:pStyle w:val="BodyText"/>
            </w:pPr>
            <w:r>
              <w:t>The developer told us that this development shows how effective strategic planning and coordination can alleviate some of the burden on developers. Many other projects have much less high</w:t>
            </w:r>
            <w:r>
              <w:noBreakHyphen/>
              <w:t>level planning and coordination, making the approvals process significantly more complex:</w:t>
            </w:r>
          </w:p>
          <w:p w14:paraId="3FE32C48" w14:textId="77777777" w:rsidR="00D95005" w:rsidRPr="00DF1FFA" w:rsidRDefault="00D95005">
            <w:pPr>
              <w:pStyle w:val="Quote"/>
            </w:pPr>
            <w:r>
              <w:t xml:space="preserve">We’ve got ourselves into a situation where we don’t prosecute an issue once, we prosecute it 10 times over… </w:t>
            </w:r>
            <w:r w:rsidRPr="00DD18DC">
              <w:t xml:space="preserve">planning is sort of stuck in that colouring in space now where they do the zoning, but there's a lot of questions still to be answered, like </w:t>
            </w:r>
            <w:r>
              <w:t xml:space="preserve">[how] </w:t>
            </w:r>
            <w:r w:rsidRPr="00DD18DC">
              <w:t>you get a rezoning outcom</w:t>
            </w:r>
            <w:r>
              <w:t xml:space="preserve">e. </w:t>
            </w:r>
          </w:p>
          <w:p w14:paraId="0926900A" w14:textId="77777777" w:rsidR="00D95005" w:rsidRDefault="00D95005">
            <w:pPr>
              <w:pStyle w:val="Note"/>
              <w:keepLines/>
            </w:pPr>
            <w:r w:rsidRPr="00FA1311">
              <w:t xml:space="preserve">Note: To protect commercially sensitive information, the PC agreed to withhold identifying information for case study participants. The PC has verified </w:t>
            </w:r>
            <w:proofErr w:type="gramStart"/>
            <w:r w:rsidRPr="00FA1311">
              <w:t>factual information</w:t>
            </w:r>
            <w:proofErr w:type="gramEnd"/>
            <w:r w:rsidRPr="00FA1311">
              <w:t xml:space="preserve"> in the case study where possible.</w:t>
            </w:r>
            <w:r>
              <w:t xml:space="preserve"> </w:t>
            </w:r>
          </w:p>
          <w:p w14:paraId="277086DB" w14:textId="229F5CED" w:rsidR="00D95005" w:rsidRDefault="00D95005">
            <w:pPr>
              <w:pStyle w:val="Source"/>
            </w:pPr>
            <w:r>
              <w:t>Source: [</w:t>
            </w:r>
            <w:r w:rsidRPr="00FA1311">
              <w:t>name withheld</w:t>
            </w:r>
            <w:r>
              <w:t xml:space="preserve">] (2026); </w:t>
            </w:r>
            <w:r w:rsidRPr="00FA5890">
              <w:t>NSW State Archives Collection </w:t>
            </w:r>
            <w:r>
              <w:t>(</w:t>
            </w:r>
            <w:proofErr w:type="spellStart"/>
            <w:r w:rsidRPr="00FA5890">
              <w:t>nd</w:t>
            </w:r>
            <w:proofErr w:type="spellEnd"/>
            <w:r w:rsidRPr="00FA5890">
              <w:t>)</w:t>
            </w:r>
            <w:r>
              <w:t xml:space="preserve">; </w:t>
            </w:r>
            <w:r w:rsidRPr="00FA5890">
              <w:t>National Library of Australia </w:t>
            </w:r>
            <w:r>
              <w:t>(</w:t>
            </w:r>
            <w:proofErr w:type="spellStart"/>
            <w:r w:rsidRPr="00FA5890">
              <w:t>nd</w:t>
            </w:r>
            <w:proofErr w:type="spellEnd"/>
            <w:r w:rsidRPr="00FA5890">
              <w:t>)</w:t>
            </w:r>
            <w:r>
              <w:t>.</w:t>
            </w:r>
          </w:p>
        </w:tc>
      </w:tr>
      <w:tr w:rsidR="00D95005" w14:paraId="06C9554A" w14:textId="77777777">
        <w:trPr>
          <w:hidden/>
        </w:trPr>
        <w:tc>
          <w:tcPr>
            <w:tcW w:w="9638" w:type="dxa"/>
            <w:shd w:val="clear" w:color="auto" w:fill="auto"/>
            <w:tcMar>
              <w:top w:w="0" w:type="dxa"/>
              <w:left w:w="170" w:type="dxa"/>
              <w:bottom w:w="0" w:type="dxa"/>
              <w:right w:w="170" w:type="dxa"/>
            </w:tcMar>
          </w:tcPr>
          <w:p w14:paraId="459BD864" w14:textId="56F3D5A9" w:rsidR="00D95005" w:rsidRPr="00465191" w:rsidRDefault="00D95005">
            <w:pPr>
              <w:pStyle w:val="BodyText"/>
              <w:spacing w:before="0" w:after="0" w:line="80" w:lineRule="atLeast"/>
              <w:rPr>
                <w:smallCaps/>
                <w:vanish/>
              </w:rPr>
            </w:pPr>
          </w:p>
        </w:tc>
      </w:tr>
    </w:tbl>
    <w:p w14:paraId="74D9AD01" w14:textId="77777777" w:rsidR="00D95005" w:rsidRDefault="00D95005">
      <w:pPr>
        <w:pStyle w:val="Heading3"/>
      </w:pPr>
      <w:r>
        <w:lastRenderedPageBreak/>
        <w:t>Technology including AI shows promise in helping applicants and decision makers untangle regulatory complexity</w:t>
      </w:r>
    </w:p>
    <w:p w14:paraId="5DCEF73F" w14:textId="750437CD" w:rsidR="00D95005" w:rsidRDefault="00D95005">
      <w:pPr>
        <w:pStyle w:val="BodyText"/>
      </w:pPr>
      <w:r>
        <w:t xml:space="preserve">Many governments have used digitisation to centralise and simplify approval systems. South Australia implemented the </w:t>
      </w:r>
      <w:proofErr w:type="spellStart"/>
      <w:r>
        <w:t>PlanSA</w:t>
      </w:r>
      <w:proofErr w:type="spellEnd"/>
      <w:r>
        <w:t xml:space="preserve"> portal, a centralised entry point to their planning system, where applicants </w:t>
      </w:r>
      <w:proofErr w:type="gramStart"/>
      <w:r>
        <w:t>are able to</w:t>
      </w:r>
      <w:proofErr w:type="gramEnd"/>
      <w:r>
        <w:t xml:space="preserve"> lodge, monitor and receive decisions on approvals (</w:t>
      </w:r>
      <w:proofErr w:type="spellStart"/>
      <w:r>
        <w:t>PlanSA</w:t>
      </w:r>
      <w:proofErr w:type="spellEnd"/>
      <w:r>
        <w:t> 2020). Several other jurisdictions have replaced fragmented and paper</w:t>
      </w:r>
      <w:r>
        <w:noBreakHyphen/>
        <w:t xml:space="preserve">based systems with similar digitised platforms. </w:t>
      </w:r>
    </w:p>
    <w:p w14:paraId="67F01DB3" w14:textId="4F8E98B1" w:rsidR="00D95005" w:rsidRPr="00401208" w:rsidRDefault="00D95005">
      <w:pPr>
        <w:pStyle w:val="BodyText"/>
      </w:pPr>
      <w:r w:rsidRPr="00401208">
        <w:t>G</w:t>
      </w:r>
      <w:r>
        <w:t xml:space="preserve">overnments are beginning to explore how AI could speed up approvals. AI can be used to provide advice for developers on the requirements for approval applications, which may lead to better initial applications and reduce the need for RFIs. In a survey of Victorian councils by the Municipal Association of Victoria, respondents identified this use case as their top priority for AI adoption </w:t>
      </w:r>
      <w:r w:rsidRPr="00B9136E">
        <w:t>(2025, p. 58)</w:t>
      </w:r>
      <w:r w:rsidRPr="00401208">
        <w:t>.</w:t>
      </w:r>
      <w:r>
        <w:t xml:space="preserve"> Several councils are implementing these tools across Australia. For example, a few Victorian councils are currently using the AI tool ‘</w:t>
      </w:r>
      <w:proofErr w:type="spellStart"/>
      <w:r>
        <w:t>myLot</w:t>
      </w:r>
      <w:proofErr w:type="spellEnd"/>
      <w:r>
        <w:t xml:space="preserve">’, which draws information from the local planning scheme to provide advice to developers about their specific project, and it is currently being expanded to other councils </w:t>
      </w:r>
      <w:r w:rsidRPr="00923FD2">
        <w:rPr>
          <w:rFonts w:cs="Open Sans"/>
          <w:szCs w:val="24"/>
        </w:rPr>
        <w:t>(</w:t>
      </w:r>
      <w:proofErr w:type="spellStart"/>
      <w:r w:rsidRPr="00923FD2">
        <w:rPr>
          <w:rFonts w:cs="Open Sans"/>
          <w:szCs w:val="24"/>
        </w:rPr>
        <w:t>myLot</w:t>
      </w:r>
      <w:proofErr w:type="spellEnd"/>
      <w:r w:rsidRPr="00923FD2">
        <w:rPr>
          <w:rFonts w:cs="Open Sans"/>
          <w:szCs w:val="24"/>
        </w:rPr>
        <w:t> 2026; Victorian DTP 2024b)</w:t>
      </w:r>
      <w:r>
        <w:t xml:space="preserve">. </w:t>
      </w:r>
    </w:p>
    <w:p w14:paraId="01B058DD" w14:textId="77777777" w:rsidR="00D95005" w:rsidRPr="00DF1FFA" w:rsidRDefault="00D95005">
      <w:pPr>
        <w:pStyle w:val="BodyText"/>
        <w:rPr>
          <w:spacing w:val="-2"/>
        </w:rPr>
      </w:pPr>
      <w:r w:rsidRPr="00DF1FFA">
        <w:rPr>
          <w:spacing w:val="-2"/>
        </w:rPr>
        <w:t>Some states and territories are in the early stages of integrating AI into the assessment process for applications. New South Wales is one of the most advanced in their approach, currently integrating AI into the NSW Planning Portal and their assessment of state</w:t>
      </w:r>
      <w:r w:rsidRPr="00DF1FFA">
        <w:rPr>
          <w:spacing w:val="-2"/>
        </w:rPr>
        <w:noBreakHyphen/>
        <w:t>significant developments. South Australia is also trialling using AI to assess simple applications. However, given the current limitations of AI, some inquiry participants cautioned that while AI can be helpful in supporting decision makers, it should not replace professional human judgement (Dennis Mentzines, sub. 57, p. 2; Landscaping Victoria, sub. 5, p. 6).</w:t>
      </w:r>
    </w:p>
    <w:p w14:paraId="654DBAEC" w14:textId="77777777" w:rsidR="00D95005" w:rsidRDefault="00D95005" w:rsidP="00DF1FFA">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D95005" w14:paraId="7C77F4B4" w14:textId="77777777">
        <w:trPr>
          <w:trHeight w:val="765"/>
          <w:tblHeader/>
        </w:trPr>
        <w:tc>
          <w:tcPr>
            <w:tcW w:w="366" w:type="pct"/>
            <w:shd w:val="clear" w:color="auto" w:fill="EBEBEB"/>
            <w:tcMar>
              <w:bottom w:w="0" w:type="dxa"/>
            </w:tcMar>
            <w:vAlign w:val="center"/>
          </w:tcPr>
          <w:p w14:paraId="7208E91E" w14:textId="77777777" w:rsidR="00D95005" w:rsidRDefault="00D95005">
            <w:pPr>
              <w:pStyle w:val="NoSpacing"/>
              <w:keepNext/>
              <w:keepLines/>
              <w:jc w:val="right"/>
            </w:pPr>
            <w:r w:rsidRPr="00A51374">
              <w:rPr>
                <w:noProof/>
              </w:rPr>
              <w:drawing>
                <wp:inline distT="0" distB="0" distL="0" distR="0" wp14:anchorId="283D4840" wp14:editId="52097E90">
                  <wp:extent cx="288000" cy="288000"/>
                  <wp:effectExtent l="0" t="0" r="0" b="0"/>
                  <wp:docPr id="2076539728" name="Graphic 2076539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5AE41EA1" w14:textId="1545C65B" w:rsidR="00D95005" w:rsidRPr="002530FF" w:rsidRDefault="00D95005">
            <w:pPr>
              <w:pStyle w:val="TableHeading"/>
              <w:keepNext/>
              <w:keepLines/>
              <w:spacing w:before="120" w:after="120"/>
              <w:contextualSpacing/>
              <w:rPr>
                <w:sz w:val="20"/>
              </w:rPr>
            </w:pPr>
            <w:r w:rsidRPr="00B9136E">
              <w:rPr>
                <w:color w:val="265A9A" w:themeColor="background2"/>
                <w:sz w:val="20"/>
              </w:rPr>
              <w:t xml:space="preserve">Information request </w:t>
            </w:r>
            <w:r w:rsidR="00CB06D8">
              <w:rPr>
                <w:noProof/>
                <w:color w:val="265A9A" w:themeColor="background2"/>
                <w:sz w:val="20"/>
              </w:rPr>
              <w:t>3</w:t>
            </w:r>
            <w:r w:rsidRPr="00B9136E">
              <w:rPr>
                <w:color w:val="265A9A" w:themeColor="background2"/>
                <w:sz w:val="20"/>
              </w:rPr>
              <w:t>.</w:t>
            </w:r>
            <w:r w:rsidR="00CB06D8">
              <w:rPr>
                <w:noProof/>
                <w:color w:val="265A9A" w:themeColor="background2"/>
                <w:sz w:val="20"/>
              </w:rPr>
              <w:t>3</w:t>
            </w:r>
          </w:p>
        </w:tc>
      </w:tr>
      <w:tr w:rsidR="00D95005" w:rsidRPr="000956E1" w14:paraId="7565E76C" w14:textId="77777777">
        <w:tc>
          <w:tcPr>
            <w:tcW w:w="5000" w:type="pct"/>
            <w:gridSpan w:val="2"/>
            <w:shd w:val="clear" w:color="auto" w:fill="EBEBEB"/>
          </w:tcPr>
          <w:p w14:paraId="20F3A503" w14:textId="77777777" w:rsidR="00D95005" w:rsidRPr="000956E1" w:rsidRDefault="00D95005" w:rsidP="00E11D04">
            <w:pPr>
              <w:pStyle w:val="ListBullet"/>
              <w:rPr>
                <w:color w:val="265A9A" w:themeColor="background2"/>
              </w:rPr>
            </w:pPr>
            <w:r w:rsidRPr="000956E1">
              <w:rPr>
                <w:rStyle w:val="ColourDarkBlue"/>
              </w:rPr>
              <w:t xml:space="preserve">Is improving the coordination of the approvals process a higher or lower priority than reforms to reduce the amount of approval requirements? </w:t>
            </w:r>
          </w:p>
          <w:p w14:paraId="3E0E353D" w14:textId="77777777" w:rsidR="00D95005" w:rsidRPr="000956E1" w:rsidRDefault="00D95005" w:rsidP="00E11D04">
            <w:pPr>
              <w:pStyle w:val="ListBullet"/>
              <w:rPr>
                <w:color w:val="265A9A" w:themeColor="background2"/>
              </w:rPr>
            </w:pPr>
            <w:r w:rsidRPr="000956E1">
              <w:rPr>
                <w:color w:val="265A9A" w:themeColor="background2"/>
              </w:rPr>
              <w:t>Are there any examples of where coordination bodies are or are not working? What are the features of coordination bodies which make them successful?</w:t>
            </w:r>
          </w:p>
          <w:p w14:paraId="421D3423" w14:textId="77777777" w:rsidR="00D95005" w:rsidRPr="000956E1" w:rsidRDefault="00D95005" w:rsidP="00E11D04">
            <w:pPr>
              <w:pStyle w:val="ListBullet"/>
              <w:rPr>
                <w:color w:val="265A9A" w:themeColor="background2"/>
              </w:rPr>
            </w:pPr>
            <w:r w:rsidRPr="000956E1">
              <w:rPr>
                <w:color w:val="265A9A" w:themeColor="background2"/>
              </w:rPr>
              <w:t>How effectively are reforms to planning rules, such as SA’s Planning and Design Code and Victoria’s Clause 55, working to make approvals more certain?</w:t>
            </w:r>
          </w:p>
        </w:tc>
      </w:tr>
      <w:tr w:rsidR="00D95005" w14:paraId="08BE0934" w14:textId="77777777">
        <w:tc>
          <w:tcPr>
            <w:tcW w:w="5000" w:type="pct"/>
            <w:gridSpan w:val="2"/>
            <w:tcMar>
              <w:bottom w:w="0" w:type="dxa"/>
            </w:tcMar>
          </w:tcPr>
          <w:p w14:paraId="616C09BA" w14:textId="635896D9" w:rsidR="00D95005" w:rsidRDefault="00D95005">
            <w:pPr>
              <w:pStyle w:val="NoSpacing"/>
              <w:spacing w:line="200" w:lineRule="atLeast"/>
            </w:pPr>
          </w:p>
        </w:tc>
      </w:tr>
    </w:tbl>
    <w:p w14:paraId="48E9466D" w14:textId="77777777" w:rsidR="00D95005" w:rsidRDefault="00D95005">
      <w:pPr>
        <w:pStyle w:val="Heading2"/>
      </w:pPr>
      <w:bookmarkStart w:id="32" w:name="_Toc235103155"/>
      <w:r w:rsidRPr="006273AB">
        <w:t xml:space="preserve">Governments should </w:t>
      </w:r>
      <w:r>
        <w:t>make approvals simple, fast and predictable</w:t>
      </w:r>
      <w:bookmarkEnd w:id="32"/>
    </w:p>
    <w:p w14:paraId="383FA4A1" w14:textId="77777777" w:rsidR="00D95005" w:rsidRDefault="00D95005">
      <w:pPr>
        <w:pStyle w:val="BodyText"/>
      </w:pPr>
      <w:r>
        <w:t>Based on evidence from submissions and literature, and our consultations including case studies, we propose several reform directions for approvals. These represent a preliminary view: we are seeking feedback on these directions and their implementation to inform our final report.</w:t>
      </w:r>
    </w:p>
    <w:p w14:paraId="7C9B96F1" w14:textId="77777777" w:rsidR="00D95005" w:rsidRPr="009C5FDC" w:rsidRDefault="00D95005">
      <w:pPr>
        <w:pStyle w:val="Heading3"/>
      </w:pPr>
      <w:r>
        <w:t>Minimise site</w:t>
      </w:r>
      <w:r>
        <w:noBreakHyphen/>
        <w:t>by</w:t>
      </w:r>
      <w:r>
        <w:noBreakHyphen/>
        <w:t>site assessments through strategic planning</w:t>
      </w:r>
    </w:p>
    <w:p w14:paraId="77FA8F50" w14:textId="77777777" w:rsidR="00D95005" w:rsidRDefault="00D95005">
      <w:pPr>
        <w:pStyle w:val="BodyText"/>
      </w:pPr>
      <w:r>
        <w:t>State and territory governments should use s</w:t>
      </w:r>
      <w:r w:rsidRPr="00394017">
        <w:t xml:space="preserve">trategic planning </w:t>
      </w:r>
      <w:r>
        <w:t>to</w:t>
      </w:r>
      <w:r w:rsidRPr="00E67ED2">
        <w:t xml:space="preserve"> </w:t>
      </w:r>
      <w:r>
        <w:t>consider</w:t>
      </w:r>
      <w:r w:rsidRPr="00394017">
        <w:t xml:space="preserve"> infrastructure </w:t>
      </w:r>
      <w:r>
        <w:t xml:space="preserve">requirements </w:t>
      </w:r>
      <w:r w:rsidRPr="00394017">
        <w:t xml:space="preserve">and </w:t>
      </w:r>
      <w:r w:rsidRPr="00E67ED2">
        <w:t>relevant trade</w:t>
      </w:r>
      <w:r>
        <w:noBreakHyphen/>
      </w:r>
      <w:r w:rsidRPr="00E67ED2">
        <w:t xml:space="preserve">offs </w:t>
      </w:r>
      <w:r>
        <w:t xml:space="preserve">associated with the development of new housing upfront rather than through </w:t>
      </w:r>
      <w:r>
        <w:lastRenderedPageBreak/>
        <w:t xml:space="preserve">the development approval </w:t>
      </w:r>
      <w:r w:rsidRPr="008C1955">
        <w:t xml:space="preserve">process. Strategic planning </w:t>
      </w:r>
      <w:r w:rsidRPr="00760869">
        <w:t xml:space="preserve">should be used when </w:t>
      </w:r>
      <w:r w:rsidRPr="008C1955">
        <w:t xml:space="preserve">areas </w:t>
      </w:r>
      <w:r w:rsidRPr="00760869">
        <w:t xml:space="preserve">are </w:t>
      </w:r>
      <w:r w:rsidRPr="008C1955">
        <w:t xml:space="preserve">identified for </w:t>
      </w:r>
      <w:r w:rsidRPr="00760869">
        <w:t xml:space="preserve">housing uplift through </w:t>
      </w:r>
      <w:r w:rsidRPr="008C1955">
        <w:t>higher density or greenfield developments</w:t>
      </w:r>
      <w:r w:rsidRPr="00760869">
        <w:t xml:space="preserve">. </w:t>
      </w:r>
      <w:r w:rsidRPr="00C652D8">
        <w:t>In these areas, land use and infrastructure requirements will change materially,</w:t>
      </w:r>
      <w:r w:rsidRPr="00760869">
        <w:t xml:space="preserve"> requiring early and coordinated planning</w:t>
      </w:r>
      <w:r w:rsidRPr="008C1955">
        <w:t>.</w:t>
      </w:r>
      <w:r w:rsidRPr="00E67ED2">
        <w:t xml:space="preserve"> </w:t>
      </w:r>
      <w:r>
        <w:t>Once decided, t</w:t>
      </w:r>
      <w:r w:rsidRPr="00E67ED2">
        <w:t xml:space="preserve">hese </w:t>
      </w:r>
      <w:r>
        <w:t>considerations</w:t>
      </w:r>
      <w:r w:rsidRPr="00E67ED2">
        <w:t xml:space="preserve"> should</w:t>
      </w:r>
      <w:r w:rsidRPr="00640E86">
        <w:t xml:space="preserve"> </w:t>
      </w:r>
      <w:r w:rsidRPr="00394017">
        <w:t>then</w:t>
      </w:r>
      <w:r w:rsidRPr="00E67ED2">
        <w:t xml:space="preserve"> be reflected in the</w:t>
      </w:r>
      <w:r w:rsidRPr="00640E86">
        <w:t xml:space="preserve"> </w:t>
      </w:r>
      <w:r w:rsidRPr="00394017">
        <w:t>relevant</w:t>
      </w:r>
      <w:r w:rsidRPr="00E67ED2">
        <w:t xml:space="preserve"> </w:t>
      </w:r>
      <w:r w:rsidRPr="00E67ED2" w:rsidDel="00DB7001">
        <w:t>planning scheme</w:t>
      </w:r>
      <w:r w:rsidRPr="00E67ED2">
        <w:t xml:space="preserve">, </w:t>
      </w:r>
      <w:r w:rsidRPr="00394017">
        <w:t xml:space="preserve">making </w:t>
      </w:r>
      <w:r>
        <w:t xml:space="preserve">the approvals process clearer for developers </w:t>
      </w:r>
      <w:r w:rsidRPr="00394017">
        <w:t xml:space="preserve">and </w:t>
      </w:r>
      <w:r>
        <w:t>reducing the need for decision making about what should be allowed on a development</w:t>
      </w:r>
      <w:r>
        <w:noBreakHyphen/>
        <w:t>by</w:t>
      </w:r>
      <w:r>
        <w:noBreakHyphen/>
        <w:t>development basis.</w:t>
      </w:r>
    </w:p>
    <w:p w14:paraId="6258E254" w14:textId="77777777" w:rsidR="00D95005" w:rsidRDefault="00D95005">
      <w:pPr>
        <w:pStyle w:val="BodyText"/>
      </w:pPr>
      <w:r>
        <w:t>Governments should work with referral agencies and other relevant bodies to consider the trade</w:t>
      </w:r>
      <w:r>
        <w:noBreakHyphen/>
        <w:t>offs associated with development (including the need for more housing) across priority areas for new homes. Where possible, technical studies, like flood, biodiversity and bushfire risk mapping, should be completed and considered across entire priority areas for uplift. Once decisions about these trade</w:t>
      </w:r>
      <w:r>
        <w:noBreakHyphen/>
        <w:t xml:space="preserve">offs have been made through strategic planning, they should not be relitigated when approvals for new housing are being assessed. </w:t>
      </w:r>
    </w:p>
    <w:p w14:paraId="06EF8A82" w14:textId="77777777" w:rsidR="00D95005" w:rsidRPr="001C15BD" w:rsidRDefault="00D95005">
      <w:pPr>
        <w:pStyle w:val="BodyText"/>
      </w:pPr>
      <w:r>
        <w:t>State and territory governments should also aim to reduce delays and extra costs caused by conflicting advice and slow decision making about infrastructure. They can do this by fully considering how housing</w:t>
      </w:r>
      <w:r>
        <w:noBreakHyphen/>
        <w:t xml:space="preserve">enabling infrastructure would interact with existing infrastructure (box 3.3, also chapter 4). </w:t>
      </w:r>
      <w:r w:rsidRPr="007E3322">
        <w:t>This should help eliminate cases of delays and extra costs caused by conflicting advice and slow decision</w:t>
      </w:r>
      <w:r>
        <w:noBreakHyphen/>
      </w:r>
      <w:r w:rsidRPr="007E3322">
        <w:t>making about infrastructure</w:t>
      </w:r>
      <w:r>
        <w:t>.</w:t>
      </w:r>
    </w:p>
    <w:p w14:paraId="2EA15679" w14:textId="57978CAB" w:rsidR="00D95005" w:rsidRPr="003B743A" w:rsidRDefault="00D95005">
      <w:pPr>
        <w:pStyle w:val="BodyText"/>
        <w:rPr>
          <w:spacing w:val="-4"/>
        </w:rPr>
      </w:pPr>
      <w:r w:rsidRPr="003B743A">
        <w:rPr>
          <w:spacing w:val="-4"/>
        </w:rPr>
        <w:t>While most states and territories and many councils already engage in strategic planning in some form, the goal should be to manage trade</w:t>
      </w:r>
      <w:r w:rsidRPr="003B743A">
        <w:rPr>
          <w:spacing w:val="-4"/>
        </w:rPr>
        <w:noBreakHyphen/>
        <w:t xml:space="preserve">offs and remove obstacles to housing development efficiently and early in the process. This would allow governments to set clear requirements about what is and is not permitted in planning </w:t>
      </w:r>
      <w:r w:rsidR="00860204">
        <w:rPr>
          <w:spacing w:val="-4"/>
        </w:rPr>
        <w:t>schemes</w:t>
      </w:r>
      <w:r w:rsidRPr="003B743A">
        <w:rPr>
          <w:spacing w:val="-4"/>
        </w:rPr>
        <w:t>, rather than leaving it to be decided in the approval of individual developments. Inquiry participants told us that better strategic planning was one of the most important reforms to reduce the burden of approvals (Mecone Group, sub. 65, p. 2; PIA, sub. 34, pp. 16–19; SGS Economics and Planning, sub. 45, p. 5). While strategic planning processes take time, they should not be used as an excuse to unreasonably delay reforms for land use, infrastructure coordination and approvals.</w:t>
      </w:r>
    </w:p>
    <w:p w14:paraId="7E7F311A" w14:textId="0BC4176A" w:rsidR="00D95005" w:rsidRDefault="00D95005">
      <w:pPr>
        <w:pStyle w:val="NoSpacing"/>
      </w:pPr>
    </w:p>
    <w:tbl>
      <w:tblPr>
        <w:tblStyle w:val="Texttable-Paleblue"/>
        <w:tblW w:w="5000" w:type="pct"/>
        <w:tblLook w:val="04A0" w:firstRow="1" w:lastRow="0" w:firstColumn="1" w:lastColumn="0" w:noHBand="0" w:noVBand="1"/>
      </w:tblPr>
      <w:tblGrid>
        <w:gridCol w:w="713"/>
        <w:gridCol w:w="8925"/>
      </w:tblGrid>
      <w:tr w:rsidR="00D95005" w14:paraId="31A1AF18" w14:textId="77777777" w:rsidTr="00CA1015">
        <w:trPr>
          <w:tblHeader/>
        </w:trPr>
        <w:tc>
          <w:tcPr>
            <w:tcW w:w="713" w:type="dxa"/>
            <w:shd w:val="clear" w:color="auto" w:fill="E7F6FD"/>
            <w:tcMar>
              <w:top w:w="0" w:type="dxa"/>
              <w:bottom w:w="0" w:type="dxa"/>
            </w:tcMar>
            <w:vAlign w:val="center"/>
          </w:tcPr>
          <w:p w14:paraId="708BA7C8" w14:textId="77777777" w:rsidR="00D95005" w:rsidRDefault="00D95005" w:rsidP="00CA1015">
            <w:pPr>
              <w:jc w:val="center"/>
            </w:pPr>
            <w:r w:rsidRPr="00A51374">
              <w:rPr>
                <w:noProof/>
              </w:rPr>
              <w:drawing>
                <wp:inline distT="0" distB="0" distL="0" distR="0" wp14:anchorId="514946CF" wp14:editId="032E4DA4">
                  <wp:extent cx="288000" cy="288000"/>
                  <wp:effectExtent l="0" t="0" r="0" b="0"/>
                  <wp:docPr id="1662832079" name="Graphic 16628320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38B08EE1" w14:textId="53326996" w:rsidR="00D95005" w:rsidRPr="00715040" w:rsidRDefault="00D95005" w:rsidP="00CA1015">
            <w:pPr>
              <w:pStyle w:val="FindingRecRequesttitle"/>
              <w:keepNext w:val="0"/>
              <w:keepLines w:val="0"/>
            </w:pPr>
            <w:r w:rsidRPr="00715040">
              <w:t>Re</w:t>
            </w:r>
            <w:r>
              <w:t>form direction</w:t>
            </w:r>
            <w:r w:rsidRPr="00715040">
              <w:t xml:space="preserve"> </w:t>
            </w:r>
            <w:r>
              <w:t>3</w:t>
            </w:r>
            <w:r w:rsidRPr="00715040">
              <w:t>.</w:t>
            </w:r>
            <w:r w:rsidR="00CB06D8">
              <w:rPr>
                <w:noProof/>
              </w:rPr>
              <w:t>1</w:t>
            </w:r>
          </w:p>
          <w:p w14:paraId="686624E1" w14:textId="77777777" w:rsidR="00D95005" w:rsidRPr="00715040" w:rsidRDefault="00D95005" w:rsidP="00CA1015">
            <w:pPr>
              <w:pStyle w:val="FindingRecRequesttitle"/>
              <w:keepNext w:val="0"/>
              <w:keepLines w:val="0"/>
            </w:pPr>
            <w:r>
              <w:t>Consider infrastructure requirements and trade</w:t>
            </w:r>
            <w:r>
              <w:noBreakHyphen/>
              <w:t>offs associated with development early through strategic planning</w:t>
            </w:r>
          </w:p>
        </w:tc>
      </w:tr>
      <w:tr w:rsidR="00D95005" w14:paraId="091237C9" w14:textId="77777777" w:rsidTr="00CA1015">
        <w:tc>
          <w:tcPr>
            <w:tcW w:w="9638" w:type="dxa"/>
            <w:gridSpan w:val="2"/>
            <w:shd w:val="clear" w:color="auto" w:fill="E7F6FD"/>
            <w:tcMar>
              <w:top w:w="0" w:type="dxa"/>
            </w:tcMar>
          </w:tcPr>
          <w:p w14:paraId="47585A31" w14:textId="283E6E13" w:rsidR="00D95005" w:rsidRDefault="00D95005">
            <w:pPr>
              <w:pStyle w:val="BodyText"/>
            </w:pPr>
            <w:r>
              <w:t>State and territory governments should seek to lift the burden from approvals by assessing development conditions and determining trade</w:t>
            </w:r>
            <w:r>
              <w:noBreakHyphen/>
              <w:t>offs efficiently and upfront rather than through the development approval process. This includes:</w:t>
            </w:r>
          </w:p>
          <w:p w14:paraId="2388E13F" w14:textId="77777777" w:rsidR="00D95005" w:rsidRDefault="00D95005" w:rsidP="00E11D04">
            <w:pPr>
              <w:pStyle w:val="ListBullet"/>
            </w:pPr>
            <w:r>
              <w:t xml:space="preserve">identifying suburbs and localities where there is high expected demand for new housing, </w:t>
            </w:r>
            <w:r w:rsidRPr="000F6864">
              <w:t>and making</w:t>
            </w:r>
            <w:r>
              <w:t xml:space="preserve"> it </w:t>
            </w:r>
            <w:r w:rsidRPr="000F6864">
              <w:t>an explicit performance</w:t>
            </w:r>
            <w:r>
              <w:t xml:space="preserve"> goal for </w:t>
            </w:r>
            <w:r w:rsidRPr="000F6864">
              <w:t xml:space="preserve">councils, relevant agencies and regulated </w:t>
            </w:r>
            <w:r>
              <w:t xml:space="preserve">infrastructure service providers to facilitate </w:t>
            </w:r>
            <w:r w:rsidRPr="000F6864">
              <w:t>new housing in these areas</w:t>
            </w:r>
          </w:p>
          <w:p w14:paraId="5535E063" w14:textId="77777777" w:rsidR="00D95005" w:rsidRDefault="00D95005" w:rsidP="00E11D04">
            <w:pPr>
              <w:pStyle w:val="ListBullet"/>
            </w:pPr>
            <w:r>
              <w:t>completing technical studies (e.g. flood risk, bushfire risk, biodiversity mapping) across suburbs and localities with high expected demand for new housing, and considering how the impacts of the expected uplift in housing development can be managed across these areas</w:t>
            </w:r>
          </w:p>
          <w:p w14:paraId="0EEE2024" w14:textId="77777777" w:rsidR="00D95005" w:rsidRPr="00EE3E36" w:rsidRDefault="00D95005" w:rsidP="00E11D04">
            <w:pPr>
              <w:pStyle w:val="ListBullet"/>
            </w:pPr>
            <w:r w:rsidRPr="00EE3E36">
              <w:t xml:space="preserve">fully considering how any required </w:t>
            </w:r>
            <w:r>
              <w:t>housing</w:t>
            </w:r>
            <w:r>
              <w:noBreakHyphen/>
            </w:r>
            <w:r w:rsidRPr="00EE3E36">
              <w:t>enabling infrastructure will interact with existing infrastructure, including by engaging with referral agencies or owners of existing infrastructure to identify potential barriers to development early</w:t>
            </w:r>
            <w:r>
              <w:t xml:space="preserve"> (in conjunction with reform directions 4.1 and 4.2)</w:t>
            </w:r>
          </w:p>
          <w:p w14:paraId="6053C750" w14:textId="77777777" w:rsidR="00D95005" w:rsidRPr="009A2205" w:rsidRDefault="00D95005" w:rsidP="00E11D04">
            <w:pPr>
              <w:pStyle w:val="ListBullet"/>
              <w:rPr>
                <w:spacing w:val="-4"/>
              </w:rPr>
            </w:pPr>
            <w:r w:rsidRPr="009A2205">
              <w:rPr>
                <w:spacing w:val="-4"/>
              </w:rPr>
              <w:t xml:space="preserve">incorporating the outcomes of these assessments into planning schemes as clear and codified requirements for </w:t>
            </w:r>
            <w:proofErr w:type="gramStart"/>
            <w:r w:rsidRPr="009A2205">
              <w:rPr>
                <w:spacing w:val="-4"/>
              </w:rPr>
              <w:t>development, and</w:t>
            </w:r>
            <w:proofErr w:type="gramEnd"/>
            <w:r w:rsidRPr="009A2205">
              <w:rPr>
                <w:spacing w:val="-4"/>
              </w:rPr>
              <w:t xml:space="preserve"> avoiding site-specific assessments of trade</w:t>
            </w:r>
            <w:r w:rsidRPr="009A2205">
              <w:rPr>
                <w:spacing w:val="-4"/>
              </w:rPr>
              <w:noBreakHyphen/>
              <w:t>offs where possible.</w:t>
            </w:r>
          </w:p>
        </w:tc>
      </w:tr>
    </w:tbl>
    <w:p w14:paraId="3674D852" w14:textId="77777777" w:rsidR="00D95005" w:rsidRDefault="00D95005" w:rsidP="00CA1015">
      <w:pPr>
        <w:pStyle w:val="Heading3"/>
        <w:spacing w:before="360"/>
      </w:pPr>
      <w:r>
        <w:lastRenderedPageBreak/>
        <w:t>Move more approvals towards quicker assessments</w:t>
      </w:r>
    </w:p>
    <w:p w14:paraId="3B9B9509" w14:textId="77777777" w:rsidR="00D95005" w:rsidRPr="009A32B6" w:rsidRDefault="00D95005">
      <w:pPr>
        <w:pStyle w:val="BodyText"/>
      </w:pPr>
      <w:r>
        <w:t>Not all developments should be assessed in the same way. Developments should proceed through different assessment pathways depending on their level of risk, complexity and importance. While many jurisdictions are already moving in this direction, there may be scope to boost use of fast</w:t>
      </w:r>
      <w:r>
        <w:noBreakHyphen/>
        <w:t xml:space="preserve">track pathways through increased coverage. Minor developments which have very few external impacts (for example, sheds, fences, solar panels and carports) should not require planning approval. </w:t>
      </w:r>
    </w:p>
    <w:p w14:paraId="5AB14C8A" w14:textId="77777777" w:rsidR="00D95005" w:rsidRDefault="00D95005">
      <w:pPr>
        <w:pStyle w:val="Heading4"/>
      </w:pPr>
      <w:r>
        <w:t>Fast</w:t>
      </w:r>
      <w:r>
        <w:noBreakHyphen/>
        <w:t>track pathways for low complexity developments</w:t>
      </w:r>
    </w:p>
    <w:p w14:paraId="5ED234E7" w14:textId="293CA0AE" w:rsidR="00D95005" w:rsidRDefault="00D95005">
      <w:pPr>
        <w:pStyle w:val="BodyText"/>
      </w:pPr>
      <w:r>
        <w:t>Low</w:t>
      </w:r>
      <w:r>
        <w:noBreakHyphen/>
        <w:t>complexity developments should proceed through expedited or fast</w:t>
      </w:r>
      <w:r>
        <w:noBreakHyphen/>
        <w:t>track pathways, with simplified assessment. The PC’s initial view is that best practice for such pathways includes the following features:</w:t>
      </w:r>
    </w:p>
    <w:p w14:paraId="41447BE7" w14:textId="77777777" w:rsidR="00D95005" w:rsidRPr="009A2205" w:rsidRDefault="00D95005" w:rsidP="00E11D04">
      <w:pPr>
        <w:pStyle w:val="ListBullet"/>
        <w:rPr>
          <w:spacing w:val="-4"/>
        </w:rPr>
      </w:pPr>
      <w:r w:rsidRPr="009A2205">
        <w:rPr>
          <w:b/>
          <w:bCs/>
          <w:spacing w:val="-4"/>
        </w:rPr>
        <w:t>Apply broadly to low-complexity housing typologies</w:t>
      </w:r>
      <w:r w:rsidRPr="009A2205">
        <w:rPr>
          <w:spacing w:val="-4"/>
        </w:rPr>
        <w:t>. While fast</w:t>
      </w:r>
      <w:r w:rsidRPr="009A2205">
        <w:rPr>
          <w:spacing w:val="-4"/>
        </w:rPr>
        <w:noBreakHyphen/>
        <w:t>track pathways are available in many jurisdictions,</w:t>
      </w:r>
      <w:r w:rsidRPr="009A2205" w:rsidDel="004274E5">
        <w:rPr>
          <w:spacing w:val="-4"/>
        </w:rPr>
        <w:t xml:space="preserve"> </w:t>
      </w:r>
      <w:r w:rsidRPr="009A2205">
        <w:rPr>
          <w:spacing w:val="-4"/>
        </w:rPr>
        <w:t xml:space="preserve">many developments are still assessed through standard pathways. </w:t>
      </w:r>
      <w:r w:rsidRPr="009A2205" w:rsidDel="000E16B7">
        <w:rPr>
          <w:spacing w:val="-4"/>
        </w:rPr>
        <w:t>Fast</w:t>
      </w:r>
      <w:r w:rsidRPr="009A2205">
        <w:rPr>
          <w:spacing w:val="-4"/>
        </w:rPr>
        <w:noBreakHyphen/>
        <w:t xml:space="preserve">track pathways should ideally be available for detached dwellings, duplex/dual occupancy and townhouses that meet predefined requirements, with exceptions limited to situations where there is complexity requiring additional scrutiny (for example, developments in areas with </w:t>
      </w:r>
      <w:r w:rsidRPr="009A2205" w:rsidDel="001F5990">
        <w:rPr>
          <w:spacing w:val="-4"/>
        </w:rPr>
        <w:t>environmental</w:t>
      </w:r>
      <w:r w:rsidRPr="009A2205">
        <w:rPr>
          <w:spacing w:val="-4"/>
        </w:rPr>
        <w:t xml:space="preserve"> or bushfire overlays).</w:t>
      </w:r>
    </w:p>
    <w:p w14:paraId="7B521BAA" w14:textId="77777777" w:rsidR="00D95005" w:rsidRDefault="00D95005" w:rsidP="00E11D04">
      <w:pPr>
        <w:pStyle w:val="ListBullet"/>
      </w:pPr>
      <w:r w:rsidRPr="00394017">
        <w:rPr>
          <w:b/>
          <w:bCs/>
        </w:rPr>
        <w:t>Assess</w:t>
      </w:r>
      <w:r w:rsidRPr="00394017">
        <w:rPr>
          <w:b/>
        </w:rPr>
        <w:t xml:space="preserve"> against codified rules</w:t>
      </w:r>
      <w:r w:rsidRPr="00D74DCD">
        <w:t>, so that developments are approved automatically if they comply</w:t>
      </w:r>
      <w:r>
        <w:t xml:space="preserve">. </w:t>
      </w:r>
      <w:r w:rsidRPr="00533039">
        <w:t>Deemed</w:t>
      </w:r>
      <w:r>
        <w:noBreakHyphen/>
      </w:r>
      <w:r w:rsidRPr="00533039">
        <w:t>to</w:t>
      </w:r>
      <w:r>
        <w:noBreakHyphen/>
      </w:r>
      <w:r w:rsidRPr="00533039">
        <w:t>comply</w:t>
      </w:r>
      <w:r w:rsidRPr="008F6AE5">
        <w:t xml:space="preserve"> pathways should be used to assess </w:t>
      </w:r>
      <w:r>
        <w:t>low</w:t>
      </w:r>
      <w:r>
        <w:noBreakHyphen/>
        <w:t>complexity developments that meet predefined standards. Standards can include codified requirements such as low</w:t>
      </w:r>
      <w:r>
        <w:noBreakHyphen/>
        <w:t>rise or townhouse codes and consistent land</w:t>
      </w:r>
      <w:r>
        <w:noBreakHyphen/>
        <w:t>use controls that are applicable in the same way in each relevant zone in a jurisdiction. Developments that meet the rules should be automatically approved.</w:t>
      </w:r>
    </w:p>
    <w:p w14:paraId="17FC454B" w14:textId="77777777" w:rsidR="00D95005" w:rsidRDefault="00D95005" w:rsidP="00E11D04">
      <w:pPr>
        <w:pStyle w:val="ListBullet"/>
      </w:pPr>
      <w:r>
        <w:rPr>
          <w:b/>
          <w:bCs/>
        </w:rPr>
        <w:t>Expand the use of pattern books</w:t>
      </w:r>
      <w:r w:rsidRPr="00D74DCD">
        <w:t xml:space="preserve">. </w:t>
      </w:r>
      <w:r>
        <w:t>All states and territories should create pattern books with templates for developments which are pre</w:t>
      </w:r>
      <w:r>
        <w:noBreakHyphen/>
        <w:t>approved to proceed through fast</w:t>
      </w:r>
      <w:r>
        <w:noBreakHyphen/>
        <w:t>track pathways. These should explicitly include options for patterns incorporating more productive methods of construction that are also eligible for simpler, faster approval processes.</w:t>
      </w:r>
    </w:p>
    <w:p w14:paraId="43FAFD87" w14:textId="77777777" w:rsidR="00D95005" w:rsidRPr="009A2205" w:rsidRDefault="00D95005" w:rsidP="00E11D04">
      <w:pPr>
        <w:pStyle w:val="ListBullet"/>
        <w:rPr>
          <w:spacing w:val="-2"/>
        </w:rPr>
      </w:pPr>
      <w:r w:rsidRPr="009A2205">
        <w:rPr>
          <w:b/>
          <w:bCs/>
          <w:spacing w:val="-2"/>
        </w:rPr>
        <w:t>Use hybrid assessment for developments which narrowly fail to comply with fast</w:t>
      </w:r>
      <w:r w:rsidRPr="009A2205">
        <w:rPr>
          <w:b/>
          <w:bCs/>
          <w:spacing w:val="-2"/>
        </w:rPr>
        <w:noBreakHyphen/>
        <w:t>track criteria</w:t>
      </w:r>
      <w:r w:rsidRPr="009A2205">
        <w:rPr>
          <w:spacing w:val="-2"/>
        </w:rPr>
        <w:t>. Many developments are ineligible for fast</w:t>
      </w:r>
      <w:r w:rsidRPr="009A2205">
        <w:rPr>
          <w:spacing w:val="-2"/>
        </w:rPr>
        <w:noBreakHyphen/>
        <w:t>track pathways because they narrowly miss full compliance with the rules, which creates a ‘steep cliff’ from fast</w:t>
      </w:r>
      <w:r w:rsidRPr="009A2205">
        <w:rPr>
          <w:spacing w:val="-2"/>
        </w:rPr>
        <w:noBreakHyphen/>
        <w:t>track to time</w:t>
      </w:r>
      <w:r w:rsidRPr="009A2205">
        <w:rPr>
          <w:spacing w:val="-2"/>
        </w:rPr>
        <w:noBreakHyphen/>
        <w:t>consuming standard assessments. For these developments, standard assessment should only be required for rules which they do not comply with, with the development otherwise proceeding through the fast</w:t>
      </w:r>
      <w:r w:rsidRPr="009A2205">
        <w:rPr>
          <w:spacing w:val="-2"/>
        </w:rPr>
        <w:noBreakHyphen/>
        <w:t>track pathway.</w:t>
      </w:r>
    </w:p>
    <w:p w14:paraId="0EDCEF20" w14:textId="77777777" w:rsidR="00D95005" w:rsidRDefault="00D95005" w:rsidP="00E11D04">
      <w:pPr>
        <w:pStyle w:val="ListBullet"/>
      </w:pPr>
      <w:r>
        <w:rPr>
          <w:b/>
          <w:bCs/>
        </w:rPr>
        <w:t>Minimise third</w:t>
      </w:r>
      <w:r>
        <w:rPr>
          <w:b/>
          <w:bCs/>
        </w:rPr>
        <w:noBreakHyphen/>
        <w:t>party inputs</w:t>
      </w:r>
      <w:r w:rsidRPr="00D74DCD">
        <w:t xml:space="preserve"> for projects within the fast</w:t>
      </w:r>
      <w:r>
        <w:noBreakHyphen/>
      </w:r>
      <w:r w:rsidRPr="00D74DCD">
        <w:t xml:space="preserve">track pathway. </w:t>
      </w:r>
      <w:r>
        <w:t>Fast</w:t>
      </w:r>
      <w:r>
        <w:noBreakHyphen/>
        <w:t>track pathways should be designed such that assessment can be made with minimal need for external referrals or third</w:t>
      </w:r>
      <w:r>
        <w:noBreakHyphen/>
        <w:t>party reports. Similarly, there should be no appeal or public notification required, as the rules should be designed such that externalities are minimised for complying developments (for example developments are inherently low</w:t>
      </w:r>
      <w:r>
        <w:noBreakHyphen/>
        <w:t xml:space="preserve">rise, so there are minimal concerns about overshadowing). </w:t>
      </w:r>
    </w:p>
    <w:p w14:paraId="4CCE5240" w14:textId="20C9387E" w:rsidR="00D95005" w:rsidRDefault="00D95005" w:rsidP="00E11D04">
      <w:pPr>
        <w:pStyle w:val="ListBullet"/>
      </w:pPr>
      <w:r>
        <w:rPr>
          <w:b/>
          <w:bCs/>
        </w:rPr>
        <w:t xml:space="preserve">Allow developers to opt </w:t>
      </w:r>
      <w:r w:rsidRPr="6E3EAC20">
        <w:rPr>
          <w:b/>
          <w:bCs/>
        </w:rPr>
        <w:t>‘in’</w:t>
      </w:r>
      <w:r w:rsidRPr="00D74DCD">
        <w:t xml:space="preserve">. </w:t>
      </w:r>
      <w:r w:rsidR="007A2477" w:rsidRPr="00AB1D49">
        <w:t>Some fast-track pathways require councils to identify and nominate which applications fast-track approval applies to</w:t>
      </w:r>
      <w:r>
        <w:t>. Allowing applicants to select and opt ‘in’ to a pathway will reduce a decision</w:t>
      </w:r>
      <w:r>
        <w:noBreakHyphen/>
        <w:t xml:space="preserve">making </w:t>
      </w:r>
      <w:r w:rsidDel="001500DE">
        <w:t>step</w:t>
      </w:r>
      <w:r>
        <w:t xml:space="preserve"> and allow dedicated assessment.</w:t>
      </w:r>
    </w:p>
    <w:p w14:paraId="223640DC" w14:textId="77777777" w:rsidR="00D95005" w:rsidRPr="009A2205" w:rsidRDefault="00D95005" w:rsidP="00E11D04">
      <w:pPr>
        <w:pStyle w:val="ListBullet"/>
        <w:rPr>
          <w:spacing w:val="-2"/>
        </w:rPr>
      </w:pPr>
      <w:r w:rsidRPr="009A2205">
        <w:rPr>
          <w:b/>
          <w:bCs/>
          <w:spacing w:val="-2"/>
        </w:rPr>
        <w:t>Approve developments quickly</w:t>
      </w:r>
      <w:r w:rsidRPr="009A2205">
        <w:rPr>
          <w:spacing w:val="-2"/>
        </w:rPr>
        <w:t xml:space="preserve"> – with council incentives for fast assessment. Most fast</w:t>
      </w:r>
      <w:r w:rsidRPr="009A2205">
        <w:rPr>
          <w:spacing w:val="-2"/>
        </w:rPr>
        <w:noBreakHyphen/>
        <w:t>track assessments should be capable of being approved within 10 to 20 business days, as is the standard for several existing pathways. Councils should publicly report data on the timeframes for approval and proportion of applications that meet the standard (see below on reporting). Applications that exceed a certain timeframe due to assessment delays caused by the council should be approved by default.</w:t>
      </w:r>
    </w:p>
    <w:p w14:paraId="16630912" w14:textId="4D83C0F1" w:rsidR="00D95005" w:rsidRDefault="00D95005">
      <w:pPr>
        <w:pStyle w:val="NoSpacing"/>
      </w:pPr>
    </w:p>
    <w:tbl>
      <w:tblPr>
        <w:tblStyle w:val="Texttable-Paleblue"/>
        <w:tblW w:w="5000" w:type="pct"/>
        <w:tblLook w:val="04A0" w:firstRow="1" w:lastRow="0" w:firstColumn="1" w:lastColumn="0" w:noHBand="0" w:noVBand="1"/>
      </w:tblPr>
      <w:tblGrid>
        <w:gridCol w:w="713"/>
        <w:gridCol w:w="8925"/>
      </w:tblGrid>
      <w:tr w:rsidR="00D95005" w14:paraId="245C8CF7" w14:textId="77777777">
        <w:trPr>
          <w:tblHeader/>
        </w:trPr>
        <w:tc>
          <w:tcPr>
            <w:tcW w:w="709" w:type="dxa"/>
            <w:shd w:val="clear" w:color="auto" w:fill="E7F6FD"/>
            <w:tcMar>
              <w:top w:w="0" w:type="dxa"/>
              <w:bottom w:w="0" w:type="dxa"/>
            </w:tcMar>
            <w:vAlign w:val="center"/>
          </w:tcPr>
          <w:p w14:paraId="705FC683" w14:textId="77777777" w:rsidR="00D95005" w:rsidRDefault="00D95005">
            <w:pPr>
              <w:keepLines/>
              <w:jc w:val="center"/>
            </w:pPr>
            <w:r w:rsidRPr="00A51374">
              <w:rPr>
                <w:noProof/>
              </w:rPr>
              <w:lastRenderedPageBreak/>
              <w:drawing>
                <wp:inline distT="0" distB="0" distL="0" distR="0" wp14:anchorId="22654946" wp14:editId="22B8BADB">
                  <wp:extent cx="288000" cy="288000"/>
                  <wp:effectExtent l="0" t="0" r="0" b="0"/>
                  <wp:docPr id="1695968103" name="Graphic 1695968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254F7AAA" w14:textId="66D01CD2" w:rsidR="00D95005" w:rsidRPr="00715040" w:rsidRDefault="00D95005">
            <w:pPr>
              <w:pStyle w:val="FindingRecRequesttitle"/>
            </w:pPr>
            <w:r>
              <w:t>Reform direction</w:t>
            </w:r>
            <w:r w:rsidRPr="00715040">
              <w:t xml:space="preserve"> </w:t>
            </w:r>
            <w:r w:rsidR="00CB06D8">
              <w:rPr>
                <w:noProof/>
              </w:rPr>
              <w:t>3</w:t>
            </w:r>
            <w:r w:rsidRPr="00715040">
              <w:t>.</w:t>
            </w:r>
            <w:r w:rsidR="00CB06D8">
              <w:rPr>
                <w:noProof/>
              </w:rPr>
              <w:t>2</w:t>
            </w:r>
          </w:p>
          <w:p w14:paraId="752194F6" w14:textId="77777777" w:rsidR="00D95005" w:rsidRPr="00715040" w:rsidRDefault="00D95005">
            <w:pPr>
              <w:pStyle w:val="FindingRecRequesttitle"/>
            </w:pPr>
            <w:r>
              <w:t>Expand the use of fast</w:t>
            </w:r>
            <w:r>
              <w:noBreakHyphen/>
              <w:t>track pathways to assess simple developments</w:t>
            </w:r>
          </w:p>
        </w:tc>
      </w:tr>
      <w:tr w:rsidR="00D95005" w14:paraId="0DB50508" w14:textId="77777777">
        <w:tc>
          <w:tcPr>
            <w:tcW w:w="9583" w:type="dxa"/>
            <w:gridSpan w:val="2"/>
            <w:shd w:val="clear" w:color="auto" w:fill="E7F6FD"/>
            <w:tcMar>
              <w:top w:w="0" w:type="dxa"/>
            </w:tcMar>
          </w:tcPr>
          <w:p w14:paraId="0D98B347" w14:textId="77777777" w:rsidR="00D95005" w:rsidRDefault="00D95005">
            <w:pPr>
              <w:pStyle w:val="BodyText"/>
              <w:keepLines/>
            </w:pPr>
            <w:r>
              <w:t>State, territory and local governments should improve fast</w:t>
            </w:r>
            <w:r>
              <w:noBreakHyphen/>
              <w:t>track assessment pathways by:</w:t>
            </w:r>
          </w:p>
          <w:p w14:paraId="36227293" w14:textId="77777777" w:rsidR="00D95005" w:rsidRPr="00EE3E36" w:rsidRDefault="00D95005" w:rsidP="00E11D04">
            <w:pPr>
              <w:pStyle w:val="ListBullet"/>
            </w:pPr>
            <w:r>
              <w:t>e</w:t>
            </w:r>
            <w:r w:rsidRPr="00C65333">
              <w:t>xpan</w:t>
            </w:r>
            <w:r w:rsidRPr="00EE3E36">
              <w:t xml:space="preserve">ding </w:t>
            </w:r>
            <w:r>
              <w:t>their use</w:t>
            </w:r>
            <w:r w:rsidRPr="00EE3E36">
              <w:t xml:space="preserve"> to </w:t>
            </w:r>
            <w:r>
              <w:t xml:space="preserve">cover </w:t>
            </w:r>
            <w:proofErr w:type="gramStart"/>
            <w:r w:rsidRPr="00EE3E36">
              <w:t>more low</w:t>
            </w:r>
            <w:proofErr w:type="gramEnd"/>
            <w:r>
              <w:noBreakHyphen/>
            </w:r>
            <w:r w:rsidRPr="00EE3E36">
              <w:t>complexity developments, using deemed</w:t>
            </w:r>
            <w:r>
              <w:noBreakHyphen/>
            </w:r>
            <w:r w:rsidRPr="00EE3E36">
              <w:t>to</w:t>
            </w:r>
            <w:r>
              <w:noBreakHyphen/>
            </w:r>
            <w:r w:rsidRPr="00EE3E36">
              <w:t>comply assessment against codified rules, with minimal third</w:t>
            </w:r>
            <w:r>
              <w:noBreakHyphen/>
            </w:r>
            <w:r w:rsidRPr="00EE3E36">
              <w:t>party inputs</w:t>
            </w:r>
          </w:p>
          <w:p w14:paraId="62924BB0" w14:textId="77777777" w:rsidR="00D95005" w:rsidRPr="00EE3E36" w:rsidRDefault="00D95005" w:rsidP="00E11D04">
            <w:pPr>
              <w:pStyle w:val="ListBullet"/>
            </w:pPr>
            <w:r w:rsidRPr="00EE3E36">
              <w:t>increasing the use of pattern books, with templates eligible for fast</w:t>
            </w:r>
            <w:r>
              <w:noBreakHyphen/>
            </w:r>
            <w:r w:rsidRPr="00EE3E36">
              <w:t>track approval</w:t>
            </w:r>
          </w:p>
          <w:p w14:paraId="216E9A6C" w14:textId="77777777" w:rsidR="00D95005" w:rsidRPr="00EE3E36" w:rsidRDefault="00D95005" w:rsidP="00E11D04">
            <w:pPr>
              <w:pStyle w:val="ListBullet"/>
            </w:pPr>
            <w:r w:rsidRPr="00EE3E36">
              <w:t>using hybrid assessment for developments which narrowly fail to comply with fast</w:t>
            </w:r>
            <w:r>
              <w:noBreakHyphen/>
            </w:r>
            <w:r w:rsidRPr="00EE3E36">
              <w:t>track criteria, where non</w:t>
            </w:r>
            <w:r>
              <w:noBreakHyphen/>
            </w:r>
            <w:r w:rsidRPr="00EE3E36">
              <w:t>complying criteria are assessed using standard techniques</w:t>
            </w:r>
          </w:p>
          <w:p w14:paraId="2B26E1E6" w14:textId="77777777" w:rsidR="00D95005" w:rsidRPr="00767EAE" w:rsidRDefault="00D95005" w:rsidP="00E11D04">
            <w:pPr>
              <w:pStyle w:val="ListBullet"/>
            </w:pPr>
            <w:r w:rsidRPr="00EE3E36">
              <w:t>approving fast</w:t>
            </w:r>
            <w:r>
              <w:noBreakHyphen/>
            </w:r>
            <w:r w:rsidRPr="00EE3E36">
              <w:t>track developments quickly, with incentives for councils to increase speed of assessment.</w:t>
            </w:r>
          </w:p>
        </w:tc>
      </w:tr>
      <w:tr w:rsidR="00D95005" w14:paraId="2296B6D8" w14:textId="77777777">
        <w:trPr>
          <w:trHeight w:val="95"/>
        </w:trPr>
        <w:tc>
          <w:tcPr>
            <w:tcW w:w="9583" w:type="dxa"/>
            <w:gridSpan w:val="2"/>
            <w:shd w:val="clear" w:color="auto" w:fill="auto"/>
            <w:tcMar>
              <w:top w:w="0" w:type="dxa"/>
              <w:bottom w:w="0" w:type="dxa"/>
            </w:tcMar>
          </w:tcPr>
          <w:p w14:paraId="748EBA87" w14:textId="528DBD9C" w:rsidR="00D95005" w:rsidRPr="007E0EA8" w:rsidRDefault="00D95005">
            <w:pPr>
              <w:pStyle w:val="NoSpacing"/>
              <w:spacing w:line="200" w:lineRule="exact"/>
            </w:pPr>
          </w:p>
        </w:tc>
      </w:tr>
    </w:tbl>
    <w:p w14:paraId="0AF1423B" w14:textId="77777777" w:rsidR="00D95005" w:rsidRPr="00D1726A" w:rsidRDefault="00D95005">
      <w:pPr>
        <w:pStyle w:val="Heading4"/>
      </w:pPr>
      <w:r>
        <w:t>State-significant pathways for key developments</w:t>
      </w:r>
    </w:p>
    <w:p w14:paraId="64868907" w14:textId="77777777" w:rsidR="00D95005" w:rsidRDefault="00D95005">
      <w:pPr>
        <w:pStyle w:val="BodyText"/>
      </w:pPr>
      <w:r w:rsidRPr="008F6AE5">
        <w:t xml:space="preserve">Developments </w:t>
      </w:r>
      <w:r>
        <w:t>that</w:t>
      </w:r>
      <w:r w:rsidRPr="008F6AE5">
        <w:t xml:space="preserve"> are </w:t>
      </w:r>
      <w:r w:rsidRPr="005A4A20">
        <w:t>important</w:t>
      </w:r>
      <w:r>
        <w:t xml:space="preserve"> in terms of their potential housing supply</w:t>
      </w:r>
      <w:r w:rsidRPr="005A4A20">
        <w:t xml:space="preserve"> </w:t>
      </w:r>
      <w:r>
        <w:t>and have impacts extending beyond a single council</w:t>
      </w:r>
      <w:r w:rsidRPr="008F6AE5">
        <w:t xml:space="preserve"> should be assessed through prioritised stat</w:t>
      </w:r>
      <w:r>
        <w:t>e-</w:t>
      </w:r>
      <w:r w:rsidRPr="008F6AE5">
        <w:t xml:space="preserve">led pathways. </w:t>
      </w:r>
      <w:r>
        <w:t>These types of developments typically require significant inputs from state-level government agencies and third parties. States and territories should be responsible for assessing these applications, to ensure the process is efficient and seamless. The PC’s initial view is that best practice for such pathways includes the following features:</w:t>
      </w:r>
    </w:p>
    <w:p w14:paraId="1843C935" w14:textId="77777777" w:rsidR="00D95005" w:rsidRDefault="00D95005" w:rsidP="00E11D04">
      <w:pPr>
        <w:pStyle w:val="ListBullet"/>
      </w:pPr>
      <w:r>
        <w:rPr>
          <w:b/>
          <w:bCs/>
        </w:rPr>
        <w:t>Ensure pathway is only used for developments with a clear need for state</w:t>
      </w:r>
      <w:r>
        <w:rPr>
          <w:b/>
          <w:bCs/>
        </w:rPr>
        <w:noBreakHyphen/>
        <w:t>led assessment.</w:t>
      </w:r>
      <w:r w:rsidRPr="002F1B51">
        <w:t xml:space="preserve"> </w:t>
      </w:r>
      <w:r>
        <w:t xml:space="preserve">Given that these pathways tend to involve resource intensive assessment, the pathway should only be reserved for projects with a clear need for state-level assessment. The criteria for what </w:t>
      </w:r>
      <w:proofErr w:type="gramStart"/>
      <w:r>
        <w:t>constitutes</w:t>
      </w:r>
      <w:proofErr w:type="gramEnd"/>
      <w:r>
        <w:t xml:space="preserve"> a state</w:t>
      </w:r>
      <w:r>
        <w:noBreakHyphen/>
        <w:t xml:space="preserve">significant development should be transparent and clearly defined. </w:t>
      </w:r>
    </w:p>
    <w:p w14:paraId="7B8AACCC" w14:textId="77777777" w:rsidR="00D95005" w:rsidRPr="005A4A20" w:rsidRDefault="00D95005" w:rsidP="00E11D04">
      <w:pPr>
        <w:pStyle w:val="ListBullet"/>
      </w:pPr>
      <w:r>
        <w:rPr>
          <w:b/>
          <w:bCs/>
        </w:rPr>
        <w:t>Clear decision</w:t>
      </w:r>
      <w:r>
        <w:rPr>
          <w:b/>
          <w:bCs/>
        </w:rPr>
        <w:noBreakHyphen/>
        <w:t>making powers for strategic assessment</w:t>
      </w:r>
      <w:r w:rsidRPr="002F1B51">
        <w:t xml:space="preserve">. </w:t>
      </w:r>
      <w:r>
        <w:t>Assessment authorities should be given the power to make decisions in cases of conflicting regulations or advice. Given the broad impacts of state</w:t>
      </w:r>
      <w:r>
        <w:noBreakHyphen/>
        <w:t>significant projects, assessment should not be bound by council planning schemes.</w:t>
      </w:r>
    </w:p>
    <w:p w14:paraId="1214174E" w14:textId="77777777" w:rsidR="00D95005" w:rsidRDefault="00D95005" w:rsidP="00E11D04">
      <w:pPr>
        <w:pStyle w:val="ListBullet"/>
      </w:pPr>
      <w:r w:rsidRPr="00D07FE9">
        <w:rPr>
          <w:b/>
          <w:bCs/>
        </w:rPr>
        <w:t>Early and targeted third</w:t>
      </w:r>
      <w:r>
        <w:rPr>
          <w:b/>
          <w:bCs/>
        </w:rPr>
        <w:noBreakHyphen/>
      </w:r>
      <w:r w:rsidRPr="00D07FE9">
        <w:rPr>
          <w:b/>
          <w:bCs/>
        </w:rPr>
        <w:t>party participation</w:t>
      </w:r>
      <w:r w:rsidRPr="002F1B51">
        <w:t xml:space="preserve">. </w:t>
      </w:r>
      <w:r>
        <w:t>Third parties (e.g. government agencies, councils, experts, community) should be consulted early to allow for meaningful input and avoid design ‘lock</w:t>
      </w:r>
      <w:r>
        <w:noBreakHyphen/>
        <w:t>in’. This consultation should be targeted to cases where third</w:t>
      </w:r>
      <w:r>
        <w:noBreakHyphen/>
        <w:t>party inputs are genuinely required for decision making.</w:t>
      </w:r>
    </w:p>
    <w:p w14:paraId="27CED54B" w14:textId="77777777" w:rsidR="00D95005" w:rsidRPr="00186B3C" w:rsidRDefault="00D95005">
      <w:pPr>
        <w:pStyle w:val="BodyText"/>
      </w:pPr>
      <w:r w:rsidRPr="00765BA8">
        <w:t xml:space="preserve">Some inquiry participants suggested </w:t>
      </w:r>
      <w:r>
        <w:t xml:space="preserve">that state and territory governments should make </w:t>
      </w:r>
      <w:r w:rsidRPr="00EB2BD7">
        <w:t>social and affordable housing</w:t>
      </w:r>
      <w:r>
        <w:t xml:space="preserve"> projects eligible for these state</w:t>
      </w:r>
      <w:r>
        <w:noBreakHyphen/>
        <w:t>led approval pathways (ACH, sub. 37, pp. 4–5; Mission Australia, sub. 10, pp. 2–3</w:t>
      </w:r>
      <w:r w:rsidRPr="0029147F">
        <w:t>;</w:t>
      </w:r>
      <w:r>
        <w:t xml:space="preserve"> Uniting </w:t>
      </w:r>
      <w:proofErr w:type="spellStart"/>
      <w:r>
        <w:t>Vic.Tas</w:t>
      </w:r>
      <w:proofErr w:type="spellEnd"/>
      <w:r>
        <w:t>, sub. 39, pp. 1–3</w:t>
      </w:r>
      <w:r w:rsidRPr="0029147F">
        <w:t>)</w:t>
      </w:r>
      <w:r>
        <w:t>. Participants cited Victoria’s Development Facilitation Program, a state</w:t>
      </w:r>
      <w:r>
        <w:noBreakHyphen/>
        <w:t>significant pathway for which provision of affordable housing is an inclusion criterion, as a positive example of reform in this area. This is something we will consider more in our final report</w:t>
      </w:r>
      <w:r w:rsidRPr="0029147F">
        <w:t xml:space="preserve">, </w:t>
      </w:r>
      <w:r>
        <w:t xml:space="preserve">alongside consideration of the impacts of inclusionary zoning for affordable housing on housing supply and affordability (chapter 2). </w:t>
      </w:r>
    </w:p>
    <w:p w14:paraId="44D95C70" w14:textId="4FEEB350" w:rsidR="00D95005" w:rsidRDefault="00D95005">
      <w:pPr>
        <w:pStyle w:val="BodyText"/>
      </w:pPr>
    </w:p>
    <w:tbl>
      <w:tblPr>
        <w:tblStyle w:val="Texttable-Paleblue"/>
        <w:tblW w:w="5000" w:type="pct"/>
        <w:tblLook w:val="04A0" w:firstRow="1" w:lastRow="0" w:firstColumn="1" w:lastColumn="0" w:noHBand="0" w:noVBand="1"/>
      </w:tblPr>
      <w:tblGrid>
        <w:gridCol w:w="713"/>
        <w:gridCol w:w="8925"/>
      </w:tblGrid>
      <w:tr w:rsidR="00D95005" w14:paraId="6519C37F" w14:textId="77777777">
        <w:trPr>
          <w:tblHeader/>
        </w:trPr>
        <w:tc>
          <w:tcPr>
            <w:tcW w:w="709" w:type="dxa"/>
            <w:shd w:val="clear" w:color="auto" w:fill="E7F6FD"/>
            <w:tcMar>
              <w:top w:w="0" w:type="dxa"/>
              <w:bottom w:w="0" w:type="dxa"/>
            </w:tcMar>
            <w:vAlign w:val="center"/>
          </w:tcPr>
          <w:p w14:paraId="61BC0562" w14:textId="77777777" w:rsidR="00D95005" w:rsidRDefault="00D95005">
            <w:pPr>
              <w:keepLines/>
              <w:jc w:val="center"/>
            </w:pPr>
            <w:r w:rsidRPr="00A51374">
              <w:rPr>
                <w:noProof/>
              </w:rPr>
              <w:lastRenderedPageBreak/>
              <w:drawing>
                <wp:inline distT="0" distB="0" distL="0" distR="0" wp14:anchorId="23E5256C" wp14:editId="28D96D1D">
                  <wp:extent cx="288000" cy="288000"/>
                  <wp:effectExtent l="0" t="0" r="0" b="0"/>
                  <wp:docPr id="1283109814" name="Graphic 12831098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0527727F" w14:textId="77777777" w:rsidR="00D95005" w:rsidRPr="00715040" w:rsidRDefault="00D95005">
            <w:pPr>
              <w:pStyle w:val="FindingRecRequesttitle"/>
            </w:pPr>
            <w:r>
              <w:t>Reform direction 3.3</w:t>
            </w:r>
          </w:p>
          <w:p w14:paraId="55602935" w14:textId="77777777" w:rsidR="00D95005" w:rsidRPr="00715040" w:rsidRDefault="00D95005">
            <w:pPr>
              <w:pStyle w:val="FindingRecRequesttitle"/>
            </w:pPr>
            <w:r>
              <w:t>Use state</w:t>
            </w:r>
            <w:r>
              <w:noBreakHyphen/>
              <w:t>significant pathways to approve developments with a clear need for state</w:t>
            </w:r>
            <w:r>
              <w:noBreakHyphen/>
              <w:t>led assessment</w:t>
            </w:r>
          </w:p>
        </w:tc>
      </w:tr>
      <w:tr w:rsidR="00D95005" w14:paraId="5B3B4C24" w14:textId="77777777">
        <w:tc>
          <w:tcPr>
            <w:tcW w:w="9583" w:type="dxa"/>
            <w:gridSpan w:val="2"/>
            <w:shd w:val="clear" w:color="auto" w:fill="E7F6FD"/>
            <w:tcMar>
              <w:top w:w="0" w:type="dxa"/>
            </w:tcMar>
          </w:tcPr>
          <w:p w14:paraId="286DD8E6" w14:textId="77777777" w:rsidR="00D95005" w:rsidRDefault="00D95005">
            <w:pPr>
              <w:pStyle w:val="BodyText"/>
              <w:keepLines/>
            </w:pPr>
            <w:r>
              <w:t>State and territory governments should improve the assessment of large, complex and important developments by:</w:t>
            </w:r>
          </w:p>
          <w:p w14:paraId="1926A967" w14:textId="77777777" w:rsidR="00D95005" w:rsidRDefault="00D95005" w:rsidP="00E11D04">
            <w:pPr>
              <w:pStyle w:val="ListBullet"/>
            </w:pPr>
            <w:r>
              <w:t>using state</w:t>
            </w:r>
            <w:r>
              <w:noBreakHyphen/>
              <w:t>significant pathways when a clear need for state</w:t>
            </w:r>
            <w:r>
              <w:noBreakHyphen/>
              <w:t xml:space="preserve">led assessment is demonstrated, with transparent and defined criteria for inclusion in the pathway </w:t>
            </w:r>
          </w:p>
          <w:p w14:paraId="7B3D9095" w14:textId="77777777" w:rsidR="00D95005" w:rsidRDefault="00D95005" w:rsidP="00E11D04">
            <w:pPr>
              <w:pStyle w:val="ListBullet"/>
            </w:pPr>
            <w:r>
              <w:t>giving assessment authorities clear decision</w:t>
            </w:r>
            <w:r>
              <w:noBreakHyphen/>
              <w:t>making powers, which are not bound by council planning schemes</w:t>
            </w:r>
          </w:p>
          <w:p w14:paraId="03E09EDE" w14:textId="77777777" w:rsidR="00D95005" w:rsidRPr="00767EAE" w:rsidRDefault="00D95005" w:rsidP="00E11D04">
            <w:pPr>
              <w:pStyle w:val="ListBullet"/>
            </w:pPr>
            <w:r>
              <w:t>using early and targeted consultation to meaningfully engage third parties where their inputs are required.</w:t>
            </w:r>
          </w:p>
        </w:tc>
      </w:tr>
      <w:tr w:rsidR="00D95005" w14:paraId="43CBCE3D" w14:textId="77777777">
        <w:trPr>
          <w:trHeight w:val="95"/>
        </w:trPr>
        <w:tc>
          <w:tcPr>
            <w:tcW w:w="9583" w:type="dxa"/>
            <w:gridSpan w:val="2"/>
            <w:shd w:val="clear" w:color="auto" w:fill="auto"/>
            <w:tcMar>
              <w:top w:w="0" w:type="dxa"/>
              <w:bottom w:w="0" w:type="dxa"/>
            </w:tcMar>
          </w:tcPr>
          <w:p w14:paraId="0CE4E257" w14:textId="1361F163" w:rsidR="00D95005" w:rsidRPr="007E0EA8" w:rsidRDefault="00D95005">
            <w:pPr>
              <w:pStyle w:val="NoSpacing"/>
              <w:spacing w:line="200" w:lineRule="exact"/>
            </w:pPr>
          </w:p>
        </w:tc>
      </w:tr>
    </w:tbl>
    <w:p w14:paraId="7CB3E18F" w14:textId="77777777" w:rsidR="00D95005" w:rsidRDefault="00D95005" w:rsidP="00174365">
      <w:pPr>
        <w:pStyle w:val="Heading3"/>
        <w:spacing w:before="360"/>
      </w:pPr>
      <w:r>
        <w:t>Enabling reforms – better supporting all tiers of assessment</w:t>
      </w:r>
    </w:p>
    <w:p w14:paraId="1BE11E44" w14:textId="77777777" w:rsidR="00D95005" w:rsidRDefault="00D95005">
      <w:pPr>
        <w:pStyle w:val="Heading4"/>
      </w:pPr>
      <w:r>
        <w:t>Coordination bodies should be used to improve the sequencing of assessments and inputs</w:t>
      </w:r>
    </w:p>
    <w:p w14:paraId="2652DF29" w14:textId="77777777" w:rsidR="00D95005" w:rsidRPr="0073671A" w:rsidRDefault="00D95005">
      <w:pPr>
        <w:pStyle w:val="BodyText"/>
        <w:rPr>
          <w:spacing w:val="-4"/>
        </w:rPr>
      </w:pPr>
      <w:r w:rsidRPr="0073671A">
        <w:rPr>
          <w:spacing w:val="-4"/>
        </w:rPr>
        <w:t xml:space="preserve">States and territories should establish (if they have not already) coordination bodies to sequence input from government agencies and external parties, where required in assessments. </w:t>
      </w:r>
      <w:r w:rsidRPr="0073671A" w:rsidDel="009F3D8C">
        <w:rPr>
          <w:spacing w:val="-4"/>
        </w:rPr>
        <w:t>Coordination</w:t>
      </w:r>
      <w:r w:rsidRPr="0073671A">
        <w:rPr>
          <w:spacing w:val="-4"/>
        </w:rPr>
        <w:t xml:space="preserve"> bodies should be used to minimise the friction of referrals and external input through the assessment process and ensure third parties adhere to input timeframes. They should be given the power to make decisions in the face of conflicting advice provided by different parties – so that the developer receives clear </w:t>
      </w:r>
      <w:r w:rsidRPr="0073671A" w:rsidDel="0071039A">
        <w:rPr>
          <w:spacing w:val="-4"/>
        </w:rPr>
        <w:t>information</w:t>
      </w:r>
      <w:r w:rsidRPr="0073671A">
        <w:rPr>
          <w:spacing w:val="-4"/>
        </w:rPr>
        <w:t xml:space="preserve"> about what is required. Coordination bodies should also be responsible for helping developers navigate getting approval for and setting up infrastructure connections. The specific roles and structure of coordination bodies should be adapted to best support the specific approval system in each state and territory.</w:t>
      </w:r>
    </w:p>
    <w:p w14:paraId="5447F42C" w14:textId="77777777" w:rsidR="00D95005" w:rsidRDefault="00D95005">
      <w:pPr>
        <w:pStyle w:val="Heading4"/>
      </w:pPr>
      <w:r>
        <w:t>Technology including AI should be used to support applicants and decision makers</w:t>
      </w:r>
    </w:p>
    <w:p w14:paraId="676F1260" w14:textId="77777777" w:rsidR="00D95005" w:rsidRPr="00216D61" w:rsidRDefault="00D95005">
      <w:pPr>
        <w:pStyle w:val="BodyText"/>
      </w:pPr>
      <w:r>
        <w:t>State, territories and local governments should continue using technology to digitise approvals systems, where they haven’t already. Wherever possible, and with appropriate governance, AI should be used to support decision makers in assessment of applications. AI</w:t>
      </w:r>
      <w:r>
        <w:noBreakHyphen/>
        <w:t>supported assessment of applications may become easier where there is less discretion in planning rules, for example in codified fast-track pathways (Property Council of Australia, sub. 73, p. 10; UDIA, sub. 83, p. 20)</w:t>
      </w:r>
      <w:r w:rsidRPr="00760869">
        <w:t>.</w:t>
      </w:r>
      <w:r>
        <w:t xml:space="preserve"> This could involve using AI as a triage tool to pre</w:t>
      </w:r>
      <w:r>
        <w:noBreakHyphen/>
        <w:t>assess applications against rules (Westpac, sub. 38, p. 6), identifying conflicting requirements (Landscaping Victoria, sub. 5, p. 6) or using AI to ensure consistency in decision making (HIA, sub. 25, p. 3).</w:t>
      </w:r>
      <w:r w:rsidDel="00C9025E">
        <w:t xml:space="preserve"> </w:t>
      </w:r>
      <w:r>
        <w:t>Councils should also use AI to provide advice to developers about the requirements of approvals processes, where practical to do so.</w:t>
      </w:r>
    </w:p>
    <w:p w14:paraId="2B20D746" w14:textId="77777777" w:rsidR="00D95005" w:rsidRDefault="00D95005">
      <w:pPr>
        <w:pStyle w:val="Heading4"/>
      </w:pPr>
      <w:r>
        <w:t>States and territories should be held accountable through transparent end</w:t>
      </w:r>
      <w:r>
        <w:noBreakHyphen/>
        <w:t>to</w:t>
      </w:r>
      <w:r>
        <w:noBreakHyphen/>
        <w:t>end reporting</w:t>
      </w:r>
    </w:p>
    <w:p w14:paraId="25EF6F93" w14:textId="1B8FE3CB" w:rsidR="00D95005" w:rsidRDefault="00D95005">
      <w:pPr>
        <w:pStyle w:val="BodyText"/>
      </w:pPr>
      <w:r w:rsidRPr="008F6AE5">
        <w:t xml:space="preserve">All states and territories should publish performance reporting which </w:t>
      </w:r>
      <w:r>
        <w:t>reflects</w:t>
      </w:r>
      <w:r w:rsidRPr="008F6AE5">
        <w:t xml:space="preserve"> the burden of the end</w:t>
      </w:r>
      <w:r>
        <w:noBreakHyphen/>
      </w:r>
      <w:r w:rsidRPr="008F6AE5">
        <w:t>to</w:t>
      </w:r>
      <w:r>
        <w:noBreakHyphen/>
      </w:r>
      <w:r w:rsidRPr="008F6AE5">
        <w:t xml:space="preserve">end approvals process. </w:t>
      </w:r>
      <w:r>
        <w:t>While some inquiry participants noted that reporting on approvals timeframes does not adequately reflect the number of homes being built, or the restrictiveness of land</w:t>
      </w:r>
      <w:r>
        <w:noBreakHyphen/>
        <w:t>use controls (Maltman and Gibbons, sub. 41, p. 14</w:t>
      </w:r>
      <w:r w:rsidR="0091472E">
        <w:t>–</w:t>
      </w:r>
      <w:r>
        <w:t xml:space="preserve">17; Mecone Group, sub. 65, p. 6; City of </w:t>
      </w:r>
      <w:r>
        <w:lastRenderedPageBreak/>
        <w:t xml:space="preserve">Boroondara, sub. 29, pp. 10–13), improving the transparency of approval timeframes is still important to understand how these processes burden developers. </w:t>
      </w:r>
    </w:p>
    <w:p w14:paraId="6D981764" w14:textId="77777777" w:rsidR="00D95005" w:rsidRDefault="00D95005">
      <w:pPr>
        <w:pStyle w:val="BodyText"/>
      </w:pPr>
      <w:r>
        <w:t>State and territory performance reporting should include information on approval timeframes (best practice is the number of days from the lodgement to the determination date, without ‘stop</w:t>
      </w:r>
      <w:r>
        <w:noBreakHyphen/>
        <w:t xml:space="preserve">clock’ periods), outcomes, referrals, appeals and number of RFIs. This information should also be broken down by council and development type. States and territories should also move towards providing this reporting on other approvals, such as rezoning and building approvals. </w:t>
      </w:r>
    </w:p>
    <w:p w14:paraId="7EC651FB" w14:textId="77777777" w:rsidR="00D95005" w:rsidRDefault="00D95005">
      <w:pPr>
        <w:pStyle w:val="BodyText"/>
      </w:pPr>
      <w:r>
        <w:t>If possible, states and territories should also report a measure of the time taken to receive all approvals necessary for the development. For example, measuring the time from when development approvals are submitted to when building approvals are issued may capture the burden from appeals or post</w:t>
      </w:r>
      <w:r>
        <w:noBreakHyphen/>
        <w:t xml:space="preserve">approval steps. Additionally, states and territories could report the number of </w:t>
      </w:r>
      <w:proofErr w:type="gramStart"/>
      <w:r>
        <w:t>post</w:t>
      </w:r>
      <w:proofErr w:type="gramEnd"/>
      <w:r>
        <w:noBreakHyphen/>
        <w:t xml:space="preserve">approval conditions for a development. </w:t>
      </w:r>
    </w:p>
    <w:p w14:paraId="194417BA" w14:textId="605BDDD1" w:rsidR="00D95005" w:rsidRDefault="00D95005">
      <w:pPr>
        <w:pStyle w:val="BodyText"/>
      </w:pPr>
    </w:p>
    <w:tbl>
      <w:tblPr>
        <w:tblStyle w:val="Texttable-Paleblue"/>
        <w:tblpPr w:leftFromText="180" w:rightFromText="180" w:vertAnchor="text" w:horzAnchor="margin" w:tblpY="-88"/>
        <w:tblOverlap w:val="never"/>
        <w:tblW w:w="4888" w:type="pct"/>
        <w:tblLook w:val="04A0" w:firstRow="1" w:lastRow="0" w:firstColumn="1" w:lastColumn="0" w:noHBand="0" w:noVBand="1"/>
      </w:tblPr>
      <w:tblGrid>
        <w:gridCol w:w="708"/>
        <w:gridCol w:w="8714"/>
      </w:tblGrid>
      <w:tr w:rsidR="00D95005" w14:paraId="0610AE69" w14:textId="77777777">
        <w:trPr>
          <w:tblHeader/>
        </w:trPr>
        <w:tc>
          <w:tcPr>
            <w:tcW w:w="708" w:type="dxa"/>
            <w:shd w:val="clear" w:color="auto" w:fill="E7F6FD"/>
            <w:tcMar>
              <w:top w:w="0" w:type="dxa"/>
              <w:bottom w:w="0" w:type="dxa"/>
            </w:tcMar>
            <w:vAlign w:val="center"/>
          </w:tcPr>
          <w:p w14:paraId="644EF2B1" w14:textId="77777777" w:rsidR="00D95005" w:rsidRDefault="00D95005">
            <w:pPr>
              <w:keepLines/>
              <w:jc w:val="center"/>
            </w:pPr>
            <w:r w:rsidRPr="00A51374">
              <w:rPr>
                <w:noProof/>
              </w:rPr>
              <w:drawing>
                <wp:inline distT="0" distB="0" distL="0" distR="0" wp14:anchorId="383BB2F3" wp14:editId="654CDDB5">
                  <wp:extent cx="288000" cy="288000"/>
                  <wp:effectExtent l="0" t="0" r="0" b="0"/>
                  <wp:docPr id="1429316506" name="Graphic 14293165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714" w:type="dxa"/>
            <w:shd w:val="clear" w:color="auto" w:fill="E7F6FD"/>
            <w:tcMar>
              <w:top w:w="0" w:type="dxa"/>
              <w:bottom w:w="0" w:type="dxa"/>
            </w:tcMar>
            <w:vAlign w:val="center"/>
          </w:tcPr>
          <w:p w14:paraId="43C14C03" w14:textId="38A29119" w:rsidR="00D95005" w:rsidRPr="00715040" w:rsidRDefault="00D95005">
            <w:pPr>
              <w:pStyle w:val="FindingRecRequesttitle"/>
            </w:pPr>
            <w:r>
              <w:t>Reform direction</w:t>
            </w:r>
            <w:r w:rsidRPr="00715040">
              <w:t xml:space="preserve"> </w:t>
            </w:r>
            <w:r w:rsidR="00CB06D8">
              <w:rPr>
                <w:noProof/>
              </w:rPr>
              <w:t>3</w:t>
            </w:r>
            <w:r w:rsidRPr="00715040">
              <w:t>.</w:t>
            </w:r>
            <w:r>
              <w:t>4</w:t>
            </w:r>
          </w:p>
          <w:p w14:paraId="698DF584" w14:textId="77777777" w:rsidR="00D95005" w:rsidRPr="00715040" w:rsidRDefault="00D95005">
            <w:pPr>
              <w:pStyle w:val="FindingRecRequesttitle"/>
            </w:pPr>
            <w:r>
              <w:t xml:space="preserve">Improve housing approval assessments with better coordination of referrals, use of technology including AI, and transparent reporting </w:t>
            </w:r>
          </w:p>
        </w:tc>
      </w:tr>
      <w:tr w:rsidR="00D95005" w14:paraId="39344170" w14:textId="77777777">
        <w:tc>
          <w:tcPr>
            <w:tcW w:w="9422" w:type="dxa"/>
            <w:gridSpan w:val="2"/>
            <w:shd w:val="clear" w:color="auto" w:fill="E7F6FD"/>
            <w:tcMar>
              <w:top w:w="0" w:type="dxa"/>
            </w:tcMar>
          </w:tcPr>
          <w:p w14:paraId="48FFA35F" w14:textId="77777777" w:rsidR="00D95005" w:rsidRDefault="00D95005">
            <w:pPr>
              <w:pStyle w:val="BodyText"/>
            </w:pPr>
            <w:r>
              <w:t>State, territory and local governments should improve housing approval assessments by:</w:t>
            </w:r>
          </w:p>
          <w:p w14:paraId="122B5A51" w14:textId="77777777" w:rsidR="00D95005" w:rsidRDefault="00D95005" w:rsidP="00E11D04">
            <w:pPr>
              <w:pStyle w:val="ListBullet"/>
            </w:pPr>
            <w:r>
              <w:t>u</w:t>
            </w:r>
            <w:r w:rsidRPr="464081CA">
              <w:t>sing coordination bodies to manage and sequence referrals from government agencies and third parties. These bodies should have decision</w:t>
            </w:r>
            <w:r w:rsidRPr="464081CA">
              <w:rPr>
                <w:rFonts w:ascii="Cambria Math" w:hAnsi="Cambria Math" w:cs="Cambria Math"/>
              </w:rPr>
              <w:t>‑</w:t>
            </w:r>
            <w:r w:rsidRPr="464081CA">
              <w:t>making power in the event of conflicting advice</w:t>
            </w:r>
          </w:p>
          <w:p w14:paraId="243490FF" w14:textId="77777777" w:rsidR="00D95005" w:rsidRPr="00EE3E36" w:rsidRDefault="00D95005" w:rsidP="00E11D04">
            <w:pPr>
              <w:pStyle w:val="ListBullet"/>
            </w:pPr>
            <w:r>
              <w:t>i</w:t>
            </w:r>
            <w:r w:rsidRPr="00EE3E36">
              <w:t>ncreasing use of</w:t>
            </w:r>
            <w:r>
              <w:t xml:space="preserve"> technology including</w:t>
            </w:r>
            <w:r w:rsidRPr="00EE3E36">
              <w:t xml:space="preserve"> AI to help decision</w:t>
            </w:r>
            <w:r>
              <w:t xml:space="preserve"> </w:t>
            </w:r>
            <w:r w:rsidRPr="00EE3E36">
              <w:t>makers and applicants understand regulatory requirements and identify potential problems with applications</w:t>
            </w:r>
          </w:p>
          <w:p w14:paraId="0FAB49A0" w14:textId="77777777" w:rsidR="00D95005" w:rsidRPr="00767EAE" w:rsidRDefault="00D95005" w:rsidP="00E11D04">
            <w:pPr>
              <w:pStyle w:val="ListBullet"/>
            </w:pPr>
            <w:r>
              <w:t>s</w:t>
            </w:r>
            <w:r w:rsidRPr="00EE3E36">
              <w:t>trengthening performance reporting so that it more meaningfully captures the end</w:t>
            </w:r>
            <w:r>
              <w:noBreakHyphen/>
            </w:r>
            <w:r w:rsidRPr="00EE3E36">
              <w:t>to</w:t>
            </w:r>
            <w:r>
              <w:noBreakHyphen/>
            </w:r>
            <w:r w:rsidRPr="00EE3E36">
              <w:t>end burden of the approvals process. This includes public reporting on outcomes by council.</w:t>
            </w:r>
          </w:p>
        </w:tc>
      </w:tr>
      <w:tr w:rsidR="00D95005" w14:paraId="5687E023" w14:textId="77777777">
        <w:tc>
          <w:tcPr>
            <w:tcW w:w="9422" w:type="dxa"/>
            <w:gridSpan w:val="2"/>
            <w:shd w:val="clear" w:color="auto" w:fill="auto"/>
            <w:tcMar>
              <w:top w:w="0" w:type="dxa"/>
              <w:bottom w:w="0" w:type="dxa"/>
            </w:tcMar>
          </w:tcPr>
          <w:p w14:paraId="24BF3603" w14:textId="3F597DD5" w:rsidR="00D95005" w:rsidRPr="007E0EA8" w:rsidRDefault="00D95005">
            <w:pPr>
              <w:pStyle w:val="NoSpacing"/>
              <w:spacing w:line="200" w:lineRule="exact"/>
            </w:pPr>
          </w:p>
        </w:tc>
      </w:tr>
    </w:tbl>
    <w:p w14:paraId="04F4277D" w14:textId="77777777" w:rsidR="00D95005" w:rsidRDefault="00D95005">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D95005" w14:paraId="2BF598D1" w14:textId="77777777">
        <w:trPr>
          <w:trHeight w:val="765"/>
          <w:tblHeader/>
        </w:trPr>
        <w:tc>
          <w:tcPr>
            <w:tcW w:w="366" w:type="pct"/>
            <w:shd w:val="clear" w:color="auto" w:fill="EBEBEB"/>
            <w:tcMar>
              <w:bottom w:w="0" w:type="dxa"/>
            </w:tcMar>
            <w:vAlign w:val="center"/>
          </w:tcPr>
          <w:p w14:paraId="259BA50D" w14:textId="77777777" w:rsidR="00D95005" w:rsidRDefault="00D95005">
            <w:pPr>
              <w:pStyle w:val="NoSpacing"/>
              <w:keepNext/>
              <w:keepLines/>
              <w:jc w:val="right"/>
            </w:pPr>
            <w:r w:rsidRPr="00A51374">
              <w:rPr>
                <w:noProof/>
              </w:rPr>
              <w:drawing>
                <wp:inline distT="0" distB="0" distL="0" distR="0" wp14:anchorId="50E242E4" wp14:editId="132D1260">
                  <wp:extent cx="288000" cy="288000"/>
                  <wp:effectExtent l="0" t="0" r="0" b="0"/>
                  <wp:docPr id="1118045417" name="Graphic 1118045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5F17B7DE" w14:textId="191CB9F3" w:rsidR="00D95005" w:rsidRPr="002530FF" w:rsidRDefault="00D95005">
            <w:pPr>
              <w:pStyle w:val="FindingRecRequesttitle"/>
            </w:pPr>
            <w:r w:rsidRPr="000B0B71">
              <w:t xml:space="preserve">Information request </w:t>
            </w:r>
            <w:r w:rsidR="00CB06D8">
              <w:rPr>
                <w:noProof/>
              </w:rPr>
              <w:t>3</w:t>
            </w:r>
            <w:r w:rsidRPr="00DF7217">
              <w:t>.</w:t>
            </w:r>
            <w:r w:rsidR="00CB06D8">
              <w:rPr>
                <w:noProof/>
              </w:rPr>
              <w:t>4</w:t>
            </w:r>
          </w:p>
        </w:tc>
      </w:tr>
      <w:tr w:rsidR="00D95005" w:rsidRPr="00D06AF9" w14:paraId="7132AFDB" w14:textId="77777777">
        <w:tc>
          <w:tcPr>
            <w:tcW w:w="5000" w:type="pct"/>
            <w:gridSpan w:val="2"/>
            <w:shd w:val="clear" w:color="auto" w:fill="EBEBEB"/>
          </w:tcPr>
          <w:p w14:paraId="07F44340" w14:textId="77777777" w:rsidR="00D95005" w:rsidRPr="00D06AF9" w:rsidRDefault="00D95005" w:rsidP="00E11D04">
            <w:pPr>
              <w:pStyle w:val="ListBullet"/>
              <w:rPr>
                <w:color w:val="265A9A" w:themeColor="background2"/>
              </w:rPr>
            </w:pPr>
            <w:r w:rsidRPr="00D06AF9">
              <w:rPr>
                <w:color w:val="265A9A" w:themeColor="background2"/>
              </w:rPr>
              <w:t xml:space="preserve">What examples are there of best practice strategic planning improving the process for housing approval decisions at a state, territory or local government level? </w:t>
            </w:r>
          </w:p>
          <w:p w14:paraId="40C4A001" w14:textId="77777777" w:rsidR="00D95005" w:rsidRPr="00D06AF9" w:rsidRDefault="00D95005" w:rsidP="00E11D04">
            <w:pPr>
              <w:pStyle w:val="ListBullet"/>
              <w:rPr>
                <w:color w:val="265A9A" w:themeColor="background2"/>
              </w:rPr>
            </w:pPr>
            <w:r w:rsidRPr="00D06AF9">
              <w:rPr>
                <w:color w:val="265A9A" w:themeColor="background2"/>
              </w:rPr>
              <w:t>Do the features of tiered assessments we have identified match best practice? What sort of developments should be included in each tier?</w:t>
            </w:r>
          </w:p>
          <w:p w14:paraId="523B1137" w14:textId="77777777" w:rsidR="00D95005" w:rsidRPr="00D06AF9" w:rsidRDefault="00D95005" w:rsidP="00E11D04">
            <w:pPr>
              <w:pStyle w:val="ListBullet"/>
              <w:rPr>
                <w:color w:val="265A9A" w:themeColor="background2"/>
              </w:rPr>
            </w:pPr>
            <w:r w:rsidRPr="00D06AF9">
              <w:rPr>
                <w:color w:val="265A9A" w:themeColor="background2"/>
              </w:rPr>
              <w:t>How effective has technology including AI been where it has been used to assist with approvals? How can it be better utilised?</w:t>
            </w:r>
          </w:p>
          <w:p w14:paraId="3F10566E" w14:textId="77777777" w:rsidR="00D95005" w:rsidRPr="00D06AF9" w:rsidRDefault="00D95005" w:rsidP="00E11D04">
            <w:pPr>
              <w:pStyle w:val="ListBullet"/>
              <w:rPr>
                <w:color w:val="265A9A" w:themeColor="background2"/>
              </w:rPr>
            </w:pPr>
            <w:r w:rsidRPr="00D06AF9">
              <w:rPr>
                <w:color w:val="265A9A" w:themeColor="background2"/>
              </w:rPr>
              <w:t>What are the best ways to enhance how states and territories track the timing and burden of approvals?</w:t>
            </w:r>
          </w:p>
          <w:p w14:paraId="70D07F91" w14:textId="77777777" w:rsidR="00D95005" w:rsidRPr="00D06AF9" w:rsidRDefault="00D95005" w:rsidP="00E11D04">
            <w:pPr>
              <w:pStyle w:val="ListBullet"/>
              <w:rPr>
                <w:color w:val="265A9A" w:themeColor="background2"/>
              </w:rPr>
            </w:pPr>
            <w:r w:rsidRPr="00D06AF9">
              <w:rPr>
                <w:color w:val="265A9A" w:themeColor="background2"/>
              </w:rPr>
              <w:t xml:space="preserve">What reforms should each state and territory prioritise to reduce the burden of the approvals process? </w:t>
            </w:r>
          </w:p>
          <w:p w14:paraId="09BAD411" w14:textId="77777777" w:rsidR="00D95005" w:rsidRPr="00D06AF9" w:rsidRDefault="00D95005" w:rsidP="00E11D04">
            <w:pPr>
              <w:pStyle w:val="ListBullet"/>
              <w:rPr>
                <w:color w:val="265A9A" w:themeColor="background2"/>
              </w:rPr>
            </w:pPr>
            <w:r w:rsidRPr="00D06AF9">
              <w:rPr>
                <w:color w:val="265A9A" w:themeColor="background2"/>
              </w:rPr>
              <w:t>How can federal, state and territory governments incentivise councils to approve developments efficiently, and encourage those that are slow or are obstructing approval pathways to improve?</w:t>
            </w:r>
          </w:p>
          <w:p w14:paraId="5F66435A" w14:textId="77777777" w:rsidR="00D95005" w:rsidRPr="00D06AF9" w:rsidRDefault="00D95005" w:rsidP="00E11D04">
            <w:pPr>
              <w:pStyle w:val="ListBullet"/>
              <w:rPr>
                <w:color w:val="265A9A" w:themeColor="background2"/>
              </w:rPr>
            </w:pPr>
            <w:r w:rsidRPr="00D06AF9">
              <w:rPr>
                <w:color w:val="265A9A" w:themeColor="background2"/>
              </w:rPr>
              <w:t>What evidence is there about the benefits of including social and affordable housing in state</w:t>
            </w:r>
            <w:r w:rsidRPr="00D06AF9">
              <w:rPr>
                <w:color w:val="265A9A" w:themeColor="background2"/>
              </w:rPr>
              <w:noBreakHyphen/>
              <w:t>significant, or other streamlined, pathways?</w:t>
            </w:r>
          </w:p>
        </w:tc>
      </w:tr>
      <w:tr w:rsidR="00D95005" w14:paraId="217AC521" w14:textId="77777777">
        <w:tc>
          <w:tcPr>
            <w:tcW w:w="5000" w:type="pct"/>
            <w:gridSpan w:val="2"/>
            <w:tcMar>
              <w:bottom w:w="0" w:type="dxa"/>
            </w:tcMar>
          </w:tcPr>
          <w:p w14:paraId="40914E6F" w14:textId="2FC9FB89" w:rsidR="00D95005" w:rsidRDefault="00D95005">
            <w:pPr>
              <w:pStyle w:val="NoSpacing"/>
              <w:spacing w:line="200" w:lineRule="atLeast"/>
            </w:pPr>
          </w:p>
        </w:tc>
      </w:tr>
    </w:tbl>
    <w:p w14:paraId="2CDDCD91" w14:textId="77777777" w:rsidR="00D95005" w:rsidRDefault="00D95005">
      <w:pPr>
        <w:pStyle w:val="Heading2"/>
      </w:pPr>
      <w:bookmarkStart w:id="33" w:name="_Toc235103156"/>
      <w:r>
        <w:lastRenderedPageBreak/>
        <w:t>Inquiry next steps on housing approvals regulation</w:t>
      </w:r>
      <w:bookmarkEnd w:id="33"/>
      <w:r>
        <w:t xml:space="preserve"> </w:t>
      </w:r>
    </w:p>
    <w:p w14:paraId="5423FFCD" w14:textId="77777777" w:rsidR="00D95005" w:rsidRDefault="00D95005">
      <w:pPr>
        <w:pStyle w:val="BodyText"/>
      </w:pPr>
      <w:r>
        <w:t xml:space="preserve">The interim report provides broad reform directions based on existing evidence on best practice for housing approvals, and where there is scope for jurisdictions to improve. The report aims to give policy makers and stakeholders an understanding of where the evidence stands and what the gaps are. </w:t>
      </w:r>
    </w:p>
    <w:p w14:paraId="04194A4C" w14:textId="77777777" w:rsidR="00D95005" w:rsidRDefault="00D95005">
      <w:pPr>
        <w:pStyle w:val="BodyText"/>
      </w:pPr>
      <w:r>
        <w:t>Our final report will provide more specific recommendations for each state and territory, based on analysis and consultation. While there are many examples of problems with approvals systems, systematic and quantitative data on specific problems is hard to find. The PC plans to add to the evidence base in this area by conducting a survey of developers and housing builders to identify timeframes and regulatory burdens in more detail.</w:t>
      </w:r>
    </w:p>
    <w:p w14:paraId="5943EB86" w14:textId="77777777" w:rsidR="00D95005" w:rsidRDefault="00D95005">
      <w:pPr>
        <w:pStyle w:val="BodyText"/>
        <w:rPr>
          <w:spacing w:val="-2"/>
        </w:rPr>
      </w:pPr>
      <w:r w:rsidRPr="00174365">
        <w:rPr>
          <w:spacing w:val="-2"/>
        </w:rPr>
        <w:t>While we have provided general directions, the effects of reforms are likely to vary significantly by jurisdiction. Each state and territory differs in how housing applications are assessed and are variously advanced in different aspects of best practice reform as outlined above. We seek further information on the most effective steps for each jurisdiction to reduce the burden of approvals to inform our final report.</w:t>
      </w:r>
    </w:p>
    <w:p w14:paraId="1E2D2CA6" w14:textId="77777777" w:rsidR="00C42F53" w:rsidRDefault="00C42F53">
      <w:pPr>
        <w:spacing w:before="0" w:after="160" w:line="259" w:lineRule="auto"/>
        <w:rPr>
          <w:spacing w:val="-2"/>
        </w:rPr>
        <w:sectPr w:rsidR="00C42F53" w:rsidSect="00D95005">
          <w:pgSz w:w="11906" w:h="16838" w:code="9"/>
          <w:pgMar w:top="1134" w:right="1134" w:bottom="1134" w:left="1134" w:header="794" w:footer="510" w:gutter="0"/>
          <w:cols w:space="708"/>
          <w:docGrid w:linePitch="360"/>
        </w:sectPr>
      </w:pPr>
    </w:p>
    <w:p w14:paraId="180B8991" w14:textId="77777777" w:rsidR="00CB06D8" w:rsidRPr="00174365" w:rsidRDefault="00CB06D8">
      <w:pPr>
        <w:pStyle w:val="BodyText"/>
        <w:rPr>
          <w:spacing w:val="-2"/>
        </w:rPr>
      </w:pPr>
    </w:p>
    <w:p w14:paraId="03B1699B" w14:textId="77777777" w:rsidR="00DB48E6" w:rsidRDefault="00DB48E6" w:rsidP="00E76EEC">
      <w:pPr>
        <w:pStyle w:val="BodyText"/>
        <w:sectPr w:rsidR="00DB48E6" w:rsidSect="00D95005">
          <w:headerReference w:type="even" r:id="rId84"/>
          <w:pgSz w:w="11906" w:h="16838" w:code="9"/>
          <w:pgMar w:top="1134" w:right="1134" w:bottom="1134" w:left="1134" w:header="794" w:footer="510" w:gutter="0"/>
          <w:cols w:space="708"/>
          <w:docGrid w:linePitch="360"/>
        </w:sectPr>
      </w:pPr>
    </w:p>
    <w:p w14:paraId="16EB2AD9" w14:textId="77777777" w:rsidR="00CC2DD4" w:rsidRPr="0053246E" w:rsidRDefault="00CC2DD4">
      <w:pPr>
        <w:pStyle w:val="Heading1"/>
      </w:pPr>
      <w:bookmarkStart w:id="34" w:name="_Toc235103157"/>
      <w:r>
        <w:lastRenderedPageBreak/>
        <w:t>Delivering housing-enabling infrastructure</w:t>
      </w:r>
      <w:bookmarkEnd w:id="34"/>
    </w:p>
    <w:tbl>
      <w:tblPr>
        <w:tblStyle w:val="Texttable-Paleblue"/>
        <w:tblW w:w="5000" w:type="pct"/>
        <w:shd w:val="clear" w:color="auto" w:fill="E7F6FD"/>
        <w:tblLook w:val="04A0" w:firstRow="1" w:lastRow="0" w:firstColumn="1" w:lastColumn="0" w:noHBand="0" w:noVBand="1"/>
      </w:tblPr>
      <w:tblGrid>
        <w:gridCol w:w="577"/>
        <w:gridCol w:w="9061"/>
      </w:tblGrid>
      <w:tr w:rsidR="00CC2DD4" w:rsidRPr="002F759A" w14:paraId="24B82C26" w14:textId="77777777">
        <w:tc>
          <w:tcPr>
            <w:tcW w:w="9638" w:type="dxa"/>
            <w:gridSpan w:val="2"/>
            <w:shd w:val="clear" w:color="auto" w:fill="E7F6FD"/>
            <w:tcMar>
              <w:left w:w="170" w:type="dxa"/>
            </w:tcMar>
          </w:tcPr>
          <w:p w14:paraId="56D7828C" w14:textId="77777777" w:rsidR="00CC2DD4" w:rsidRPr="002F759A" w:rsidRDefault="00CC2DD4">
            <w:pPr>
              <w:pStyle w:val="Keypoints-heading"/>
            </w:pPr>
            <w:r w:rsidRPr="002F759A">
              <w:t>Key points</w:t>
            </w:r>
          </w:p>
        </w:tc>
      </w:tr>
      <w:tr w:rsidR="00CC2DD4" w14:paraId="4D4CF3D9" w14:textId="77777777">
        <w:tc>
          <w:tcPr>
            <w:tcW w:w="577" w:type="dxa"/>
            <w:shd w:val="clear" w:color="auto" w:fill="E7F6FD"/>
            <w:tcMar>
              <w:top w:w="0" w:type="dxa"/>
              <w:bottom w:w="0" w:type="dxa"/>
              <w:right w:w="113" w:type="dxa"/>
            </w:tcMar>
          </w:tcPr>
          <w:p w14:paraId="488267E0" w14:textId="77777777" w:rsidR="00CC2DD4" w:rsidRDefault="00CC2DD4" w:rsidP="000C6B77">
            <w:pPr>
              <w:pStyle w:val="KeyPointsicon"/>
            </w:pPr>
            <w:r w:rsidRPr="00A51374">
              <w:rPr>
                <w:noProof/>
              </w:rPr>
              <w:drawing>
                <wp:inline distT="0" distB="0" distL="0" distR="0" wp14:anchorId="644D2645" wp14:editId="7EC20439">
                  <wp:extent cx="180000" cy="180000"/>
                  <wp:effectExtent l="0" t="0" r="0" b="0"/>
                  <wp:docPr id="482839187" name="Graphic 482839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4DD7CD72" w14:textId="77777777" w:rsidR="00CC2DD4" w:rsidRDefault="00CC2DD4">
            <w:pPr>
              <w:pStyle w:val="KeyPoints-Bold"/>
            </w:pPr>
            <w:r>
              <w:t>Housing-enabling infrastructure is essential to support new housing supply. When utility connections, transport links and social infrastructure are provided in a timely</w:t>
            </w:r>
            <w:r w:rsidDel="004C5666">
              <w:t xml:space="preserve"> </w:t>
            </w:r>
            <w:r>
              <w:t xml:space="preserve">and coordinated way, it can enable faster delivery of new homes and maintain liveability for existing residents. </w:t>
            </w:r>
          </w:p>
          <w:p w14:paraId="6AF17CC8" w14:textId="77777777" w:rsidR="00CC2DD4" w:rsidRPr="00327C1B" w:rsidRDefault="00CC2DD4">
            <w:pPr>
              <w:pStyle w:val="KeyPoints-Bullet"/>
              <w:rPr>
                <w:rFonts w:cstheme="minorHAnsi"/>
              </w:rPr>
            </w:pPr>
            <w:r w:rsidRPr="00327C1B">
              <w:rPr>
                <w:rFonts w:cstheme="minorHAnsi"/>
              </w:rPr>
              <w:t>Housing-enabling infrastructure regulation should ensure infrastructure arrangements are simple, certain, transparent, timely, consistent and efficient.</w:t>
            </w:r>
          </w:p>
        </w:tc>
      </w:tr>
      <w:tr w:rsidR="00CC2DD4" w14:paraId="692315DE" w14:textId="77777777">
        <w:tc>
          <w:tcPr>
            <w:tcW w:w="577" w:type="dxa"/>
            <w:shd w:val="clear" w:color="auto" w:fill="E7F6FD"/>
            <w:tcMar>
              <w:top w:w="0" w:type="dxa"/>
              <w:bottom w:w="0" w:type="dxa"/>
              <w:right w:w="113" w:type="dxa"/>
            </w:tcMar>
          </w:tcPr>
          <w:p w14:paraId="1C33BAF4" w14:textId="77777777" w:rsidR="00CC2DD4" w:rsidRPr="00A51374" w:rsidRDefault="00CC2DD4">
            <w:pPr>
              <w:pStyle w:val="KeyPointsicon"/>
            </w:pPr>
            <w:r w:rsidRPr="00F31E73">
              <w:rPr>
                <w:noProof/>
              </w:rPr>
              <w:drawing>
                <wp:inline distT="0" distB="0" distL="0" distR="0" wp14:anchorId="7428F2C5" wp14:editId="61F65757">
                  <wp:extent cx="180000" cy="180000"/>
                  <wp:effectExtent l="0" t="0" r="0" b="0"/>
                  <wp:docPr id="604329409" name="Graphic 604329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0797E46E" w14:textId="77777777" w:rsidR="00CC2DD4" w:rsidRPr="00610627" w:rsidRDefault="00CC2DD4">
            <w:pPr>
              <w:pStyle w:val="KeyPoints-Bold"/>
            </w:pPr>
            <w:r>
              <w:t>To support timely delivery of new homes, infrastructure planning</w:t>
            </w:r>
            <w:r w:rsidDel="00054587">
              <w:t xml:space="preserve"> </w:t>
            </w:r>
            <w:r>
              <w:t>must be housing-oriented, aligned across levels of government and coordinated with relevant parties. It should be sufficiently detailed to provide certainty for developers.</w:t>
            </w:r>
          </w:p>
        </w:tc>
      </w:tr>
      <w:tr w:rsidR="00CC2DD4" w14:paraId="5EE44A5F" w14:textId="77777777">
        <w:tc>
          <w:tcPr>
            <w:tcW w:w="577" w:type="dxa"/>
            <w:shd w:val="clear" w:color="auto" w:fill="E7F6FD"/>
            <w:tcMar>
              <w:top w:w="0" w:type="dxa"/>
              <w:bottom w:w="0" w:type="dxa"/>
              <w:right w:w="113" w:type="dxa"/>
            </w:tcMar>
          </w:tcPr>
          <w:p w14:paraId="020AD18D" w14:textId="77777777" w:rsidR="00CC2DD4" w:rsidRPr="00A51374" w:rsidRDefault="00CC2DD4">
            <w:pPr>
              <w:pStyle w:val="KeyPointsicon"/>
            </w:pPr>
            <w:r w:rsidRPr="00F31E73">
              <w:rPr>
                <w:noProof/>
              </w:rPr>
              <w:drawing>
                <wp:inline distT="0" distB="0" distL="0" distR="0" wp14:anchorId="42819479" wp14:editId="0029C711">
                  <wp:extent cx="180000" cy="180000"/>
                  <wp:effectExtent l="0" t="0" r="0" b="0"/>
                  <wp:docPr id="2107452402" name="Graphic 21074524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7415B0E9" w14:textId="77777777" w:rsidR="00CC2DD4" w:rsidRDefault="00CC2DD4">
            <w:pPr>
              <w:pStyle w:val="KeyPoints-Bold"/>
            </w:pPr>
            <w:r>
              <w:t>In theory, developer contributions should not significantly impact development feasibility, but in practice, how charges are administered can increase risk, uncertainty and reduce feasibility of developments.</w:t>
            </w:r>
          </w:p>
          <w:p w14:paraId="7F30DEAB" w14:textId="77777777" w:rsidR="00CC2DD4" w:rsidRPr="00581BBD" w:rsidRDefault="00CC2DD4" w:rsidP="00174365">
            <w:pPr>
              <w:pStyle w:val="KeyPoints-Bullet"/>
              <w:rPr>
                <w:spacing w:val="-2"/>
              </w:rPr>
            </w:pPr>
            <w:r w:rsidRPr="00581BBD">
              <w:rPr>
                <w:spacing w:val="-2"/>
              </w:rPr>
              <w:t>Developer contributions should be cost-</w:t>
            </w:r>
            <w:proofErr w:type="gramStart"/>
            <w:r w:rsidRPr="00581BBD">
              <w:rPr>
                <w:spacing w:val="-2"/>
              </w:rPr>
              <w:t>reflective, and</w:t>
            </w:r>
            <w:proofErr w:type="gramEnd"/>
            <w:r w:rsidRPr="00581BBD">
              <w:rPr>
                <w:spacing w:val="-2"/>
              </w:rPr>
              <w:t xml:space="preserve"> only be levied when the infrastructure has a clear link to the development and the share of benefits to residents of the development can be apportioned.</w:t>
            </w:r>
          </w:p>
          <w:p w14:paraId="10DB38FD" w14:textId="77777777" w:rsidR="00CC2DD4" w:rsidRPr="00174365" w:rsidRDefault="00CC2DD4" w:rsidP="00174365">
            <w:pPr>
              <w:pStyle w:val="KeyPoints-Bullet"/>
            </w:pPr>
            <w:r w:rsidRPr="00174365">
              <w:t>Contributions should be estimated upfront to allow developers to factor costs into feasibility assessments prior to acquiring land, and the payment timing should support development cashflows.</w:t>
            </w:r>
          </w:p>
          <w:p w14:paraId="452606EB" w14:textId="77777777" w:rsidR="00CC2DD4" w:rsidRPr="00327C1B" w:rsidRDefault="00CC2DD4" w:rsidP="00174365">
            <w:pPr>
              <w:pStyle w:val="KeyPoints-Bullet"/>
            </w:pPr>
            <w:r w:rsidRPr="00174365">
              <w:t>There are trade-offs and complexities in practice, meaning there are cases when alternative contribution approaches can be appropriate.</w:t>
            </w:r>
          </w:p>
        </w:tc>
      </w:tr>
      <w:tr w:rsidR="00CC2DD4" w14:paraId="0EF15605" w14:textId="77777777">
        <w:tc>
          <w:tcPr>
            <w:tcW w:w="577" w:type="dxa"/>
            <w:shd w:val="clear" w:color="auto" w:fill="E7F6FD"/>
            <w:tcMar>
              <w:top w:w="0" w:type="dxa"/>
              <w:bottom w:w="0" w:type="dxa"/>
              <w:right w:w="113" w:type="dxa"/>
            </w:tcMar>
          </w:tcPr>
          <w:p w14:paraId="77061904" w14:textId="77777777" w:rsidR="00CC2DD4" w:rsidRPr="00A51374" w:rsidRDefault="00CC2DD4">
            <w:pPr>
              <w:pStyle w:val="KeyPointsicon"/>
            </w:pPr>
            <w:r w:rsidRPr="00F31E73">
              <w:rPr>
                <w:noProof/>
              </w:rPr>
              <w:drawing>
                <wp:inline distT="0" distB="0" distL="0" distR="0" wp14:anchorId="5DC69A3C" wp14:editId="2717DF71">
                  <wp:extent cx="180000" cy="180000"/>
                  <wp:effectExtent l="0" t="0" r="0" b="0"/>
                  <wp:docPr id="2016704978" name="Graphic 20167049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3FFAADFB" w14:textId="77777777" w:rsidR="00CC2DD4" w:rsidRPr="00610627" w:rsidRDefault="00CC2DD4">
            <w:pPr>
              <w:pStyle w:val="KeyPoints-Bold"/>
            </w:pPr>
            <w:r>
              <w:t>The Productivity Commission is seeking feedback on how best practice principles for delivering housing-enabling infrastructure can be translated into implementable reform priorities for each level of government.</w:t>
            </w:r>
          </w:p>
        </w:tc>
      </w:tr>
    </w:tbl>
    <w:p w14:paraId="5B7DBD81" w14:textId="1B8BC2C9" w:rsidR="00CC2DD4" w:rsidRPr="00DF1832" w:rsidRDefault="00CC2DD4" w:rsidP="00174365">
      <w:pPr>
        <w:pStyle w:val="BodyText"/>
      </w:pPr>
    </w:p>
    <w:p w14:paraId="01DBE6D8" w14:textId="77777777" w:rsidR="00CC2DD4" w:rsidRDefault="00CC2DD4">
      <w:pPr>
        <w:pStyle w:val="Heading2"/>
      </w:pPr>
      <w:bookmarkStart w:id="35" w:name="_Toc235103158"/>
      <w:r>
        <w:t>Housing-enabling infrastructure is essential to support housing supply</w:t>
      </w:r>
      <w:bookmarkEnd w:id="35"/>
    </w:p>
    <w:p w14:paraId="6C338BF0" w14:textId="77777777" w:rsidR="00CC2DD4" w:rsidRDefault="00CC2DD4">
      <w:pPr>
        <w:pStyle w:val="BodyText"/>
      </w:pPr>
      <w:r>
        <w:t xml:space="preserve">Infrastructure has an essential role in supporting housing supply. Good quality infrastructure delivered on time can support faster delivery of new housing while maintaining standards of liveability for residents and the community. </w:t>
      </w:r>
    </w:p>
    <w:p w14:paraId="108C5B1F" w14:textId="4275C2E4" w:rsidR="00CC2DD4" w:rsidRDefault="00CC2DD4">
      <w:pPr>
        <w:pStyle w:val="BodyText"/>
      </w:pPr>
      <w:r>
        <w:lastRenderedPageBreak/>
        <w:t>In contrast,</w:t>
      </w:r>
      <w:r w:rsidRPr="00A5594E">
        <w:t xml:space="preserve"> </w:t>
      </w:r>
      <w:r>
        <w:t xml:space="preserve">if infrastructure is poorly designed, inadequate or delivered too slowly, it can prevent or delay new housing (LGAQ, sub. 4, p. 1; PIA, sub. 34, p. 25). A survey of Australian residential developers in 2025 found that a lack of social and transport infrastructure was preventing the development of 24% of undeveloped residential land in greater Melbourne and Geelong, 16% in Greater Sydney, and 13% in greater Perth and Peel </w:t>
      </w:r>
      <w:r w:rsidRPr="00CA5B7A">
        <w:t>(UDIA 2026, p. 21)</w:t>
      </w:r>
      <w:r>
        <w:t>. The National Growth Areas Alliance gave an example of a growth area near Perth with nearly 10,000 approved lots that could not be developed due to a lack of housing-enabling infrastructure (sub. 54, p. 16).</w:t>
      </w:r>
    </w:p>
    <w:p w14:paraId="73907213" w14:textId="77777777" w:rsidR="00CC2DD4" w:rsidRDefault="00CC2DD4">
      <w:pPr>
        <w:pStyle w:val="Heading3"/>
      </w:pPr>
      <w:r>
        <w:t>Housing</w:t>
      </w:r>
      <w:r>
        <w:noBreakHyphen/>
        <w:t>enabling infrastructure improves liveability but is costly to provide</w:t>
      </w:r>
    </w:p>
    <w:p w14:paraId="07753D7D" w14:textId="77777777" w:rsidR="00CC2DD4" w:rsidRPr="00CA5B7A" w:rsidRDefault="00CC2DD4">
      <w:pPr>
        <w:pStyle w:val="BodyText"/>
      </w:pPr>
      <w:r w:rsidRPr="00CA5B7A">
        <w:t xml:space="preserve">Housing-enabling infrastructure is the supporting infrastructure and services that make a residential area liveable. It enables homes to be connected to basic services like power and water, and allows people to access public transport, community buildings, and open green spaces. It </w:t>
      </w:r>
      <w:r>
        <w:t>can be broadly categorised into 2 groups; basic infrastructure and social infrastructure</w:t>
      </w:r>
      <w:r w:rsidRPr="00014CAF">
        <w:rPr>
          <w:rStyle w:val="FootnoteReference"/>
        </w:rPr>
        <w:footnoteReference w:id="13"/>
      </w:r>
      <w:r w:rsidRPr="00CA5B7A">
        <w:t>–</w:t>
      </w:r>
      <w:r>
        <w:t xml:space="preserve"> both of which are important to support liveability (figure 4.1).</w:t>
      </w:r>
    </w:p>
    <w:p w14:paraId="37C49E2E" w14:textId="77777777" w:rsidR="00CC2DD4" w:rsidRDefault="00CC2DD4">
      <w:pPr>
        <w:pStyle w:val="BodyText"/>
      </w:pPr>
      <w:r>
        <w:t>In developments with no pre-existing housing (typically greenfield developments), infrastructure is often built from scratch to enable housing in the area. In other developments, such as brownfield or other urban infill developments, the focus is more on connecting to existing infrastructure, or upgrading local infrastructure to ensure service quality is maintained when more housing is developed in the community.</w:t>
      </w:r>
    </w:p>
    <w:p w14:paraId="0CF52647" w14:textId="6B3C46F4" w:rsidR="00CC2DD4" w:rsidRDefault="00CC2DD4">
      <w:pPr>
        <w:pStyle w:val="BodyText"/>
      </w:pPr>
      <w:r>
        <w:t xml:space="preserve">While infrastructure is crucial for supporting housing supply, it is costly, comprising about 15% of total Australian and state and territory government budgets in 2025-26 </w:t>
      </w:r>
      <w:r w:rsidRPr="00CA5B7A">
        <w:t>(Infrastructure Partnerships Australia 2025, p. 2)</w:t>
      </w:r>
      <w:r>
        <w:t xml:space="preserve">. The share of total Australian Government spending that is used to fund infrastructure has risen on average from about 0.6% in 2006-07 to just over 2% in 2024-25 </w:t>
      </w:r>
      <w:r w:rsidRPr="00CA5B7A">
        <w:t>(Infrastructure Partnerships Australia 2025, p. 14)</w:t>
      </w:r>
      <w:r>
        <w:t>.</w:t>
      </w:r>
      <w:r w:rsidRPr="009B2659">
        <w:t xml:space="preserve"> </w:t>
      </w:r>
    </w:p>
    <w:p w14:paraId="33CA23EC" w14:textId="466576EE" w:rsidR="00CC2DD4" w:rsidRPr="006839F1" w:rsidRDefault="00CC2DD4">
      <w:pPr>
        <w:pStyle w:val="BodyText"/>
        <w:rPr>
          <w:spacing w:val="-4"/>
        </w:rPr>
      </w:pPr>
      <w:r w:rsidRPr="006839F1">
        <w:rPr>
          <w:spacing w:val="-4"/>
        </w:rPr>
        <w:t xml:space="preserve">Enabling infrastructure tends to cost less in infill locations (AECOM 2018, p. 5; NSW PC 2023, pp. 11–19), but the cost gap varies depending on the spare capacity of existing infrastructure (Quantify 2026, pp. 22–24). </w:t>
      </w:r>
    </w:p>
    <w:p w14:paraId="6CD0DC10" w14:textId="5D91C9E3" w:rsidR="00CC2DD4" w:rsidRPr="00327C1B" w:rsidRDefault="00CC2DD4" w:rsidP="00E11D04">
      <w:pPr>
        <w:pStyle w:val="ListBullet"/>
      </w:pPr>
      <w:r w:rsidRPr="68F6B072">
        <w:t xml:space="preserve">Infrastructure Victoria estimated that housing-enabling infrastructure (excluding transport) cost 2 to 4 times more in greenfield areas compared to infill areas – about $80,000 to $214,000 per home in greenfield areas (in 2018 dollars) </w:t>
      </w:r>
      <w:r w:rsidRPr="00CE2050">
        <w:t>(2019, pp. 2, 31)</w:t>
      </w:r>
      <w:r w:rsidRPr="68F6B072">
        <w:t xml:space="preserve">. </w:t>
      </w:r>
    </w:p>
    <w:p w14:paraId="23974F05" w14:textId="090B80F3" w:rsidR="00CC2DD4" w:rsidRPr="00327C1B" w:rsidRDefault="00CC2DD4" w:rsidP="00E11D04">
      <w:pPr>
        <w:pStyle w:val="ListBullet"/>
      </w:pPr>
      <w:r w:rsidRPr="00327C1B">
        <w:t xml:space="preserve">In </w:t>
      </w:r>
      <w:r>
        <w:t>Sydney</w:t>
      </w:r>
      <w:r w:rsidRPr="00327C1B">
        <w:t>,</w:t>
      </w:r>
      <w:r w:rsidRPr="00327C1B" w:rsidDel="00C26B8B">
        <w:t xml:space="preserve"> </w:t>
      </w:r>
      <w:r>
        <w:t>greenfield</w:t>
      </w:r>
      <w:r w:rsidRPr="00327C1B">
        <w:t xml:space="preserve"> infrastructure was found to cost about $39,000 </w:t>
      </w:r>
      <w:r>
        <w:t>more</w:t>
      </w:r>
      <w:r w:rsidRPr="00327C1B">
        <w:t xml:space="preserve"> per home compared to </w:t>
      </w:r>
      <w:r>
        <w:t>infill</w:t>
      </w:r>
      <w:r w:rsidRPr="00327C1B">
        <w:t xml:space="preserve"> sites in 2023 (NSW PC 2023, p. 11).</w:t>
      </w:r>
    </w:p>
    <w:p w14:paraId="7EBF3A5F" w14:textId="20BF5803" w:rsidR="00CC2DD4" w:rsidRPr="00327C1B" w:rsidRDefault="00CC2DD4" w:rsidP="00E11D04">
      <w:pPr>
        <w:pStyle w:val="ListBullet"/>
      </w:pPr>
      <w:r w:rsidRPr="68F6B072">
        <w:t xml:space="preserve">In Adelaide, a 2017 case study of 3 different types of development found that the </w:t>
      </w:r>
      <w:r>
        <w:t>greenfield</w:t>
      </w:r>
      <w:r w:rsidRPr="68F6B072">
        <w:t xml:space="preserve"> development was the </w:t>
      </w:r>
      <w:r>
        <w:t xml:space="preserve">highest cost per new home (ranging from </w:t>
      </w:r>
      <w:r w:rsidRPr="68F6B072">
        <w:t xml:space="preserve">$82,600 </w:t>
      </w:r>
      <w:r>
        <w:t>to</w:t>
      </w:r>
      <w:r w:rsidRPr="68F6B072">
        <w:t xml:space="preserve"> $87,600</w:t>
      </w:r>
      <w:r>
        <w:t xml:space="preserve">), </w:t>
      </w:r>
      <w:r w:rsidRPr="68F6B072">
        <w:t xml:space="preserve">compared to $86,200 per home in a brownfield site, and </w:t>
      </w:r>
      <w:r>
        <w:t>approximately $29,100 per home in infill sites</w:t>
      </w:r>
      <w:r w:rsidRPr="68F6B072">
        <w:t xml:space="preserve"> (Hamilton and Kellett 2017, p. 257).</w:t>
      </w:r>
    </w:p>
    <w:p w14:paraId="092F3A43" w14:textId="14851817" w:rsidR="00CC2DD4" w:rsidRDefault="00CC2DD4">
      <w:pPr>
        <w:pStyle w:val="FigureTableHeading"/>
      </w:pPr>
      <w:r>
        <w:lastRenderedPageBreak/>
        <w:t xml:space="preserve">Figure </w:t>
      </w:r>
      <w:r w:rsidR="00CB06D8">
        <w:rPr>
          <w:noProof/>
        </w:rPr>
        <w:t>4</w:t>
      </w:r>
      <w:r>
        <w:t>.</w:t>
      </w:r>
      <w:r w:rsidR="00CB06D8">
        <w:rPr>
          <w:noProof/>
        </w:rPr>
        <w:t>1</w:t>
      </w:r>
      <w:r>
        <w:rPr>
          <w:noProof/>
        </w:rPr>
        <w:t xml:space="preserve"> </w:t>
      </w:r>
      <w:r>
        <w:t>– Many different types of infrastructure support new housing</w:t>
      </w:r>
    </w:p>
    <w:p w14:paraId="73DAD79B" w14:textId="22B62EBC" w:rsidR="00CC2DD4" w:rsidRDefault="0058285F">
      <w:pPr>
        <w:pStyle w:val="BodyText"/>
      </w:pPr>
      <w:r w:rsidRPr="0058285F">
        <w:rPr>
          <w:noProof/>
        </w:rPr>
        <w:drawing>
          <wp:inline distT="0" distB="0" distL="0" distR="0" wp14:anchorId="5F853F4A" wp14:editId="79AFC4BC">
            <wp:extent cx="6120130" cy="3549015"/>
            <wp:effectExtent l="0" t="0" r="0" b="0"/>
            <wp:docPr id="1554397609" name="Picture 18" descr="This figure shows some examples of different categories of housing-enabling infrastructure. Housing-enabling infrastructure can be basic (essential infrastructure to support housing) or social infrastructure (other important infrastructure to make housing liveable), and local (mostly benefits the development and local area) and regional or state/territory (more dispersed benefits to broader region, state or territory). Basic local infrastructure includes power, water, gas and roads; basic regional or state infrastructure includes sewerage treatment plants and state roads; local social infrastructure includes local parks, parking, local public transport and community buildings; regional or state social infrastructure includes major hospitals and public transport, regional sport facilities and tertiary education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97609" name="Picture 18" descr="This figure shows some examples of different categories of housing-enabling infrastructure. Housing-enabling infrastructure can be basic (essential infrastructure to support housing) or social infrastructure (other important infrastructure to make housing liveable), and local (mostly benefits the development and local area) and regional or state/territory (more dispersed benefits to broader region, state or territory). Basic local infrastructure includes power, water, gas and roads; basic regional or state infrastructure includes sewerage treatment plants and state roads; local social infrastructure includes local parks, parking, local public transport and community buildings; regional or state social infrastructure includes major hospitals and public transport, regional sport facilities and tertiary education facilitie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0130" cy="3549015"/>
                    </a:xfrm>
                    <a:prstGeom prst="rect">
                      <a:avLst/>
                    </a:prstGeom>
                    <a:noFill/>
                    <a:ln>
                      <a:noFill/>
                    </a:ln>
                  </pic:spPr>
                </pic:pic>
              </a:graphicData>
            </a:graphic>
          </wp:inline>
        </w:drawing>
      </w:r>
    </w:p>
    <w:p w14:paraId="2D8E4926" w14:textId="1C9422C6" w:rsidR="00CC2DD4" w:rsidRPr="00CE0EC8" w:rsidRDefault="00CC2DD4">
      <w:pPr>
        <w:pStyle w:val="Note"/>
        <w:rPr>
          <w:spacing w:val="-6"/>
        </w:rPr>
      </w:pPr>
      <w:r w:rsidRPr="00CE0EC8">
        <w:rPr>
          <w:b/>
          <w:bCs/>
          <w:spacing w:val="-6"/>
        </w:rPr>
        <w:t>a.</w:t>
      </w:r>
      <w:r w:rsidRPr="00CE0EC8">
        <w:rPr>
          <w:spacing w:val="-6"/>
        </w:rPr>
        <w:t xml:space="preserve"> Past PC work categorises public transport as basic infrastructure (PC 2004, p. 157, 2011, p. 186) because it is classified as ‘essential’. However, we have included public transport as social infrastructure to support principles of who should pay (given the positive externalities and dispersed beneficiaries of public transport beyond development sites). This is consistent with the NHFIC categorisation of public transport as state or regional infrastructure (2021, p. 10) and the Australia’s Future Tax System </w:t>
      </w:r>
      <w:proofErr w:type="gramStart"/>
      <w:r w:rsidRPr="00CE0EC8">
        <w:rPr>
          <w:spacing w:val="-6"/>
        </w:rPr>
        <w:t>Review ,</w:t>
      </w:r>
      <w:proofErr w:type="gramEnd"/>
      <w:r w:rsidRPr="00CE0EC8">
        <w:rPr>
          <w:spacing w:val="-6"/>
        </w:rPr>
        <w:t xml:space="preserve"> which suggests public transport is not basic infrastructure </w:t>
      </w:r>
      <w:r w:rsidRPr="00CE0EC8">
        <w:rPr>
          <w:rFonts w:cs="Open Sans"/>
          <w:spacing w:val="-6"/>
        </w:rPr>
        <w:t>(Henry et al. 2010, p. 425)</w:t>
      </w:r>
      <w:r w:rsidRPr="00CE0EC8">
        <w:rPr>
          <w:spacing w:val="-6"/>
        </w:rPr>
        <w:t>.</w:t>
      </w:r>
    </w:p>
    <w:p w14:paraId="469909C0" w14:textId="05E4AC1F" w:rsidR="00CC2DD4" w:rsidRDefault="00CC2DD4" w:rsidP="00CE0EC8">
      <w:pPr>
        <w:pStyle w:val="Source"/>
        <w:spacing w:after="360"/>
      </w:pPr>
      <w:r w:rsidRPr="00696447">
        <w:t xml:space="preserve">Source: </w:t>
      </w:r>
      <w:r>
        <w:t xml:space="preserve">Based on Henry et. al. </w:t>
      </w:r>
      <w:r w:rsidRPr="009964EC">
        <w:rPr>
          <w:rFonts w:cs="Open Sans"/>
        </w:rPr>
        <w:t>(2010, p. 425)</w:t>
      </w:r>
      <w:r>
        <w:t xml:space="preserve">; NHFIC </w:t>
      </w:r>
      <w:r w:rsidRPr="00AC33BD">
        <w:t>(2021, p. 10)</w:t>
      </w:r>
      <w:r>
        <w:t xml:space="preserve">; PC </w:t>
      </w:r>
      <w:r w:rsidRPr="00AC33BD">
        <w:t>(2004, pp. 157–158, 2011, p. 186)</w:t>
      </w:r>
      <w:r>
        <w:t>.</w:t>
      </w:r>
    </w:p>
    <w:p w14:paraId="7817E782" w14:textId="77777777" w:rsidR="00CC2DD4" w:rsidRDefault="00CC2DD4">
      <w:pPr>
        <w:pStyle w:val="Heading3"/>
      </w:pPr>
      <w:r>
        <w:t>Layers of regulation and policies shape housing-enabling infrastructure</w:t>
      </w:r>
    </w:p>
    <w:p w14:paraId="4819617C" w14:textId="713D8282" w:rsidR="00CC2DD4" w:rsidRDefault="00CC2DD4">
      <w:pPr>
        <w:pStyle w:val="BodyText"/>
      </w:pPr>
      <w:r>
        <w:t xml:space="preserve">Housing-enabling infrastructure is shaped by layers of regulations and policies intended to support housing supply and provide community benefits. But when regulations and policies are poorly designed or administered, they can lead to </w:t>
      </w:r>
      <w:r w:rsidRPr="009A38C4">
        <w:t>inadequate</w:t>
      </w:r>
      <w:r>
        <w:t>, lagged</w:t>
      </w:r>
      <w:r w:rsidRPr="009A38C4">
        <w:t xml:space="preserve"> or poor-quality infrastructure</w:t>
      </w:r>
      <w:r>
        <w:t xml:space="preserve"> (section 4.2)</w:t>
      </w:r>
      <w:r w:rsidRPr="009A38C4">
        <w:t xml:space="preserve">, or </w:t>
      </w:r>
      <w:r>
        <w:t xml:space="preserve">cause </w:t>
      </w:r>
      <w:r w:rsidRPr="009A38C4">
        <w:t xml:space="preserve">new housing to </w:t>
      </w:r>
      <w:r>
        <w:t>be built</w:t>
      </w:r>
      <w:r w:rsidRPr="009A38C4">
        <w:t xml:space="preserve"> in areas where infrastructure is more expensive or difficult to provide </w:t>
      </w:r>
      <w:r>
        <w:t>(NHFIC 2021, p. 6; NSW PC 2020, p. 32)</w:t>
      </w:r>
      <w:r w:rsidRPr="009A38C4">
        <w:t>. This can constrain the supply of new housing and increase opposition to new development by existing residents if they are concerned about inadequate infrastructure</w:t>
      </w:r>
      <w:r w:rsidRPr="009A38C4" w:rsidDel="00B21371">
        <w:t xml:space="preserve"> </w:t>
      </w:r>
      <w:r>
        <w:t>(Infrastructure Australia 2018, pp. 34–35; NSW PC 2021, p. 27). For example, a survey by AMPLIFY found 73% of respondents supported more medium density housing if it was rolled out in sequence with additional public transport (sub. 42, p. 11).</w:t>
      </w:r>
    </w:p>
    <w:p w14:paraId="10BDA43F" w14:textId="553AF3C8" w:rsidR="00CC2DD4" w:rsidRDefault="00CC2DD4">
      <w:pPr>
        <w:pStyle w:val="BodyText"/>
      </w:pPr>
      <w:r>
        <w:t>Each level of government has some role in housing-enabling infrastructure (table 4.1).</w:t>
      </w:r>
      <w:r w:rsidRPr="009B2659">
        <w:t xml:space="preserve"> </w:t>
      </w:r>
      <w:r>
        <w:t xml:space="preserve">In addition, housing-enabling infrastructure is shaped by </w:t>
      </w:r>
      <w:proofErr w:type="gramStart"/>
      <w:r>
        <w:t>a number of</w:t>
      </w:r>
      <w:proofErr w:type="gramEnd"/>
      <w:r>
        <w:t xml:space="preserve"> agencies and corporations, including infrastructure service providers and regulators, who may also have responsibilities for administering developer contributions to help fund and deliver infrastructure. For example, in Tasmania, a state-owned company called </w:t>
      </w:r>
      <w:proofErr w:type="spellStart"/>
      <w:r>
        <w:t>TasNetworks</w:t>
      </w:r>
      <w:proofErr w:type="spellEnd"/>
      <w:r>
        <w:t xml:space="preserve"> is responsible for the state’s electricity transmission and distribution network, including providing electricity connections in new housing </w:t>
      </w:r>
      <w:r w:rsidRPr="00AC33BD">
        <w:t>(</w:t>
      </w:r>
      <w:proofErr w:type="spellStart"/>
      <w:r w:rsidRPr="00AC33BD">
        <w:t>TasNetworks</w:t>
      </w:r>
      <w:proofErr w:type="spellEnd"/>
      <w:r w:rsidRPr="00AC33BD">
        <w:t> 2026)</w:t>
      </w:r>
      <w:r>
        <w:t>.</w:t>
      </w:r>
    </w:p>
    <w:p w14:paraId="5652C254" w14:textId="7261D0D4" w:rsidR="00CC2DD4" w:rsidRDefault="00CC2DD4">
      <w:pPr>
        <w:pStyle w:val="FigureTableHeading"/>
      </w:pPr>
      <w:r>
        <w:lastRenderedPageBreak/>
        <w:t xml:space="preserve">Table </w:t>
      </w:r>
      <w:r w:rsidR="00CB06D8">
        <w:rPr>
          <w:noProof/>
        </w:rPr>
        <w:t>4</w:t>
      </w:r>
      <w:r>
        <w:t>.</w:t>
      </w:r>
      <w:r w:rsidR="00CB06D8">
        <w:rPr>
          <w:noProof/>
        </w:rPr>
        <w:t>1</w:t>
      </w:r>
      <w:r>
        <w:rPr>
          <w:noProof/>
        </w:rPr>
        <w:t xml:space="preserve"> – </w:t>
      </w:r>
      <w:r>
        <w:t>Role of each level of government in housing-enabling infrastructure</w:t>
      </w:r>
    </w:p>
    <w:tbl>
      <w:tblPr>
        <w:tblW w:w="9525"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843"/>
        <w:gridCol w:w="7682"/>
      </w:tblGrid>
      <w:tr w:rsidR="00CC2DD4" w:rsidRPr="004C16CE" w14:paraId="2D202863" w14:textId="77777777" w:rsidTr="004C16CE">
        <w:trPr>
          <w:trHeight w:val="390"/>
          <w:tblHeader/>
        </w:trPr>
        <w:tc>
          <w:tcPr>
            <w:tcW w:w="1843" w:type="dxa"/>
            <w:tcBorders>
              <w:bottom w:val="single" w:sz="4" w:space="0" w:color="B3B3B3"/>
            </w:tcBorders>
            <w:shd w:val="clear" w:color="000000" w:fill="auto"/>
            <w:vAlign w:val="bottom"/>
          </w:tcPr>
          <w:p w14:paraId="3FF5E842" w14:textId="77777777" w:rsidR="00CC2DD4" w:rsidRPr="004C16CE" w:rsidRDefault="00CC2DD4" w:rsidP="004C16CE">
            <w:pPr>
              <w:pStyle w:val="TableHeading"/>
              <w:spacing w:before="45" w:after="45"/>
              <w:rPr>
                <w:rFonts w:cs="Open Sans"/>
                <w:color w:val="1D4374"/>
              </w:rPr>
            </w:pPr>
            <w:r w:rsidRPr="004C16CE">
              <w:rPr>
                <w:rFonts w:cs="Open Sans"/>
                <w:color w:val="1D4374"/>
              </w:rPr>
              <w:t>Level of government</w:t>
            </w:r>
          </w:p>
        </w:tc>
        <w:tc>
          <w:tcPr>
            <w:tcW w:w="7682" w:type="dxa"/>
            <w:tcBorders>
              <w:bottom w:val="single" w:sz="4" w:space="0" w:color="B3B3B3"/>
            </w:tcBorders>
            <w:shd w:val="clear" w:color="000000" w:fill="auto"/>
            <w:vAlign w:val="bottom"/>
          </w:tcPr>
          <w:p w14:paraId="57DBFA5A" w14:textId="77777777" w:rsidR="00CC2DD4" w:rsidRPr="004C16CE" w:rsidRDefault="00CC2DD4" w:rsidP="004C16CE">
            <w:pPr>
              <w:pStyle w:val="TableHeading"/>
              <w:spacing w:before="45" w:after="45"/>
              <w:rPr>
                <w:rFonts w:cs="Open Sans"/>
                <w:color w:val="1D4374"/>
              </w:rPr>
            </w:pPr>
            <w:r w:rsidRPr="004C16CE">
              <w:rPr>
                <w:rFonts w:cs="Open Sans"/>
                <w:color w:val="1D4374"/>
              </w:rPr>
              <w:t>Role</w:t>
            </w:r>
          </w:p>
        </w:tc>
      </w:tr>
      <w:tr w:rsidR="00CC2DD4" w:rsidRPr="004C16CE" w14:paraId="07379207" w14:textId="77777777" w:rsidTr="004C16CE">
        <w:trPr>
          <w:trHeight w:val="374"/>
        </w:trPr>
        <w:tc>
          <w:tcPr>
            <w:tcW w:w="1843" w:type="dxa"/>
            <w:tcBorders>
              <w:top w:val="single" w:sz="4" w:space="0" w:color="B3B3B3"/>
              <w:bottom w:val="nil"/>
            </w:tcBorders>
            <w:shd w:val="clear" w:color="000000" w:fill="E6E6E6"/>
          </w:tcPr>
          <w:p w14:paraId="45BA21B3" w14:textId="77777777" w:rsidR="00CC2DD4" w:rsidRPr="004C16CE" w:rsidRDefault="00CC2DD4" w:rsidP="004C16CE">
            <w:pPr>
              <w:pStyle w:val="TableHeading"/>
              <w:spacing w:before="45" w:after="45"/>
              <w:rPr>
                <w:rFonts w:cs="Open Sans"/>
                <w:color w:val="1D4374"/>
              </w:rPr>
            </w:pPr>
            <w:r w:rsidRPr="004C16CE">
              <w:rPr>
                <w:rFonts w:cs="Open Sans"/>
                <w:bCs/>
                <w:color w:val="1D4374"/>
              </w:rPr>
              <w:t>Local government</w:t>
            </w:r>
          </w:p>
        </w:tc>
        <w:tc>
          <w:tcPr>
            <w:tcW w:w="7682" w:type="dxa"/>
            <w:tcBorders>
              <w:top w:val="single" w:sz="4" w:space="0" w:color="B3B3B3"/>
              <w:bottom w:val="nil"/>
            </w:tcBorders>
            <w:shd w:val="clear" w:color="000000" w:fill="E6E6E6"/>
          </w:tcPr>
          <w:p w14:paraId="10ABB1AA"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Plans, funds, delivers and maintains local infrastructure</w:t>
            </w:r>
          </w:p>
          <w:p w14:paraId="25CB6DDF"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Administers approval processes</w:t>
            </w:r>
          </w:p>
          <w:p w14:paraId="0842D6D0"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Administers and collects local developer contributions</w:t>
            </w:r>
          </w:p>
        </w:tc>
      </w:tr>
      <w:tr w:rsidR="00CC2DD4" w:rsidRPr="004C16CE" w14:paraId="77BF87A9" w14:textId="77777777" w:rsidTr="004C16CE">
        <w:trPr>
          <w:trHeight w:val="390"/>
        </w:trPr>
        <w:tc>
          <w:tcPr>
            <w:tcW w:w="1843" w:type="dxa"/>
            <w:tcBorders>
              <w:top w:val="nil"/>
              <w:bottom w:val="nil"/>
            </w:tcBorders>
            <w:shd w:val="clear" w:color="000000" w:fill="auto"/>
          </w:tcPr>
          <w:p w14:paraId="79E9CD50" w14:textId="77777777" w:rsidR="00CC2DD4" w:rsidRPr="004C16CE" w:rsidRDefault="00CC2DD4" w:rsidP="004C16CE">
            <w:pPr>
              <w:pStyle w:val="TableHeading"/>
              <w:spacing w:before="45" w:after="45"/>
              <w:rPr>
                <w:rFonts w:cs="Open Sans"/>
                <w:color w:val="1D4374"/>
              </w:rPr>
            </w:pPr>
            <w:r w:rsidRPr="004C16CE">
              <w:rPr>
                <w:rFonts w:cs="Open Sans"/>
                <w:color w:val="1D4374"/>
              </w:rPr>
              <w:t>State and territory government</w:t>
            </w:r>
          </w:p>
        </w:tc>
        <w:tc>
          <w:tcPr>
            <w:tcW w:w="7682" w:type="dxa"/>
            <w:tcBorders>
              <w:top w:val="nil"/>
              <w:bottom w:val="nil"/>
            </w:tcBorders>
            <w:shd w:val="clear" w:color="000000" w:fill="auto"/>
          </w:tcPr>
          <w:p w14:paraId="19766DCD"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Plans, funds and delivers state and regional infrastructure</w:t>
            </w:r>
          </w:p>
          <w:p w14:paraId="6F5F0F23"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Provides some funding for local infrastructure and sets local infrastructure planning framework</w:t>
            </w:r>
          </w:p>
          <w:p w14:paraId="2CD49E5D"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Approves state major infrastructure</w:t>
            </w:r>
          </w:p>
          <w:p w14:paraId="73CC17F2"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Collects state developer contributions</w:t>
            </w:r>
          </w:p>
        </w:tc>
      </w:tr>
      <w:tr w:rsidR="00CC2DD4" w:rsidRPr="004C16CE" w14:paraId="42867D01" w14:textId="77777777" w:rsidTr="004C16CE">
        <w:trPr>
          <w:trHeight w:val="374"/>
        </w:trPr>
        <w:tc>
          <w:tcPr>
            <w:tcW w:w="1843" w:type="dxa"/>
            <w:tcBorders>
              <w:bottom w:val="single" w:sz="4" w:space="0" w:color="B3B3B3"/>
            </w:tcBorders>
            <w:shd w:val="clear" w:color="000000" w:fill="E6E6E6"/>
          </w:tcPr>
          <w:p w14:paraId="09C45C34" w14:textId="77777777" w:rsidR="00CC2DD4" w:rsidRPr="004C16CE" w:rsidRDefault="00CC2DD4" w:rsidP="004C16CE">
            <w:pPr>
              <w:pStyle w:val="TableHeading"/>
              <w:spacing w:before="45" w:after="45"/>
              <w:rPr>
                <w:rFonts w:cs="Open Sans"/>
                <w:color w:val="1D4374"/>
              </w:rPr>
            </w:pPr>
            <w:r w:rsidRPr="004C16CE">
              <w:rPr>
                <w:rFonts w:cs="Open Sans"/>
                <w:color w:val="1D4374"/>
              </w:rPr>
              <w:t>Australian Government</w:t>
            </w:r>
          </w:p>
        </w:tc>
        <w:tc>
          <w:tcPr>
            <w:tcW w:w="7682" w:type="dxa"/>
            <w:tcBorders>
              <w:bottom w:val="single" w:sz="4" w:space="0" w:color="B3B3B3"/>
            </w:tcBorders>
            <w:shd w:val="clear" w:color="000000" w:fill="E6E6E6"/>
          </w:tcPr>
          <w:p w14:paraId="4D11E977"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Plans, delivers and approves major national infrastructure</w:t>
            </w:r>
          </w:p>
          <w:p w14:paraId="43366B5F"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Provides funding to state and local infrastructure</w:t>
            </w:r>
          </w:p>
          <w:p w14:paraId="19C1FFFE" w14:textId="77777777" w:rsidR="00CC2DD4" w:rsidRPr="004C16CE" w:rsidRDefault="00CC2DD4" w:rsidP="004C16CE">
            <w:pPr>
              <w:pStyle w:val="TableBody"/>
              <w:spacing w:before="45" w:after="45"/>
              <w:ind w:right="108"/>
              <w:rPr>
                <w:rFonts w:cs="Open Sans"/>
                <w:color w:val="000000"/>
              </w:rPr>
            </w:pPr>
            <w:r w:rsidRPr="004C16CE">
              <w:rPr>
                <w:rFonts w:cs="Open Sans"/>
                <w:color w:val="000000"/>
              </w:rPr>
              <w:t>Sets national design standards for infrastructure</w:t>
            </w:r>
          </w:p>
        </w:tc>
      </w:tr>
    </w:tbl>
    <w:p w14:paraId="3C765F03" w14:textId="249306CF" w:rsidR="00CC2DD4" w:rsidRPr="005B0211" w:rsidRDefault="00CC2DD4" w:rsidP="005D68DF">
      <w:pPr>
        <w:pStyle w:val="Source"/>
        <w:spacing w:after="360"/>
        <w:rPr>
          <w:rFonts w:cs="Open Sans"/>
        </w:rPr>
      </w:pPr>
      <w:r w:rsidRPr="00696447">
        <w:t>Source:</w:t>
      </w:r>
      <w:r>
        <w:t xml:space="preserve"> Based on AHURI </w:t>
      </w:r>
      <w:r w:rsidRPr="005B0211">
        <w:rPr>
          <w:rFonts w:cs="Open Sans"/>
        </w:rPr>
        <w:t>(2020, 2026); NHFIC (2021, pp. 29–31).</w:t>
      </w:r>
    </w:p>
    <w:p w14:paraId="2427D327" w14:textId="77777777" w:rsidR="00CC2DD4" w:rsidRDefault="00CC2DD4">
      <w:pPr>
        <w:pStyle w:val="Heading3"/>
      </w:pPr>
      <w:r>
        <w:t>Supporting principles for regulation of housing-enabling infrastructure</w:t>
      </w:r>
    </w:p>
    <w:p w14:paraId="26DC4993" w14:textId="3C3E82A2" w:rsidR="00CC2DD4" w:rsidRDefault="00CC2DD4">
      <w:pPr>
        <w:pStyle w:val="BodyText"/>
      </w:pPr>
      <w:r>
        <w:t>Chapter 1 of this report sets out the overarching principles of best practice housing regulation. In the context of housing</w:t>
      </w:r>
      <w:r>
        <w:noBreakHyphen/>
        <w:t>enabling infrastructure, principle 3 (coordinating housing delivery with infrastructure) is central.</w:t>
      </w:r>
    </w:p>
    <w:p w14:paraId="6BFF4E0A" w14:textId="77777777" w:rsidR="00CC2DD4" w:rsidRDefault="00CC2DD4">
      <w:pPr>
        <w:pStyle w:val="BodyText"/>
      </w:pPr>
      <w:r w:rsidRPr="000A6F1B">
        <w:t>To achieve the outcome of infrastructure that supports new housing, we outline 6 supporting principles (figure</w:t>
      </w:r>
      <w:r>
        <w:t> </w:t>
      </w:r>
      <w:r w:rsidRPr="000A6F1B">
        <w:t>4.2): simplicity, certainty, transparency, consistency, timeliness and efficiency. These principles guide our approach to different parts of housing-enabling infrastructure regulation in this chapter and have been informed by literature and submissions. Some inquiry participants suggested similar principles to inform developer contribution frameworks. For example, th</w:t>
      </w:r>
      <w:r>
        <w:t xml:space="preserve">e Planning Institute of Australia suggested that </w:t>
      </w:r>
      <w:r w:rsidRPr="000A6F1B">
        <w:t>contributions should be proportional, predictable, transparent, and support feasibility, delivery and fairness (sub. 34, p. 24).</w:t>
      </w:r>
    </w:p>
    <w:p w14:paraId="3C61B3F8" w14:textId="77777777" w:rsidR="00CC2DD4" w:rsidRPr="000A6F1B" w:rsidRDefault="00CC2DD4">
      <w:pPr>
        <w:pStyle w:val="BodyText"/>
      </w:pPr>
      <w:r>
        <w:t xml:space="preserve">Given our terms of reference, these principles are intended to guide governments towards best practice delivery of housing-enabling infrastructure. Other bodies such as infrastructure service providers (for example, water corporations) and economic regulators also have roles in housing-enabling infrastructure – our principles should guide these bodies in how they approach infrastructure delivery, but are not intended to replace existing, codified principles such as water pricing principles. </w:t>
      </w:r>
    </w:p>
    <w:p w14:paraId="0B41FEF3" w14:textId="55E7C974" w:rsidR="00CC2DD4" w:rsidRDefault="00CC2DD4">
      <w:pPr>
        <w:pStyle w:val="FigureTableHeading"/>
      </w:pPr>
      <w:r>
        <w:lastRenderedPageBreak/>
        <w:t xml:space="preserve">Figure </w:t>
      </w:r>
      <w:r w:rsidR="00CB06D8">
        <w:rPr>
          <w:noProof/>
        </w:rPr>
        <w:t>4</w:t>
      </w:r>
      <w:r>
        <w:t>.</w:t>
      </w:r>
      <w:r w:rsidR="00CB06D8">
        <w:rPr>
          <w:noProof/>
        </w:rPr>
        <w:t>2</w:t>
      </w:r>
      <w:r>
        <w:rPr>
          <w:noProof/>
        </w:rPr>
        <w:t xml:space="preserve"> </w:t>
      </w:r>
      <w:r>
        <w:t>– Supporting principles for housing-enabling infrastructure</w:t>
      </w:r>
    </w:p>
    <w:p w14:paraId="7DDE592F" w14:textId="095786AA" w:rsidR="00CC2DD4" w:rsidRDefault="005B0211" w:rsidP="00C92F55">
      <w:pPr>
        <w:pStyle w:val="BodyText"/>
      </w:pPr>
      <w:r w:rsidRPr="005B0211">
        <w:rPr>
          <w:noProof/>
        </w:rPr>
        <w:drawing>
          <wp:inline distT="0" distB="0" distL="0" distR="0" wp14:anchorId="45A473FD" wp14:editId="2F28BEC2">
            <wp:extent cx="6120130" cy="2304415"/>
            <wp:effectExtent l="0" t="0" r="0" b="635"/>
            <wp:docPr id="421092300" name="Picture 15" descr="This figure outlines our 6 principles for housing-enabling infrastructure regulations. Simple: design and administration should minimise complexity. Certain: planning, policies and charging frameworks are clear and certain. Transparent: plans and charges are publicly reported and tracked against outcomes. Consistent: within states and territories, planning and charging approaches are aligned. Timely: timing of infrastructure funding and delivery supports feasibility and housing. Efficient: planning and charging for infrastructure is efficient and cost-refl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92300" name="Picture 15" descr="This figure outlines our 6 principles for housing-enabling infrastructure regulations. Simple: design and administration should minimise complexity. Certain: planning, policies and charging frameworks are clear and certain. Transparent: plans and charges are publicly reported and tracked against outcomes. Consistent: within states and territories, planning and charging approaches are aligned. Timely: timing of infrastructure funding and delivery supports feasibility and housing. Efficient: planning and charging for infrastructure is efficient and cost-reflectiv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20130" cy="2304415"/>
                    </a:xfrm>
                    <a:prstGeom prst="rect">
                      <a:avLst/>
                    </a:prstGeom>
                    <a:noFill/>
                    <a:ln>
                      <a:noFill/>
                    </a:ln>
                  </pic:spPr>
                </pic:pic>
              </a:graphicData>
            </a:graphic>
          </wp:inline>
        </w:drawing>
      </w:r>
    </w:p>
    <w:p w14:paraId="56106705" w14:textId="3B253B46" w:rsidR="00CC2DD4" w:rsidRDefault="00CC2DD4">
      <w:pPr>
        <w:pStyle w:val="Source"/>
      </w:pPr>
      <w:r w:rsidRPr="00696447">
        <w:t xml:space="preserve">Source: </w:t>
      </w:r>
      <w:r>
        <w:t xml:space="preserve">Adapted from NSW PC </w:t>
      </w:r>
      <w:r w:rsidRPr="002137DE">
        <w:t>(2021, p. 308)</w:t>
      </w:r>
      <w:r w:rsidRPr="00696447">
        <w:t>.</w:t>
      </w:r>
    </w:p>
    <w:p w14:paraId="4E4D09E6" w14:textId="77777777" w:rsidR="00CC2DD4" w:rsidRDefault="00CC2DD4">
      <w:pPr>
        <w:pStyle w:val="Heading2"/>
      </w:pPr>
      <w:bookmarkStart w:id="36" w:name="_Toc235103159"/>
      <w:r>
        <w:t>Improving infrastructure planning and coordination</w:t>
      </w:r>
      <w:bookmarkEnd w:id="36"/>
    </w:p>
    <w:p w14:paraId="7C81A9A6" w14:textId="788B8221" w:rsidR="00CC2DD4" w:rsidRDefault="00CC2DD4">
      <w:pPr>
        <w:pStyle w:val="BodyText"/>
      </w:pPr>
      <w:r>
        <w:t xml:space="preserve">Infrastructure planning involves governments identifying areas where additional infrastructure is required, or will be needed in future, often to align with projections in population growth. It requires alignment between different levels of government and related agencies and corporations (such as infrastructure service providers) – those who fund, plan for and deliver housing-enabling infrastructure. When done well, it can help identify and deliver the infrastructure that will ensure new housing is built quickly, while providing communities and developers with certainty to support ongoing investment in new housing </w:t>
      </w:r>
      <w:r w:rsidRPr="002C53E7">
        <w:rPr>
          <w:rFonts w:cs="Open Sans"/>
        </w:rPr>
        <w:t>(Queensland DSDIP 2026)</w:t>
      </w:r>
      <w:r>
        <w:t xml:space="preserve">. However, current practice can fall short of this. We have identified several ways in which current housing-enabling infrastructure planning is putting a handbrake on new housing supply. </w:t>
      </w:r>
    </w:p>
    <w:p w14:paraId="15563121" w14:textId="77777777" w:rsidR="00CC2DD4" w:rsidRPr="00BB2F0B" w:rsidRDefault="00CC2DD4">
      <w:pPr>
        <w:pStyle w:val="Heading3"/>
      </w:pPr>
      <w:r>
        <w:t>Poor infrastructure planning and coordination is a constraint on new housing</w:t>
      </w:r>
    </w:p>
    <w:p w14:paraId="26A78127" w14:textId="77777777" w:rsidR="00CC2DD4" w:rsidRDefault="00CC2DD4">
      <w:pPr>
        <w:pStyle w:val="BodyText"/>
      </w:pPr>
      <w:r>
        <w:t>Poor infrastructure planning can reduce the timely delivery of new housing when it does not provide enough certainty on future infrastructure investment, when it is not coordinated between the different parties involved, or is reactive to new housing rather than leading housing supply. Participants in this inquiry highlighted several ways in which infrastructure planning may not support timely delivery of new housing:</w:t>
      </w:r>
      <w:r w:rsidRPr="00014CAF">
        <w:rPr>
          <w:rStyle w:val="FootnoteReference"/>
        </w:rPr>
        <w:footnoteReference w:id="14"/>
      </w:r>
      <w:r w:rsidRPr="002137DE">
        <w:rPr>
          <w:vertAlign w:val="superscript"/>
        </w:rPr>
        <w:t xml:space="preserve"> </w:t>
      </w:r>
    </w:p>
    <w:p w14:paraId="0312778F" w14:textId="77777777" w:rsidR="00CC2DD4" w:rsidRPr="00327C1B" w:rsidRDefault="00CC2DD4" w:rsidP="00E11D04">
      <w:pPr>
        <w:pStyle w:val="ListBullet"/>
      </w:pPr>
      <w:r w:rsidRPr="00327C1B">
        <w:t>plans that lack detail on housing projections and infrastructure needs in local areas, or are misaligned with housing and other strategic planning, and population projections (box 4.1)</w:t>
      </w:r>
    </w:p>
    <w:p w14:paraId="768159E0" w14:textId="77777777" w:rsidR="00CC2DD4" w:rsidRPr="00327C1B" w:rsidRDefault="00CC2DD4" w:rsidP="00E11D04">
      <w:pPr>
        <w:pStyle w:val="ListBullet"/>
      </w:pPr>
      <w:r w:rsidRPr="00327C1B">
        <w:t>plans that are poorly coordinated between different levels of government for housing and infrastructure and other areas, due to fragmentation of different plans and lack of clear</w:t>
      </w:r>
      <w:r>
        <w:t xml:space="preserve"> responsibilities and </w:t>
      </w:r>
      <w:r w:rsidRPr="00327C1B">
        <w:t>accountability between different parties</w:t>
      </w:r>
    </w:p>
    <w:p w14:paraId="5B61D7AB" w14:textId="77777777" w:rsidR="00CC2DD4" w:rsidRPr="001E2DF3" w:rsidRDefault="00CC2DD4" w:rsidP="00E11D04">
      <w:pPr>
        <w:pStyle w:val="ListBullet"/>
      </w:pPr>
      <w:r w:rsidRPr="00327C1B">
        <w:lastRenderedPageBreak/>
        <w:t>sequencing issues where funding or planning is reactive or not provided early enough to support timely new housing supply</w:t>
      </w:r>
      <w:r>
        <w:t xml:space="preserve">. For example, some participants raised concerns that some councils hold large unspent developer contribution funds, but infrastructure delivery </w:t>
      </w:r>
      <w:proofErr w:type="gramStart"/>
      <w:r>
        <w:t>lags behind</w:t>
      </w:r>
      <w:proofErr w:type="gramEnd"/>
      <w:r>
        <w:t xml:space="preserve"> when the funds are collected</w:t>
      </w:r>
    </w:p>
    <w:p w14:paraId="539B9E40" w14:textId="77777777" w:rsidR="00CC2DD4" w:rsidRPr="003C157F" w:rsidRDefault="00CC2DD4" w:rsidP="00E11D04">
      <w:pPr>
        <w:pStyle w:val="ListBullet"/>
        <w:rPr>
          <w:spacing w:val="-4"/>
        </w:rPr>
      </w:pPr>
      <w:r w:rsidRPr="003C157F">
        <w:rPr>
          <w:spacing w:val="-4"/>
        </w:rPr>
        <w:t>lack of transparency in where infrastructure constraints are delaying or preventing new housing supply.</w:t>
      </w:r>
    </w:p>
    <w:p w14:paraId="1412E301" w14:textId="77777777" w:rsidR="00CC2DD4" w:rsidRDefault="00CC2DD4">
      <w:pPr>
        <w:pStyle w:val="Quote"/>
      </w:pPr>
      <w:r>
        <w:t>Developers and builders need earlier visibility of infrastructure requirements, costs, responsible agencies and expected approval timeframes. (PPI, sub. 77, p. 10)</w:t>
      </w:r>
    </w:p>
    <w:p w14:paraId="339B6A77" w14:textId="77777777" w:rsidR="00CC2DD4" w:rsidRPr="00F82BD9" w:rsidRDefault="00CC2DD4">
      <w:pPr>
        <w:pStyle w:val="BodyText"/>
      </w:pPr>
      <w:r>
        <w:t>The Housing Industry Association highlighted how water and sewerage services are provided through council</w:t>
      </w:r>
      <w:r>
        <w:noBreakHyphen/>
        <w:t xml:space="preserve">operated systems, distributor-retailer authorities, and state-managed providers in Queensland. They suggested that this contributed to fragmentation, inconsistencies in processes and complexity that ‘limits coordination, reduces transparency and weakens the alignment between infrastructure delivery and housing supply outcomes’ (sub. 25, p. 25). </w:t>
      </w:r>
    </w:p>
    <w:p w14:paraId="6C502D8C" w14:textId="77777777" w:rsidR="00CC2DD4" w:rsidRPr="008A0580" w:rsidRDefault="00CC2DD4">
      <w:pPr>
        <w:pStyle w:val="BodyText"/>
      </w:pPr>
      <w:r>
        <w:t xml:space="preserve">These issues can limit </w:t>
      </w:r>
      <w:r w:rsidRPr="008A0580">
        <w:t>housing supply by increasing uncertainty for developers, slowing down the approval and delivery of infrastructure required for housing, and reducing development feasibility when infrastructure lags housing</w:t>
      </w:r>
      <w:r>
        <w:t xml:space="preserve">, </w:t>
      </w:r>
      <w:r w:rsidRPr="008A0580">
        <w:t xml:space="preserve">increasing developer holding costs. </w:t>
      </w:r>
    </w:p>
    <w:p w14:paraId="5AF0374A" w14:textId="4639D8D3" w:rsidR="00CC2DD4" w:rsidRPr="00F82BD9" w:rsidRDefault="00CC2DD4">
      <w:pPr>
        <w:pStyle w:val="NoSpacing"/>
      </w:pPr>
    </w:p>
    <w:tbl>
      <w:tblPr>
        <w:tblStyle w:val="Boxtable"/>
        <w:tblW w:w="5000" w:type="pct"/>
        <w:tblLook w:val="04A0" w:firstRow="1" w:lastRow="0" w:firstColumn="1" w:lastColumn="0" w:noHBand="0" w:noVBand="1"/>
      </w:tblPr>
      <w:tblGrid>
        <w:gridCol w:w="9638"/>
      </w:tblGrid>
      <w:tr w:rsidR="00CC2DD4" w14:paraId="48EA674B" w14:textId="77777777">
        <w:trPr>
          <w:tblHeader/>
        </w:trPr>
        <w:tc>
          <w:tcPr>
            <w:tcW w:w="9638" w:type="dxa"/>
            <w:shd w:val="clear" w:color="auto" w:fill="EBEBEB"/>
            <w:tcMar>
              <w:top w:w="170" w:type="dxa"/>
              <w:left w:w="170" w:type="dxa"/>
              <w:bottom w:w="113" w:type="dxa"/>
              <w:right w:w="170" w:type="dxa"/>
            </w:tcMar>
            <w:hideMark/>
          </w:tcPr>
          <w:p w14:paraId="4C85ED38" w14:textId="0C389532" w:rsidR="00CC2DD4" w:rsidRDefault="00CC2DD4">
            <w:pPr>
              <w:pStyle w:val="BoxHeading1"/>
            </w:pPr>
            <w:r>
              <w:t xml:space="preserve">Box </w:t>
            </w:r>
            <w:r w:rsidR="00CB06D8">
              <w:rPr>
                <w:noProof/>
              </w:rPr>
              <w:t>4</w:t>
            </w:r>
            <w:r>
              <w:t>.</w:t>
            </w:r>
            <w:r w:rsidR="00CB06D8">
              <w:rPr>
                <w:noProof/>
              </w:rPr>
              <w:t>1</w:t>
            </w:r>
            <w:r>
              <w:t xml:space="preserve"> – Case study: Upzoning misalignment with infrastructure delivery in New South Wales’s </w:t>
            </w:r>
            <w:proofErr w:type="gramStart"/>
            <w:r>
              <w:t>North West</w:t>
            </w:r>
            <w:proofErr w:type="gramEnd"/>
            <w:r>
              <w:t xml:space="preserve"> Rail Link Corridor</w:t>
            </w:r>
          </w:p>
        </w:tc>
      </w:tr>
      <w:tr w:rsidR="00CC2DD4" w14:paraId="75296066" w14:textId="77777777">
        <w:tc>
          <w:tcPr>
            <w:tcW w:w="9638" w:type="dxa"/>
            <w:shd w:val="clear" w:color="auto" w:fill="EBEBEB"/>
            <w:tcMar>
              <w:top w:w="28" w:type="dxa"/>
              <w:left w:w="170" w:type="dxa"/>
              <w:bottom w:w="170" w:type="dxa"/>
              <w:right w:w="170" w:type="dxa"/>
            </w:tcMar>
            <w:hideMark/>
          </w:tcPr>
          <w:p w14:paraId="63897BF0" w14:textId="77777777" w:rsidR="00CC2DD4" w:rsidRDefault="00CC2DD4">
            <w:pPr>
              <w:pStyle w:val="BodyText"/>
            </w:pPr>
            <w:r>
              <w:t>When measures to support new housing in an area are not well coordinated or sequenced with infrastructure delivery, it can delay new housing. This can occur when planning for housing and infrastructure does not account for the long lead times of housing development.</w:t>
            </w:r>
          </w:p>
          <w:p w14:paraId="2C64A245" w14:textId="77777777" w:rsidR="00CC2DD4" w:rsidRDefault="00CC2DD4">
            <w:pPr>
              <w:pStyle w:val="BodyText"/>
            </w:pPr>
            <w:r>
              <w:t xml:space="preserve">In 2013, the New South Wales Government finalised the </w:t>
            </w:r>
            <w:proofErr w:type="gramStart"/>
            <w:r>
              <w:t>North West</w:t>
            </w:r>
            <w:proofErr w:type="gramEnd"/>
            <w:r>
              <w:t xml:space="preserve"> Rail Link Corridor Strategy, which included plans for an extension of the Sydney Metro train line, and proposed housing precincts around the new train stations. Some of these new stations, including Bella Vista and Kellyville, opened in 2019. </w:t>
            </w:r>
          </w:p>
          <w:p w14:paraId="2BB2031D" w14:textId="77777777" w:rsidR="00CC2DD4" w:rsidRDefault="00CC2DD4">
            <w:pPr>
              <w:pStyle w:val="BodyText"/>
            </w:pPr>
            <w:r>
              <w:t>However, despite being nominated precincts for additional development and urban renewal since 2014, the rezoning of these areas for higher density housing came into effect in late 2024, following public consultation. While the public transport infrastructure was developed upfront, the rezoning required to deliver additional homes was not completed until much later. Coordinated, earlier upzoning for housing density may have supported earlier development of new homes.</w:t>
            </w:r>
          </w:p>
          <w:p w14:paraId="672E4567" w14:textId="3A0D1CCD" w:rsidR="00CC2DD4" w:rsidRDefault="00CC2DD4">
            <w:pPr>
              <w:pStyle w:val="Source"/>
            </w:pPr>
            <w:r>
              <w:t xml:space="preserve">Source: NSW DPHI </w:t>
            </w:r>
            <w:r w:rsidRPr="002137DE">
              <w:t>(2023, 2025)</w:t>
            </w:r>
            <w:r>
              <w:t>.</w:t>
            </w:r>
          </w:p>
        </w:tc>
      </w:tr>
      <w:tr w:rsidR="00CC2DD4" w14:paraId="4EBB0FBA" w14:textId="77777777">
        <w:trPr>
          <w:hidden/>
        </w:trPr>
        <w:tc>
          <w:tcPr>
            <w:tcW w:w="9638" w:type="dxa"/>
            <w:shd w:val="clear" w:color="auto" w:fill="auto"/>
            <w:tcMar>
              <w:top w:w="0" w:type="dxa"/>
              <w:left w:w="170" w:type="dxa"/>
              <w:bottom w:w="0" w:type="dxa"/>
              <w:right w:w="170" w:type="dxa"/>
            </w:tcMar>
          </w:tcPr>
          <w:p w14:paraId="4F641D0B" w14:textId="343FE03C" w:rsidR="00CC2DD4" w:rsidRPr="00465191" w:rsidRDefault="00CC2DD4">
            <w:pPr>
              <w:pStyle w:val="BodyText"/>
              <w:spacing w:before="0" w:after="0" w:line="80" w:lineRule="atLeast"/>
              <w:rPr>
                <w:smallCaps/>
                <w:vanish/>
              </w:rPr>
            </w:pPr>
          </w:p>
        </w:tc>
      </w:tr>
    </w:tbl>
    <w:p w14:paraId="79573F83" w14:textId="77777777" w:rsidR="00CC2DD4" w:rsidRDefault="00CC2DD4" w:rsidP="002F79E3">
      <w:pPr>
        <w:pStyle w:val="Heading3"/>
        <w:spacing w:before="360"/>
      </w:pPr>
      <w:r>
        <w:t>Utility connections can also act as a bottleneck to new housing</w:t>
      </w:r>
    </w:p>
    <w:p w14:paraId="232C88D7" w14:textId="01272491" w:rsidR="00CC2DD4" w:rsidRDefault="00CC2DD4">
      <w:pPr>
        <w:pStyle w:val="BodyText"/>
      </w:pPr>
      <w:r>
        <w:t xml:space="preserve">Delays in utilities connections for new housing developments can also act as a barrier to timely housing development. For example, Torana Estate in Sydney is a greenfield housing development that was rezoned for housing in 2013, but housing construction was delayed by several years after parcels of land were purchased in 2020, due to lagging sewerage connections (Hanrahan and Gock 2022). Several participants to this inquiry raised concerns about slow utility connections (ALGA, sub. 8, p. 5; NGAA, sub. 54, p. 4; PPI, sub. 77, p. 8). Master Builders Australia suggested these delays can be 6 to 12 months </w:t>
      </w:r>
      <w:r>
        <w:lastRenderedPageBreak/>
        <w:t>or more, and some members in Queensland reported that electricity connections that were initially expected to take 6 months are now regularly taking 18 months, and sometimes extended beyond project completion (sub. 74, pp. 13</w:t>
      </w:r>
      <w:r w:rsidR="002F79E3" w:rsidRPr="002F79E3">
        <w:t>–</w:t>
      </w:r>
      <w:r>
        <w:t xml:space="preserve">14). UDIA South Australia reported that South Australia is facing ongoing difficulties in delivering timely water infrastructure (sub. 31, p. 3). </w:t>
      </w:r>
    </w:p>
    <w:p w14:paraId="7E8A6A81" w14:textId="70A510C4" w:rsidR="00CC2DD4" w:rsidRDefault="00CC2DD4">
      <w:pPr>
        <w:pStyle w:val="BodyText"/>
      </w:pPr>
      <w:r>
        <w:t>Inquiry participants put forward several reasons for delayed utility connections. This includes ineffective sequencing and prioritisation of utility connections, timing mismatches between infrastructure planning and price review timeframes for infrastructure service providers, and a lack of accountability and competition among infrastructure service providers to incentivise timely connections (Create Advisory, sub. 70, pp. 2</w:t>
      </w:r>
      <w:r w:rsidR="005F1C68" w:rsidRPr="005F1C68">
        <w:t>–</w:t>
      </w:r>
      <w:r>
        <w:t>5; Master Builders Australia, sub. 74, pp. 13</w:t>
      </w:r>
      <w:r w:rsidR="005F1C68" w:rsidRPr="005F1C68">
        <w:t>–</w:t>
      </w:r>
      <w:r>
        <w:t>14; UDIA South Australia, sub. 31, p. 3; WSAA, sub. 85, p. 8). Create Advisory also suggested that data on infrastructure networks and their capacity lacks transparency and is sometimes unavailable, meaning it cannot inform infrastructure planning and development effectively (sub. 70, pp. 2</w:t>
      </w:r>
      <w:r w:rsidR="005F1C68" w:rsidRPr="005F1C68">
        <w:t>–</w:t>
      </w:r>
      <w:r>
        <w:t>3). There may also be misaligned incentives between each level of government and infrastructure service providers. For example, some participants suggested there was a lack of contestability among some providers which they argued reduced the incentives for providers to deliver faster utility connections (Master Builders Australia, sub. 74, p. 13; UDIA South Australia, sub. 31, p. 3), which may be at odds with governments seeking to meet housing targets.</w:t>
      </w:r>
    </w:p>
    <w:p w14:paraId="1F24E53B" w14:textId="77777777" w:rsidR="00CC2DD4" w:rsidRDefault="00CC2DD4">
      <w:pPr>
        <w:pStyle w:val="BodyText"/>
      </w:pPr>
      <w:r>
        <w:t>We are seeking more evidence about how infrastructure planning and coordination can support more timely utility connections (information request 4.1).</w:t>
      </w:r>
    </w:p>
    <w:p w14:paraId="657AC067" w14:textId="7AE7A387" w:rsidR="00CC2DD4" w:rsidRDefault="00CC2DD4">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CC2DD4" w14:paraId="474EBB51" w14:textId="77777777">
        <w:trPr>
          <w:trHeight w:val="765"/>
          <w:tblHeader/>
        </w:trPr>
        <w:tc>
          <w:tcPr>
            <w:tcW w:w="366" w:type="pct"/>
            <w:shd w:val="clear" w:color="auto" w:fill="EBEBEB"/>
            <w:tcMar>
              <w:bottom w:w="0" w:type="dxa"/>
            </w:tcMar>
            <w:vAlign w:val="center"/>
          </w:tcPr>
          <w:p w14:paraId="3134238F" w14:textId="77777777" w:rsidR="00CC2DD4" w:rsidRDefault="00CC2DD4">
            <w:pPr>
              <w:pStyle w:val="NoSpacing"/>
              <w:keepNext/>
              <w:keepLines/>
              <w:jc w:val="right"/>
            </w:pPr>
            <w:r w:rsidRPr="00A51374">
              <w:rPr>
                <w:noProof/>
              </w:rPr>
              <w:drawing>
                <wp:inline distT="0" distB="0" distL="0" distR="0" wp14:anchorId="3B1EE9AE" wp14:editId="2BF783F7">
                  <wp:extent cx="288000" cy="288000"/>
                  <wp:effectExtent l="0" t="0" r="0" b="0"/>
                  <wp:docPr id="925318091" name="Graphic 9253180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3844ED41" w14:textId="3CBC8D43" w:rsidR="00CC2DD4" w:rsidRPr="002530FF" w:rsidRDefault="00CC2DD4">
            <w:pPr>
              <w:pStyle w:val="FindingRecRequesttitle"/>
            </w:pPr>
            <w:r w:rsidRPr="000B0B71">
              <w:t xml:space="preserve">Information request </w:t>
            </w:r>
            <w:r w:rsidR="00CB06D8">
              <w:rPr>
                <w:noProof/>
              </w:rPr>
              <w:t>4</w:t>
            </w:r>
            <w:r w:rsidRPr="00DF7217">
              <w:t>.</w:t>
            </w:r>
            <w:r w:rsidR="00CB06D8">
              <w:rPr>
                <w:noProof/>
              </w:rPr>
              <w:t>1</w:t>
            </w:r>
          </w:p>
        </w:tc>
      </w:tr>
      <w:tr w:rsidR="00CC2DD4" w:rsidRPr="00D06AF9" w14:paraId="4B50B619" w14:textId="77777777">
        <w:tc>
          <w:tcPr>
            <w:tcW w:w="5000" w:type="pct"/>
            <w:gridSpan w:val="2"/>
            <w:shd w:val="clear" w:color="auto" w:fill="EBEBEB"/>
          </w:tcPr>
          <w:p w14:paraId="3274F110" w14:textId="77777777" w:rsidR="00CC2DD4" w:rsidRPr="00D06AF9" w:rsidRDefault="00CC2DD4" w:rsidP="00E11D04">
            <w:pPr>
              <w:pStyle w:val="ListBullet"/>
              <w:rPr>
                <w:color w:val="265A9A" w:themeColor="background2"/>
              </w:rPr>
            </w:pPr>
            <w:r w:rsidRPr="00D06AF9">
              <w:rPr>
                <w:color w:val="265A9A" w:themeColor="background2"/>
              </w:rPr>
              <w:t>What reforms are required to infrastructure planning and coordination to support more timely utility connections? To what extent is there misalignment of incentives between each level of government and infrastructure service providers?</w:t>
            </w:r>
          </w:p>
        </w:tc>
      </w:tr>
      <w:tr w:rsidR="00CC2DD4" w14:paraId="6A2B05E7" w14:textId="77777777">
        <w:tc>
          <w:tcPr>
            <w:tcW w:w="5000" w:type="pct"/>
            <w:gridSpan w:val="2"/>
            <w:tcMar>
              <w:bottom w:w="0" w:type="dxa"/>
            </w:tcMar>
          </w:tcPr>
          <w:p w14:paraId="7266BB44" w14:textId="23796210" w:rsidR="00CC2DD4" w:rsidRDefault="00CC2DD4">
            <w:pPr>
              <w:pStyle w:val="NoSpacing"/>
              <w:spacing w:line="200" w:lineRule="atLeast"/>
            </w:pPr>
          </w:p>
        </w:tc>
      </w:tr>
    </w:tbl>
    <w:p w14:paraId="0F8E65D5" w14:textId="77777777" w:rsidR="00CC2DD4" w:rsidRDefault="00CC2DD4" w:rsidP="005F1C68">
      <w:pPr>
        <w:pStyle w:val="Heading3"/>
        <w:spacing w:before="360"/>
      </w:pPr>
      <w:r>
        <w:t>States and territories take different approaches to infrastructure planning</w:t>
      </w:r>
    </w:p>
    <w:p w14:paraId="64E559F8" w14:textId="050677D2" w:rsidR="00CC2DD4" w:rsidRPr="005F1C68" w:rsidRDefault="00CC2DD4">
      <w:pPr>
        <w:pStyle w:val="BodyText"/>
        <w:rPr>
          <w:spacing w:val="-2"/>
        </w:rPr>
      </w:pPr>
      <w:r w:rsidRPr="005F1C68">
        <w:rPr>
          <w:spacing w:val="-2"/>
        </w:rPr>
        <w:t xml:space="preserve">Currently, state, territory and local governments take different approaches to infrastructure planning, as outlined briefly in chapter 1. Generally, state and territory governments outline strategic plans for planning objectives and major infrastructure, including growth projections, and may set goals for several years or decades in advance. In Victoria, an independent 30-year infrastructure strategy is released every 3 to 5 years by Infrastructure Victoria, with recommendations made to the Victorian Government that are supported by cost-benefit estimates. This is supplemented by Plan for Victoria, which is produced by the Victorian Government and covers housing, employment, infrastructure and other objectives the government sets (Infrastructure Victoria 2025, pp. 2, 4, 175–176; Victorian DTP 2025). </w:t>
      </w:r>
    </w:p>
    <w:p w14:paraId="4DB964C5" w14:textId="3FFCA003" w:rsidR="00CC2DD4" w:rsidRPr="00B150A0" w:rsidRDefault="00CC2DD4">
      <w:pPr>
        <w:pStyle w:val="BodyText"/>
      </w:pPr>
      <w:r>
        <w:t xml:space="preserve">Some states and territories are also responsible for regional-level or city infrastructure plans. For example, the </w:t>
      </w:r>
      <w:r w:rsidRPr="002137DE">
        <w:t xml:space="preserve">Greater Adelaide Regional Plan </w:t>
      </w:r>
      <w:r>
        <w:t xml:space="preserve">considers projected housing demand and land supply, and infrastructure objectives and plans </w:t>
      </w:r>
      <w:r w:rsidRPr="002137DE">
        <w:t>(SA DHUD 2025)</w:t>
      </w:r>
      <w:r>
        <w:t>.</w:t>
      </w:r>
    </w:p>
    <w:p w14:paraId="5C5BC610" w14:textId="322393FA" w:rsidR="00CC2DD4" w:rsidRDefault="00CC2DD4">
      <w:pPr>
        <w:pStyle w:val="BodyText"/>
      </w:pPr>
      <w:r>
        <w:t xml:space="preserve">Local infrastructure plans are more localised and consider future infrastructure needs to varying extents. Some have infrastructure strategies that outline broader objectives and anticipated </w:t>
      </w:r>
      <w:r>
        <w:lastRenderedPageBreak/>
        <w:t xml:space="preserve">infrastructure needs (often part of broader planning documents). For example, the City of Ballarat in Victoria has </w:t>
      </w:r>
      <w:r w:rsidRPr="0057581C">
        <w:rPr>
          <w:i/>
          <w:iCs/>
        </w:rPr>
        <w:t>The Ballarat Strategy</w:t>
      </w:r>
      <w:r w:rsidRPr="002137DE">
        <w:t xml:space="preserve">, </w:t>
      </w:r>
      <w:r>
        <w:t xml:space="preserve">which outlines objectives for liveability, housing, infrastructure and other goals </w:t>
      </w:r>
      <w:r w:rsidRPr="002137DE">
        <w:t>(City of Ballarat 2015)</w:t>
      </w:r>
      <w:r>
        <w:t>.</w:t>
      </w:r>
      <w:r w:rsidRPr="000E7481">
        <w:t xml:space="preserve"> </w:t>
      </w:r>
    </w:p>
    <w:p w14:paraId="47CA2E40" w14:textId="77777777" w:rsidR="00CC2DD4" w:rsidRDefault="00CC2DD4">
      <w:pPr>
        <w:pStyle w:val="Heading4"/>
      </w:pPr>
      <w:r>
        <w:t>There are some examples of good practice</w:t>
      </w:r>
    </w:p>
    <w:p w14:paraId="325D304E" w14:textId="26C37CCD" w:rsidR="00CC2DD4" w:rsidRDefault="00CC2DD4">
      <w:pPr>
        <w:pStyle w:val="BodyText"/>
      </w:pPr>
      <w:r>
        <w:t xml:space="preserve">Across state, territory and local governments, there are elements of good practice in infrastructure planning that support investment certainty for developers and help inform the timing and location of new housing-enabling infrastructure. For example, local government infrastructure plans in Queensland require councils to identify required infrastructure to meet current and future community needs (based on forecasts of future housing). They must also include cost estimates and demonstrate that the planned infrastructure can be funded, and are incorporated into the local planning scheme, with approval by the </w:t>
      </w:r>
      <w:proofErr w:type="gramStart"/>
      <w:r>
        <w:t>Planning Minister</w:t>
      </w:r>
      <w:proofErr w:type="gramEnd"/>
      <w:r>
        <w:t xml:space="preserve"> </w:t>
      </w:r>
      <w:r w:rsidRPr="002338B8">
        <w:t>(City of Logan 2026; Queensland DSDIP 2023, p. 27)</w:t>
      </w:r>
      <w:r>
        <w:t>.</w:t>
      </w:r>
    </w:p>
    <w:p w14:paraId="3C12FF1F" w14:textId="4D4D52C2" w:rsidR="00CC2DD4" w:rsidRDefault="00CC2DD4">
      <w:pPr>
        <w:pStyle w:val="BodyText"/>
      </w:pPr>
      <w:r>
        <w:t xml:space="preserve">Another is Parramatta City Council’s </w:t>
      </w:r>
      <w:r w:rsidRPr="002338B8">
        <w:t>Local Housing Strategy,</w:t>
      </w:r>
      <w:r>
        <w:t xml:space="preserve"> which includes specific estimates of capacity for additional housing in rezoned growth precincts in the local government area, and makes projections of housing capacity for up to 20 years into the future. It also identifies areas with more growth opportunities and key infrastructure considerations for each </w:t>
      </w:r>
      <w:r w:rsidRPr="002338B8">
        <w:t>(City of Parramatta 2020)</w:t>
      </w:r>
      <w:r>
        <w:t>.</w:t>
      </w:r>
    </w:p>
    <w:p w14:paraId="3FD2197C" w14:textId="349214C5" w:rsidR="00CC2DD4" w:rsidRDefault="00CC2DD4">
      <w:pPr>
        <w:pStyle w:val="BodyText"/>
      </w:pPr>
      <w:r>
        <w:t xml:space="preserve">And in some jurisdictions such as Queensland and New South Wales, local government infrastructure plans (or development contribution plans) are also required to establish developer </w:t>
      </w:r>
      <w:proofErr w:type="gramStart"/>
      <w:r>
        <w:t>contributions, and</w:t>
      </w:r>
      <w:proofErr w:type="gramEnd"/>
      <w:r>
        <w:t xml:space="preserve"> must follow a consistent format </w:t>
      </w:r>
      <w:r w:rsidRPr="002137DE">
        <w:t>(NSW IPART </w:t>
      </w:r>
      <w:proofErr w:type="spellStart"/>
      <w:r w:rsidRPr="002137DE">
        <w:t>nd</w:t>
      </w:r>
      <w:proofErr w:type="spellEnd"/>
      <w:r w:rsidRPr="002137DE">
        <w:t>; Queensland DSDIP 2023)</w:t>
      </w:r>
      <w:r>
        <w:t>.</w:t>
      </w:r>
    </w:p>
    <w:p w14:paraId="7A287FFD" w14:textId="77777777" w:rsidR="00CC2DD4" w:rsidRDefault="00CC2DD4">
      <w:pPr>
        <w:pStyle w:val="BodyText"/>
      </w:pPr>
      <w:r>
        <w:t>Participants also put forward examples of good practice:</w:t>
      </w:r>
    </w:p>
    <w:p w14:paraId="7EC2F3DC" w14:textId="4DA8F0BE" w:rsidR="00CC2DD4" w:rsidRPr="00C33D9C" w:rsidRDefault="00CC2DD4" w:rsidP="00E11D04">
      <w:pPr>
        <w:pStyle w:val="ListBullet"/>
      </w:pPr>
      <w:r w:rsidRPr="0E2C8386">
        <w:t>Policy Watchdog Australia suggested that Economic Development Queensland has taken a successful approach to coordinating infrastructure and housing</w:t>
      </w:r>
      <w:r>
        <w:t>, by acting as a centralised planning and delivery agency that ‘combines direct state assessment authority, infrastructure coordination, and a track record of delivered dwellings’</w:t>
      </w:r>
      <w:r w:rsidRPr="0E2C8386">
        <w:t xml:space="preserve"> (sub. 1, p. 6)</w:t>
      </w:r>
      <w:r w:rsidR="003221B4">
        <w:t>.</w:t>
      </w:r>
    </w:p>
    <w:p w14:paraId="18122EF1" w14:textId="5DFD9ED8" w:rsidR="00CC2DD4" w:rsidRPr="005F1C68" w:rsidRDefault="00CC2DD4" w:rsidP="00E11D04">
      <w:pPr>
        <w:pStyle w:val="ListBullet"/>
        <w:rPr>
          <w:spacing w:val="-2"/>
        </w:rPr>
      </w:pPr>
      <w:r w:rsidRPr="005F1C68">
        <w:rPr>
          <w:spacing w:val="-2"/>
        </w:rPr>
        <w:t>The National Growth Areas Alliance suggested that in South Australia, the introduction of Infrastructure Schemes into its planning legislation was showing promise as a successful collaboration between councils and state government to coordinate infrastructure delivery (sub. 54, p. 14)</w:t>
      </w:r>
      <w:r w:rsidR="003221B4">
        <w:rPr>
          <w:spacing w:val="-2"/>
        </w:rPr>
        <w:t>.</w:t>
      </w:r>
    </w:p>
    <w:p w14:paraId="0C9F9C4F" w14:textId="7D2D4B60" w:rsidR="00CC2DD4" w:rsidRPr="00C33D9C" w:rsidRDefault="00CC2DD4" w:rsidP="00E11D04">
      <w:pPr>
        <w:pStyle w:val="ListBullet"/>
      </w:pPr>
      <w:r w:rsidRPr="3AE4CC67">
        <w:t xml:space="preserve">Planning Institute </w:t>
      </w:r>
      <w:r>
        <w:t xml:space="preserve">of </w:t>
      </w:r>
      <w:r w:rsidRPr="3AE4CC67">
        <w:t>Australia suggested that Sydney’s Green Square (a large urban renewal precinct that is expected to deliver 33,000 new homes</w:t>
      </w:r>
      <w:r>
        <w:t xml:space="preserve">, </w:t>
      </w:r>
      <w:r w:rsidRPr="00AB29FC">
        <w:t>City of Sydney 2026)</w:t>
      </w:r>
      <w:r w:rsidRPr="3AE4CC67">
        <w:t>, is an example of successful long-term precinct planning and coordination with infrastructure. They also supported the South Australian Land Supply Dashboard, which allows users to view data on land availability and rezoning activity</w:t>
      </w:r>
      <w:r>
        <w:t xml:space="preserve"> </w:t>
      </w:r>
      <w:r w:rsidRPr="00AB29FC">
        <w:t>(</w:t>
      </w:r>
      <w:proofErr w:type="spellStart"/>
      <w:r w:rsidRPr="00AB29FC">
        <w:t>PlanSA</w:t>
      </w:r>
      <w:proofErr w:type="spellEnd"/>
      <w:r w:rsidRPr="00AB29FC">
        <w:t> 2026)</w:t>
      </w:r>
      <w:r w:rsidRPr="3AE4CC67">
        <w:t xml:space="preserve">, </w:t>
      </w:r>
      <w:proofErr w:type="gramStart"/>
      <w:r>
        <w:t>and</w:t>
      </w:r>
      <w:r w:rsidRPr="3AE4CC67">
        <w:t xml:space="preserve"> also</w:t>
      </w:r>
      <w:proofErr w:type="gramEnd"/>
      <w:r w:rsidRPr="3AE4CC67">
        <w:t xml:space="preserve"> informs infrastructure provision (sub. </w:t>
      </w:r>
      <w:r>
        <w:t>34</w:t>
      </w:r>
      <w:r w:rsidRPr="3AE4CC67">
        <w:t>, p</w:t>
      </w:r>
      <w:r>
        <w:t>p</w:t>
      </w:r>
      <w:r w:rsidRPr="3AE4CC67">
        <w:t>. 20</w:t>
      </w:r>
      <w:r>
        <w:t>, 28</w:t>
      </w:r>
      <w:r w:rsidRPr="3AE4CC67">
        <w:t>).</w:t>
      </w:r>
    </w:p>
    <w:p w14:paraId="623C447C" w14:textId="77777777" w:rsidR="00CC2DD4" w:rsidRDefault="00CC2DD4">
      <w:pPr>
        <w:pStyle w:val="Heading4"/>
      </w:pPr>
      <w:r>
        <w:t>But there is room for improvement in many cases</w:t>
      </w:r>
    </w:p>
    <w:p w14:paraId="3D1C3552" w14:textId="60BA3B6A" w:rsidR="00CC2DD4" w:rsidRPr="00EB5635" w:rsidRDefault="00CC2DD4">
      <w:pPr>
        <w:pStyle w:val="BodyText"/>
      </w:pPr>
      <w:r>
        <w:t xml:space="preserve">Despite these pockets of good practice, infrastructure planning at both the state and territory and local levels has limitations. Infrastructure planning documents can lack detail on how specific infrastructure measures and projected increases in new housing will be rolled out, and the expected costs and benefits of infrastructure projects. For example, WA’s </w:t>
      </w:r>
      <w:r w:rsidRPr="00184607">
        <w:rPr>
          <w:i/>
          <w:iCs/>
        </w:rPr>
        <w:t>State Infrastructure Programme 2025</w:t>
      </w:r>
      <w:r w:rsidRPr="00D75DDC">
        <w:t xml:space="preserve"> </w:t>
      </w:r>
      <w:r>
        <w:t xml:space="preserve">identifies housing as a factor in its infrastructure </w:t>
      </w:r>
      <w:proofErr w:type="gramStart"/>
      <w:r>
        <w:t>outlook, but</w:t>
      </w:r>
      <w:proofErr w:type="gramEnd"/>
      <w:r>
        <w:t xml:space="preserve"> predominantly focuses on provision of social and affordable housing and crisis accommodation, rather than also detailing how infrastructure projects will align with housing supply more broadly </w:t>
      </w:r>
      <w:r w:rsidRPr="00D75DDC">
        <w:t>(WA Government 2025)</w:t>
      </w:r>
      <w:r>
        <w:t>.</w:t>
      </w:r>
    </w:p>
    <w:p w14:paraId="7E365052" w14:textId="0296EC2E" w:rsidR="00CC2DD4" w:rsidRDefault="00CC2DD4">
      <w:pPr>
        <w:pStyle w:val="BodyText"/>
      </w:pPr>
      <w:r>
        <w:t xml:space="preserve">Some jurisdictions also have multiple plans that developers must navigate to understand infrastructure investment and its connection to housing in each location. For example, Devonport City Council in Tasmania and Mandurah City Council in Western Australia both have multiple plans and strategies for </w:t>
      </w:r>
      <w:r>
        <w:lastRenderedPageBreak/>
        <w:t xml:space="preserve">transport, community infrastructure and growth strategies. Devonport’s stormwater management and road network strategies do not include detail on how the infrastructure will support housing supply, and Mandurah’s </w:t>
      </w:r>
      <w:r w:rsidRPr="00D75DDC">
        <w:t xml:space="preserve">Community Infrastructure Plan </w:t>
      </w:r>
      <w:r>
        <w:t xml:space="preserve">does not link the infrastructure to housing delivery </w:t>
      </w:r>
      <w:r w:rsidRPr="00D75DDC">
        <w:t>(City of Mandurah 2025, 2026; Devonport City Council 2020, 2023, 2026)</w:t>
      </w:r>
      <w:r>
        <w:t xml:space="preserve">. </w:t>
      </w:r>
    </w:p>
    <w:p w14:paraId="04B44936" w14:textId="2FC4EC79" w:rsidR="00CC2DD4" w:rsidRDefault="00CC2DD4">
      <w:pPr>
        <w:pStyle w:val="BodyText"/>
      </w:pPr>
      <w:r>
        <w:t xml:space="preserve">And in some jurisdictions, plans are not updated regularly. For example, in Darebin City Council in Melbourne, the Northcote structure plan notes that one of the objectives is to ‘give clear direction to investors about [the] preferred location for investment’ and is dated from 2007 </w:t>
      </w:r>
      <w:r w:rsidRPr="00D75DDC">
        <w:t>(Darebin City Council 2007, pp. 1, 9)</w:t>
      </w:r>
      <w:r>
        <w:t>.</w:t>
      </w:r>
    </w:p>
    <w:p w14:paraId="136953FE" w14:textId="77777777" w:rsidR="00CC2DD4" w:rsidRDefault="00CC2DD4">
      <w:pPr>
        <w:pStyle w:val="Heading3"/>
      </w:pPr>
      <w:r>
        <w:t xml:space="preserve">Infrastructure planning can better align with best practice principles to support housing supply </w:t>
      </w:r>
    </w:p>
    <w:p w14:paraId="4AC7F3AA" w14:textId="77777777" w:rsidR="00CC2DD4" w:rsidRDefault="00CC2DD4">
      <w:pPr>
        <w:pStyle w:val="BodyText"/>
      </w:pPr>
      <w:r>
        <w:t xml:space="preserve">Governments can improve infrastructure planning through better coordination between all levels of government, a clearer joint vision for infrastructure, housing and planning, transparent frameworks for estimating infrastructure </w:t>
      </w:r>
      <w:r w:rsidRPr="002954CD">
        <w:t>upgrade needs and alignment of local</w:t>
      </w:r>
      <w:r>
        <w:t>, regional, city and local-level</w:t>
      </w:r>
      <w:r w:rsidRPr="002954CD">
        <w:t xml:space="preserve"> plans</w:t>
      </w:r>
      <w:r w:rsidRPr="0047470F">
        <w:t>.</w:t>
      </w:r>
    </w:p>
    <w:p w14:paraId="73DBAA07" w14:textId="77777777" w:rsidR="00CC2DD4" w:rsidRDefault="00CC2DD4">
      <w:pPr>
        <w:pStyle w:val="BodyText"/>
      </w:pPr>
      <w:r>
        <w:t>Infrastructure planning is just one part of broader strategic planning to ensure new housing is delivered in a timely way. Making infrastructure planning more proactive, clear and housing-oriented also supports other parts of the housing development process, such as faster development approvals (chapter 3 and reform direction 3.1).</w:t>
      </w:r>
    </w:p>
    <w:p w14:paraId="4D16D69D" w14:textId="77777777" w:rsidR="00CC2DD4" w:rsidRPr="003221B4" w:rsidRDefault="00CC2DD4">
      <w:pPr>
        <w:pStyle w:val="BodyText"/>
        <w:rPr>
          <w:spacing w:val="-4"/>
        </w:rPr>
      </w:pPr>
      <w:r w:rsidRPr="003221B4">
        <w:rPr>
          <w:spacing w:val="-4"/>
        </w:rPr>
        <w:t>In addition, the presence of quality plans – while an important first step – does not guarantee that infrastructure planning is coordinated well with housing in practice. There must also be clearly defined roles and responsibilities, and incentives to ensure all parties involved in infrastructure and housing are aligned.</w:t>
      </w:r>
    </w:p>
    <w:p w14:paraId="0034197C" w14:textId="77777777" w:rsidR="00CC2DD4" w:rsidRDefault="00CC2DD4">
      <w:pPr>
        <w:pStyle w:val="BodyText"/>
      </w:pPr>
      <w:r>
        <w:t>Based on our best-practice principles (chapter 1), and evidence from submissions and literature, we propose several reform directions for infrastructure planning. These represent a preliminary view: we are seeking feedback on these directions and their implementation to inform our final report.</w:t>
      </w:r>
    </w:p>
    <w:p w14:paraId="69C2525B" w14:textId="77777777" w:rsidR="00CC2DD4" w:rsidRDefault="00CC2DD4">
      <w:pPr>
        <w:spacing w:before="0" w:after="160" w:line="259" w:lineRule="auto"/>
      </w:pPr>
      <w:r>
        <w:br w:type="page"/>
      </w:r>
    </w:p>
    <w:tbl>
      <w:tblPr>
        <w:tblStyle w:val="Texttable-Paleblue"/>
        <w:tblW w:w="5000" w:type="pct"/>
        <w:tblLook w:val="04A0" w:firstRow="1" w:lastRow="0" w:firstColumn="1" w:lastColumn="0" w:noHBand="0" w:noVBand="1"/>
      </w:tblPr>
      <w:tblGrid>
        <w:gridCol w:w="713"/>
        <w:gridCol w:w="8925"/>
      </w:tblGrid>
      <w:tr w:rsidR="00CC2DD4" w14:paraId="6FC627EE" w14:textId="77777777" w:rsidTr="00B21740">
        <w:trPr>
          <w:tblHeader/>
        </w:trPr>
        <w:tc>
          <w:tcPr>
            <w:tcW w:w="713" w:type="dxa"/>
            <w:shd w:val="clear" w:color="auto" w:fill="E7F6FD"/>
            <w:tcMar>
              <w:top w:w="0" w:type="dxa"/>
              <w:bottom w:w="0" w:type="dxa"/>
            </w:tcMar>
            <w:vAlign w:val="center"/>
          </w:tcPr>
          <w:p w14:paraId="147A55C4" w14:textId="77777777" w:rsidR="00CC2DD4" w:rsidRDefault="00CC2DD4">
            <w:pPr>
              <w:keepLines/>
              <w:jc w:val="center"/>
            </w:pPr>
            <w:r w:rsidRPr="00A51374">
              <w:rPr>
                <w:noProof/>
              </w:rPr>
              <w:lastRenderedPageBreak/>
              <w:drawing>
                <wp:inline distT="0" distB="0" distL="0" distR="0" wp14:anchorId="518E66B5" wp14:editId="5F070EA2">
                  <wp:extent cx="288000" cy="288000"/>
                  <wp:effectExtent l="0" t="0" r="0" b="0"/>
                  <wp:docPr id="469632058" name="Graphic 4696320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3438F82D" w14:textId="6FE5FBDB" w:rsidR="00CC2DD4" w:rsidRPr="00715040" w:rsidRDefault="00CC2DD4">
            <w:pPr>
              <w:pStyle w:val="FindingRecRequesttitle"/>
            </w:pPr>
            <w:r w:rsidRPr="00715040">
              <w:t>Re</w:t>
            </w:r>
            <w:r>
              <w:t>form direction</w:t>
            </w:r>
            <w:r w:rsidRPr="00715040">
              <w:t xml:space="preserve"> </w:t>
            </w:r>
            <w:r>
              <w:t>4</w:t>
            </w:r>
            <w:r w:rsidRPr="00715040">
              <w:t>.</w:t>
            </w:r>
            <w:r w:rsidR="00CB06D8">
              <w:rPr>
                <w:noProof/>
              </w:rPr>
              <w:t>1</w:t>
            </w:r>
          </w:p>
          <w:p w14:paraId="0895A420" w14:textId="77777777" w:rsidR="00CC2DD4" w:rsidRPr="00715040" w:rsidRDefault="00CC2DD4">
            <w:pPr>
              <w:pStyle w:val="FindingRecRequesttitle"/>
            </w:pPr>
            <w:r>
              <w:t>Coordinate strategic planning for infrastructure with housing objectives</w:t>
            </w:r>
          </w:p>
        </w:tc>
      </w:tr>
      <w:tr w:rsidR="00CC2DD4" w14:paraId="52BAB0B9" w14:textId="77777777" w:rsidTr="00B21740">
        <w:tc>
          <w:tcPr>
            <w:tcW w:w="9638" w:type="dxa"/>
            <w:gridSpan w:val="2"/>
            <w:shd w:val="clear" w:color="auto" w:fill="E7F6FD"/>
            <w:tcMar>
              <w:top w:w="0" w:type="dxa"/>
            </w:tcMar>
          </w:tcPr>
          <w:p w14:paraId="1FF6BA2B" w14:textId="77777777" w:rsidR="00CC2DD4" w:rsidRDefault="00CC2DD4">
            <w:pPr>
              <w:pStyle w:val="BodyText"/>
            </w:pPr>
            <w:r>
              <w:t>State, territory and local governments should improve their infrastructure planning by:</w:t>
            </w:r>
          </w:p>
          <w:p w14:paraId="5750BBE4" w14:textId="77777777" w:rsidR="00CC2DD4" w:rsidRPr="003221B4" w:rsidRDefault="00CC2DD4" w:rsidP="00E11D04">
            <w:pPr>
              <w:pStyle w:val="ListBullet"/>
              <w:rPr>
                <w:spacing w:val="-4"/>
              </w:rPr>
            </w:pPr>
            <w:r w:rsidRPr="003221B4">
              <w:rPr>
                <w:spacing w:val="-4"/>
              </w:rPr>
              <w:t>documenting how infrastructure planning supports housing objectives, including any interdependencies with third parties such as infrastructure service providers. This should be prioritised for areas identified as having high expected demand for new housing (reform direction 3.1)</w:t>
            </w:r>
          </w:p>
          <w:p w14:paraId="4F45037A" w14:textId="77777777" w:rsidR="00CC2DD4" w:rsidRPr="00327C1B" w:rsidRDefault="00CC2DD4" w:rsidP="00E11D04">
            <w:pPr>
              <w:pStyle w:val="ListBullet"/>
            </w:pPr>
            <w:r w:rsidRPr="1065174B">
              <w:t>ensuring infrastructure planning documents are kept current</w:t>
            </w:r>
          </w:p>
          <w:p w14:paraId="25A33D82" w14:textId="77777777" w:rsidR="00CC2DD4" w:rsidRPr="00327C1B" w:rsidRDefault="00CC2DD4" w:rsidP="00E11D04">
            <w:pPr>
              <w:pStyle w:val="ListBullet"/>
            </w:pPr>
            <w:r>
              <w:t xml:space="preserve">reporting </w:t>
            </w:r>
            <w:r w:rsidRPr="05013D34">
              <w:t xml:space="preserve">the level of funding allocated to individual infrastructure projects and the expected costs and benefits of </w:t>
            </w:r>
            <w:r>
              <w:t>major road and transport projects</w:t>
            </w:r>
          </w:p>
          <w:p w14:paraId="027B6412" w14:textId="77777777" w:rsidR="00CC2DD4" w:rsidRPr="00767EAE" w:rsidRDefault="00CC2DD4" w:rsidP="00E11D04">
            <w:pPr>
              <w:pStyle w:val="ListBullet"/>
            </w:pPr>
            <w:r w:rsidRPr="00327C1B">
              <w:t xml:space="preserve">ensuring there is a consistent approach </w:t>
            </w:r>
            <w:r>
              <w:t xml:space="preserve">to infrastructure planning </w:t>
            </w:r>
            <w:r w:rsidRPr="00327C1B">
              <w:t>across local governments within jurisdictions, and that local plan</w:t>
            </w:r>
            <w:r>
              <w:t>ning</w:t>
            </w:r>
            <w:r w:rsidRPr="00327C1B">
              <w:t xml:space="preserve"> align</w:t>
            </w:r>
            <w:r>
              <w:t>s</w:t>
            </w:r>
            <w:r w:rsidRPr="00327C1B">
              <w:t xml:space="preserve"> with state-level infrastructure and housing objectives and projections</w:t>
            </w:r>
            <w:r>
              <w:t xml:space="preserve"> (and supports reform direction 4.2).</w:t>
            </w:r>
          </w:p>
        </w:tc>
      </w:tr>
      <w:tr w:rsidR="00CC2DD4" w14:paraId="18A65A94" w14:textId="77777777" w:rsidTr="00B21740">
        <w:tc>
          <w:tcPr>
            <w:tcW w:w="9638" w:type="dxa"/>
            <w:gridSpan w:val="2"/>
            <w:shd w:val="clear" w:color="auto" w:fill="auto"/>
            <w:tcMar>
              <w:top w:w="0" w:type="dxa"/>
              <w:bottom w:w="0" w:type="dxa"/>
            </w:tcMar>
          </w:tcPr>
          <w:p w14:paraId="5F1A8D2A" w14:textId="2C9D6CED" w:rsidR="00CC2DD4" w:rsidRPr="007E0EA8" w:rsidRDefault="00CC2DD4">
            <w:pPr>
              <w:pStyle w:val="NoSpacing"/>
              <w:spacing w:line="200" w:lineRule="exact"/>
            </w:pPr>
          </w:p>
        </w:tc>
      </w:tr>
    </w:tbl>
    <w:p w14:paraId="40ED9CD5" w14:textId="7E4DD933" w:rsidR="00CC2DD4" w:rsidRDefault="00CC2DD4">
      <w:pPr>
        <w:pStyle w:val="NoSpacing"/>
      </w:pPr>
    </w:p>
    <w:tbl>
      <w:tblPr>
        <w:tblStyle w:val="Texttable-Paleblue"/>
        <w:tblW w:w="5000" w:type="pct"/>
        <w:tblLook w:val="04A0" w:firstRow="1" w:lastRow="0" w:firstColumn="1" w:lastColumn="0" w:noHBand="0" w:noVBand="1"/>
      </w:tblPr>
      <w:tblGrid>
        <w:gridCol w:w="713"/>
        <w:gridCol w:w="8925"/>
      </w:tblGrid>
      <w:tr w:rsidR="00CC2DD4" w14:paraId="5FB6056A" w14:textId="77777777">
        <w:trPr>
          <w:tblHeader/>
        </w:trPr>
        <w:tc>
          <w:tcPr>
            <w:tcW w:w="713" w:type="dxa"/>
            <w:shd w:val="clear" w:color="auto" w:fill="E7F6FD"/>
            <w:tcMar>
              <w:top w:w="0" w:type="dxa"/>
              <w:bottom w:w="0" w:type="dxa"/>
            </w:tcMar>
            <w:vAlign w:val="center"/>
          </w:tcPr>
          <w:p w14:paraId="76A672A3" w14:textId="77777777" w:rsidR="00CC2DD4" w:rsidRDefault="00CC2DD4">
            <w:pPr>
              <w:keepLines/>
              <w:jc w:val="center"/>
            </w:pPr>
            <w:r w:rsidRPr="00A51374">
              <w:rPr>
                <w:noProof/>
              </w:rPr>
              <w:drawing>
                <wp:inline distT="0" distB="0" distL="0" distR="0" wp14:anchorId="2CC957BC" wp14:editId="43379CF1">
                  <wp:extent cx="288000" cy="288000"/>
                  <wp:effectExtent l="0" t="0" r="0" b="0"/>
                  <wp:docPr id="340539495" name="Graphic 340539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925" w:type="dxa"/>
            <w:shd w:val="clear" w:color="auto" w:fill="E7F6FD"/>
            <w:tcMar>
              <w:top w:w="0" w:type="dxa"/>
              <w:bottom w:w="0" w:type="dxa"/>
            </w:tcMar>
            <w:vAlign w:val="center"/>
          </w:tcPr>
          <w:p w14:paraId="6A88E08E" w14:textId="5C89A4B0" w:rsidR="00CC2DD4" w:rsidRPr="00715040" w:rsidRDefault="00CC2DD4">
            <w:pPr>
              <w:pStyle w:val="FindingRecRequesttitle"/>
            </w:pPr>
            <w:r w:rsidRPr="00715040">
              <w:t>Re</w:t>
            </w:r>
            <w:r>
              <w:t xml:space="preserve">form direction </w:t>
            </w:r>
            <w:r w:rsidR="00CB06D8">
              <w:rPr>
                <w:noProof/>
              </w:rPr>
              <w:t>4</w:t>
            </w:r>
            <w:r w:rsidRPr="00715040">
              <w:t>.</w:t>
            </w:r>
            <w:r w:rsidR="00CB06D8">
              <w:rPr>
                <w:noProof/>
              </w:rPr>
              <w:t>2</w:t>
            </w:r>
          </w:p>
          <w:p w14:paraId="201BA5D8" w14:textId="77777777" w:rsidR="00CC2DD4" w:rsidRPr="00715040" w:rsidRDefault="00CC2DD4">
            <w:pPr>
              <w:pStyle w:val="FindingRecRequesttitle"/>
            </w:pPr>
            <w:r>
              <w:t>Improve infrastructure sequencing with housing development</w:t>
            </w:r>
          </w:p>
        </w:tc>
      </w:tr>
      <w:tr w:rsidR="00CC2DD4" w14:paraId="12AB20DF" w14:textId="77777777">
        <w:tc>
          <w:tcPr>
            <w:tcW w:w="9638" w:type="dxa"/>
            <w:gridSpan w:val="2"/>
            <w:shd w:val="clear" w:color="auto" w:fill="E7F6FD"/>
            <w:tcMar>
              <w:top w:w="0" w:type="dxa"/>
            </w:tcMar>
          </w:tcPr>
          <w:p w14:paraId="64FAAB51" w14:textId="77777777" w:rsidR="00CC2DD4" w:rsidRDefault="00CC2DD4">
            <w:pPr>
              <w:pStyle w:val="BodyText"/>
            </w:pPr>
            <w:r>
              <w:t>State and territory governments should improve how infrastructure is sequenced with housing. This includes:</w:t>
            </w:r>
          </w:p>
          <w:p w14:paraId="7F8B2D45" w14:textId="77777777" w:rsidR="00CC2DD4" w:rsidRDefault="00CC2DD4" w:rsidP="00E11D04">
            <w:pPr>
              <w:pStyle w:val="ListBullet"/>
            </w:pPr>
            <w:r w:rsidRPr="00327C1B">
              <w:t>ensuring the timing of rezoning and infrastructure planning accounts for the lead times of each and that this is reflected in infrastructure plans</w:t>
            </w:r>
            <w:r>
              <w:t>, to ensure land for housing is released once a plan to deliver timely supporting infrastructure has been made</w:t>
            </w:r>
          </w:p>
          <w:p w14:paraId="1954B105" w14:textId="77777777" w:rsidR="00CC2DD4" w:rsidRPr="00327C1B" w:rsidRDefault="00CC2DD4" w:rsidP="00E11D04">
            <w:pPr>
              <w:pStyle w:val="ListBullet"/>
            </w:pPr>
            <w:r>
              <w:t xml:space="preserve">ensuring infrastructure upgrades to support additional housing coincide with required changes to support housing, such as upzoning </w:t>
            </w:r>
          </w:p>
          <w:p w14:paraId="6117D785" w14:textId="77777777" w:rsidR="00CC2DD4" w:rsidRPr="009D5DB4" w:rsidRDefault="00CC2DD4" w:rsidP="00E11D04">
            <w:pPr>
              <w:pStyle w:val="ListBullet"/>
            </w:pPr>
            <w:r w:rsidRPr="00327C1B">
              <w:t xml:space="preserve">developing an accountability framework with clear responsibilities for each level of government and other parties such as </w:t>
            </w:r>
            <w:r>
              <w:t>regulators and infrastructure service</w:t>
            </w:r>
            <w:r w:rsidRPr="00327C1B">
              <w:t xml:space="preserve"> providers, to set out how they will work together to deliver timely infrastructure to support housing</w:t>
            </w:r>
          </w:p>
          <w:p w14:paraId="6AB3E6D3" w14:textId="77777777" w:rsidR="00CC2DD4" w:rsidRPr="00767EAE" w:rsidRDefault="00CC2DD4" w:rsidP="00E11D04">
            <w:pPr>
              <w:pStyle w:val="ListBullet"/>
            </w:pPr>
            <w:r>
              <w:t>considering how sequencing can improve certainty for other parts of the development process, including approvals (reform direction 3.1)</w:t>
            </w:r>
            <w:r w:rsidRPr="00327C1B">
              <w:t>.</w:t>
            </w:r>
          </w:p>
        </w:tc>
      </w:tr>
      <w:tr w:rsidR="00CC2DD4" w14:paraId="30BB4551" w14:textId="77777777">
        <w:tc>
          <w:tcPr>
            <w:tcW w:w="9638" w:type="dxa"/>
            <w:gridSpan w:val="2"/>
            <w:shd w:val="clear" w:color="auto" w:fill="auto"/>
            <w:tcMar>
              <w:top w:w="0" w:type="dxa"/>
              <w:bottom w:w="0" w:type="dxa"/>
            </w:tcMar>
          </w:tcPr>
          <w:p w14:paraId="4A18B3EC" w14:textId="0B927E61" w:rsidR="00CC2DD4" w:rsidRPr="007E0EA8" w:rsidRDefault="00CC2DD4">
            <w:pPr>
              <w:pStyle w:val="NoSpacing"/>
              <w:spacing w:line="200" w:lineRule="exact"/>
            </w:pPr>
          </w:p>
        </w:tc>
      </w:tr>
    </w:tbl>
    <w:p w14:paraId="021A9044" w14:textId="77777777" w:rsidR="003221B4" w:rsidRDefault="003221B4" w:rsidP="003221B4">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CC2DD4" w14:paraId="4B865CAC" w14:textId="77777777">
        <w:trPr>
          <w:trHeight w:val="765"/>
          <w:tblHeader/>
        </w:trPr>
        <w:tc>
          <w:tcPr>
            <w:tcW w:w="366" w:type="pct"/>
            <w:shd w:val="clear" w:color="auto" w:fill="EBEBEB"/>
            <w:tcMar>
              <w:bottom w:w="0" w:type="dxa"/>
            </w:tcMar>
            <w:vAlign w:val="center"/>
          </w:tcPr>
          <w:p w14:paraId="32B57EB9" w14:textId="77777777" w:rsidR="00CC2DD4" w:rsidRDefault="00CC2DD4">
            <w:pPr>
              <w:pStyle w:val="NoSpacing"/>
              <w:keepNext/>
              <w:keepLines/>
              <w:jc w:val="right"/>
            </w:pPr>
            <w:r w:rsidRPr="00A51374">
              <w:rPr>
                <w:noProof/>
              </w:rPr>
              <w:drawing>
                <wp:inline distT="0" distB="0" distL="0" distR="0" wp14:anchorId="478C94A1" wp14:editId="772EBE79">
                  <wp:extent cx="288000" cy="288000"/>
                  <wp:effectExtent l="0" t="0" r="0" b="0"/>
                  <wp:docPr id="483450733" name="Graphic 4834507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77CB40EB" w14:textId="4EC0DDDB" w:rsidR="00CC2DD4" w:rsidRPr="002530FF" w:rsidRDefault="00CC2DD4">
            <w:pPr>
              <w:pStyle w:val="FindingRecRequesttitle"/>
            </w:pPr>
            <w:r w:rsidRPr="000B0B71">
              <w:t xml:space="preserve">Information request </w:t>
            </w:r>
            <w:r w:rsidR="00CB06D8">
              <w:rPr>
                <w:noProof/>
              </w:rPr>
              <w:t>4</w:t>
            </w:r>
            <w:r w:rsidRPr="00DF7217">
              <w:t>.</w:t>
            </w:r>
            <w:r>
              <w:t>2</w:t>
            </w:r>
          </w:p>
        </w:tc>
      </w:tr>
      <w:tr w:rsidR="00CC2DD4" w:rsidRPr="00D06AF9" w14:paraId="2F5CF0D4" w14:textId="77777777">
        <w:tc>
          <w:tcPr>
            <w:tcW w:w="5000" w:type="pct"/>
            <w:gridSpan w:val="2"/>
            <w:shd w:val="clear" w:color="auto" w:fill="EBEBEB"/>
          </w:tcPr>
          <w:p w14:paraId="7C9E2280" w14:textId="77777777" w:rsidR="00CC2DD4" w:rsidRPr="00D06AF9" w:rsidRDefault="00CC2DD4" w:rsidP="00E11D04">
            <w:pPr>
              <w:pStyle w:val="ListBullet"/>
              <w:rPr>
                <w:color w:val="265A9A" w:themeColor="background2"/>
              </w:rPr>
            </w:pPr>
            <w:r w:rsidRPr="00D06AF9">
              <w:rPr>
                <w:color w:val="265A9A" w:themeColor="background2"/>
              </w:rPr>
              <w:t>What feedback do you have on our reform directions for infrastructure planning? To what extent will these resolve the planning coordination issues and address constraints to housing supply?</w:t>
            </w:r>
          </w:p>
          <w:p w14:paraId="599E778B" w14:textId="77777777" w:rsidR="00CC2DD4" w:rsidRPr="00D06AF9" w:rsidRDefault="00CC2DD4" w:rsidP="00E11D04">
            <w:pPr>
              <w:pStyle w:val="ListBullet"/>
              <w:rPr>
                <w:color w:val="265A9A" w:themeColor="background2"/>
              </w:rPr>
            </w:pPr>
            <w:r w:rsidRPr="00D06AF9">
              <w:rPr>
                <w:color w:val="265A9A" w:themeColor="background2"/>
              </w:rPr>
              <w:t>How should reforms to infrastructure planning be implemented and what are the main challenges?</w:t>
            </w:r>
          </w:p>
        </w:tc>
      </w:tr>
      <w:tr w:rsidR="00CC2DD4" w14:paraId="76B79C76" w14:textId="77777777">
        <w:tc>
          <w:tcPr>
            <w:tcW w:w="5000" w:type="pct"/>
            <w:gridSpan w:val="2"/>
            <w:tcMar>
              <w:bottom w:w="0" w:type="dxa"/>
            </w:tcMar>
          </w:tcPr>
          <w:p w14:paraId="1B8FCCFC" w14:textId="3E4AB4CA" w:rsidR="00CC2DD4" w:rsidRDefault="00CC2DD4">
            <w:pPr>
              <w:pStyle w:val="NoSpacing"/>
              <w:spacing w:line="200" w:lineRule="atLeast"/>
            </w:pPr>
          </w:p>
        </w:tc>
      </w:tr>
    </w:tbl>
    <w:p w14:paraId="7CFA4E8E" w14:textId="77777777" w:rsidR="00CC2DD4" w:rsidRDefault="00CC2DD4">
      <w:pPr>
        <w:pStyle w:val="Heading2"/>
      </w:pPr>
      <w:bookmarkStart w:id="37" w:name="_Toc235103160"/>
      <w:r>
        <w:lastRenderedPageBreak/>
        <w:t>Who pays for housing-enabling infrastructure?</w:t>
      </w:r>
      <w:bookmarkEnd w:id="37"/>
    </w:p>
    <w:p w14:paraId="29A488CF" w14:textId="77777777" w:rsidR="00CC2DD4" w:rsidRDefault="00CC2DD4">
      <w:pPr>
        <w:pStyle w:val="Heading3"/>
      </w:pPr>
      <w:r>
        <w:t>Infrastructure is funded by users, developers and governments</w:t>
      </w:r>
    </w:p>
    <w:p w14:paraId="28214458" w14:textId="77777777" w:rsidR="00CC2DD4" w:rsidRDefault="00CC2DD4">
      <w:pPr>
        <w:pStyle w:val="BodyText"/>
      </w:pPr>
      <w:r>
        <w:t>Housing-enabling infrastructure is funded by a combination of charges on developers, users of the infrastructure (such as public transport fares or public pool entry fees) and by governments. Funding comes from various levels of government including local government, state and territory governments, and the Australian Government (which can be distributed in the form of direct spending or grants to other levels of government to help fund infrastructure).</w:t>
      </w:r>
    </w:p>
    <w:p w14:paraId="1F47A0F6" w14:textId="1F1D919E" w:rsidR="00CC2DD4" w:rsidRPr="00E521B0" w:rsidRDefault="00CC2DD4">
      <w:pPr>
        <w:pStyle w:val="BodyText"/>
        <w:rPr>
          <w:spacing w:val="-2"/>
        </w:rPr>
      </w:pPr>
      <w:r w:rsidRPr="00E521B0">
        <w:rPr>
          <w:spacing w:val="-2"/>
        </w:rPr>
        <w:t>Developer contributions</w:t>
      </w:r>
      <w:r w:rsidRPr="00E521B0">
        <w:rPr>
          <w:rStyle w:val="FootnoteReference"/>
          <w:spacing w:val="-2"/>
        </w:rPr>
        <w:footnoteReference w:id="15"/>
      </w:r>
      <w:r w:rsidRPr="00E521B0">
        <w:rPr>
          <w:spacing w:val="-2"/>
        </w:rPr>
        <w:t xml:space="preserve"> are charges directly levied on developers of new dwellings, often as part of the approval process for the dwelling. They are typically administered by state and local governments, and for some utilities (such as water), the responsible corporation may administer and collect contributions. Developer contributions reflect that housing development imposes broader infrastructure costs on the community that governments typically provide, such as new roads connecting to the development site. The extent to which housing-enabling infrastructure is paid for by developer contributions varies depending on the location and type of development (NHFIC 2021, pp. 29–31).</w:t>
      </w:r>
    </w:p>
    <w:p w14:paraId="19F6D1AA" w14:textId="77777777" w:rsidR="00CC2DD4" w:rsidRDefault="00CC2DD4">
      <w:pPr>
        <w:pStyle w:val="Heading4"/>
      </w:pPr>
      <w:r>
        <w:t xml:space="preserve">Local governments face challenges in funding housing-enabling infrastructure </w:t>
      </w:r>
    </w:p>
    <w:p w14:paraId="2CD6277F" w14:textId="48E86374" w:rsidR="00CC2DD4" w:rsidRDefault="00CC2DD4">
      <w:pPr>
        <w:pStyle w:val="BodyText"/>
      </w:pPr>
      <w:r>
        <w:t xml:space="preserve">Demand for local infrastructure has grown significantly over the last few decades. In 2021, local governments were responsible for funding an estimated almost 30% of public infrastructure expenditure on average </w:t>
      </w:r>
      <w:r w:rsidRPr="00D75DDC">
        <w:t>(SGS Economics and Planning 2022, p. 51)</w:t>
      </w:r>
      <w:r>
        <w:t>. Yet</w:t>
      </w:r>
      <w:r w:rsidDel="00594645">
        <w:t>,</w:t>
      </w:r>
      <w:r>
        <w:t xml:space="preserve"> local governments have limited avenues for generating revenue, making it increasingly difficult for councils to fund infrastructure </w:t>
      </w:r>
      <w:r w:rsidRPr="00D75DDC">
        <w:t>(NHFIC 2021, p. 4; SGS Economics and Planning 2024, pp. 26–28)</w:t>
      </w:r>
      <w:r>
        <w:t>.</w:t>
      </w:r>
      <w:r w:rsidDel="00FA6978">
        <w:t xml:space="preserve"> </w:t>
      </w:r>
    </w:p>
    <w:p w14:paraId="2EB60A94" w14:textId="432619A8" w:rsidR="00CC2DD4" w:rsidRDefault="00CC2DD4">
      <w:pPr>
        <w:pStyle w:val="BodyText"/>
      </w:pPr>
      <w:r>
        <w:t xml:space="preserve">A 2024 survey of 130 local governments found that the most common challenge in delivering more new housing was a lack of infrastructure funding. </w:t>
      </w:r>
      <w:r w:rsidR="00522052">
        <w:t>Eighty per cent</w:t>
      </w:r>
      <w:r>
        <w:t xml:space="preserve"> of participating councils said they could not cover trunk infrastructure expenses, and 40% said they had reduced new infrastructure projects due to lack of funding </w:t>
      </w:r>
      <w:r w:rsidRPr="00D75DDC">
        <w:t>(ALGA 2024, p. 5)</w:t>
      </w:r>
      <w:r>
        <w:t>. Local governments identify several challenges affecting their ability to fund housing-enabling infrastructure.</w:t>
      </w:r>
    </w:p>
    <w:p w14:paraId="18C0A8A2" w14:textId="5722ED54" w:rsidR="00CC2DD4" w:rsidRPr="00C33D9C" w:rsidRDefault="00CC2DD4" w:rsidP="00E11D04">
      <w:pPr>
        <w:pStyle w:val="ListBullet"/>
      </w:pPr>
      <w:r>
        <w:t>C</w:t>
      </w:r>
      <w:r w:rsidRPr="00C33D9C">
        <w:t>aps on developer c</w:t>
      </w:r>
      <w:r>
        <w:t>ontributions</w:t>
      </w:r>
      <w:r w:rsidRPr="00C33D9C">
        <w:t xml:space="preserve"> or caps not being indexed can contribute to funding shortfalls </w:t>
      </w:r>
      <w:r w:rsidRPr="000D619D">
        <w:rPr>
          <w:rFonts w:cs="Open Sans"/>
        </w:rPr>
        <w:t>(ALGA 2024, p. 14; NHFIC 2021, pp. 22–23; Suburban Futures, sub. 2, p. 15)</w:t>
      </w:r>
      <w:r>
        <w:t>.</w:t>
      </w:r>
    </w:p>
    <w:p w14:paraId="321212AA" w14:textId="3B7637F5" w:rsidR="00CC2DD4" w:rsidRPr="00C33D9C" w:rsidRDefault="00CC2DD4" w:rsidP="00E11D04">
      <w:pPr>
        <w:pStyle w:val="ListBullet"/>
      </w:pPr>
      <w:r>
        <w:t>I</w:t>
      </w:r>
      <w:r w:rsidRPr="00C33D9C">
        <w:t>n N</w:t>
      </w:r>
      <w:r>
        <w:t xml:space="preserve">ew </w:t>
      </w:r>
      <w:r w:rsidRPr="00C33D9C">
        <w:t>S</w:t>
      </w:r>
      <w:r>
        <w:t xml:space="preserve">outh </w:t>
      </w:r>
      <w:r w:rsidRPr="00C33D9C">
        <w:t>W</w:t>
      </w:r>
      <w:r>
        <w:t>ales</w:t>
      </w:r>
      <w:r w:rsidRPr="00C33D9C">
        <w:t xml:space="preserve"> and Victoria, pegging or capping of council rates can act as a disincentive to councils in higher-growth areas from accepting additional development and impede their ability to fund infrastructure and its maintenance (NHFIC 2021, pp. 22–23; NSW PC 2020, p. 6)</w:t>
      </w:r>
      <w:r>
        <w:t>.</w:t>
      </w:r>
    </w:p>
    <w:p w14:paraId="7A62C5FE" w14:textId="5FFB9BFA" w:rsidR="00CC2DD4" w:rsidRPr="00C33D9C" w:rsidRDefault="00CC2DD4" w:rsidP="00E11D04">
      <w:pPr>
        <w:pStyle w:val="ListBullet"/>
      </w:pPr>
      <w:r>
        <w:t>G</w:t>
      </w:r>
      <w:r w:rsidRPr="00C33D9C">
        <w:t>rant funding from other levels of government can be ad-hoc and lack certainty (ALGA 2024, p. 15)</w:t>
      </w:r>
      <w:r>
        <w:t>.</w:t>
      </w:r>
    </w:p>
    <w:p w14:paraId="3A5290FE" w14:textId="41F651B0" w:rsidR="00CC2DD4" w:rsidRDefault="00CC2DD4" w:rsidP="00E11D04">
      <w:pPr>
        <w:pStyle w:val="ListBullet"/>
      </w:pPr>
      <w:r>
        <w:t xml:space="preserve">Rules around how local governments can use developer contributions can make it difficult to invest early in infrastructure </w:t>
      </w:r>
      <w:proofErr w:type="gramStart"/>
      <w:r>
        <w:t>delivery, and</w:t>
      </w:r>
      <w:proofErr w:type="gramEnd"/>
      <w:r>
        <w:t xml:space="preserve"> has led to some local governments accumulating unspent funds from developer contributions </w:t>
      </w:r>
      <w:r w:rsidRPr="00D75DDC">
        <w:t>(NHFIC 2021, pp. 16–17)</w:t>
      </w:r>
      <w:r>
        <w:t>.</w:t>
      </w:r>
    </w:p>
    <w:p w14:paraId="0C913386" w14:textId="60E85D6A" w:rsidR="00CC2DD4" w:rsidRPr="00B97E5E" w:rsidRDefault="00CC2DD4">
      <w:pPr>
        <w:pStyle w:val="BodyText"/>
      </w:pPr>
      <w:r>
        <w:t>Local governments and industry often cite a lack of funding as a significant constraint on housing-enabling infrastructure (</w:t>
      </w:r>
      <w:proofErr w:type="spellStart"/>
      <w:r>
        <w:t>CoNEXA</w:t>
      </w:r>
      <w:proofErr w:type="spellEnd"/>
      <w:r>
        <w:t>, sub. 24, p. 3; LGAQ, sub. 4, pp. 3</w:t>
      </w:r>
      <w:r w:rsidR="00E521B0" w:rsidRPr="005F1C68">
        <w:t>–</w:t>
      </w:r>
      <w:r>
        <w:t>4; NGAA, sub. 54, pp. 21</w:t>
      </w:r>
      <w:r w:rsidR="00E521B0" w:rsidRPr="005F1C68">
        <w:t>–</w:t>
      </w:r>
      <w:r>
        <w:t>22; PIA, sub. 34, pp. 25</w:t>
      </w:r>
      <w:r w:rsidR="00E521B0" w:rsidRPr="005F1C68">
        <w:t>–</w:t>
      </w:r>
      <w:r>
        <w:t>26). Reflecting these constraints</w:t>
      </w:r>
      <w:r w:rsidRPr="00B97E5E">
        <w:t>, local governments have increasingly been using</w:t>
      </w:r>
      <w:r w:rsidRPr="00B97E5E" w:rsidDel="002E0C2C">
        <w:t xml:space="preserve"> </w:t>
      </w:r>
      <w:r w:rsidRPr="00B97E5E">
        <w:t>developer contributions to help pay for</w:t>
      </w:r>
      <w:r>
        <w:t xml:space="preserve"> broader types of</w:t>
      </w:r>
      <w:r w:rsidRPr="00B97E5E" w:rsidDel="001A4C29">
        <w:t xml:space="preserve"> </w:t>
      </w:r>
      <w:r w:rsidRPr="00B97E5E">
        <w:t>infrastructure where possible</w:t>
      </w:r>
      <w:r>
        <w:t>, over recent decades</w:t>
      </w:r>
      <w:r w:rsidRPr="00B97E5E">
        <w:t xml:space="preserve"> </w:t>
      </w:r>
      <w:r w:rsidRPr="00D75DDC">
        <w:t>(HIA, sub. 25, p. 4; NHFIC 2021, p. 3; UDIA, sub. 83, pp. 26</w:t>
      </w:r>
      <w:r w:rsidR="00E521B0" w:rsidRPr="005F1C68">
        <w:t>–</w:t>
      </w:r>
      <w:r w:rsidRPr="00D75DDC">
        <w:t>27)</w:t>
      </w:r>
      <w:r w:rsidRPr="00B97E5E">
        <w:t xml:space="preserve">. This has meant that, in some </w:t>
      </w:r>
      <w:r w:rsidRPr="00B97E5E">
        <w:lastRenderedPageBreak/>
        <w:t xml:space="preserve">jurisdictions such as New South Wales where contributions are subject to caps, local governments often apply to exceed these caps </w:t>
      </w:r>
      <w:r w:rsidRPr="001D5187">
        <w:t>(Ballinger 2018, pp. 21–24; NSW PC 2020, p. 59)</w:t>
      </w:r>
      <w:r w:rsidRPr="00B97E5E">
        <w:t>.</w:t>
      </w:r>
    </w:p>
    <w:p w14:paraId="39724797" w14:textId="77777777" w:rsidR="00CC2DD4" w:rsidRDefault="00CC2DD4">
      <w:pPr>
        <w:pStyle w:val="BodyText"/>
      </w:pPr>
      <w:r>
        <w:t>It is likely that more funding would allow more enabling infrastructure to be built sooner. But it is beyond our terms of reference to assess whether the amounts committed to infrastructure funding by governments are sufficient to deliver the desired housing outcomes. We are however asked to examine the way governments can recoup infrastructure costs including developer contributions.</w:t>
      </w:r>
    </w:p>
    <w:p w14:paraId="70313043" w14:textId="77777777" w:rsidR="00CC2DD4" w:rsidRDefault="00CC2DD4">
      <w:pPr>
        <w:pStyle w:val="Heading4"/>
      </w:pPr>
      <w:r>
        <w:t>Developers often raise concerns about growing developer contributions</w:t>
      </w:r>
    </w:p>
    <w:p w14:paraId="2A157453" w14:textId="77777777" w:rsidR="00CC2DD4" w:rsidRDefault="00CC2DD4">
      <w:pPr>
        <w:pStyle w:val="BodyText"/>
      </w:pPr>
      <w:r w:rsidRPr="00E36649">
        <w:t xml:space="preserve">Developers </w:t>
      </w:r>
      <w:r>
        <w:t xml:space="preserve">and other groups </w:t>
      </w:r>
      <w:r w:rsidRPr="00E36649">
        <w:t>commonly express concerns about the growing size of develop</w:t>
      </w:r>
      <w:r>
        <w:t>er</w:t>
      </w:r>
      <w:r w:rsidRPr="00E36649">
        <w:t xml:space="preserve"> c</w:t>
      </w:r>
      <w:r>
        <w:t>ontributions</w:t>
      </w:r>
      <w:r w:rsidRPr="00E36649">
        <w:t>, suggesting that increasing charges reduce the feasibility of housing projects</w:t>
      </w:r>
      <w:r w:rsidRPr="00276D1D">
        <w:t>.</w:t>
      </w:r>
      <w:r w:rsidRPr="00014CAF">
        <w:rPr>
          <w:rStyle w:val="FootnoteReference"/>
        </w:rPr>
        <w:footnoteReference w:id="16"/>
      </w:r>
      <w:r>
        <w:t xml:space="preserve"> Some were also concerned that the scope of infrastructure being funded by developer contributions was becoming broader and less connected to the development and its residents.</w:t>
      </w:r>
    </w:p>
    <w:p w14:paraId="141C62E8" w14:textId="77777777" w:rsidR="00CC2DD4" w:rsidRDefault="00CC2DD4">
      <w:pPr>
        <w:pStyle w:val="Quote"/>
      </w:pPr>
      <w:r w:rsidRPr="00B5460D">
        <w:t>The scope of contributions has also expanded beyond essential infrastructure with a clear nexus to new housing. For example, an inner-city pedestrian bridge may be partly funded through developer contributions utilising charges from a homebuyer on the urban fringe, despite this homebuyer potentially never using this infrastructure asset</w:t>
      </w:r>
      <w:r>
        <w:t>. (HIA, sub. 25, p. 4)</w:t>
      </w:r>
    </w:p>
    <w:p w14:paraId="200B0E16" w14:textId="3342F3A2" w:rsidR="00CC2DD4" w:rsidRDefault="00CC2DD4">
      <w:pPr>
        <w:pStyle w:val="BodyText"/>
      </w:pPr>
      <w:r>
        <w:t>Participants</w:t>
      </w:r>
      <w:r w:rsidRPr="00E36649">
        <w:t xml:space="preserve"> suggest</w:t>
      </w:r>
      <w:r>
        <w:t>ed</w:t>
      </w:r>
      <w:r w:rsidRPr="00E36649">
        <w:t xml:space="preserve"> that the way that charges are administered can be uncertain and undermine feasibility of projects, and that there is a lack of clarity about how develop</w:t>
      </w:r>
      <w:r>
        <w:t>er</w:t>
      </w:r>
      <w:r w:rsidRPr="00E36649">
        <w:t xml:space="preserve"> contribution funds are being used </w:t>
      </w:r>
      <w:r>
        <w:t>(HIA, sub. 25, pp. 4, 23; Le Mottee Group, sub. 56, p. 9; Master Builders Australia, sub. 74, pp. 11</w:t>
      </w:r>
      <w:r w:rsidR="00E01547" w:rsidRPr="005F1C68">
        <w:t>–</w:t>
      </w:r>
      <w:r>
        <w:t>12; NGAA, sub. 54, p. 21)</w:t>
      </w:r>
      <w:r w:rsidRPr="00E36649">
        <w:t>.</w:t>
      </w:r>
      <w:r>
        <w:t xml:space="preserve"> The link between developer contributions and feasibility is covered in more detail in section 4.4.</w:t>
      </w:r>
    </w:p>
    <w:p w14:paraId="6328377C" w14:textId="6E16FCFF" w:rsidR="00CC2DD4" w:rsidRDefault="00CC2DD4">
      <w:pPr>
        <w:pStyle w:val="BodyText"/>
      </w:pPr>
      <w:r>
        <w:t>There can</w:t>
      </w:r>
      <w:r w:rsidRPr="00E36649">
        <w:t xml:space="preserve"> </w:t>
      </w:r>
      <w:r>
        <w:t>also</w:t>
      </w:r>
      <w:r w:rsidRPr="00E36649">
        <w:t xml:space="preserve"> </w:t>
      </w:r>
      <w:r>
        <w:t>be a first</w:t>
      </w:r>
      <w:r>
        <w:noBreakHyphen/>
        <w:t xml:space="preserve">mover disadvantage – if a developer is required to establish new infrastructure in a recently developed residential area, future developers in the area will be advantaged by the pre-existing services, creating a ‘free rider’ problem </w:t>
      </w:r>
      <w:r w:rsidRPr="00D75DDC">
        <w:t>(NHFIC 2021, p. 4)</w:t>
      </w:r>
      <w:r>
        <w:t xml:space="preserve">. This could deter developers from commencing construction if they are concerned that they will bear the brunt of the infrastructure costs. </w:t>
      </w:r>
    </w:p>
    <w:p w14:paraId="18E5738E" w14:textId="77777777" w:rsidR="00CC2DD4" w:rsidRDefault="00CC2DD4">
      <w:pPr>
        <w:pStyle w:val="Heading3"/>
      </w:pPr>
      <w:r>
        <w:t>Who should pay for housing</w:t>
      </w:r>
      <w:r>
        <w:noBreakHyphen/>
        <w:t>enabling infrastructure?</w:t>
      </w:r>
    </w:p>
    <w:p w14:paraId="358ECA74" w14:textId="77777777" w:rsidR="00CC2DD4" w:rsidRDefault="00CC2DD4">
      <w:pPr>
        <w:pStyle w:val="Heading4"/>
      </w:pPr>
      <w:r>
        <w:t>Developer contributions can be an efficient way to fund infrastructure</w:t>
      </w:r>
    </w:p>
    <w:p w14:paraId="41F9A300" w14:textId="442EC7B4" w:rsidR="00CC2DD4" w:rsidRPr="00E01547" w:rsidRDefault="00CC2DD4">
      <w:pPr>
        <w:pStyle w:val="BodyText"/>
        <w:rPr>
          <w:spacing w:val="-2"/>
        </w:rPr>
      </w:pPr>
      <w:r w:rsidRPr="00E01547">
        <w:rPr>
          <w:spacing w:val="-2"/>
        </w:rPr>
        <w:t>Existing literature and economic principles generally agree in suggesting that developer contributions should be used to pay for infrastructure when its need and use is clearly linked to that development and the people who will live there (Abelson 2017, p. 10; Henry et al. 2010, p. 425; NSW PC 2020, pp. 34–35; PC 2011, p. 202). This is because cost</w:t>
      </w:r>
      <w:r w:rsidRPr="00E01547">
        <w:rPr>
          <w:spacing w:val="-2"/>
        </w:rPr>
        <w:noBreakHyphen/>
        <w:t xml:space="preserve">reflective </w:t>
      </w:r>
      <w:proofErr w:type="spellStart"/>
      <w:r w:rsidRPr="00E01547">
        <w:rPr>
          <w:spacing w:val="-2"/>
        </w:rPr>
        <w:t>infrasructure</w:t>
      </w:r>
      <w:proofErr w:type="spellEnd"/>
      <w:r w:rsidRPr="00E01547">
        <w:rPr>
          <w:spacing w:val="-2"/>
        </w:rPr>
        <w:t xml:space="preserve"> contributions provide a price signal to encourage development in areas where infrastructure is less expensive to </w:t>
      </w:r>
      <w:proofErr w:type="gramStart"/>
      <w:r w:rsidRPr="00E01547">
        <w:rPr>
          <w:spacing w:val="-2"/>
        </w:rPr>
        <w:t>provide, and</w:t>
      </w:r>
      <w:proofErr w:type="gramEnd"/>
      <w:r w:rsidRPr="00E01547">
        <w:rPr>
          <w:spacing w:val="-2"/>
        </w:rPr>
        <w:t xml:space="preserve"> ensure those who benefit most from the infrastructure pay a fair price for it. For example, in infill areas it typically costs less to provide housing-enabling infrastructure compared to greenfield areas, </w:t>
      </w:r>
      <w:proofErr w:type="gramStart"/>
      <w:r w:rsidRPr="00E01547">
        <w:rPr>
          <w:spacing w:val="-2"/>
        </w:rPr>
        <w:t>where</w:t>
      </w:r>
      <w:proofErr w:type="gramEnd"/>
      <w:r w:rsidRPr="00E01547">
        <w:rPr>
          <w:spacing w:val="-2"/>
        </w:rPr>
        <w:t xml:space="preserve"> larger, more costly infrastructure may be needed. </w:t>
      </w:r>
    </w:p>
    <w:p w14:paraId="20EF0F31" w14:textId="77777777" w:rsidR="00CC2DD4" w:rsidRDefault="00CC2DD4">
      <w:pPr>
        <w:pStyle w:val="BodyText"/>
      </w:pPr>
      <w:r>
        <w:t xml:space="preserve">However, it becomes more complex when the need for infrastructure or the benefits of it cannot be clearly linked to a specific development, or many different groups will benefit. In addition, governments often support provision of merit goods (those that benefit society as well as individuals), because </w:t>
      </w:r>
      <w:r>
        <w:lastRenderedPageBreak/>
        <w:t>otherwise the private market will undersupply them. Based on the above, we propose the following principles for who should pay for infrastructure.</w:t>
      </w:r>
    </w:p>
    <w:p w14:paraId="0E269CA0" w14:textId="77777777" w:rsidR="00CC2DD4" w:rsidRPr="00753F61" w:rsidRDefault="00CC2DD4" w:rsidP="00583C78">
      <w:pPr>
        <w:pStyle w:val="ListNumber"/>
        <w:numPr>
          <w:ilvl w:val="0"/>
          <w:numId w:val="7"/>
        </w:numPr>
        <w:rPr>
          <w:spacing w:val="-2"/>
        </w:rPr>
      </w:pPr>
      <w:r w:rsidRPr="00753F61">
        <w:rPr>
          <w:spacing w:val="-2"/>
        </w:rPr>
        <w:t>When infrastructure must be provided because of a new development, the developer(s) responsible for the new development should pay for the cost through contributions (or a portion depending on how exclusive the benefits and use will be to residents of the specific site). For example, power and water connections to new homes are used entirely by the residents of the homes.</w:t>
      </w:r>
    </w:p>
    <w:p w14:paraId="7A536716" w14:textId="77777777" w:rsidR="00CC2DD4" w:rsidRPr="00182EA8" w:rsidRDefault="00CC2DD4" w:rsidP="00583C78">
      <w:pPr>
        <w:pStyle w:val="ListNumber"/>
        <w:numPr>
          <w:ilvl w:val="0"/>
          <w:numId w:val="1"/>
        </w:numPr>
        <w:rPr>
          <w:spacing w:val="-4"/>
        </w:rPr>
      </w:pPr>
      <w:r w:rsidRPr="00182EA8">
        <w:rPr>
          <w:spacing w:val="-4"/>
        </w:rPr>
        <w:t>Where infrastructure has already been established but will be used by residents of a new development, the developer should pay a contribution for a portion based on expected use by residents of the development. For example, local road upgrades in anticipation of future development.</w:t>
      </w:r>
    </w:p>
    <w:p w14:paraId="6CA6A356" w14:textId="77777777" w:rsidR="00CC2DD4" w:rsidRDefault="00CC2DD4" w:rsidP="00583C78">
      <w:pPr>
        <w:pStyle w:val="ListNumber"/>
        <w:numPr>
          <w:ilvl w:val="0"/>
          <w:numId w:val="1"/>
        </w:numPr>
      </w:pPr>
      <w:r>
        <w:t>Costs that are incurred to provide infrastructure regardless of a specific development (such as increased needs on shared infrastructure due to broader population growth) should only be levied on developers to the extent that the portion of the benefits for that development can be estimated. For example, a local library required due to broader population growth but located close to a new development will likely mostly be used by residents of the development, meaning developer contributions should be apportioned to reflect this.</w:t>
      </w:r>
    </w:p>
    <w:p w14:paraId="4FD50D42" w14:textId="4A16FBAB" w:rsidR="00CC2DD4" w:rsidRDefault="00CC2DD4" w:rsidP="00583C78">
      <w:pPr>
        <w:pStyle w:val="ListNumber"/>
        <w:numPr>
          <w:ilvl w:val="0"/>
          <w:numId w:val="1"/>
        </w:numPr>
      </w:pPr>
      <w:r>
        <w:t xml:space="preserve">For major shared infrastructure such as regional or state infrastructure (for example, major roads, sporting facilities), developer contributions should only cover a portion of the share of benefits or use if this can be calculated, and when development residents are beneficiaries. Where there are highly dispersed beneficiaries and it is difficult to demonstrate a clear nexus between the development and infrastructure </w:t>
      </w:r>
      <w:r w:rsidR="00753F61">
        <w:t>–</w:t>
      </w:r>
      <w:r>
        <w:t xml:space="preserve"> and apportion the share of benefits to that development </w:t>
      </w:r>
      <w:r w:rsidR="00753F61">
        <w:t>–</w:t>
      </w:r>
      <w:r>
        <w:t xml:space="preserve"> developer contributions are likely inappropriate and other funding should be used.</w:t>
      </w:r>
    </w:p>
    <w:p w14:paraId="3B6A6FEC" w14:textId="18CFE41A" w:rsidR="00CC2DD4" w:rsidRDefault="00CC2DD4">
      <w:pPr>
        <w:pStyle w:val="BodyText"/>
      </w:pPr>
      <w:r>
        <w:t>These principles can be operationalised via several pathways to determine how infrastructure is ideally funded (figure 4.3).</w:t>
      </w:r>
      <w:r w:rsidRPr="0009501E">
        <w:t xml:space="preserve"> </w:t>
      </w:r>
      <w:r>
        <w:t>While these principles should help guide efficient developer contribution arrangements as a starting point, in practice there are trade-offs and considerations that may require flexibility. These are considered in section 4.4.</w:t>
      </w:r>
    </w:p>
    <w:p w14:paraId="7D548D7E" w14:textId="77777777" w:rsidR="00CC2DD4" w:rsidRDefault="00CC2DD4">
      <w:pPr>
        <w:pStyle w:val="Heading4"/>
      </w:pPr>
      <w:r>
        <w:t>Where developer contributions are justified, charges should be efficient</w:t>
      </w:r>
    </w:p>
    <w:p w14:paraId="2FC51608" w14:textId="37214174" w:rsidR="00CC2DD4" w:rsidRDefault="00CC2DD4">
      <w:pPr>
        <w:pStyle w:val="BodyText"/>
      </w:pPr>
      <w:r>
        <w:t xml:space="preserve">An important assumption in these pathways is that developer contributions should reflect the actual cost of the infrastructure that is required. If charges are set higher than the actual cost, they can act like a tax on development </w:t>
      </w:r>
      <w:r w:rsidRPr="009964EC">
        <w:rPr>
          <w:rFonts w:cs="Open Sans"/>
        </w:rPr>
        <w:t>(BCA, sub. 71, p. 2; Henry et al. 2010, p. 424)</w:t>
      </w:r>
      <w:r>
        <w:t xml:space="preserve">. And set too low, they can act like a </w:t>
      </w:r>
      <w:proofErr w:type="gramStart"/>
      <w:r>
        <w:t>subsidy, and</w:t>
      </w:r>
      <w:proofErr w:type="gramEnd"/>
      <w:r>
        <w:t xml:space="preserve"> may encourage more development in areas where housing is more expensive to provide </w:t>
      </w:r>
      <w:r w:rsidRPr="009964EC">
        <w:rPr>
          <w:rFonts w:cs="Open Sans"/>
        </w:rPr>
        <w:t>(Henry et al. 2010, p. 426)</w:t>
      </w:r>
      <w:r>
        <w:t>.</w:t>
      </w:r>
    </w:p>
    <w:p w14:paraId="36EB031A" w14:textId="77777777" w:rsidR="00CC2DD4" w:rsidRDefault="00CC2DD4">
      <w:pPr>
        <w:pStyle w:val="BodyText"/>
      </w:pPr>
      <w:r>
        <w:t>Efficient charging means charges are structured to reflect the developer’s contribution to portioned costs. Contributions based on the number of homes in the development or based on a percentage of construction costs can create inefficient distortions in development decisions.</w:t>
      </w:r>
    </w:p>
    <w:p w14:paraId="70E2E03F" w14:textId="10A99581" w:rsidR="00CC2DD4" w:rsidRPr="00182EA8" w:rsidRDefault="00CC2DD4">
      <w:pPr>
        <w:pStyle w:val="Quote"/>
        <w:rPr>
          <w:spacing w:val="-4"/>
        </w:rPr>
      </w:pPr>
      <w:r w:rsidRPr="00182EA8">
        <w:rPr>
          <w:spacing w:val="-4"/>
        </w:rPr>
        <w:t xml:space="preserve">When contributions are tied to the number of households, residential lots, or dwellings, there is a bias towards larger, </w:t>
      </w:r>
      <w:proofErr w:type="gramStart"/>
      <w:r w:rsidRPr="00182EA8">
        <w:rPr>
          <w:spacing w:val="-4"/>
        </w:rPr>
        <w:t>low density</w:t>
      </w:r>
      <w:proofErr w:type="gramEnd"/>
      <w:r w:rsidRPr="00182EA8">
        <w:rPr>
          <w:spacing w:val="-4"/>
        </w:rPr>
        <w:t xml:space="preserve"> housing in residential developments, because the developer will be liable for a smaller overall charge. (Evans 2004, cited in Gurran et al. 2009, p. 37)</w:t>
      </w:r>
    </w:p>
    <w:p w14:paraId="4AC1CEFE" w14:textId="77777777" w:rsidR="00CC2DD4" w:rsidRDefault="00CC2DD4">
      <w:pPr>
        <w:pStyle w:val="BodyText"/>
      </w:pPr>
    </w:p>
    <w:p w14:paraId="082EB4BA" w14:textId="482BB564" w:rsidR="00CC2DD4" w:rsidRDefault="00CC2DD4">
      <w:pPr>
        <w:pStyle w:val="FigureTableHeading"/>
      </w:pPr>
      <w:r>
        <w:lastRenderedPageBreak/>
        <w:t xml:space="preserve">Figure </w:t>
      </w:r>
      <w:r w:rsidR="00CB06D8">
        <w:rPr>
          <w:noProof/>
        </w:rPr>
        <w:t>4</w:t>
      </w:r>
      <w:r>
        <w:t>.</w:t>
      </w:r>
      <w:r w:rsidR="00CB06D8">
        <w:rPr>
          <w:noProof/>
        </w:rPr>
        <w:t>3</w:t>
      </w:r>
      <w:r>
        <w:rPr>
          <w:noProof/>
        </w:rPr>
        <w:t xml:space="preserve"> </w:t>
      </w:r>
      <w:r>
        <w:t>– Using principles of who should pay leads to different funding outcomes depending on the type of infrastructure</w:t>
      </w:r>
    </w:p>
    <w:p w14:paraId="02D7FDDE" w14:textId="27552B96" w:rsidR="00CC2DD4" w:rsidRDefault="00915B5A">
      <w:pPr>
        <w:pStyle w:val="FigureTableHeading"/>
      </w:pPr>
      <w:r w:rsidRPr="00915B5A">
        <w:rPr>
          <w:noProof/>
        </w:rPr>
        <w:drawing>
          <wp:inline distT="0" distB="0" distL="0" distR="0" wp14:anchorId="2E03492F" wp14:editId="51C4D225">
            <wp:extent cx="6120130" cy="5386705"/>
            <wp:effectExtent l="0" t="0" r="0" b="4445"/>
            <wp:docPr id="2029591819" name="Picture 14" descr="This figure outlines different pathways on how much of housing-enabling infrastructure is funded by developer contributions, depending on the nature of the infrastructure and its link to the development. It suggested that when infrastructure need or use is linked to residents of a development, their share of these benefits should be reflected in the apportionment and levying of developer charges. When infrastructure is a public good or has large positive externalities, it may be best funded through broader tax revenue. Other funding such as tax revenue should also be used when the share of benefits to a particular development cannot be estim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91819" name="Picture 14" descr="This figure outlines different pathways on how much of housing-enabling infrastructure is funded by developer contributions, depending on the nature of the infrastructure and its link to the development. It suggested that when infrastructure need or use is linked to residents of a development, their share of these benefits should be reflected in the apportionment and levying of developer charges. When infrastructure is a public good or has large positive externalities, it may be best funded through broader tax revenue. Other funding such as tax revenue should also be used when the share of benefits to a particular development cannot be estim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20130" cy="5386705"/>
                    </a:xfrm>
                    <a:prstGeom prst="rect">
                      <a:avLst/>
                    </a:prstGeom>
                    <a:noFill/>
                    <a:ln>
                      <a:noFill/>
                    </a:ln>
                  </pic:spPr>
                </pic:pic>
              </a:graphicData>
            </a:graphic>
          </wp:inline>
        </w:drawing>
      </w:r>
    </w:p>
    <w:p w14:paraId="3332ED43" w14:textId="35FF1A9B" w:rsidR="00F3098B" w:rsidRDefault="00CC2DD4">
      <w:pPr>
        <w:pStyle w:val="Source"/>
      </w:pPr>
      <w:r>
        <w:t>Source: PC analysis.</w:t>
      </w:r>
      <w:r w:rsidR="00F3098B">
        <w:br w:type="page"/>
      </w:r>
    </w:p>
    <w:p w14:paraId="43C50559" w14:textId="77777777" w:rsidR="00CC2DD4" w:rsidRDefault="00CC2DD4">
      <w:pPr>
        <w:pStyle w:val="Heading2"/>
      </w:pPr>
      <w:bookmarkStart w:id="38" w:name="_Toc235103161"/>
      <w:r>
        <w:lastRenderedPageBreak/>
        <w:t>Supporting housing supply through developer contributions</w:t>
      </w:r>
      <w:bookmarkEnd w:id="38"/>
      <w:r>
        <w:t xml:space="preserve"> </w:t>
      </w:r>
    </w:p>
    <w:p w14:paraId="786B0849" w14:textId="77777777" w:rsidR="00CC2DD4" w:rsidRDefault="00CC2DD4">
      <w:pPr>
        <w:pStyle w:val="Heading3"/>
      </w:pPr>
      <w:r>
        <w:t>Developer contributions must be well-designed and administered to minimise effects on housing feasibility and supply</w:t>
      </w:r>
    </w:p>
    <w:p w14:paraId="3D29DA5F" w14:textId="77777777" w:rsidR="00CC2DD4" w:rsidRDefault="00CC2DD4">
      <w:pPr>
        <w:pStyle w:val="Heading4"/>
      </w:pPr>
      <w:r>
        <w:t>In principle, developer contributions should</w:t>
      </w:r>
      <w:r w:rsidDel="00500C5F">
        <w:t xml:space="preserve"> </w:t>
      </w:r>
      <w:r>
        <w:t>not affect development feasibility …</w:t>
      </w:r>
    </w:p>
    <w:p w14:paraId="09AB401D" w14:textId="09435628" w:rsidR="00CC2DD4" w:rsidRDefault="00CC2DD4">
      <w:pPr>
        <w:pStyle w:val="BodyText"/>
      </w:pPr>
      <w:r>
        <w:t xml:space="preserve">Developer contributions are one of many different costs that developers consider when deciding how feasible a project may be. Economic theory suggests that over time, the effect of contributions on development feasibility should be small, because the charge should reduce the amount developers are willing to pay for a parcel of land </w:t>
      </w:r>
      <w:r w:rsidRPr="009964EC">
        <w:rPr>
          <w:rFonts w:cs="Open Sans"/>
        </w:rPr>
        <w:t>(Abelson 2017, p. 9; Henry et al. 2010, p. 428; Murray and Helm 2022, pp. 11–12; NSW PC 2020, p. 33; PC 2004, p. 164)</w:t>
      </w:r>
      <w:r>
        <w:t xml:space="preserve">. Since prices of new homes are set by the broader housing market in Australia including existing homes, developers may have limited ability to pass on charges to buyers of new homes through higher prices. Therefore, if their expected costs increase through a developer contribution, in theory it reduces the amount developers can afford to pay for developable land. Over time land values would fall to the point where a ‘normal’ rate of return for development is restored. </w:t>
      </w:r>
    </w:p>
    <w:p w14:paraId="09C74499" w14:textId="3E5944E3" w:rsidR="00CC2DD4" w:rsidRDefault="00CC2DD4">
      <w:pPr>
        <w:pStyle w:val="BodyText"/>
      </w:pPr>
      <w:r>
        <w:t xml:space="preserve">Empirical analyses in Australia have generally found this to be the case. For example, analysis of changes in developer contributions in Queensland found no estimated effect on house prices in one natural experiment study </w:t>
      </w:r>
      <w:r w:rsidRPr="00D75DDC">
        <w:t>(Murray 2018)</w:t>
      </w:r>
      <w:r>
        <w:t xml:space="preserve">. The New South Wales Independent Pricing and Regulatory Tribunal (IPART) also found that waiving water and wastewater developer contributions in New South Wales in 2008-09 was associated with a commensurate increase in land values, and no significant effect on house prices </w:t>
      </w:r>
      <w:r w:rsidRPr="00D75DDC">
        <w:t>(NSW IPART 2024, p. 2)</w:t>
      </w:r>
      <w:r>
        <w:t xml:space="preserve">. Other feasibility modelling has suggested that developer contributions have little impact on feasibility even when charges become very large </w:t>
      </w:r>
      <w:r w:rsidRPr="00D75DDC">
        <w:t>(CIE 2020, p. 94)</w:t>
      </w:r>
      <w:r>
        <w:t xml:space="preserve">. </w:t>
      </w:r>
    </w:p>
    <w:p w14:paraId="3C9F4D91" w14:textId="3D7087F7" w:rsidR="00CC2DD4" w:rsidRDefault="00CC2DD4">
      <w:pPr>
        <w:pStyle w:val="BodyText"/>
      </w:pPr>
      <w:r>
        <w:t xml:space="preserve">But not all studies support this conclusion. Analysis of the link between developer contributions and new home prices using a hedonic pricing model found a large pass-through of charges to prices </w:t>
      </w:r>
      <w:r w:rsidRPr="00D75DDC">
        <w:t>(Bryant 2015)</w:t>
      </w:r>
      <w:r>
        <w:t>. However, this study had limitations in how the links between higher charges and higher house prices were accounted for. Master Builders Australia also provided several case studies to this inquiry where they suggested that waived or discounted developer contributions were associated with higher development activity (sub. 74, pp. 12</w:t>
      </w:r>
      <w:r w:rsidR="00A048D2">
        <w:t>–</w:t>
      </w:r>
      <w:r>
        <w:t>13).</w:t>
      </w:r>
    </w:p>
    <w:p w14:paraId="466F7F0E" w14:textId="77777777" w:rsidR="00CC2DD4" w:rsidRDefault="00CC2DD4">
      <w:pPr>
        <w:pStyle w:val="Heading4"/>
      </w:pPr>
      <w:r>
        <w:t xml:space="preserve">… but this requires the contribution </w:t>
      </w:r>
      <w:r w:rsidDel="00B113BD">
        <w:t xml:space="preserve">to be </w:t>
      </w:r>
      <w:r>
        <w:t>predictable</w:t>
      </w:r>
    </w:p>
    <w:p w14:paraId="3E6A0B96" w14:textId="6CA64EFA" w:rsidR="00CC2DD4" w:rsidRPr="00A048D2" w:rsidRDefault="00CC2DD4">
      <w:pPr>
        <w:pStyle w:val="BodyText"/>
        <w:rPr>
          <w:spacing w:val="2"/>
        </w:rPr>
      </w:pPr>
      <w:r w:rsidRPr="00A048D2">
        <w:rPr>
          <w:spacing w:val="2"/>
        </w:rPr>
        <w:t xml:space="preserve">In practice, the way in which developer contributions are administered can affect feasibility </w:t>
      </w:r>
      <w:r w:rsidRPr="00A048D2">
        <w:rPr>
          <w:rFonts w:cs="Open Sans"/>
          <w:spacing w:val="2"/>
        </w:rPr>
        <w:t>(Henry et al. 2010, p. 426)</w:t>
      </w:r>
      <w:r w:rsidRPr="00A048D2">
        <w:rPr>
          <w:spacing w:val="2"/>
        </w:rPr>
        <w:t xml:space="preserve">. Land values will only adjust downward sufficiently to reflect developer contributions if charges are known well in advance, there is a competitive land market, and there is time for prices to settle outside short-term changes in macroeconomic conditions that affect feasibility (such as interest rates). </w:t>
      </w:r>
    </w:p>
    <w:p w14:paraId="054B489F" w14:textId="04BD65F8" w:rsidR="00CC2DD4" w:rsidRPr="00D472F5" w:rsidRDefault="00CC2DD4">
      <w:pPr>
        <w:pStyle w:val="BodyText"/>
        <w:rPr>
          <w:spacing w:val="-2"/>
        </w:rPr>
      </w:pPr>
      <w:r w:rsidRPr="00D472F5">
        <w:rPr>
          <w:spacing w:val="-4"/>
        </w:rPr>
        <w:t xml:space="preserve">Participants in this inquiry (including many from the development and construction industry) agreed that in </w:t>
      </w:r>
      <w:r w:rsidRPr="00D472F5">
        <w:rPr>
          <w:spacing w:val="-2"/>
        </w:rPr>
        <w:t>practice, developer contributions can affect feasibility (HIA, sub. 25, p. 23; Le Mottee Group, sub. 56, p.</w:t>
      </w:r>
      <w:r w:rsidR="00D472F5" w:rsidRPr="00D472F5">
        <w:rPr>
          <w:spacing w:val="-2"/>
        </w:rPr>
        <w:t> </w:t>
      </w:r>
      <w:r w:rsidRPr="00D472F5">
        <w:rPr>
          <w:spacing w:val="-2"/>
        </w:rPr>
        <w:t>9; Master Builders Australia, sub. 74, pp. 10</w:t>
      </w:r>
      <w:r w:rsidR="00D472F5" w:rsidRPr="00D472F5">
        <w:rPr>
          <w:spacing w:val="-2"/>
        </w:rPr>
        <w:t>–</w:t>
      </w:r>
      <w:r w:rsidRPr="00D472F5">
        <w:rPr>
          <w:spacing w:val="-2"/>
        </w:rPr>
        <w:t>13; Policy Watchdog Australia, sub. 1, p. 8; PPI, sub. 77, p. 10).</w:t>
      </w:r>
    </w:p>
    <w:p w14:paraId="342DA80C" w14:textId="77777777" w:rsidR="00CC2DD4" w:rsidRDefault="00CC2DD4">
      <w:pPr>
        <w:pStyle w:val="Quote"/>
      </w:pPr>
      <w:r>
        <w:t xml:space="preserve">Developers must be able to reasonably estimate total project costs at the outset, including taxes, charges and infrastructure contributions. Where this is not possible, investment </w:t>
      </w:r>
      <w:r>
        <w:lastRenderedPageBreak/>
        <w:t>decisions are delayed, financing becomes more difficult, and projects may be abandoned or scaled back. (National Shelter, sub. 53, p. 14)</w:t>
      </w:r>
    </w:p>
    <w:p w14:paraId="5694953F" w14:textId="22D47010" w:rsidR="00CC2DD4" w:rsidRPr="00D75DDC" w:rsidRDefault="00CC2DD4">
      <w:pPr>
        <w:pStyle w:val="BodyText"/>
        <w:rPr>
          <w:rStyle w:val="DraftingNoteChar"/>
          <w:color w:val="auto"/>
          <w:sz w:val="20"/>
          <w:u w:val="none"/>
        </w:rPr>
      </w:pPr>
      <w:r>
        <w:t xml:space="preserve">Developers often state that charges are frequently highly variable or </w:t>
      </w:r>
      <w:proofErr w:type="gramStart"/>
      <w:r>
        <w:t>uncertain, and</w:t>
      </w:r>
      <w:proofErr w:type="gramEnd"/>
      <w:r>
        <w:t xml:space="preserve"> may not be known until after land is purchased and development starts (NGAA, sub. 54, p. 21). For some, this uncertainty was a bigger issue for risk and feasibility than the size of the charge itself </w:t>
      </w:r>
      <w:r w:rsidRPr="00D75DDC">
        <w:t>(Le Mottee Group, sub. 56, p.</w:t>
      </w:r>
      <w:r w:rsidR="00D472F5">
        <w:t> </w:t>
      </w:r>
      <w:r w:rsidRPr="00D75DDC">
        <w:t>9; NHFIC 2021, p. 11; PPI, sub. 77, p. 10)</w:t>
      </w:r>
      <w:r>
        <w:t xml:space="preserve">. </w:t>
      </w:r>
    </w:p>
    <w:p w14:paraId="1D2E7744" w14:textId="77777777" w:rsidR="00CC2DD4" w:rsidRDefault="00CC2DD4">
      <w:pPr>
        <w:pStyle w:val="Quote"/>
      </w:pPr>
      <w:r>
        <w:t>Developer contributions are a material feasibility lever and, in high-demand areas, function as a de facto tax on new housing. Their impact depends not only on their level but on their predictability: contributions that are uncertain, subject to late change, or applied inconsistently are capitalised into developer risk premiums and tip marginal projects into non-viability … (Policy Watchdog Australia, sub. 1, p. 8)</w:t>
      </w:r>
    </w:p>
    <w:p w14:paraId="1AA23C54" w14:textId="77777777" w:rsidR="00CC2DD4" w:rsidRPr="00CB5DA1" w:rsidRDefault="00CC2DD4">
      <w:pPr>
        <w:pStyle w:val="BodyText"/>
        <w:rPr>
          <w:spacing w:val="-2"/>
        </w:rPr>
      </w:pPr>
      <w:r w:rsidRPr="00CB5DA1">
        <w:rPr>
          <w:spacing w:val="-2"/>
        </w:rPr>
        <w:t>This means that if the charge is uncertain or unknown upfront, it may increase the risk to the developer in developing that site, and may cause them to underestimate it, meaning that the project could become unfeasible (figure 4.4), or proceed at a smaller scale (Master Builders Australia, sub. 74, p. 12). It may also cause the developer to look for other land for development instead, if the perceived risks from the size of the contribution are too high. In these situations, the outcome is sub-optimal because the uncertainty prevents developer contributions from signalling areas that can best support new homes.</w:t>
      </w:r>
    </w:p>
    <w:p w14:paraId="5CF12713" w14:textId="77777777" w:rsidR="00CC2DD4" w:rsidRPr="00146382" w:rsidRDefault="00CC2DD4">
      <w:pPr>
        <w:pStyle w:val="FigureTableHeading"/>
      </w:pPr>
      <w:r>
        <w:t>Figure 4.4</w:t>
      </w:r>
      <w:r>
        <w:rPr>
          <w:noProof/>
        </w:rPr>
        <w:t xml:space="preserve"> </w:t>
      </w:r>
      <w:r>
        <w:t>– Uncertainty around developer contributions can affect feasibility at several stages in the development process</w:t>
      </w:r>
    </w:p>
    <w:p w14:paraId="2A74E576" w14:textId="5CC86FF2" w:rsidR="00CC2DD4" w:rsidRDefault="00026E2C" w:rsidP="00CB5DA1">
      <w:pPr>
        <w:pStyle w:val="BodyText"/>
      </w:pPr>
      <w:r w:rsidRPr="00026E2C">
        <w:rPr>
          <w:noProof/>
        </w:rPr>
        <w:drawing>
          <wp:inline distT="0" distB="0" distL="0" distR="0" wp14:anchorId="1CCB79F9" wp14:editId="7FE722CD">
            <wp:extent cx="6120130" cy="3623310"/>
            <wp:effectExtent l="0" t="0" r="0" b="0"/>
            <wp:docPr id="479135366" name="Picture 16" descr="This figure shows the different steps in development and how uncertain developer contributions can affect the process and feasibility. When charges are uncertain, land may not be purchased, and the developer may select another parcel of land to develop. Once the developer has purchased land to develop, the charges may also then become larger than expected. This may cause outcomes such as reduced margins, slower delivery of homes, less homes developed, developer installs own infrastructure, or the project may not go ahead. It can also cause impacts including infrastructure being incomplete when housing is handed over to new ow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35366" name="Picture 16" descr="This figure shows the different steps in development and how uncertain developer contributions can affect the process and feasibility. When charges are uncertain, land may not be purchased, and the developer may select another parcel of land to develop. Once the developer has purchased land to develop, the charges may also then become larger than expected. This may cause outcomes such as reduced margins, slower delivery of homes, less homes developed, developer installs own infrastructure, or the project may not go ahead. It can also cause impacts including infrastructure being incomplete when housing is handed over to new owners."/>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0130" cy="3623310"/>
                    </a:xfrm>
                    <a:prstGeom prst="rect">
                      <a:avLst/>
                    </a:prstGeom>
                    <a:noFill/>
                    <a:ln>
                      <a:noFill/>
                    </a:ln>
                  </pic:spPr>
                </pic:pic>
              </a:graphicData>
            </a:graphic>
          </wp:inline>
        </w:drawing>
      </w:r>
    </w:p>
    <w:p w14:paraId="6193A65F" w14:textId="7AFD56C9" w:rsidR="00CC2DD4" w:rsidRDefault="00CC2DD4" w:rsidP="00E7469E">
      <w:pPr>
        <w:pStyle w:val="Source"/>
        <w:spacing w:after="360"/>
      </w:pPr>
      <w:r w:rsidRPr="00E54617">
        <w:t>Source: PC</w:t>
      </w:r>
      <w:r>
        <w:t xml:space="preserve"> analysis</w:t>
      </w:r>
      <w:r w:rsidRPr="00E54617">
        <w:t xml:space="preserve"> based on Abelson </w:t>
      </w:r>
      <w:r w:rsidRPr="0003390F">
        <w:t>(2017, pp. 9–10)</w:t>
      </w:r>
      <w:r w:rsidRPr="00E54617">
        <w:t xml:space="preserve">; Henry et al. </w:t>
      </w:r>
      <w:r w:rsidRPr="003C7523">
        <w:rPr>
          <w:rFonts w:cs="Open Sans"/>
        </w:rPr>
        <w:t>(2010, pp. 426–428)</w:t>
      </w:r>
      <w:r w:rsidRPr="00E54617">
        <w:t xml:space="preserve">; Murray and Helm </w:t>
      </w:r>
      <w:r w:rsidRPr="0003390F">
        <w:t>(2022, pp. 11–14)</w:t>
      </w:r>
      <w:r w:rsidRPr="00E54617">
        <w:t xml:space="preserve">; NSW PC </w:t>
      </w:r>
      <w:r w:rsidRPr="0003390F">
        <w:t>(2020, p. 33)</w:t>
      </w:r>
      <w:r w:rsidRPr="00E54617">
        <w:t>.</w:t>
      </w:r>
    </w:p>
    <w:p w14:paraId="786287CA" w14:textId="77777777" w:rsidR="00CC2DD4" w:rsidRDefault="00CC2DD4">
      <w:pPr>
        <w:pStyle w:val="Heading4"/>
      </w:pPr>
      <w:r>
        <w:lastRenderedPageBreak/>
        <w:t>The timing of developer contribution payments can also affect feasibility</w:t>
      </w:r>
    </w:p>
    <w:p w14:paraId="77004531" w14:textId="43B0B710" w:rsidR="00CC2DD4" w:rsidRPr="00474D57" w:rsidRDefault="00CC2DD4">
      <w:pPr>
        <w:pStyle w:val="BodyText"/>
        <w:rPr>
          <w:spacing w:val="-2"/>
        </w:rPr>
      </w:pPr>
      <w:r w:rsidRPr="00474D57">
        <w:rPr>
          <w:spacing w:val="-2"/>
        </w:rPr>
        <w:t>When contributions must be paid upfront prior to housing being developed, some developers argued this can constrain the cashflow of developers before they begin to receive revenue from the sales of new homes (HIA, sub. 25, p. 23; Master Builders Australia, sub. 74, p. 11; PIA, sub. 34, p. 16). Some participants suggested that this can increase financing costs and capital requirements for developers (HIA, sub. 25, p.</w:t>
      </w:r>
      <w:r w:rsidR="00583CD8">
        <w:rPr>
          <w:spacing w:val="-2"/>
        </w:rPr>
        <w:t> </w:t>
      </w:r>
      <w:r w:rsidRPr="00474D57">
        <w:rPr>
          <w:spacing w:val="-2"/>
        </w:rPr>
        <w:t xml:space="preserve">23), and holding costs (David Lord, sub. 55, p. 3). UDIA shared an example of an inner-city apartment development that was levied about $70 million in developer </w:t>
      </w:r>
      <w:proofErr w:type="gramStart"/>
      <w:r w:rsidRPr="00474D57">
        <w:rPr>
          <w:spacing w:val="-2"/>
        </w:rPr>
        <w:t>contributions, but</w:t>
      </w:r>
      <w:proofErr w:type="gramEnd"/>
      <w:r w:rsidRPr="00474D57">
        <w:rPr>
          <w:spacing w:val="-2"/>
        </w:rPr>
        <w:t xml:space="preserve"> generated an additional $23 million in financing costs due to the timing of the payments (sub. 83, p. 27).</w:t>
      </w:r>
    </w:p>
    <w:p w14:paraId="606B6FE5" w14:textId="77777777" w:rsidR="00CC2DD4" w:rsidRPr="00715B9F" w:rsidRDefault="00CC2DD4">
      <w:pPr>
        <w:pStyle w:val="BodyText"/>
      </w:pPr>
      <w:r>
        <w:t>This relates to broader challenges with funding housing-enabling infrastructure, including the need for earlier funding of infrastructure to allow timely delivery alongside new housing. This is covered in section 4.2 and considered as part of the role of the Australian Government in supporting housing-enabling infrastructure later in section 4.4.</w:t>
      </w:r>
    </w:p>
    <w:p w14:paraId="14B09137" w14:textId="77777777" w:rsidR="00CC2DD4" w:rsidRDefault="00CC2DD4">
      <w:pPr>
        <w:pStyle w:val="Heading3"/>
      </w:pPr>
      <w:r>
        <w:t>Developer contributions should align with the supporting principles</w:t>
      </w:r>
    </w:p>
    <w:p w14:paraId="54BFA978" w14:textId="77777777" w:rsidR="00CC2DD4" w:rsidRDefault="00CC2DD4">
      <w:pPr>
        <w:pStyle w:val="BodyText"/>
      </w:pPr>
      <w:r>
        <w:t>There are opportunities for developer contribution frameworks to better align with our best-practice principles (figure 4.2). There are additional factors that can challenge implementation, which we consider below.</w:t>
      </w:r>
    </w:p>
    <w:p w14:paraId="57D54D2A" w14:textId="77777777" w:rsidR="00CC2DD4" w:rsidRDefault="00CC2DD4">
      <w:pPr>
        <w:pStyle w:val="Heading4"/>
      </w:pPr>
      <w:r>
        <w:t>Contributions should be efficient</w:t>
      </w:r>
    </w:p>
    <w:p w14:paraId="2CFE25AB" w14:textId="52149255" w:rsidR="00CC2DD4" w:rsidRDefault="00CC2DD4">
      <w:pPr>
        <w:pStyle w:val="BodyText"/>
      </w:pPr>
      <w:r>
        <w:t xml:space="preserve">Some jurisdictions already have contributions that are cost-reflective and apportioned to reflect the share of the benefits or use connected to the development’s residents. For example, local government contributions in Queensland and section 7.11 contribution levies in New South Wales are both calculated based on estimated costs of the infrastructure, apportioned to the share of demand or benefit to the development, although both are subject to caps on charge amounts, which can limit fully efficient charging </w:t>
      </w:r>
      <w:r w:rsidRPr="00762D0A">
        <w:rPr>
          <w:rFonts w:cs="Open Sans"/>
        </w:rPr>
        <w:t>(NSW DPHI 2026e, 2026a; Queensland DSDIP 2023, pp. 15, 34)</w:t>
      </w:r>
      <w:r>
        <w:t xml:space="preserve">. </w:t>
      </w:r>
    </w:p>
    <w:p w14:paraId="2CF7C9B2" w14:textId="7902489E" w:rsidR="00CC2DD4" w:rsidRDefault="00CC2DD4">
      <w:pPr>
        <w:pStyle w:val="BodyText"/>
      </w:pPr>
      <w:r>
        <w:t xml:space="preserve">Making contribution charges efficient may be challenging in practice. For example, it may be difficult to define a ‘close nexus’, especially when infrastructure benefits residents beyond the development. Calculating exact costs and apportionments may also be administratively burdensome for local governments </w:t>
      </w:r>
      <w:r w:rsidRPr="00D75DDC">
        <w:t>(NHFIC 2021, p. 6; NSW PC 2020, p. 36; VAGO 2020, p. 37)</w:t>
      </w:r>
      <w:r>
        <w:t>, although digital tools may be able to assist with contribution determinations.</w:t>
      </w:r>
    </w:p>
    <w:p w14:paraId="39016A76" w14:textId="77777777" w:rsidR="00CC2DD4" w:rsidRPr="00344A21" w:rsidRDefault="00CC2DD4">
      <w:pPr>
        <w:pStyle w:val="Heading4"/>
      </w:pPr>
      <w:r>
        <w:t>There is a trade</w:t>
      </w:r>
      <w:r>
        <w:noBreakHyphen/>
        <w:t>off between certainty and efficient cost</w:t>
      </w:r>
      <w:r>
        <w:noBreakHyphen/>
        <w:t>recovery</w:t>
      </w:r>
    </w:p>
    <w:p w14:paraId="065DFE92" w14:textId="055EBC4D" w:rsidR="00CC2DD4" w:rsidRPr="00D75DDC" w:rsidRDefault="00CC2DD4">
      <w:pPr>
        <w:pStyle w:val="BodyText"/>
      </w:pPr>
      <w:r w:rsidRPr="00D75DDC">
        <w:t>As discussed in section 4.3, certainty in developer contributions is important to support development feasibility. However, there appears to be</w:t>
      </w:r>
      <w:r w:rsidRPr="00D75DDC" w:rsidDel="001D3B20">
        <w:t xml:space="preserve"> a trade-off between</w:t>
      </w:r>
      <w:r w:rsidRPr="00D75DDC">
        <w:t xml:space="preserve"> certainty and efficient cost-recovery (NSW PC 2020, p. 36). </w:t>
      </w:r>
    </w:p>
    <w:p w14:paraId="5EFBE860" w14:textId="22D49FBD" w:rsidR="00CC2DD4" w:rsidRPr="00D75DDC" w:rsidRDefault="00CC2DD4">
      <w:pPr>
        <w:pStyle w:val="BodyText"/>
      </w:pPr>
      <w:r w:rsidRPr="00D75DDC">
        <w:t>Some states offer fixed or percentage-based charges, or place</w:t>
      </w:r>
      <w:r w:rsidRPr="00D75DDC" w:rsidDel="00E262FB">
        <w:t xml:space="preserve"> </w:t>
      </w:r>
      <w:r w:rsidRPr="00D75DDC">
        <w:t xml:space="preserve">caps on the size of the charge. Growth area infrastructure contributions in Victoria charge fixed amounts per hectare of the development, and 7.12 local infrastructure levies in New South Wales are based on a percentage of development costs </w:t>
      </w:r>
      <w:r w:rsidRPr="00762D0A">
        <w:rPr>
          <w:rFonts w:cs="Open Sans"/>
        </w:rPr>
        <w:t>(NSW DPHI 2026b; Victorian DTP 2026a)</w:t>
      </w:r>
      <w:r w:rsidRPr="005C683A">
        <w:t>.</w:t>
      </w:r>
      <w:r w:rsidRPr="00D75DDC">
        <w:t xml:space="preserve"> While this can increase certainty for developers, it is less efficient than cost-reflective pricing </w:t>
      </w:r>
      <w:r>
        <w:t xml:space="preserve">and </w:t>
      </w:r>
      <w:r w:rsidRPr="00D75DDC">
        <w:t>is not as good at signalling lower-cost areas for new housing and infrastructure. It may also distort the type of development that occurs (discussed above). However, there can be situations where fixed or percentage-based charges are appropriate (box</w:t>
      </w:r>
      <w:r>
        <w:t> </w:t>
      </w:r>
      <w:r w:rsidRPr="00D75DDC">
        <w:t>4.2).</w:t>
      </w:r>
    </w:p>
    <w:p w14:paraId="010E93B4" w14:textId="1A2AC2DD" w:rsidR="00CC2DD4" w:rsidRPr="00D75DDC" w:rsidRDefault="00CC2DD4">
      <w:pPr>
        <w:pStyle w:val="BodyText"/>
      </w:pPr>
      <w:r w:rsidRPr="00D75DDC">
        <w:t>An important way to improve charging certainty while retaining cost-reflective charges is providing developers with estimates of contributions when considering allocating land for development, prior</w:t>
      </w:r>
      <w:r w:rsidRPr="00D75DDC" w:rsidDel="004927F0">
        <w:t xml:space="preserve"> </w:t>
      </w:r>
      <w:r w:rsidRPr="00D75DDC" w:rsidDel="00361155">
        <w:t>t</w:t>
      </w:r>
      <w:r w:rsidRPr="00D75DDC" w:rsidDel="004927F0">
        <w:t>o</w:t>
      </w:r>
      <w:r w:rsidRPr="00D75DDC" w:rsidDel="00361155">
        <w:t xml:space="preserve"> </w:t>
      </w:r>
      <w:r w:rsidRPr="00D75DDC">
        <w:lastRenderedPageBreak/>
        <w:t>the approvals process commencing. This happens in Queensland, where local government infrastructure plans identify infrastructure needs and estimated costs prior to development occurring (Queensland DSDIP 2023, pp. 5, 32–33). Tools</w:t>
      </w:r>
      <w:r w:rsidRPr="00D75DDC" w:rsidDel="00E212A3">
        <w:t xml:space="preserve"> </w:t>
      </w:r>
      <w:r w:rsidRPr="00D75DDC">
        <w:t xml:space="preserve">such as the New South Wales planning portal, which allows developers to search estimated developer contributions for an address, should also improve certainty </w:t>
      </w:r>
      <w:r w:rsidRPr="00762D0A">
        <w:rPr>
          <w:rFonts w:cs="Open Sans"/>
        </w:rPr>
        <w:t>(NSW DPHI 2026d)</w:t>
      </w:r>
      <w:r w:rsidRPr="00D75DDC">
        <w:t xml:space="preserve">. </w:t>
      </w:r>
    </w:p>
    <w:p w14:paraId="2745184A" w14:textId="3D046672" w:rsidR="00CC2DD4" w:rsidRPr="00F82BD9" w:rsidRDefault="00CC2DD4">
      <w:pPr>
        <w:pStyle w:val="NoSpacing"/>
      </w:pPr>
    </w:p>
    <w:tbl>
      <w:tblPr>
        <w:tblStyle w:val="Boxtable"/>
        <w:tblW w:w="5000" w:type="pct"/>
        <w:tblLook w:val="04A0" w:firstRow="1" w:lastRow="0" w:firstColumn="1" w:lastColumn="0" w:noHBand="0" w:noVBand="1"/>
      </w:tblPr>
      <w:tblGrid>
        <w:gridCol w:w="9638"/>
      </w:tblGrid>
      <w:tr w:rsidR="00CC2DD4" w14:paraId="3D987F3B" w14:textId="77777777">
        <w:trPr>
          <w:tblHeader/>
        </w:trPr>
        <w:tc>
          <w:tcPr>
            <w:tcW w:w="9638" w:type="dxa"/>
            <w:shd w:val="clear" w:color="auto" w:fill="EBEBEB"/>
            <w:tcMar>
              <w:top w:w="170" w:type="dxa"/>
              <w:left w:w="170" w:type="dxa"/>
              <w:bottom w:w="113" w:type="dxa"/>
              <w:right w:w="170" w:type="dxa"/>
            </w:tcMar>
            <w:hideMark/>
          </w:tcPr>
          <w:p w14:paraId="20C195B2" w14:textId="056809D9" w:rsidR="00CC2DD4" w:rsidRDefault="00CC2DD4">
            <w:pPr>
              <w:pStyle w:val="BoxHeading1"/>
            </w:pPr>
            <w:r>
              <w:t xml:space="preserve">Box </w:t>
            </w:r>
            <w:r w:rsidR="00CB06D8">
              <w:rPr>
                <w:noProof/>
              </w:rPr>
              <w:t>4</w:t>
            </w:r>
            <w:r>
              <w:t>.</w:t>
            </w:r>
            <w:r w:rsidR="00CB06D8">
              <w:rPr>
                <w:noProof/>
              </w:rPr>
              <w:t>2</w:t>
            </w:r>
            <w:r>
              <w:t xml:space="preserve"> – Flat rate developer contributions can promote certainty in limited circumstances, but should not be broadly applied</w:t>
            </w:r>
          </w:p>
        </w:tc>
      </w:tr>
      <w:tr w:rsidR="00CC2DD4" w14:paraId="58507152" w14:textId="77777777">
        <w:tc>
          <w:tcPr>
            <w:tcW w:w="9638" w:type="dxa"/>
            <w:shd w:val="clear" w:color="auto" w:fill="EBEBEB"/>
            <w:tcMar>
              <w:top w:w="28" w:type="dxa"/>
              <w:left w:w="170" w:type="dxa"/>
              <w:bottom w:w="170" w:type="dxa"/>
              <w:right w:w="170" w:type="dxa"/>
            </w:tcMar>
            <w:hideMark/>
          </w:tcPr>
          <w:p w14:paraId="1E55C70D" w14:textId="77777777" w:rsidR="00CC2DD4" w:rsidRDefault="00CC2DD4">
            <w:pPr>
              <w:pStyle w:val="BodyText"/>
            </w:pPr>
            <w:r>
              <w:t>In instances where there is a close nexus between a development and infrastructure, but costs are difficult to accurately estimate upfront and apportion, there may be a case to use flat or percentage</w:t>
            </w:r>
            <w:r>
              <w:noBreakHyphen/>
              <w:t>based developer contributions to avoid excessive complexity and give developers upfront certainty. There may also be instances where calculating precise infrastructure costs and apportionments are administratively prohibitive for local governments, and fixed or percentage contributions would be more manageable.</w:t>
            </w:r>
          </w:p>
          <w:p w14:paraId="5BC1F9F7" w14:textId="77777777" w:rsidR="00CC2DD4" w:rsidRDefault="00CC2DD4">
            <w:pPr>
              <w:pStyle w:val="BodyText"/>
            </w:pPr>
            <w:r>
              <w:t xml:space="preserve">An example of this trade-off is when, in 2026, the Victorian Essential Services Commission made a price decision for </w:t>
            </w:r>
            <w:proofErr w:type="gramStart"/>
            <w:r>
              <w:t>North East</w:t>
            </w:r>
            <w:proofErr w:type="gramEnd"/>
            <w:r>
              <w:t xml:space="preserve"> Water, which included standard charges for new customer connections for developers. In their determination, they noted that the revised standard charge for new sewerage connections may not be cost reflective for some towns, and that this may make the price signal for new developments inefficient. However, they approved the standard new customer contributions </w:t>
            </w:r>
            <w:proofErr w:type="gramStart"/>
            <w:r>
              <w:t>on the basis of</w:t>
            </w:r>
            <w:proofErr w:type="gramEnd"/>
            <w:r>
              <w:t xml:space="preserve"> strong support from connection applicants for uniform charges across </w:t>
            </w:r>
            <w:proofErr w:type="gramStart"/>
            <w:r>
              <w:t>North East</w:t>
            </w:r>
            <w:proofErr w:type="gramEnd"/>
            <w:r>
              <w:t xml:space="preserve"> Water’s operating area. This reflected a preference among connection applicants to provide certainty while also providing charges that closely reflected actual costs, as the total operating costs would be recouped from the charges across the </w:t>
            </w:r>
            <w:proofErr w:type="gramStart"/>
            <w:r>
              <w:t>area as a whole</w:t>
            </w:r>
            <w:proofErr w:type="gramEnd"/>
            <w:r>
              <w:t xml:space="preserve">. </w:t>
            </w:r>
          </w:p>
          <w:p w14:paraId="3B9F5412" w14:textId="77777777" w:rsidR="00CC2DD4" w:rsidRPr="00F53471" w:rsidRDefault="00CC2DD4">
            <w:pPr>
              <w:pStyle w:val="BodyText"/>
            </w:pPr>
            <w:r w:rsidRPr="00F53471">
              <w:t>Use of flat rate charges in this way should be done in limited circumstances where it is genuinely challenging to accurately apportion costs of state or local contributions, rather than as a general charging principle. When used, overall average charges should still accurately recover costs in the aggregate.</w:t>
            </w:r>
          </w:p>
          <w:p w14:paraId="6A68FA1F" w14:textId="2BA86E6A" w:rsidR="00CC2DD4" w:rsidRDefault="00CC2DD4">
            <w:pPr>
              <w:pStyle w:val="Source"/>
            </w:pPr>
            <w:r>
              <w:t xml:space="preserve">Source: VESC </w:t>
            </w:r>
            <w:r w:rsidRPr="00DD3C6F">
              <w:t>(2026, p. 54)</w:t>
            </w:r>
            <w:r>
              <w:t>.</w:t>
            </w:r>
            <w:r w:rsidRPr="008E58C5" w:rsidDel="006874DE">
              <w:t xml:space="preserve"> </w:t>
            </w:r>
          </w:p>
        </w:tc>
      </w:tr>
      <w:tr w:rsidR="00CC2DD4" w14:paraId="37704946" w14:textId="77777777">
        <w:trPr>
          <w:hidden/>
        </w:trPr>
        <w:tc>
          <w:tcPr>
            <w:tcW w:w="9638" w:type="dxa"/>
            <w:shd w:val="clear" w:color="auto" w:fill="auto"/>
            <w:tcMar>
              <w:top w:w="0" w:type="dxa"/>
              <w:left w:w="170" w:type="dxa"/>
              <w:bottom w:w="0" w:type="dxa"/>
              <w:right w:w="170" w:type="dxa"/>
            </w:tcMar>
          </w:tcPr>
          <w:p w14:paraId="21182C82" w14:textId="6CDB06B1" w:rsidR="00CC2DD4" w:rsidRPr="00465191" w:rsidRDefault="00CC2DD4">
            <w:pPr>
              <w:pStyle w:val="BodyText"/>
              <w:spacing w:before="0" w:after="0" w:line="80" w:lineRule="atLeast"/>
              <w:rPr>
                <w:smallCaps/>
                <w:vanish/>
              </w:rPr>
            </w:pPr>
          </w:p>
        </w:tc>
      </w:tr>
    </w:tbl>
    <w:p w14:paraId="69B7D84C" w14:textId="77777777" w:rsidR="00CC2DD4" w:rsidRDefault="00CC2DD4" w:rsidP="00F53471">
      <w:pPr>
        <w:pStyle w:val="BodyText"/>
        <w:spacing w:before="240"/>
        <w:rPr>
          <w:color w:val="000000" w:themeColor="text1"/>
        </w:rPr>
      </w:pPr>
      <w:r>
        <w:rPr>
          <w:color w:val="000000" w:themeColor="text1"/>
        </w:rPr>
        <w:t xml:space="preserve">When charges are estimated upfront, there is a risk that the actual cost to deliver the infrastructure ends up being higher than the initial estimate. Local and state governments should commit to the initial estimates and developer contributions, and cover cost overruns. There may also be a role for the Australian Government in underwriting such risks (below). This should reduce feasibility risks on developers (which may have flow-on effects to housing supply) and encourage rigorous cost estimates. </w:t>
      </w:r>
    </w:p>
    <w:p w14:paraId="4CF1BB98" w14:textId="77777777" w:rsidR="00CC2DD4" w:rsidRDefault="00CC2DD4">
      <w:pPr>
        <w:pStyle w:val="Heading4"/>
      </w:pPr>
      <w:r>
        <w:t>Timing of contribution payments should support feasibility</w:t>
      </w:r>
    </w:p>
    <w:p w14:paraId="70B683D8" w14:textId="77777777" w:rsidR="00CC2DD4" w:rsidRDefault="00CC2DD4">
      <w:pPr>
        <w:pStyle w:val="BodyText"/>
      </w:pPr>
      <w:r>
        <w:t xml:space="preserve">The timing of developer contribution payments should support development feasibility by aligning with revenue flows in the development process. For example, rather than being due upfront before development commences, contributions may better support feasibility if they are payable by completion of the development, or in instalments. The Planning Institute of Australia and the Housing </w:t>
      </w:r>
      <w:r>
        <w:lastRenderedPageBreak/>
        <w:t>Industry Association recommended that contributions be deferred or staged to align with project cashflows (sub. 34, p. 16; sub. 25, p. 24).</w:t>
      </w:r>
    </w:p>
    <w:p w14:paraId="24ECD634" w14:textId="4E3EBD15" w:rsidR="00CC2DD4" w:rsidRPr="00F53471" w:rsidRDefault="00CC2DD4">
      <w:pPr>
        <w:pStyle w:val="BodyText"/>
        <w:rPr>
          <w:spacing w:val="-2"/>
        </w:rPr>
      </w:pPr>
      <w:r w:rsidRPr="00F53471">
        <w:rPr>
          <w:spacing w:val="-2"/>
        </w:rPr>
        <w:t>However, deferring contributions until later in the development process has implications for local government cashflows and the timeliness of infrastructure delivery. As discussed in section 4.2, one of the challenges with infrastructure planning is that infrastructure can lag housing development, or cause housing to be developed more slowly. This partly reflects a lack of upfront funding to kickstart the infrastructure (WALGA, sub. 27, p. 7). Some submissions suggested a solution may be pre-funding tools that give local governments earlier access to funds to commence infrastructure delivery (WALGA, sub.</w:t>
      </w:r>
      <w:r w:rsidR="00F53471" w:rsidRPr="00F53471">
        <w:rPr>
          <w:spacing w:val="-2"/>
        </w:rPr>
        <w:t> </w:t>
      </w:r>
      <w:r w:rsidRPr="00F53471">
        <w:rPr>
          <w:spacing w:val="-2"/>
        </w:rPr>
        <w:t>27, p. 7). The Australian Government or state and territory governments could offer low or no-interest borrowing to local governments to allow this funding to occur earlier, even when developer contributions are collected later (ALGA, sub. 8, p. 8).</w:t>
      </w:r>
    </w:p>
    <w:p w14:paraId="2CE24F8D" w14:textId="79E58021" w:rsidR="00CC2DD4" w:rsidRDefault="00CC2DD4">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CC2DD4" w14:paraId="6B8C0D58" w14:textId="77777777">
        <w:trPr>
          <w:trHeight w:val="765"/>
          <w:tblHeader/>
        </w:trPr>
        <w:tc>
          <w:tcPr>
            <w:tcW w:w="366" w:type="pct"/>
            <w:shd w:val="clear" w:color="auto" w:fill="EBEBEB"/>
            <w:tcMar>
              <w:bottom w:w="0" w:type="dxa"/>
            </w:tcMar>
            <w:vAlign w:val="center"/>
          </w:tcPr>
          <w:p w14:paraId="011292B8" w14:textId="77777777" w:rsidR="00CC2DD4" w:rsidRDefault="00CC2DD4">
            <w:pPr>
              <w:pStyle w:val="NoSpacing"/>
              <w:keepNext/>
              <w:keepLines/>
              <w:jc w:val="right"/>
            </w:pPr>
            <w:r w:rsidRPr="00A51374">
              <w:rPr>
                <w:noProof/>
              </w:rPr>
              <w:drawing>
                <wp:inline distT="0" distB="0" distL="0" distR="0" wp14:anchorId="49521E53" wp14:editId="6E623289">
                  <wp:extent cx="288000" cy="288000"/>
                  <wp:effectExtent l="0" t="0" r="0" b="0"/>
                  <wp:docPr id="1114151001" name="Graphic 11141510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40933CB0" w14:textId="3E22E5DB" w:rsidR="00CC2DD4" w:rsidRPr="002530FF" w:rsidRDefault="00CC2DD4">
            <w:pPr>
              <w:pStyle w:val="FindingRecRequesttitle"/>
            </w:pPr>
            <w:r w:rsidRPr="000B0B71">
              <w:t xml:space="preserve">Information request </w:t>
            </w:r>
            <w:r w:rsidR="00CB06D8">
              <w:rPr>
                <w:noProof/>
              </w:rPr>
              <w:t>4</w:t>
            </w:r>
            <w:r w:rsidRPr="00DF7217">
              <w:t>.</w:t>
            </w:r>
            <w:r w:rsidR="00CB06D8">
              <w:rPr>
                <w:noProof/>
              </w:rPr>
              <w:t>2</w:t>
            </w:r>
          </w:p>
        </w:tc>
      </w:tr>
      <w:tr w:rsidR="00CC2DD4" w:rsidRPr="00D06AF9" w14:paraId="5D01944A" w14:textId="77777777">
        <w:tc>
          <w:tcPr>
            <w:tcW w:w="5000" w:type="pct"/>
            <w:gridSpan w:val="2"/>
            <w:shd w:val="clear" w:color="auto" w:fill="EBEBEB"/>
          </w:tcPr>
          <w:p w14:paraId="76E8D35D" w14:textId="77777777" w:rsidR="00CC2DD4" w:rsidRPr="00D06AF9" w:rsidRDefault="00CC2DD4" w:rsidP="00B92400">
            <w:pPr>
              <w:pStyle w:val="ListBullet"/>
              <w:rPr>
                <w:color w:val="265A9A" w:themeColor="background2"/>
              </w:rPr>
            </w:pPr>
            <w:r w:rsidRPr="00D06AF9">
              <w:rPr>
                <w:color w:val="265A9A" w:themeColor="background2"/>
              </w:rPr>
              <w:t>How can governments balance the need to support feasibility for developers by collecting developer contributions later in the development process, with a need for upfront funding to kickstart infrastructure to support new housing?</w:t>
            </w:r>
          </w:p>
        </w:tc>
      </w:tr>
      <w:tr w:rsidR="00CC2DD4" w14:paraId="1E6BDE54" w14:textId="77777777">
        <w:tc>
          <w:tcPr>
            <w:tcW w:w="5000" w:type="pct"/>
            <w:gridSpan w:val="2"/>
            <w:tcMar>
              <w:bottom w:w="0" w:type="dxa"/>
            </w:tcMar>
          </w:tcPr>
          <w:p w14:paraId="20A2BE51" w14:textId="74716F6A" w:rsidR="00CC2DD4" w:rsidRDefault="00CC2DD4">
            <w:pPr>
              <w:pStyle w:val="NoSpacing"/>
              <w:spacing w:line="200" w:lineRule="atLeast"/>
            </w:pPr>
          </w:p>
        </w:tc>
      </w:tr>
    </w:tbl>
    <w:p w14:paraId="2B3CF922" w14:textId="77777777" w:rsidR="00CC2DD4" w:rsidRPr="00344A21" w:rsidRDefault="00CC2DD4">
      <w:pPr>
        <w:pStyle w:val="Heading4"/>
      </w:pPr>
      <w:r>
        <w:t>Charging frameworks should be transparent</w:t>
      </w:r>
    </w:p>
    <w:p w14:paraId="5D2E652B" w14:textId="77777777" w:rsidR="00CC2DD4" w:rsidRPr="007D2078" w:rsidRDefault="00CC2DD4">
      <w:pPr>
        <w:pStyle w:val="BodyText"/>
        <w:rPr>
          <w:spacing w:val="-4"/>
        </w:rPr>
      </w:pPr>
      <w:r w:rsidRPr="007D2078">
        <w:rPr>
          <w:spacing w:val="-4"/>
        </w:rPr>
        <w:t>Transparent reporting of what developer contributions cost, the amount collected and how they are linked to specific infrastructure outcomes helps support the other principles by shedding light on the efficiency of developer contributions, the timeliness of infrastructure delivery and its effect on housing supply.</w:t>
      </w:r>
    </w:p>
    <w:p w14:paraId="57EBF7F7" w14:textId="0C778277" w:rsidR="00CC2DD4" w:rsidRDefault="00CC2DD4">
      <w:pPr>
        <w:pStyle w:val="BodyText"/>
      </w:pPr>
      <w:r w:rsidRPr="00DD3C6F">
        <w:t>The amount and type of public, central reporting on developer contributions varies across states and territories (HIA, sub. 25, p. 24; NHFIC 2021, p. 15)</w:t>
      </w:r>
      <w:r>
        <w:t xml:space="preserve">. </w:t>
      </w:r>
      <w:r w:rsidRPr="00DD3C6F">
        <w:t xml:space="preserve">For example, New South Wales has centralised online reporting of local government developer contributions, which can make it easier for developers to navigate and access them. And in Western Australia, local governments are required to give annual updates on infrastructure delivery progress, which supports certainty for development decisions </w:t>
      </w:r>
      <w:r w:rsidRPr="00762D0A">
        <w:rPr>
          <w:rFonts w:cs="Open Sans"/>
        </w:rPr>
        <w:t>(NSW DPHI 2026f; WA DPLH 2021)</w:t>
      </w:r>
      <w:r w:rsidRPr="00DD3C6F">
        <w:t>.</w:t>
      </w:r>
      <w:r w:rsidRPr="000A2F88">
        <w:t xml:space="preserve"> </w:t>
      </w:r>
      <w:r>
        <w:t>But some inquiry participants suggested there is a need for more transparency in how funds are collected and used.</w:t>
      </w:r>
    </w:p>
    <w:p w14:paraId="1294944D" w14:textId="77777777" w:rsidR="00CC2DD4" w:rsidRDefault="00CC2DD4">
      <w:pPr>
        <w:pStyle w:val="Quote"/>
      </w:pPr>
      <w:r>
        <w:t>In many jurisdictions, it is unclear whether developer contributions operate as a genuinely hypothecated funding mechanism, directly linked to specific infrastructure projects or whether they are effectively absorbed into broader revenue streams. (HIA, sub. 25, p. 24)</w:t>
      </w:r>
    </w:p>
    <w:p w14:paraId="690A1215" w14:textId="63477BBB" w:rsidR="00CC2DD4" w:rsidRPr="00DC5646" w:rsidRDefault="00CC2DD4">
      <w:pPr>
        <w:pStyle w:val="BodyText"/>
      </w:pPr>
      <w:r>
        <w:t xml:space="preserve">Available data suggests that some councils in New South Wales hold large unspent funds collected from developer contributions, but reporting in other jurisdictions makes it more difficult to determine the extent to which unspent funds are common elsewhere </w:t>
      </w:r>
      <w:r w:rsidRPr="00DD3C6F">
        <w:t>(NHFIC 2021, pp. 16–17)</w:t>
      </w:r>
      <w:r>
        <w:t>.</w:t>
      </w:r>
    </w:p>
    <w:p w14:paraId="42648DBD" w14:textId="77777777" w:rsidR="00CC2DD4" w:rsidRDefault="00CC2DD4">
      <w:pPr>
        <w:pStyle w:val="Heading4"/>
      </w:pPr>
      <w:r>
        <w:t>Contribution frameworks should be simple and consistent</w:t>
      </w:r>
    </w:p>
    <w:p w14:paraId="269E6AE5" w14:textId="77777777" w:rsidR="00CC2DD4" w:rsidRDefault="00CC2DD4">
      <w:pPr>
        <w:pStyle w:val="BodyText"/>
      </w:pPr>
      <w:r>
        <w:t xml:space="preserve">Contribution frameworks should be simple and consistent in how they are calculated and administered within each state and territory (and ideally more consistent nationally) (Master Builders Australia, sub. 74, p. 12; Policy Watchdog Australia, sub. 1, p. 9). This includes aligning the timing of when </w:t>
      </w:r>
      <w:r>
        <w:lastRenderedPageBreak/>
        <w:t>contributions are due to be paid (e.g. state and local) to reduce disruption to project cashflows. This would</w:t>
      </w:r>
      <w:r w:rsidDel="003F32EF">
        <w:t xml:space="preserve"> </w:t>
      </w:r>
      <w:r>
        <w:t>minimise complexity and unnecessary administrative burden on developers and governments.</w:t>
      </w:r>
    </w:p>
    <w:p w14:paraId="2677A7DD" w14:textId="77777777" w:rsidR="00CC2DD4" w:rsidRDefault="00CC2DD4">
      <w:pPr>
        <w:pStyle w:val="BodyText"/>
      </w:pPr>
      <w:r>
        <w:t>This does not mean developers will be charged the same amount for all developments. Instead, it should mean that developers can more easily interpret charging arrangements and make comparisons between different potential development sites</w:t>
      </w:r>
      <w:r w:rsidDel="00127E2F">
        <w:t xml:space="preserve"> </w:t>
      </w:r>
      <w:r>
        <w:t>to help inform feasibility assessments.</w:t>
      </w:r>
    </w:p>
    <w:p w14:paraId="576F8680" w14:textId="77777777" w:rsidR="00CC2DD4" w:rsidRDefault="00CC2DD4">
      <w:pPr>
        <w:pStyle w:val="Heading3"/>
      </w:pPr>
      <w:r>
        <w:t>Reform directions to improve developer contributions</w:t>
      </w:r>
    </w:p>
    <w:p w14:paraId="6C87C5B2" w14:textId="77777777" w:rsidR="00CC2DD4" w:rsidRDefault="00CC2DD4">
      <w:pPr>
        <w:pStyle w:val="BodyText"/>
      </w:pPr>
      <w:r>
        <w:t>Based on our principles for best practice developer contribution frameworks, and evidence from submissions and literature, we propose several reform directions</w:t>
      </w:r>
      <w:r w:rsidDel="008771B9">
        <w:t xml:space="preserve"> </w:t>
      </w:r>
      <w:r>
        <w:t>for developer charging. These represent a preliminary view: we are seeking feedback on these directions and their implementation to inform our final report.</w:t>
      </w:r>
    </w:p>
    <w:p w14:paraId="2FB83EC4" w14:textId="3B9CD435" w:rsidR="00CC2DD4" w:rsidRDefault="00CC2DD4">
      <w:pPr>
        <w:pStyle w:val="NoSpacing"/>
      </w:pPr>
    </w:p>
    <w:tbl>
      <w:tblPr>
        <w:tblStyle w:val="Texttable-Paleblue"/>
        <w:tblW w:w="5000" w:type="pct"/>
        <w:tblLook w:val="04A0" w:firstRow="1" w:lastRow="0" w:firstColumn="1" w:lastColumn="0" w:noHBand="0" w:noVBand="1"/>
      </w:tblPr>
      <w:tblGrid>
        <w:gridCol w:w="713"/>
        <w:gridCol w:w="8925"/>
      </w:tblGrid>
      <w:tr w:rsidR="00CC2DD4" w14:paraId="04398BA6" w14:textId="77777777">
        <w:trPr>
          <w:tblHeader/>
        </w:trPr>
        <w:tc>
          <w:tcPr>
            <w:tcW w:w="709" w:type="dxa"/>
            <w:shd w:val="clear" w:color="auto" w:fill="E7F6FD"/>
            <w:tcMar>
              <w:top w:w="0" w:type="dxa"/>
              <w:bottom w:w="0" w:type="dxa"/>
            </w:tcMar>
            <w:vAlign w:val="center"/>
          </w:tcPr>
          <w:p w14:paraId="4A4CBDD8" w14:textId="77777777" w:rsidR="00CC2DD4" w:rsidRDefault="00CC2DD4">
            <w:pPr>
              <w:keepLines/>
              <w:jc w:val="center"/>
            </w:pPr>
            <w:r w:rsidRPr="00A51374">
              <w:rPr>
                <w:noProof/>
              </w:rPr>
              <w:drawing>
                <wp:inline distT="0" distB="0" distL="0" distR="0" wp14:anchorId="4839B08C" wp14:editId="6836D195">
                  <wp:extent cx="288000" cy="288000"/>
                  <wp:effectExtent l="0" t="0" r="0" b="0"/>
                  <wp:docPr id="305207866" name="Graphic 3052078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7D1BDCBC" w14:textId="32A57526" w:rsidR="00CC2DD4" w:rsidRPr="00715040" w:rsidRDefault="00CC2DD4">
            <w:pPr>
              <w:pStyle w:val="FindingRecRequesttitle"/>
            </w:pPr>
            <w:r w:rsidRPr="00715040">
              <w:t>Re</w:t>
            </w:r>
            <w:r>
              <w:t>form direction</w:t>
            </w:r>
            <w:r w:rsidRPr="00715040">
              <w:t xml:space="preserve"> </w:t>
            </w:r>
            <w:r w:rsidR="00CB06D8">
              <w:rPr>
                <w:noProof/>
              </w:rPr>
              <w:t>4</w:t>
            </w:r>
            <w:r w:rsidRPr="00715040">
              <w:t>.</w:t>
            </w:r>
            <w:r w:rsidR="00CB06D8">
              <w:rPr>
                <w:noProof/>
              </w:rPr>
              <w:t>3</w:t>
            </w:r>
          </w:p>
          <w:p w14:paraId="30F00D43" w14:textId="77777777" w:rsidR="00CC2DD4" w:rsidRPr="00715040" w:rsidRDefault="00CC2DD4">
            <w:pPr>
              <w:pStyle w:val="FindingRecRequesttitle"/>
            </w:pPr>
            <w:r>
              <w:t>Ensure developer contributions reflect the accurate cost of providing infrastructure</w:t>
            </w:r>
          </w:p>
        </w:tc>
      </w:tr>
      <w:tr w:rsidR="00CC2DD4" w14:paraId="35171D99" w14:textId="77777777">
        <w:tc>
          <w:tcPr>
            <w:tcW w:w="9583" w:type="dxa"/>
            <w:gridSpan w:val="2"/>
            <w:shd w:val="clear" w:color="auto" w:fill="E7F6FD"/>
            <w:tcMar>
              <w:top w:w="0" w:type="dxa"/>
            </w:tcMar>
          </w:tcPr>
          <w:p w14:paraId="2EAF1DA5" w14:textId="77777777" w:rsidR="00CC2DD4" w:rsidRPr="008704A9" w:rsidRDefault="00CC2DD4">
            <w:pPr>
              <w:pStyle w:val="BodyText"/>
              <w:rPr>
                <w:rFonts w:cstheme="minorHAnsi"/>
              </w:rPr>
            </w:pPr>
            <w:r>
              <w:rPr>
                <w:rFonts w:cstheme="minorHAnsi"/>
              </w:rPr>
              <w:t xml:space="preserve">State, territory and local governments should: </w:t>
            </w:r>
          </w:p>
          <w:p w14:paraId="0F112194" w14:textId="77777777" w:rsidR="00CC2DD4" w:rsidRPr="008704A9" w:rsidRDefault="00CC2DD4" w:rsidP="00E11D04">
            <w:pPr>
              <w:pStyle w:val="ListBullet"/>
            </w:pPr>
            <w:r w:rsidRPr="008704A9">
              <w:t>use developer contributions for all infrastructure with a close nexus to the development, when the development has also created a demonstrated need</w:t>
            </w:r>
          </w:p>
          <w:p w14:paraId="1F41EE0E" w14:textId="77777777" w:rsidR="00CC2DD4" w:rsidRPr="008704A9" w:rsidRDefault="00CC2DD4" w:rsidP="00E11D04">
            <w:pPr>
              <w:pStyle w:val="ListBullet"/>
            </w:pPr>
            <w:r w:rsidRPr="008704A9">
              <w:t>apportion contributions for infrastructure when beneficiaries are dispersed beyond the development site</w:t>
            </w:r>
          </w:p>
          <w:p w14:paraId="3F5646E8" w14:textId="77777777" w:rsidR="00CC2DD4" w:rsidRPr="00ED1BC6" w:rsidRDefault="00CC2DD4" w:rsidP="00E11D04">
            <w:pPr>
              <w:pStyle w:val="ListBullet"/>
            </w:pPr>
            <w:r w:rsidRPr="00ED1BC6">
              <w:t>remove contributions when there is no demonstrable nexus between a development and infrastructure</w:t>
            </w:r>
          </w:p>
          <w:p w14:paraId="6BEB187B" w14:textId="77777777" w:rsidR="00CC2DD4" w:rsidRPr="00767EAE" w:rsidRDefault="00CC2DD4" w:rsidP="00E11D04">
            <w:pPr>
              <w:pStyle w:val="ListBullet"/>
            </w:pPr>
            <w:r w:rsidRPr="00ED1BC6">
              <w:rPr>
                <w:spacing w:val="-4"/>
              </w:rPr>
              <w:t>use cost-reflective developer contributions where possible, unless there are significant administrative burdens for local government or accurate cost estimates cannot be provided upfront.</w:t>
            </w:r>
          </w:p>
        </w:tc>
      </w:tr>
      <w:tr w:rsidR="00CC2DD4" w14:paraId="24FC4189" w14:textId="77777777">
        <w:tc>
          <w:tcPr>
            <w:tcW w:w="9583" w:type="dxa"/>
            <w:gridSpan w:val="2"/>
            <w:shd w:val="clear" w:color="auto" w:fill="auto"/>
            <w:tcMar>
              <w:top w:w="0" w:type="dxa"/>
              <w:bottom w:w="0" w:type="dxa"/>
            </w:tcMar>
          </w:tcPr>
          <w:p w14:paraId="52D7343F" w14:textId="0A85DAB6" w:rsidR="00CC2DD4" w:rsidRPr="007E0EA8" w:rsidRDefault="00CC2DD4">
            <w:pPr>
              <w:pStyle w:val="NoSpacing"/>
              <w:spacing w:line="200" w:lineRule="exact"/>
            </w:pPr>
          </w:p>
        </w:tc>
      </w:tr>
    </w:tbl>
    <w:p w14:paraId="7C6AE6C7" w14:textId="2252FBC6" w:rsidR="00CC2DD4" w:rsidRDefault="00CC2DD4">
      <w:pPr>
        <w:pStyle w:val="NoSpacing"/>
      </w:pPr>
    </w:p>
    <w:tbl>
      <w:tblPr>
        <w:tblStyle w:val="Texttable-Paleblue"/>
        <w:tblW w:w="5000" w:type="pct"/>
        <w:tblLook w:val="04A0" w:firstRow="1" w:lastRow="0" w:firstColumn="1" w:lastColumn="0" w:noHBand="0" w:noVBand="1"/>
      </w:tblPr>
      <w:tblGrid>
        <w:gridCol w:w="713"/>
        <w:gridCol w:w="8925"/>
      </w:tblGrid>
      <w:tr w:rsidR="00CC2DD4" w14:paraId="45D368B7" w14:textId="77777777">
        <w:trPr>
          <w:tblHeader/>
        </w:trPr>
        <w:tc>
          <w:tcPr>
            <w:tcW w:w="709" w:type="dxa"/>
            <w:shd w:val="clear" w:color="auto" w:fill="E7F6FD"/>
            <w:tcMar>
              <w:top w:w="0" w:type="dxa"/>
              <w:bottom w:w="0" w:type="dxa"/>
            </w:tcMar>
            <w:vAlign w:val="center"/>
          </w:tcPr>
          <w:p w14:paraId="2C246179" w14:textId="77777777" w:rsidR="00CC2DD4" w:rsidRDefault="00CC2DD4">
            <w:pPr>
              <w:keepLines/>
              <w:jc w:val="center"/>
            </w:pPr>
            <w:r w:rsidRPr="00A51374">
              <w:rPr>
                <w:noProof/>
              </w:rPr>
              <w:drawing>
                <wp:inline distT="0" distB="0" distL="0" distR="0" wp14:anchorId="1A134275" wp14:editId="6FE9499C">
                  <wp:extent cx="288000" cy="288000"/>
                  <wp:effectExtent l="0" t="0" r="0" b="0"/>
                  <wp:docPr id="1870691239" name="Graphic 1870691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30">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874" w:type="dxa"/>
            <w:shd w:val="clear" w:color="auto" w:fill="E7F6FD"/>
            <w:tcMar>
              <w:top w:w="0" w:type="dxa"/>
              <w:bottom w:w="0" w:type="dxa"/>
            </w:tcMar>
            <w:vAlign w:val="center"/>
          </w:tcPr>
          <w:p w14:paraId="0ABC1822" w14:textId="2F9D5571" w:rsidR="00CC2DD4" w:rsidRPr="00300CEB" w:rsidRDefault="00CC2DD4">
            <w:pPr>
              <w:pStyle w:val="FindingRecRequesttitle"/>
            </w:pPr>
            <w:r w:rsidRPr="00300CEB">
              <w:t xml:space="preserve">Reform direction </w:t>
            </w:r>
            <w:r w:rsidR="00CB06D8">
              <w:rPr>
                <w:noProof/>
              </w:rPr>
              <w:t>4</w:t>
            </w:r>
            <w:r w:rsidRPr="00300CEB">
              <w:t>.</w:t>
            </w:r>
            <w:r w:rsidR="00CB06D8">
              <w:rPr>
                <w:noProof/>
              </w:rPr>
              <w:t>4</w:t>
            </w:r>
          </w:p>
          <w:p w14:paraId="6CF6742A" w14:textId="77777777" w:rsidR="00CC2DD4" w:rsidRPr="00300CEB" w:rsidRDefault="00CC2DD4">
            <w:pPr>
              <w:pStyle w:val="FindingRecRequesttitle"/>
            </w:pPr>
            <w:r w:rsidRPr="00300CEB">
              <w:t>Enhance design of developer contribution frameworks towards best practice</w:t>
            </w:r>
          </w:p>
        </w:tc>
      </w:tr>
      <w:tr w:rsidR="00CC2DD4" w14:paraId="0F8C015E" w14:textId="77777777">
        <w:tc>
          <w:tcPr>
            <w:tcW w:w="9583" w:type="dxa"/>
            <w:gridSpan w:val="2"/>
            <w:shd w:val="clear" w:color="auto" w:fill="E7F6FD"/>
            <w:tcMar>
              <w:top w:w="0" w:type="dxa"/>
            </w:tcMar>
          </w:tcPr>
          <w:p w14:paraId="5A651F41" w14:textId="77777777" w:rsidR="00CC2DD4" w:rsidRPr="008704A9" w:rsidRDefault="00CC2DD4">
            <w:pPr>
              <w:pStyle w:val="BodyText"/>
              <w:rPr>
                <w:rFonts w:cstheme="minorHAnsi"/>
              </w:rPr>
            </w:pPr>
            <w:r>
              <w:rPr>
                <w:rFonts w:cstheme="minorHAnsi"/>
              </w:rPr>
              <w:t>State, territory and local governments should u</w:t>
            </w:r>
            <w:r w:rsidRPr="008704A9">
              <w:rPr>
                <w:rFonts w:cstheme="minorHAnsi"/>
              </w:rPr>
              <w:t>pdate the design of developer contribution frameworks to:</w:t>
            </w:r>
          </w:p>
          <w:p w14:paraId="746CD43B" w14:textId="77777777" w:rsidR="00CC2DD4" w:rsidRPr="008704A9" w:rsidRDefault="00CC2DD4" w:rsidP="00E11D04">
            <w:pPr>
              <w:pStyle w:val="ListBullet"/>
            </w:pPr>
            <w:r w:rsidRPr="008704A9">
              <w:t>include upfront estimates of contributions prior to land release or land acquisition, and make available online contribution estimation tools</w:t>
            </w:r>
          </w:p>
          <w:p w14:paraId="0E16D08D" w14:textId="77777777" w:rsidR="00CC2DD4" w:rsidRPr="008704A9" w:rsidRDefault="00CC2DD4" w:rsidP="00E11D04">
            <w:pPr>
              <w:pStyle w:val="ListBullet"/>
            </w:pPr>
            <w:r w:rsidRPr="2A77BCAD">
              <w:t xml:space="preserve">allow </w:t>
            </w:r>
            <w:r w:rsidRPr="2E0D4AE4">
              <w:t>contribution</w:t>
            </w:r>
            <w:r>
              <w:t xml:space="preserve"> payment</w:t>
            </w:r>
            <w:r w:rsidRPr="2E0D4AE4">
              <w:t>s to</w:t>
            </w:r>
            <w:r w:rsidRPr="2A77BCAD">
              <w:t xml:space="preserve"> be </w:t>
            </w:r>
            <w:r>
              <w:t xml:space="preserve">staged or </w:t>
            </w:r>
            <w:r w:rsidRPr="2A77BCAD">
              <w:t>due later in the development process</w:t>
            </w:r>
          </w:p>
          <w:p w14:paraId="1C4B611B" w14:textId="77777777" w:rsidR="00CC2DD4" w:rsidRPr="008704A9" w:rsidRDefault="00CC2DD4" w:rsidP="00E11D04">
            <w:pPr>
              <w:pStyle w:val="ListBullet"/>
            </w:pPr>
            <w:r w:rsidRPr="008704A9">
              <w:t>take a consistent approach across all local governments within each state and territory in how charges are administered and calculated</w:t>
            </w:r>
          </w:p>
          <w:p w14:paraId="12D8FEE9" w14:textId="77777777" w:rsidR="00CC2DD4" w:rsidRPr="008704A9" w:rsidRDefault="00CC2DD4" w:rsidP="00E11D04">
            <w:pPr>
              <w:pStyle w:val="ListBullet"/>
            </w:pPr>
            <w:r w:rsidRPr="008704A9">
              <w:t>reduce the number of different contributions levied on developers</w:t>
            </w:r>
            <w:r w:rsidRPr="008704A9" w:rsidDel="002770EA">
              <w:t xml:space="preserve"> </w:t>
            </w:r>
            <w:r w:rsidRPr="008704A9">
              <w:t>by bundling different contributions into single levies where possible</w:t>
            </w:r>
          </w:p>
          <w:p w14:paraId="29B7E9AB" w14:textId="77777777" w:rsidR="00CC2DD4" w:rsidRPr="00ED1BC6" w:rsidRDefault="00CC2DD4" w:rsidP="00E11D04">
            <w:pPr>
              <w:pStyle w:val="ListBullet"/>
              <w:rPr>
                <w:spacing w:val="2"/>
              </w:rPr>
            </w:pPr>
            <w:r w:rsidRPr="00ED1BC6">
              <w:rPr>
                <w:spacing w:val="2"/>
              </w:rPr>
              <w:t>adopt transparent, centralised reporting of funds collected at the development, local government and state levels and progress reports against planned infrastructure delivery and housing supply objectives.</w:t>
            </w:r>
          </w:p>
        </w:tc>
      </w:tr>
      <w:tr w:rsidR="00CC2DD4" w14:paraId="3E991736" w14:textId="77777777">
        <w:tc>
          <w:tcPr>
            <w:tcW w:w="9583" w:type="dxa"/>
            <w:gridSpan w:val="2"/>
            <w:shd w:val="clear" w:color="auto" w:fill="auto"/>
            <w:tcMar>
              <w:top w:w="0" w:type="dxa"/>
              <w:bottom w:w="0" w:type="dxa"/>
            </w:tcMar>
          </w:tcPr>
          <w:p w14:paraId="091D2820" w14:textId="6491967F" w:rsidR="00CC2DD4" w:rsidRPr="007E0EA8" w:rsidRDefault="00CC2DD4">
            <w:pPr>
              <w:pStyle w:val="NoSpacing"/>
              <w:spacing w:line="200" w:lineRule="exact"/>
            </w:pPr>
          </w:p>
        </w:tc>
      </w:tr>
    </w:tbl>
    <w:p w14:paraId="121C4651" w14:textId="77777777" w:rsidR="00CC2DD4" w:rsidRDefault="00CC2DD4">
      <w:pPr>
        <w:pStyle w:val="BodyText"/>
      </w:pPr>
    </w:p>
    <w:p w14:paraId="61C240C7" w14:textId="581E27E8" w:rsidR="00CC2DD4" w:rsidRDefault="00CC2DD4" w:rsidP="008A1951">
      <w:pPr>
        <w:pStyle w:val="Heading3"/>
      </w:pPr>
      <w:r>
        <w:lastRenderedPageBreak/>
        <w:t>How should implementation complexities be addressed?</w:t>
      </w:r>
    </w:p>
    <w:p w14:paraId="743C0AB3" w14:textId="77777777" w:rsidR="00CC2DD4" w:rsidRDefault="00CC2DD4" w:rsidP="008A1951">
      <w:pPr>
        <w:pStyle w:val="BodyText"/>
        <w:keepNext/>
        <w:keepLines/>
      </w:pPr>
      <w:r>
        <w:t>While</w:t>
      </w:r>
      <w:r w:rsidDel="00701EA4">
        <w:t xml:space="preserve"> </w:t>
      </w:r>
      <w:r>
        <w:t xml:space="preserve">developer contributions should follow best practice principles as closely as possible, there are challenges that need to be worked through in implementing reforms. </w:t>
      </w:r>
    </w:p>
    <w:p w14:paraId="3E737142" w14:textId="77777777" w:rsidR="00CC2DD4" w:rsidRDefault="00CC2DD4" w:rsidP="008A1951">
      <w:pPr>
        <w:pStyle w:val="BodyText"/>
        <w:keepNext/>
        <w:keepLines/>
      </w:pPr>
      <w:r>
        <w:t>We have identified the following issues and possible solutions, which we will consider more in our final report.</w:t>
      </w:r>
    </w:p>
    <w:p w14:paraId="6DCCD11B" w14:textId="77777777" w:rsidR="00CC2DD4" w:rsidRDefault="00CC2DD4">
      <w:pPr>
        <w:pStyle w:val="Heading4"/>
      </w:pPr>
      <w:r>
        <w:t>Clear guidance on the nexus between development and infrastructure</w:t>
      </w:r>
    </w:p>
    <w:p w14:paraId="657EFABB" w14:textId="77777777" w:rsidR="00CC2DD4" w:rsidRDefault="00CC2DD4">
      <w:pPr>
        <w:pStyle w:val="BodyText"/>
      </w:pPr>
      <w:r>
        <w:t>S</w:t>
      </w:r>
      <w:r w:rsidRPr="00834D29">
        <w:t xml:space="preserve">tate and territory governments </w:t>
      </w:r>
      <w:r>
        <w:t xml:space="preserve">could </w:t>
      </w:r>
      <w:r w:rsidRPr="00834D29">
        <w:t>publish guidance on the definition of nexus and how it should be demonstrated, to be adopted in state and local government contribution frameworks in their state or territory.</w:t>
      </w:r>
    </w:p>
    <w:p w14:paraId="5365D6F0" w14:textId="754C78A6" w:rsidR="00CC2DD4" w:rsidRPr="00834D29" w:rsidRDefault="00CC2DD4">
      <w:pPr>
        <w:pStyle w:val="BodyText"/>
      </w:pPr>
      <w:r w:rsidRPr="00834D29">
        <w:t xml:space="preserve">Nexus could be demonstrated with similar approaches to some existing contributions, such as </w:t>
      </w:r>
      <w:r w:rsidR="00A60234">
        <w:t>section</w:t>
      </w:r>
      <w:r w:rsidR="00F44C89">
        <w:t> </w:t>
      </w:r>
      <w:r w:rsidRPr="00834D29">
        <w:t xml:space="preserve">7.11 contributions in New South Wales. These require consideration of growth in the area because of the development, estimates of demand for the infrastructure due to this growth, what infrastructure is required to meet demand, and apportioned on estimated demand from the development </w:t>
      </w:r>
      <w:r w:rsidRPr="00762D0A">
        <w:rPr>
          <w:rFonts w:cs="Open Sans"/>
        </w:rPr>
        <w:t>(NSW DPHI 2026c)</w:t>
      </w:r>
      <w:r w:rsidRPr="00834D29">
        <w:t>.</w:t>
      </w:r>
    </w:p>
    <w:p w14:paraId="04F38A76" w14:textId="77777777" w:rsidR="00CC2DD4" w:rsidRPr="00834D29" w:rsidRDefault="00CC2DD4">
      <w:pPr>
        <w:pStyle w:val="Heading5"/>
      </w:pPr>
      <w:r w:rsidRPr="000C4C15">
        <w:rPr>
          <w:rStyle w:val="Heading4Char"/>
        </w:rPr>
        <w:t>Governments set estimates of contribution costs upfront, and bear the risks</w:t>
      </w:r>
    </w:p>
    <w:p w14:paraId="0E13791B" w14:textId="77777777" w:rsidR="00CC2DD4" w:rsidRDefault="00CC2DD4">
      <w:pPr>
        <w:pStyle w:val="BodyText"/>
      </w:pPr>
      <w:r>
        <w:t>To improve certainty, governments could estimate and set a contribution amount upfront and bear the risk and fund the shortfall if the infrastructure costs more than expected. Such risks are more likely to be appropriately borne at the state rather than local government level, due to their available funding. Australian Government funding may also be appropriate to underwrite shortfalls (for example, ALGA, sub. 8, p. 5).</w:t>
      </w:r>
    </w:p>
    <w:p w14:paraId="1C19C90B" w14:textId="77777777" w:rsidR="00CC2DD4" w:rsidRDefault="00CC2DD4">
      <w:pPr>
        <w:pStyle w:val="BodyText"/>
      </w:pPr>
      <w:r>
        <w:t>Underwriting would require safeguards to ensure estimates are as accurate as possible. For example, a condition could be that the estimates are set in accordance with best practice principles in this chapter and the cost/benefit assumptions are provided for assessment.</w:t>
      </w:r>
    </w:p>
    <w:p w14:paraId="2442625F" w14:textId="77777777" w:rsidR="00CC2DD4" w:rsidRDefault="00CC2DD4">
      <w:pPr>
        <w:pStyle w:val="Heading4"/>
      </w:pPr>
      <w:r>
        <w:t>Managing sequencing of financing</w:t>
      </w:r>
    </w:p>
    <w:p w14:paraId="21C492E8" w14:textId="77777777" w:rsidR="00CC2DD4" w:rsidRDefault="00CC2DD4">
      <w:pPr>
        <w:pStyle w:val="BodyText"/>
      </w:pPr>
      <w:r>
        <w:t xml:space="preserve">State and territory or Australian Government financing could be appropriate to cover the gap between infrastructure delivery and when charges are recovered from developers, especially if developer contributions are collected later in the development process (reform direction 4.4). </w:t>
      </w:r>
    </w:p>
    <w:p w14:paraId="0D449132" w14:textId="77777777" w:rsidR="00CC2DD4" w:rsidRDefault="00CC2DD4">
      <w:pPr>
        <w:pStyle w:val="BodyText"/>
      </w:pPr>
      <w:r>
        <w:t xml:space="preserve">Such funding could take the form of low or no-interest loans or direct funding, to enable local governments to commence infrastructure in a timely way to align with new housing </w:t>
      </w:r>
      <w:proofErr w:type="gramStart"/>
      <w:r>
        <w:t>development, and</w:t>
      </w:r>
      <w:proofErr w:type="gramEnd"/>
      <w:r>
        <w:t xml:space="preserve"> repay loans by recouping developer contributions later in the process.</w:t>
      </w:r>
    </w:p>
    <w:p w14:paraId="1A82E683" w14:textId="77777777" w:rsidR="00CC2DD4" w:rsidRDefault="00CC2DD4">
      <w:pPr>
        <w:pStyle w:val="Heading4"/>
      </w:pPr>
      <w:r>
        <w:t>Solving the first mover problem</w:t>
      </w:r>
    </w:p>
    <w:p w14:paraId="2AD1DDAC" w14:textId="77777777" w:rsidR="00CC2DD4" w:rsidRDefault="00CC2DD4">
      <w:pPr>
        <w:pStyle w:val="BodyText"/>
      </w:pPr>
      <w:r>
        <w:t>Related to the above, we have heard that often the first developer in an area may need to fund more extensive infrastructure compared to subsequent developers in the area.</w:t>
      </w:r>
    </w:p>
    <w:p w14:paraId="5031DE29" w14:textId="77777777" w:rsidR="00CC2DD4" w:rsidRDefault="00CC2DD4">
      <w:pPr>
        <w:pStyle w:val="NoSpacing"/>
      </w:pPr>
      <w:r w:rsidRPr="00DD3C6F">
        <w:t>Governments could estimate future development and charge a relevant fraction to the first developer and cover the remaining cost upfront (with subsequent cost recovery from other developers). As above, state or Australian Government bridging finance could help cover funding gaps between delivery times and when costs are recovered</w:t>
      </w:r>
      <w:r>
        <w:t>.</w:t>
      </w:r>
    </w:p>
    <w:p w14:paraId="24249A19" w14:textId="0F8CD0BA" w:rsidR="00CC2DD4" w:rsidRDefault="00CC2DD4">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CC2DD4" w14:paraId="6E36D67A" w14:textId="77777777">
        <w:trPr>
          <w:trHeight w:val="765"/>
          <w:tblHeader/>
        </w:trPr>
        <w:tc>
          <w:tcPr>
            <w:tcW w:w="366" w:type="pct"/>
            <w:shd w:val="clear" w:color="auto" w:fill="EBEBEB"/>
            <w:tcMar>
              <w:bottom w:w="0" w:type="dxa"/>
            </w:tcMar>
            <w:vAlign w:val="center"/>
          </w:tcPr>
          <w:p w14:paraId="2B386456" w14:textId="77777777" w:rsidR="00CC2DD4" w:rsidRDefault="00CC2DD4">
            <w:pPr>
              <w:pStyle w:val="NoSpacing"/>
              <w:keepNext/>
              <w:keepLines/>
              <w:jc w:val="right"/>
            </w:pPr>
            <w:r w:rsidRPr="00A51374">
              <w:rPr>
                <w:noProof/>
              </w:rPr>
              <w:lastRenderedPageBreak/>
              <w:drawing>
                <wp:inline distT="0" distB="0" distL="0" distR="0" wp14:anchorId="63B9CDF8" wp14:editId="6A1F9D4D">
                  <wp:extent cx="288000" cy="288000"/>
                  <wp:effectExtent l="0" t="0" r="0" b="0"/>
                  <wp:docPr id="1969948789" name="Graphic 1969948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2D6DF403" w14:textId="77777777" w:rsidR="00CC2DD4" w:rsidRPr="002530FF" w:rsidRDefault="00CC2DD4">
            <w:pPr>
              <w:pStyle w:val="FindingRecRequesttitle"/>
            </w:pPr>
            <w:r w:rsidRPr="000B0B71">
              <w:t xml:space="preserve">Information request </w:t>
            </w:r>
            <w:r>
              <w:t>4.4</w:t>
            </w:r>
          </w:p>
        </w:tc>
      </w:tr>
      <w:tr w:rsidR="00CC2DD4" w:rsidRPr="00D06AF9" w14:paraId="196C288C" w14:textId="77777777">
        <w:tc>
          <w:tcPr>
            <w:tcW w:w="5000" w:type="pct"/>
            <w:gridSpan w:val="2"/>
            <w:shd w:val="clear" w:color="auto" w:fill="EBEBEB"/>
          </w:tcPr>
          <w:p w14:paraId="48CEF9C9" w14:textId="77777777" w:rsidR="00CC2DD4" w:rsidRPr="00D06AF9" w:rsidRDefault="00CC2DD4" w:rsidP="00E11D04">
            <w:pPr>
              <w:pStyle w:val="ListBullet"/>
              <w:rPr>
                <w:color w:val="265A9A" w:themeColor="background2"/>
              </w:rPr>
            </w:pPr>
            <w:r w:rsidRPr="00D06AF9">
              <w:rPr>
                <w:color w:val="265A9A" w:themeColor="background2"/>
              </w:rPr>
              <w:t xml:space="preserve">Are our directions for improving developer contribution frameworks addressing key infrastructure challenges that will support housing supply? What evidence or case studies support this? </w:t>
            </w:r>
          </w:p>
          <w:p w14:paraId="47516A69" w14:textId="77777777" w:rsidR="00CC2DD4" w:rsidRPr="00D06AF9" w:rsidRDefault="00CC2DD4" w:rsidP="00E11D04">
            <w:pPr>
              <w:pStyle w:val="ListBullet"/>
              <w:rPr>
                <w:color w:val="265A9A" w:themeColor="background2"/>
              </w:rPr>
            </w:pPr>
            <w:r w:rsidRPr="00D06AF9">
              <w:rPr>
                <w:color w:val="265A9A" w:themeColor="background2"/>
              </w:rPr>
              <w:t>How should reforms be designed to overcome the implementation challenges including determining nexus, fair apportionment, accurate upfront cost estimates for infrastructure, timing and funding sequencing, and first mover disadvantages?</w:t>
            </w:r>
          </w:p>
        </w:tc>
      </w:tr>
      <w:tr w:rsidR="00CC2DD4" w14:paraId="1D35D792" w14:textId="77777777">
        <w:tc>
          <w:tcPr>
            <w:tcW w:w="5000" w:type="pct"/>
            <w:gridSpan w:val="2"/>
            <w:tcMar>
              <w:bottom w:w="0" w:type="dxa"/>
            </w:tcMar>
          </w:tcPr>
          <w:p w14:paraId="655C33A3" w14:textId="28301988" w:rsidR="00CC2DD4" w:rsidRDefault="00CC2DD4">
            <w:pPr>
              <w:pStyle w:val="NoSpacing"/>
              <w:spacing w:line="200" w:lineRule="atLeast"/>
            </w:pPr>
          </w:p>
        </w:tc>
      </w:tr>
    </w:tbl>
    <w:p w14:paraId="359BD056" w14:textId="77777777" w:rsidR="00CC2DD4" w:rsidRDefault="00CC2DD4" w:rsidP="00B92400">
      <w:pPr>
        <w:pStyle w:val="Heading3-noTOC"/>
        <w:spacing w:before="360"/>
      </w:pPr>
      <w:r>
        <w:t xml:space="preserve">A role for the Australian Government </w:t>
      </w:r>
    </w:p>
    <w:p w14:paraId="359433FB" w14:textId="77777777" w:rsidR="00CC2DD4" w:rsidRDefault="00CC2DD4">
      <w:pPr>
        <w:pStyle w:val="BodyText"/>
      </w:pPr>
      <w:r>
        <w:t>Another consideration is the role of the Australian Government in supporting reforms to enhance timely provision of infrastructure.</w:t>
      </w:r>
    </w:p>
    <w:p w14:paraId="119AFBA1" w14:textId="77777777" w:rsidR="00CC2DD4" w:rsidRDefault="00CC2DD4">
      <w:pPr>
        <w:pStyle w:val="BodyText"/>
      </w:pPr>
      <w:r>
        <w:t>We propose that the Australian Government should support our proposed reform directions for state and local governments, by:</w:t>
      </w:r>
    </w:p>
    <w:p w14:paraId="01B401FE" w14:textId="77777777" w:rsidR="00CC2DD4" w:rsidRDefault="00CC2DD4" w:rsidP="00E11D04">
      <w:pPr>
        <w:pStyle w:val="ListBullet"/>
      </w:pPr>
      <w:r>
        <w:t>providing funding when there is a shortfall in the quantum of funds collected from developer contributions and other sources for housing-enabling infrastructure (ALGA, sub. 8, p. 5). This could prioritise or incentivise areas where infrastructure is less costly, or where additional infrastructure is expected to have a large effect on housing supply (Create Advisory, sub. 70, p. 7)</w:t>
      </w:r>
    </w:p>
    <w:p w14:paraId="71BD3115" w14:textId="77777777" w:rsidR="00CC2DD4" w:rsidRDefault="00CC2DD4" w:rsidP="00E11D04">
      <w:pPr>
        <w:pStyle w:val="ListBullet"/>
      </w:pPr>
      <w:r>
        <w:t xml:space="preserve">support local governments to commence providing infrastructure in a timely way to align with new housing development, by </w:t>
      </w:r>
      <w:proofErr w:type="gramStart"/>
      <w:r>
        <w:t>providing assistance</w:t>
      </w:r>
      <w:proofErr w:type="gramEnd"/>
      <w:r>
        <w:t xml:space="preserve"> such as low or no-interest loans (for example, UDIA, sub. 83, p. 8). This may be used when the quantum of funds being raised is expected to cover the cost, but support is needed to bring forward the funding for timely infrastructure delivery (this may be in conjunction with direct funding where there are shortfalls)</w:t>
      </w:r>
    </w:p>
    <w:p w14:paraId="0210DB3C" w14:textId="77777777" w:rsidR="00CC2DD4" w:rsidRDefault="00CC2DD4" w:rsidP="00E11D04">
      <w:pPr>
        <w:pStyle w:val="ListBullet"/>
      </w:pPr>
      <w:r>
        <w:t>help fund infrastructure when a developer is the first in an area to develop housing, to ensure they are not disadvantaged by having to fund more infrastructure compared to subsequent developers. This could prioritise areas where the infrastructure is likely to cause a large uptake in new housing, as supported by strategic planning (chapter 3).</w:t>
      </w:r>
    </w:p>
    <w:p w14:paraId="5BB746DD" w14:textId="77777777" w:rsidR="00CC2DD4" w:rsidRDefault="00CC2DD4">
      <w:pPr>
        <w:pStyle w:val="NoSpacing"/>
      </w:pPr>
      <w:r>
        <w:t>We would like feedback on whether these proposed roles of the Australian Government are useful and appropriate, and whether other roles should be considered.</w:t>
      </w:r>
    </w:p>
    <w:p w14:paraId="212683BA" w14:textId="1A85652F" w:rsidR="00CC2DD4" w:rsidRDefault="00CC2DD4">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CC2DD4" w14:paraId="7D46F6BF" w14:textId="77777777">
        <w:trPr>
          <w:trHeight w:val="765"/>
          <w:tblHeader/>
        </w:trPr>
        <w:tc>
          <w:tcPr>
            <w:tcW w:w="366" w:type="pct"/>
            <w:shd w:val="clear" w:color="auto" w:fill="EBEBEB"/>
            <w:tcMar>
              <w:bottom w:w="0" w:type="dxa"/>
            </w:tcMar>
            <w:vAlign w:val="center"/>
          </w:tcPr>
          <w:p w14:paraId="5D982F37" w14:textId="77777777" w:rsidR="00CC2DD4" w:rsidRDefault="00CC2DD4">
            <w:pPr>
              <w:pStyle w:val="NoSpacing"/>
              <w:keepNext/>
              <w:keepLines/>
              <w:jc w:val="right"/>
            </w:pPr>
            <w:r w:rsidRPr="00A51374">
              <w:rPr>
                <w:noProof/>
              </w:rPr>
              <w:drawing>
                <wp:inline distT="0" distB="0" distL="0" distR="0" wp14:anchorId="59E276A0" wp14:editId="5FEDC84B">
                  <wp:extent cx="288000" cy="288000"/>
                  <wp:effectExtent l="0" t="0" r="0" b="0"/>
                  <wp:docPr id="691905473" name="Graphic 6919054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3258371C" w14:textId="353FBC00" w:rsidR="00CC2DD4" w:rsidRPr="002530FF" w:rsidRDefault="00CC2DD4">
            <w:pPr>
              <w:pStyle w:val="FindingRecRequesttitle"/>
            </w:pPr>
            <w:r w:rsidRPr="000B0B71">
              <w:t xml:space="preserve">Information request </w:t>
            </w:r>
            <w:r w:rsidR="00CB06D8">
              <w:rPr>
                <w:noProof/>
              </w:rPr>
              <w:t>4</w:t>
            </w:r>
            <w:r w:rsidRPr="00DF7217">
              <w:t>.</w:t>
            </w:r>
            <w:r>
              <w:t>5</w:t>
            </w:r>
          </w:p>
        </w:tc>
      </w:tr>
      <w:tr w:rsidR="00CC2DD4" w:rsidRPr="00D06AF9" w14:paraId="73538307" w14:textId="77777777">
        <w:tc>
          <w:tcPr>
            <w:tcW w:w="5000" w:type="pct"/>
            <w:gridSpan w:val="2"/>
            <w:shd w:val="clear" w:color="auto" w:fill="EBEBEB"/>
          </w:tcPr>
          <w:p w14:paraId="26750BD4" w14:textId="77777777" w:rsidR="00CC2DD4" w:rsidRPr="00D06AF9" w:rsidRDefault="00CC2DD4" w:rsidP="00E11D04">
            <w:pPr>
              <w:pStyle w:val="ListBullet"/>
              <w:rPr>
                <w:color w:val="265A9A" w:themeColor="background2"/>
                <w:spacing w:val="-2"/>
              </w:rPr>
            </w:pPr>
            <w:r w:rsidRPr="00D06AF9">
              <w:rPr>
                <w:color w:val="265A9A" w:themeColor="background2"/>
                <w:spacing w:val="-2"/>
              </w:rPr>
              <w:t>Are our proposed roles for the Australian Government in supporting housing-enabling infrastructure useful and appropriate to support new housing? What other roles should we consider?</w:t>
            </w:r>
          </w:p>
        </w:tc>
      </w:tr>
      <w:tr w:rsidR="00CC2DD4" w14:paraId="74F317F6" w14:textId="77777777">
        <w:tc>
          <w:tcPr>
            <w:tcW w:w="5000" w:type="pct"/>
            <w:gridSpan w:val="2"/>
            <w:tcMar>
              <w:bottom w:w="0" w:type="dxa"/>
            </w:tcMar>
          </w:tcPr>
          <w:p w14:paraId="65D69A87" w14:textId="0A878116" w:rsidR="00CC2DD4" w:rsidRDefault="00CC2DD4">
            <w:pPr>
              <w:pStyle w:val="NoSpacing"/>
              <w:spacing w:line="200" w:lineRule="atLeast"/>
            </w:pPr>
          </w:p>
        </w:tc>
      </w:tr>
    </w:tbl>
    <w:p w14:paraId="580E1D8A" w14:textId="77777777" w:rsidR="00CC2DD4" w:rsidRPr="002A095E" w:rsidRDefault="00CC2DD4" w:rsidP="002A095E">
      <w:pPr>
        <w:pStyle w:val="BodyText"/>
      </w:pPr>
      <w:r w:rsidRPr="002A095E">
        <w:br w:type="page"/>
      </w:r>
    </w:p>
    <w:p w14:paraId="30901BFD" w14:textId="77777777" w:rsidR="00CC2DD4" w:rsidRDefault="00CC2DD4">
      <w:pPr>
        <w:pStyle w:val="Heading2"/>
      </w:pPr>
      <w:bookmarkStart w:id="39" w:name="_Toc235103162"/>
      <w:r>
        <w:lastRenderedPageBreak/>
        <w:t>Inquiry next steps on housing-enabling infrastructure</w:t>
      </w:r>
      <w:bookmarkEnd w:id="39"/>
    </w:p>
    <w:p w14:paraId="238E7F1F" w14:textId="77777777" w:rsidR="00CC2DD4" w:rsidRPr="00645E5D" w:rsidRDefault="00CC2DD4">
      <w:pPr>
        <w:pStyle w:val="BodyText"/>
      </w:pPr>
      <w:r>
        <w:t xml:space="preserve">This interim report has focused on establishing best practice principles for developer contributions and infrastructure planning, and draft reform directions to improve how housing-enabling infrastructure supports </w:t>
      </w:r>
      <w:r w:rsidRPr="00645E5D">
        <w:t>new housing. Our draft recommendations are overarching – providing broad reform goals so that we can consult in more detail on implementation and trade-offs.</w:t>
      </w:r>
    </w:p>
    <w:p w14:paraId="2CAF834F" w14:textId="77777777" w:rsidR="00CC2DD4" w:rsidRDefault="00CC2DD4">
      <w:pPr>
        <w:pStyle w:val="BodyText"/>
        <w:rPr>
          <w:spacing w:val="2"/>
        </w:rPr>
      </w:pPr>
      <w:r w:rsidRPr="00D8263D">
        <w:rPr>
          <w:spacing w:val="2"/>
        </w:rPr>
        <w:t>Our final report will focus on refining the reform directions into specific recommendations, and how to implement them. To support this, we welcome your input, particularly on our information requests. We would welcome any case studies, data and other evidence to support either our proposed reform directions, or other areas of the regulation of housing-enabling infrastructure that you think are also a priority.</w:t>
      </w:r>
    </w:p>
    <w:p w14:paraId="67AC1FA4" w14:textId="77777777" w:rsidR="00C42F53" w:rsidRDefault="00C42F53">
      <w:pPr>
        <w:spacing w:before="0" w:after="160" w:line="259" w:lineRule="auto"/>
        <w:rPr>
          <w:spacing w:val="2"/>
        </w:rPr>
        <w:sectPr w:rsidR="00C42F53" w:rsidSect="00DB48E6">
          <w:headerReference w:type="even" r:id="rId89"/>
          <w:type w:val="oddPage"/>
          <w:pgSz w:w="11906" w:h="16838" w:code="9"/>
          <w:pgMar w:top="1134" w:right="1134" w:bottom="1134" w:left="1134" w:header="794" w:footer="510" w:gutter="0"/>
          <w:cols w:space="708"/>
          <w:docGrid w:linePitch="360"/>
        </w:sectPr>
      </w:pPr>
    </w:p>
    <w:p w14:paraId="487FC814" w14:textId="77777777" w:rsidR="00CB06D8" w:rsidRDefault="00CB06D8">
      <w:pPr>
        <w:pStyle w:val="BodyText"/>
        <w:rPr>
          <w:spacing w:val="2"/>
        </w:rPr>
      </w:pPr>
    </w:p>
    <w:p w14:paraId="7B90F6A7" w14:textId="77777777" w:rsidR="00CB06D8" w:rsidRPr="00D8263D" w:rsidRDefault="00CB06D8">
      <w:pPr>
        <w:pStyle w:val="BodyText"/>
        <w:rPr>
          <w:spacing w:val="2"/>
        </w:rPr>
      </w:pPr>
    </w:p>
    <w:p w14:paraId="603648E7" w14:textId="77777777" w:rsidR="00AE10DF" w:rsidRDefault="00AE10DF" w:rsidP="00E76EEC">
      <w:pPr>
        <w:pStyle w:val="BodyText"/>
        <w:sectPr w:rsidR="00AE10DF" w:rsidSect="00C42F53">
          <w:headerReference w:type="even" r:id="rId90"/>
          <w:pgSz w:w="11906" w:h="16838" w:code="9"/>
          <w:pgMar w:top="1134" w:right="1134" w:bottom="1134" w:left="1134" w:header="794" w:footer="510" w:gutter="0"/>
          <w:cols w:space="708"/>
          <w:docGrid w:linePitch="360"/>
        </w:sectPr>
      </w:pPr>
    </w:p>
    <w:p w14:paraId="2DABA7E0" w14:textId="77777777" w:rsidR="00391BEE" w:rsidRDefault="00391BEE">
      <w:pPr>
        <w:pStyle w:val="Heading1"/>
      </w:pPr>
      <w:bookmarkStart w:id="40" w:name="_Toc235103163"/>
      <w:r>
        <w:lastRenderedPageBreak/>
        <w:t>Toward more homes, faster</w:t>
      </w:r>
      <w:bookmarkEnd w:id="40"/>
    </w:p>
    <w:tbl>
      <w:tblPr>
        <w:tblStyle w:val="Texttable-Paleblue"/>
        <w:tblW w:w="5000" w:type="pct"/>
        <w:shd w:val="clear" w:color="auto" w:fill="E7F6FD"/>
        <w:tblLook w:val="04A0" w:firstRow="1" w:lastRow="0" w:firstColumn="1" w:lastColumn="0" w:noHBand="0" w:noVBand="1"/>
      </w:tblPr>
      <w:tblGrid>
        <w:gridCol w:w="577"/>
        <w:gridCol w:w="9061"/>
      </w:tblGrid>
      <w:tr w:rsidR="00391BEE" w:rsidRPr="002F759A" w14:paraId="0D4CB483" w14:textId="77777777">
        <w:tc>
          <w:tcPr>
            <w:tcW w:w="9638" w:type="dxa"/>
            <w:gridSpan w:val="2"/>
            <w:shd w:val="clear" w:color="auto" w:fill="E7F6FD"/>
            <w:tcMar>
              <w:left w:w="170" w:type="dxa"/>
            </w:tcMar>
          </w:tcPr>
          <w:p w14:paraId="2D54123F" w14:textId="77777777" w:rsidR="00391BEE" w:rsidRPr="002F759A" w:rsidRDefault="00391BEE">
            <w:pPr>
              <w:pStyle w:val="Keypoints-heading"/>
            </w:pPr>
            <w:r w:rsidRPr="002F759A">
              <w:t>Key points</w:t>
            </w:r>
          </w:p>
        </w:tc>
      </w:tr>
      <w:tr w:rsidR="00391BEE" w14:paraId="27BB0FE2" w14:textId="77777777">
        <w:tc>
          <w:tcPr>
            <w:tcW w:w="577" w:type="dxa"/>
            <w:shd w:val="clear" w:color="auto" w:fill="E7F6FD"/>
            <w:tcMar>
              <w:top w:w="0" w:type="dxa"/>
              <w:bottom w:w="0" w:type="dxa"/>
              <w:right w:w="113" w:type="dxa"/>
            </w:tcMar>
          </w:tcPr>
          <w:p w14:paraId="52B5ACDA" w14:textId="77777777" w:rsidR="00391BEE" w:rsidRDefault="00391BEE">
            <w:pPr>
              <w:pStyle w:val="KeyPointsicon"/>
            </w:pPr>
            <w:r w:rsidRPr="00A51374">
              <w:rPr>
                <w:noProof/>
              </w:rPr>
              <w:drawing>
                <wp:inline distT="0" distB="0" distL="0" distR="0" wp14:anchorId="6D0BF90B" wp14:editId="7F5DFD99">
                  <wp:extent cx="180000" cy="180000"/>
                  <wp:effectExtent l="0" t="0" r="0" b="0"/>
                  <wp:docPr id="2093896035" name="Graphic 2093896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1EB507EE" w14:textId="77777777" w:rsidR="00391BEE" w:rsidRPr="00610627" w:rsidRDefault="00391BEE">
            <w:pPr>
              <w:pStyle w:val="KeyPoints-Bold"/>
            </w:pPr>
            <w:r w:rsidRPr="00B30B7B">
              <w:t>Governments should continue to reform land</w:t>
            </w:r>
            <w:r>
              <w:noBreakHyphen/>
            </w:r>
            <w:r w:rsidRPr="00B30B7B">
              <w:t>use controls to allow more housing in areas where people want to live</w:t>
            </w:r>
            <w:r>
              <w:t xml:space="preserve">. </w:t>
            </w:r>
          </w:p>
          <w:p w14:paraId="21FDFC0C" w14:textId="774A250F" w:rsidR="00391BEE" w:rsidRPr="00E728E9" w:rsidRDefault="00391BEE">
            <w:pPr>
              <w:pStyle w:val="KeyPoints-Bullet"/>
            </w:pPr>
            <w:r w:rsidRPr="00E728E9">
              <w:t xml:space="preserve">Improving the availability and use of land for housing will likely have the biggest impact on housing supply and affordability, of the topics identified in this inquiry’s </w:t>
            </w:r>
            <w:r w:rsidR="0092336A">
              <w:t>t</w:t>
            </w:r>
            <w:r w:rsidRPr="00E728E9">
              <w:t xml:space="preserve">erms of </w:t>
            </w:r>
            <w:r w:rsidR="0092336A">
              <w:t>r</w:t>
            </w:r>
            <w:r w:rsidRPr="00E728E9">
              <w:t>eference.</w:t>
            </w:r>
          </w:p>
        </w:tc>
      </w:tr>
      <w:tr w:rsidR="00391BEE" w14:paraId="2B43987C" w14:textId="77777777">
        <w:tc>
          <w:tcPr>
            <w:tcW w:w="577" w:type="dxa"/>
            <w:shd w:val="clear" w:color="auto" w:fill="E7F6FD"/>
            <w:tcMar>
              <w:top w:w="0" w:type="dxa"/>
              <w:bottom w:w="0" w:type="dxa"/>
              <w:right w:w="113" w:type="dxa"/>
            </w:tcMar>
          </w:tcPr>
          <w:p w14:paraId="4E5D1B6E" w14:textId="77777777" w:rsidR="00391BEE" w:rsidRPr="00A51374" w:rsidRDefault="00391BEE">
            <w:pPr>
              <w:pStyle w:val="KeyPointsicon"/>
            </w:pPr>
            <w:r w:rsidRPr="00F31E73">
              <w:rPr>
                <w:noProof/>
              </w:rPr>
              <w:drawing>
                <wp:inline distT="0" distB="0" distL="0" distR="0" wp14:anchorId="53D6D848" wp14:editId="74342C2D">
                  <wp:extent cx="180000" cy="180000"/>
                  <wp:effectExtent l="0" t="0" r="0" b="0"/>
                  <wp:docPr id="1235510018" name="Graphic 12355100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4F22BFE" w14:textId="77777777" w:rsidR="00391BEE" w:rsidRDefault="00391BEE">
            <w:pPr>
              <w:pStyle w:val="KeyPoints-Bold"/>
            </w:pPr>
            <w:r w:rsidRPr="00FE74C0">
              <w:t>Governments should coordinate land</w:t>
            </w:r>
            <w:r>
              <w:noBreakHyphen/>
            </w:r>
            <w:r w:rsidRPr="00FE74C0">
              <w:t xml:space="preserve">use reforms and infrastructure provision through strategic planning that proactively promotes new housing </w:t>
            </w:r>
            <w:r>
              <w:t xml:space="preserve">in areas where people want to live </w:t>
            </w:r>
            <w:r w:rsidRPr="00FE74C0">
              <w:t xml:space="preserve">and reflects </w:t>
            </w:r>
            <w:r>
              <w:t>our</w:t>
            </w:r>
            <w:r w:rsidRPr="00FE74C0">
              <w:t xml:space="preserve"> best practice principles</w:t>
            </w:r>
            <w:r>
              <w:t>.</w:t>
            </w:r>
          </w:p>
          <w:p w14:paraId="398E91BB" w14:textId="77777777" w:rsidR="00391BEE" w:rsidRDefault="00391BEE">
            <w:pPr>
              <w:pStyle w:val="KeyPoints-Bullet"/>
            </w:pPr>
            <w:r>
              <w:t>Housing</w:t>
            </w:r>
            <w:r>
              <w:noBreakHyphen/>
              <w:t xml:space="preserve">enabling infrastructure is essential to support upzoning and land release for new housing. </w:t>
            </w:r>
          </w:p>
          <w:p w14:paraId="2D798056" w14:textId="77777777" w:rsidR="00391BEE" w:rsidRDefault="00391BEE">
            <w:pPr>
              <w:pStyle w:val="KeyPoints-Bullet"/>
            </w:pPr>
            <w:r w:rsidRPr="00A050C2">
              <w:t>Land</w:t>
            </w:r>
            <w:r>
              <w:noBreakHyphen/>
            </w:r>
            <w:r w:rsidRPr="00A050C2">
              <w:t xml:space="preserve">use controls in areas with better access to existing infrastructure should be </w:t>
            </w:r>
            <w:r w:rsidRPr="0042133C">
              <w:t>reformed to support higher housing densities</w:t>
            </w:r>
            <w:r>
              <w:t>.</w:t>
            </w:r>
          </w:p>
          <w:p w14:paraId="293D2F12" w14:textId="77777777" w:rsidR="00391BEE" w:rsidRPr="00610627" w:rsidRDefault="00391BEE">
            <w:pPr>
              <w:pStyle w:val="KeyPoints-Bullet"/>
            </w:pPr>
            <w:r>
              <w:t>L</w:t>
            </w:r>
            <w:r w:rsidRPr="0042133C">
              <w:t>and release for greenfield development should be coordinated with infrastructure planning</w:t>
            </w:r>
            <w:r>
              <w:t>.</w:t>
            </w:r>
          </w:p>
        </w:tc>
      </w:tr>
      <w:tr w:rsidR="00391BEE" w14:paraId="3C894DD7" w14:textId="77777777">
        <w:tc>
          <w:tcPr>
            <w:tcW w:w="577" w:type="dxa"/>
            <w:shd w:val="clear" w:color="auto" w:fill="E7F6FD"/>
            <w:tcMar>
              <w:top w:w="0" w:type="dxa"/>
              <w:bottom w:w="0" w:type="dxa"/>
              <w:right w:w="113" w:type="dxa"/>
            </w:tcMar>
          </w:tcPr>
          <w:p w14:paraId="5B3DA9CF" w14:textId="77777777" w:rsidR="00391BEE" w:rsidRPr="00A51374" w:rsidRDefault="00391BEE">
            <w:pPr>
              <w:pStyle w:val="KeyPointsicon"/>
            </w:pPr>
            <w:r w:rsidRPr="00F31E73">
              <w:rPr>
                <w:noProof/>
              </w:rPr>
              <w:drawing>
                <wp:inline distT="0" distB="0" distL="0" distR="0" wp14:anchorId="108FBB61" wp14:editId="7514239E">
                  <wp:extent cx="180000" cy="180000"/>
                  <wp:effectExtent l="0" t="0" r="0" b="0"/>
                  <wp:docPr id="1479084788" name="Graphic 14790847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67A83F17" w14:textId="77777777" w:rsidR="00391BEE" w:rsidRPr="00610627" w:rsidRDefault="00391BEE">
            <w:pPr>
              <w:pStyle w:val="KeyPoints-Bold"/>
            </w:pPr>
            <w:r w:rsidRPr="00980DBA">
              <w:t>Improving approvals processes for new housing will help reduce costs and speed up the delivery of new housing supply</w:t>
            </w:r>
            <w:r>
              <w:t xml:space="preserve">. However, </w:t>
            </w:r>
            <w:r w:rsidRPr="00980DBA">
              <w:t xml:space="preserve">the impact of any changes </w:t>
            </w:r>
            <w:r>
              <w:t xml:space="preserve">on their own </w:t>
            </w:r>
            <w:r w:rsidRPr="00980DBA">
              <w:t>will</w:t>
            </w:r>
            <w:r>
              <w:t xml:space="preserve"> likely</w:t>
            </w:r>
            <w:r w:rsidRPr="00980DBA">
              <w:t xml:space="preserve"> be small relative to reforms to land</w:t>
            </w:r>
            <w:r>
              <w:noBreakHyphen/>
            </w:r>
            <w:r w:rsidRPr="00980DBA">
              <w:t>use controls and infrastructure provision</w:t>
            </w:r>
            <w:r>
              <w:t>.</w:t>
            </w:r>
          </w:p>
        </w:tc>
      </w:tr>
      <w:tr w:rsidR="00391BEE" w14:paraId="048ECA2F" w14:textId="77777777">
        <w:tc>
          <w:tcPr>
            <w:tcW w:w="577" w:type="dxa"/>
            <w:shd w:val="clear" w:color="auto" w:fill="E7F6FD"/>
            <w:tcMar>
              <w:top w:w="0" w:type="dxa"/>
              <w:bottom w:w="0" w:type="dxa"/>
              <w:right w:w="113" w:type="dxa"/>
            </w:tcMar>
          </w:tcPr>
          <w:p w14:paraId="7A7C0DF0" w14:textId="77777777" w:rsidR="00391BEE" w:rsidRPr="00F31E73" w:rsidRDefault="00391BEE">
            <w:pPr>
              <w:pStyle w:val="KeyPointsicon"/>
              <w:rPr>
                <w:noProof/>
              </w:rPr>
            </w:pPr>
            <w:r w:rsidRPr="00F31E73">
              <w:rPr>
                <w:noProof/>
              </w:rPr>
              <w:drawing>
                <wp:inline distT="0" distB="0" distL="0" distR="0" wp14:anchorId="20A76B1F" wp14:editId="51C54E84">
                  <wp:extent cx="180000" cy="180000"/>
                  <wp:effectExtent l="0" t="0" r="0" b="0"/>
                  <wp:docPr id="363451906" name="Graphic 363451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a:extLst>
                              <a:ext uri="{C183D7F6-B498-43B3-948B-1728B52AA6E4}">
                                <adec:decorative xmlns:adec="http://schemas.microsoft.com/office/drawing/2017/decorative" val="1"/>
                              </a:ext>
                            </a:extLst>
                          </pic:cNvPr>
                          <pic:cNvPicPr/>
                        </pic:nvPicPr>
                        <pic:blipFill>
                          <a:blip r:embed="rId45">
                            <a:extLst>
                              <a:ext uri="{96DAC541-7B7A-43D3-8B79-37D633B846F1}">
                                <asvg:svgBlip xmlns:asvg="http://schemas.microsoft.com/office/drawing/2016/SVG/main" r:embed="rId46"/>
                              </a:ext>
                            </a:extLst>
                          </a:blip>
                          <a:stretch>
                            <a:fillRect/>
                          </a:stretch>
                        </pic:blipFill>
                        <pic:spPr>
                          <a:xfrm>
                            <a:off x="0" y="0"/>
                            <a:ext cx="180000" cy="180000"/>
                          </a:xfrm>
                          <a:prstGeom prst="rect">
                            <a:avLst/>
                          </a:prstGeom>
                        </pic:spPr>
                      </pic:pic>
                    </a:graphicData>
                  </a:graphic>
                </wp:inline>
              </w:drawing>
            </w:r>
          </w:p>
        </w:tc>
        <w:tc>
          <w:tcPr>
            <w:tcW w:w="9061" w:type="dxa"/>
            <w:shd w:val="clear" w:color="auto" w:fill="E7F6FD"/>
            <w:tcMar>
              <w:top w:w="28" w:type="dxa"/>
              <w:left w:w="28" w:type="dxa"/>
            </w:tcMar>
          </w:tcPr>
          <w:p w14:paraId="042FB26B" w14:textId="77777777" w:rsidR="00391BEE" w:rsidRDefault="00391BEE">
            <w:pPr>
              <w:pStyle w:val="KeyPoints-Bold"/>
            </w:pPr>
            <w:r>
              <w:t>Our final report will assess state and territory reform efforts against the features of a best practice system and the impact of reforms on housing supply. Where possible, it will estimate the economic benefits of the recommended reforms and provide further implementation advice.</w:t>
            </w:r>
          </w:p>
          <w:p w14:paraId="34DC5AA9" w14:textId="77777777" w:rsidR="00391BEE" w:rsidRPr="00E728E9" w:rsidRDefault="00391BEE">
            <w:pPr>
              <w:pStyle w:val="KeyPoints-Bullet"/>
            </w:pPr>
            <w:r w:rsidRPr="00E728E9">
              <w:t>We will analyse commercial feasibility, identify the impact of different land</w:t>
            </w:r>
            <w:r w:rsidRPr="00E728E9">
              <w:noBreakHyphen/>
              <w:t>use controls on potential housing supply and survey developers to help us estimate the regulatory burden of approval processes.</w:t>
            </w:r>
          </w:p>
        </w:tc>
      </w:tr>
    </w:tbl>
    <w:p w14:paraId="74EF16CE" w14:textId="77777777" w:rsidR="00391BEE" w:rsidRDefault="00391BEE">
      <w:pPr>
        <w:pStyle w:val="Heading2"/>
      </w:pPr>
      <w:bookmarkStart w:id="41" w:name="_Toc235103164"/>
      <w:r>
        <w:t>Reform priorities to increase housing supply</w:t>
      </w:r>
      <w:bookmarkEnd w:id="41"/>
    </w:p>
    <w:p w14:paraId="134AE3B6" w14:textId="77777777" w:rsidR="00391BEE" w:rsidRDefault="00391BEE">
      <w:pPr>
        <w:pStyle w:val="BodyText"/>
      </w:pPr>
      <w:r>
        <w:t>This interim report has identified regulations that most affect housing supply and a corresponding set of reform directions to support faster and simpler approvals, make more land available and ready for new housing, and get more homes built.</w:t>
      </w:r>
    </w:p>
    <w:p w14:paraId="3B0E6ECC" w14:textId="77777777" w:rsidR="00391BEE" w:rsidRDefault="00391BEE">
      <w:pPr>
        <w:pStyle w:val="BodyText"/>
      </w:pPr>
      <w:r>
        <w:t xml:space="preserve">The subsequent section prioritises reform direction areas based on their likely effect on unlocking housing supply. We have prioritised based on evidence from the existing literature, submissions, and feedback from inquiry participants across 2 roundtables – one with representatives from industry and the other with academics who have research expertise on housing policy. </w:t>
      </w:r>
    </w:p>
    <w:p w14:paraId="33BD4BFF" w14:textId="77777777" w:rsidR="00391BEE" w:rsidRDefault="00391BEE">
      <w:pPr>
        <w:pStyle w:val="Heading3"/>
      </w:pPr>
      <w:r>
        <w:lastRenderedPageBreak/>
        <w:t>Reforms should prioritise land</w:t>
      </w:r>
      <w:r>
        <w:noBreakHyphen/>
        <w:t>use controls and housing</w:t>
      </w:r>
      <w:r>
        <w:noBreakHyphen/>
        <w:t>enabling infrastructure</w:t>
      </w:r>
    </w:p>
    <w:p w14:paraId="00193ED9" w14:textId="77777777" w:rsidR="00391BEE" w:rsidRDefault="00391BEE">
      <w:pPr>
        <w:pStyle w:val="Heading4"/>
      </w:pPr>
      <w:r>
        <w:t>Land</w:t>
      </w:r>
      <w:r>
        <w:noBreakHyphen/>
        <w:t>use reforms have the greatest potential for increasing housing supply</w:t>
      </w:r>
    </w:p>
    <w:p w14:paraId="638CA9B3" w14:textId="77777777" w:rsidR="00391BEE" w:rsidRDefault="00391BEE">
      <w:pPr>
        <w:pStyle w:val="BodyText"/>
      </w:pPr>
      <w:r>
        <w:t>Based on the available evidence, relaxing land</w:t>
      </w:r>
      <w:r>
        <w:noBreakHyphen/>
        <w:t xml:space="preserve">use controls should be governments’ top reform priority and the continued focus of state and territory reform efforts under the </w:t>
      </w:r>
      <w:r w:rsidRPr="000C186F">
        <w:rPr>
          <w:i/>
          <w:iCs/>
        </w:rPr>
        <w:t>National Housing Accord</w:t>
      </w:r>
      <w:r>
        <w:t xml:space="preserve"> and National Planning Reform Blueprint. Relaxing land</w:t>
      </w:r>
      <w:r>
        <w:noBreakHyphen/>
        <w:t>use controls represents the largest potential source of increased housing supply, of the topics within scope of this inquiry.</w:t>
      </w:r>
    </w:p>
    <w:p w14:paraId="265731F0" w14:textId="77777777" w:rsidR="00391BEE" w:rsidRDefault="00391BEE" w:rsidP="00A71482">
      <w:pPr>
        <w:pStyle w:val="BodyText"/>
      </w:pPr>
      <w:r>
        <w:t>Adopting our land</w:t>
      </w:r>
      <w:r>
        <w:noBreakHyphen/>
        <w:t>use control reform directions will enable housing to be built where it may otherwise be prevented. As set out in chapter 2, many land</w:t>
      </w:r>
      <w:r>
        <w:noBreakHyphen/>
        <w:t>use controls are regulatory bans – effectively stopping developers from even considering whether a parcel of land should be developed for housing. Land</w:t>
      </w:r>
      <w:r>
        <w:noBreakHyphen/>
        <w:t>use controls can act as the initial upfront barrier to housing construction, well before development approvals are sought. Even when housing is permitted, the interaction between different land</w:t>
      </w:r>
      <w:r>
        <w:noBreakHyphen/>
        <w:t xml:space="preserve">use controls can affect the commercial feasibility of housing, constraining supply. </w:t>
      </w:r>
    </w:p>
    <w:p w14:paraId="7A23999A" w14:textId="77777777" w:rsidR="00391BEE" w:rsidRDefault="00391BEE">
      <w:pPr>
        <w:pStyle w:val="BodyText"/>
      </w:pPr>
      <w:r>
        <w:t>Further, as land</w:t>
      </w:r>
      <w:r>
        <w:noBreakHyphen/>
        <w:t>use controls are the first constraint, reforms to land</w:t>
      </w:r>
      <w:r>
        <w:noBreakHyphen/>
        <w:t>use controls are likely to have a greater flow</w:t>
      </w:r>
      <w:r>
        <w:noBreakHyphen/>
        <w:t>on effect for housing supply than other processes in isolation (figure 5.1). The amount of housing that ultimately gets built relies on all 3 areas within scope for this inquiry, meaning reforms in each area will help to build more homes faster.</w:t>
      </w:r>
    </w:p>
    <w:p w14:paraId="42C8ABD8" w14:textId="54CCC706" w:rsidR="00391BEE" w:rsidRDefault="00391BEE">
      <w:pPr>
        <w:pStyle w:val="FigureTableHeading"/>
      </w:pPr>
      <w:r>
        <w:t xml:space="preserve">Figure </w:t>
      </w:r>
      <w:r w:rsidR="00CB06D8">
        <w:rPr>
          <w:noProof/>
        </w:rPr>
        <w:t>5</w:t>
      </w:r>
      <w:r>
        <w:t>.</w:t>
      </w:r>
      <w:r w:rsidR="00CB06D8">
        <w:rPr>
          <w:noProof/>
        </w:rPr>
        <w:t>1</w:t>
      </w:r>
      <w:r>
        <w:rPr>
          <w:noProof/>
        </w:rPr>
        <w:t xml:space="preserve"> </w:t>
      </w:r>
      <w:r>
        <w:t>– Land</w:t>
      </w:r>
      <w:r>
        <w:noBreakHyphen/>
        <w:t>use control reforms will have the greatest effect on housing supply</w:t>
      </w:r>
    </w:p>
    <w:p w14:paraId="571BBF2D" w14:textId="434CA91C" w:rsidR="00CA3F32" w:rsidRDefault="003B5EF9" w:rsidP="00CA3F32">
      <w:pPr>
        <w:pStyle w:val="BodyText"/>
      </w:pPr>
      <w:r w:rsidRPr="003B5EF9">
        <w:rPr>
          <w:noProof/>
        </w:rPr>
        <w:drawing>
          <wp:inline distT="0" distB="0" distL="0" distR="0" wp14:anchorId="2D185899" wp14:editId="452C41E7">
            <wp:extent cx="6120130" cy="4079875"/>
            <wp:effectExtent l="0" t="0" r="0" b="0"/>
            <wp:docPr id="1409140412" name="Picture 19" descr="This figure shows 4 steps in the process for land to become housing enabled and homes approved and built. The first is zoned capacity, then commercially feasible capacity, housing enabling infrastructure and approvals proces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140412" name="Picture 19" descr="This figure shows 4 steps in the process for land to become housing enabled and homes approved and built. The first is zoned capacity, then commercially feasible capacity, housing enabling infrastructure and approvals processes.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277563E6" w14:textId="657B33E6" w:rsidR="00391BEE" w:rsidRDefault="00391BEE">
      <w:pPr>
        <w:pStyle w:val="Source"/>
      </w:pPr>
      <w:r>
        <w:t>Source: PC 2026</w:t>
      </w:r>
      <w:r w:rsidR="00CA3F32">
        <w:t>.</w:t>
      </w:r>
    </w:p>
    <w:p w14:paraId="5D862DA5" w14:textId="77777777" w:rsidR="00391BEE" w:rsidRDefault="00391BEE">
      <w:pPr>
        <w:pStyle w:val="BodyText"/>
      </w:pPr>
      <w:r>
        <w:lastRenderedPageBreak/>
        <w:t xml:space="preserve">Our priority reforms will particularly help to increase housing supply in cities by permitting higher density living through upzoning. The academic literature and contributions from some inquiry participants further support the link between upzoning and housing supply (Grattan Institute, sub. 81, p. 2; Maltman and Gibbons, sub. 41, p. 4; CIS, sub. 18, attachment). </w:t>
      </w:r>
    </w:p>
    <w:p w14:paraId="7F91EA87" w14:textId="77777777" w:rsidR="00391BEE" w:rsidRDefault="00391BEE">
      <w:pPr>
        <w:pStyle w:val="Quote"/>
      </w:pPr>
      <w:r>
        <w:t>… our research suggests that restrictive zoning rules are the largest impediment to housing supply. While a burdensome approval process</w:t>
      </w:r>
      <w:r w:rsidRPr="0041235F">
        <w:t xml:space="preserve"> </w:t>
      </w:r>
      <w:r>
        <w:t>makes homes slower and more expensive to build, a blanket prohibition stops them being built at all. (Grattan Institute, sub. 81, p. 2)</w:t>
      </w:r>
    </w:p>
    <w:p w14:paraId="1BDF4A36" w14:textId="77777777" w:rsidR="00391BEE" w:rsidRPr="0047766B" w:rsidRDefault="00391BEE">
      <w:pPr>
        <w:pStyle w:val="Quote"/>
      </w:pPr>
      <w:r w:rsidRPr="0047766B">
        <w:t>While delays can occur at any stage throughout the development process, industry evidence increasingly indicates that for greenfield housing estates, the greatest risk, cost and time burden occurs at the earliest planning stage, securing designation within an urban footprint or rezoning land as residential.</w:t>
      </w:r>
      <w:r>
        <w:t xml:space="preserve"> (HIA, sub. 25, p. 10)</w:t>
      </w:r>
    </w:p>
    <w:p w14:paraId="602EB52F" w14:textId="77777777" w:rsidR="00391BEE" w:rsidRDefault="00391BEE">
      <w:pPr>
        <w:pStyle w:val="BodyText"/>
      </w:pPr>
      <w:r>
        <w:t>Upzoning has successfully increased housing supply overseas. For example, the Auckland Unitary Plan permitted upzoning to approximately three-quarters of Auckland’s residential land, contributing to an increase in dwelling consents (box 1.4, chapter 1). However, some caution may be required on the external validity of these findings for the Australian context. For example, Emeritus Professor Peter Phibbs (sub. 63, p. 10–11) argues upzoning in Sydney would not yield the same success on housing supply as Auckland, due to larger lot sizes in Auckland compared to Sydney. Our additional analysis for the final report will help estimate the expected supply</w:t>
      </w:r>
      <w:r>
        <w:noBreakHyphen/>
        <w:t>side effects of the reform directions for Australian cities (described in more detail below).</w:t>
      </w:r>
    </w:p>
    <w:p w14:paraId="7AE9B56C" w14:textId="77777777" w:rsidR="00391BEE" w:rsidRPr="00D86B8D" w:rsidRDefault="00391BEE">
      <w:pPr>
        <w:pStyle w:val="Heading4"/>
      </w:pPr>
      <w:r>
        <w:t>Land</w:t>
      </w:r>
      <w:r>
        <w:noBreakHyphen/>
        <w:t>use reforms must be coordinated with housing</w:t>
      </w:r>
      <w:r>
        <w:noBreakHyphen/>
        <w:t>enabling infrastructure</w:t>
      </w:r>
    </w:p>
    <w:p w14:paraId="72E1D8E8" w14:textId="4A07B71C" w:rsidR="00391BEE" w:rsidRDefault="00391BEE">
      <w:pPr>
        <w:pStyle w:val="BodyText"/>
      </w:pPr>
      <w:r>
        <w:t>Land</w:t>
      </w:r>
      <w:r>
        <w:noBreakHyphen/>
        <w:t>use reforms that aim to increase density or allow more greenfield development will be more effective if they are coordinated with the provision of infrastructure. Coordinating land</w:t>
      </w:r>
      <w:r>
        <w:noBreakHyphen/>
        <w:t>use controls and housing</w:t>
      </w:r>
      <w:r>
        <w:noBreakHyphen/>
        <w:t>enabling infrastructure helps make land housing</w:t>
      </w:r>
      <w:r>
        <w:noBreakHyphen/>
        <w:t>ready. In greenfield locations, we have heard that a lack of housing</w:t>
      </w:r>
      <w:r>
        <w:noBreakHyphen/>
        <w:t xml:space="preserve">enabling infrastructure for new developments is a major constraint on building new homes. Land release for greenfield developments is only effective if it is feasible and practical to build enabling infrastructure for the proposed new homes. Infill areas with better infrastructure connections can often support higher levels of density – as is the case for </w:t>
      </w:r>
      <w:r w:rsidR="009006F0" w:rsidRPr="00AB1D49">
        <w:t>New South Wales’s</w:t>
      </w:r>
      <w:r>
        <w:t xml:space="preserve"> Transport Oriented Development precincts. </w:t>
      </w:r>
    </w:p>
    <w:p w14:paraId="5D4B330B" w14:textId="77777777" w:rsidR="00391BEE" w:rsidRDefault="00391BEE">
      <w:pPr>
        <w:pStyle w:val="Quote"/>
      </w:pPr>
      <w:r w:rsidRPr="00F05932">
        <w:rPr>
          <w:rStyle w:val="QuoteChar"/>
        </w:rPr>
        <w:t>Constraints relating to land tenure, infrastructure capacity, and market development reinforce one another. Reform in isolation</w:t>
      </w:r>
      <w:r>
        <w:rPr>
          <w:rStyle w:val="QuoteChar"/>
        </w:rPr>
        <w:noBreakHyphen/>
      </w:r>
      <w:r w:rsidRPr="00F05932">
        <w:rPr>
          <w:rStyle w:val="QuoteChar"/>
        </w:rPr>
        <w:t xml:space="preserve"> whether through planning systems, approvals or finance</w:t>
      </w:r>
      <w:r>
        <w:rPr>
          <w:rStyle w:val="QuoteChar"/>
        </w:rPr>
        <w:noBreakHyphen/>
      </w:r>
      <w:r w:rsidRPr="00F05932">
        <w:rPr>
          <w:rStyle w:val="QuoteChar"/>
        </w:rPr>
        <w:t xml:space="preserve"> will not translate into increased housing supply without coordinated change across the system</w:t>
      </w:r>
      <w:r>
        <w:rPr>
          <w:rStyle w:val="QuoteChar"/>
        </w:rPr>
        <w:t>. (TSRA, sub. 82, p. 2)</w:t>
      </w:r>
    </w:p>
    <w:p w14:paraId="28F20317" w14:textId="77777777" w:rsidR="00391BEE" w:rsidRDefault="00391BEE">
      <w:pPr>
        <w:pStyle w:val="Quote"/>
      </w:pPr>
      <w:r>
        <w:t>Housing supply outcomes are strongest when land</w:t>
      </w:r>
      <w:r>
        <w:noBreakHyphen/>
        <w:t>use planning, infrastructure planning and housing policy operate in a coordinated manner … Governments should prioritise reforms that improve coordination between planning systems, infrastructure providers and housing agencies. (FHA, sub. 79, p. 9)</w:t>
      </w:r>
    </w:p>
    <w:p w14:paraId="676D57E1" w14:textId="77777777" w:rsidR="00391BEE" w:rsidRPr="00894FBA" w:rsidRDefault="00391BEE">
      <w:pPr>
        <w:pStyle w:val="Quote"/>
      </w:pPr>
      <w:r>
        <w:t>Land release is important, but its effect depends on whether land is genuinely housing ready. Releasing more land without infrastructure, servicing, subdivision capacity, and titling pathways creates supply on paper rather than completed homes. (PIA, sub. 34, p. 23)</w:t>
      </w:r>
    </w:p>
    <w:p w14:paraId="68D13A5D" w14:textId="77777777" w:rsidR="00391BEE" w:rsidRDefault="00391BEE">
      <w:r>
        <w:t>While some local areas may require a greater policy focus on housing</w:t>
      </w:r>
      <w:r>
        <w:noBreakHyphen/>
        <w:t>enabling infrastructure, others may benefit from a focus on reforming land</w:t>
      </w:r>
      <w:r>
        <w:noBreakHyphen/>
        <w:t xml:space="preserve">use controls. For example, infill sites might have good access to basic and social infrastructure and be commercially feasible to build </w:t>
      </w:r>
      <w:proofErr w:type="gramStart"/>
      <w:r>
        <w:t>upon, but</w:t>
      </w:r>
      <w:proofErr w:type="gramEnd"/>
      <w:r>
        <w:t xml:space="preserve"> may stall if too much land is being held back due to planning system constraints, such as heritage overlays or </w:t>
      </w:r>
      <w:r>
        <w:lastRenderedPageBreak/>
        <w:t>restrictive zoning rules (depicted in figure 5.2 as the intersection between commercially feasible and infrastructure enabled). In this scenario, regulatory changes to zoned capacity may unlock supply.</w:t>
      </w:r>
    </w:p>
    <w:p w14:paraId="3DB8E3A4" w14:textId="0BB6516D" w:rsidR="00391BEE" w:rsidRDefault="00391BEE">
      <w:pPr>
        <w:pStyle w:val="FigureTableHeading"/>
      </w:pPr>
      <w:r>
        <w:t xml:space="preserve">Figure </w:t>
      </w:r>
      <w:r w:rsidR="00CB06D8">
        <w:rPr>
          <w:noProof/>
        </w:rPr>
        <w:t>5</w:t>
      </w:r>
      <w:r>
        <w:t>.</w:t>
      </w:r>
      <w:r w:rsidR="00CB06D8">
        <w:rPr>
          <w:noProof/>
        </w:rPr>
        <w:t>2</w:t>
      </w:r>
      <w:r>
        <w:rPr>
          <w:noProof/>
        </w:rPr>
        <w:t xml:space="preserve"> </w:t>
      </w:r>
      <w:r>
        <w:t>– Land</w:t>
      </w:r>
      <w:r>
        <w:noBreakHyphen/>
        <w:t>use controls must be supported by housing</w:t>
      </w:r>
      <w:r>
        <w:noBreakHyphen/>
        <w:t>enabling infrastructure for homes to be built</w:t>
      </w:r>
    </w:p>
    <w:p w14:paraId="7901ECF5" w14:textId="7A43F081" w:rsidR="00391BEE" w:rsidRDefault="00780BAD" w:rsidP="006E7F29">
      <w:pPr>
        <w:pStyle w:val="BodyText"/>
      </w:pPr>
      <w:r w:rsidRPr="00780BAD">
        <w:rPr>
          <w:noProof/>
        </w:rPr>
        <w:drawing>
          <wp:inline distT="0" distB="0" distL="0" distR="0" wp14:anchorId="39187C7A" wp14:editId="6DE5BF71">
            <wp:extent cx="6092190" cy="5560695"/>
            <wp:effectExtent l="0" t="0" r="3810" b="1905"/>
            <wp:docPr id="932504244" name="Picture 20" descr="This figure shows a venn diagram with 3 overlapping circles. One circle reads ‘commercially feasible’ – housing that is commercially feasible to be built, another reads ‘infrastructure-enabled’ – land connected to basic and social infrastructure and the third ‘zoned capacity’ – housing that is allowed by land-used controls. The middle says potential housing supply. The overlapping area: between commercially feasible and infrastructure-enabled says mostly infill sites. Can be unlocked through upzoning. The area overlapping between infrastructure-enabled and zoned capacity says can be unlocked by reforms that improve feasibility. The overlapping area between commercially feasible and zoned capacity states mostly greenfield sites. Can be unlocked by efficient infrastructure prov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504244" name="Picture 20" descr="This figure shows a venn diagram with 3 overlapping circles. One circle reads ‘commercially feasible’ – housing that is commercially feasible to be built, another reads ‘infrastructure-enabled’ – land connected to basic and social infrastructure and the third ‘zoned capacity’ – housing that is allowed by land-used controls. The middle says potential housing supply. The overlapping area: between commercially feasible and infrastructure-enabled says mostly infill sites. Can be unlocked through upzoning. The area overlapping between infrastructure-enabled and zoned capacity says can be unlocked by reforms that improve feasibility. The overlapping area between commercially feasible and zoned capacity states mostly greenfield sites. Can be unlocked by efficient infrastructure provision.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92190" cy="5560695"/>
                    </a:xfrm>
                    <a:prstGeom prst="rect">
                      <a:avLst/>
                    </a:prstGeom>
                    <a:noFill/>
                    <a:ln>
                      <a:noFill/>
                    </a:ln>
                  </pic:spPr>
                </pic:pic>
              </a:graphicData>
            </a:graphic>
          </wp:inline>
        </w:drawing>
      </w:r>
    </w:p>
    <w:p w14:paraId="59EC5FCC" w14:textId="32FFDBE4" w:rsidR="00391BEE" w:rsidRDefault="00391BEE" w:rsidP="008E5E76">
      <w:pPr>
        <w:pStyle w:val="Source"/>
        <w:spacing w:after="360"/>
      </w:pPr>
      <w:r>
        <w:t>Source: Adapted from figure provided by Dr Stuart Donovan</w:t>
      </w:r>
      <w:r w:rsidR="009F14E9">
        <w:t>.</w:t>
      </w:r>
    </w:p>
    <w:p w14:paraId="5C240B6B" w14:textId="77777777" w:rsidR="00391BEE" w:rsidRPr="00260E0C" w:rsidRDefault="00391BEE">
      <w:pPr>
        <w:pStyle w:val="Heading4"/>
      </w:pPr>
      <w:r w:rsidRPr="00260E0C">
        <w:t>Reforms to strengthen strategic planning will support coordination</w:t>
      </w:r>
    </w:p>
    <w:p w14:paraId="026B5A00" w14:textId="77777777" w:rsidR="00707BB8" w:rsidRDefault="00391BEE">
      <w:pPr>
        <w:pStyle w:val="BodyText"/>
      </w:pPr>
      <w:r>
        <w:t>To adopt a ‘build mindset’, governments must take a proactive and collaborative approach to strategic planning and infrastructure coordination. State governments should work with local governments, infrastructure service providers, and other regulatory bodies to proactively solve infrastructure bottlenecks before they limit the capacity of high</w:t>
      </w:r>
      <w:r>
        <w:noBreakHyphen/>
        <w:t xml:space="preserve">demand suburbs or localities to absorb more homes. </w:t>
      </w:r>
    </w:p>
    <w:p w14:paraId="6DD700CE" w14:textId="599D4BA2" w:rsidR="00391BEE" w:rsidRDefault="00391BEE" w:rsidP="003A0787">
      <w:pPr>
        <w:pStyle w:val="BodyText"/>
        <w:keepNext/>
      </w:pPr>
      <w:r>
        <w:lastRenderedPageBreak/>
        <w:t>The need for government</w:t>
      </w:r>
      <w:r>
        <w:noBreakHyphen/>
        <w:t xml:space="preserve">led strategic planning to coordinate land rezoning and infrastructure to support new housing is explained by the Housing Institute of Australia: </w:t>
      </w:r>
    </w:p>
    <w:p w14:paraId="6C46BF1E" w14:textId="77777777" w:rsidR="00391BEE" w:rsidRDefault="00391BEE">
      <w:pPr>
        <w:pStyle w:val="Quote"/>
      </w:pPr>
      <w:r w:rsidRPr="00333189">
        <w:t>In many cases, despite clear private landowner interest, demonstrated market demand and a willingness by the private sector to fund infrastructure and development, planning frameworks actively constrain or discourage future housing supply through restrictive urban growth boundaries and lengthy rezoning processes. Rather than governments proactively identifying and sequencing future growth areas, the burden of progressing strategic planning investigations has been increasingly shifted to the private sector.</w:t>
      </w:r>
      <w:r>
        <w:t xml:space="preserve"> (sub. 25, p. 10)</w:t>
      </w:r>
    </w:p>
    <w:p w14:paraId="711ECB78" w14:textId="77777777" w:rsidR="00391BEE" w:rsidRDefault="00391BEE">
      <w:pPr>
        <w:pStyle w:val="BodyText"/>
      </w:pPr>
      <w:r>
        <w:t>When infrastructure is coordinated with zoning, for example through strategic planning, it can also help address legitimate community concerns about the effects of housing on local amenity, and support reform implementation, particularly in infill locations:</w:t>
      </w:r>
    </w:p>
    <w:p w14:paraId="4570B840" w14:textId="77777777" w:rsidR="00391BEE" w:rsidRDefault="00391BEE">
      <w:pPr>
        <w:pStyle w:val="Quote"/>
      </w:pPr>
      <w:r>
        <w:t xml:space="preserve">In many established suburbs, the most significant constraint on housing supply is not zoning but infrastructure capacity. Communities are generally more willing to support additional housing when accompanied by: </w:t>
      </w:r>
    </w:p>
    <w:p w14:paraId="10593A42" w14:textId="77777777" w:rsidR="00391BEE" w:rsidRDefault="00391BEE">
      <w:pPr>
        <w:pStyle w:val="QuoteBullet"/>
      </w:pPr>
      <w:r>
        <w:t>Public transport investment</w:t>
      </w:r>
    </w:p>
    <w:p w14:paraId="4A1CA2A2" w14:textId="77777777" w:rsidR="00391BEE" w:rsidRDefault="00391BEE">
      <w:pPr>
        <w:pStyle w:val="QuoteBullet"/>
      </w:pPr>
      <w:r>
        <w:t>Schools and health services</w:t>
      </w:r>
    </w:p>
    <w:p w14:paraId="47980495" w14:textId="77777777" w:rsidR="00391BEE" w:rsidRDefault="00391BEE">
      <w:pPr>
        <w:pStyle w:val="QuoteBullet"/>
      </w:pPr>
      <w:r>
        <w:t>Open space and community facilities</w:t>
      </w:r>
    </w:p>
    <w:p w14:paraId="2DF498E7" w14:textId="77777777" w:rsidR="00391BEE" w:rsidRDefault="00391BEE">
      <w:pPr>
        <w:pStyle w:val="QuoteBullet"/>
      </w:pPr>
      <w:r>
        <w:t>Water, sewer and utility upgrades</w:t>
      </w:r>
    </w:p>
    <w:p w14:paraId="1B9AA86B" w14:textId="77777777" w:rsidR="00391BEE" w:rsidRDefault="00391BEE">
      <w:pPr>
        <w:pStyle w:val="Quote"/>
      </w:pPr>
      <w:r>
        <w:t>Where these elements are absent, community concerns are legitimate and should not be dismissed as opposition to growth. (Dennis Mentzines, sub. 57, p. 3)</w:t>
      </w:r>
    </w:p>
    <w:p w14:paraId="173BC3D3" w14:textId="77777777" w:rsidR="00391BEE" w:rsidRDefault="00391BEE">
      <w:pPr>
        <w:pStyle w:val="BodyText"/>
      </w:pPr>
      <w:r>
        <w:t xml:space="preserve">Similarly, AMPLIFY (sub. 42, p. 11) found ‘73% of Australians support additional medium density housing if new homes are built alongside investment in new public transport’, based on its Housing Density Done Well survey. </w:t>
      </w:r>
    </w:p>
    <w:p w14:paraId="6AD43CE8" w14:textId="77777777" w:rsidR="00391BEE" w:rsidRDefault="00391BEE">
      <w:pPr>
        <w:pStyle w:val="BodyText"/>
      </w:pPr>
      <w:r>
        <w:t xml:space="preserve">Strategic planning in this form should reflect the best practice principles outlined in chapter 1. It should facilitate – not slow down – efforts to increase the availability and use of land for more housing, and it should aim to cut through regulatory complexity rather than adding another layer of requirements to existing rules. The Productivity Commission will explore this issue in more detail in the final report for this inquiry. </w:t>
      </w:r>
    </w:p>
    <w:p w14:paraId="6B318684" w14:textId="77777777" w:rsidR="00391BEE" w:rsidRDefault="00391BEE">
      <w:pPr>
        <w:pStyle w:val="Heading3"/>
      </w:pPr>
      <w:r>
        <w:t>Reducing regulatory burdens is important but less likely to improve housing supply</w:t>
      </w:r>
    </w:p>
    <w:p w14:paraId="66026811" w14:textId="77777777" w:rsidR="00391BEE" w:rsidRDefault="00391BEE">
      <w:pPr>
        <w:pStyle w:val="Heading4"/>
      </w:pPr>
      <w:r>
        <w:t>Fixing land</w:t>
      </w:r>
      <w:r>
        <w:noBreakHyphen/>
        <w:t>use controls and infrastructure planning will help approval processes become more streamlined</w:t>
      </w:r>
    </w:p>
    <w:p w14:paraId="055F4698" w14:textId="77777777" w:rsidR="00391BEE" w:rsidRDefault="00391BEE">
      <w:pPr>
        <w:pStyle w:val="BodyText"/>
      </w:pPr>
      <w:r>
        <w:t>Current approval processes are inefficient and can be streamlined to reduce costs and speed up the delivery of new housing. But improving approval processes in isolation is expected to have a smaller effect on housing supply relative to land</w:t>
      </w:r>
      <w:r>
        <w:noBreakHyphen/>
        <w:t>use controls and coordinating housing</w:t>
      </w:r>
      <w:r>
        <w:noBreakHyphen/>
        <w:t>enabling infrastructure. The PC has heard that a large number of approved dwellings have not been constructed due to barriers other than approval processes, often related to housing</w:t>
      </w:r>
      <w:r>
        <w:noBreakHyphen/>
        <w:t>enabling infrastructure (ALGA, sub. 8, p. 4; National Shelter, sub. 53, p. 17; PIA, sub. 34, p. 3;</w:t>
      </w:r>
      <w:r w:rsidRPr="004C2DCC">
        <w:t xml:space="preserve"> </w:t>
      </w:r>
      <w:r>
        <w:t>Royal Australian Institute of Architects, sub. 48, p. 5).</w:t>
      </w:r>
    </w:p>
    <w:p w14:paraId="3323F6B5" w14:textId="77777777" w:rsidR="00391BEE" w:rsidRDefault="00391BEE">
      <w:pPr>
        <w:pStyle w:val="BodyText"/>
      </w:pPr>
      <w:r>
        <w:t>Approval processes can slow down development, create delays and, if the regulatory burden caused by approvals is sufficiently high, prevent development entirely. One major impediment to timely approvals is conflicting or unclear requirements imposed by different decision</w:t>
      </w:r>
      <w:r>
        <w:noBreakHyphen/>
        <w:t>makers</w:t>
      </w:r>
      <w:r w:rsidDel="00A85B58">
        <w:t xml:space="preserve">. </w:t>
      </w:r>
      <w:r>
        <w:t xml:space="preserve">Outdated strategic </w:t>
      </w:r>
      <w:r>
        <w:lastRenderedPageBreak/>
        <w:t>planning can result in unresolved conflicts being addressed during individual development applications, leading to longer assessment processes, greater community conflict and less consistent decision making (PIA, sub. 34, p. 6). As a result, prioritising land</w:t>
      </w:r>
      <w:r>
        <w:noBreakHyphen/>
        <w:t>use and infrastructure coordination reforms should resolve some, but not all, issues associated with slow approval processes.</w:t>
      </w:r>
    </w:p>
    <w:p w14:paraId="05BC4E28" w14:textId="77777777" w:rsidR="00391BEE" w:rsidRDefault="00391BEE">
      <w:pPr>
        <w:pStyle w:val="BodyText"/>
      </w:pPr>
      <w:r>
        <w:t xml:space="preserve">There is scope to improve the timeliness, reduce compliance burdens and enhance transparency of reporting of approvals processes. These reforms will be useful, but not sufficient to meaningfully enhance housing supply. </w:t>
      </w:r>
    </w:p>
    <w:p w14:paraId="240F0430" w14:textId="77777777" w:rsidR="00391BEE" w:rsidRDefault="00391BEE">
      <w:pPr>
        <w:pStyle w:val="Heading4"/>
      </w:pPr>
      <w:r>
        <w:t>Developer contributions can be improved, but reform is unlikely to have a major effect on housing supply</w:t>
      </w:r>
    </w:p>
    <w:p w14:paraId="6F206CFE" w14:textId="77777777" w:rsidR="00391BEE" w:rsidRDefault="00391BEE">
      <w:pPr>
        <w:pStyle w:val="BodyText"/>
      </w:pPr>
      <w:r>
        <w:t>Developer contribution frameworks across jurisdictions could be better aligned with the supporting principles for housing</w:t>
      </w:r>
      <w:r>
        <w:noBreakHyphen/>
        <w:t xml:space="preserve">enabling infrastructure – simple, certain, transparent, timely, consistent and efficient. Governments should estimate contributions upfront with flexibility provided for when they are due to enable completion of a development. They should be more transparent about funds collected and how they have been utilised for local infrastructure. Importantly, contributions should reflect the cost of providing infrastructure. </w:t>
      </w:r>
    </w:p>
    <w:p w14:paraId="4A023805" w14:textId="77777777" w:rsidR="00391BEE" w:rsidRDefault="00391BEE">
      <w:pPr>
        <w:pStyle w:val="BodyText"/>
      </w:pPr>
      <w:r>
        <w:t>While important, these features alone are unlikely to have a major effect on housing supply. As noted in chapter 4, economic theory supported by some empirical studies suggests developers take the cost of developer contributions into account when purchasing land. Cost</w:t>
      </w:r>
      <w:r>
        <w:noBreakHyphen/>
        <w:t>reflective developer contributions help provide an accurate price signal to developers so that development occurs in the most cost</w:t>
      </w:r>
      <w:r>
        <w:noBreakHyphen/>
        <w:t xml:space="preserve">efficient locations. </w:t>
      </w:r>
    </w:p>
    <w:p w14:paraId="522BF972" w14:textId="77777777" w:rsidR="00391BEE" w:rsidRDefault="00391BEE">
      <w:pPr>
        <w:pStyle w:val="BodyText"/>
      </w:pPr>
      <w:r>
        <w:t xml:space="preserve">As a result, any focus on enabling infrastructure reforms should prioritise coordination and strategic planning over developer contributions, noting there are nonetheless improvement opportunities for the latter. </w:t>
      </w:r>
    </w:p>
    <w:p w14:paraId="7C0D7E40" w14:textId="77777777" w:rsidR="00391BEE" w:rsidRDefault="00391BEE">
      <w:pPr>
        <w:pStyle w:val="Heading3"/>
      </w:pPr>
      <w:r>
        <w:t>Our final report will consider reform impact and implementation</w:t>
      </w:r>
    </w:p>
    <w:p w14:paraId="2CB15669" w14:textId="77777777" w:rsidR="00391BEE" w:rsidRDefault="00391BEE">
      <w:pPr>
        <w:pStyle w:val="BodyText"/>
      </w:pPr>
      <w:r>
        <w:t xml:space="preserve">The effect of the reform directions on housing supply is only one part of the equation. The final report will have a greater focus on how reforms can be implemented, including steps that need to be taken, responsibilities, risks, dependencies and sequencing considerations. </w:t>
      </w:r>
    </w:p>
    <w:p w14:paraId="2A4CC90C" w14:textId="77777777" w:rsidR="00391BEE" w:rsidRDefault="00391BEE">
      <w:pPr>
        <w:pStyle w:val="BodyText"/>
      </w:pPr>
      <w:r>
        <w:t>States and territories should prioritise reforms that are likely to have the largest impact on housing supply. These should be pursued in parallel with potential ‘quick wins’ in lower priority reform areas, such as approval processes and developer contributions, that can also move housing regulatory systems closer to best practice.  We are interested in your views on the relative ease of implementation across our reform directions, including any co</w:t>
      </w:r>
      <w:r>
        <w:noBreakHyphen/>
        <w:t>dependencies (information request 5.1).</w:t>
      </w:r>
    </w:p>
    <w:p w14:paraId="5EC98F19" w14:textId="3704F26D" w:rsidR="00391BEE" w:rsidRDefault="00391BEE">
      <w:pPr>
        <w:pStyle w:val="BodyText"/>
      </w:pPr>
      <w:r>
        <w:t xml:space="preserve">Another important component of implementation is how the Australian Government can support states, territories and local governments to move toward best practice housing regulatory systems and implement reforms. This may include direct government funding, for example for local infrastructure, or using incentives in the form of ‘carrots and </w:t>
      </w:r>
      <w:proofErr w:type="gramStart"/>
      <w:r>
        <w:t>sticks’</w:t>
      </w:r>
      <w:proofErr w:type="gramEnd"/>
      <w:r>
        <w:t>. For example, Westpac (sub. 38, p. 5) suggests the Australian Government could introduce a housing target component to the criteria for Local Government Financial Assistance Grant funding, with a proportional reduction in grant funding for local governments underperforming on housing targets which could be reallocated to higher</w:t>
      </w:r>
      <w:r>
        <w:noBreakHyphen/>
        <w:t>performing local governments (and would therefore be budget</w:t>
      </w:r>
      <w:r>
        <w:noBreakHyphen/>
        <w:t xml:space="preserve">neutral). National Shelter (sub. 53, </w:t>
      </w:r>
      <w:r w:rsidR="00B7586C">
        <w:t>p</w:t>
      </w:r>
      <w:r>
        <w:t>p. 9</w:t>
      </w:r>
      <w:r w:rsidR="005326C5">
        <w:t>,</w:t>
      </w:r>
      <w:r w:rsidR="00B7586C">
        <w:t xml:space="preserve"> </w:t>
      </w:r>
      <w:r>
        <w:t xml:space="preserve">13) also supports using funding as a ‘carrot and stick’ and embedding stronger key performance indicators within the </w:t>
      </w:r>
      <w:r w:rsidRPr="000C186F">
        <w:rPr>
          <w:i/>
          <w:iCs/>
        </w:rPr>
        <w:t>National Housing Accord</w:t>
      </w:r>
      <w:r>
        <w:t xml:space="preserve"> or similar cross</w:t>
      </w:r>
      <w:r>
        <w:noBreakHyphen/>
        <w:t xml:space="preserve">governmental </w:t>
      </w:r>
      <w:proofErr w:type="gramStart"/>
      <w:r>
        <w:t>agreements, and</w:t>
      </w:r>
      <w:proofErr w:type="gramEnd"/>
      <w:r>
        <w:t xml:space="preserve"> expanding the </w:t>
      </w:r>
      <w:r>
        <w:lastRenderedPageBreak/>
        <w:t>National Competition Policy to include land</w:t>
      </w:r>
      <w:r>
        <w:noBreakHyphen/>
        <w:t xml:space="preserve">use planning. Coates et al. </w:t>
      </w:r>
      <w:r w:rsidRPr="00883E34">
        <w:rPr>
          <w:rFonts w:cs="Open Sans"/>
        </w:rPr>
        <w:t>(2025)</w:t>
      </w:r>
      <w:r>
        <w:t xml:space="preserve"> similarly suggests extending the National Competition Policy to land</w:t>
      </w:r>
      <w:r>
        <w:noBreakHyphen/>
        <w:t xml:space="preserve">use reform. </w:t>
      </w:r>
    </w:p>
    <w:p w14:paraId="7583A5B2" w14:textId="355E5A8D" w:rsidR="00391BEE" w:rsidRDefault="00391BEE">
      <w:pPr>
        <w:pStyle w:val="BodyText"/>
      </w:pPr>
      <w:r>
        <w:t xml:space="preserve">All Australian governments have committed to transforming the way they work with Aboriginal and Torres Strait Islander people and communities, under Priority Reform 3 of the National Agreement on Closing the Gap. This requires improved engagement with Aboriginal and Torres Strait Islander people, increasing accountability through transparent funding allocations and delivering services in partnership with Aboriginal and Torres Strait Islander organisations, communities and people </w:t>
      </w:r>
      <w:r w:rsidRPr="00A74819">
        <w:t>(Joint Council 2020)</w:t>
      </w:r>
      <w:r>
        <w:t>. The PC is seeking more information on how reform directions across land</w:t>
      </w:r>
      <w:r>
        <w:noBreakHyphen/>
        <w:t>use controls, housing</w:t>
      </w:r>
      <w:r>
        <w:noBreakHyphen/>
        <w:t>enabling infrastructure and approvals can be implemented in a manner that aligns with all governments’ obligations under Priority Reforms of the National Agreement on Closing the Gap (information request 5.1).</w:t>
      </w:r>
    </w:p>
    <w:p w14:paraId="567881EB" w14:textId="52DD4A5C" w:rsidR="00391BEE" w:rsidRDefault="00391BEE">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391BEE" w14:paraId="5633B916" w14:textId="77777777">
        <w:trPr>
          <w:trHeight w:val="765"/>
          <w:tblHeader/>
        </w:trPr>
        <w:tc>
          <w:tcPr>
            <w:tcW w:w="366" w:type="pct"/>
            <w:shd w:val="clear" w:color="auto" w:fill="EBEBEB"/>
            <w:tcMar>
              <w:bottom w:w="0" w:type="dxa"/>
            </w:tcMar>
            <w:vAlign w:val="center"/>
          </w:tcPr>
          <w:p w14:paraId="681CEFB5" w14:textId="77777777" w:rsidR="00391BEE" w:rsidRDefault="00391BEE">
            <w:pPr>
              <w:pStyle w:val="NoSpacing"/>
              <w:keepNext/>
              <w:keepLines/>
              <w:jc w:val="right"/>
            </w:pPr>
            <w:r w:rsidRPr="00A51374">
              <w:rPr>
                <w:noProof/>
              </w:rPr>
              <w:drawing>
                <wp:inline distT="0" distB="0" distL="0" distR="0" wp14:anchorId="3EC4CE89" wp14:editId="1F3438A9">
                  <wp:extent cx="288000" cy="288000"/>
                  <wp:effectExtent l="0" t="0" r="0" b="0"/>
                  <wp:docPr id="1679042258" name="Graphic 1679042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54">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3924DCB4" w14:textId="66C10F6D" w:rsidR="00391BEE" w:rsidRPr="002530FF" w:rsidRDefault="00391BEE">
            <w:pPr>
              <w:pStyle w:val="FindingRecRequesttitle"/>
            </w:pPr>
            <w:r w:rsidRPr="000B0B71">
              <w:t xml:space="preserve">Information request </w:t>
            </w:r>
            <w:r w:rsidR="00CB06D8">
              <w:rPr>
                <w:noProof/>
              </w:rPr>
              <w:t>5</w:t>
            </w:r>
            <w:r w:rsidRPr="00DF7217">
              <w:t>.</w:t>
            </w:r>
            <w:r w:rsidR="00CB06D8">
              <w:rPr>
                <w:noProof/>
              </w:rPr>
              <w:t>1</w:t>
            </w:r>
          </w:p>
        </w:tc>
      </w:tr>
      <w:tr w:rsidR="00391BEE" w:rsidRPr="00D06AF9" w14:paraId="700BE44C" w14:textId="77777777">
        <w:tc>
          <w:tcPr>
            <w:tcW w:w="5000" w:type="pct"/>
            <w:gridSpan w:val="2"/>
            <w:shd w:val="clear" w:color="auto" w:fill="EBEBEB"/>
          </w:tcPr>
          <w:p w14:paraId="195056B6" w14:textId="77777777" w:rsidR="00391BEE" w:rsidRPr="00D06AF9" w:rsidRDefault="00391BEE" w:rsidP="00E11D04">
            <w:pPr>
              <w:pStyle w:val="ListBullet"/>
              <w:rPr>
                <w:color w:val="265A9A" w:themeColor="background2"/>
              </w:rPr>
            </w:pPr>
            <w:r w:rsidRPr="00D06AF9">
              <w:rPr>
                <w:color w:val="265A9A" w:themeColor="background2"/>
              </w:rPr>
              <w:t xml:space="preserve">Which of the reform directions will be relatively easy or hard to implement and why? Are there any examples of ‘quick wins’ that could be achieved? </w:t>
            </w:r>
          </w:p>
          <w:p w14:paraId="3A1B562A" w14:textId="77777777" w:rsidR="00391BEE" w:rsidRPr="00D06AF9" w:rsidRDefault="00391BEE" w:rsidP="00E11D04">
            <w:pPr>
              <w:pStyle w:val="ListBullet"/>
              <w:rPr>
                <w:color w:val="265A9A" w:themeColor="background2"/>
              </w:rPr>
            </w:pPr>
            <w:r w:rsidRPr="00D06AF9">
              <w:rPr>
                <w:color w:val="265A9A" w:themeColor="background2"/>
              </w:rPr>
              <w:t>Are there any co</w:t>
            </w:r>
            <w:r w:rsidRPr="00D06AF9">
              <w:rPr>
                <w:color w:val="265A9A" w:themeColor="background2"/>
              </w:rPr>
              <w:noBreakHyphen/>
              <w:t>dependencies or sequencing considerations across the reform directions?</w:t>
            </w:r>
          </w:p>
          <w:p w14:paraId="45C55F20" w14:textId="77777777" w:rsidR="00391BEE" w:rsidRPr="00D06AF9" w:rsidRDefault="00391BEE" w:rsidP="00E11D04">
            <w:pPr>
              <w:pStyle w:val="ListBullet"/>
              <w:rPr>
                <w:color w:val="265A9A" w:themeColor="background2"/>
              </w:rPr>
            </w:pPr>
            <w:r w:rsidRPr="00D06AF9">
              <w:rPr>
                <w:color w:val="265A9A" w:themeColor="background2"/>
              </w:rPr>
              <w:t>How can the Australian Government ensure housing regulatory system reform is implemented in a manner that supports all governments’ commitments under the National Agreement on Closing the Gap?</w:t>
            </w:r>
          </w:p>
          <w:p w14:paraId="3FDF2E9C" w14:textId="77777777" w:rsidR="00391BEE" w:rsidRPr="00D06AF9" w:rsidRDefault="00391BEE" w:rsidP="00E11D04">
            <w:pPr>
              <w:pStyle w:val="ListBullet"/>
              <w:rPr>
                <w:color w:val="265A9A" w:themeColor="background2"/>
              </w:rPr>
            </w:pPr>
            <w:r w:rsidRPr="00D06AF9">
              <w:rPr>
                <w:color w:val="265A9A" w:themeColor="background2"/>
              </w:rPr>
              <w:t>How can the Australian Government best support state and territory and local governments to shift housing regulatory systems towards best practice?</w:t>
            </w:r>
          </w:p>
        </w:tc>
      </w:tr>
      <w:tr w:rsidR="00391BEE" w14:paraId="69ACAEA0" w14:textId="77777777">
        <w:tc>
          <w:tcPr>
            <w:tcW w:w="5000" w:type="pct"/>
            <w:gridSpan w:val="2"/>
            <w:tcMar>
              <w:bottom w:w="0" w:type="dxa"/>
            </w:tcMar>
          </w:tcPr>
          <w:p w14:paraId="13421858" w14:textId="0E7A9E24" w:rsidR="00391BEE" w:rsidRDefault="00391BEE">
            <w:pPr>
              <w:pStyle w:val="NoSpacing"/>
              <w:spacing w:line="200" w:lineRule="atLeast"/>
            </w:pPr>
          </w:p>
        </w:tc>
      </w:tr>
    </w:tbl>
    <w:p w14:paraId="20B414FB" w14:textId="77777777" w:rsidR="00391BEE" w:rsidRDefault="00391BEE">
      <w:pPr>
        <w:pStyle w:val="Heading2"/>
      </w:pPr>
      <w:bookmarkStart w:id="42" w:name="_Toc235103165"/>
      <w:r>
        <w:t>Inquiry next steps</w:t>
      </w:r>
      <w:bookmarkEnd w:id="42"/>
    </w:p>
    <w:p w14:paraId="3795A764" w14:textId="7D3FB1DD" w:rsidR="00391BEE" w:rsidRDefault="00391BEE">
      <w:pPr>
        <w:pStyle w:val="Heading3"/>
      </w:pPr>
      <w:r>
        <w:t xml:space="preserve">The </w:t>
      </w:r>
      <w:r w:rsidR="0092336A">
        <w:t>t</w:t>
      </w:r>
      <w:r>
        <w:t xml:space="preserve">erms of </w:t>
      </w:r>
      <w:r w:rsidR="0092336A">
        <w:t>r</w:t>
      </w:r>
      <w:r>
        <w:t>eference calls for additional analysis for the final report</w:t>
      </w:r>
    </w:p>
    <w:p w14:paraId="034388BD" w14:textId="783C2852" w:rsidR="00391BEE" w:rsidRDefault="00391BEE">
      <w:pPr>
        <w:pStyle w:val="BodyText"/>
      </w:pPr>
      <w:r>
        <w:t xml:space="preserve">Our final report will provide specific recommendations including for states and territories, to move housing regulatory systems towards best practice now, and over the long term. Our </w:t>
      </w:r>
      <w:r w:rsidR="0092336A">
        <w:t>terms of reference</w:t>
      </w:r>
      <w:r>
        <w:t xml:space="preserve"> require our final report to:</w:t>
      </w:r>
    </w:p>
    <w:p w14:paraId="50E1733B" w14:textId="77777777" w:rsidR="00391BEE" w:rsidRDefault="00391BEE" w:rsidP="00E11D04">
      <w:pPr>
        <w:pStyle w:val="ListBullet"/>
      </w:pPr>
      <w:r>
        <w:t>include an assessment of how advanced states and territories are in their reform efforts against the features of a best practice system</w:t>
      </w:r>
    </w:p>
    <w:p w14:paraId="740E7D98" w14:textId="77777777" w:rsidR="00391BEE" w:rsidRDefault="00391BEE" w:rsidP="00E11D04">
      <w:pPr>
        <w:pStyle w:val="ListBullet"/>
      </w:pPr>
      <w:r>
        <w:t>assess the expected impact on housing supply of planning and other relevant regulatory reforms taken by states and territories since 1 July 2024</w:t>
      </w:r>
    </w:p>
    <w:p w14:paraId="6AF514EC" w14:textId="77777777" w:rsidR="00391BEE" w:rsidRPr="002C4A1C" w:rsidRDefault="00391BEE" w:rsidP="00E11D04">
      <w:pPr>
        <w:pStyle w:val="ListBullet"/>
      </w:pPr>
      <w:r>
        <w:t xml:space="preserve">quantify, where possible, the economic benefits of the recommended reforms, and provide further advice on reform implementation. </w:t>
      </w:r>
    </w:p>
    <w:p w14:paraId="5730805E" w14:textId="77777777" w:rsidR="00391BEE" w:rsidRDefault="00391BEE">
      <w:pPr>
        <w:pStyle w:val="BodyText"/>
      </w:pPr>
      <w:r>
        <w:t>Our final report will be provided to the Australian Government by end March 2027 (figure 5.3).</w:t>
      </w:r>
    </w:p>
    <w:p w14:paraId="7AB97FDE" w14:textId="62A04958" w:rsidR="00391BEE" w:rsidRPr="00D624C8" w:rsidRDefault="00391BEE">
      <w:pPr>
        <w:pStyle w:val="BodyText"/>
      </w:pPr>
      <w:r>
        <w:t xml:space="preserve">To respond to the additional areas of the </w:t>
      </w:r>
      <w:r w:rsidR="0092336A">
        <w:t>terms of reference</w:t>
      </w:r>
      <w:r>
        <w:t xml:space="preserve"> requested for the final report, we will do further analysis, engagement and research. </w:t>
      </w:r>
    </w:p>
    <w:p w14:paraId="396B732A" w14:textId="77777777" w:rsidR="00391BEE" w:rsidRPr="001F63F9" w:rsidRDefault="00391BEE">
      <w:pPr>
        <w:pStyle w:val="BodyText"/>
      </w:pPr>
      <w:r>
        <w:t>Our q</w:t>
      </w:r>
      <w:r w:rsidRPr="001F63F9">
        <w:t xml:space="preserve">uantitative analysis will compare commercially feasible and observed housing density at the parcel level to identify where development is theoretically feasible in the absence of controls but not </w:t>
      </w:r>
      <w:r w:rsidRPr="001F63F9">
        <w:lastRenderedPageBreak/>
        <w:t>currently occurring. Results will likely be reported at the local government area level to highlight where more housing could be delivered if constraints on development were reduced. We will model the impact of existing land</w:t>
      </w:r>
      <w:r>
        <w:noBreakHyphen/>
      </w:r>
      <w:r w:rsidRPr="001F63F9">
        <w:t xml:space="preserve">use controls on potential housing supply, and how changing controls would affect zoned capacity and flow through into a supply response. </w:t>
      </w:r>
    </w:p>
    <w:p w14:paraId="6A2DF47D" w14:textId="77777777" w:rsidR="00391BEE" w:rsidRDefault="00391BEE">
      <w:pPr>
        <w:pStyle w:val="Heading3"/>
      </w:pPr>
      <w:r>
        <w:t>Your input will help us inform the future of housing in Australia</w:t>
      </w:r>
    </w:p>
    <w:p w14:paraId="00093E46" w14:textId="77777777" w:rsidR="00391BEE" w:rsidRPr="001F63F9" w:rsidRDefault="00391BEE">
      <w:pPr>
        <w:pStyle w:val="BodyText"/>
      </w:pPr>
      <w:r w:rsidRPr="001F63F9">
        <w:t xml:space="preserve">We will continue to engage with inquiry participants, with a particular focus on engagement with state and territory planning and housing agencies in each jurisdiction, local governments and Aboriginal and Torres Strait Islander people and communities. </w:t>
      </w:r>
    </w:p>
    <w:p w14:paraId="7DA6B541" w14:textId="77777777" w:rsidR="00391BEE" w:rsidRPr="001F63F9" w:rsidRDefault="00391BEE" w:rsidP="00E11D04">
      <w:pPr>
        <w:pStyle w:val="ListBullet"/>
      </w:pPr>
      <w:r w:rsidRPr="001F63F9">
        <w:t>A survey of developers will help reveal which steps of the approvals process are associated with the highest regulatory burden.</w:t>
      </w:r>
    </w:p>
    <w:p w14:paraId="7F8476CC" w14:textId="77777777" w:rsidR="00391BEE" w:rsidRPr="001F63F9" w:rsidRDefault="00391BEE" w:rsidP="00E11D04">
      <w:pPr>
        <w:pStyle w:val="ListBullet"/>
      </w:pPr>
      <w:r w:rsidRPr="001F63F9">
        <w:t xml:space="preserve">We invite feedback on this interim report via written submissions and brief comments. These can be submitted via our website until </w:t>
      </w:r>
      <w:r w:rsidRPr="004662CB">
        <w:t>30 September.</w:t>
      </w:r>
      <w:r w:rsidRPr="001F63F9">
        <w:t xml:space="preserve"> </w:t>
      </w:r>
    </w:p>
    <w:p w14:paraId="17CE653A" w14:textId="77777777" w:rsidR="00391BEE" w:rsidRDefault="00391BEE">
      <w:pPr>
        <w:pStyle w:val="BodyText"/>
      </w:pPr>
      <w:r>
        <w:t>Evidence provided to us by inquiry participants is critical to our analysis, research and recommendations. This inquiry provides an opportunity to have your voice heard in shaping a direction for Australia’s future housing supply.</w:t>
      </w:r>
      <w:r w:rsidRPr="00223FAE">
        <w:t xml:space="preserve"> </w:t>
      </w:r>
    </w:p>
    <w:p w14:paraId="640E11F3" w14:textId="77777777" w:rsidR="00391BEE" w:rsidRDefault="00391BEE">
      <w:pPr>
        <w:pStyle w:val="FigureTableHeading"/>
      </w:pPr>
      <w:r>
        <w:t>Figure 5.3 – Inquiry timelines</w:t>
      </w:r>
    </w:p>
    <w:p w14:paraId="0AD373BE" w14:textId="5307E830" w:rsidR="00391BEE" w:rsidRDefault="00AC7313" w:rsidP="00E11D04">
      <w:pPr>
        <w:pStyle w:val="BodyText"/>
      </w:pPr>
      <w:r w:rsidRPr="00AC7313">
        <w:rPr>
          <w:noProof/>
        </w:rPr>
        <w:drawing>
          <wp:inline distT="0" distB="0" distL="0" distR="0" wp14:anchorId="02E72837" wp14:editId="2955CD67">
            <wp:extent cx="6120130" cy="4342765"/>
            <wp:effectExtent l="0" t="0" r="0" b="635"/>
            <wp:docPr id="23008872" name="Picture 3" descr="This figure shows the timeline of the inquiry. It starts with the terms of reference and call for submissions released in May 2026. In July 2026 the interim report is released. In the second half of 2026 there will be further submissions, release of developer survey and consultations on our interim report. The final report will be provided to Government in March 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8872" name="Picture 3" descr="This figure shows the timeline of the inquiry. It starts with the terms of reference and call for submissions released in May 2026. In July 2026 the interim report is released. In the second half of 2026 there will be further submissions, release of developer survey and consultations on our interim report. The final report will be provided to Government in March 2027. "/>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0130" cy="4342765"/>
                    </a:xfrm>
                    <a:prstGeom prst="rect">
                      <a:avLst/>
                    </a:prstGeom>
                    <a:noFill/>
                    <a:ln>
                      <a:noFill/>
                    </a:ln>
                  </pic:spPr>
                </pic:pic>
              </a:graphicData>
            </a:graphic>
          </wp:inline>
        </w:drawing>
      </w:r>
    </w:p>
    <w:p w14:paraId="1F46F0E9" w14:textId="77777777" w:rsidR="00932739" w:rsidRPr="002C4A1C" w:rsidRDefault="00932739" w:rsidP="00E11D04">
      <w:pPr>
        <w:pStyle w:val="BodyText"/>
      </w:pPr>
    </w:p>
    <w:p w14:paraId="514B161E" w14:textId="77777777" w:rsidR="003A4F41" w:rsidRDefault="003A4F41" w:rsidP="00E11D04">
      <w:pPr>
        <w:pStyle w:val="BodyText"/>
        <w:sectPr w:rsidR="003A4F41" w:rsidSect="00391BEE">
          <w:headerReference w:type="even" r:id="rId94"/>
          <w:headerReference w:type="default" r:id="rId95"/>
          <w:footerReference w:type="even" r:id="rId96"/>
          <w:footerReference w:type="default" r:id="rId97"/>
          <w:headerReference w:type="first" r:id="rId98"/>
          <w:type w:val="oddPage"/>
          <w:pgSz w:w="11906" w:h="16838" w:code="9"/>
          <w:pgMar w:top="1134" w:right="1134" w:bottom="1134" w:left="1134" w:header="794" w:footer="510" w:gutter="0"/>
          <w:cols w:space="708"/>
          <w:docGrid w:linePitch="360"/>
        </w:sectPr>
      </w:pPr>
    </w:p>
    <w:p w14:paraId="47CD3192" w14:textId="77777777" w:rsidR="003A4F41" w:rsidRDefault="003A4F41">
      <w:pPr>
        <w:pStyle w:val="Heading-Appendix"/>
      </w:pPr>
      <w:bookmarkStart w:id="43" w:name="_Toc235103166"/>
      <w:r>
        <w:lastRenderedPageBreak/>
        <w:t>Public consultation</w:t>
      </w:r>
      <w:bookmarkEnd w:id="43"/>
    </w:p>
    <w:p w14:paraId="25F38C13" w14:textId="7B09B22F" w:rsidR="003A4F41" w:rsidRDefault="003A4F41">
      <w:pPr>
        <w:pStyle w:val="BodyText"/>
      </w:pPr>
      <w:r w:rsidRPr="003F55BD">
        <w:t>This appendix outlines the consultation process and lists the organisations and individuals who participated in the inquiry. The PC received the terms of reference for this inquiry on 28 May 2026. A call for submissions was released on 1 June 2026 inviting public submissions and brief comments. In total</w:t>
      </w:r>
      <w:r w:rsidRPr="00995FC2">
        <w:t xml:space="preserve">, 100 </w:t>
      </w:r>
      <w:r w:rsidRPr="003F55BD">
        <w:t xml:space="preserve">submissions (table A.1) and 14 brief comments were received. The submissions and brief comments are available at: </w:t>
      </w:r>
      <w:r w:rsidRPr="001A2AE3">
        <w:t>www.pc.gov.au/inquiries/current/housing-supply</w:t>
      </w:r>
      <w:r w:rsidRPr="003F55BD">
        <w:t xml:space="preserve">. </w:t>
      </w:r>
    </w:p>
    <w:p w14:paraId="0B518D2C" w14:textId="4BE7432C" w:rsidR="003A4F41" w:rsidRDefault="003A4F41">
      <w:pPr>
        <w:pStyle w:val="BodyText"/>
      </w:pPr>
      <w:r w:rsidRPr="003F55BD">
        <w:t xml:space="preserve">The PC consulted with </w:t>
      </w:r>
      <w:r w:rsidR="00FC6654">
        <w:t>40</w:t>
      </w:r>
      <w:r w:rsidRPr="003F55BD">
        <w:t xml:space="preserve"> individual</w:t>
      </w:r>
      <w:r>
        <w:t>s and</w:t>
      </w:r>
      <w:r w:rsidRPr="003F55BD">
        <w:t xml:space="preserve"> organisations (table A.2); and held roundtable discussions with </w:t>
      </w:r>
      <w:r>
        <w:t>20</w:t>
      </w:r>
      <w:r w:rsidRPr="003F55BD">
        <w:t xml:space="preserve"> individual organisations (table A.3). </w:t>
      </w:r>
      <w:r w:rsidRPr="008208DC">
        <w:t>The PC also consulted with several developers who provided case studies, who for reasons of commercial confidentiality we have agreed not to name</w:t>
      </w:r>
      <w:r w:rsidRPr="009E33AC">
        <w:t>.</w:t>
      </w:r>
      <w:r w:rsidRPr="008208DC">
        <w:t xml:space="preserve"> </w:t>
      </w:r>
      <w:r w:rsidRPr="003F55BD">
        <w:t>The PC would like to thank everyone who participated in this inquiry.</w:t>
      </w:r>
    </w:p>
    <w:p w14:paraId="52A18369" w14:textId="77777777" w:rsidR="003A4F41" w:rsidRDefault="003A4F41">
      <w:pPr>
        <w:pStyle w:val="FigureTableHeading"/>
      </w:pPr>
      <w:r>
        <w:t>Table A.1 – Submissions</w:t>
      </w:r>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8080"/>
        <w:gridCol w:w="1558"/>
      </w:tblGrid>
      <w:tr w:rsidR="003A4F41" w:rsidRPr="00D9163E" w14:paraId="29E69F11" w14:textId="77777777">
        <w:trPr>
          <w:tblHeader/>
        </w:trPr>
        <w:tc>
          <w:tcPr>
            <w:tcW w:w="4192" w:type="pct"/>
            <w:tcBorders>
              <w:bottom w:val="single" w:sz="4" w:space="0" w:color="B3B3B3"/>
            </w:tcBorders>
            <w:shd w:val="clear" w:color="000000" w:fill="auto"/>
            <w:vAlign w:val="bottom"/>
          </w:tcPr>
          <w:p w14:paraId="193B365A" w14:textId="77777777" w:rsidR="003A4F41" w:rsidRPr="00D9163E" w:rsidRDefault="003A4F41" w:rsidP="00DD0012">
            <w:pPr>
              <w:pStyle w:val="TableHeading"/>
              <w:spacing w:before="42" w:after="42"/>
              <w:rPr>
                <w:rFonts w:cs="Open Sans"/>
                <w:color w:val="1D4374"/>
              </w:rPr>
            </w:pPr>
            <w:r w:rsidRPr="009B06C3">
              <w:rPr>
                <w:rFonts w:cs="Open Sans"/>
                <w:color w:val="1D4374"/>
              </w:rPr>
              <w:t>Participants</w:t>
            </w:r>
          </w:p>
        </w:tc>
        <w:tc>
          <w:tcPr>
            <w:tcW w:w="808" w:type="pct"/>
            <w:tcBorders>
              <w:bottom w:val="single" w:sz="4" w:space="0" w:color="B3B3B3"/>
            </w:tcBorders>
            <w:shd w:val="clear" w:color="000000" w:fill="auto"/>
            <w:vAlign w:val="bottom"/>
          </w:tcPr>
          <w:p w14:paraId="0FA0E10E" w14:textId="77777777" w:rsidR="003A4F41" w:rsidRPr="00D9163E" w:rsidRDefault="003A4F41" w:rsidP="00DD0012">
            <w:pPr>
              <w:pStyle w:val="TableHeading"/>
              <w:spacing w:before="42" w:after="42"/>
              <w:jc w:val="right"/>
              <w:rPr>
                <w:rFonts w:cs="Open Sans"/>
                <w:color w:val="1D4374"/>
              </w:rPr>
            </w:pPr>
            <w:r w:rsidRPr="00D9163E">
              <w:rPr>
                <w:rFonts w:cs="Open Sans"/>
                <w:color w:val="1D4374"/>
              </w:rPr>
              <w:t>Sub no.</w:t>
            </w:r>
          </w:p>
        </w:tc>
      </w:tr>
      <w:tr w:rsidR="003A4F41" w:rsidRPr="006C6DFD" w14:paraId="1764559C" w14:textId="77777777">
        <w:tc>
          <w:tcPr>
            <w:tcW w:w="4192" w:type="pct"/>
            <w:tcBorders>
              <w:top w:val="single" w:sz="4" w:space="0" w:color="B3B3B3"/>
              <w:bottom w:val="nil"/>
            </w:tcBorders>
            <w:shd w:val="clear" w:color="000000" w:fill="E6E6E6"/>
          </w:tcPr>
          <w:p w14:paraId="0F7125DF" w14:textId="77777777" w:rsidR="003A4F41" w:rsidRPr="0095293A" w:rsidRDefault="003A4F41" w:rsidP="00DD0012">
            <w:pPr>
              <w:pStyle w:val="TableBody"/>
              <w:spacing w:before="42" w:after="42"/>
              <w:ind w:right="108"/>
              <w:rPr>
                <w:rFonts w:cs="Open Sans"/>
                <w:szCs w:val="22"/>
              </w:rPr>
            </w:pPr>
            <w:r w:rsidRPr="0095293A">
              <w:rPr>
                <w:rFonts w:cs="Open Sans"/>
                <w:szCs w:val="22"/>
              </w:rPr>
              <w:t xml:space="preserve">Aboriginal Housing Office, New South Wales </w:t>
            </w:r>
            <w:r w:rsidRPr="00EC384B">
              <w:rPr>
                <w:rFonts w:cs="Open Sans"/>
                <w:szCs w:val="22"/>
              </w:rPr>
              <w:t xml:space="preserve">(NSW) </w:t>
            </w:r>
            <w:r w:rsidRPr="0095293A">
              <w:rPr>
                <w:rFonts w:cs="Open Sans"/>
                <w:szCs w:val="22"/>
              </w:rPr>
              <w:t>Government*</w:t>
            </w:r>
          </w:p>
        </w:tc>
        <w:tc>
          <w:tcPr>
            <w:tcW w:w="808" w:type="pct"/>
            <w:tcBorders>
              <w:top w:val="single" w:sz="4" w:space="0" w:color="B3B3B3"/>
              <w:bottom w:val="nil"/>
            </w:tcBorders>
            <w:shd w:val="clear" w:color="000000" w:fill="E6E6E6"/>
          </w:tcPr>
          <w:p w14:paraId="02C69590" w14:textId="77777777" w:rsidR="003A4F41" w:rsidRPr="0095293A" w:rsidRDefault="003A4F41" w:rsidP="00DD0012">
            <w:pPr>
              <w:pStyle w:val="TableBody"/>
              <w:spacing w:before="42" w:after="42"/>
              <w:ind w:right="108"/>
              <w:jc w:val="right"/>
              <w:rPr>
                <w:rFonts w:cs="Open Sans"/>
                <w:szCs w:val="22"/>
              </w:rPr>
            </w:pPr>
            <w:r w:rsidRPr="0095293A">
              <w:rPr>
                <w:rFonts w:cs="Open Sans"/>
                <w:szCs w:val="22"/>
              </w:rPr>
              <w:t>100</w:t>
            </w:r>
          </w:p>
        </w:tc>
      </w:tr>
      <w:tr w:rsidR="003A4F41" w:rsidRPr="00D9163E" w14:paraId="4AA15BEF" w14:textId="77777777">
        <w:tc>
          <w:tcPr>
            <w:tcW w:w="4192" w:type="pct"/>
            <w:tcBorders>
              <w:top w:val="nil"/>
              <w:bottom w:val="nil"/>
            </w:tcBorders>
            <w:shd w:val="clear" w:color="000000" w:fill="auto"/>
          </w:tcPr>
          <w:p w14:paraId="7F350029" w14:textId="77777777" w:rsidR="003A4F41" w:rsidRPr="004567AB" w:rsidRDefault="003A4F41" w:rsidP="00DD0012">
            <w:pPr>
              <w:pStyle w:val="TableBody"/>
              <w:spacing w:before="42" w:after="42"/>
              <w:ind w:right="108"/>
              <w:rPr>
                <w:rFonts w:cs="Open Sans"/>
              </w:rPr>
            </w:pPr>
            <w:r w:rsidRPr="004567AB">
              <w:rPr>
                <w:rFonts w:cs="Open Sans"/>
                <w:szCs w:val="22"/>
              </w:rPr>
              <w:t>Abundant Housing Network Australia (AHNA)</w:t>
            </w:r>
          </w:p>
        </w:tc>
        <w:tc>
          <w:tcPr>
            <w:tcW w:w="808" w:type="pct"/>
            <w:tcBorders>
              <w:top w:val="nil"/>
              <w:bottom w:val="nil"/>
            </w:tcBorders>
            <w:shd w:val="clear" w:color="000000" w:fill="auto"/>
          </w:tcPr>
          <w:p w14:paraId="2F542878" w14:textId="77777777" w:rsidR="003A4F41" w:rsidRPr="002C71A6" w:rsidRDefault="003A4F41" w:rsidP="00DD0012">
            <w:pPr>
              <w:pStyle w:val="TableBody"/>
              <w:spacing w:before="42" w:after="42"/>
              <w:ind w:right="108"/>
              <w:jc w:val="right"/>
              <w:rPr>
                <w:rFonts w:cs="Open Sans"/>
              </w:rPr>
            </w:pPr>
            <w:r w:rsidRPr="002C71A6">
              <w:rPr>
                <w:rFonts w:cs="Open Sans"/>
                <w:szCs w:val="22"/>
              </w:rPr>
              <w:t>75</w:t>
            </w:r>
          </w:p>
        </w:tc>
      </w:tr>
      <w:tr w:rsidR="003A4F41" w:rsidRPr="00D9163E" w14:paraId="50D982B6" w14:textId="77777777">
        <w:tc>
          <w:tcPr>
            <w:tcW w:w="4192" w:type="pct"/>
            <w:tcBorders>
              <w:bottom w:val="nil"/>
            </w:tcBorders>
            <w:shd w:val="clear" w:color="000000" w:fill="E6E6E6"/>
          </w:tcPr>
          <w:p w14:paraId="2B50BF96" w14:textId="77777777" w:rsidR="003A4F41" w:rsidRPr="004567AB" w:rsidRDefault="003A4F41" w:rsidP="00DD0012">
            <w:pPr>
              <w:pStyle w:val="TableBody"/>
              <w:spacing w:before="42" w:after="42"/>
              <w:ind w:right="108"/>
              <w:rPr>
                <w:rFonts w:cs="Open Sans"/>
              </w:rPr>
            </w:pPr>
            <w:r w:rsidRPr="004567AB">
              <w:rPr>
                <w:rFonts w:cs="Open Sans"/>
                <w:szCs w:val="22"/>
              </w:rPr>
              <w:t>AMPLIFY</w:t>
            </w:r>
          </w:p>
        </w:tc>
        <w:tc>
          <w:tcPr>
            <w:tcW w:w="808" w:type="pct"/>
            <w:tcBorders>
              <w:bottom w:val="nil"/>
            </w:tcBorders>
            <w:shd w:val="clear" w:color="000000" w:fill="E6E6E6"/>
          </w:tcPr>
          <w:p w14:paraId="53D29636" w14:textId="77777777" w:rsidR="003A4F41" w:rsidRPr="002C71A6" w:rsidRDefault="003A4F41" w:rsidP="00DD0012">
            <w:pPr>
              <w:pStyle w:val="TableBody"/>
              <w:spacing w:before="42" w:after="42"/>
              <w:ind w:right="108"/>
              <w:jc w:val="right"/>
              <w:rPr>
                <w:rFonts w:cs="Open Sans"/>
              </w:rPr>
            </w:pPr>
            <w:r w:rsidRPr="002C71A6">
              <w:rPr>
                <w:rFonts w:cs="Open Sans"/>
                <w:szCs w:val="22"/>
              </w:rPr>
              <w:t>42</w:t>
            </w:r>
          </w:p>
        </w:tc>
      </w:tr>
      <w:tr w:rsidR="003A4F41" w:rsidRPr="00D9163E" w14:paraId="728B54FE" w14:textId="77777777">
        <w:tc>
          <w:tcPr>
            <w:tcW w:w="4192" w:type="pct"/>
            <w:tcBorders>
              <w:top w:val="nil"/>
              <w:bottom w:val="nil"/>
            </w:tcBorders>
            <w:shd w:val="clear" w:color="000000" w:fill="auto"/>
          </w:tcPr>
          <w:p w14:paraId="43786BF0" w14:textId="77777777" w:rsidR="003A4F41" w:rsidRPr="004567AB" w:rsidRDefault="003A4F41" w:rsidP="00DD0012">
            <w:pPr>
              <w:pStyle w:val="TableBody"/>
              <w:spacing w:before="42" w:after="42"/>
              <w:ind w:right="108"/>
              <w:rPr>
                <w:rFonts w:cs="Open Sans"/>
              </w:rPr>
            </w:pPr>
            <w:r w:rsidRPr="004567AB">
              <w:rPr>
                <w:rFonts w:cs="Open Sans"/>
                <w:szCs w:val="22"/>
              </w:rPr>
              <w:t>Anglicare Sydney</w:t>
            </w:r>
          </w:p>
        </w:tc>
        <w:tc>
          <w:tcPr>
            <w:tcW w:w="808" w:type="pct"/>
            <w:tcBorders>
              <w:top w:val="nil"/>
              <w:bottom w:val="nil"/>
            </w:tcBorders>
            <w:shd w:val="clear" w:color="000000" w:fill="auto"/>
          </w:tcPr>
          <w:p w14:paraId="7DD1BEA2" w14:textId="77777777" w:rsidR="003A4F41" w:rsidRPr="002C71A6" w:rsidRDefault="003A4F41" w:rsidP="00DD0012">
            <w:pPr>
              <w:pStyle w:val="TableBody"/>
              <w:spacing w:before="42" w:after="42"/>
              <w:ind w:right="108"/>
              <w:jc w:val="right"/>
              <w:rPr>
                <w:rFonts w:cs="Open Sans"/>
              </w:rPr>
            </w:pPr>
            <w:r w:rsidRPr="002C71A6">
              <w:rPr>
                <w:rFonts w:cs="Open Sans"/>
                <w:szCs w:val="22"/>
              </w:rPr>
              <w:t>50</w:t>
            </w:r>
          </w:p>
        </w:tc>
      </w:tr>
      <w:tr w:rsidR="003A4F41" w:rsidRPr="000873C6" w14:paraId="5D852C20" w14:textId="77777777">
        <w:tc>
          <w:tcPr>
            <w:tcW w:w="4192" w:type="pct"/>
            <w:tcBorders>
              <w:bottom w:val="nil"/>
            </w:tcBorders>
            <w:shd w:val="clear" w:color="000000" w:fill="E6E6E6"/>
          </w:tcPr>
          <w:p w14:paraId="6648961F" w14:textId="77777777" w:rsidR="003A4F41" w:rsidRPr="00EC384B" w:rsidRDefault="003A4F41" w:rsidP="00DD0012">
            <w:pPr>
              <w:pStyle w:val="TableBody"/>
              <w:spacing w:before="42" w:after="42"/>
              <w:ind w:right="108"/>
              <w:rPr>
                <w:rFonts w:cs="Open Sans"/>
                <w:szCs w:val="22"/>
              </w:rPr>
            </w:pPr>
            <w:r w:rsidRPr="00EC384B">
              <w:rPr>
                <w:rFonts w:cs="Open Sans"/>
                <w:szCs w:val="22"/>
              </w:rPr>
              <w:t>Archistar.ai*</w:t>
            </w:r>
          </w:p>
        </w:tc>
        <w:tc>
          <w:tcPr>
            <w:tcW w:w="808" w:type="pct"/>
            <w:tcBorders>
              <w:bottom w:val="nil"/>
            </w:tcBorders>
            <w:shd w:val="clear" w:color="000000" w:fill="E6E6E6"/>
          </w:tcPr>
          <w:p w14:paraId="09B41B3A" w14:textId="77777777" w:rsidR="003A4F41" w:rsidRPr="00EC384B" w:rsidRDefault="003A4F41" w:rsidP="00DD0012">
            <w:pPr>
              <w:pStyle w:val="TableBody"/>
              <w:spacing w:before="42" w:after="42"/>
              <w:ind w:right="108"/>
              <w:jc w:val="right"/>
              <w:rPr>
                <w:rFonts w:cs="Open Sans"/>
                <w:szCs w:val="22"/>
              </w:rPr>
            </w:pPr>
            <w:r w:rsidRPr="00EC384B">
              <w:rPr>
                <w:rFonts w:cs="Open Sans"/>
                <w:szCs w:val="22"/>
              </w:rPr>
              <w:t>97</w:t>
            </w:r>
          </w:p>
        </w:tc>
      </w:tr>
      <w:tr w:rsidR="003A4F41" w:rsidRPr="00D9163E" w14:paraId="7FED9942" w14:textId="77777777">
        <w:tc>
          <w:tcPr>
            <w:tcW w:w="4192" w:type="pct"/>
            <w:tcBorders>
              <w:top w:val="nil"/>
              <w:bottom w:val="nil"/>
            </w:tcBorders>
            <w:shd w:val="clear" w:color="000000" w:fill="auto"/>
          </w:tcPr>
          <w:p w14:paraId="58FAC055" w14:textId="77777777" w:rsidR="003A4F41" w:rsidRPr="004567AB" w:rsidRDefault="003A4F41" w:rsidP="00DD0012">
            <w:pPr>
              <w:pStyle w:val="TableBody"/>
              <w:spacing w:before="42" w:after="42"/>
              <w:ind w:right="108"/>
              <w:rPr>
                <w:rFonts w:cs="Open Sans"/>
              </w:rPr>
            </w:pPr>
            <w:r w:rsidRPr="004567AB">
              <w:rPr>
                <w:rFonts w:cs="Open Sans"/>
                <w:szCs w:val="22"/>
              </w:rPr>
              <w:t>Association of Rooftop and Airspace Development (ARAD)</w:t>
            </w:r>
          </w:p>
        </w:tc>
        <w:tc>
          <w:tcPr>
            <w:tcW w:w="808" w:type="pct"/>
            <w:tcBorders>
              <w:top w:val="nil"/>
              <w:bottom w:val="nil"/>
            </w:tcBorders>
            <w:shd w:val="clear" w:color="000000" w:fill="auto"/>
          </w:tcPr>
          <w:p w14:paraId="26B16E9F" w14:textId="77777777" w:rsidR="003A4F41" w:rsidRPr="002C71A6" w:rsidRDefault="003A4F41" w:rsidP="00DD0012">
            <w:pPr>
              <w:pStyle w:val="TableBody"/>
              <w:spacing w:before="42" w:after="42"/>
              <w:ind w:right="108"/>
              <w:jc w:val="right"/>
              <w:rPr>
                <w:rFonts w:cs="Open Sans"/>
              </w:rPr>
            </w:pPr>
            <w:r w:rsidRPr="002C71A6">
              <w:rPr>
                <w:rFonts w:cs="Open Sans"/>
                <w:szCs w:val="22"/>
              </w:rPr>
              <w:t>59</w:t>
            </w:r>
          </w:p>
        </w:tc>
      </w:tr>
      <w:tr w:rsidR="003A4F41" w:rsidRPr="00D9163E" w14:paraId="466C81A0" w14:textId="77777777">
        <w:tc>
          <w:tcPr>
            <w:tcW w:w="4192" w:type="pct"/>
            <w:tcBorders>
              <w:bottom w:val="nil"/>
            </w:tcBorders>
            <w:shd w:val="clear" w:color="000000" w:fill="E6E6E6"/>
          </w:tcPr>
          <w:p w14:paraId="591D6E77" w14:textId="77777777" w:rsidR="003A4F41" w:rsidRPr="004567AB" w:rsidRDefault="003A4F41" w:rsidP="00DD0012">
            <w:pPr>
              <w:pStyle w:val="TableBody"/>
              <w:spacing w:before="42" w:after="42"/>
              <w:ind w:right="108"/>
              <w:rPr>
                <w:rFonts w:cs="Open Sans"/>
              </w:rPr>
            </w:pPr>
            <w:r w:rsidRPr="004567AB">
              <w:rPr>
                <w:rFonts w:cs="Open Sans"/>
                <w:szCs w:val="22"/>
              </w:rPr>
              <w:t>Australasian Railway Association (ARA)</w:t>
            </w:r>
          </w:p>
        </w:tc>
        <w:tc>
          <w:tcPr>
            <w:tcW w:w="808" w:type="pct"/>
            <w:tcBorders>
              <w:bottom w:val="nil"/>
            </w:tcBorders>
            <w:shd w:val="clear" w:color="000000" w:fill="E6E6E6"/>
          </w:tcPr>
          <w:p w14:paraId="59239DE0" w14:textId="77777777" w:rsidR="003A4F41" w:rsidRPr="002C71A6" w:rsidRDefault="003A4F41" w:rsidP="00DD0012">
            <w:pPr>
              <w:pStyle w:val="TableBody"/>
              <w:spacing w:before="42" w:after="42"/>
              <w:ind w:right="108"/>
              <w:jc w:val="right"/>
              <w:rPr>
                <w:rFonts w:cs="Open Sans"/>
              </w:rPr>
            </w:pPr>
            <w:r w:rsidRPr="002C71A6">
              <w:rPr>
                <w:rFonts w:cs="Open Sans"/>
                <w:szCs w:val="22"/>
              </w:rPr>
              <w:t>11</w:t>
            </w:r>
          </w:p>
        </w:tc>
      </w:tr>
      <w:tr w:rsidR="003A4F41" w:rsidRPr="00D9163E" w14:paraId="1CC78CF9" w14:textId="77777777">
        <w:tc>
          <w:tcPr>
            <w:tcW w:w="4192" w:type="pct"/>
            <w:tcBorders>
              <w:top w:val="nil"/>
              <w:bottom w:val="nil"/>
            </w:tcBorders>
            <w:shd w:val="clear" w:color="000000" w:fill="auto"/>
          </w:tcPr>
          <w:p w14:paraId="4BB5BC81" w14:textId="77777777" w:rsidR="003A4F41" w:rsidRPr="004567AB" w:rsidRDefault="003A4F41" w:rsidP="00DD0012">
            <w:pPr>
              <w:pStyle w:val="TableBody"/>
              <w:spacing w:before="42" w:after="42"/>
              <w:ind w:right="108"/>
              <w:rPr>
                <w:rFonts w:cs="Open Sans"/>
              </w:rPr>
            </w:pPr>
            <w:r w:rsidRPr="004567AB">
              <w:rPr>
                <w:rFonts w:cs="Open Sans"/>
                <w:szCs w:val="22"/>
              </w:rPr>
              <w:t>Australian Community Housing (ACH)</w:t>
            </w:r>
          </w:p>
        </w:tc>
        <w:tc>
          <w:tcPr>
            <w:tcW w:w="808" w:type="pct"/>
            <w:tcBorders>
              <w:top w:val="nil"/>
              <w:bottom w:val="nil"/>
            </w:tcBorders>
            <w:shd w:val="clear" w:color="000000" w:fill="auto"/>
          </w:tcPr>
          <w:p w14:paraId="160D717D" w14:textId="77777777" w:rsidR="003A4F41" w:rsidRPr="002C71A6" w:rsidRDefault="003A4F41" w:rsidP="00DD0012">
            <w:pPr>
              <w:pStyle w:val="TableBody"/>
              <w:spacing w:before="42" w:after="42"/>
              <w:ind w:right="108"/>
              <w:jc w:val="right"/>
              <w:rPr>
                <w:rFonts w:cs="Open Sans"/>
              </w:rPr>
            </w:pPr>
            <w:r w:rsidRPr="002C71A6">
              <w:rPr>
                <w:rFonts w:cs="Open Sans"/>
                <w:szCs w:val="22"/>
              </w:rPr>
              <w:t>37</w:t>
            </w:r>
          </w:p>
        </w:tc>
      </w:tr>
      <w:tr w:rsidR="003A4F41" w:rsidRPr="00D9163E" w14:paraId="6EEC6D43" w14:textId="77777777">
        <w:tc>
          <w:tcPr>
            <w:tcW w:w="4192" w:type="pct"/>
            <w:tcBorders>
              <w:bottom w:val="nil"/>
            </w:tcBorders>
            <w:shd w:val="clear" w:color="000000" w:fill="E6E6E6"/>
          </w:tcPr>
          <w:p w14:paraId="2E77E7A7" w14:textId="77777777" w:rsidR="003A4F41" w:rsidRPr="004567AB" w:rsidRDefault="003A4F41" w:rsidP="00DD0012">
            <w:pPr>
              <w:pStyle w:val="TableBody"/>
              <w:spacing w:before="42" w:after="42"/>
              <w:ind w:right="108"/>
              <w:rPr>
                <w:rFonts w:cs="Open Sans"/>
              </w:rPr>
            </w:pPr>
            <w:r w:rsidRPr="004567AB">
              <w:rPr>
                <w:rFonts w:cs="Open Sans"/>
                <w:szCs w:val="22"/>
              </w:rPr>
              <w:t>Australian Eco-Living Organisations Network (AEON)</w:t>
            </w:r>
          </w:p>
        </w:tc>
        <w:tc>
          <w:tcPr>
            <w:tcW w:w="808" w:type="pct"/>
            <w:tcBorders>
              <w:bottom w:val="nil"/>
            </w:tcBorders>
            <w:shd w:val="clear" w:color="000000" w:fill="E6E6E6"/>
          </w:tcPr>
          <w:p w14:paraId="48FEB82D" w14:textId="77777777" w:rsidR="003A4F41" w:rsidRPr="002C71A6" w:rsidRDefault="003A4F41" w:rsidP="00DD0012">
            <w:pPr>
              <w:pStyle w:val="TableBody"/>
              <w:spacing w:before="42" w:after="42"/>
              <w:ind w:right="108"/>
              <w:jc w:val="right"/>
              <w:rPr>
                <w:rFonts w:cs="Open Sans"/>
              </w:rPr>
            </w:pPr>
            <w:r w:rsidRPr="002C71A6">
              <w:rPr>
                <w:rFonts w:cs="Open Sans"/>
                <w:szCs w:val="22"/>
              </w:rPr>
              <w:t>35</w:t>
            </w:r>
          </w:p>
        </w:tc>
      </w:tr>
      <w:tr w:rsidR="003A4F41" w:rsidRPr="00D9163E" w14:paraId="6F639493" w14:textId="77777777">
        <w:tc>
          <w:tcPr>
            <w:tcW w:w="4192" w:type="pct"/>
            <w:tcBorders>
              <w:top w:val="nil"/>
              <w:bottom w:val="nil"/>
            </w:tcBorders>
            <w:shd w:val="clear" w:color="000000" w:fill="auto"/>
          </w:tcPr>
          <w:p w14:paraId="7F289826" w14:textId="77777777" w:rsidR="003A4F41" w:rsidRPr="004567AB" w:rsidRDefault="003A4F41" w:rsidP="00DD0012">
            <w:pPr>
              <w:pStyle w:val="TableBody"/>
              <w:spacing w:before="42" w:after="42"/>
              <w:ind w:right="108"/>
              <w:rPr>
                <w:rFonts w:cs="Open Sans"/>
              </w:rPr>
            </w:pPr>
            <w:r w:rsidRPr="004567AB">
              <w:rPr>
                <w:rFonts w:cs="Open Sans"/>
                <w:szCs w:val="22"/>
              </w:rPr>
              <w:t>Australian Institute of Building Surveyors (AIBS)</w:t>
            </w:r>
          </w:p>
        </w:tc>
        <w:tc>
          <w:tcPr>
            <w:tcW w:w="808" w:type="pct"/>
            <w:tcBorders>
              <w:top w:val="nil"/>
              <w:bottom w:val="nil"/>
            </w:tcBorders>
            <w:shd w:val="clear" w:color="000000" w:fill="auto"/>
          </w:tcPr>
          <w:p w14:paraId="5361F0E6" w14:textId="77777777" w:rsidR="003A4F41" w:rsidRPr="002C71A6" w:rsidRDefault="003A4F41" w:rsidP="00DD0012">
            <w:pPr>
              <w:pStyle w:val="TableBody"/>
              <w:spacing w:before="42" w:after="42"/>
              <w:ind w:right="108"/>
              <w:jc w:val="right"/>
              <w:rPr>
                <w:rFonts w:cs="Open Sans"/>
              </w:rPr>
            </w:pPr>
            <w:r w:rsidRPr="002C71A6">
              <w:rPr>
                <w:rFonts w:cs="Open Sans"/>
                <w:szCs w:val="22"/>
              </w:rPr>
              <w:t>72</w:t>
            </w:r>
          </w:p>
        </w:tc>
      </w:tr>
      <w:tr w:rsidR="003A4F41" w:rsidRPr="00D9163E" w14:paraId="6ECA9E38" w14:textId="77777777">
        <w:tc>
          <w:tcPr>
            <w:tcW w:w="4192" w:type="pct"/>
            <w:tcBorders>
              <w:bottom w:val="nil"/>
            </w:tcBorders>
            <w:shd w:val="clear" w:color="000000" w:fill="E6E6E6"/>
          </w:tcPr>
          <w:p w14:paraId="5A47B041" w14:textId="77777777" w:rsidR="003A4F41" w:rsidRPr="004567AB" w:rsidRDefault="003A4F41" w:rsidP="00DD0012">
            <w:pPr>
              <w:pStyle w:val="TableBody"/>
              <w:spacing w:before="42" w:after="42"/>
              <w:ind w:right="108"/>
              <w:rPr>
                <w:rFonts w:cs="Open Sans"/>
              </w:rPr>
            </w:pPr>
            <w:r w:rsidRPr="004567AB">
              <w:rPr>
                <w:rFonts w:cs="Open Sans"/>
                <w:szCs w:val="22"/>
              </w:rPr>
              <w:t>Australian Local Government Association (ALGA)</w:t>
            </w:r>
          </w:p>
        </w:tc>
        <w:tc>
          <w:tcPr>
            <w:tcW w:w="808" w:type="pct"/>
            <w:tcBorders>
              <w:bottom w:val="nil"/>
            </w:tcBorders>
            <w:shd w:val="clear" w:color="000000" w:fill="E6E6E6"/>
          </w:tcPr>
          <w:p w14:paraId="0B419A56" w14:textId="77777777" w:rsidR="003A4F41" w:rsidRPr="002C71A6" w:rsidRDefault="003A4F41" w:rsidP="00DD0012">
            <w:pPr>
              <w:pStyle w:val="TableBody"/>
              <w:spacing w:before="42" w:after="42"/>
              <w:ind w:right="108"/>
              <w:jc w:val="right"/>
              <w:rPr>
                <w:rFonts w:cs="Open Sans"/>
              </w:rPr>
            </w:pPr>
            <w:r w:rsidRPr="002C71A6">
              <w:rPr>
                <w:rFonts w:cs="Open Sans"/>
                <w:szCs w:val="22"/>
              </w:rPr>
              <w:t>8</w:t>
            </w:r>
          </w:p>
        </w:tc>
      </w:tr>
      <w:tr w:rsidR="003A4F41" w:rsidRPr="00D9163E" w14:paraId="3D2A7155" w14:textId="77777777">
        <w:tc>
          <w:tcPr>
            <w:tcW w:w="4192" w:type="pct"/>
            <w:tcBorders>
              <w:top w:val="nil"/>
              <w:bottom w:val="nil"/>
            </w:tcBorders>
            <w:shd w:val="clear" w:color="000000" w:fill="auto"/>
          </w:tcPr>
          <w:p w14:paraId="6E24C766" w14:textId="77777777" w:rsidR="003A4F41" w:rsidRPr="004567AB" w:rsidRDefault="003A4F41" w:rsidP="00DD0012">
            <w:pPr>
              <w:pStyle w:val="TableBody"/>
              <w:spacing w:before="42" w:after="42"/>
              <w:ind w:right="108"/>
              <w:rPr>
                <w:rFonts w:cs="Open Sans"/>
              </w:rPr>
            </w:pPr>
            <w:r w:rsidRPr="004567AB">
              <w:rPr>
                <w:rFonts w:cs="Open Sans"/>
                <w:szCs w:val="22"/>
              </w:rPr>
              <w:t>Australian Sustainable Built Environment Council (ASBEC)</w:t>
            </w:r>
          </w:p>
        </w:tc>
        <w:tc>
          <w:tcPr>
            <w:tcW w:w="808" w:type="pct"/>
            <w:tcBorders>
              <w:top w:val="nil"/>
              <w:bottom w:val="nil"/>
            </w:tcBorders>
            <w:shd w:val="clear" w:color="000000" w:fill="auto"/>
          </w:tcPr>
          <w:p w14:paraId="1402740A" w14:textId="77777777" w:rsidR="003A4F41" w:rsidRPr="002C71A6" w:rsidRDefault="003A4F41" w:rsidP="00DD0012">
            <w:pPr>
              <w:pStyle w:val="TableBody"/>
              <w:spacing w:before="42" w:after="42"/>
              <w:ind w:right="108"/>
              <w:jc w:val="right"/>
              <w:rPr>
                <w:rFonts w:cs="Open Sans"/>
              </w:rPr>
            </w:pPr>
            <w:r w:rsidRPr="002C71A6">
              <w:rPr>
                <w:rFonts w:cs="Open Sans"/>
                <w:szCs w:val="22"/>
              </w:rPr>
              <w:t>21</w:t>
            </w:r>
          </w:p>
        </w:tc>
      </w:tr>
      <w:tr w:rsidR="003A4F41" w:rsidRPr="00D9163E" w14:paraId="3A78761E" w14:textId="77777777">
        <w:tc>
          <w:tcPr>
            <w:tcW w:w="4192" w:type="pct"/>
            <w:tcBorders>
              <w:bottom w:val="nil"/>
            </w:tcBorders>
            <w:shd w:val="clear" w:color="000000" w:fill="E6E6E6"/>
          </w:tcPr>
          <w:p w14:paraId="204AB195" w14:textId="77777777" w:rsidR="003A4F41" w:rsidRPr="004567AB" w:rsidRDefault="003A4F41" w:rsidP="00DD0012">
            <w:pPr>
              <w:pStyle w:val="TableBody"/>
              <w:spacing w:before="42" w:after="42"/>
              <w:ind w:right="108"/>
              <w:rPr>
                <w:rFonts w:cs="Open Sans"/>
              </w:rPr>
            </w:pPr>
            <w:r w:rsidRPr="004567AB">
              <w:rPr>
                <w:rFonts w:cs="Open Sans"/>
                <w:szCs w:val="22"/>
              </w:rPr>
              <w:t>Australian Tiny House Association (ATHA)</w:t>
            </w:r>
          </w:p>
        </w:tc>
        <w:tc>
          <w:tcPr>
            <w:tcW w:w="808" w:type="pct"/>
            <w:tcBorders>
              <w:bottom w:val="nil"/>
            </w:tcBorders>
            <w:shd w:val="clear" w:color="000000" w:fill="E6E6E6"/>
          </w:tcPr>
          <w:p w14:paraId="6C8B6397" w14:textId="77777777" w:rsidR="003A4F41" w:rsidRPr="002C71A6" w:rsidRDefault="003A4F41" w:rsidP="00DD0012">
            <w:pPr>
              <w:pStyle w:val="TableBody"/>
              <w:spacing w:before="42" w:after="42"/>
              <w:ind w:right="108"/>
              <w:jc w:val="right"/>
              <w:rPr>
                <w:rFonts w:cs="Open Sans"/>
              </w:rPr>
            </w:pPr>
            <w:r w:rsidRPr="002C71A6">
              <w:rPr>
                <w:rFonts w:cs="Open Sans"/>
                <w:szCs w:val="22"/>
              </w:rPr>
              <w:t>51</w:t>
            </w:r>
          </w:p>
        </w:tc>
      </w:tr>
      <w:tr w:rsidR="003A4F41" w:rsidRPr="00D9163E" w14:paraId="4033D3D2" w14:textId="77777777">
        <w:tc>
          <w:tcPr>
            <w:tcW w:w="4192" w:type="pct"/>
            <w:tcBorders>
              <w:top w:val="nil"/>
              <w:bottom w:val="nil"/>
            </w:tcBorders>
            <w:shd w:val="clear" w:color="000000" w:fill="auto"/>
          </w:tcPr>
          <w:p w14:paraId="3A5823DB" w14:textId="77777777" w:rsidR="003A4F41" w:rsidRPr="004567AB" w:rsidRDefault="003A4F41" w:rsidP="00DD0012">
            <w:pPr>
              <w:pStyle w:val="TableBody"/>
              <w:spacing w:before="42" w:after="42"/>
              <w:ind w:right="108"/>
              <w:rPr>
                <w:rFonts w:cs="Open Sans"/>
              </w:rPr>
            </w:pPr>
            <w:r w:rsidRPr="004567AB">
              <w:rPr>
                <w:rFonts w:cs="Open Sans"/>
                <w:szCs w:val="22"/>
              </w:rPr>
              <w:t xml:space="preserve">Better Planning Network Incorporated </w:t>
            </w:r>
          </w:p>
        </w:tc>
        <w:tc>
          <w:tcPr>
            <w:tcW w:w="808" w:type="pct"/>
            <w:tcBorders>
              <w:top w:val="nil"/>
              <w:bottom w:val="nil"/>
            </w:tcBorders>
            <w:shd w:val="clear" w:color="000000" w:fill="auto"/>
          </w:tcPr>
          <w:p w14:paraId="626462EC" w14:textId="77777777" w:rsidR="003A4F41" w:rsidRPr="002C71A6" w:rsidRDefault="003A4F41" w:rsidP="00DD0012">
            <w:pPr>
              <w:pStyle w:val="TableBody"/>
              <w:spacing w:before="42" w:after="42"/>
              <w:ind w:right="108"/>
              <w:jc w:val="right"/>
              <w:rPr>
                <w:rFonts w:cs="Open Sans"/>
              </w:rPr>
            </w:pPr>
            <w:r w:rsidRPr="002C71A6">
              <w:rPr>
                <w:rFonts w:cs="Open Sans"/>
                <w:szCs w:val="22"/>
              </w:rPr>
              <w:t>32</w:t>
            </w:r>
          </w:p>
        </w:tc>
      </w:tr>
      <w:tr w:rsidR="003A4F41" w:rsidRPr="00D9163E" w14:paraId="1605918F" w14:textId="77777777">
        <w:tc>
          <w:tcPr>
            <w:tcW w:w="4192" w:type="pct"/>
            <w:tcBorders>
              <w:bottom w:val="nil"/>
            </w:tcBorders>
            <w:shd w:val="clear" w:color="000000" w:fill="E6E6E6"/>
          </w:tcPr>
          <w:p w14:paraId="1F520232" w14:textId="77777777" w:rsidR="003A4F41" w:rsidRPr="004567AB" w:rsidRDefault="003A4F41" w:rsidP="00DD0012">
            <w:pPr>
              <w:pStyle w:val="TableBody"/>
              <w:spacing w:before="42" w:after="42"/>
              <w:ind w:right="108"/>
              <w:rPr>
                <w:rFonts w:cs="Open Sans"/>
              </w:rPr>
            </w:pPr>
            <w:r w:rsidRPr="004567AB">
              <w:rPr>
                <w:rFonts w:cs="Open Sans"/>
                <w:szCs w:val="22"/>
              </w:rPr>
              <w:t>Bundaberg Regional Council</w:t>
            </w:r>
          </w:p>
        </w:tc>
        <w:tc>
          <w:tcPr>
            <w:tcW w:w="808" w:type="pct"/>
            <w:tcBorders>
              <w:bottom w:val="nil"/>
            </w:tcBorders>
            <w:shd w:val="clear" w:color="000000" w:fill="E6E6E6"/>
          </w:tcPr>
          <w:p w14:paraId="282B0903" w14:textId="77777777" w:rsidR="003A4F41" w:rsidRPr="002C71A6" w:rsidRDefault="003A4F41" w:rsidP="00DD0012">
            <w:pPr>
              <w:pStyle w:val="TableBody"/>
              <w:spacing w:before="42" w:after="42"/>
              <w:ind w:right="108"/>
              <w:jc w:val="right"/>
              <w:rPr>
                <w:rFonts w:cs="Open Sans"/>
              </w:rPr>
            </w:pPr>
            <w:r w:rsidRPr="002C71A6">
              <w:rPr>
                <w:rFonts w:cs="Open Sans"/>
                <w:szCs w:val="22"/>
              </w:rPr>
              <w:t>76</w:t>
            </w:r>
          </w:p>
        </w:tc>
      </w:tr>
      <w:tr w:rsidR="003A4F41" w:rsidRPr="00D9163E" w14:paraId="7CF7743B" w14:textId="77777777">
        <w:tc>
          <w:tcPr>
            <w:tcW w:w="4192" w:type="pct"/>
            <w:tcBorders>
              <w:top w:val="nil"/>
              <w:bottom w:val="nil"/>
            </w:tcBorders>
            <w:shd w:val="clear" w:color="000000" w:fill="auto"/>
          </w:tcPr>
          <w:p w14:paraId="6EADC9C7" w14:textId="77777777" w:rsidR="003A4F41" w:rsidRPr="004567AB" w:rsidRDefault="003A4F41" w:rsidP="00DD0012">
            <w:pPr>
              <w:pStyle w:val="TableBody"/>
              <w:spacing w:before="42" w:after="42"/>
              <w:ind w:right="108"/>
              <w:rPr>
                <w:rFonts w:cs="Open Sans"/>
              </w:rPr>
            </w:pPr>
            <w:r w:rsidRPr="004567AB">
              <w:rPr>
                <w:rFonts w:cs="Open Sans"/>
                <w:szCs w:val="22"/>
              </w:rPr>
              <w:t>Business Council of Australia (BCA)</w:t>
            </w:r>
          </w:p>
        </w:tc>
        <w:tc>
          <w:tcPr>
            <w:tcW w:w="808" w:type="pct"/>
            <w:tcBorders>
              <w:top w:val="nil"/>
              <w:bottom w:val="nil"/>
            </w:tcBorders>
            <w:shd w:val="clear" w:color="000000" w:fill="auto"/>
          </w:tcPr>
          <w:p w14:paraId="1C22C54A" w14:textId="77777777" w:rsidR="003A4F41" w:rsidRPr="002C71A6" w:rsidRDefault="003A4F41" w:rsidP="00DD0012">
            <w:pPr>
              <w:pStyle w:val="TableBody"/>
              <w:spacing w:before="42" w:after="42"/>
              <w:ind w:right="108"/>
              <w:jc w:val="right"/>
              <w:rPr>
                <w:rFonts w:cs="Open Sans"/>
              </w:rPr>
            </w:pPr>
            <w:r w:rsidRPr="002C71A6">
              <w:rPr>
                <w:rFonts w:cs="Open Sans"/>
                <w:szCs w:val="22"/>
              </w:rPr>
              <w:t>71</w:t>
            </w:r>
          </w:p>
        </w:tc>
      </w:tr>
      <w:tr w:rsidR="003A4F41" w:rsidRPr="00D9163E" w14:paraId="6A33A774" w14:textId="77777777">
        <w:tc>
          <w:tcPr>
            <w:tcW w:w="4192" w:type="pct"/>
            <w:tcBorders>
              <w:bottom w:val="nil"/>
            </w:tcBorders>
            <w:shd w:val="clear" w:color="000000" w:fill="E6E6E6"/>
          </w:tcPr>
          <w:p w14:paraId="3C32FF28" w14:textId="77777777" w:rsidR="003A4F41" w:rsidRPr="004567AB" w:rsidRDefault="003A4F41" w:rsidP="00DD0012">
            <w:pPr>
              <w:pStyle w:val="TableBody"/>
              <w:spacing w:before="42" w:after="42"/>
              <w:ind w:right="108"/>
              <w:rPr>
                <w:rFonts w:cs="Open Sans"/>
              </w:rPr>
            </w:pPr>
            <w:r w:rsidRPr="004567AB">
              <w:rPr>
                <w:rFonts w:cs="Open Sans"/>
                <w:szCs w:val="22"/>
              </w:rPr>
              <w:t>Caravan Industry Association of Australia (CIAA)</w:t>
            </w:r>
          </w:p>
        </w:tc>
        <w:tc>
          <w:tcPr>
            <w:tcW w:w="808" w:type="pct"/>
            <w:tcBorders>
              <w:bottom w:val="nil"/>
            </w:tcBorders>
            <w:shd w:val="clear" w:color="000000" w:fill="E6E6E6"/>
          </w:tcPr>
          <w:p w14:paraId="0B7387F6" w14:textId="77777777" w:rsidR="003A4F41" w:rsidRPr="002C71A6" w:rsidRDefault="003A4F41" w:rsidP="00DD0012">
            <w:pPr>
              <w:pStyle w:val="TableBody"/>
              <w:spacing w:before="42" w:after="42"/>
              <w:ind w:right="108"/>
              <w:jc w:val="right"/>
              <w:rPr>
                <w:rFonts w:cs="Open Sans"/>
              </w:rPr>
            </w:pPr>
            <w:r w:rsidRPr="002C71A6">
              <w:rPr>
                <w:rFonts w:cs="Open Sans"/>
                <w:szCs w:val="22"/>
              </w:rPr>
              <w:t>44</w:t>
            </w:r>
          </w:p>
        </w:tc>
      </w:tr>
      <w:tr w:rsidR="003A4F41" w:rsidRPr="00D9163E" w14:paraId="4D2C963F" w14:textId="77777777">
        <w:tc>
          <w:tcPr>
            <w:tcW w:w="4192" w:type="pct"/>
            <w:tcBorders>
              <w:top w:val="nil"/>
              <w:bottom w:val="nil"/>
            </w:tcBorders>
            <w:shd w:val="clear" w:color="000000" w:fill="auto"/>
          </w:tcPr>
          <w:p w14:paraId="5AAC0B18" w14:textId="77777777" w:rsidR="003A4F41" w:rsidRPr="004567AB" w:rsidRDefault="003A4F41" w:rsidP="00DD0012">
            <w:pPr>
              <w:pStyle w:val="TableBody"/>
              <w:spacing w:before="42" w:after="42"/>
              <w:ind w:right="108"/>
              <w:rPr>
                <w:rFonts w:cs="Open Sans"/>
                <w:szCs w:val="22"/>
              </w:rPr>
            </w:pPr>
            <w:r w:rsidRPr="004567AB">
              <w:rPr>
                <w:rFonts w:cs="Open Sans"/>
                <w:szCs w:val="22"/>
              </w:rPr>
              <w:t>Catholic Social Services Australia (CSSA)</w:t>
            </w:r>
          </w:p>
        </w:tc>
        <w:tc>
          <w:tcPr>
            <w:tcW w:w="808" w:type="pct"/>
            <w:tcBorders>
              <w:top w:val="nil"/>
              <w:bottom w:val="nil"/>
            </w:tcBorders>
            <w:shd w:val="clear" w:color="000000" w:fill="auto"/>
          </w:tcPr>
          <w:p w14:paraId="15327E86" w14:textId="77777777" w:rsidR="003A4F41" w:rsidRPr="002C71A6" w:rsidRDefault="003A4F41" w:rsidP="00DD0012">
            <w:pPr>
              <w:pStyle w:val="TableBody"/>
              <w:spacing w:before="42" w:after="42"/>
              <w:ind w:right="108"/>
              <w:jc w:val="right"/>
              <w:rPr>
                <w:rFonts w:cs="Open Sans"/>
                <w:szCs w:val="22"/>
              </w:rPr>
            </w:pPr>
            <w:r w:rsidRPr="002C71A6">
              <w:rPr>
                <w:rFonts w:cs="Open Sans"/>
                <w:szCs w:val="22"/>
              </w:rPr>
              <w:t>91</w:t>
            </w:r>
          </w:p>
        </w:tc>
      </w:tr>
      <w:tr w:rsidR="003A4F41" w:rsidRPr="00D9163E" w14:paraId="16451848" w14:textId="77777777">
        <w:tc>
          <w:tcPr>
            <w:tcW w:w="4192" w:type="pct"/>
            <w:tcBorders>
              <w:bottom w:val="nil"/>
            </w:tcBorders>
            <w:shd w:val="clear" w:color="000000" w:fill="E6E6E6"/>
          </w:tcPr>
          <w:p w14:paraId="428CD83C" w14:textId="77777777" w:rsidR="003A4F41" w:rsidRPr="004567AB" w:rsidRDefault="003A4F41" w:rsidP="00DD0012">
            <w:pPr>
              <w:pStyle w:val="TableBody"/>
              <w:spacing w:before="42" w:after="42"/>
              <w:ind w:right="108"/>
              <w:rPr>
                <w:rFonts w:cs="Open Sans"/>
              </w:rPr>
            </w:pPr>
            <w:r w:rsidRPr="00EC384B">
              <w:rPr>
                <w:rFonts w:cs="Open Sans"/>
                <w:szCs w:val="22"/>
              </w:rPr>
              <w:t xml:space="preserve">The </w:t>
            </w:r>
            <w:r w:rsidRPr="004567AB">
              <w:rPr>
                <w:rFonts w:cs="Open Sans"/>
                <w:szCs w:val="22"/>
              </w:rPr>
              <w:t>Centre for Independent Studies (CIS)</w:t>
            </w:r>
          </w:p>
        </w:tc>
        <w:tc>
          <w:tcPr>
            <w:tcW w:w="808" w:type="pct"/>
            <w:tcBorders>
              <w:bottom w:val="nil"/>
            </w:tcBorders>
            <w:shd w:val="clear" w:color="000000" w:fill="E6E6E6"/>
          </w:tcPr>
          <w:p w14:paraId="30505E79" w14:textId="77777777" w:rsidR="003A4F41" w:rsidRPr="002C71A6" w:rsidRDefault="003A4F41" w:rsidP="00DD0012">
            <w:pPr>
              <w:pStyle w:val="TableBody"/>
              <w:spacing w:before="42" w:after="42"/>
              <w:ind w:right="108"/>
              <w:jc w:val="right"/>
              <w:rPr>
                <w:rFonts w:cs="Open Sans"/>
              </w:rPr>
            </w:pPr>
            <w:r w:rsidRPr="002C71A6">
              <w:rPr>
                <w:rFonts w:cs="Open Sans"/>
                <w:szCs w:val="22"/>
              </w:rPr>
              <w:t>18</w:t>
            </w:r>
          </w:p>
        </w:tc>
      </w:tr>
      <w:tr w:rsidR="003A4F41" w:rsidRPr="00D9163E" w14:paraId="10367AFC" w14:textId="77777777">
        <w:tc>
          <w:tcPr>
            <w:tcW w:w="4192" w:type="pct"/>
            <w:tcBorders>
              <w:top w:val="nil"/>
              <w:bottom w:val="nil"/>
            </w:tcBorders>
            <w:shd w:val="clear" w:color="000000" w:fill="auto"/>
          </w:tcPr>
          <w:p w14:paraId="73C15134" w14:textId="77777777" w:rsidR="003A4F41" w:rsidRPr="004567AB" w:rsidRDefault="003A4F41" w:rsidP="00DD0012">
            <w:pPr>
              <w:pStyle w:val="TableBody"/>
              <w:spacing w:before="42" w:after="42"/>
              <w:ind w:right="108"/>
              <w:rPr>
                <w:rFonts w:cs="Open Sans"/>
              </w:rPr>
            </w:pPr>
            <w:r w:rsidRPr="004567AB">
              <w:rPr>
                <w:rFonts w:cs="Open Sans"/>
                <w:szCs w:val="22"/>
              </w:rPr>
              <w:t>Centre for Justice, Queensland University of Technology</w:t>
            </w:r>
          </w:p>
        </w:tc>
        <w:tc>
          <w:tcPr>
            <w:tcW w:w="808" w:type="pct"/>
            <w:tcBorders>
              <w:top w:val="nil"/>
              <w:bottom w:val="nil"/>
            </w:tcBorders>
            <w:shd w:val="clear" w:color="000000" w:fill="auto"/>
          </w:tcPr>
          <w:p w14:paraId="5A5529EE" w14:textId="77777777" w:rsidR="003A4F41" w:rsidRPr="002C71A6" w:rsidRDefault="003A4F41" w:rsidP="00DD0012">
            <w:pPr>
              <w:pStyle w:val="TableBody"/>
              <w:spacing w:before="42" w:after="42"/>
              <w:ind w:right="108"/>
              <w:jc w:val="right"/>
              <w:rPr>
                <w:rFonts w:cs="Open Sans"/>
              </w:rPr>
            </w:pPr>
            <w:r w:rsidRPr="002C71A6">
              <w:rPr>
                <w:rFonts w:cs="Open Sans"/>
                <w:szCs w:val="22"/>
              </w:rPr>
              <w:t>9</w:t>
            </w:r>
          </w:p>
        </w:tc>
      </w:tr>
      <w:tr w:rsidR="003A4F41" w:rsidRPr="00D9163E" w14:paraId="1A5261F6" w14:textId="77777777">
        <w:tc>
          <w:tcPr>
            <w:tcW w:w="4192" w:type="pct"/>
            <w:tcBorders>
              <w:bottom w:val="nil"/>
            </w:tcBorders>
            <w:shd w:val="clear" w:color="000000" w:fill="E6E6E6"/>
          </w:tcPr>
          <w:p w14:paraId="1518E220" w14:textId="77777777" w:rsidR="003A4F41" w:rsidRPr="004567AB" w:rsidRDefault="003A4F41" w:rsidP="00DD0012">
            <w:pPr>
              <w:pStyle w:val="TableBody"/>
              <w:spacing w:before="42" w:after="42"/>
              <w:ind w:right="108"/>
              <w:rPr>
                <w:rFonts w:cs="Open Sans"/>
              </w:rPr>
            </w:pPr>
            <w:r w:rsidRPr="004567AB">
              <w:rPr>
                <w:rFonts w:cs="Open Sans"/>
                <w:szCs w:val="22"/>
              </w:rPr>
              <w:lastRenderedPageBreak/>
              <w:t>City of Adelaide (CoA)</w:t>
            </w:r>
          </w:p>
        </w:tc>
        <w:tc>
          <w:tcPr>
            <w:tcW w:w="808" w:type="pct"/>
            <w:tcBorders>
              <w:bottom w:val="nil"/>
            </w:tcBorders>
            <w:shd w:val="clear" w:color="000000" w:fill="E6E6E6"/>
          </w:tcPr>
          <w:p w14:paraId="76A7B186" w14:textId="77777777" w:rsidR="003A4F41" w:rsidRPr="002C71A6" w:rsidRDefault="003A4F41" w:rsidP="00DD0012">
            <w:pPr>
              <w:pStyle w:val="TableBody"/>
              <w:spacing w:before="42" w:after="42"/>
              <w:ind w:right="108"/>
              <w:jc w:val="right"/>
              <w:rPr>
                <w:rFonts w:cs="Open Sans"/>
              </w:rPr>
            </w:pPr>
            <w:r w:rsidRPr="002C71A6">
              <w:rPr>
                <w:rFonts w:cs="Open Sans"/>
                <w:szCs w:val="22"/>
              </w:rPr>
              <w:t>86</w:t>
            </w:r>
          </w:p>
        </w:tc>
      </w:tr>
      <w:tr w:rsidR="003A4F41" w:rsidRPr="00D9163E" w14:paraId="7ED40537" w14:textId="77777777">
        <w:tc>
          <w:tcPr>
            <w:tcW w:w="4192" w:type="pct"/>
            <w:tcBorders>
              <w:top w:val="nil"/>
              <w:bottom w:val="nil"/>
            </w:tcBorders>
            <w:shd w:val="clear" w:color="000000" w:fill="auto"/>
          </w:tcPr>
          <w:p w14:paraId="6584CCA4" w14:textId="77777777" w:rsidR="003A4F41" w:rsidRPr="004567AB" w:rsidRDefault="003A4F41" w:rsidP="00DD0012">
            <w:pPr>
              <w:pStyle w:val="TableBody"/>
              <w:spacing w:before="42" w:after="42"/>
              <w:ind w:right="108"/>
              <w:rPr>
                <w:rFonts w:cs="Open Sans"/>
              </w:rPr>
            </w:pPr>
            <w:r w:rsidRPr="004567AB">
              <w:rPr>
                <w:rFonts w:cs="Open Sans"/>
                <w:szCs w:val="22"/>
              </w:rPr>
              <w:t>City of Boroondara</w:t>
            </w:r>
          </w:p>
        </w:tc>
        <w:tc>
          <w:tcPr>
            <w:tcW w:w="808" w:type="pct"/>
            <w:tcBorders>
              <w:top w:val="nil"/>
              <w:bottom w:val="nil"/>
            </w:tcBorders>
            <w:shd w:val="clear" w:color="000000" w:fill="auto"/>
          </w:tcPr>
          <w:p w14:paraId="32ABAB36" w14:textId="77777777" w:rsidR="003A4F41" w:rsidRPr="002C71A6" w:rsidRDefault="003A4F41" w:rsidP="00DD0012">
            <w:pPr>
              <w:pStyle w:val="TableBody"/>
              <w:spacing w:before="42" w:after="42"/>
              <w:ind w:right="108"/>
              <w:jc w:val="right"/>
              <w:rPr>
                <w:rFonts w:cs="Open Sans"/>
              </w:rPr>
            </w:pPr>
            <w:r w:rsidRPr="002C71A6">
              <w:rPr>
                <w:rFonts w:cs="Open Sans"/>
                <w:szCs w:val="22"/>
              </w:rPr>
              <w:t>29</w:t>
            </w:r>
          </w:p>
        </w:tc>
      </w:tr>
      <w:tr w:rsidR="003A4F41" w:rsidRPr="00D9163E" w14:paraId="1AE4F779" w14:textId="77777777">
        <w:tc>
          <w:tcPr>
            <w:tcW w:w="4192" w:type="pct"/>
            <w:tcBorders>
              <w:bottom w:val="nil"/>
            </w:tcBorders>
            <w:shd w:val="clear" w:color="000000" w:fill="E6E6E6"/>
          </w:tcPr>
          <w:p w14:paraId="26D8FD94" w14:textId="77777777" w:rsidR="003A4F41" w:rsidRPr="004567AB" w:rsidRDefault="003A4F41" w:rsidP="00DD0012">
            <w:pPr>
              <w:pStyle w:val="TableBody"/>
              <w:spacing w:before="42" w:after="42"/>
              <w:ind w:right="108"/>
              <w:rPr>
                <w:rFonts w:cs="Open Sans"/>
              </w:rPr>
            </w:pPr>
            <w:r w:rsidRPr="004567AB">
              <w:rPr>
                <w:rFonts w:cs="Open Sans"/>
                <w:szCs w:val="22"/>
              </w:rPr>
              <w:t>City of Greater Bendigo</w:t>
            </w:r>
          </w:p>
        </w:tc>
        <w:tc>
          <w:tcPr>
            <w:tcW w:w="808" w:type="pct"/>
            <w:tcBorders>
              <w:bottom w:val="nil"/>
            </w:tcBorders>
            <w:shd w:val="clear" w:color="000000" w:fill="E6E6E6"/>
          </w:tcPr>
          <w:p w14:paraId="6D84CE23" w14:textId="77777777" w:rsidR="003A4F41" w:rsidRPr="002C71A6" w:rsidRDefault="003A4F41" w:rsidP="00DD0012">
            <w:pPr>
              <w:pStyle w:val="TableBody"/>
              <w:spacing w:before="42" w:after="42"/>
              <w:ind w:right="108"/>
              <w:jc w:val="right"/>
              <w:rPr>
                <w:rFonts w:cs="Open Sans"/>
              </w:rPr>
            </w:pPr>
            <w:r w:rsidRPr="002C71A6">
              <w:rPr>
                <w:rFonts w:cs="Open Sans"/>
                <w:szCs w:val="22"/>
              </w:rPr>
              <w:t>15</w:t>
            </w:r>
          </w:p>
        </w:tc>
      </w:tr>
      <w:tr w:rsidR="003A4F41" w:rsidRPr="00D9163E" w14:paraId="6314F048" w14:textId="77777777">
        <w:tc>
          <w:tcPr>
            <w:tcW w:w="4192" w:type="pct"/>
            <w:tcBorders>
              <w:top w:val="nil"/>
              <w:bottom w:val="nil"/>
            </w:tcBorders>
            <w:shd w:val="clear" w:color="000000" w:fill="auto"/>
          </w:tcPr>
          <w:p w14:paraId="5CF6A004" w14:textId="77777777" w:rsidR="003A4F41" w:rsidRPr="004567AB" w:rsidRDefault="003A4F41" w:rsidP="00DD0012">
            <w:pPr>
              <w:pStyle w:val="TableBody"/>
              <w:spacing w:before="42" w:after="42"/>
              <w:ind w:right="108"/>
              <w:rPr>
                <w:rFonts w:cs="Open Sans"/>
              </w:rPr>
            </w:pPr>
            <w:proofErr w:type="spellStart"/>
            <w:r w:rsidRPr="004567AB">
              <w:rPr>
                <w:rFonts w:cs="Open Sans"/>
                <w:szCs w:val="22"/>
              </w:rPr>
              <w:t>coNEXA</w:t>
            </w:r>
            <w:proofErr w:type="spellEnd"/>
            <w:r w:rsidRPr="004567AB">
              <w:rPr>
                <w:rFonts w:cs="Open Sans"/>
                <w:szCs w:val="22"/>
              </w:rPr>
              <w:t xml:space="preserve"> Infrastructure Partners</w:t>
            </w:r>
          </w:p>
        </w:tc>
        <w:tc>
          <w:tcPr>
            <w:tcW w:w="808" w:type="pct"/>
            <w:tcBorders>
              <w:top w:val="nil"/>
              <w:bottom w:val="nil"/>
            </w:tcBorders>
            <w:shd w:val="clear" w:color="000000" w:fill="auto"/>
          </w:tcPr>
          <w:p w14:paraId="7C65A918" w14:textId="77777777" w:rsidR="003A4F41" w:rsidRPr="002C71A6" w:rsidRDefault="003A4F41" w:rsidP="00DD0012">
            <w:pPr>
              <w:pStyle w:val="TableBody"/>
              <w:spacing w:before="42" w:after="42"/>
              <w:ind w:right="108"/>
              <w:jc w:val="right"/>
              <w:rPr>
                <w:rFonts w:cs="Open Sans"/>
              </w:rPr>
            </w:pPr>
            <w:r w:rsidRPr="002C71A6">
              <w:rPr>
                <w:rFonts w:cs="Open Sans"/>
                <w:szCs w:val="22"/>
              </w:rPr>
              <w:t>24</w:t>
            </w:r>
          </w:p>
        </w:tc>
      </w:tr>
      <w:tr w:rsidR="003A4F41" w:rsidRPr="00D9163E" w14:paraId="1B7FF633" w14:textId="77777777">
        <w:tc>
          <w:tcPr>
            <w:tcW w:w="4192" w:type="pct"/>
            <w:tcBorders>
              <w:bottom w:val="nil"/>
            </w:tcBorders>
            <w:shd w:val="clear" w:color="000000" w:fill="E6E6E6"/>
          </w:tcPr>
          <w:p w14:paraId="3552F005" w14:textId="77777777" w:rsidR="003A4F41" w:rsidRPr="004567AB" w:rsidRDefault="003A4F41" w:rsidP="00DD0012">
            <w:pPr>
              <w:pStyle w:val="TableBody"/>
              <w:spacing w:before="42" w:after="42"/>
              <w:ind w:right="108"/>
              <w:rPr>
                <w:rFonts w:cs="Open Sans"/>
                <w:szCs w:val="22"/>
              </w:rPr>
            </w:pPr>
            <w:r w:rsidRPr="00EC384B">
              <w:rPr>
                <w:rFonts w:cs="Open Sans"/>
                <w:szCs w:val="22"/>
              </w:rPr>
              <w:t>Conquest</w:t>
            </w:r>
          </w:p>
        </w:tc>
        <w:tc>
          <w:tcPr>
            <w:tcW w:w="808" w:type="pct"/>
            <w:tcBorders>
              <w:bottom w:val="nil"/>
            </w:tcBorders>
            <w:shd w:val="clear" w:color="000000" w:fill="E6E6E6"/>
          </w:tcPr>
          <w:p w14:paraId="49CEBEF1" w14:textId="77777777" w:rsidR="003A4F41" w:rsidRPr="002C71A6" w:rsidRDefault="003A4F41" w:rsidP="00DD0012">
            <w:pPr>
              <w:pStyle w:val="TableBody"/>
              <w:spacing w:before="42" w:after="42"/>
              <w:ind w:right="108"/>
              <w:jc w:val="right"/>
              <w:rPr>
                <w:rFonts w:cs="Open Sans"/>
                <w:szCs w:val="22"/>
              </w:rPr>
            </w:pPr>
            <w:r w:rsidRPr="002C71A6">
              <w:rPr>
                <w:rFonts w:cs="Open Sans"/>
                <w:szCs w:val="22"/>
              </w:rPr>
              <w:t>92</w:t>
            </w:r>
          </w:p>
        </w:tc>
      </w:tr>
      <w:tr w:rsidR="003A4F41" w:rsidRPr="00D9163E" w14:paraId="2A713B17" w14:textId="77777777">
        <w:tc>
          <w:tcPr>
            <w:tcW w:w="4192" w:type="pct"/>
            <w:tcBorders>
              <w:top w:val="nil"/>
              <w:bottom w:val="nil"/>
            </w:tcBorders>
            <w:shd w:val="clear" w:color="000000" w:fill="auto"/>
          </w:tcPr>
          <w:p w14:paraId="1714C36B" w14:textId="77777777" w:rsidR="003A4F41" w:rsidRPr="004567AB" w:rsidRDefault="003A4F41" w:rsidP="00DD0012">
            <w:pPr>
              <w:pStyle w:val="TableBody"/>
              <w:spacing w:before="42" w:after="42"/>
              <w:ind w:right="108"/>
              <w:rPr>
                <w:rFonts w:cs="Open Sans"/>
              </w:rPr>
            </w:pPr>
            <w:r w:rsidRPr="004567AB">
              <w:rPr>
                <w:rFonts w:cs="Open Sans"/>
                <w:szCs w:val="22"/>
              </w:rPr>
              <w:t>Council Alliance for a Sustainable Built Environment (CASBE)</w:t>
            </w:r>
          </w:p>
        </w:tc>
        <w:tc>
          <w:tcPr>
            <w:tcW w:w="808" w:type="pct"/>
            <w:tcBorders>
              <w:top w:val="nil"/>
              <w:bottom w:val="nil"/>
            </w:tcBorders>
            <w:shd w:val="clear" w:color="000000" w:fill="auto"/>
          </w:tcPr>
          <w:p w14:paraId="12999EE4" w14:textId="77777777" w:rsidR="003A4F41" w:rsidRPr="002C71A6" w:rsidRDefault="003A4F41" w:rsidP="00DD0012">
            <w:pPr>
              <w:pStyle w:val="TableBody"/>
              <w:spacing w:before="42" w:after="42"/>
              <w:ind w:right="108"/>
              <w:jc w:val="right"/>
              <w:rPr>
                <w:rFonts w:cs="Open Sans"/>
              </w:rPr>
            </w:pPr>
            <w:r w:rsidRPr="002C71A6">
              <w:rPr>
                <w:rFonts w:cs="Open Sans"/>
                <w:szCs w:val="22"/>
              </w:rPr>
              <w:t>67</w:t>
            </w:r>
          </w:p>
        </w:tc>
      </w:tr>
      <w:tr w:rsidR="003A4F41" w:rsidRPr="00D9163E" w14:paraId="065FF830" w14:textId="77777777">
        <w:tc>
          <w:tcPr>
            <w:tcW w:w="4192" w:type="pct"/>
            <w:tcBorders>
              <w:bottom w:val="nil"/>
            </w:tcBorders>
            <w:shd w:val="clear" w:color="000000" w:fill="E6E6E6"/>
          </w:tcPr>
          <w:p w14:paraId="54F4A5EA" w14:textId="77777777" w:rsidR="003A4F41" w:rsidRPr="004567AB" w:rsidRDefault="003A4F41" w:rsidP="00DD0012">
            <w:pPr>
              <w:pStyle w:val="TableBody"/>
              <w:spacing w:before="42" w:after="42"/>
              <w:ind w:right="108"/>
              <w:rPr>
                <w:rFonts w:cs="Open Sans"/>
              </w:rPr>
            </w:pPr>
            <w:r w:rsidRPr="004567AB">
              <w:rPr>
                <w:rFonts w:cs="Open Sans"/>
                <w:szCs w:val="22"/>
              </w:rPr>
              <w:t>Council of Capital City Lord Mayors</w:t>
            </w:r>
            <w:r w:rsidRPr="00EC384B">
              <w:rPr>
                <w:rFonts w:cs="Open Sans"/>
                <w:szCs w:val="22"/>
              </w:rPr>
              <w:t xml:space="preserve"> (CCCLM)</w:t>
            </w:r>
          </w:p>
        </w:tc>
        <w:tc>
          <w:tcPr>
            <w:tcW w:w="808" w:type="pct"/>
            <w:tcBorders>
              <w:bottom w:val="nil"/>
            </w:tcBorders>
            <w:shd w:val="clear" w:color="000000" w:fill="E6E6E6"/>
          </w:tcPr>
          <w:p w14:paraId="488DE390" w14:textId="77777777" w:rsidR="003A4F41" w:rsidRPr="002C71A6" w:rsidRDefault="003A4F41" w:rsidP="00DD0012">
            <w:pPr>
              <w:pStyle w:val="TableBody"/>
              <w:spacing w:before="42" w:after="42"/>
              <w:ind w:right="108"/>
              <w:jc w:val="right"/>
              <w:rPr>
                <w:rFonts w:cs="Open Sans"/>
              </w:rPr>
            </w:pPr>
            <w:r w:rsidRPr="002C71A6">
              <w:rPr>
                <w:rFonts w:cs="Open Sans"/>
                <w:szCs w:val="22"/>
              </w:rPr>
              <w:t>20</w:t>
            </w:r>
          </w:p>
        </w:tc>
      </w:tr>
      <w:tr w:rsidR="003A4F41" w:rsidRPr="00D9163E" w14:paraId="59EFC0DD" w14:textId="77777777">
        <w:tc>
          <w:tcPr>
            <w:tcW w:w="4192" w:type="pct"/>
            <w:tcBorders>
              <w:top w:val="nil"/>
              <w:bottom w:val="nil"/>
            </w:tcBorders>
            <w:shd w:val="clear" w:color="000000" w:fill="auto"/>
          </w:tcPr>
          <w:p w14:paraId="2AC0F9FE" w14:textId="77777777" w:rsidR="003A4F41" w:rsidRPr="004567AB" w:rsidRDefault="003A4F41" w:rsidP="00DD0012">
            <w:pPr>
              <w:pStyle w:val="TableBody"/>
              <w:spacing w:before="42" w:after="42"/>
              <w:ind w:right="108"/>
              <w:rPr>
                <w:rFonts w:cs="Open Sans"/>
              </w:rPr>
            </w:pPr>
            <w:r w:rsidRPr="004567AB">
              <w:rPr>
                <w:rFonts w:cs="Open Sans"/>
                <w:szCs w:val="22"/>
              </w:rPr>
              <w:t>Create Advisory Pty Ltd</w:t>
            </w:r>
          </w:p>
        </w:tc>
        <w:tc>
          <w:tcPr>
            <w:tcW w:w="808" w:type="pct"/>
            <w:tcBorders>
              <w:top w:val="nil"/>
              <w:bottom w:val="nil"/>
            </w:tcBorders>
            <w:shd w:val="clear" w:color="000000" w:fill="auto"/>
          </w:tcPr>
          <w:p w14:paraId="484353B9" w14:textId="77777777" w:rsidR="003A4F41" w:rsidRPr="002C71A6" w:rsidRDefault="003A4F41" w:rsidP="00DD0012">
            <w:pPr>
              <w:pStyle w:val="TableBody"/>
              <w:spacing w:before="42" w:after="42"/>
              <w:ind w:right="108"/>
              <w:jc w:val="right"/>
              <w:rPr>
                <w:rFonts w:cs="Open Sans"/>
              </w:rPr>
            </w:pPr>
            <w:r w:rsidRPr="002C71A6">
              <w:rPr>
                <w:rFonts w:cs="Open Sans"/>
                <w:szCs w:val="22"/>
              </w:rPr>
              <w:t>70</w:t>
            </w:r>
          </w:p>
        </w:tc>
      </w:tr>
      <w:tr w:rsidR="003A4F41" w:rsidRPr="00D9163E" w14:paraId="7539C049" w14:textId="77777777">
        <w:tc>
          <w:tcPr>
            <w:tcW w:w="4192" w:type="pct"/>
            <w:tcBorders>
              <w:bottom w:val="nil"/>
            </w:tcBorders>
            <w:shd w:val="clear" w:color="000000" w:fill="E6E6E6"/>
          </w:tcPr>
          <w:p w14:paraId="5DC6C443" w14:textId="77777777" w:rsidR="003A4F41" w:rsidRPr="004567AB" w:rsidRDefault="003A4F41" w:rsidP="00DD0012">
            <w:pPr>
              <w:pStyle w:val="TableBody"/>
              <w:spacing w:before="42" w:after="42"/>
              <w:ind w:right="108"/>
              <w:rPr>
                <w:rFonts w:cs="Open Sans"/>
              </w:rPr>
            </w:pPr>
            <w:r w:rsidRPr="004567AB">
              <w:rPr>
                <w:rFonts w:cs="Open Sans"/>
                <w:szCs w:val="22"/>
              </w:rPr>
              <w:t>David Lord</w:t>
            </w:r>
          </w:p>
        </w:tc>
        <w:tc>
          <w:tcPr>
            <w:tcW w:w="808" w:type="pct"/>
            <w:tcBorders>
              <w:bottom w:val="nil"/>
            </w:tcBorders>
            <w:shd w:val="clear" w:color="000000" w:fill="E6E6E6"/>
          </w:tcPr>
          <w:p w14:paraId="2D642059" w14:textId="77777777" w:rsidR="003A4F41" w:rsidRPr="002C71A6" w:rsidRDefault="003A4F41" w:rsidP="00DD0012">
            <w:pPr>
              <w:pStyle w:val="TableBody"/>
              <w:spacing w:before="42" w:after="42"/>
              <w:ind w:right="108"/>
              <w:jc w:val="right"/>
              <w:rPr>
                <w:rFonts w:cs="Open Sans"/>
              </w:rPr>
            </w:pPr>
            <w:r w:rsidRPr="002C71A6">
              <w:rPr>
                <w:rFonts w:cs="Open Sans"/>
                <w:szCs w:val="22"/>
              </w:rPr>
              <w:t>55</w:t>
            </w:r>
          </w:p>
        </w:tc>
      </w:tr>
      <w:tr w:rsidR="003A4F41" w:rsidRPr="00D9163E" w14:paraId="34080137" w14:textId="77777777">
        <w:tc>
          <w:tcPr>
            <w:tcW w:w="4192" w:type="pct"/>
            <w:tcBorders>
              <w:top w:val="nil"/>
              <w:bottom w:val="nil"/>
            </w:tcBorders>
            <w:shd w:val="clear" w:color="000000" w:fill="auto"/>
          </w:tcPr>
          <w:p w14:paraId="43929513" w14:textId="77777777" w:rsidR="003A4F41" w:rsidRPr="004567AB" w:rsidRDefault="003A4F41" w:rsidP="00DD0012">
            <w:pPr>
              <w:pStyle w:val="TableBody"/>
              <w:spacing w:before="42" w:after="42"/>
              <w:ind w:right="108"/>
              <w:rPr>
                <w:rFonts w:cs="Open Sans"/>
              </w:rPr>
            </w:pPr>
            <w:r w:rsidRPr="004567AB">
              <w:rPr>
                <w:rFonts w:cs="Open Sans"/>
                <w:szCs w:val="22"/>
              </w:rPr>
              <w:t>Denn</w:t>
            </w:r>
            <w:r w:rsidRPr="0024328E">
              <w:rPr>
                <w:rFonts w:cs="Open Sans"/>
                <w:szCs w:val="22"/>
              </w:rPr>
              <w:t xml:space="preserve">is </w:t>
            </w:r>
            <w:r w:rsidRPr="002C71A6">
              <w:rPr>
                <w:rFonts w:cs="Open Sans"/>
                <w:szCs w:val="22"/>
              </w:rPr>
              <w:t>Mentzines</w:t>
            </w:r>
          </w:p>
        </w:tc>
        <w:tc>
          <w:tcPr>
            <w:tcW w:w="808" w:type="pct"/>
            <w:tcBorders>
              <w:top w:val="nil"/>
              <w:bottom w:val="nil"/>
            </w:tcBorders>
            <w:shd w:val="clear" w:color="000000" w:fill="auto"/>
          </w:tcPr>
          <w:p w14:paraId="696DCABF" w14:textId="77777777" w:rsidR="003A4F41" w:rsidRPr="002C71A6" w:rsidRDefault="003A4F41" w:rsidP="00DD0012">
            <w:pPr>
              <w:pStyle w:val="TableBody"/>
              <w:spacing w:before="42" w:after="42"/>
              <w:ind w:right="108"/>
              <w:jc w:val="right"/>
              <w:rPr>
                <w:rFonts w:cs="Open Sans"/>
              </w:rPr>
            </w:pPr>
            <w:r w:rsidRPr="002C71A6">
              <w:rPr>
                <w:rFonts w:cs="Open Sans"/>
                <w:szCs w:val="22"/>
              </w:rPr>
              <w:t>57</w:t>
            </w:r>
          </w:p>
        </w:tc>
      </w:tr>
      <w:tr w:rsidR="003A4F41" w:rsidRPr="006C6DFD" w14:paraId="6E8AAA88" w14:textId="77777777">
        <w:tc>
          <w:tcPr>
            <w:tcW w:w="4192" w:type="pct"/>
            <w:tcBorders>
              <w:bottom w:val="nil"/>
            </w:tcBorders>
            <w:shd w:val="clear" w:color="000000" w:fill="E6E6E6"/>
          </w:tcPr>
          <w:p w14:paraId="3223702D" w14:textId="77777777" w:rsidR="003A4F41" w:rsidRPr="0095293A" w:rsidRDefault="003A4F41" w:rsidP="00DD0012">
            <w:pPr>
              <w:pStyle w:val="TableBody"/>
              <w:spacing w:before="42" w:after="42"/>
              <w:ind w:right="108"/>
              <w:rPr>
                <w:rFonts w:cs="Open Sans"/>
                <w:szCs w:val="22"/>
              </w:rPr>
            </w:pPr>
            <w:r w:rsidRPr="0095293A">
              <w:rPr>
                <w:rFonts w:cs="Open Sans"/>
                <w:szCs w:val="22"/>
              </w:rPr>
              <w:t>Drew Dickson*</w:t>
            </w:r>
          </w:p>
        </w:tc>
        <w:tc>
          <w:tcPr>
            <w:tcW w:w="808" w:type="pct"/>
            <w:tcBorders>
              <w:bottom w:val="nil"/>
            </w:tcBorders>
            <w:shd w:val="clear" w:color="000000" w:fill="E6E6E6"/>
          </w:tcPr>
          <w:p w14:paraId="149335FB" w14:textId="77777777" w:rsidR="003A4F41" w:rsidRPr="0095293A" w:rsidRDefault="003A4F41" w:rsidP="00DD0012">
            <w:pPr>
              <w:pStyle w:val="TableBody"/>
              <w:spacing w:before="42" w:after="42"/>
              <w:ind w:right="108"/>
              <w:jc w:val="right"/>
              <w:rPr>
                <w:rFonts w:cs="Open Sans"/>
                <w:szCs w:val="22"/>
              </w:rPr>
            </w:pPr>
            <w:r w:rsidRPr="0095293A">
              <w:rPr>
                <w:rFonts w:cs="Open Sans"/>
                <w:szCs w:val="22"/>
              </w:rPr>
              <w:t>96</w:t>
            </w:r>
          </w:p>
        </w:tc>
      </w:tr>
      <w:tr w:rsidR="003A4F41" w:rsidRPr="00D9163E" w14:paraId="01F6DEF7" w14:textId="77777777">
        <w:tc>
          <w:tcPr>
            <w:tcW w:w="4192" w:type="pct"/>
            <w:tcBorders>
              <w:top w:val="nil"/>
              <w:bottom w:val="nil"/>
            </w:tcBorders>
            <w:shd w:val="clear" w:color="000000" w:fill="auto"/>
          </w:tcPr>
          <w:p w14:paraId="58BD2721" w14:textId="77777777" w:rsidR="003A4F41" w:rsidRPr="004567AB" w:rsidRDefault="003A4F41" w:rsidP="00DD0012">
            <w:pPr>
              <w:pStyle w:val="TableBody"/>
              <w:spacing w:before="42" w:after="42"/>
              <w:ind w:right="108"/>
              <w:rPr>
                <w:rFonts w:cs="Open Sans"/>
              </w:rPr>
            </w:pPr>
            <w:r w:rsidRPr="004567AB">
              <w:rPr>
                <w:rFonts w:cs="Open Sans"/>
                <w:szCs w:val="22"/>
              </w:rPr>
              <w:t>Ell Legal Construction Advisory Pty Ltd</w:t>
            </w:r>
          </w:p>
        </w:tc>
        <w:tc>
          <w:tcPr>
            <w:tcW w:w="808" w:type="pct"/>
            <w:tcBorders>
              <w:top w:val="nil"/>
              <w:bottom w:val="nil"/>
            </w:tcBorders>
            <w:shd w:val="clear" w:color="000000" w:fill="auto"/>
          </w:tcPr>
          <w:p w14:paraId="6B93036A" w14:textId="77777777" w:rsidR="003A4F41" w:rsidRPr="002C71A6" w:rsidRDefault="003A4F41" w:rsidP="00DD0012">
            <w:pPr>
              <w:pStyle w:val="TableBody"/>
              <w:spacing w:before="42" w:after="42"/>
              <w:ind w:right="108"/>
              <w:jc w:val="right"/>
              <w:rPr>
                <w:rFonts w:cs="Open Sans"/>
              </w:rPr>
            </w:pPr>
            <w:r w:rsidRPr="002C71A6">
              <w:rPr>
                <w:rFonts w:cs="Open Sans"/>
                <w:szCs w:val="22"/>
              </w:rPr>
              <w:t>52</w:t>
            </w:r>
          </w:p>
        </w:tc>
      </w:tr>
      <w:tr w:rsidR="003A4F41" w:rsidRPr="00D9163E" w14:paraId="6F395EA0" w14:textId="77777777">
        <w:tc>
          <w:tcPr>
            <w:tcW w:w="4192" w:type="pct"/>
            <w:tcBorders>
              <w:bottom w:val="nil"/>
            </w:tcBorders>
            <w:shd w:val="clear" w:color="000000" w:fill="E6E6E6"/>
          </w:tcPr>
          <w:p w14:paraId="76D45B1B" w14:textId="77777777" w:rsidR="003A4F41" w:rsidRPr="004567AB" w:rsidRDefault="003A4F41" w:rsidP="00DD0012">
            <w:pPr>
              <w:pStyle w:val="TableBody"/>
              <w:spacing w:before="42" w:after="42"/>
              <w:ind w:right="108"/>
              <w:rPr>
                <w:rFonts w:cs="Open Sans"/>
              </w:rPr>
            </w:pPr>
            <w:r w:rsidRPr="004567AB">
              <w:rPr>
                <w:rFonts w:cs="Open Sans"/>
                <w:szCs w:val="22"/>
              </w:rPr>
              <w:t>Emergency Leaders for Climate Action (EL</w:t>
            </w:r>
            <w:r>
              <w:rPr>
                <w:rFonts w:cs="Open Sans"/>
                <w:szCs w:val="22"/>
              </w:rPr>
              <w:t>C</w:t>
            </w:r>
            <w:r w:rsidRPr="004567AB">
              <w:rPr>
                <w:rFonts w:cs="Open Sans"/>
                <w:szCs w:val="22"/>
              </w:rPr>
              <w:t>A)</w:t>
            </w:r>
          </w:p>
        </w:tc>
        <w:tc>
          <w:tcPr>
            <w:tcW w:w="808" w:type="pct"/>
            <w:tcBorders>
              <w:bottom w:val="nil"/>
            </w:tcBorders>
            <w:shd w:val="clear" w:color="000000" w:fill="E6E6E6"/>
          </w:tcPr>
          <w:p w14:paraId="4BB80F8D" w14:textId="77777777" w:rsidR="003A4F41" w:rsidRPr="002C71A6" w:rsidRDefault="003A4F41" w:rsidP="00DD0012">
            <w:pPr>
              <w:pStyle w:val="TableBody"/>
              <w:spacing w:before="42" w:after="42"/>
              <w:ind w:right="108"/>
              <w:jc w:val="right"/>
              <w:rPr>
                <w:rFonts w:cs="Open Sans"/>
              </w:rPr>
            </w:pPr>
            <w:r w:rsidRPr="002C71A6">
              <w:rPr>
                <w:rFonts w:cs="Open Sans"/>
                <w:szCs w:val="22"/>
              </w:rPr>
              <w:t>47</w:t>
            </w:r>
          </w:p>
        </w:tc>
      </w:tr>
      <w:tr w:rsidR="003A4F41" w:rsidRPr="00D9163E" w14:paraId="30105825" w14:textId="77777777">
        <w:tc>
          <w:tcPr>
            <w:tcW w:w="4192" w:type="pct"/>
            <w:tcBorders>
              <w:top w:val="nil"/>
              <w:bottom w:val="nil"/>
            </w:tcBorders>
            <w:shd w:val="clear" w:color="000000" w:fill="auto"/>
          </w:tcPr>
          <w:p w14:paraId="06F00821" w14:textId="77777777" w:rsidR="003A4F41" w:rsidRPr="004567AB" w:rsidRDefault="003A4F41" w:rsidP="00DD0012">
            <w:pPr>
              <w:pStyle w:val="TableBody"/>
              <w:spacing w:before="42" w:after="42"/>
              <w:ind w:right="108"/>
              <w:rPr>
                <w:rFonts w:cs="Open Sans"/>
              </w:rPr>
            </w:pPr>
            <w:r w:rsidRPr="004567AB">
              <w:rPr>
                <w:rFonts w:cs="Open Sans"/>
                <w:szCs w:val="22"/>
              </w:rPr>
              <w:t>Emeritus Prof Peter Phibbs</w:t>
            </w:r>
          </w:p>
        </w:tc>
        <w:tc>
          <w:tcPr>
            <w:tcW w:w="808" w:type="pct"/>
            <w:tcBorders>
              <w:top w:val="nil"/>
              <w:bottom w:val="nil"/>
            </w:tcBorders>
            <w:shd w:val="clear" w:color="000000" w:fill="auto"/>
          </w:tcPr>
          <w:p w14:paraId="417491F6" w14:textId="77777777" w:rsidR="003A4F41" w:rsidRPr="002C71A6" w:rsidRDefault="003A4F41" w:rsidP="00DD0012">
            <w:pPr>
              <w:pStyle w:val="TableBody"/>
              <w:spacing w:before="42" w:after="42"/>
              <w:ind w:right="108"/>
              <w:jc w:val="right"/>
              <w:rPr>
                <w:rFonts w:cs="Open Sans"/>
              </w:rPr>
            </w:pPr>
            <w:r w:rsidRPr="002C71A6">
              <w:rPr>
                <w:rFonts w:cs="Open Sans"/>
                <w:szCs w:val="22"/>
              </w:rPr>
              <w:t>63</w:t>
            </w:r>
          </w:p>
        </w:tc>
      </w:tr>
      <w:tr w:rsidR="003A4F41" w:rsidRPr="00D9163E" w14:paraId="157927FE" w14:textId="77777777">
        <w:tc>
          <w:tcPr>
            <w:tcW w:w="4192" w:type="pct"/>
            <w:tcBorders>
              <w:bottom w:val="nil"/>
            </w:tcBorders>
            <w:shd w:val="clear" w:color="000000" w:fill="E6E6E6"/>
          </w:tcPr>
          <w:p w14:paraId="7E124BBE" w14:textId="77777777" w:rsidR="003A4F41" w:rsidRPr="004567AB" w:rsidRDefault="003A4F41" w:rsidP="00DD0012">
            <w:pPr>
              <w:pStyle w:val="TableBody"/>
              <w:spacing w:before="42" w:after="42"/>
              <w:ind w:right="108"/>
              <w:rPr>
                <w:rFonts w:cs="Open Sans"/>
              </w:rPr>
            </w:pPr>
            <w:r w:rsidRPr="004567AB">
              <w:rPr>
                <w:rFonts w:cs="Open Sans"/>
                <w:szCs w:val="22"/>
              </w:rPr>
              <w:t>Enzo Guarino</w:t>
            </w:r>
          </w:p>
        </w:tc>
        <w:tc>
          <w:tcPr>
            <w:tcW w:w="808" w:type="pct"/>
            <w:tcBorders>
              <w:bottom w:val="nil"/>
            </w:tcBorders>
            <w:shd w:val="clear" w:color="000000" w:fill="E6E6E6"/>
          </w:tcPr>
          <w:p w14:paraId="1EF0C318" w14:textId="77777777" w:rsidR="003A4F41" w:rsidRPr="002C71A6" w:rsidRDefault="003A4F41" w:rsidP="00DD0012">
            <w:pPr>
              <w:pStyle w:val="TableBody"/>
              <w:spacing w:before="42" w:after="42"/>
              <w:ind w:right="108"/>
              <w:jc w:val="right"/>
              <w:rPr>
                <w:rFonts w:cs="Open Sans"/>
              </w:rPr>
            </w:pPr>
            <w:r w:rsidRPr="002C71A6">
              <w:rPr>
                <w:rFonts w:cs="Open Sans"/>
                <w:szCs w:val="22"/>
              </w:rPr>
              <w:t>6</w:t>
            </w:r>
          </w:p>
        </w:tc>
      </w:tr>
      <w:tr w:rsidR="003A4F41" w:rsidRPr="00D9163E" w14:paraId="1254088F" w14:textId="77777777">
        <w:tc>
          <w:tcPr>
            <w:tcW w:w="4192" w:type="pct"/>
            <w:tcBorders>
              <w:top w:val="nil"/>
              <w:bottom w:val="nil"/>
            </w:tcBorders>
            <w:shd w:val="clear" w:color="000000" w:fill="auto"/>
          </w:tcPr>
          <w:p w14:paraId="63FFFE8F" w14:textId="77777777" w:rsidR="003A4F41" w:rsidRPr="004567AB" w:rsidRDefault="003A4F41" w:rsidP="00DD0012">
            <w:pPr>
              <w:pStyle w:val="TableBody"/>
              <w:spacing w:before="42" w:after="42"/>
              <w:ind w:right="108"/>
              <w:rPr>
                <w:rFonts w:cs="Open Sans"/>
              </w:rPr>
            </w:pPr>
            <w:r w:rsidRPr="004567AB">
              <w:rPr>
                <w:rFonts w:cs="Open Sans"/>
                <w:szCs w:val="22"/>
              </w:rPr>
              <w:t>Erland Francis Happ</w:t>
            </w:r>
          </w:p>
        </w:tc>
        <w:tc>
          <w:tcPr>
            <w:tcW w:w="808" w:type="pct"/>
            <w:tcBorders>
              <w:top w:val="nil"/>
              <w:bottom w:val="nil"/>
            </w:tcBorders>
            <w:shd w:val="clear" w:color="000000" w:fill="auto"/>
          </w:tcPr>
          <w:p w14:paraId="6ED59222" w14:textId="77777777" w:rsidR="003A4F41" w:rsidRPr="002C71A6" w:rsidRDefault="003A4F41" w:rsidP="00DD0012">
            <w:pPr>
              <w:pStyle w:val="TableBody"/>
              <w:spacing w:before="42" w:after="42"/>
              <w:ind w:right="108"/>
              <w:jc w:val="right"/>
              <w:rPr>
                <w:rFonts w:cs="Open Sans"/>
              </w:rPr>
            </w:pPr>
            <w:r w:rsidRPr="002C71A6">
              <w:rPr>
                <w:rFonts w:cs="Open Sans"/>
                <w:szCs w:val="22"/>
              </w:rPr>
              <w:t>89</w:t>
            </w:r>
          </w:p>
        </w:tc>
      </w:tr>
      <w:tr w:rsidR="003A4F41" w:rsidRPr="00D9163E" w14:paraId="176A2204" w14:textId="77777777">
        <w:tc>
          <w:tcPr>
            <w:tcW w:w="4192" w:type="pct"/>
            <w:tcBorders>
              <w:bottom w:val="nil"/>
            </w:tcBorders>
            <w:shd w:val="clear" w:color="000000" w:fill="E6E6E6"/>
          </w:tcPr>
          <w:p w14:paraId="3CD90022" w14:textId="77777777" w:rsidR="003A4F41" w:rsidRPr="004567AB" w:rsidRDefault="003A4F41" w:rsidP="00DD0012">
            <w:pPr>
              <w:pStyle w:val="TableBody"/>
              <w:spacing w:before="42" w:after="42"/>
              <w:ind w:right="108"/>
              <w:rPr>
                <w:rFonts w:cs="Open Sans"/>
              </w:rPr>
            </w:pPr>
            <w:r w:rsidRPr="004567AB">
              <w:rPr>
                <w:rFonts w:cs="Open Sans"/>
                <w:szCs w:val="22"/>
              </w:rPr>
              <w:t>Faith Housing Australia (FHA)</w:t>
            </w:r>
          </w:p>
        </w:tc>
        <w:tc>
          <w:tcPr>
            <w:tcW w:w="808" w:type="pct"/>
            <w:tcBorders>
              <w:bottom w:val="nil"/>
            </w:tcBorders>
            <w:shd w:val="clear" w:color="000000" w:fill="E6E6E6"/>
          </w:tcPr>
          <w:p w14:paraId="6BE6FC4E" w14:textId="77777777" w:rsidR="003A4F41" w:rsidRPr="002C71A6" w:rsidRDefault="003A4F41" w:rsidP="00DD0012">
            <w:pPr>
              <w:pStyle w:val="TableBody"/>
              <w:spacing w:before="42" w:after="42"/>
              <w:ind w:right="108"/>
              <w:jc w:val="right"/>
              <w:rPr>
                <w:rFonts w:cs="Open Sans"/>
              </w:rPr>
            </w:pPr>
            <w:r w:rsidRPr="002C71A6">
              <w:rPr>
                <w:rFonts w:cs="Open Sans"/>
                <w:szCs w:val="22"/>
              </w:rPr>
              <w:t>79</w:t>
            </w:r>
          </w:p>
        </w:tc>
      </w:tr>
      <w:tr w:rsidR="003A4F41" w:rsidRPr="00D9163E" w14:paraId="0709BC69" w14:textId="77777777">
        <w:tc>
          <w:tcPr>
            <w:tcW w:w="4192" w:type="pct"/>
            <w:tcBorders>
              <w:top w:val="nil"/>
              <w:bottom w:val="nil"/>
            </w:tcBorders>
            <w:shd w:val="clear" w:color="000000" w:fill="auto"/>
          </w:tcPr>
          <w:p w14:paraId="5DA7B9A9" w14:textId="77777777" w:rsidR="003A4F41" w:rsidRPr="004567AB" w:rsidRDefault="003A4F41" w:rsidP="00DD0012">
            <w:pPr>
              <w:pStyle w:val="TableBody"/>
              <w:spacing w:before="42" w:after="42"/>
              <w:ind w:right="108"/>
              <w:rPr>
                <w:rFonts w:cs="Open Sans"/>
              </w:rPr>
            </w:pPr>
            <w:r w:rsidRPr="004567AB">
              <w:rPr>
                <w:rFonts w:cs="Open Sans"/>
                <w:szCs w:val="22"/>
              </w:rPr>
              <w:t>Fresh Economic Thinking</w:t>
            </w:r>
          </w:p>
        </w:tc>
        <w:tc>
          <w:tcPr>
            <w:tcW w:w="808" w:type="pct"/>
            <w:tcBorders>
              <w:top w:val="nil"/>
              <w:bottom w:val="nil"/>
            </w:tcBorders>
            <w:shd w:val="clear" w:color="000000" w:fill="auto"/>
          </w:tcPr>
          <w:p w14:paraId="068A69CE" w14:textId="77777777" w:rsidR="003A4F41" w:rsidRPr="002C71A6" w:rsidRDefault="003A4F41" w:rsidP="00DD0012">
            <w:pPr>
              <w:pStyle w:val="TableBody"/>
              <w:spacing w:before="42" w:after="42"/>
              <w:ind w:right="108"/>
              <w:jc w:val="right"/>
              <w:rPr>
                <w:rFonts w:cs="Open Sans"/>
              </w:rPr>
            </w:pPr>
            <w:r w:rsidRPr="002C71A6">
              <w:rPr>
                <w:rFonts w:cs="Open Sans"/>
                <w:szCs w:val="22"/>
              </w:rPr>
              <w:t>66</w:t>
            </w:r>
          </w:p>
        </w:tc>
      </w:tr>
      <w:tr w:rsidR="003A4F41" w:rsidRPr="00D9163E" w14:paraId="47C99DF3" w14:textId="77777777">
        <w:tc>
          <w:tcPr>
            <w:tcW w:w="4192" w:type="pct"/>
            <w:tcBorders>
              <w:bottom w:val="nil"/>
            </w:tcBorders>
            <w:shd w:val="clear" w:color="000000" w:fill="E6E6E6"/>
          </w:tcPr>
          <w:p w14:paraId="1B8DC0F1" w14:textId="77777777" w:rsidR="003A4F41" w:rsidRPr="004567AB" w:rsidRDefault="003A4F41" w:rsidP="00DD0012">
            <w:pPr>
              <w:pStyle w:val="TableBody"/>
              <w:spacing w:before="42" w:after="42"/>
              <w:ind w:right="108"/>
              <w:rPr>
                <w:rFonts w:cs="Open Sans"/>
              </w:rPr>
            </w:pPr>
            <w:r w:rsidRPr="004567AB">
              <w:rPr>
                <w:rFonts w:cs="Open Sans"/>
                <w:szCs w:val="22"/>
              </w:rPr>
              <w:t>Future Building Initiative, Monash University</w:t>
            </w:r>
          </w:p>
        </w:tc>
        <w:tc>
          <w:tcPr>
            <w:tcW w:w="808" w:type="pct"/>
            <w:tcBorders>
              <w:bottom w:val="nil"/>
            </w:tcBorders>
            <w:shd w:val="clear" w:color="000000" w:fill="E6E6E6"/>
          </w:tcPr>
          <w:p w14:paraId="282FAB41" w14:textId="77777777" w:rsidR="003A4F41" w:rsidRPr="002C71A6" w:rsidRDefault="003A4F41" w:rsidP="00DD0012">
            <w:pPr>
              <w:pStyle w:val="TableBody"/>
              <w:spacing w:before="42" w:after="42"/>
              <w:ind w:right="108"/>
              <w:jc w:val="right"/>
              <w:rPr>
                <w:rFonts w:cs="Open Sans"/>
              </w:rPr>
            </w:pPr>
            <w:r w:rsidRPr="002C71A6">
              <w:rPr>
                <w:rFonts w:cs="Open Sans"/>
                <w:szCs w:val="22"/>
              </w:rPr>
              <w:t>40</w:t>
            </w:r>
          </w:p>
        </w:tc>
      </w:tr>
      <w:tr w:rsidR="003A4F41" w:rsidRPr="00D9163E" w14:paraId="6EC9F98F" w14:textId="77777777">
        <w:tc>
          <w:tcPr>
            <w:tcW w:w="4192" w:type="pct"/>
            <w:tcBorders>
              <w:top w:val="nil"/>
              <w:bottom w:val="nil"/>
            </w:tcBorders>
            <w:shd w:val="clear" w:color="000000" w:fill="auto"/>
          </w:tcPr>
          <w:p w14:paraId="1CBD5C1B" w14:textId="77777777" w:rsidR="003A4F41" w:rsidRPr="004567AB" w:rsidRDefault="003A4F41" w:rsidP="00DD0012">
            <w:pPr>
              <w:pStyle w:val="TableBody"/>
              <w:spacing w:before="42" w:after="42"/>
              <w:ind w:right="108"/>
              <w:rPr>
                <w:rFonts w:cs="Open Sans"/>
              </w:rPr>
            </w:pPr>
            <w:r w:rsidRPr="004567AB">
              <w:rPr>
                <w:rFonts w:cs="Open Sans"/>
                <w:szCs w:val="22"/>
              </w:rPr>
              <w:t>Glen Searle</w:t>
            </w:r>
          </w:p>
        </w:tc>
        <w:tc>
          <w:tcPr>
            <w:tcW w:w="808" w:type="pct"/>
            <w:tcBorders>
              <w:top w:val="nil"/>
              <w:bottom w:val="nil"/>
            </w:tcBorders>
            <w:shd w:val="clear" w:color="000000" w:fill="auto"/>
          </w:tcPr>
          <w:p w14:paraId="27832FB5" w14:textId="77777777" w:rsidR="003A4F41" w:rsidRPr="002C71A6" w:rsidRDefault="003A4F41" w:rsidP="00DD0012">
            <w:pPr>
              <w:pStyle w:val="TableBody"/>
              <w:spacing w:before="42" w:after="42"/>
              <w:ind w:right="108"/>
              <w:jc w:val="right"/>
              <w:rPr>
                <w:rFonts w:cs="Open Sans"/>
              </w:rPr>
            </w:pPr>
            <w:r w:rsidRPr="002C71A6">
              <w:rPr>
                <w:rFonts w:cs="Open Sans"/>
                <w:szCs w:val="22"/>
              </w:rPr>
              <w:t>3</w:t>
            </w:r>
          </w:p>
        </w:tc>
      </w:tr>
      <w:tr w:rsidR="003A4F41" w:rsidRPr="00D9163E" w14:paraId="1586A712" w14:textId="77777777">
        <w:tc>
          <w:tcPr>
            <w:tcW w:w="4192" w:type="pct"/>
            <w:tcBorders>
              <w:bottom w:val="nil"/>
            </w:tcBorders>
            <w:shd w:val="clear" w:color="000000" w:fill="E6E6E6"/>
          </w:tcPr>
          <w:p w14:paraId="5577D5BD" w14:textId="77777777" w:rsidR="003A4F41" w:rsidRPr="004567AB" w:rsidRDefault="003A4F41" w:rsidP="00DD0012">
            <w:pPr>
              <w:pStyle w:val="TableBody"/>
              <w:spacing w:before="42" w:after="42"/>
              <w:ind w:right="108"/>
              <w:rPr>
                <w:rFonts w:cs="Open Sans"/>
              </w:rPr>
            </w:pPr>
            <w:r w:rsidRPr="004567AB">
              <w:rPr>
                <w:rFonts w:cs="Open Sans"/>
                <w:szCs w:val="22"/>
              </w:rPr>
              <w:t>Global Ecovillage Network Australia (GEN Australia)</w:t>
            </w:r>
          </w:p>
        </w:tc>
        <w:tc>
          <w:tcPr>
            <w:tcW w:w="808" w:type="pct"/>
            <w:tcBorders>
              <w:bottom w:val="nil"/>
            </w:tcBorders>
            <w:shd w:val="clear" w:color="000000" w:fill="E6E6E6"/>
          </w:tcPr>
          <w:p w14:paraId="714F97FD" w14:textId="77777777" w:rsidR="003A4F41" w:rsidRPr="002C71A6" w:rsidRDefault="003A4F41" w:rsidP="00DD0012">
            <w:pPr>
              <w:pStyle w:val="TableBody"/>
              <w:spacing w:before="42" w:after="42"/>
              <w:ind w:right="108"/>
              <w:jc w:val="right"/>
              <w:rPr>
                <w:rFonts w:cs="Open Sans"/>
              </w:rPr>
            </w:pPr>
            <w:r w:rsidRPr="002C71A6">
              <w:rPr>
                <w:rFonts w:cs="Open Sans"/>
                <w:szCs w:val="22"/>
              </w:rPr>
              <w:t>62</w:t>
            </w:r>
          </w:p>
        </w:tc>
      </w:tr>
      <w:tr w:rsidR="003A4F41" w:rsidRPr="00D9163E" w14:paraId="10B7EFA4" w14:textId="77777777">
        <w:tc>
          <w:tcPr>
            <w:tcW w:w="4192" w:type="pct"/>
            <w:tcBorders>
              <w:top w:val="nil"/>
              <w:bottom w:val="nil"/>
            </w:tcBorders>
            <w:shd w:val="clear" w:color="000000" w:fill="auto"/>
          </w:tcPr>
          <w:p w14:paraId="69C40F37" w14:textId="77777777" w:rsidR="003A4F41" w:rsidRPr="004567AB" w:rsidRDefault="003A4F41" w:rsidP="00DD0012">
            <w:pPr>
              <w:pStyle w:val="TableBody"/>
              <w:spacing w:before="42" w:after="42"/>
              <w:ind w:right="108"/>
              <w:rPr>
                <w:rFonts w:cs="Open Sans"/>
              </w:rPr>
            </w:pPr>
            <w:r w:rsidRPr="004567AB">
              <w:rPr>
                <w:rFonts w:cs="Open Sans"/>
                <w:szCs w:val="22"/>
              </w:rPr>
              <w:t>Grattan Institute</w:t>
            </w:r>
          </w:p>
        </w:tc>
        <w:tc>
          <w:tcPr>
            <w:tcW w:w="808" w:type="pct"/>
            <w:tcBorders>
              <w:top w:val="nil"/>
              <w:bottom w:val="nil"/>
            </w:tcBorders>
            <w:shd w:val="clear" w:color="000000" w:fill="auto"/>
          </w:tcPr>
          <w:p w14:paraId="21889B3B" w14:textId="77777777" w:rsidR="003A4F41" w:rsidRPr="002C71A6" w:rsidRDefault="003A4F41" w:rsidP="00DD0012">
            <w:pPr>
              <w:pStyle w:val="TableBody"/>
              <w:spacing w:before="42" w:after="42"/>
              <w:ind w:right="108"/>
              <w:jc w:val="right"/>
              <w:rPr>
                <w:rFonts w:cs="Open Sans"/>
              </w:rPr>
            </w:pPr>
            <w:r w:rsidRPr="002C71A6">
              <w:rPr>
                <w:rFonts w:cs="Open Sans"/>
                <w:szCs w:val="22"/>
              </w:rPr>
              <w:t>81</w:t>
            </w:r>
          </w:p>
        </w:tc>
      </w:tr>
      <w:tr w:rsidR="003A4F41" w:rsidRPr="00D9163E" w14:paraId="0F806008" w14:textId="77777777">
        <w:tc>
          <w:tcPr>
            <w:tcW w:w="4192" w:type="pct"/>
            <w:tcBorders>
              <w:bottom w:val="nil"/>
            </w:tcBorders>
            <w:shd w:val="clear" w:color="000000" w:fill="E6E6E6"/>
          </w:tcPr>
          <w:p w14:paraId="7B712BCF" w14:textId="77777777" w:rsidR="003A4F41" w:rsidRPr="004567AB" w:rsidRDefault="003A4F41" w:rsidP="00DD0012">
            <w:pPr>
              <w:pStyle w:val="TableBody"/>
              <w:spacing w:before="42" w:after="42"/>
              <w:ind w:right="108"/>
              <w:rPr>
                <w:rFonts w:cs="Open Sans"/>
              </w:rPr>
            </w:pPr>
            <w:r w:rsidRPr="004567AB">
              <w:rPr>
                <w:rFonts w:cs="Open Sans"/>
                <w:szCs w:val="22"/>
              </w:rPr>
              <w:t>Green Building Council Australia (GBCA)</w:t>
            </w:r>
          </w:p>
        </w:tc>
        <w:tc>
          <w:tcPr>
            <w:tcW w:w="808" w:type="pct"/>
            <w:tcBorders>
              <w:bottom w:val="nil"/>
            </w:tcBorders>
            <w:shd w:val="clear" w:color="000000" w:fill="E6E6E6"/>
          </w:tcPr>
          <w:p w14:paraId="3FAA9E1C" w14:textId="77777777" w:rsidR="003A4F41" w:rsidRPr="002C71A6" w:rsidRDefault="003A4F41" w:rsidP="00DD0012">
            <w:pPr>
              <w:pStyle w:val="TableBody"/>
              <w:spacing w:before="42" w:after="42"/>
              <w:ind w:right="108"/>
              <w:jc w:val="right"/>
              <w:rPr>
                <w:rFonts w:cs="Open Sans"/>
              </w:rPr>
            </w:pPr>
            <w:r w:rsidRPr="002C71A6">
              <w:rPr>
                <w:rFonts w:cs="Open Sans"/>
                <w:szCs w:val="22"/>
              </w:rPr>
              <w:t>58</w:t>
            </w:r>
          </w:p>
        </w:tc>
      </w:tr>
      <w:tr w:rsidR="003A4F41" w:rsidRPr="00D9163E" w14:paraId="01AF9D00" w14:textId="77777777">
        <w:tc>
          <w:tcPr>
            <w:tcW w:w="4192" w:type="pct"/>
            <w:tcBorders>
              <w:top w:val="nil"/>
              <w:bottom w:val="nil"/>
            </w:tcBorders>
            <w:shd w:val="clear" w:color="000000" w:fill="auto"/>
          </w:tcPr>
          <w:p w14:paraId="4AF0CDCD" w14:textId="77777777" w:rsidR="003A4F41" w:rsidRPr="004567AB" w:rsidRDefault="003A4F41" w:rsidP="00DD0012">
            <w:pPr>
              <w:pStyle w:val="TableBody"/>
              <w:spacing w:before="42" w:after="42"/>
              <w:ind w:right="108"/>
              <w:rPr>
                <w:rFonts w:cs="Open Sans"/>
              </w:rPr>
            </w:pPr>
            <w:r w:rsidRPr="004567AB">
              <w:rPr>
                <w:rFonts w:cs="Open Sans"/>
                <w:szCs w:val="22"/>
              </w:rPr>
              <w:t>Housing All Australians (HAA)</w:t>
            </w:r>
          </w:p>
        </w:tc>
        <w:tc>
          <w:tcPr>
            <w:tcW w:w="808" w:type="pct"/>
            <w:tcBorders>
              <w:top w:val="nil"/>
              <w:bottom w:val="nil"/>
            </w:tcBorders>
            <w:shd w:val="clear" w:color="000000" w:fill="auto"/>
          </w:tcPr>
          <w:p w14:paraId="13140279" w14:textId="77777777" w:rsidR="003A4F41" w:rsidRPr="002C71A6" w:rsidRDefault="003A4F41" w:rsidP="00DD0012">
            <w:pPr>
              <w:pStyle w:val="TableBody"/>
              <w:spacing w:before="42" w:after="42"/>
              <w:ind w:right="108"/>
              <w:jc w:val="right"/>
              <w:rPr>
                <w:rFonts w:cs="Open Sans"/>
              </w:rPr>
            </w:pPr>
            <w:r w:rsidRPr="002C71A6">
              <w:rPr>
                <w:rFonts w:cs="Open Sans"/>
                <w:szCs w:val="22"/>
              </w:rPr>
              <w:t>80</w:t>
            </w:r>
          </w:p>
        </w:tc>
      </w:tr>
      <w:tr w:rsidR="003A4F41" w:rsidRPr="00D9163E" w14:paraId="481B8C79" w14:textId="77777777">
        <w:tc>
          <w:tcPr>
            <w:tcW w:w="4192" w:type="pct"/>
            <w:tcBorders>
              <w:bottom w:val="nil"/>
            </w:tcBorders>
            <w:shd w:val="clear" w:color="000000" w:fill="E6E6E6"/>
          </w:tcPr>
          <w:p w14:paraId="4926AF96" w14:textId="77777777" w:rsidR="003A4F41" w:rsidRPr="004567AB" w:rsidRDefault="003A4F41" w:rsidP="00DD0012">
            <w:pPr>
              <w:pStyle w:val="TableBody"/>
              <w:spacing w:before="42" w:after="42"/>
              <w:ind w:right="108"/>
              <w:rPr>
                <w:rFonts w:cs="Open Sans"/>
              </w:rPr>
            </w:pPr>
            <w:r w:rsidRPr="004567AB">
              <w:rPr>
                <w:rFonts w:cs="Open Sans"/>
                <w:szCs w:val="22"/>
              </w:rPr>
              <w:t>Housing Industry A</w:t>
            </w:r>
            <w:r>
              <w:rPr>
                <w:rFonts w:cs="Open Sans"/>
                <w:szCs w:val="22"/>
              </w:rPr>
              <w:t>ssociation</w:t>
            </w:r>
            <w:r w:rsidRPr="004567AB">
              <w:rPr>
                <w:rFonts w:cs="Open Sans"/>
                <w:szCs w:val="22"/>
              </w:rPr>
              <w:t xml:space="preserve"> (HIA)</w:t>
            </w:r>
          </w:p>
        </w:tc>
        <w:tc>
          <w:tcPr>
            <w:tcW w:w="808" w:type="pct"/>
            <w:tcBorders>
              <w:bottom w:val="nil"/>
            </w:tcBorders>
            <w:shd w:val="clear" w:color="000000" w:fill="E6E6E6"/>
          </w:tcPr>
          <w:p w14:paraId="6C2AFC3C" w14:textId="77777777" w:rsidR="003A4F41" w:rsidRPr="002C71A6" w:rsidRDefault="003A4F41" w:rsidP="00DD0012">
            <w:pPr>
              <w:pStyle w:val="TableBody"/>
              <w:spacing w:before="42" w:after="42"/>
              <w:ind w:right="108"/>
              <w:jc w:val="right"/>
              <w:rPr>
                <w:rFonts w:cs="Open Sans"/>
              </w:rPr>
            </w:pPr>
            <w:r w:rsidRPr="002C71A6">
              <w:rPr>
                <w:rFonts w:cs="Open Sans"/>
                <w:szCs w:val="22"/>
              </w:rPr>
              <w:t>25</w:t>
            </w:r>
          </w:p>
        </w:tc>
      </w:tr>
      <w:tr w:rsidR="003A4F41" w:rsidRPr="00D9163E" w14:paraId="6D5D444A" w14:textId="77777777">
        <w:tc>
          <w:tcPr>
            <w:tcW w:w="4192" w:type="pct"/>
            <w:tcBorders>
              <w:top w:val="nil"/>
              <w:bottom w:val="nil"/>
            </w:tcBorders>
            <w:shd w:val="clear" w:color="000000" w:fill="auto"/>
          </w:tcPr>
          <w:p w14:paraId="63E8CF67" w14:textId="77777777" w:rsidR="003A4F41" w:rsidRPr="004567AB" w:rsidRDefault="003A4F41" w:rsidP="00DD0012">
            <w:pPr>
              <w:pStyle w:val="TableBody"/>
              <w:spacing w:before="42" w:after="42"/>
              <w:ind w:right="108"/>
              <w:rPr>
                <w:rFonts w:cs="Open Sans"/>
              </w:rPr>
            </w:pPr>
            <w:r w:rsidRPr="004567AB">
              <w:rPr>
                <w:rFonts w:cs="Open Sans"/>
                <w:szCs w:val="22"/>
              </w:rPr>
              <w:t>Housing Older Women Movement</w:t>
            </w:r>
          </w:p>
        </w:tc>
        <w:tc>
          <w:tcPr>
            <w:tcW w:w="808" w:type="pct"/>
            <w:tcBorders>
              <w:top w:val="nil"/>
              <w:bottom w:val="nil"/>
            </w:tcBorders>
            <w:shd w:val="clear" w:color="000000" w:fill="auto"/>
          </w:tcPr>
          <w:p w14:paraId="75698D43" w14:textId="77777777" w:rsidR="003A4F41" w:rsidRPr="002C71A6" w:rsidRDefault="003A4F41" w:rsidP="00DD0012">
            <w:pPr>
              <w:pStyle w:val="TableBody"/>
              <w:spacing w:before="42" w:after="42"/>
              <w:ind w:right="108"/>
              <w:jc w:val="right"/>
              <w:rPr>
                <w:rFonts w:cs="Open Sans"/>
              </w:rPr>
            </w:pPr>
            <w:r w:rsidRPr="002C71A6">
              <w:rPr>
                <w:rFonts w:cs="Open Sans"/>
                <w:szCs w:val="22"/>
              </w:rPr>
              <w:t>14</w:t>
            </w:r>
          </w:p>
        </w:tc>
      </w:tr>
      <w:tr w:rsidR="003A4F41" w:rsidRPr="00D9163E" w14:paraId="1499911B" w14:textId="77777777">
        <w:tc>
          <w:tcPr>
            <w:tcW w:w="4192" w:type="pct"/>
            <w:tcBorders>
              <w:bottom w:val="nil"/>
            </w:tcBorders>
            <w:shd w:val="clear" w:color="000000" w:fill="E6E6E6"/>
          </w:tcPr>
          <w:p w14:paraId="2E11BBF3" w14:textId="77777777" w:rsidR="003A4F41" w:rsidRPr="004567AB" w:rsidRDefault="003A4F41" w:rsidP="00DD0012">
            <w:pPr>
              <w:pStyle w:val="TableBody"/>
              <w:spacing w:before="42" w:after="42"/>
              <w:ind w:right="108"/>
              <w:rPr>
                <w:rFonts w:cs="Open Sans"/>
              </w:rPr>
            </w:pPr>
            <w:r w:rsidRPr="004567AB">
              <w:rPr>
                <w:rFonts w:cs="Open Sans"/>
                <w:szCs w:val="22"/>
              </w:rPr>
              <w:t>Hume Community Housing</w:t>
            </w:r>
          </w:p>
        </w:tc>
        <w:tc>
          <w:tcPr>
            <w:tcW w:w="808" w:type="pct"/>
            <w:tcBorders>
              <w:bottom w:val="nil"/>
            </w:tcBorders>
            <w:shd w:val="clear" w:color="000000" w:fill="E6E6E6"/>
          </w:tcPr>
          <w:p w14:paraId="796436DC" w14:textId="77777777" w:rsidR="003A4F41" w:rsidRPr="002C71A6" w:rsidRDefault="003A4F41" w:rsidP="00DD0012">
            <w:pPr>
              <w:pStyle w:val="TableBody"/>
              <w:spacing w:before="42" w:after="42"/>
              <w:ind w:right="108"/>
              <w:jc w:val="right"/>
              <w:rPr>
                <w:rFonts w:cs="Open Sans"/>
              </w:rPr>
            </w:pPr>
            <w:r w:rsidRPr="002C71A6">
              <w:rPr>
                <w:rFonts w:cs="Open Sans"/>
                <w:szCs w:val="22"/>
              </w:rPr>
              <w:t>26</w:t>
            </w:r>
          </w:p>
        </w:tc>
      </w:tr>
      <w:tr w:rsidR="003A4F41" w:rsidRPr="00D9163E" w14:paraId="19DD2CA4" w14:textId="77777777">
        <w:tc>
          <w:tcPr>
            <w:tcW w:w="4192" w:type="pct"/>
            <w:tcBorders>
              <w:top w:val="nil"/>
              <w:bottom w:val="nil"/>
            </w:tcBorders>
            <w:shd w:val="clear" w:color="000000" w:fill="auto"/>
          </w:tcPr>
          <w:p w14:paraId="626083F6" w14:textId="77777777" w:rsidR="003A4F41" w:rsidRPr="004567AB" w:rsidRDefault="003A4F41" w:rsidP="00DD0012">
            <w:pPr>
              <w:pStyle w:val="TableBody"/>
              <w:spacing w:before="42" w:after="42"/>
              <w:ind w:right="108"/>
              <w:rPr>
                <w:rFonts w:cs="Open Sans"/>
              </w:rPr>
            </w:pPr>
            <w:r w:rsidRPr="004567AB">
              <w:rPr>
                <w:rFonts w:cs="Open Sans"/>
                <w:szCs w:val="22"/>
              </w:rPr>
              <w:t>Institute of Public Affairs (IPA)</w:t>
            </w:r>
          </w:p>
        </w:tc>
        <w:tc>
          <w:tcPr>
            <w:tcW w:w="808" w:type="pct"/>
            <w:tcBorders>
              <w:top w:val="nil"/>
              <w:bottom w:val="nil"/>
            </w:tcBorders>
            <w:shd w:val="clear" w:color="000000" w:fill="auto"/>
          </w:tcPr>
          <w:p w14:paraId="2BB35553" w14:textId="77777777" w:rsidR="003A4F41" w:rsidRPr="002C71A6" w:rsidRDefault="003A4F41" w:rsidP="00DD0012">
            <w:pPr>
              <w:pStyle w:val="TableBody"/>
              <w:spacing w:before="42" w:after="42"/>
              <w:ind w:right="108"/>
              <w:jc w:val="right"/>
              <w:rPr>
                <w:rFonts w:cs="Open Sans"/>
              </w:rPr>
            </w:pPr>
            <w:r w:rsidRPr="002C71A6">
              <w:rPr>
                <w:rFonts w:cs="Open Sans"/>
                <w:szCs w:val="22"/>
              </w:rPr>
              <w:t>33</w:t>
            </w:r>
          </w:p>
        </w:tc>
      </w:tr>
      <w:tr w:rsidR="003A4F41" w:rsidRPr="00D9163E" w14:paraId="40FE6706" w14:textId="77777777">
        <w:tc>
          <w:tcPr>
            <w:tcW w:w="4192" w:type="pct"/>
            <w:tcBorders>
              <w:bottom w:val="nil"/>
            </w:tcBorders>
            <w:shd w:val="clear" w:color="000000" w:fill="E6E6E6"/>
          </w:tcPr>
          <w:p w14:paraId="55066119" w14:textId="77777777" w:rsidR="003A4F41" w:rsidRPr="004567AB" w:rsidRDefault="003A4F41" w:rsidP="00DD0012">
            <w:pPr>
              <w:pStyle w:val="TableBody"/>
              <w:spacing w:before="42" w:after="42"/>
              <w:ind w:right="108"/>
              <w:rPr>
                <w:rFonts w:cs="Open Sans"/>
              </w:rPr>
            </w:pPr>
            <w:r w:rsidRPr="004567AB">
              <w:rPr>
                <w:rFonts w:cs="Open Sans"/>
                <w:szCs w:val="22"/>
              </w:rPr>
              <w:t>Insurance Council of Australia (ICA)</w:t>
            </w:r>
          </w:p>
        </w:tc>
        <w:tc>
          <w:tcPr>
            <w:tcW w:w="808" w:type="pct"/>
            <w:tcBorders>
              <w:bottom w:val="nil"/>
            </w:tcBorders>
            <w:shd w:val="clear" w:color="000000" w:fill="E6E6E6"/>
          </w:tcPr>
          <w:p w14:paraId="70C7EDE5" w14:textId="77777777" w:rsidR="003A4F41" w:rsidRPr="002C71A6" w:rsidRDefault="003A4F41" w:rsidP="00DD0012">
            <w:pPr>
              <w:pStyle w:val="TableBody"/>
              <w:spacing w:before="42" w:after="42"/>
              <w:ind w:right="108"/>
              <w:jc w:val="right"/>
              <w:rPr>
                <w:rFonts w:cs="Open Sans"/>
              </w:rPr>
            </w:pPr>
            <w:r w:rsidRPr="002C71A6">
              <w:rPr>
                <w:rFonts w:cs="Open Sans"/>
                <w:szCs w:val="22"/>
              </w:rPr>
              <w:t>19</w:t>
            </w:r>
          </w:p>
        </w:tc>
      </w:tr>
      <w:tr w:rsidR="003A4F41" w:rsidRPr="00D9163E" w14:paraId="13A5F262" w14:textId="77777777">
        <w:tc>
          <w:tcPr>
            <w:tcW w:w="4192" w:type="pct"/>
            <w:tcBorders>
              <w:top w:val="nil"/>
              <w:bottom w:val="nil"/>
            </w:tcBorders>
            <w:shd w:val="clear" w:color="000000" w:fill="auto"/>
          </w:tcPr>
          <w:p w14:paraId="7AC31C54" w14:textId="77777777" w:rsidR="003A4F41" w:rsidRPr="004567AB" w:rsidRDefault="003A4F41" w:rsidP="00DD0012">
            <w:pPr>
              <w:pStyle w:val="TableBody"/>
              <w:spacing w:before="42" w:after="42"/>
              <w:ind w:right="108"/>
              <w:rPr>
                <w:rFonts w:cs="Open Sans"/>
              </w:rPr>
            </w:pPr>
            <w:r w:rsidRPr="004567AB">
              <w:rPr>
                <w:rFonts w:cs="Open Sans"/>
                <w:szCs w:val="22"/>
              </w:rPr>
              <w:t>Landscaping Victoria</w:t>
            </w:r>
          </w:p>
        </w:tc>
        <w:tc>
          <w:tcPr>
            <w:tcW w:w="808" w:type="pct"/>
            <w:tcBorders>
              <w:top w:val="nil"/>
              <w:bottom w:val="nil"/>
            </w:tcBorders>
            <w:shd w:val="clear" w:color="000000" w:fill="auto"/>
          </w:tcPr>
          <w:p w14:paraId="2A22C9D6" w14:textId="77777777" w:rsidR="003A4F41" w:rsidRPr="002C71A6" w:rsidRDefault="003A4F41" w:rsidP="00DD0012">
            <w:pPr>
              <w:pStyle w:val="TableBody"/>
              <w:spacing w:before="42" w:after="42"/>
              <w:ind w:right="108"/>
              <w:jc w:val="right"/>
              <w:rPr>
                <w:rFonts w:cs="Open Sans"/>
              </w:rPr>
            </w:pPr>
            <w:r w:rsidRPr="002C71A6">
              <w:rPr>
                <w:rFonts w:cs="Open Sans"/>
                <w:szCs w:val="22"/>
              </w:rPr>
              <w:t>5</w:t>
            </w:r>
          </w:p>
        </w:tc>
      </w:tr>
      <w:tr w:rsidR="003A4F41" w:rsidRPr="00D9163E" w14:paraId="7255DB60" w14:textId="77777777">
        <w:tc>
          <w:tcPr>
            <w:tcW w:w="4192" w:type="pct"/>
            <w:tcBorders>
              <w:bottom w:val="nil"/>
            </w:tcBorders>
            <w:shd w:val="clear" w:color="000000" w:fill="E6E6E6"/>
          </w:tcPr>
          <w:p w14:paraId="605052B2" w14:textId="77777777" w:rsidR="003A4F41" w:rsidRPr="004567AB" w:rsidRDefault="003A4F41" w:rsidP="00DD0012">
            <w:pPr>
              <w:pStyle w:val="TableBody"/>
              <w:spacing w:before="42" w:after="42"/>
              <w:ind w:right="108"/>
              <w:rPr>
                <w:rFonts w:cs="Open Sans"/>
              </w:rPr>
            </w:pPr>
            <w:r w:rsidRPr="004567AB">
              <w:rPr>
                <w:rFonts w:cs="Open Sans"/>
                <w:szCs w:val="22"/>
              </w:rPr>
              <w:t>Le Mottee Group</w:t>
            </w:r>
          </w:p>
        </w:tc>
        <w:tc>
          <w:tcPr>
            <w:tcW w:w="808" w:type="pct"/>
            <w:tcBorders>
              <w:bottom w:val="nil"/>
            </w:tcBorders>
            <w:shd w:val="clear" w:color="000000" w:fill="E6E6E6"/>
          </w:tcPr>
          <w:p w14:paraId="0481603E" w14:textId="77777777" w:rsidR="003A4F41" w:rsidRPr="002C71A6" w:rsidRDefault="003A4F41" w:rsidP="00DD0012">
            <w:pPr>
              <w:pStyle w:val="TableBody"/>
              <w:spacing w:before="42" w:after="42"/>
              <w:ind w:right="108"/>
              <w:jc w:val="right"/>
              <w:rPr>
                <w:rFonts w:cs="Open Sans"/>
              </w:rPr>
            </w:pPr>
            <w:r w:rsidRPr="002C71A6">
              <w:rPr>
                <w:rFonts w:cs="Open Sans"/>
                <w:szCs w:val="22"/>
              </w:rPr>
              <w:t>56</w:t>
            </w:r>
          </w:p>
        </w:tc>
      </w:tr>
      <w:tr w:rsidR="003A4F41" w:rsidRPr="00D9163E" w14:paraId="2DDE7A60" w14:textId="77777777">
        <w:tc>
          <w:tcPr>
            <w:tcW w:w="4192" w:type="pct"/>
            <w:tcBorders>
              <w:top w:val="nil"/>
              <w:bottom w:val="nil"/>
            </w:tcBorders>
            <w:shd w:val="clear" w:color="000000" w:fill="auto"/>
          </w:tcPr>
          <w:p w14:paraId="62CDDC32" w14:textId="77777777" w:rsidR="003A4F41" w:rsidRPr="004567AB" w:rsidRDefault="003A4F41" w:rsidP="00DD0012">
            <w:pPr>
              <w:pStyle w:val="TableBody"/>
              <w:spacing w:before="42" w:after="42"/>
              <w:ind w:right="108"/>
              <w:rPr>
                <w:rFonts w:cs="Open Sans"/>
              </w:rPr>
            </w:pPr>
            <w:proofErr w:type="spellStart"/>
            <w:r w:rsidRPr="004567AB">
              <w:rPr>
                <w:rFonts w:cs="Open Sans"/>
                <w:szCs w:val="22"/>
              </w:rPr>
              <w:t>LiveSimply</w:t>
            </w:r>
            <w:proofErr w:type="spellEnd"/>
          </w:p>
        </w:tc>
        <w:tc>
          <w:tcPr>
            <w:tcW w:w="808" w:type="pct"/>
            <w:tcBorders>
              <w:top w:val="nil"/>
              <w:bottom w:val="nil"/>
            </w:tcBorders>
            <w:shd w:val="clear" w:color="000000" w:fill="auto"/>
          </w:tcPr>
          <w:p w14:paraId="0E8560C7" w14:textId="77777777" w:rsidR="003A4F41" w:rsidRPr="002C71A6" w:rsidRDefault="003A4F41" w:rsidP="00DD0012">
            <w:pPr>
              <w:pStyle w:val="TableBody"/>
              <w:spacing w:before="42" w:after="42"/>
              <w:ind w:right="108"/>
              <w:jc w:val="right"/>
              <w:rPr>
                <w:rFonts w:cs="Open Sans"/>
              </w:rPr>
            </w:pPr>
            <w:r w:rsidRPr="002C71A6">
              <w:rPr>
                <w:rFonts w:cs="Open Sans"/>
                <w:szCs w:val="22"/>
              </w:rPr>
              <w:t>49</w:t>
            </w:r>
          </w:p>
        </w:tc>
      </w:tr>
      <w:tr w:rsidR="003A4F41" w:rsidRPr="00D9163E" w14:paraId="23604836" w14:textId="77777777">
        <w:tc>
          <w:tcPr>
            <w:tcW w:w="4192" w:type="pct"/>
            <w:tcBorders>
              <w:bottom w:val="nil"/>
            </w:tcBorders>
            <w:shd w:val="clear" w:color="000000" w:fill="E6E6E6"/>
          </w:tcPr>
          <w:p w14:paraId="4B0984AC" w14:textId="77777777" w:rsidR="003A4F41" w:rsidRPr="004567AB" w:rsidRDefault="003A4F41" w:rsidP="00DD0012">
            <w:pPr>
              <w:pStyle w:val="TableBody"/>
              <w:spacing w:before="42" w:after="42"/>
              <w:ind w:right="108"/>
              <w:rPr>
                <w:rFonts w:cs="Open Sans"/>
              </w:rPr>
            </w:pPr>
            <w:r w:rsidRPr="004567AB">
              <w:rPr>
                <w:rFonts w:cs="Open Sans"/>
                <w:szCs w:val="22"/>
              </w:rPr>
              <w:t>Local Government Association of Queensland</w:t>
            </w:r>
            <w:r>
              <w:rPr>
                <w:rFonts w:cs="Open Sans"/>
                <w:szCs w:val="22"/>
              </w:rPr>
              <w:t xml:space="preserve"> (LGAQ)</w:t>
            </w:r>
          </w:p>
        </w:tc>
        <w:tc>
          <w:tcPr>
            <w:tcW w:w="808" w:type="pct"/>
            <w:tcBorders>
              <w:bottom w:val="nil"/>
            </w:tcBorders>
            <w:shd w:val="clear" w:color="000000" w:fill="E6E6E6"/>
          </w:tcPr>
          <w:p w14:paraId="4733A57B" w14:textId="77777777" w:rsidR="003A4F41" w:rsidRPr="002C71A6" w:rsidRDefault="003A4F41" w:rsidP="00DD0012">
            <w:pPr>
              <w:pStyle w:val="TableBody"/>
              <w:spacing w:before="42" w:after="42"/>
              <w:ind w:right="108"/>
              <w:jc w:val="right"/>
              <w:rPr>
                <w:rFonts w:cs="Open Sans"/>
              </w:rPr>
            </w:pPr>
            <w:r w:rsidRPr="002C71A6">
              <w:rPr>
                <w:rFonts w:cs="Open Sans"/>
                <w:szCs w:val="22"/>
              </w:rPr>
              <w:t>4</w:t>
            </w:r>
          </w:p>
        </w:tc>
      </w:tr>
      <w:tr w:rsidR="003A4F41" w:rsidRPr="00D9163E" w14:paraId="6BDE72F5" w14:textId="77777777">
        <w:tc>
          <w:tcPr>
            <w:tcW w:w="4192" w:type="pct"/>
            <w:tcBorders>
              <w:top w:val="nil"/>
              <w:bottom w:val="nil"/>
            </w:tcBorders>
            <w:shd w:val="clear" w:color="000000" w:fill="auto"/>
          </w:tcPr>
          <w:p w14:paraId="3FBF0201" w14:textId="77777777" w:rsidR="003A4F41" w:rsidRPr="004567AB" w:rsidRDefault="003A4F41" w:rsidP="00DD0012">
            <w:pPr>
              <w:pStyle w:val="TableBody"/>
              <w:spacing w:before="42" w:after="42"/>
              <w:ind w:right="108"/>
              <w:rPr>
                <w:rFonts w:cs="Open Sans"/>
              </w:rPr>
            </w:pPr>
            <w:r w:rsidRPr="004567AB">
              <w:rPr>
                <w:rFonts w:cs="Open Sans"/>
                <w:szCs w:val="22"/>
              </w:rPr>
              <w:t>Local Government Association of Tasmania (LGAT)</w:t>
            </w:r>
          </w:p>
        </w:tc>
        <w:tc>
          <w:tcPr>
            <w:tcW w:w="808" w:type="pct"/>
            <w:tcBorders>
              <w:top w:val="nil"/>
              <w:bottom w:val="nil"/>
            </w:tcBorders>
            <w:shd w:val="clear" w:color="000000" w:fill="auto"/>
          </w:tcPr>
          <w:p w14:paraId="1DBCB7A8" w14:textId="77777777" w:rsidR="003A4F41" w:rsidRPr="002C71A6" w:rsidRDefault="003A4F41" w:rsidP="00DD0012">
            <w:pPr>
              <w:pStyle w:val="TableBody"/>
              <w:spacing w:before="42" w:after="42"/>
              <w:ind w:right="108"/>
              <w:jc w:val="right"/>
              <w:rPr>
                <w:rFonts w:cs="Open Sans"/>
              </w:rPr>
            </w:pPr>
            <w:r w:rsidRPr="002C71A6">
              <w:rPr>
                <w:rFonts w:cs="Open Sans"/>
                <w:szCs w:val="22"/>
              </w:rPr>
              <w:t>78</w:t>
            </w:r>
          </w:p>
        </w:tc>
      </w:tr>
      <w:tr w:rsidR="003A4F41" w:rsidRPr="00D9163E" w14:paraId="3579847A" w14:textId="77777777">
        <w:tc>
          <w:tcPr>
            <w:tcW w:w="4192" w:type="pct"/>
            <w:tcBorders>
              <w:bottom w:val="nil"/>
            </w:tcBorders>
            <w:shd w:val="clear" w:color="000000" w:fill="E6E6E6"/>
          </w:tcPr>
          <w:p w14:paraId="4FED136B" w14:textId="77777777" w:rsidR="003A4F41" w:rsidRPr="004567AB" w:rsidRDefault="003A4F41" w:rsidP="00DD0012">
            <w:pPr>
              <w:pStyle w:val="TableBody"/>
              <w:spacing w:before="42" w:after="42"/>
              <w:ind w:right="108"/>
              <w:rPr>
                <w:rFonts w:cs="Open Sans"/>
              </w:rPr>
            </w:pPr>
            <w:r w:rsidRPr="004567AB">
              <w:rPr>
                <w:rFonts w:cs="Open Sans"/>
                <w:szCs w:val="22"/>
              </w:rPr>
              <w:t>Local Government Association of the Northern Territory (LGANT)</w:t>
            </w:r>
          </w:p>
        </w:tc>
        <w:tc>
          <w:tcPr>
            <w:tcW w:w="808" w:type="pct"/>
            <w:tcBorders>
              <w:bottom w:val="nil"/>
            </w:tcBorders>
            <w:shd w:val="clear" w:color="000000" w:fill="E6E6E6"/>
          </w:tcPr>
          <w:p w14:paraId="550ED7CC" w14:textId="77777777" w:rsidR="003A4F41" w:rsidRPr="002C71A6" w:rsidRDefault="003A4F41" w:rsidP="00DD0012">
            <w:pPr>
              <w:pStyle w:val="TableBody"/>
              <w:spacing w:before="42" w:after="42"/>
              <w:ind w:right="108"/>
              <w:jc w:val="right"/>
              <w:rPr>
                <w:rFonts w:cs="Open Sans"/>
              </w:rPr>
            </w:pPr>
            <w:r w:rsidRPr="002C71A6">
              <w:rPr>
                <w:rFonts w:cs="Open Sans"/>
                <w:szCs w:val="22"/>
              </w:rPr>
              <w:t>36</w:t>
            </w:r>
          </w:p>
        </w:tc>
      </w:tr>
      <w:tr w:rsidR="003A4F41" w:rsidRPr="00D9163E" w14:paraId="046D5FA9" w14:textId="77777777">
        <w:tc>
          <w:tcPr>
            <w:tcW w:w="4192" w:type="pct"/>
            <w:tcBorders>
              <w:top w:val="nil"/>
              <w:bottom w:val="nil"/>
            </w:tcBorders>
            <w:shd w:val="clear" w:color="000000" w:fill="auto"/>
          </w:tcPr>
          <w:p w14:paraId="11DC0E38" w14:textId="77777777" w:rsidR="003A4F41" w:rsidRPr="004567AB" w:rsidRDefault="003A4F41" w:rsidP="00DD0012">
            <w:pPr>
              <w:pStyle w:val="TableBody"/>
              <w:spacing w:before="42" w:after="42"/>
              <w:ind w:right="108"/>
              <w:rPr>
                <w:rFonts w:cs="Open Sans"/>
              </w:rPr>
            </w:pPr>
            <w:r w:rsidRPr="004567AB">
              <w:rPr>
                <w:rFonts w:cs="Open Sans"/>
                <w:szCs w:val="22"/>
              </w:rPr>
              <w:lastRenderedPageBreak/>
              <w:t>Mark Nutting</w:t>
            </w:r>
          </w:p>
        </w:tc>
        <w:tc>
          <w:tcPr>
            <w:tcW w:w="808" w:type="pct"/>
            <w:tcBorders>
              <w:top w:val="nil"/>
              <w:bottom w:val="nil"/>
            </w:tcBorders>
            <w:shd w:val="clear" w:color="000000" w:fill="auto"/>
          </w:tcPr>
          <w:p w14:paraId="421A4246" w14:textId="77777777" w:rsidR="003A4F41" w:rsidRPr="002C71A6" w:rsidRDefault="003A4F41" w:rsidP="00DD0012">
            <w:pPr>
              <w:pStyle w:val="TableBody"/>
              <w:spacing w:before="42" w:after="42"/>
              <w:ind w:right="108"/>
              <w:jc w:val="right"/>
              <w:rPr>
                <w:rFonts w:cs="Open Sans"/>
              </w:rPr>
            </w:pPr>
            <w:r w:rsidRPr="002C71A6">
              <w:rPr>
                <w:rFonts w:cs="Open Sans"/>
                <w:szCs w:val="22"/>
              </w:rPr>
              <w:t>61</w:t>
            </w:r>
          </w:p>
        </w:tc>
      </w:tr>
      <w:tr w:rsidR="003A4F41" w:rsidRPr="00D9163E" w14:paraId="04E8E0F5" w14:textId="77777777">
        <w:tc>
          <w:tcPr>
            <w:tcW w:w="4192" w:type="pct"/>
            <w:tcBorders>
              <w:bottom w:val="nil"/>
            </w:tcBorders>
            <w:shd w:val="clear" w:color="000000" w:fill="E6E6E6"/>
          </w:tcPr>
          <w:p w14:paraId="72FB7CE8" w14:textId="77777777" w:rsidR="003A4F41" w:rsidRPr="004567AB" w:rsidRDefault="003A4F41" w:rsidP="00DD0012">
            <w:pPr>
              <w:pStyle w:val="TableBody"/>
              <w:spacing w:before="42" w:after="42"/>
              <w:ind w:right="108"/>
              <w:rPr>
                <w:rFonts w:cs="Open Sans"/>
              </w:rPr>
            </w:pPr>
            <w:r w:rsidRPr="004567AB">
              <w:rPr>
                <w:rFonts w:cs="Open Sans"/>
                <w:szCs w:val="22"/>
              </w:rPr>
              <w:t>Master Builders Australia</w:t>
            </w:r>
          </w:p>
        </w:tc>
        <w:tc>
          <w:tcPr>
            <w:tcW w:w="808" w:type="pct"/>
            <w:tcBorders>
              <w:bottom w:val="nil"/>
            </w:tcBorders>
            <w:shd w:val="clear" w:color="000000" w:fill="E6E6E6"/>
          </w:tcPr>
          <w:p w14:paraId="34F3B80F" w14:textId="77777777" w:rsidR="003A4F41" w:rsidRPr="002C71A6" w:rsidRDefault="003A4F41" w:rsidP="00DD0012">
            <w:pPr>
              <w:pStyle w:val="TableBody"/>
              <w:spacing w:before="42" w:after="42"/>
              <w:ind w:right="108"/>
              <w:jc w:val="right"/>
              <w:rPr>
                <w:rFonts w:cs="Open Sans"/>
              </w:rPr>
            </w:pPr>
            <w:r w:rsidRPr="002C71A6">
              <w:rPr>
                <w:rFonts w:cs="Open Sans"/>
                <w:szCs w:val="22"/>
              </w:rPr>
              <w:t>74</w:t>
            </w:r>
          </w:p>
        </w:tc>
      </w:tr>
      <w:tr w:rsidR="003A4F41" w:rsidRPr="00D9163E" w14:paraId="743D75EA" w14:textId="77777777">
        <w:tc>
          <w:tcPr>
            <w:tcW w:w="4192" w:type="pct"/>
            <w:tcBorders>
              <w:top w:val="nil"/>
              <w:bottom w:val="nil"/>
            </w:tcBorders>
            <w:shd w:val="clear" w:color="000000" w:fill="auto"/>
          </w:tcPr>
          <w:p w14:paraId="750AD1BF" w14:textId="77777777" w:rsidR="003A4F41" w:rsidRPr="004567AB" w:rsidRDefault="003A4F41" w:rsidP="00DD0012">
            <w:pPr>
              <w:pStyle w:val="TableBody"/>
              <w:spacing w:before="42" w:after="42"/>
              <w:ind w:right="108"/>
              <w:rPr>
                <w:rFonts w:cs="Open Sans"/>
              </w:rPr>
            </w:pPr>
            <w:r w:rsidRPr="004567AB">
              <w:rPr>
                <w:rFonts w:cs="Open Sans"/>
                <w:szCs w:val="22"/>
              </w:rPr>
              <w:t>Matthew Maltman and Theo Gibbons</w:t>
            </w:r>
          </w:p>
        </w:tc>
        <w:tc>
          <w:tcPr>
            <w:tcW w:w="808" w:type="pct"/>
            <w:tcBorders>
              <w:top w:val="nil"/>
              <w:bottom w:val="nil"/>
            </w:tcBorders>
            <w:shd w:val="clear" w:color="000000" w:fill="auto"/>
          </w:tcPr>
          <w:p w14:paraId="3B1D75D0" w14:textId="77777777" w:rsidR="003A4F41" w:rsidRPr="002C71A6" w:rsidRDefault="003A4F41" w:rsidP="00DD0012">
            <w:pPr>
              <w:pStyle w:val="TableBody"/>
              <w:spacing w:before="42" w:after="42"/>
              <w:ind w:right="108"/>
              <w:jc w:val="right"/>
              <w:rPr>
                <w:rFonts w:cs="Open Sans"/>
              </w:rPr>
            </w:pPr>
            <w:r w:rsidRPr="002C71A6">
              <w:rPr>
                <w:rFonts w:cs="Open Sans"/>
                <w:szCs w:val="22"/>
              </w:rPr>
              <w:t>41</w:t>
            </w:r>
          </w:p>
        </w:tc>
      </w:tr>
      <w:tr w:rsidR="003A4F41" w:rsidRPr="00D9163E" w14:paraId="71B726D1" w14:textId="77777777">
        <w:tc>
          <w:tcPr>
            <w:tcW w:w="4192" w:type="pct"/>
            <w:tcBorders>
              <w:bottom w:val="nil"/>
            </w:tcBorders>
            <w:shd w:val="clear" w:color="000000" w:fill="E6E6E6"/>
          </w:tcPr>
          <w:p w14:paraId="74E18B8A" w14:textId="77777777" w:rsidR="003A4F41" w:rsidRPr="004567AB" w:rsidRDefault="003A4F41" w:rsidP="00DD0012">
            <w:pPr>
              <w:pStyle w:val="TableBody"/>
              <w:spacing w:before="42" w:after="42"/>
              <w:ind w:right="108"/>
              <w:rPr>
                <w:rFonts w:cs="Open Sans"/>
              </w:rPr>
            </w:pPr>
            <w:r w:rsidRPr="004567AB">
              <w:rPr>
                <w:rFonts w:cs="Open Sans"/>
                <w:szCs w:val="22"/>
              </w:rPr>
              <w:t>Mecone Group</w:t>
            </w:r>
          </w:p>
        </w:tc>
        <w:tc>
          <w:tcPr>
            <w:tcW w:w="808" w:type="pct"/>
            <w:tcBorders>
              <w:bottom w:val="nil"/>
            </w:tcBorders>
            <w:shd w:val="clear" w:color="000000" w:fill="E6E6E6"/>
          </w:tcPr>
          <w:p w14:paraId="0BB31EF4" w14:textId="77777777" w:rsidR="003A4F41" w:rsidRPr="002C71A6" w:rsidRDefault="003A4F41" w:rsidP="00DD0012">
            <w:pPr>
              <w:pStyle w:val="TableBody"/>
              <w:spacing w:before="42" w:after="42"/>
              <w:ind w:right="108"/>
              <w:jc w:val="right"/>
              <w:rPr>
                <w:rFonts w:cs="Open Sans"/>
              </w:rPr>
            </w:pPr>
            <w:r w:rsidRPr="002C71A6">
              <w:rPr>
                <w:rFonts w:cs="Open Sans"/>
                <w:szCs w:val="22"/>
              </w:rPr>
              <w:t>65</w:t>
            </w:r>
          </w:p>
        </w:tc>
      </w:tr>
      <w:tr w:rsidR="003A4F41" w:rsidRPr="00D9163E" w14:paraId="354A7502" w14:textId="77777777">
        <w:tc>
          <w:tcPr>
            <w:tcW w:w="4192" w:type="pct"/>
            <w:tcBorders>
              <w:top w:val="nil"/>
              <w:bottom w:val="nil"/>
            </w:tcBorders>
            <w:shd w:val="clear" w:color="000000" w:fill="auto"/>
          </w:tcPr>
          <w:p w14:paraId="1A591843" w14:textId="77777777" w:rsidR="003A4F41" w:rsidRPr="004567AB" w:rsidRDefault="003A4F41" w:rsidP="00DD0012">
            <w:pPr>
              <w:pStyle w:val="TableBody"/>
              <w:spacing w:before="42" w:after="42"/>
              <w:ind w:right="108"/>
              <w:rPr>
                <w:rFonts w:cs="Open Sans"/>
              </w:rPr>
            </w:pPr>
            <w:r w:rsidRPr="004567AB">
              <w:rPr>
                <w:rFonts w:cs="Open Sans"/>
                <w:szCs w:val="22"/>
              </w:rPr>
              <w:t>Mission Australia</w:t>
            </w:r>
          </w:p>
        </w:tc>
        <w:tc>
          <w:tcPr>
            <w:tcW w:w="808" w:type="pct"/>
            <w:tcBorders>
              <w:top w:val="nil"/>
              <w:bottom w:val="nil"/>
            </w:tcBorders>
            <w:shd w:val="clear" w:color="000000" w:fill="auto"/>
          </w:tcPr>
          <w:p w14:paraId="67049163" w14:textId="77777777" w:rsidR="003A4F41" w:rsidRPr="002C71A6" w:rsidRDefault="003A4F41" w:rsidP="00DD0012">
            <w:pPr>
              <w:pStyle w:val="TableBody"/>
              <w:spacing w:before="42" w:after="42"/>
              <w:ind w:right="108"/>
              <w:jc w:val="right"/>
              <w:rPr>
                <w:rFonts w:cs="Open Sans"/>
              </w:rPr>
            </w:pPr>
            <w:r w:rsidRPr="002C71A6">
              <w:rPr>
                <w:rFonts w:cs="Open Sans"/>
                <w:szCs w:val="22"/>
              </w:rPr>
              <w:t>10</w:t>
            </w:r>
          </w:p>
        </w:tc>
      </w:tr>
      <w:tr w:rsidR="003A4F41" w:rsidRPr="00D9163E" w14:paraId="48352D1E" w14:textId="77777777">
        <w:tc>
          <w:tcPr>
            <w:tcW w:w="4192" w:type="pct"/>
            <w:tcBorders>
              <w:bottom w:val="nil"/>
            </w:tcBorders>
            <w:shd w:val="clear" w:color="000000" w:fill="E6E6E6"/>
          </w:tcPr>
          <w:p w14:paraId="047792BD" w14:textId="77777777" w:rsidR="003A4F41" w:rsidRPr="004567AB" w:rsidRDefault="003A4F41" w:rsidP="00DD0012">
            <w:pPr>
              <w:pStyle w:val="TableBody"/>
              <w:spacing w:before="42" w:after="42"/>
              <w:ind w:right="108"/>
              <w:rPr>
                <w:rFonts w:cs="Open Sans"/>
              </w:rPr>
            </w:pPr>
            <w:r w:rsidRPr="004567AB">
              <w:rPr>
                <w:rFonts w:cs="Open Sans"/>
                <w:szCs w:val="22"/>
              </w:rPr>
              <w:t>Municipal Association of Victoria (MAV)</w:t>
            </w:r>
          </w:p>
        </w:tc>
        <w:tc>
          <w:tcPr>
            <w:tcW w:w="808" w:type="pct"/>
            <w:tcBorders>
              <w:bottom w:val="nil"/>
            </w:tcBorders>
            <w:shd w:val="clear" w:color="000000" w:fill="E6E6E6"/>
          </w:tcPr>
          <w:p w14:paraId="7A451B4C" w14:textId="77777777" w:rsidR="003A4F41" w:rsidRPr="002C71A6" w:rsidRDefault="003A4F41" w:rsidP="00DD0012">
            <w:pPr>
              <w:pStyle w:val="TableBody"/>
              <w:spacing w:before="42" w:after="42"/>
              <w:ind w:right="108"/>
              <w:jc w:val="right"/>
              <w:rPr>
                <w:rFonts w:cs="Open Sans"/>
              </w:rPr>
            </w:pPr>
            <w:r w:rsidRPr="002C71A6">
              <w:rPr>
                <w:rFonts w:cs="Open Sans"/>
                <w:szCs w:val="22"/>
              </w:rPr>
              <w:t>68</w:t>
            </w:r>
          </w:p>
        </w:tc>
      </w:tr>
      <w:tr w:rsidR="003A4F41" w:rsidRPr="006C6DFD" w14:paraId="63F85424" w14:textId="77777777">
        <w:tc>
          <w:tcPr>
            <w:tcW w:w="4192" w:type="pct"/>
            <w:tcBorders>
              <w:top w:val="nil"/>
              <w:bottom w:val="nil"/>
            </w:tcBorders>
            <w:shd w:val="clear" w:color="000000" w:fill="auto"/>
          </w:tcPr>
          <w:p w14:paraId="3B10B123" w14:textId="77777777" w:rsidR="003A4F41" w:rsidRPr="0095293A" w:rsidRDefault="003A4F41" w:rsidP="00DD0012">
            <w:pPr>
              <w:pStyle w:val="TableBody"/>
              <w:spacing w:before="42" w:after="42"/>
              <w:ind w:right="108"/>
              <w:rPr>
                <w:rFonts w:cs="Open Sans"/>
                <w:szCs w:val="22"/>
              </w:rPr>
            </w:pPr>
            <w:r w:rsidRPr="0095293A">
              <w:rPr>
                <w:rFonts w:cs="Open Sans"/>
                <w:szCs w:val="22"/>
              </w:rPr>
              <w:t>Name withheld</w:t>
            </w:r>
          </w:p>
        </w:tc>
        <w:tc>
          <w:tcPr>
            <w:tcW w:w="808" w:type="pct"/>
            <w:tcBorders>
              <w:top w:val="nil"/>
              <w:bottom w:val="nil"/>
            </w:tcBorders>
            <w:shd w:val="clear" w:color="000000" w:fill="auto"/>
          </w:tcPr>
          <w:p w14:paraId="0A68725F" w14:textId="77777777" w:rsidR="003A4F41" w:rsidRPr="0095293A" w:rsidRDefault="003A4F41" w:rsidP="00DD0012">
            <w:pPr>
              <w:pStyle w:val="TableBody"/>
              <w:spacing w:before="42" w:after="42"/>
              <w:ind w:right="108"/>
              <w:jc w:val="right"/>
              <w:rPr>
                <w:rFonts w:cs="Open Sans"/>
                <w:szCs w:val="22"/>
              </w:rPr>
            </w:pPr>
            <w:r w:rsidRPr="0095293A">
              <w:rPr>
                <w:rFonts w:cs="Open Sans"/>
                <w:szCs w:val="22"/>
              </w:rPr>
              <w:t>7</w:t>
            </w:r>
          </w:p>
        </w:tc>
      </w:tr>
      <w:tr w:rsidR="003A4F41" w:rsidRPr="006C6DFD" w14:paraId="569B35BA" w14:textId="77777777">
        <w:tc>
          <w:tcPr>
            <w:tcW w:w="4192" w:type="pct"/>
            <w:tcBorders>
              <w:bottom w:val="nil"/>
            </w:tcBorders>
            <w:shd w:val="clear" w:color="000000" w:fill="E6E6E6"/>
          </w:tcPr>
          <w:p w14:paraId="48C0DAAB" w14:textId="77777777" w:rsidR="003A4F41" w:rsidRPr="0095293A" w:rsidRDefault="003A4F41" w:rsidP="00DD0012">
            <w:pPr>
              <w:pStyle w:val="TableBody"/>
              <w:spacing w:before="42" w:after="42"/>
              <w:ind w:right="108"/>
              <w:rPr>
                <w:rFonts w:cs="Open Sans"/>
                <w:szCs w:val="22"/>
              </w:rPr>
            </w:pPr>
            <w:r w:rsidRPr="0095293A">
              <w:rPr>
                <w:rFonts w:cs="Open Sans"/>
                <w:szCs w:val="22"/>
              </w:rPr>
              <w:t>Name withheld</w:t>
            </w:r>
          </w:p>
        </w:tc>
        <w:tc>
          <w:tcPr>
            <w:tcW w:w="808" w:type="pct"/>
            <w:tcBorders>
              <w:bottom w:val="nil"/>
            </w:tcBorders>
            <w:shd w:val="clear" w:color="000000" w:fill="E6E6E6"/>
          </w:tcPr>
          <w:p w14:paraId="2991BA0C" w14:textId="77777777" w:rsidR="003A4F41" w:rsidRPr="0095293A" w:rsidRDefault="003A4F41" w:rsidP="00DD0012">
            <w:pPr>
              <w:pStyle w:val="TableBody"/>
              <w:spacing w:before="42" w:after="42"/>
              <w:ind w:right="108"/>
              <w:jc w:val="right"/>
              <w:rPr>
                <w:rFonts w:cs="Open Sans"/>
                <w:szCs w:val="22"/>
              </w:rPr>
            </w:pPr>
            <w:r w:rsidRPr="0095293A">
              <w:rPr>
                <w:rFonts w:cs="Open Sans"/>
                <w:szCs w:val="22"/>
              </w:rPr>
              <w:t>88</w:t>
            </w:r>
          </w:p>
        </w:tc>
      </w:tr>
      <w:tr w:rsidR="003A4F41" w:rsidRPr="006C6DFD" w14:paraId="144FD5E8" w14:textId="77777777">
        <w:tc>
          <w:tcPr>
            <w:tcW w:w="4192" w:type="pct"/>
            <w:tcBorders>
              <w:top w:val="nil"/>
              <w:bottom w:val="nil"/>
            </w:tcBorders>
            <w:shd w:val="clear" w:color="000000" w:fill="auto"/>
          </w:tcPr>
          <w:p w14:paraId="1B68F278" w14:textId="77777777" w:rsidR="003A4F41" w:rsidRPr="0095293A" w:rsidRDefault="003A4F41" w:rsidP="00DD0012">
            <w:pPr>
              <w:pStyle w:val="TableBody"/>
              <w:spacing w:before="42" w:after="42"/>
              <w:ind w:right="108"/>
              <w:rPr>
                <w:rFonts w:cs="Open Sans"/>
                <w:szCs w:val="22"/>
              </w:rPr>
            </w:pPr>
            <w:r w:rsidRPr="0095293A">
              <w:rPr>
                <w:rFonts w:cs="Open Sans"/>
                <w:szCs w:val="22"/>
              </w:rPr>
              <w:t>Name withheld</w:t>
            </w:r>
          </w:p>
        </w:tc>
        <w:tc>
          <w:tcPr>
            <w:tcW w:w="808" w:type="pct"/>
            <w:tcBorders>
              <w:top w:val="nil"/>
              <w:bottom w:val="nil"/>
            </w:tcBorders>
            <w:shd w:val="clear" w:color="000000" w:fill="auto"/>
          </w:tcPr>
          <w:p w14:paraId="242AAD87" w14:textId="77777777" w:rsidR="003A4F41" w:rsidRPr="0095293A" w:rsidRDefault="003A4F41" w:rsidP="00DD0012">
            <w:pPr>
              <w:pStyle w:val="TableBody"/>
              <w:spacing w:before="42" w:after="42"/>
              <w:ind w:right="108"/>
              <w:jc w:val="right"/>
              <w:rPr>
                <w:rFonts w:cs="Open Sans"/>
                <w:szCs w:val="22"/>
              </w:rPr>
            </w:pPr>
            <w:r w:rsidRPr="0095293A">
              <w:rPr>
                <w:rFonts w:cs="Open Sans"/>
                <w:szCs w:val="22"/>
              </w:rPr>
              <w:t>94</w:t>
            </w:r>
          </w:p>
        </w:tc>
      </w:tr>
      <w:tr w:rsidR="003A4F41" w:rsidRPr="006C6DFD" w14:paraId="37773021" w14:textId="77777777">
        <w:tc>
          <w:tcPr>
            <w:tcW w:w="4192" w:type="pct"/>
            <w:tcBorders>
              <w:bottom w:val="nil"/>
            </w:tcBorders>
            <w:shd w:val="clear" w:color="000000" w:fill="E6E6E6"/>
          </w:tcPr>
          <w:p w14:paraId="55CDF228" w14:textId="77777777" w:rsidR="003A4F41" w:rsidRPr="0095293A" w:rsidRDefault="003A4F41" w:rsidP="00DD0012">
            <w:pPr>
              <w:pStyle w:val="TableBody"/>
              <w:spacing w:before="42" w:after="42"/>
              <w:ind w:right="108"/>
              <w:rPr>
                <w:rFonts w:cs="Open Sans"/>
                <w:szCs w:val="22"/>
              </w:rPr>
            </w:pPr>
            <w:r w:rsidRPr="0095293A">
              <w:rPr>
                <w:rFonts w:cs="Open Sans"/>
                <w:szCs w:val="22"/>
              </w:rPr>
              <w:t>Name withheld</w:t>
            </w:r>
          </w:p>
        </w:tc>
        <w:tc>
          <w:tcPr>
            <w:tcW w:w="808" w:type="pct"/>
            <w:tcBorders>
              <w:bottom w:val="nil"/>
            </w:tcBorders>
            <w:shd w:val="clear" w:color="000000" w:fill="E6E6E6"/>
          </w:tcPr>
          <w:p w14:paraId="58CFD04E" w14:textId="77777777" w:rsidR="003A4F41" w:rsidRPr="0095293A" w:rsidRDefault="003A4F41" w:rsidP="00DD0012">
            <w:pPr>
              <w:pStyle w:val="TableBody"/>
              <w:spacing w:before="42" w:after="42"/>
              <w:ind w:right="108"/>
              <w:jc w:val="right"/>
              <w:rPr>
                <w:rFonts w:cs="Open Sans"/>
                <w:szCs w:val="22"/>
              </w:rPr>
            </w:pPr>
            <w:r w:rsidRPr="0095293A">
              <w:rPr>
                <w:rFonts w:cs="Open Sans"/>
                <w:szCs w:val="22"/>
              </w:rPr>
              <w:t>95</w:t>
            </w:r>
          </w:p>
        </w:tc>
      </w:tr>
      <w:tr w:rsidR="003A4F41" w:rsidRPr="00D9163E" w14:paraId="6D62B209" w14:textId="77777777">
        <w:tc>
          <w:tcPr>
            <w:tcW w:w="4192" w:type="pct"/>
            <w:tcBorders>
              <w:top w:val="nil"/>
              <w:bottom w:val="nil"/>
            </w:tcBorders>
            <w:shd w:val="clear" w:color="000000" w:fill="auto"/>
          </w:tcPr>
          <w:p w14:paraId="727E3C20" w14:textId="77777777" w:rsidR="003A4F41" w:rsidRPr="004567AB" w:rsidRDefault="003A4F41" w:rsidP="00DD0012">
            <w:pPr>
              <w:pStyle w:val="TableBody"/>
              <w:spacing w:before="42" w:after="42"/>
              <w:ind w:right="108"/>
              <w:rPr>
                <w:rFonts w:cs="Open Sans"/>
              </w:rPr>
            </w:pPr>
            <w:r w:rsidRPr="004567AB">
              <w:rPr>
                <w:rFonts w:cs="Open Sans"/>
                <w:szCs w:val="22"/>
              </w:rPr>
              <w:t>National Growth Areas Alliance (NGAA)</w:t>
            </w:r>
          </w:p>
        </w:tc>
        <w:tc>
          <w:tcPr>
            <w:tcW w:w="808" w:type="pct"/>
            <w:tcBorders>
              <w:top w:val="nil"/>
              <w:bottom w:val="nil"/>
            </w:tcBorders>
            <w:shd w:val="clear" w:color="000000" w:fill="auto"/>
          </w:tcPr>
          <w:p w14:paraId="6FD5852B" w14:textId="77777777" w:rsidR="003A4F41" w:rsidRPr="002C71A6" w:rsidRDefault="003A4F41" w:rsidP="00DD0012">
            <w:pPr>
              <w:pStyle w:val="TableBody"/>
              <w:spacing w:before="42" w:after="42"/>
              <w:ind w:right="108"/>
              <w:jc w:val="right"/>
              <w:rPr>
                <w:rFonts w:cs="Open Sans"/>
              </w:rPr>
            </w:pPr>
            <w:r w:rsidRPr="002C71A6">
              <w:rPr>
                <w:rFonts w:cs="Open Sans"/>
                <w:szCs w:val="22"/>
              </w:rPr>
              <w:t>54</w:t>
            </w:r>
          </w:p>
        </w:tc>
      </w:tr>
      <w:tr w:rsidR="003A4F41" w:rsidRPr="00D9163E" w14:paraId="24BBFE24" w14:textId="77777777">
        <w:tc>
          <w:tcPr>
            <w:tcW w:w="4192" w:type="pct"/>
            <w:tcBorders>
              <w:bottom w:val="nil"/>
            </w:tcBorders>
            <w:shd w:val="clear" w:color="000000" w:fill="E6E6E6"/>
          </w:tcPr>
          <w:p w14:paraId="7E55075D" w14:textId="77777777" w:rsidR="003A4F41" w:rsidRPr="004567AB" w:rsidRDefault="003A4F41" w:rsidP="00DD0012">
            <w:pPr>
              <w:pStyle w:val="TableBody"/>
              <w:spacing w:before="42" w:after="42"/>
              <w:ind w:right="108"/>
              <w:rPr>
                <w:rFonts w:cs="Open Sans"/>
              </w:rPr>
            </w:pPr>
            <w:r w:rsidRPr="004567AB">
              <w:rPr>
                <w:rFonts w:cs="Open Sans"/>
                <w:szCs w:val="22"/>
              </w:rPr>
              <w:t>National Shelter</w:t>
            </w:r>
          </w:p>
        </w:tc>
        <w:tc>
          <w:tcPr>
            <w:tcW w:w="808" w:type="pct"/>
            <w:tcBorders>
              <w:bottom w:val="nil"/>
            </w:tcBorders>
            <w:shd w:val="clear" w:color="000000" w:fill="E6E6E6"/>
          </w:tcPr>
          <w:p w14:paraId="1F0883FB" w14:textId="77777777" w:rsidR="003A4F41" w:rsidRPr="002C71A6" w:rsidRDefault="003A4F41" w:rsidP="00DD0012">
            <w:pPr>
              <w:pStyle w:val="TableBody"/>
              <w:spacing w:before="42" w:after="42"/>
              <w:ind w:right="108"/>
              <w:jc w:val="right"/>
              <w:rPr>
                <w:rFonts w:cs="Open Sans"/>
              </w:rPr>
            </w:pPr>
            <w:r w:rsidRPr="002C71A6">
              <w:rPr>
                <w:rFonts w:cs="Open Sans"/>
                <w:szCs w:val="22"/>
              </w:rPr>
              <w:t>53</w:t>
            </w:r>
          </w:p>
        </w:tc>
      </w:tr>
      <w:tr w:rsidR="003A4F41" w:rsidRPr="00D9163E" w14:paraId="148DC6BC" w14:textId="77777777">
        <w:tc>
          <w:tcPr>
            <w:tcW w:w="4192" w:type="pct"/>
            <w:tcBorders>
              <w:top w:val="nil"/>
              <w:bottom w:val="nil"/>
            </w:tcBorders>
            <w:shd w:val="clear" w:color="000000" w:fill="auto"/>
          </w:tcPr>
          <w:p w14:paraId="5B116944" w14:textId="77777777" w:rsidR="003A4F41" w:rsidRPr="004567AB" w:rsidRDefault="003A4F41" w:rsidP="00DD0012">
            <w:pPr>
              <w:pStyle w:val="TableBody"/>
              <w:spacing w:before="42" w:after="42"/>
              <w:ind w:right="108"/>
              <w:rPr>
                <w:rFonts w:cs="Open Sans"/>
              </w:rPr>
            </w:pPr>
            <w:r w:rsidRPr="004567AB">
              <w:rPr>
                <w:rFonts w:cs="Open Sans"/>
                <w:szCs w:val="22"/>
              </w:rPr>
              <w:t>Neighbourhood Forum 5</w:t>
            </w:r>
          </w:p>
        </w:tc>
        <w:tc>
          <w:tcPr>
            <w:tcW w:w="808" w:type="pct"/>
            <w:tcBorders>
              <w:top w:val="nil"/>
              <w:bottom w:val="nil"/>
            </w:tcBorders>
            <w:shd w:val="clear" w:color="000000" w:fill="auto"/>
          </w:tcPr>
          <w:p w14:paraId="46004CC4" w14:textId="77777777" w:rsidR="003A4F41" w:rsidRPr="002C71A6" w:rsidRDefault="003A4F41" w:rsidP="00DD0012">
            <w:pPr>
              <w:pStyle w:val="TableBody"/>
              <w:spacing w:before="42" w:after="42"/>
              <w:ind w:right="108"/>
              <w:jc w:val="right"/>
              <w:rPr>
                <w:rFonts w:cs="Open Sans"/>
              </w:rPr>
            </w:pPr>
            <w:r w:rsidRPr="002C71A6">
              <w:rPr>
                <w:rFonts w:cs="Open Sans"/>
                <w:szCs w:val="22"/>
              </w:rPr>
              <w:t>17</w:t>
            </w:r>
          </w:p>
        </w:tc>
      </w:tr>
      <w:tr w:rsidR="003A4F41" w:rsidRPr="00D9163E" w14:paraId="31842616" w14:textId="77777777">
        <w:tc>
          <w:tcPr>
            <w:tcW w:w="4192" w:type="pct"/>
            <w:tcBorders>
              <w:bottom w:val="nil"/>
            </w:tcBorders>
            <w:shd w:val="clear" w:color="000000" w:fill="E6E6E6"/>
          </w:tcPr>
          <w:p w14:paraId="1E0DD15F" w14:textId="77777777" w:rsidR="003A4F41" w:rsidRPr="004567AB" w:rsidRDefault="003A4F41" w:rsidP="00DD0012">
            <w:pPr>
              <w:pStyle w:val="TableBody"/>
              <w:spacing w:before="42" w:after="42"/>
              <w:ind w:right="108"/>
              <w:rPr>
                <w:rFonts w:cs="Open Sans"/>
              </w:rPr>
            </w:pPr>
            <w:proofErr w:type="spellStart"/>
            <w:r w:rsidRPr="004567AB">
              <w:rPr>
                <w:rFonts w:cs="Open Sans"/>
                <w:szCs w:val="22"/>
              </w:rPr>
              <w:t>Ngalgarra</w:t>
            </w:r>
            <w:proofErr w:type="spellEnd"/>
            <w:r w:rsidRPr="004567AB">
              <w:rPr>
                <w:rFonts w:cs="Open Sans"/>
                <w:szCs w:val="22"/>
              </w:rPr>
              <w:t xml:space="preserve"> Resources Indigenous Corporation</w:t>
            </w:r>
          </w:p>
        </w:tc>
        <w:tc>
          <w:tcPr>
            <w:tcW w:w="808" w:type="pct"/>
            <w:tcBorders>
              <w:bottom w:val="nil"/>
            </w:tcBorders>
            <w:shd w:val="clear" w:color="000000" w:fill="E6E6E6"/>
          </w:tcPr>
          <w:p w14:paraId="1325F066" w14:textId="77777777" w:rsidR="003A4F41" w:rsidRPr="002C71A6" w:rsidRDefault="003A4F41" w:rsidP="00DD0012">
            <w:pPr>
              <w:pStyle w:val="TableBody"/>
              <w:spacing w:before="42" w:after="42"/>
              <w:ind w:right="108"/>
              <w:jc w:val="right"/>
              <w:rPr>
                <w:rFonts w:cs="Open Sans"/>
              </w:rPr>
            </w:pPr>
            <w:r w:rsidRPr="002C71A6">
              <w:rPr>
                <w:rFonts w:cs="Open Sans"/>
                <w:szCs w:val="22"/>
              </w:rPr>
              <w:t>64</w:t>
            </w:r>
          </w:p>
        </w:tc>
      </w:tr>
      <w:tr w:rsidR="003A4F41" w:rsidRPr="00D9163E" w14:paraId="090168D2" w14:textId="77777777">
        <w:tc>
          <w:tcPr>
            <w:tcW w:w="4192" w:type="pct"/>
            <w:tcBorders>
              <w:top w:val="nil"/>
              <w:bottom w:val="nil"/>
            </w:tcBorders>
            <w:shd w:val="clear" w:color="000000" w:fill="auto"/>
          </w:tcPr>
          <w:p w14:paraId="35B5FA33" w14:textId="77777777" w:rsidR="003A4F41" w:rsidRPr="004567AB" w:rsidRDefault="003A4F41" w:rsidP="00DD0012">
            <w:pPr>
              <w:pStyle w:val="TableBody"/>
              <w:spacing w:before="42" w:after="42"/>
              <w:ind w:right="108"/>
              <w:rPr>
                <w:rFonts w:cs="Open Sans"/>
              </w:rPr>
            </w:pPr>
            <w:r w:rsidRPr="004567AB">
              <w:rPr>
                <w:rFonts w:cs="Open Sans"/>
                <w:szCs w:val="22"/>
              </w:rPr>
              <w:t>Per Capita</w:t>
            </w:r>
          </w:p>
        </w:tc>
        <w:tc>
          <w:tcPr>
            <w:tcW w:w="808" w:type="pct"/>
            <w:tcBorders>
              <w:top w:val="nil"/>
              <w:bottom w:val="nil"/>
            </w:tcBorders>
            <w:shd w:val="clear" w:color="000000" w:fill="auto"/>
          </w:tcPr>
          <w:p w14:paraId="214C590F" w14:textId="77777777" w:rsidR="003A4F41" w:rsidRPr="002C71A6" w:rsidRDefault="003A4F41" w:rsidP="00DD0012">
            <w:pPr>
              <w:pStyle w:val="TableBody"/>
              <w:spacing w:before="42" w:after="42"/>
              <w:ind w:right="108"/>
              <w:jc w:val="right"/>
              <w:rPr>
                <w:rFonts w:cs="Open Sans"/>
              </w:rPr>
            </w:pPr>
            <w:r w:rsidRPr="002C71A6">
              <w:rPr>
                <w:rFonts w:cs="Open Sans"/>
                <w:szCs w:val="22"/>
              </w:rPr>
              <w:t>84</w:t>
            </w:r>
          </w:p>
        </w:tc>
      </w:tr>
      <w:tr w:rsidR="003A4F41" w:rsidRPr="00D9163E" w14:paraId="0F99543F" w14:textId="77777777">
        <w:tc>
          <w:tcPr>
            <w:tcW w:w="4192" w:type="pct"/>
            <w:tcBorders>
              <w:bottom w:val="nil"/>
            </w:tcBorders>
            <w:shd w:val="clear" w:color="000000" w:fill="E6E6E6"/>
          </w:tcPr>
          <w:p w14:paraId="161F0800" w14:textId="77777777" w:rsidR="003A4F41" w:rsidRPr="004567AB" w:rsidRDefault="003A4F41" w:rsidP="00DD0012">
            <w:pPr>
              <w:pStyle w:val="TableBody"/>
              <w:spacing w:before="42" w:after="42"/>
              <w:ind w:right="108"/>
              <w:rPr>
                <w:rFonts w:cs="Open Sans"/>
                <w:szCs w:val="22"/>
              </w:rPr>
            </w:pPr>
            <w:r w:rsidRPr="004567AB">
              <w:rPr>
                <w:rFonts w:cs="Open Sans"/>
                <w:szCs w:val="22"/>
              </w:rPr>
              <w:t>Peri Urban Councils Victoria</w:t>
            </w:r>
            <w:r w:rsidRPr="00EC384B">
              <w:rPr>
                <w:rFonts w:cs="Open Sans"/>
                <w:szCs w:val="22"/>
              </w:rPr>
              <w:t xml:space="preserve"> (PUCV)</w:t>
            </w:r>
          </w:p>
        </w:tc>
        <w:tc>
          <w:tcPr>
            <w:tcW w:w="808" w:type="pct"/>
            <w:tcBorders>
              <w:bottom w:val="nil"/>
            </w:tcBorders>
            <w:shd w:val="clear" w:color="000000" w:fill="E6E6E6"/>
          </w:tcPr>
          <w:p w14:paraId="3F8294F5" w14:textId="77777777" w:rsidR="003A4F41" w:rsidRPr="002C71A6" w:rsidRDefault="003A4F41" w:rsidP="00DD0012">
            <w:pPr>
              <w:pStyle w:val="TableBody"/>
              <w:spacing w:before="42" w:after="42"/>
              <w:ind w:right="108"/>
              <w:jc w:val="right"/>
              <w:rPr>
                <w:rFonts w:cs="Open Sans"/>
                <w:szCs w:val="22"/>
              </w:rPr>
            </w:pPr>
            <w:r w:rsidRPr="002C71A6">
              <w:rPr>
                <w:rFonts w:cs="Open Sans"/>
                <w:szCs w:val="22"/>
              </w:rPr>
              <w:t>93</w:t>
            </w:r>
          </w:p>
        </w:tc>
      </w:tr>
      <w:tr w:rsidR="003A4F41" w:rsidRPr="00D9163E" w14:paraId="621A2232" w14:textId="77777777">
        <w:tc>
          <w:tcPr>
            <w:tcW w:w="4192" w:type="pct"/>
            <w:tcBorders>
              <w:top w:val="nil"/>
              <w:bottom w:val="nil"/>
            </w:tcBorders>
            <w:shd w:val="clear" w:color="000000" w:fill="auto"/>
          </w:tcPr>
          <w:p w14:paraId="0841B52E" w14:textId="77777777" w:rsidR="003A4F41" w:rsidRPr="004567AB" w:rsidRDefault="003A4F41" w:rsidP="00DD0012">
            <w:pPr>
              <w:pStyle w:val="TableBody"/>
              <w:spacing w:before="42" w:after="42"/>
              <w:ind w:right="108"/>
              <w:rPr>
                <w:rFonts w:cs="Open Sans"/>
              </w:rPr>
            </w:pPr>
            <w:r w:rsidRPr="004567AB">
              <w:rPr>
                <w:rFonts w:cs="Open Sans"/>
                <w:szCs w:val="22"/>
              </w:rPr>
              <w:t>Planning Institute of Australia (PIA)</w:t>
            </w:r>
          </w:p>
        </w:tc>
        <w:tc>
          <w:tcPr>
            <w:tcW w:w="808" w:type="pct"/>
            <w:tcBorders>
              <w:top w:val="nil"/>
              <w:bottom w:val="nil"/>
            </w:tcBorders>
            <w:shd w:val="clear" w:color="000000" w:fill="auto"/>
          </w:tcPr>
          <w:p w14:paraId="5BD05357" w14:textId="77777777" w:rsidR="003A4F41" w:rsidRPr="002C71A6" w:rsidRDefault="003A4F41" w:rsidP="00DD0012">
            <w:pPr>
              <w:pStyle w:val="TableBody"/>
              <w:spacing w:before="42" w:after="42"/>
              <w:ind w:right="108"/>
              <w:jc w:val="right"/>
              <w:rPr>
                <w:rFonts w:cs="Open Sans"/>
              </w:rPr>
            </w:pPr>
            <w:r w:rsidRPr="002C71A6">
              <w:rPr>
                <w:rFonts w:cs="Open Sans"/>
                <w:szCs w:val="22"/>
              </w:rPr>
              <w:t>34</w:t>
            </w:r>
          </w:p>
        </w:tc>
      </w:tr>
      <w:tr w:rsidR="003A4F41" w:rsidRPr="00D9163E" w14:paraId="224DD01B" w14:textId="77777777">
        <w:tc>
          <w:tcPr>
            <w:tcW w:w="4192" w:type="pct"/>
            <w:tcBorders>
              <w:bottom w:val="nil"/>
            </w:tcBorders>
            <w:shd w:val="clear" w:color="000000" w:fill="E6E6E6"/>
          </w:tcPr>
          <w:p w14:paraId="1F9EC018" w14:textId="77777777" w:rsidR="003A4F41" w:rsidRPr="004567AB" w:rsidRDefault="003A4F41" w:rsidP="00DD0012">
            <w:pPr>
              <w:pStyle w:val="TableBody"/>
              <w:spacing w:before="42" w:after="42"/>
              <w:ind w:right="108"/>
              <w:rPr>
                <w:rFonts w:cs="Open Sans"/>
              </w:rPr>
            </w:pPr>
            <w:r w:rsidRPr="004567AB">
              <w:rPr>
                <w:rFonts w:cs="Open Sans"/>
                <w:szCs w:val="22"/>
              </w:rPr>
              <w:t>Plumbing Products Industry</w:t>
            </w:r>
            <w:r>
              <w:rPr>
                <w:rFonts w:cs="Open Sans"/>
                <w:szCs w:val="22"/>
              </w:rPr>
              <w:t xml:space="preserve"> (PPI)</w:t>
            </w:r>
            <w:r w:rsidRPr="004567AB">
              <w:rPr>
                <w:rFonts w:cs="Open Sans"/>
                <w:szCs w:val="22"/>
              </w:rPr>
              <w:t xml:space="preserve"> Group </w:t>
            </w:r>
          </w:p>
        </w:tc>
        <w:tc>
          <w:tcPr>
            <w:tcW w:w="808" w:type="pct"/>
            <w:tcBorders>
              <w:bottom w:val="nil"/>
            </w:tcBorders>
            <w:shd w:val="clear" w:color="000000" w:fill="E6E6E6"/>
          </w:tcPr>
          <w:p w14:paraId="283C09B9" w14:textId="77777777" w:rsidR="003A4F41" w:rsidRPr="002C71A6" w:rsidRDefault="003A4F41" w:rsidP="00DD0012">
            <w:pPr>
              <w:pStyle w:val="TableBody"/>
              <w:spacing w:before="42" w:after="42"/>
              <w:ind w:right="108"/>
              <w:jc w:val="right"/>
              <w:rPr>
                <w:rFonts w:cs="Open Sans"/>
              </w:rPr>
            </w:pPr>
            <w:r w:rsidRPr="002C71A6">
              <w:rPr>
                <w:rFonts w:cs="Open Sans"/>
                <w:szCs w:val="22"/>
              </w:rPr>
              <w:t>77</w:t>
            </w:r>
          </w:p>
        </w:tc>
      </w:tr>
      <w:tr w:rsidR="003A4F41" w:rsidRPr="00D9163E" w14:paraId="16C69E58" w14:textId="77777777">
        <w:tc>
          <w:tcPr>
            <w:tcW w:w="4192" w:type="pct"/>
            <w:tcBorders>
              <w:top w:val="nil"/>
              <w:bottom w:val="nil"/>
            </w:tcBorders>
            <w:shd w:val="clear" w:color="000000" w:fill="auto"/>
          </w:tcPr>
          <w:p w14:paraId="1E3563BE" w14:textId="77777777" w:rsidR="003A4F41" w:rsidRPr="004567AB" w:rsidRDefault="003A4F41" w:rsidP="00DD0012">
            <w:pPr>
              <w:pStyle w:val="TableBody"/>
              <w:spacing w:before="42" w:after="42"/>
              <w:ind w:right="108"/>
              <w:rPr>
                <w:rFonts w:cs="Open Sans"/>
              </w:rPr>
            </w:pPr>
            <w:r w:rsidRPr="004567AB">
              <w:rPr>
                <w:rFonts w:cs="Open Sans"/>
                <w:szCs w:val="22"/>
              </w:rPr>
              <w:t>Policy Watchdog Australia</w:t>
            </w:r>
          </w:p>
        </w:tc>
        <w:tc>
          <w:tcPr>
            <w:tcW w:w="808" w:type="pct"/>
            <w:tcBorders>
              <w:top w:val="nil"/>
              <w:bottom w:val="nil"/>
            </w:tcBorders>
            <w:shd w:val="clear" w:color="000000" w:fill="auto"/>
          </w:tcPr>
          <w:p w14:paraId="014031E4" w14:textId="77777777" w:rsidR="003A4F41" w:rsidRPr="002C71A6" w:rsidRDefault="003A4F41" w:rsidP="00DD0012">
            <w:pPr>
              <w:pStyle w:val="TableBody"/>
              <w:spacing w:before="42" w:after="42"/>
              <w:ind w:right="108"/>
              <w:jc w:val="right"/>
              <w:rPr>
                <w:rFonts w:cs="Open Sans"/>
              </w:rPr>
            </w:pPr>
            <w:r w:rsidRPr="002C71A6">
              <w:rPr>
                <w:rFonts w:cs="Open Sans"/>
                <w:szCs w:val="22"/>
              </w:rPr>
              <w:t>1</w:t>
            </w:r>
          </w:p>
        </w:tc>
      </w:tr>
      <w:tr w:rsidR="003A4F41" w:rsidRPr="00D9163E" w14:paraId="1E548D29" w14:textId="77777777">
        <w:tc>
          <w:tcPr>
            <w:tcW w:w="4192" w:type="pct"/>
            <w:tcBorders>
              <w:bottom w:val="nil"/>
            </w:tcBorders>
            <w:shd w:val="clear" w:color="000000" w:fill="E6E6E6"/>
          </w:tcPr>
          <w:p w14:paraId="5CB55762" w14:textId="77777777" w:rsidR="003A4F41" w:rsidRPr="004567AB" w:rsidRDefault="003A4F41" w:rsidP="00DD0012">
            <w:pPr>
              <w:pStyle w:val="TableBody"/>
              <w:spacing w:before="42" w:after="42"/>
              <w:ind w:right="108"/>
              <w:rPr>
                <w:rFonts w:cs="Open Sans"/>
              </w:rPr>
            </w:pPr>
            <w:proofErr w:type="spellStart"/>
            <w:r w:rsidRPr="004567AB">
              <w:rPr>
                <w:rFonts w:cs="Open Sans"/>
                <w:szCs w:val="22"/>
              </w:rPr>
              <w:t>PolisPlan</w:t>
            </w:r>
            <w:proofErr w:type="spellEnd"/>
          </w:p>
        </w:tc>
        <w:tc>
          <w:tcPr>
            <w:tcW w:w="808" w:type="pct"/>
            <w:tcBorders>
              <w:bottom w:val="nil"/>
            </w:tcBorders>
            <w:shd w:val="clear" w:color="000000" w:fill="E6E6E6"/>
          </w:tcPr>
          <w:p w14:paraId="33E61F89" w14:textId="77777777" w:rsidR="003A4F41" w:rsidRPr="002C71A6" w:rsidRDefault="003A4F41" w:rsidP="00DD0012">
            <w:pPr>
              <w:pStyle w:val="TableBody"/>
              <w:spacing w:before="42" w:after="42"/>
              <w:ind w:right="108"/>
              <w:jc w:val="right"/>
              <w:rPr>
                <w:rFonts w:cs="Open Sans"/>
              </w:rPr>
            </w:pPr>
            <w:r w:rsidRPr="002C71A6">
              <w:rPr>
                <w:rFonts w:cs="Open Sans"/>
                <w:szCs w:val="22"/>
              </w:rPr>
              <w:t>60</w:t>
            </w:r>
          </w:p>
        </w:tc>
      </w:tr>
      <w:tr w:rsidR="003A4F41" w:rsidRPr="00D9163E" w14:paraId="02B4432F" w14:textId="77777777">
        <w:tc>
          <w:tcPr>
            <w:tcW w:w="4192" w:type="pct"/>
            <w:tcBorders>
              <w:top w:val="nil"/>
              <w:bottom w:val="nil"/>
            </w:tcBorders>
            <w:shd w:val="clear" w:color="000000" w:fill="auto"/>
          </w:tcPr>
          <w:p w14:paraId="2CB80ED3" w14:textId="77777777" w:rsidR="003A4F41" w:rsidRPr="004567AB" w:rsidRDefault="003A4F41" w:rsidP="00DD0012">
            <w:pPr>
              <w:pStyle w:val="TableBody"/>
              <w:spacing w:before="42" w:after="42"/>
              <w:ind w:right="108"/>
              <w:rPr>
                <w:rFonts w:cs="Open Sans"/>
              </w:rPr>
            </w:pPr>
            <w:proofErr w:type="spellStart"/>
            <w:r w:rsidRPr="004567AB">
              <w:rPr>
                <w:rFonts w:cs="Open Sans"/>
                <w:szCs w:val="22"/>
              </w:rPr>
              <w:t>prefabAUS</w:t>
            </w:r>
            <w:proofErr w:type="spellEnd"/>
          </w:p>
        </w:tc>
        <w:tc>
          <w:tcPr>
            <w:tcW w:w="808" w:type="pct"/>
            <w:tcBorders>
              <w:top w:val="nil"/>
              <w:bottom w:val="nil"/>
            </w:tcBorders>
            <w:shd w:val="clear" w:color="000000" w:fill="auto"/>
          </w:tcPr>
          <w:p w14:paraId="2C1D7F95" w14:textId="77777777" w:rsidR="003A4F41" w:rsidRPr="002C71A6" w:rsidRDefault="003A4F41" w:rsidP="00DD0012">
            <w:pPr>
              <w:pStyle w:val="TableBody"/>
              <w:spacing w:before="42" w:after="42"/>
              <w:ind w:right="108"/>
              <w:jc w:val="right"/>
              <w:rPr>
                <w:rFonts w:cs="Open Sans"/>
              </w:rPr>
            </w:pPr>
            <w:r w:rsidRPr="002C71A6">
              <w:rPr>
                <w:rFonts w:cs="Open Sans"/>
                <w:szCs w:val="22"/>
              </w:rPr>
              <w:t>28</w:t>
            </w:r>
          </w:p>
        </w:tc>
      </w:tr>
      <w:tr w:rsidR="003A4F41" w:rsidRPr="00D9163E" w14:paraId="40830223" w14:textId="77777777">
        <w:tc>
          <w:tcPr>
            <w:tcW w:w="4192" w:type="pct"/>
            <w:tcBorders>
              <w:bottom w:val="nil"/>
            </w:tcBorders>
            <w:shd w:val="clear" w:color="000000" w:fill="E6E6E6"/>
          </w:tcPr>
          <w:p w14:paraId="5882238F" w14:textId="77777777" w:rsidR="003A4F41" w:rsidRPr="004567AB" w:rsidRDefault="003A4F41" w:rsidP="00DD0012">
            <w:pPr>
              <w:pStyle w:val="TableBody"/>
              <w:spacing w:before="42" w:after="42"/>
              <w:ind w:right="108"/>
              <w:rPr>
                <w:rFonts w:cs="Open Sans"/>
              </w:rPr>
            </w:pPr>
            <w:r w:rsidRPr="004567AB">
              <w:rPr>
                <w:rFonts w:cs="Open Sans"/>
                <w:szCs w:val="22"/>
              </w:rPr>
              <w:t>Property Council of Australia</w:t>
            </w:r>
          </w:p>
        </w:tc>
        <w:tc>
          <w:tcPr>
            <w:tcW w:w="808" w:type="pct"/>
            <w:tcBorders>
              <w:bottom w:val="nil"/>
            </w:tcBorders>
            <w:shd w:val="clear" w:color="000000" w:fill="E6E6E6"/>
          </w:tcPr>
          <w:p w14:paraId="139B1BB7" w14:textId="77777777" w:rsidR="003A4F41" w:rsidRPr="002C71A6" w:rsidRDefault="003A4F41" w:rsidP="00DD0012">
            <w:pPr>
              <w:pStyle w:val="TableBody"/>
              <w:spacing w:before="42" w:after="42"/>
              <w:ind w:right="108"/>
              <w:jc w:val="right"/>
              <w:rPr>
                <w:rFonts w:cs="Open Sans"/>
              </w:rPr>
            </w:pPr>
            <w:r w:rsidRPr="002C71A6">
              <w:rPr>
                <w:rFonts w:cs="Open Sans"/>
                <w:szCs w:val="22"/>
              </w:rPr>
              <w:t>73</w:t>
            </w:r>
          </w:p>
        </w:tc>
      </w:tr>
      <w:tr w:rsidR="003A4F41" w:rsidRPr="00D9163E" w14:paraId="1FAA825F" w14:textId="77777777">
        <w:tc>
          <w:tcPr>
            <w:tcW w:w="4192" w:type="pct"/>
            <w:tcBorders>
              <w:top w:val="nil"/>
              <w:bottom w:val="nil"/>
            </w:tcBorders>
            <w:shd w:val="clear" w:color="000000" w:fill="auto"/>
          </w:tcPr>
          <w:p w14:paraId="7CF5DD91" w14:textId="77777777" w:rsidR="003A4F41" w:rsidRPr="004567AB" w:rsidRDefault="003A4F41" w:rsidP="00DD0012">
            <w:pPr>
              <w:pStyle w:val="TableBody"/>
              <w:spacing w:before="42" w:after="42"/>
              <w:ind w:right="108"/>
              <w:rPr>
                <w:rFonts w:cs="Open Sans"/>
              </w:rPr>
            </w:pPr>
            <w:r w:rsidRPr="004567AB">
              <w:rPr>
                <w:rFonts w:cs="Open Sans"/>
                <w:szCs w:val="22"/>
              </w:rPr>
              <w:t>Real Estate Institute of Australia (REIA)</w:t>
            </w:r>
          </w:p>
        </w:tc>
        <w:tc>
          <w:tcPr>
            <w:tcW w:w="808" w:type="pct"/>
            <w:tcBorders>
              <w:top w:val="nil"/>
              <w:bottom w:val="nil"/>
            </w:tcBorders>
            <w:shd w:val="clear" w:color="000000" w:fill="auto"/>
          </w:tcPr>
          <w:p w14:paraId="7F41F03E" w14:textId="77777777" w:rsidR="003A4F41" w:rsidRPr="002C71A6" w:rsidRDefault="003A4F41" w:rsidP="00DD0012">
            <w:pPr>
              <w:pStyle w:val="TableBody"/>
              <w:spacing w:before="42" w:after="42"/>
              <w:ind w:right="108"/>
              <w:jc w:val="right"/>
              <w:rPr>
                <w:rFonts w:cs="Open Sans"/>
              </w:rPr>
            </w:pPr>
            <w:r w:rsidRPr="002C71A6">
              <w:rPr>
                <w:rFonts w:cs="Open Sans"/>
                <w:szCs w:val="22"/>
              </w:rPr>
              <w:t>30</w:t>
            </w:r>
          </w:p>
        </w:tc>
      </w:tr>
      <w:tr w:rsidR="003A4F41" w:rsidRPr="00D9163E" w14:paraId="425F4FCE" w14:textId="77777777">
        <w:tc>
          <w:tcPr>
            <w:tcW w:w="4192" w:type="pct"/>
            <w:tcBorders>
              <w:bottom w:val="nil"/>
            </w:tcBorders>
            <w:shd w:val="clear" w:color="000000" w:fill="E6E6E6"/>
          </w:tcPr>
          <w:p w14:paraId="6B583620" w14:textId="77777777" w:rsidR="003A4F41" w:rsidRPr="004567AB" w:rsidRDefault="003A4F41" w:rsidP="00DD0012">
            <w:pPr>
              <w:pStyle w:val="TableBody"/>
              <w:spacing w:before="42" w:after="42"/>
              <w:ind w:right="108"/>
              <w:rPr>
                <w:rFonts w:cs="Open Sans"/>
              </w:rPr>
            </w:pPr>
            <w:r w:rsidRPr="004567AB">
              <w:rPr>
                <w:rFonts w:cs="Open Sans"/>
                <w:szCs w:val="22"/>
              </w:rPr>
              <w:t>Regional Development Australia Sydney</w:t>
            </w:r>
          </w:p>
        </w:tc>
        <w:tc>
          <w:tcPr>
            <w:tcW w:w="808" w:type="pct"/>
            <w:tcBorders>
              <w:bottom w:val="nil"/>
            </w:tcBorders>
            <w:shd w:val="clear" w:color="000000" w:fill="E6E6E6"/>
          </w:tcPr>
          <w:p w14:paraId="32214BA2" w14:textId="77777777" w:rsidR="003A4F41" w:rsidRPr="002C71A6" w:rsidRDefault="003A4F41" w:rsidP="00DD0012">
            <w:pPr>
              <w:pStyle w:val="TableBody"/>
              <w:spacing w:before="42" w:after="42"/>
              <w:ind w:right="108"/>
              <w:jc w:val="right"/>
              <w:rPr>
                <w:rFonts w:cs="Open Sans"/>
              </w:rPr>
            </w:pPr>
            <w:r w:rsidRPr="002C71A6">
              <w:rPr>
                <w:rFonts w:cs="Open Sans"/>
                <w:szCs w:val="22"/>
              </w:rPr>
              <w:t>16</w:t>
            </w:r>
          </w:p>
        </w:tc>
      </w:tr>
      <w:tr w:rsidR="003A4F41" w:rsidRPr="00D9163E" w14:paraId="147CF713" w14:textId="77777777">
        <w:tc>
          <w:tcPr>
            <w:tcW w:w="4192" w:type="pct"/>
            <w:tcBorders>
              <w:top w:val="nil"/>
              <w:bottom w:val="nil"/>
            </w:tcBorders>
            <w:shd w:val="clear" w:color="000000" w:fill="auto"/>
          </w:tcPr>
          <w:p w14:paraId="5D857663" w14:textId="77777777" w:rsidR="003A4F41" w:rsidRPr="004567AB" w:rsidRDefault="003A4F41" w:rsidP="00DD0012">
            <w:pPr>
              <w:pStyle w:val="TableBody"/>
              <w:spacing w:before="42" w:after="42"/>
              <w:ind w:right="108"/>
              <w:rPr>
                <w:rFonts w:cs="Open Sans"/>
              </w:rPr>
            </w:pPr>
            <w:r w:rsidRPr="004567AB">
              <w:rPr>
                <w:rFonts w:cs="Open Sans"/>
                <w:szCs w:val="22"/>
              </w:rPr>
              <w:t>Royal Australian Institute of Architects</w:t>
            </w:r>
          </w:p>
        </w:tc>
        <w:tc>
          <w:tcPr>
            <w:tcW w:w="808" w:type="pct"/>
            <w:tcBorders>
              <w:top w:val="nil"/>
              <w:bottom w:val="nil"/>
            </w:tcBorders>
            <w:shd w:val="clear" w:color="000000" w:fill="auto"/>
          </w:tcPr>
          <w:p w14:paraId="641BAB06" w14:textId="77777777" w:rsidR="003A4F41" w:rsidRPr="002C71A6" w:rsidRDefault="003A4F41" w:rsidP="00DD0012">
            <w:pPr>
              <w:pStyle w:val="TableBody"/>
              <w:spacing w:before="42" w:after="42"/>
              <w:ind w:right="108"/>
              <w:jc w:val="right"/>
              <w:rPr>
                <w:rFonts w:cs="Open Sans"/>
              </w:rPr>
            </w:pPr>
            <w:r w:rsidRPr="002C71A6">
              <w:rPr>
                <w:rFonts w:cs="Open Sans"/>
                <w:szCs w:val="22"/>
              </w:rPr>
              <w:t>48</w:t>
            </w:r>
          </w:p>
        </w:tc>
      </w:tr>
      <w:tr w:rsidR="003A4F41" w:rsidRPr="00D9163E" w14:paraId="7AA90FC8" w14:textId="77777777">
        <w:tc>
          <w:tcPr>
            <w:tcW w:w="4192" w:type="pct"/>
            <w:tcBorders>
              <w:bottom w:val="nil"/>
            </w:tcBorders>
            <w:shd w:val="clear" w:color="000000" w:fill="E6E6E6"/>
          </w:tcPr>
          <w:p w14:paraId="191F4AFA" w14:textId="77777777" w:rsidR="003A4F41" w:rsidRPr="004567AB" w:rsidRDefault="003A4F41" w:rsidP="00DD0012">
            <w:pPr>
              <w:pStyle w:val="TableBody"/>
              <w:spacing w:before="42" w:after="42"/>
              <w:ind w:right="108"/>
              <w:rPr>
                <w:rFonts w:cs="Open Sans"/>
              </w:rPr>
            </w:pPr>
            <w:r w:rsidRPr="004567AB">
              <w:rPr>
                <w:rFonts w:cs="Open Sans"/>
                <w:szCs w:val="22"/>
              </w:rPr>
              <w:t>Sean Kelly</w:t>
            </w:r>
          </w:p>
        </w:tc>
        <w:tc>
          <w:tcPr>
            <w:tcW w:w="808" w:type="pct"/>
            <w:tcBorders>
              <w:bottom w:val="nil"/>
            </w:tcBorders>
            <w:shd w:val="clear" w:color="000000" w:fill="E6E6E6"/>
          </w:tcPr>
          <w:p w14:paraId="608C1FB3" w14:textId="77777777" w:rsidR="003A4F41" w:rsidRPr="002C71A6" w:rsidRDefault="003A4F41" w:rsidP="00DD0012">
            <w:pPr>
              <w:pStyle w:val="TableBody"/>
              <w:spacing w:before="42" w:after="42"/>
              <w:ind w:right="108"/>
              <w:jc w:val="right"/>
              <w:rPr>
                <w:rFonts w:cs="Open Sans"/>
              </w:rPr>
            </w:pPr>
            <w:r w:rsidRPr="002C71A6">
              <w:rPr>
                <w:rFonts w:cs="Open Sans"/>
                <w:szCs w:val="22"/>
              </w:rPr>
              <w:t>12</w:t>
            </w:r>
          </w:p>
        </w:tc>
      </w:tr>
      <w:tr w:rsidR="003A4F41" w:rsidRPr="00D9163E" w14:paraId="4FD6D150" w14:textId="77777777">
        <w:tc>
          <w:tcPr>
            <w:tcW w:w="4192" w:type="pct"/>
            <w:tcBorders>
              <w:top w:val="nil"/>
              <w:bottom w:val="nil"/>
            </w:tcBorders>
            <w:shd w:val="clear" w:color="000000" w:fill="auto"/>
          </w:tcPr>
          <w:p w14:paraId="42CF723A" w14:textId="77777777" w:rsidR="003A4F41" w:rsidRPr="004567AB" w:rsidRDefault="003A4F41" w:rsidP="00DD0012">
            <w:pPr>
              <w:pStyle w:val="TableBody"/>
              <w:spacing w:before="42" w:after="42"/>
              <w:ind w:right="108"/>
              <w:rPr>
                <w:rFonts w:cs="Open Sans"/>
              </w:rPr>
            </w:pPr>
            <w:r w:rsidRPr="004567AB">
              <w:rPr>
                <w:rFonts w:cs="Open Sans"/>
                <w:szCs w:val="22"/>
              </w:rPr>
              <w:t xml:space="preserve">SGS Economics and Planning Pty Ltd </w:t>
            </w:r>
          </w:p>
        </w:tc>
        <w:tc>
          <w:tcPr>
            <w:tcW w:w="808" w:type="pct"/>
            <w:tcBorders>
              <w:top w:val="nil"/>
              <w:bottom w:val="nil"/>
            </w:tcBorders>
            <w:shd w:val="clear" w:color="000000" w:fill="auto"/>
          </w:tcPr>
          <w:p w14:paraId="2B5DFD9A" w14:textId="77777777" w:rsidR="003A4F41" w:rsidRPr="002C71A6" w:rsidRDefault="003A4F41" w:rsidP="00DD0012">
            <w:pPr>
              <w:pStyle w:val="TableBody"/>
              <w:spacing w:before="42" w:after="42"/>
              <w:ind w:right="108"/>
              <w:jc w:val="right"/>
              <w:rPr>
                <w:rFonts w:cs="Open Sans"/>
              </w:rPr>
            </w:pPr>
            <w:r w:rsidRPr="002C71A6">
              <w:rPr>
                <w:rFonts w:cs="Open Sans"/>
                <w:szCs w:val="22"/>
              </w:rPr>
              <w:t>45</w:t>
            </w:r>
          </w:p>
        </w:tc>
      </w:tr>
      <w:tr w:rsidR="003A4F41" w:rsidRPr="00D9163E" w14:paraId="401496B9" w14:textId="77777777">
        <w:tc>
          <w:tcPr>
            <w:tcW w:w="4192" w:type="pct"/>
            <w:tcBorders>
              <w:bottom w:val="nil"/>
            </w:tcBorders>
            <w:shd w:val="clear" w:color="000000" w:fill="E6E6E6"/>
          </w:tcPr>
          <w:p w14:paraId="7F28D821" w14:textId="77777777" w:rsidR="003A4F41" w:rsidRPr="004567AB" w:rsidRDefault="003A4F41" w:rsidP="00DD0012">
            <w:pPr>
              <w:pStyle w:val="TableBody"/>
              <w:spacing w:before="42" w:after="42"/>
              <w:ind w:right="108"/>
              <w:rPr>
                <w:rFonts w:cs="Open Sans"/>
              </w:rPr>
            </w:pPr>
            <w:r w:rsidRPr="004567AB">
              <w:rPr>
                <w:rFonts w:cs="Open Sans"/>
                <w:szCs w:val="22"/>
              </w:rPr>
              <w:t>Sharing with Friends Foundation (SWF)</w:t>
            </w:r>
          </w:p>
        </w:tc>
        <w:tc>
          <w:tcPr>
            <w:tcW w:w="808" w:type="pct"/>
            <w:tcBorders>
              <w:bottom w:val="nil"/>
            </w:tcBorders>
            <w:shd w:val="clear" w:color="000000" w:fill="E6E6E6"/>
          </w:tcPr>
          <w:p w14:paraId="5CF863AC" w14:textId="77777777" w:rsidR="003A4F41" w:rsidRPr="002C71A6" w:rsidRDefault="003A4F41" w:rsidP="00DD0012">
            <w:pPr>
              <w:pStyle w:val="TableBody"/>
              <w:spacing w:before="42" w:after="42"/>
              <w:ind w:right="108"/>
              <w:jc w:val="right"/>
              <w:rPr>
                <w:rFonts w:cs="Open Sans"/>
              </w:rPr>
            </w:pPr>
            <w:r w:rsidRPr="002C71A6">
              <w:rPr>
                <w:rFonts w:cs="Open Sans"/>
                <w:szCs w:val="22"/>
              </w:rPr>
              <w:t>23</w:t>
            </w:r>
          </w:p>
        </w:tc>
      </w:tr>
      <w:tr w:rsidR="003A4F41" w:rsidRPr="00D9163E" w14:paraId="2FD386AD" w14:textId="77777777">
        <w:tc>
          <w:tcPr>
            <w:tcW w:w="4192" w:type="pct"/>
            <w:tcBorders>
              <w:top w:val="nil"/>
              <w:bottom w:val="nil"/>
            </w:tcBorders>
            <w:shd w:val="clear" w:color="000000" w:fill="auto"/>
          </w:tcPr>
          <w:p w14:paraId="70E71DDB" w14:textId="77777777" w:rsidR="003A4F41" w:rsidRPr="004567AB" w:rsidRDefault="003A4F41" w:rsidP="00DD0012">
            <w:pPr>
              <w:pStyle w:val="TableBody"/>
              <w:spacing w:before="42" w:after="42"/>
              <w:ind w:right="108"/>
              <w:rPr>
                <w:rFonts w:cs="Open Sans"/>
              </w:rPr>
            </w:pPr>
            <w:r w:rsidRPr="004567AB">
              <w:rPr>
                <w:rFonts w:cs="Open Sans"/>
                <w:szCs w:val="22"/>
              </w:rPr>
              <w:t>South Australian Government</w:t>
            </w:r>
          </w:p>
        </w:tc>
        <w:tc>
          <w:tcPr>
            <w:tcW w:w="808" w:type="pct"/>
            <w:tcBorders>
              <w:top w:val="nil"/>
              <w:bottom w:val="nil"/>
            </w:tcBorders>
            <w:shd w:val="clear" w:color="000000" w:fill="auto"/>
          </w:tcPr>
          <w:p w14:paraId="6D7154EA" w14:textId="77777777" w:rsidR="003A4F41" w:rsidRPr="002C71A6" w:rsidRDefault="003A4F41" w:rsidP="00DD0012">
            <w:pPr>
              <w:pStyle w:val="TableBody"/>
              <w:spacing w:before="42" w:after="42"/>
              <w:ind w:right="108"/>
              <w:jc w:val="right"/>
              <w:rPr>
                <w:rFonts w:cs="Open Sans"/>
              </w:rPr>
            </w:pPr>
            <w:r w:rsidRPr="002C71A6">
              <w:rPr>
                <w:rFonts w:cs="Open Sans"/>
                <w:szCs w:val="22"/>
              </w:rPr>
              <w:t>87</w:t>
            </w:r>
          </w:p>
        </w:tc>
      </w:tr>
      <w:tr w:rsidR="003A4F41" w:rsidRPr="006C6DFD" w14:paraId="03D4F836" w14:textId="77777777">
        <w:tc>
          <w:tcPr>
            <w:tcW w:w="4192" w:type="pct"/>
            <w:tcBorders>
              <w:bottom w:val="nil"/>
            </w:tcBorders>
            <w:shd w:val="clear" w:color="000000" w:fill="E6E6E6"/>
          </w:tcPr>
          <w:p w14:paraId="60E26374" w14:textId="77777777" w:rsidR="003A4F41" w:rsidRPr="0095293A" w:rsidRDefault="003A4F41" w:rsidP="00DD0012">
            <w:pPr>
              <w:pStyle w:val="TableBody"/>
              <w:spacing w:before="42" w:after="42"/>
              <w:ind w:right="108"/>
              <w:rPr>
                <w:rFonts w:cs="Open Sans"/>
                <w:szCs w:val="22"/>
              </w:rPr>
            </w:pPr>
            <w:r w:rsidRPr="0095293A">
              <w:rPr>
                <w:rFonts w:cs="Open Sans"/>
                <w:szCs w:val="22"/>
              </w:rPr>
              <w:t>Stockland*</w:t>
            </w:r>
          </w:p>
        </w:tc>
        <w:tc>
          <w:tcPr>
            <w:tcW w:w="808" w:type="pct"/>
            <w:tcBorders>
              <w:bottom w:val="nil"/>
            </w:tcBorders>
            <w:shd w:val="clear" w:color="000000" w:fill="E6E6E6"/>
          </w:tcPr>
          <w:p w14:paraId="680E335A" w14:textId="77777777" w:rsidR="003A4F41" w:rsidRPr="0095293A" w:rsidRDefault="003A4F41" w:rsidP="00DD0012">
            <w:pPr>
              <w:pStyle w:val="TableBody"/>
              <w:spacing w:before="42" w:after="42"/>
              <w:ind w:right="108"/>
              <w:jc w:val="right"/>
              <w:rPr>
                <w:rFonts w:cs="Open Sans"/>
                <w:szCs w:val="22"/>
              </w:rPr>
            </w:pPr>
            <w:r w:rsidRPr="0095293A">
              <w:rPr>
                <w:rFonts w:cs="Open Sans"/>
                <w:szCs w:val="22"/>
              </w:rPr>
              <w:t>98</w:t>
            </w:r>
          </w:p>
        </w:tc>
      </w:tr>
      <w:tr w:rsidR="003A4F41" w:rsidRPr="00D9163E" w14:paraId="50731F76" w14:textId="77777777">
        <w:tc>
          <w:tcPr>
            <w:tcW w:w="4192" w:type="pct"/>
            <w:tcBorders>
              <w:top w:val="nil"/>
              <w:bottom w:val="nil"/>
            </w:tcBorders>
            <w:shd w:val="clear" w:color="000000" w:fill="auto"/>
          </w:tcPr>
          <w:p w14:paraId="1C42F467" w14:textId="77777777" w:rsidR="003A4F41" w:rsidRPr="004567AB" w:rsidRDefault="003A4F41" w:rsidP="00DD0012">
            <w:pPr>
              <w:pStyle w:val="TableBody"/>
              <w:spacing w:before="42" w:after="42"/>
              <w:ind w:right="108"/>
              <w:rPr>
                <w:rFonts w:cs="Open Sans"/>
              </w:rPr>
            </w:pPr>
            <w:r w:rsidRPr="004567AB">
              <w:rPr>
                <w:rFonts w:cs="Open Sans"/>
                <w:szCs w:val="22"/>
              </w:rPr>
              <w:t>Suburban Futures Ltd</w:t>
            </w:r>
          </w:p>
        </w:tc>
        <w:tc>
          <w:tcPr>
            <w:tcW w:w="808" w:type="pct"/>
            <w:tcBorders>
              <w:top w:val="nil"/>
              <w:bottom w:val="nil"/>
            </w:tcBorders>
            <w:shd w:val="clear" w:color="000000" w:fill="auto"/>
          </w:tcPr>
          <w:p w14:paraId="4FA6E384" w14:textId="77777777" w:rsidR="003A4F41" w:rsidRPr="002C71A6" w:rsidRDefault="003A4F41" w:rsidP="00DD0012">
            <w:pPr>
              <w:pStyle w:val="TableBody"/>
              <w:spacing w:before="42" w:after="42"/>
              <w:ind w:right="108"/>
              <w:jc w:val="right"/>
              <w:rPr>
                <w:rFonts w:cs="Open Sans"/>
              </w:rPr>
            </w:pPr>
            <w:r w:rsidRPr="002C71A6">
              <w:rPr>
                <w:rFonts w:cs="Open Sans"/>
                <w:szCs w:val="22"/>
              </w:rPr>
              <w:t>2</w:t>
            </w:r>
          </w:p>
        </w:tc>
      </w:tr>
      <w:tr w:rsidR="003A4F41" w:rsidRPr="00D9163E" w14:paraId="6CA431C2" w14:textId="77777777">
        <w:tc>
          <w:tcPr>
            <w:tcW w:w="4192" w:type="pct"/>
            <w:tcBorders>
              <w:bottom w:val="nil"/>
            </w:tcBorders>
            <w:shd w:val="clear" w:color="000000" w:fill="E6E6E6"/>
          </w:tcPr>
          <w:p w14:paraId="6B8AC9E8" w14:textId="77777777" w:rsidR="003A4F41" w:rsidRPr="004567AB" w:rsidRDefault="003A4F41" w:rsidP="00DD0012">
            <w:pPr>
              <w:pStyle w:val="TableBody"/>
              <w:spacing w:before="42" w:after="42"/>
              <w:ind w:right="108"/>
              <w:rPr>
                <w:rFonts w:cs="Open Sans"/>
              </w:rPr>
            </w:pPr>
            <w:r w:rsidRPr="004567AB">
              <w:rPr>
                <w:rFonts w:cs="Open Sans"/>
                <w:szCs w:val="22"/>
              </w:rPr>
              <w:t>Swinburne University of Technology</w:t>
            </w:r>
          </w:p>
        </w:tc>
        <w:tc>
          <w:tcPr>
            <w:tcW w:w="808" w:type="pct"/>
            <w:tcBorders>
              <w:bottom w:val="nil"/>
            </w:tcBorders>
            <w:shd w:val="clear" w:color="000000" w:fill="E6E6E6"/>
          </w:tcPr>
          <w:p w14:paraId="4670B388" w14:textId="77777777" w:rsidR="003A4F41" w:rsidRPr="002C71A6" w:rsidRDefault="003A4F41" w:rsidP="00DD0012">
            <w:pPr>
              <w:pStyle w:val="TableBody"/>
              <w:spacing w:before="42" w:after="42"/>
              <w:ind w:right="108"/>
              <w:jc w:val="right"/>
              <w:rPr>
                <w:rFonts w:cs="Open Sans"/>
              </w:rPr>
            </w:pPr>
            <w:r w:rsidRPr="002C71A6">
              <w:rPr>
                <w:rFonts w:cs="Open Sans"/>
                <w:szCs w:val="22"/>
              </w:rPr>
              <w:t>43</w:t>
            </w:r>
          </w:p>
        </w:tc>
      </w:tr>
      <w:tr w:rsidR="003A4F41" w:rsidRPr="00D9163E" w14:paraId="0181920B" w14:textId="77777777">
        <w:tc>
          <w:tcPr>
            <w:tcW w:w="4192" w:type="pct"/>
            <w:tcBorders>
              <w:top w:val="nil"/>
              <w:bottom w:val="nil"/>
            </w:tcBorders>
            <w:shd w:val="clear" w:color="000000" w:fill="auto"/>
          </w:tcPr>
          <w:p w14:paraId="7215D902" w14:textId="77777777" w:rsidR="003A4F41" w:rsidRPr="004567AB" w:rsidRDefault="003A4F41" w:rsidP="00DD0012">
            <w:pPr>
              <w:pStyle w:val="TableBody"/>
              <w:spacing w:before="42" w:after="42"/>
              <w:ind w:right="108"/>
              <w:rPr>
                <w:rFonts w:cs="Open Sans"/>
              </w:rPr>
            </w:pPr>
            <w:r w:rsidRPr="004567AB">
              <w:rPr>
                <w:rFonts w:cs="Open Sans"/>
                <w:szCs w:val="22"/>
              </w:rPr>
              <w:t>Terry Burke</w:t>
            </w:r>
          </w:p>
        </w:tc>
        <w:tc>
          <w:tcPr>
            <w:tcW w:w="808" w:type="pct"/>
            <w:tcBorders>
              <w:top w:val="nil"/>
              <w:bottom w:val="nil"/>
            </w:tcBorders>
            <w:shd w:val="clear" w:color="000000" w:fill="auto"/>
          </w:tcPr>
          <w:p w14:paraId="4B33138B" w14:textId="77777777" w:rsidR="003A4F41" w:rsidRPr="002C71A6" w:rsidRDefault="003A4F41" w:rsidP="00DD0012">
            <w:pPr>
              <w:pStyle w:val="TableBody"/>
              <w:spacing w:before="42" w:after="42"/>
              <w:ind w:right="108"/>
              <w:jc w:val="right"/>
              <w:rPr>
                <w:rFonts w:cs="Open Sans"/>
              </w:rPr>
            </w:pPr>
            <w:r w:rsidRPr="002C71A6">
              <w:rPr>
                <w:rFonts w:cs="Open Sans"/>
                <w:szCs w:val="22"/>
              </w:rPr>
              <w:t>46</w:t>
            </w:r>
          </w:p>
        </w:tc>
      </w:tr>
      <w:tr w:rsidR="003A4F41" w:rsidRPr="006C6DFD" w14:paraId="272498D3" w14:textId="77777777">
        <w:tc>
          <w:tcPr>
            <w:tcW w:w="4192" w:type="pct"/>
            <w:tcBorders>
              <w:bottom w:val="nil"/>
            </w:tcBorders>
            <w:shd w:val="clear" w:color="000000" w:fill="E6E6E6"/>
          </w:tcPr>
          <w:p w14:paraId="62CC5B9A" w14:textId="77777777" w:rsidR="003A4F41" w:rsidRPr="0095293A" w:rsidRDefault="003A4F41" w:rsidP="00DD0012">
            <w:pPr>
              <w:pStyle w:val="TableBody"/>
              <w:spacing w:before="42" w:after="42"/>
              <w:ind w:right="108"/>
              <w:rPr>
                <w:rFonts w:cs="Open Sans"/>
                <w:szCs w:val="22"/>
              </w:rPr>
            </w:pPr>
            <w:r w:rsidRPr="0095293A">
              <w:rPr>
                <w:rFonts w:cs="Open Sans"/>
                <w:szCs w:val="22"/>
              </w:rPr>
              <w:t xml:space="preserve">The Village Building </w:t>
            </w:r>
            <w:r w:rsidRPr="00EC384B">
              <w:rPr>
                <w:rFonts w:cs="Open Sans"/>
                <w:szCs w:val="22"/>
              </w:rPr>
              <w:t>Company Pty Ltd</w:t>
            </w:r>
            <w:r w:rsidRPr="0095293A">
              <w:rPr>
                <w:rFonts w:cs="Open Sans"/>
                <w:szCs w:val="22"/>
              </w:rPr>
              <w:t>*</w:t>
            </w:r>
          </w:p>
        </w:tc>
        <w:tc>
          <w:tcPr>
            <w:tcW w:w="808" w:type="pct"/>
            <w:tcBorders>
              <w:bottom w:val="nil"/>
            </w:tcBorders>
            <w:shd w:val="clear" w:color="000000" w:fill="E6E6E6"/>
          </w:tcPr>
          <w:p w14:paraId="54E31835" w14:textId="77777777" w:rsidR="003A4F41" w:rsidRPr="0095293A" w:rsidRDefault="003A4F41" w:rsidP="00DD0012">
            <w:pPr>
              <w:pStyle w:val="TableBody"/>
              <w:spacing w:before="42" w:after="42"/>
              <w:ind w:right="108"/>
              <w:jc w:val="right"/>
              <w:rPr>
                <w:rFonts w:cs="Open Sans"/>
                <w:szCs w:val="22"/>
              </w:rPr>
            </w:pPr>
            <w:r w:rsidRPr="0095293A">
              <w:rPr>
                <w:rFonts w:cs="Open Sans"/>
                <w:szCs w:val="22"/>
              </w:rPr>
              <w:t>99</w:t>
            </w:r>
          </w:p>
        </w:tc>
      </w:tr>
      <w:tr w:rsidR="003A4F41" w:rsidRPr="00D9163E" w14:paraId="098965E0" w14:textId="77777777">
        <w:tc>
          <w:tcPr>
            <w:tcW w:w="4192" w:type="pct"/>
            <w:tcBorders>
              <w:top w:val="nil"/>
              <w:bottom w:val="nil"/>
            </w:tcBorders>
            <w:shd w:val="clear" w:color="000000" w:fill="auto"/>
          </w:tcPr>
          <w:p w14:paraId="42079BE3" w14:textId="77777777" w:rsidR="003A4F41" w:rsidRPr="004567AB" w:rsidRDefault="003A4F41" w:rsidP="00DD0012">
            <w:pPr>
              <w:pStyle w:val="TableBody"/>
              <w:spacing w:before="42" w:after="42"/>
              <w:ind w:right="108"/>
              <w:rPr>
                <w:rFonts w:cs="Open Sans"/>
              </w:rPr>
            </w:pPr>
            <w:r w:rsidRPr="004567AB">
              <w:rPr>
                <w:rFonts w:cs="Open Sans"/>
                <w:szCs w:val="22"/>
              </w:rPr>
              <w:t>Torres Strait Regional Authority (TSRA)</w:t>
            </w:r>
          </w:p>
        </w:tc>
        <w:tc>
          <w:tcPr>
            <w:tcW w:w="808" w:type="pct"/>
            <w:tcBorders>
              <w:top w:val="nil"/>
              <w:bottom w:val="nil"/>
            </w:tcBorders>
            <w:shd w:val="clear" w:color="000000" w:fill="auto"/>
          </w:tcPr>
          <w:p w14:paraId="38F42703" w14:textId="77777777" w:rsidR="003A4F41" w:rsidRPr="002C71A6" w:rsidRDefault="003A4F41" w:rsidP="00DD0012">
            <w:pPr>
              <w:pStyle w:val="TableBody"/>
              <w:spacing w:before="42" w:after="42"/>
              <w:ind w:right="108"/>
              <w:jc w:val="right"/>
              <w:rPr>
                <w:rFonts w:cs="Open Sans"/>
              </w:rPr>
            </w:pPr>
            <w:r w:rsidRPr="002C71A6">
              <w:rPr>
                <w:rFonts w:cs="Open Sans"/>
                <w:szCs w:val="22"/>
              </w:rPr>
              <w:t>82</w:t>
            </w:r>
          </w:p>
        </w:tc>
      </w:tr>
      <w:tr w:rsidR="003A4F41" w:rsidRPr="00D9163E" w14:paraId="51E10262" w14:textId="77777777">
        <w:tc>
          <w:tcPr>
            <w:tcW w:w="4192" w:type="pct"/>
            <w:tcBorders>
              <w:bottom w:val="nil"/>
            </w:tcBorders>
            <w:shd w:val="clear" w:color="000000" w:fill="E6E6E6"/>
          </w:tcPr>
          <w:p w14:paraId="7715F64C" w14:textId="77777777" w:rsidR="003A4F41" w:rsidRPr="004567AB" w:rsidRDefault="003A4F41" w:rsidP="00DD0012">
            <w:pPr>
              <w:pStyle w:val="TableBody"/>
              <w:spacing w:before="42" w:after="42"/>
              <w:ind w:right="108"/>
              <w:rPr>
                <w:rFonts w:cs="Open Sans"/>
              </w:rPr>
            </w:pPr>
            <w:r w:rsidRPr="004567AB">
              <w:rPr>
                <w:rFonts w:cs="Open Sans"/>
                <w:szCs w:val="22"/>
              </w:rPr>
              <w:lastRenderedPageBreak/>
              <w:t xml:space="preserve">Uniting </w:t>
            </w:r>
            <w:proofErr w:type="spellStart"/>
            <w:r w:rsidRPr="004567AB">
              <w:rPr>
                <w:rFonts w:cs="Open Sans"/>
                <w:szCs w:val="22"/>
              </w:rPr>
              <w:t>Vic.Tas</w:t>
            </w:r>
            <w:proofErr w:type="spellEnd"/>
          </w:p>
        </w:tc>
        <w:tc>
          <w:tcPr>
            <w:tcW w:w="808" w:type="pct"/>
            <w:tcBorders>
              <w:bottom w:val="nil"/>
            </w:tcBorders>
            <w:shd w:val="clear" w:color="000000" w:fill="E6E6E6"/>
          </w:tcPr>
          <w:p w14:paraId="2096BD18" w14:textId="77777777" w:rsidR="003A4F41" w:rsidRPr="002C71A6" w:rsidRDefault="003A4F41" w:rsidP="00DD0012">
            <w:pPr>
              <w:pStyle w:val="TableBody"/>
              <w:spacing w:before="42" w:after="42"/>
              <w:ind w:right="108"/>
              <w:jc w:val="right"/>
              <w:rPr>
                <w:rFonts w:cs="Open Sans"/>
              </w:rPr>
            </w:pPr>
            <w:r w:rsidRPr="002C71A6">
              <w:rPr>
                <w:rFonts w:cs="Open Sans"/>
                <w:szCs w:val="22"/>
              </w:rPr>
              <w:t>39</w:t>
            </w:r>
          </w:p>
        </w:tc>
      </w:tr>
      <w:tr w:rsidR="003A4F41" w:rsidRPr="00D9163E" w14:paraId="63CE3943" w14:textId="77777777">
        <w:tc>
          <w:tcPr>
            <w:tcW w:w="4192" w:type="pct"/>
            <w:tcBorders>
              <w:top w:val="nil"/>
              <w:bottom w:val="nil"/>
            </w:tcBorders>
            <w:shd w:val="clear" w:color="000000" w:fill="auto"/>
          </w:tcPr>
          <w:p w14:paraId="40253A13" w14:textId="77777777" w:rsidR="003A4F41" w:rsidRPr="004567AB" w:rsidRDefault="003A4F41" w:rsidP="00DD0012">
            <w:pPr>
              <w:pStyle w:val="TableBody"/>
              <w:spacing w:before="42" w:after="42"/>
              <w:ind w:right="108"/>
              <w:rPr>
                <w:rFonts w:cs="Open Sans"/>
                <w:szCs w:val="22"/>
              </w:rPr>
            </w:pPr>
            <w:r w:rsidRPr="004567AB">
              <w:rPr>
                <w:rFonts w:cs="Open Sans"/>
                <w:szCs w:val="22"/>
              </w:rPr>
              <w:t>Universities Australia</w:t>
            </w:r>
          </w:p>
        </w:tc>
        <w:tc>
          <w:tcPr>
            <w:tcW w:w="808" w:type="pct"/>
            <w:tcBorders>
              <w:top w:val="nil"/>
              <w:bottom w:val="nil"/>
            </w:tcBorders>
            <w:shd w:val="clear" w:color="000000" w:fill="auto"/>
          </w:tcPr>
          <w:p w14:paraId="6F31C7E3" w14:textId="77777777" w:rsidR="003A4F41" w:rsidRPr="002C71A6" w:rsidRDefault="003A4F41" w:rsidP="00DD0012">
            <w:pPr>
              <w:pStyle w:val="TableBody"/>
              <w:spacing w:before="42" w:after="42"/>
              <w:ind w:right="108"/>
              <w:jc w:val="right"/>
              <w:rPr>
                <w:rFonts w:cs="Open Sans"/>
                <w:szCs w:val="22"/>
              </w:rPr>
            </w:pPr>
            <w:r w:rsidRPr="002C71A6">
              <w:rPr>
                <w:rFonts w:cs="Open Sans"/>
                <w:szCs w:val="22"/>
              </w:rPr>
              <w:t>13</w:t>
            </w:r>
          </w:p>
        </w:tc>
      </w:tr>
      <w:tr w:rsidR="003A4F41" w:rsidRPr="00D9163E" w14:paraId="4B41B576" w14:textId="77777777">
        <w:tc>
          <w:tcPr>
            <w:tcW w:w="4192" w:type="pct"/>
            <w:tcBorders>
              <w:bottom w:val="nil"/>
            </w:tcBorders>
            <w:shd w:val="clear" w:color="000000" w:fill="E6E6E6"/>
          </w:tcPr>
          <w:p w14:paraId="7977AB75" w14:textId="77777777" w:rsidR="003A4F41" w:rsidRPr="004567AB" w:rsidRDefault="003A4F41" w:rsidP="00DD0012">
            <w:pPr>
              <w:pStyle w:val="TableBody"/>
              <w:spacing w:before="42" w:after="42"/>
              <w:ind w:right="108"/>
              <w:rPr>
                <w:rFonts w:cs="Open Sans"/>
                <w:szCs w:val="22"/>
              </w:rPr>
            </w:pPr>
            <w:r w:rsidRPr="004567AB">
              <w:rPr>
                <w:rFonts w:cs="Open Sans"/>
                <w:szCs w:val="22"/>
              </w:rPr>
              <w:t xml:space="preserve">Urban Development Institute </w:t>
            </w:r>
            <w:r>
              <w:rPr>
                <w:rFonts w:cs="Open Sans"/>
                <w:szCs w:val="22"/>
              </w:rPr>
              <w:t xml:space="preserve">of </w:t>
            </w:r>
            <w:r w:rsidRPr="004567AB">
              <w:rPr>
                <w:rFonts w:cs="Open Sans"/>
                <w:szCs w:val="22"/>
              </w:rPr>
              <w:t>A</w:t>
            </w:r>
            <w:r>
              <w:rPr>
                <w:rFonts w:cs="Open Sans"/>
                <w:szCs w:val="22"/>
              </w:rPr>
              <w:t>ustralia</w:t>
            </w:r>
            <w:r w:rsidRPr="004567AB">
              <w:rPr>
                <w:rFonts w:cs="Open Sans"/>
                <w:szCs w:val="22"/>
              </w:rPr>
              <w:t xml:space="preserve"> (National) (UDIA)</w:t>
            </w:r>
          </w:p>
        </w:tc>
        <w:tc>
          <w:tcPr>
            <w:tcW w:w="808" w:type="pct"/>
            <w:tcBorders>
              <w:bottom w:val="nil"/>
            </w:tcBorders>
            <w:shd w:val="clear" w:color="000000" w:fill="E6E6E6"/>
          </w:tcPr>
          <w:p w14:paraId="7EF9ABD3" w14:textId="77777777" w:rsidR="003A4F41" w:rsidRPr="003961D3" w:rsidRDefault="003A4F41" w:rsidP="00DD0012">
            <w:pPr>
              <w:pStyle w:val="TableBody"/>
              <w:spacing w:before="42" w:after="42"/>
              <w:ind w:right="108"/>
              <w:jc w:val="right"/>
              <w:rPr>
                <w:rFonts w:cs="Open Sans"/>
                <w:szCs w:val="22"/>
              </w:rPr>
            </w:pPr>
            <w:r w:rsidRPr="003961D3">
              <w:rPr>
                <w:rFonts w:cs="Open Sans"/>
                <w:szCs w:val="22"/>
              </w:rPr>
              <w:t>83</w:t>
            </w:r>
          </w:p>
        </w:tc>
      </w:tr>
      <w:tr w:rsidR="003A4F41" w:rsidRPr="00D9163E" w14:paraId="672D5C0E" w14:textId="77777777">
        <w:tc>
          <w:tcPr>
            <w:tcW w:w="4192" w:type="pct"/>
            <w:tcBorders>
              <w:top w:val="nil"/>
              <w:bottom w:val="nil"/>
            </w:tcBorders>
            <w:shd w:val="clear" w:color="000000" w:fill="auto"/>
          </w:tcPr>
          <w:p w14:paraId="32DB5ACA" w14:textId="77777777" w:rsidR="003A4F41" w:rsidRPr="004567AB" w:rsidRDefault="003A4F41" w:rsidP="00DD0012">
            <w:pPr>
              <w:pStyle w:val="TableBody"/>
              <w:spacing w:before="42" w:after="42"/>
              <w:ind w:right="108"/>
              <w:rPr>
                <w:rFonts w:cs="Open Sans"/>
                <w:szCs w:val="22"/>
              </w:rPr>
            </w:pPr>
            <w:r w:rsidRPr="004567AB">
              <w:rPr>
                <w:rFonts w:cs="Open Sans"/>
                <w:szCs w:val="22"/>
              </w:rPr>
              <w:t xml:space="preserve">Urban Development Institute </w:t>
            </w:r>
            <w:r w:rsidRPr="00EC384B">
              <w:rPr>
                <w:rFonts w:cs="Open Sans"/>
                <w:szCs w:val="22"/>
              </w:rPr>
              <w:t>of</w:t>
            </w:r>
            <w:r w:rsidRPr="004567AB">
              <w:rPr>
                <w:rFonts w:cs="Open Sans"/>
                <w:szCs w:val="22"/>
              </w:rPr>
              <w:t xml:space="preserve"> Australia (</w:t>
            </w:r>
            <w:r w:rsidRPr="00EC384B">
              <w:rPr>
                <w:rFonts w:cs="Open Sans"/>
                <w:szCs w:val="22"/>
              </w:rPr>
              <w:t>South Australia) (</w:t>
            </w:r>
            <w:r w:rsidRPr="004567AB">
              <w:rPr>
                <w:rFonts w:cs="Open Sans"/>
                <w:szCs w:val="22"/>
              </w:rPr>
              <w:t>UDIA South Australia)</w:t>
            </w:r>
          </w:p>
        </w:tc>
        <w:tc>
          <w:tcPr>
            <w:tcW w:w="808" w:type="pct"/>
            <w:tcBorders>
              <w:top w:val="nil"/>
              <w:bottom w:val="nil"/>
            </w:tcBorders>
            <w:shd w:val="clear" w:color="000000" w:fill="auto"/>
          </w:tcPr>
          <w:p w14:paraId="2436D8F1" w14:textId="77777777" w:rsidR="003A4F41" w:rsidRPr="003961D3" w:rsidRDefault="003A4F41" w:rsidP="00DD0012">
            <w:pPr>
              <w:pStyle w:val="TableBody"/>
              <w:spacing w:before="42" w:after="42"/>
              <w:ind w:right="108"/>
              <w:jc w:val="right"/>
              <w:rPr>
                <w:rFonts w:cs="Open Sans"/>
                <w:szCs w:val="22"/>
              </w:rPr>
            </w:pPr>
            <w:r w:rsidRPr="003961D3">
              <w:rPr>
                <w:rFonts w:cs="Open Sans"/>
                <w:szCs w:val="22"/>
              </w:rPr>
              <w:t>31</w:t>
            </w:r>
          </w:p>
        </w:tc>
      </w:tr>
      <w:tr w:rsidR="003A4F41" w:rsidRPr="00D9163E" w14:paraId="0599B43E" w14:textId="77777777">
        <w:tc>
          <w:tcPr>
            <w:tcW w:w="4192" w:type="pct"/>
            <w:tcBorders>
              <w:bottom w:val="nil"/>
            </w:tcBorders>
            <w:shd w:val="clear" w:color="000000" w:fill="E6E6E6"/>
          </w:tcPr>
          <w:p w14:paraId="5231825E" w14:textId="77777777" w:rsidR="003A4F41" w:rsidRPr="004567AB" w:rsidRDefault="003A4F41" w:rsidP="00DD0012">
            <w:pPr>
              <w:pStyle w:val="TableBody"/>
              <w:spacing w:before="42" w:after="42"/>
              <w:ind w:right="108"/>
              <w:rPr>
                <w:rFonts w:cs="Open Sans"/>
                <w:szCs w:val="22"/>
              </w:rPr>
            </w:pPr>
            <w:r w:rsidRPr="004567AB">
              <w:rPr>
                <w:rFonts w:cs="Open Sans"/>
                <w:szCs w:val="22"/>
              </w:rPr>
              <w:t>Urban Taskforce Australia</w:t>
            </w:r>
          </w:p>
        </w:tc>
        <w:tc>
          <w:tcPr>
            <w:tcW w:w="808" w:type="pct"/>
            <w:tcBorders>
              <w:bottom w:val="nil"/>
            </w:tcBorders>
            <w:shd w:val="clear" w:color="000000" w:fill="E6E6E6"/>
          </w:tcPr>
          <w:p w14:paraId="50631E99" w14:textId="77777777" w:rsidR="003A4F41" w:rsidRPr="003961D3" w:rsidRDefault="003A4F41" w:rsidP="00DD0012">
            <w:pPr>
              <w:pStyle w:val="TableBody"/>
              <w:spacing w:before="42" w:after="42"/>
              <w:ind w:right="108"/>
              <w:jc w:val="right"/>
              <w:rPr>
                <w:rFonts w:cs="Open Sans"/>
                <w:szCs w:val="22"/>
              </w:rPr>
            </w:pPr>
            <w:r w:rsidRPr="003961D3">
              <w:rPr>
                <w:rFonts w:cs="Open Sans"/>
                <w:szCs w:val="22"/>
              </w:rPr>
              <w:t>69</w:t>
            </w:r>
          </w:p>
        </w:tc>
      </w:tr>
      <w:tr w:rsidR="003A4F41" w:rsidRPr="00D9163E" w14:paraId="2DCE812A" w14:textId="77777777">
        <w:tc>
          <w:tcPr>
            <w:tcW w:w="4192" w:type="pct"/>
            <w:tcBorders>
              <w:top w:val="nil"/>
              <w:bottom w:val="nil"/>
            </w:tcBorders>
            <w:shd w:val="clear" w:color="000000" w:fill="auto"/>
          </w:tcPr>
          <w:p w14:paraId="74A46E22" w14:textId="77777777" w:rsidR="003A4F41" w:rsidRPr="004567AB" w:rsidRDefault="003A4F41" w:rsidP="00DD0012">
            <w:pPr>
              <w:pStyle w:val="TableBody"/>
              <w:spacing w:before="42" w:after="42"/>
              <w:ind w:right="108"/>
              <w:rPr>
                <w:rFonts w:cs="Open Sans"/>
                <w:szCs w:val="22"/>
              </w:rPr>
            </w:pPr>
            <w:r w:rsidRPr="004567AB">
              <w:rPr>
                <w:rFonts w:cs="Open Sans"/>
                <w:szCs w:val="22"/>
              </w:rPr>
              <w:t>Urban Transformations Research Centre (UTRC), Western Sydney University</w:t>
            </w:r>
          </w:p>
        </w:tc>
        <w:tc>
          <w:tcPr>
            <w:tcW w:w="808" w:type="pct"/>
            <w:tcBorders>
              <w:top w:val="nil"/>
              <w:bottom w:val="nil"/>
            </w:tcBorders>
            <w:shd w:val="clear" w:color="000000" w:fill="auto"/>
          </w:tcPr>
          <w:p w14:paraId="632216B8" w14:textId="77777777" w:rsidR="003A4F41" w:rsidRPr="003961D3" w:rsidRDefault="003A4F41" w:rsidP="00DD0012">
            <w:pPr>
              <w:pStyle w:val="TableBody"/>
              <w:spacing w:before="42" w:after="42"/>
              <w:ind w:right="108"/>
              <w:jc w:val="right"/>
              <w:rPr>
                <w:rFonts w:cs="Open Sans"/>
                <w:szCs w:val="22"/>
              </w:rPr>
            </w:pPr>
            <w:r w:rsidRPr="003961D3">
              <w:rPr>
                <w:rFonts w:cs="Open Sans"/>
                <w:szCs w:val="22"/>
              </w:rPr>
              <w:t>22</w:t>
            </w:r>
          </w:p>
        </w:tc>
      </w:tr>
      <w:tr w:rsidR="003A4F41" w:rsidRPr="00D9163E" w14:paraId="7E3905D8" w14:textId="77777777">
        <w:tc>
          <w:tcPr>
            <w:tcW w:w="4192" w:type="pct"/>
            <w:tcBorders>
              <w:bottom w:val="nil"/>
            </w:tcBorders>
            <w:shd w:val="clear" w:color="000000" w:fill="E6E6E6"/>
          </w:tcPr>
          <w:p w14:paraId="663DE672" w14:textId="77777777" w:rsidR="003A4F41" w:rsidRPr="004567AB" w:rsidRDefault="003A4F41" w:rsidP="00DD0012">
            <w:pPr>
              <w:pStyle w:val="TableBody"/>
              <w:spacing w:before="42" w:after="42"/>
              <w:ind w:right="108"/>
              <w:rPr>
                <w:rFonts w:cs="Open Sans"/>
                <w:szCs w:val="22"/>
              </w:rPr>
            </w:pPr>
            <w:r w:rsidRPr="004567AB">
              <w:rPr>
                <w:rFonts w:cs="Open Sans"/>
                <w:szCs w:val="22"/>
              </w:rPr>
              <w:t>Water Services Association of Australia (WSAA)</w:t>
            </w:r>
          </w:p>
        </w:tc>
        <w:tc>
          <w:tcPr>
            <w:tcW w:w="808" w:type="pct"/>
            <w:tcBorders>
              <w:bottom w:val="nil"/>
            </w:tcBorders>
            <w:shd w:val="clear" w:color="000000" w:fill="E6E6E6"/>
          </w:tcPr>
          <w:p w14:paraId="6FBE9A79" w14:textId="77777777" w:rsidR="003A4F41" w:rsidRPr="003961D3" w:rsidRDefault="003A4F41" w:rsidP="00DD0012">
            <w:pPr>
              <w:pStyle w:val="TableBody"/>
              <w:spacing w:before="42" w:after="42"/>
              <w:ind w:right="108"/>
              <w:jc w:val="right"/>
              <w:rPr>
                <w:rFonts w:cs="Open Sans"/>
                <w:szCs w:val="22"/>
              </w:rPr>
            </w:pPr>
            <w:r w:rsidRPr="003961D3">
              <w:rPr>
                <w:rFonts w:cs="Open Sans"/>
                <w:szCs w:val="22"/>
              </w:rPr>
              <w:t>85</w:t>
            </w:r>
          </w:p>
        </w:tc>
      </w:tr>
      <w:tr w:rsidR="003A4F41" w:rsidRPr="00D9163E" w14:paraId="78E8B19D" w14:textId="77777777">
        <w:tc>
          <w:tcPr>
            <w:tcW w:w="4192" w:type="pct"/>
            <w:tcBorders>
              <w:top w:val="nil"/>
              <w:bottom w:val="nil"/>
            </w:tcBorders>
            <w:shd w:val="clear" w:color="000000" w:fill="auto"/>
          </w:tcPr>
          <w:p w14:paraId="6CA23344" w14:textId="77777777" w:rsidR="003A4F41" w:rsidRPr="004567AB" w:rsidRDefault="003A4F41" w:rsidP="00DD0012">
            <w:pPr>
              <w:pStyle w:val="TableBody"/>
              <w:spacing w:before="42" w:after="42"/>
              <w:ind w:right="108"/>
              <w:rPr>
                <w:rFonts w:cs="Open Sans"/>
                <w:szCs w:val="22"/>
              </w:rPr>
            </w:pPr>
            <w:r w:rsidRPr="004567AB">
              <w:rPr>
                <w:rFonts w:cs="Open Sans"/>
                <w:szCs w:val="22"/>
              </w:rPr>
              <w:t>Western Australian Local Government Association (WALGA)</w:t>
            </w:r>
          </w:p>
        </w:tc>
        <w:tc>
          <w:tcPr>
            <w:tcW w:w="808" w:type="pct"/>
            <w:tcBorders>
              <w:top w:val="nil"/>
              <w:bottom w:val="nil"/>
            </w:tcBorders>
            <w:shd w:val="clear" w:color="000000" w:fill="auto"/>
          </w:tcPr>
          <w:p w14:paraId="2595A507" w14:textId="77777777" w:rsidR="003A4F41" w:rsidRPr="003961D3" w:rsidRDefault="003A4F41" w:rsidP="00DD0012">
            <w:pPr>
              <w:pStyle w:val="TableBody"/>
              <w:spacing w:before="42" w:after="42"/>
              <w:ind w:right="108"/>
              <w:jc w:val="right"/>
              <w:rPr>
                <w:rFonts w:cs="Open Sans"/>
                <w:szCs w:val="22"/>
              </w:rPr>
            </w:pPr>
            <w:r w:rsidRPr="003961D3">
              <w:rPr>
                <w:rFonts w:cs="Open Sans"/>
                <w:szCs w:val="22"/>
              </w:rPr>
              <w:t>27</w:t>
            </w:r>
          </w:p>
        </w:tc>
      </w:tr>
      <w:tr w:rsidR="003A4F41" w:rsidRPr="00D9163E" w14:paraId="3A8BDA10" w14:textId="77777777">
        <w:tc>
          <w:tcPr>
            <w:tcW w:w="4192" w:type="pct"/>
            <w:tcBorders>
              <w:bottom w:val="nil"/>
            </w:tcBorders>
            <w:shd w:val="clear" w:color="000000" w:fill="E6E6E6"/>
          </w:tcPr>
          <w:p w14:paraId="11F2DD75" w14:textId="77777777" w:rsidR="003A4F41" w:rsidRPr="004567AB" w:rsidRDefault="003A4F41" w:rsidP="00DD0012">
            <w:pPr>
              <w:pStyle w:val="TableBody"/>
              <w:spacing w:before="42" w:after="42"/>
              <w:ind w:right="108"/>
              <w:rPr>
                <w:rFonts w:cs="Open Sans"/>
                <w:szCs w:val="22"/>
              </w:rPr>
            </w:pPr>
            <w:r w:rsidRPr="004567AB">
              <w:rPr>
                <w:rFonts w:cs="Open Sans"/>
                <w:szCs w:val="22"/>
              </w:rPr>
              <w:t>Westpac</w:t>
            </w:r>
          </w:p>
        </w:tc>
        <w:tc>
          <w:tcPr>
            <w:tcW w:w="808" w:type="pct"/>
            <w:tcBorders>
              <w:bottom w:val="nil"/>
            </w:tcBorders>
            <w:shd w:val="clear" w:color="000000" w:fill="E6E6E6"/>
          </w:tcPr>
          <w:p w14:paraId="2D268A14" w14:textId="77777777" w:rsidR="003A4F41" w:rsidRPr="003961D3" w:rsidRDefault="003A4F41" w:rsidP="00DD0012">
            <w:pPr>
              <w:pStyle w:val="TableBody"/>
              <w:spacing w:before="42" w:after="42"/>
              <w:ind w:right="108"/>
              <w:jc w:val="right"/>
              <w:rPr>
                <w:rFonts w:cs="Open Sans"/>
                <w:szCs w:val="22"/>
              </w:rPr>
            </w:pPr>
            <w:r w:rsidRPr="003961D3">
              <w:rPr>
                <w:rFonts w:cs="Open Sans"/>
                <w:szCs w:val="22"/>
              </w:rPr>
              <w:t>38</w:t>
            </w:r>
          </w:p>
        </w:tc>
      </w:tr>
      <w:tr w:rsidR="003A4F41" w:rsidRPr="00D9163E" w14:paraId="63E111B5" w14:textId="77777777">
        <w:tc>
          <w:tcPr>
            <w:tcW w:w="4192" w:type="pct"/>
            <w:tcBorders>
              <w:top w:val="nil"/>
            </w:tcBorders>
            <w:shd w:val="clear" w:color="000000" w:fill="auto"/>
          </w:tcPr>
          <w:p w14:paraId="22396584" w14:textId="77777777" w:rsidR="003A4F41" w:rsidRPr="004567AB" w:rsidRDefault="003A4F41" w:rsidP="00DD0012">
            <w:pPr>
              <w:pStyle w:val="TableBody"/>
              <w:spacing w:before="42" w:after="42"/>
              <w:ind w:right="108"/>
              <w:rPr>
                <w:rFonts w:cs="Open Sans"/>
                <w:szCs w:val="22"/>
              </w:rPr>
            </w:pPr>
            <w:r w:rsidRPr="004567AB">
              <w:rPr>
                <w:rFonts w:cs="Open Sans"/>
                <w:szCs w:val="22"/>
              </w:rPr>
              <w:t>YIMBY Melbourne</w:t>
            </w:r>
          </w:p>
        </w:tc>
        <w:tc>
          <w:tcPr>
            <w:tcW w:w="808" w:type="pct"/>
            <w:tcBorders>
              <w:top w:val="nil"/>
            </w:tcBorders>
            <w:shd w:val="clear" w:color="000000" w:fill="auto"/>
          </w:tcPr>
          <w:p w14:paraId="0EF83A4B" w14:textId="77777777" w:rsidR="003A4F41" w:rsidRPr="003961D3" w:rsidRDefault="003A4F41" w:rsidP="00DD0012">
            <w:pPr>
              <w:pStyle w:val="TableBody"/>
              <w:spacing w:before="42" w:after="42"/>
              <w:ind w:right="108"/>
              <w:jc w:val="right"/>
              <w:rPr>
                <w:rFonts w:cs="Open Sans"/>
                <w:szCs w:val="22"/>
              </w:rPr>
            </w:pPr>
            <w:r w:rsidRPr="003961D3">
              <w:rPr>
                <w:rFonts w:cs="Open Sans"/>
                <w:szCs w:val="22"/>
              </w:rPr>
              <w:t>90</w:t>
            </w:r>
          </w:p>
        </w:tc>
      </w:tr>
    </w:tbl>
    <w:p w14:paraId="4C712B03" w14:textId="77777777" w:rsidR="003A4F41" w:rsidRDefault="003A4F41">
      <w:pPr>
        <w:pStyle w:val="Note"/>
      </w:pPr>
      <w:r w:rsidRPr="00C36914">
        <w:rPr>
          <w:b/>
          <w:bCs/>
        </w:rPr>
        <w:t>a.</w:t>
      </w:r>
      <w:r w:rsidRPr="00C36914">
        <w:t xml:space="preserve"> </w:t>
      </w:r>
      <w:r>
        <w:t>An asterisk (*) indicates that the submission contains confidential material not available to the public.</w:t>
      </w:r>
    </w:p>
    <w:p w14:paraId="2C8BFF43" w14:textId="77777777" w:rsidR="003A4F41" w:rsidRPr="00C71FA2" w:rsidRDefault="003A4F41">
      <w:pPr>
        <w:pStyle w:val="FigureTableHeading"/>
      </w:pPr>
      <w:r>
        <w:t>Table A.2</w:t>
      </w:r>
      <w:r>
        <w:rPr>
          <w:noProof/>
        </w:rPr>
        <w:t xml:space="preserve"> – </w:t>
      </w:r>
      <w:r>
        <w:t>Consultations</w:t>
      </w:r>
    </w:p>
    <w:tbl>
      <w:tblPr>
        <w:tblW w:w="9638" w:type="dxa"/>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638"/>
      </w:tblGrid>
      <w:tr w:rsidR="003A4F41" w:rsidRPr="009B06C3" w14:paraId="6C683888" w14:textId="77777777" w:rsidTr="00F84D52">
        <w:trPr>
          <w:trHeight w:val="264"/>
          <w:tblHeader/>
        </w:trPr>
        <w:tc>
          <w:tcPr>
            <w:tcW w:w="9638" w:type="dxa"/>
            <w:tcBorders>
              <w:bottom w:val="single" w:sz="4" w:space="0" w:color="B3B3B3"/>
            </w:tcBorders>
            <w:shd w:val="clear" w:color="000000" w:fill="auto"/>
            <w:noWrap/>
            <w:vAlign w:val="bottom"/>
          </w:tcPr>
          <w:p w14:paraId="11CC79C5" w14:textId="77777777" w:rsidR="003A4F41" w:rsidRPr="009B06C3" w:rsidRDefault="003A4F41" w:rsidP="00DD0012">
            <w:pPr>
              <w:spacing w:before="42" w:after="42" w:line="240" w:lineRule="auto"/>
              <w:ind w:left="57" w:right="108"/>
              <w:rPr>
                <w:rFonts w:eastAsia="Times New Roman" w:cs="Open Sans"/>
                <w:b/>
                <w:color w:val="265999"/>
                <w:sz w:val="18"/>
                <w:lang w:eastAsia="en-AU"/>
              </w:rPr>
            </w:pPr>
            <w:r w:rsidRPr="00B652E9">
              <w:rPr>
                <w:rFonts w:cs="Open Sans"/>
                <w:b/>
                <w:color w:val="1D4374"/>
                <w:sz w:val="18"/>
              </w:rPr>
              <w:t>Participants</w:t>
            </w:r>
          </w:p>
        </w:tc>
      </w:tr>
      <w:tr w:rsidR="003A4F41" w:rsidRPr="00F84D52" w14:paraId="3D55BB5B" w14:textId="77777777" w:rsidTr="00F84D52">
        <w:trPr>
          <w:trHeight w:val="264"/>
        </w:trPr>
        <w:tc>
          <w:tcPr>
            <w:tcW w:w="9638" w:type="dxa"/>
            <w:tcBorders>
              <w:top w:val="single" w:sz="4" w:space="0" w:color="B3B3B3"/>
              <w:bottom w:val="nil"/>
            </w:tcBorders>
            <w:shd w:val="clear" w:color="000000" w:fill="E6E6E6"/>
            <w:noWrap/>
          </w:tcPr>
          <w:p w14:paraId="754D9B8F" w14:textId="77777777" w:rsidR="003A4F41" w:rsidRPr="00F84D52" w:rsidRDefault="003A4F41" w:rsidP="00DD0012">
            <w:pPr>
              <w:spacing w:before="42" w:after="42" w:line="240" w:lineRule="auto"/>
              <w:ind w:left="57" w:right="108"/>
              <w:rPr>
                <w:rFonts w:eastAsia="Times New Roman" w:cs="Open Sans"/>
                <w:bCs/>
                <w:sz w:val="18"/>
                <w:lang w:eastAsia="en-AU"/>
              </w:rPr>
            </w:pPr>
            <w:proofErr w:type="spellStart"/>
            <w:r w:rsidRPr="00F84D52">
              <w:rPr>
                <w:rFonts w:eastAsia="Times New Roman" w:cs="Open Sans"/>
                <w:bCs/>
                <w:sz w:val="18"/>
                <w:lang w:eastAsia="en-AU"/>
              </w:rPr>
              <w:t>Ausbuild</w:t>
            </w:r>
            <w:proofErr w:type="spellEnd"/>
          </w:p>
        </w:tc>
      </w:tr>
      <w:tr w:rsidR="003A4F41" w:rsidRPr="00F84D52" w14:paraId="574DCDFD" w14:textId="77777777" w:rsidTr="00F84D52">
        <w:trPr>
          <w:trHeight w:val="264"/>
        </w:trPr>
        <w:tc>
          <w:tcPr>
            <w:tcW w:w="9638" w:type="dxa"/>
            <w:tcBorders>
              <w:top w:val="nil"/>
              <w:bottom w:val="nil"/>
            </w:tcBorders>
            <w:shd w:val="clear" w:color="000000" w:fill="auto"/>
            <w:noWrap/>
            <w:hideMark/>
          </w:tcPr>
          <w:p w14:paraId="1D015605"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Australian Capital Territory (ACT) City and Environment Directorate</w:t>
            </w:r>
          </w:p>
        </w:tc>
      </w:tr>
      <w:tr w:rsidR="003A4F41" w:rsidRPr="00F84D52" w14:paraId="77068BE2" w14:textId="77777777" w:rsidTr="00F84D52">
        <w:trPr>
          <w:trHeight w:val="264"/>
        </w:trPr>
        <w:tc>
          <w:tcPr>
            <w:tcW w:w="9638" w:type="dxa"/>
            <w:tcBorders>
              <w:bottom w:val="nil"/>
            </w:tcBorders>
            <w:shd w:val="clear" w:color="000000" w:fill="E6E6E6"/>
            <w:noWrap/>
          </w:tcPr>
          <w:p w14:paraId="5EE44A62"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Australian Capital Territory (ACT) Suburban Land Agency</w:t>
            </w:r>
          </w:p>
        </w:tc>
      </w:tr>
      <w:tr w:rsidR="003A4F41" w:rsidRPr="00F84D52" w14:paraId="6A997054" w14:textId="77777777" w:rsidTr="00F84D52">
        <w:trPr>
          <w:trHeight w:val="264"/>
        </w:trPr>
        <w:tc>
          <w:tcPr>
            <w:tcW w:w="9638" w:type="dxa"/>
            <w:tcBorders>
              <w:top w:val="nil"/>
              <w:bottom w:val="nil"/>
            </w:tcBorders>
            <w:shd w:val="clear" w:color="000000" w:fill="auto"/>
            <w:noWrap/>
          </w:tcPr>
          <w:p w14:paraId="513147B9"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Australian Capital Territory (ACT) Treasury</w:t>
            </w:r>
          </w:p>
        </w:tc>
      </w:tr>
      <w:tr w:rsidR="003A4F41" w:rsidRPr="00F84D52" w14:paraId="44BF2D9E" w14:textId="77777777" w:rsidTr="00F84D52">
        <w:trPr>
          <w:trHeight w:val="264"/>
        </w:trPr>
        <w:tc>
          <w:tcPr>
            <w:tcW w:w="9638" w:type="dxa"/>
            <w:tcBorders>
              <w:bottom w:val="nil"/>
            </w:tcBorders>
            <w:shd w:val="clear" w:color="000000" w:fill="E6E6E6"/>
            <w:noWrap/>
          </w:tcPr>
          <w:p w14:paraId="1B77247A"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Australian Government Department of the Treasury</w:t>
            </w:r>
          </w:p>
        </w:tc>
      </w:tr>
      <w:tr w:rsidR="003A4F41" w:rsidRPr="00F84D52" w14:paraId="152E3088" w14:textId="77777777" w:rsidTr="00F84D52">
        <w:trPr>
          <w:trHeight w:val="264"/>
        </w:trPr>
        <w:tc>
          <w:tcPr>
            <w:tcW w:w="9638" w:type="dxa"/>
            <w:tcBorders>
              <w:top w:val="nil"/>
              <w:bottom w:val="nil"/>
            </w:tcBorders>
            <w:shd w:val="clear" w:color="000000" w:fill="auto"/>
            <w:noWrap/>
          </w:tcPr>
          <w:p w14:paraId="7545E34E"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Australian Local Government Association (ALGA)</w:t>
            </w:r>
          </w:p>
        </w:tc>
      </w:tr>
      <w:tr w:rsidR="003A4F41" w:rsidRPr="00F84D52" w14:paraId="6D3CFCF9" w14:textId="77777777" w:rsidTr="00F84D52">
        <w:trPr>
          <w:trHeight w:val="264"/>
        </w:trPr>
        <w:tc>
          <w:tcPr>
            <w:tcW w:w="9638" w:type="dxa"/>
            <w:tcBorders>
              <w:bottom w:val="nil"/>
            </w:tcBorders>
            <w:shd w:val="clear" w:color="000000" w:fill="E6E6E6"/>
            <w:noWrap/>
            <w:hideMark/>
          </w:tcPr>
          <w:p w14:paraId="28089B5D"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Behavioural Economics Team of the Australian Government (BETA)</w:t>
            </w:r>
          </w:p>
        </w:tc>
      </w:tr>
      <w:tr w:rsidR="003A4F41" w:rsidRPr="00F84D52" w14:paraId="41DC60EB" w14:textId="77777777" w:rsidTr="00F84D52">
        <w:trPr>
          <w:trHeight w:val="264"/>
        </w:trPr>
        <w:tc>
          <w:tcPr>
            <w:tcW w:w="9638" w:type="dxa"/>
            <w:tcBorders>
              <w:top w:val="nil"/>
              <w:bottom w:val="nil"/>
            </w:tcBorders>
            <w:shd w:val="clear" w:color="000000" w:fill="auto"/>
            <w:noWrap/>
            <w:hideMark/>
          </w:tcPr>
          <w:p w14:paraId="57C1D384"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Housing Australia</w:t>
            </w:r>
          </w:p>
        </w:tc>
      </w:tr>
      <w:tr w:rsidR="003A4F41" w:rsidRPr="00F84D52" w14:paraId="288DC40E" w14:textId="77777777" w:rsidTr="00F84D52">
        <w:trPr>
          <w:trHeight w:val="264"/>
        </w:trPr>
        <w:tc>
          <w:tcPr>
            <w:tcW w:w="9638" w:type="dxa"/>
            <w:tcBorders>
              <w:bottom w:val="nil"/>
            </w:tcBorders>
            <w:shd w:val="clear" w:color="000000" w:fill="E6E6E6"/>
            <w:noWrap/>
            <w:hideMark/>
          </w:tcPr>
          <w:p w14:paraId="3E7EFBC7"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Housing Industry Association</w:t>
            </w:r>
          </w:p>
        </w:tc>
      </w:tr>
      <w:tr w:rsidR="003A4F41" w:rsidRPr="00F84D52" w14:paraId="63A44E3E" w14:textId="77777777" w:rsidTr="00F84D52">
        <w:trPr>
          <w:trHeight w:val="264"/>
        </w:trPr>
        <w:tc>
          <w:tcPr>
            <w:tcW w:w="9638" w:type="dxa"/>
            <w:tcBorders>
              <w:top w:val="nil"/>
              <w:bottom w:val="nil"/>
            </w:tcBorders>
            <w:shd w:val="clear" w:color="000000" w:fill="auto"/>
            <w:noWrap/>
            <w:hideMark/>
          </w:tcPr>
          <w:p w14:paraId="61A720DB"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Infrastructure Australia</w:t>
            </w:r>
          </w:p>
        </w:tc>
      </w:tr>
      <w:tr w:rsidR="003A4F41" w:rsidRPr="00F84D52" w14:paraId="7B0BC5CD" w14:textId="77777777" w:rsidTr="00F84D52">
        <w:trPr>
          <w:trHeight w:val="264"/>
        </w:trPr>
        <w:tc>
          <w:tcPr>
            <w:tcW w:w="9638" w:type="dxa"/>
            <w:tcBorders>
              <w:bottom w:val="nil"/>
            </w:tcBorders>
            <w:shd w:val="clear" w:color="000000" w:fill="E6E6E6"/>
            <w:noWrap/>
          </w:tcPr>
          <w:p w14:paraId="315A94D0"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Grattan Institute</w:t>
            </w:r>
          </w:p>
        </w:tc>
      </w:tr>
      <w:tr w:rsidR="003A4F41" w:rsidRPr="00F84D52" w14:paraId="3F6BDF25" w14:textId="77777777" w:rsidTr="00F84D52">
        <w:trPr>
          <w:trHeight w:val="264"/>
        </w:trPr>
        <w:tc>
          <w:tcPr>
            <w:tcW w:w="9638" w:type="dxa"/>
            <w:tcBorders>
              <w:top w:val="nil"/>
              <w:bottom w:val="nil"/>
            </w:tcBorders>
            <w:shd w:val="clear" w:color="000000" w:fill="auto"/>
            <w:noWrap/>
            <w:hideMark/>
          </w:tcPr>
          <w:p w14:paraId="0DB04C4D"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Jarrod Sturdy</w:t>
            </w:r>
          </w:p>
        </w:tc>
      </w:tr>
      <w:tr w:rsidR="003A4F41" w:rsidRPr="00F84D52" w14:paraId="79C09EDB" w14:textId="77777777" w:rsidTr="00F84D52">
        <w:trPr>
          <w:trHeight w:val="264"/>
        </w:trPr>
        <w:tc>
          <w:tcPr>
            <w:tcW w:w="9638" w:type="dxa"/>
            <w:tcBorders>
              <w:bottom w:val="nil"/>
            </w:tcBorders>
            <w:shd w:val="clear" w:color="000000" w:fill="E6E6E6"/>
            <w:noWrap/>
            <w:hideMark/>
          </w:tcPr>
          <w:p w14:paraId="285C589F" w14:textId="77777777" w:rsidR="003A4F41" w:rsidRPr="00F84D52" w:rsidRDefault="003A4F41" w:rsidP="00DD0012">
            <w:pPr>
              <w:spacing w:before="42" w:after="42" w:line="240" w:lineRule="auto"/>
              <w:ind w:left="57" w:right="108"/>
              <w:rPr>
                <w:rFonts w:eastAsia="Times New Roman" w:cs="Open Sans"/>
                <w:bCs/>
                <w:sz w:val="18"/>
                <w:lang w:eastAsia="en-AU"/>
              </w:rPr>
            </w:pPr>
            <w:proofErr w:type="spellStart"/>
            <w:r w:rsidRPr="00F84D52">
              <w:rPr>
                <w:rFonts w:eastAsia="Times New Roman" w:cs="Open Sans"/>
                <w:bCs/>
                <w:sz w:val="18"/>
                <w:lang w:eastAsia="en-AU"/>
              </w:rPr>
              <w:t>Kapitol</w:t>
            </w:r>
            <w:proofErr w:type="spellEnd"/>
          </w:p>
        </w:tc>
      </w:tr>
      <w:tr w:rsidR="003A4F41" w:rsidRPr="00F84D52" w14:paraId="737E0AA0" w14:textId="77777777" w:rsidTr="00F84D52">
        <w:trPr>
          <w:trHeight w:val="264"/>
        </w:trPr>
        <w:tc>
          <w:tcPr>
            <w:tcW w:w="9638" w:type="dxa"/>
            <w:tcBorders>
              <w:top w:val="nil"/>
              <w:bottom w:val="nil"/>
            </w:tcBorders>
            <w:shd w:val="clear" w:color="000000" w:fill="auto"/>
            <w:noWrap/>
            <w:hideMark/>
          </w:tcPr>
          <w:p w14:paraId="6D9B2241"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Master Builders Australia</w:t>
            </w:r>
          </w:p>
        </w:tc>
      </w:tr>
      <w:tr w:rsidR="003A4F41" w:rsidRPr="00F84D52" w14:paraId="24F3A02A" w14:textId="77777777" w:rsidTr="00F84D52">
        <w:trPr>
          <w:trHeight w:val="264"/>
        </w:trPr>
        <w:tc>
          <w:tcPr>
            <w:tcW w:w="9638" w:type="dxa"/>
            <w:tcBorders>
              <w:bottom w:val="nil"/>
            </w:tcBorders>
            <w:shd w:val="clear" w:color="000000" w:fill="E6E6E6"/>
            <w:noWrap/>
            <w:hideMark/>
          </w:tcPr>
          <w:p w14:paraId="456A956F"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New South Wales (NSW) Productivity and Equality Commission</w:t>
            </w:r>
          </w:p>
        </w:tc>
      </w:tr>
      <w:tr w:rsidR="003A4F41" w:rsidRPr="00F84D52" w14:paraId="0379807B" w14:textId="77777777" w:rsidTr="00F84D52">
        <w:trPr>
          <w:trHeight w:val="264"/>
        </w:trPr>
        <w:tc>
          <w:tcPr>
            <w:tcW w:w="9638" w:type="dxa"/>
            <w:tcBorders>
              <w:top w:val="nil"/>
              <w:bottom w:val="nil"/>
            </w:tcBorders>
            <w:shd w:val="clear" w:color="000000" w:fill="auto"/>
            <w:noWrap/>
            <w:hideMark/>
          </w:tcPr>
          <w:p w14:paraId="315420C2"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New South Wales (NSW) Treasury</w:t>
            </w:r>
          </w:p>
        </w:tc>
      </w:tr>
      <w:tr w:rsidR="004F43E0" w:rsidRPr="00F84D52" w14:paraId="5D5F1A1D" w14:textId="77777777" w:rsidTr="00F84D52">
        <w:trPr>
          <w:trHeight w:val="264"/>
        </w:trPr>
        <w:tc>
          <w:tcPr>
            <w:tcW w:w="9638" w:type="dxa"/>
            <w:tcBorders>
              <w:bottom w:val="nil"/>
            </w:tcBorders>
            <w:shd w:val="clear" w:color="000000" w:fill="E6E6E6"/>
            <w:noWrap/>
          </w:tcPr>
          <w:p w14:paraId="5A71DE04" w14:textId="25C0C6CC" w:rsidR="004F43E0" w:rsidRPr="00F84D52" w:rsidRDefault="004F43E0"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Northern Territory (NT) Department of Lands, Planning and Environment</w:t>
            </w:r>
          </w:p>
        </w:tc>
      </w:tr>
      <w:tr w:rsidR="003A4F41" w:rsidRPr="00F84D52" w14:paraId="02D52AC0" w14:textId="77777777" w:rsidTr="00F84D52">
        <w:trPr>
          <w:trHeight w:val="264"/>
        </w:trPr>
        <w:tc>
          <w:tcPr>
            <w:tcW w:w="9638" w:type="dxa"/>
            <w:tcBorders>
              <w:top w:val="nil"/>
              <w:bottom w:val="nil"/>
            </w:tcBorders>
            <w:shd w:val="clear" w:color="000000" w:fill="auto"/>
            <w:noWrap/>
            <w:hideMark/>
          </w:tcPr>
          <w:p w14:paraId="6742A587"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Northern Territory (NT) Department of Treasury and Finance</w:t>
            </w:r>
          </w:p>
        </w:tc>
      </w:tr>
      <w:tr w:rsidR="003A4F41" w:rsidRPr="00F84D52" w14:paraId="115F8788" w14:textId="77777777" w:rsidTr="00F84D52">
        <w:trPr>
          <w:trHeight w:val="264"/>
        </w:trPr>
        <w:tc>
          <w:tcPr>
            <w:tcW w:w="9638" w:type="dxa"/>
            <w:tcBorders>
              <w:bottom w:val="nil"/>
            </w:tcBorders>
            <w:shd w:val="clear" w:color="000000" w:fill="E6E6E6"/>
            <w:noWrap/>
            <w:hideMark/>
          </w:tcPr>
          <w:p w14:paraId="46D5C125"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Office of the National Housing Supply and Affordability Council</w:t>
            </w:r>
          </w:p>
        </w:tc>
      </w:tr>
      <w:tr w:rsidR="003A4F41" w:rsidRPr="00F84D52" w14:paraId="436C6C0C" w14:textId="77777777" w:rsidTr="00F84D52">
        <w:trPr>
          <w:trHeight w:val="264"/>
        </w:trPr>
        <w:tc>
          <w:tcPr>
            <w:tcW w:w="9638" w:type="dxa"/>
            <w:tcBorders>
              <w:top w:val="nil"/>
              <w:bottom w:val="nil"/>
            </w:tcBorders>
            <w:shd w:val="clear" w:color="000000" w:fill="auto"/>
            <w:noWrap/>
            <w:hideMark/>
          </w:tcPr>
          <w:p w14:paraId="18DF23C8"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Queensland Department of Housing and Public Works</w:t>
            </w:r>
          </w:p>
        </w:tc>
      </w:tr>
      <w:tr w:rsidR="003A4F41" w:rsidRPr="00F84D52" w14:paraId="2E37B58F" w14:textId="77777777" w:rsidTr="00F84D52">
        <w:trPr>
          <w:trHeight w:val="264"/>
        </w:trPr>
        <w:tc>
          <w:tcPr>
            <w:tcW w:w="9638" w:type="dxa"/>
            <w:tcBorders>
              <w:bottom w:val="nil"/>
            </w:tcBorders>
            <w:shd w:val="clear" w:color="000000" w:fill="E6E6E6"/>
            <w:noWrap/>
            <w:hideMark/>
          </w:tcPr>
          <w:p w14:paraId="3179F1A3"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Queensland Department of Local Government, Water and Volunteers</w:t>
            </w:r>
          </w:p>
        </w:tc>
      </w:tr>
      <w:tr w:rsidR="003A4F41" w:rsidRPr="00F84D52" w14:paraId="01B8085F" w14:textId="77777777" w:rsidTr="00F84D52">
        <w:trPr>
          <w:trHeight w:val="264"/>
        </w:trPr>
        <w:tc>
          <w:tcPr>
            <w:tcW w:w="9638" w:type="dxa"/>
            <w:tcBorders>
              <w:top w:val="nil"/>
              <w:bottom w:val="nil"/>
            </w:tcBorders>
            <w:shd w:val="clear" w:color="000000" w:fill="auto"/>
            <w:noWrap/>
            <w:hideMark/>
          </w:tcPr>
          <w:p w14:paraId="2A3D0365"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Queensland Department of Premier and Cabinet</w:t>
            </w:r>
          </w:p>
        </w:tc>
      </w:tr>
      <w:tr w:rsidR="003A4F41" w:rsidRPr="00F84D52" w14:paraId="2143A8F3" w14:textId="77777777" w:rsidTr="00F84D52">
        <w:trPr>
          <w:trHeight w:val="264"/>
        </w:trPr>
        <w:tc>
          <w:tcPr>
            <w:tcW w:w="9638" w:type="dxa"/>
            <w:tcBorders>
              <w:bottom w:val="nil"/>
            </w:tcBorders>
            <w:shd w:val="clear" w:color="000000" w:fill="E6E6E6"/>
            <w:noWrap/>
            <w:hideMark/>
          </w:tcPr>
          <w:p w14:paraId="0C25CD5A"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Queensland Department of State Development, Infrastructure and Planning</w:t>
            </w:r>
          </w:p>
        </w:tc>
      </w:tr>
      <w:tr w:rsidR="003A4F41" w:rsidRPr="00F84D52" w14:paraId="344CBB12" w14:textId="77777777" w:rsidTr="00F84D52">
        <w:trPr>
          <w:trHeight w:val="264"/>
        </w:trPr>
        <w:tc>
          <w:tcPr>
            <w:tcW w:w="9638" w:type="dxa"/>
            <w:tcBorders>
              <w:top w:val="nil"/>
              <w:bottom w:val="nil"/>
            </w:tcBorders>
            <w:shd w:val="clear" w:color="000000" w:fill="auto"/>
            <w:noWrap/>
            <w:hideMark/>
          </w:tcPr>
          <w:p w14:paraId="3BB5460A"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Queensland Department of Transport and Main Roads</w:t>
            </w:r>
          </w:p>
        </w:tc>
      </w:tr>
      <w:tr w:rsidR="003A4F41" w:rsidRPr="00F84D52" w14:paraId="7B219B09" w14:textId="77777777" w:rsidTr="00F84D52">
        <w:trPr>
          <w:trHeight w:val="264"/>
        </w:trPr>
        <w:tc>
          <w:tcPr>
            <w:tcW w:w="9638" w:type="dxa"/>
            <w:tcBorders>
              <w:bottom w:val="nil"/>
            </w:tcBorders>
            <w:shd w:val="clear" w:color="000000" w:fill="E6E6E6"/>
            <w:noWrap/>
            <w:hideMark/>
          </w:tcPr>
          <w:p w14:paraId="7EB183FE"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lastRenderedPageBreak/>
              <w:t>Queensland Department of Treasury</w:t>
            </w:r>
          </w:p>
        </w:tc>
      </w:tr>
      <w:tr w:rsidR="003A4F41" w:rsidRPr="00F84D52" w14:paraId="304653C2" w14:textId="77777777" w:rsidTr="00F84D52">
        <w:trPr>
          <w:trHeight w:val="264"/>
        </w:trPr>
        <w:tc>
          <w:tcPr>
            <w:tcW w:w="9638" w:type="dxa"/>
            <w:tcBorders>
              <w:top w:val="nil"/>
              <w:bottom w:val="nil"/>
            </w:tcBorders>
            <w:shd w:val="clear" w:color="000000" w:fill="auto"/>
            <w:noWrap/>
            <w:hideMark/>
          </w:tcPr>
          <w:p w14:paraId="53459A89"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Queensland Productivity Commission</w:t>
            </w:r>
          </w:p>
        </w:tc>
      </w:tr>
      <w:tr w:rsidR="003A4F41" w:rsidRPr="00F84D52" w14:paraId="72B73223" w14:textId="77777777" w:rsidTr="00F84D52">
        <w:trPr>
          <w:trHeight w:val="264"/>
        </w:trPr>
        <w:tc>
          <w:tcPr>
            <w:tcW w:w="9638" w:type="dxa"/>
            <w:tcBorders>
              <w:bottom w:val="nil"/>
            </w:tcBorders>
            <w:shd w:val="clear" w:color="000000" w:fill="E6E6E6"/>
            <w:noWrap/>
            <w:hideMark/>
          </w:tcPr>
          <w:p w14:paraId="15081917"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South Australian (SA) Department of Housing and Urban Development</w:t>
            </w:r>
          </w:p>
        </w:tc>
      </w:tr>
      <w:tr w:rsidR="003A4F41" w:rsidRPr="00F84D52" w14:paraId="442403F2" w14:textId="77777777" w:rsidTr="00F84D52">
        <w:trPr>
          <w:trHeight w:val="264"/>
        </w:trPr>
        <w:tc>
          <w:tcPr>
            <w:tcW w:w="9638" w:type="dxa"/>
            <w:tcBorders>
              <w:top w:val="nil"/>
              <w:bottom w:val="nil"/>
            </w:tcBorders>
            <w:shd w:val="clear" w:color="000000" w:fill="auto"/>
            <w:noWrap/>
            <w:hideMark/>
          </w:tcPr>
          <w:p w14:paraId="790B5E0D"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South Australian (SA) Department of Premier and Cabinet</w:t>
            </w:r>
          </w:p>
        </w:tc>
      </w:tr>
      <w:tr w:rsidR="003A4F41" w:rsidRPr="00F84D52" w14:paraId="19652672" w14:textId="77777777" w:rsidTr="00F84D52">
        <w:trPr>
          <w:trHeight w:val="264"/>
        </w:trPr>
        <w:tc>
          <w:tcPr>
            <w:tcW w:w="9638" w:type="dxa"/>
            <w:tcBorders>
              <w:bottom w:val="nil"/>
            </w:tcBorders>
            <w:shd w:val="clear" w:color="000000" w:fill="E6E6E6"/>
            <w:noWrap/>
            <w:hideMark/>
          </w:tcPr>
          <w:p w14:paraId="34B8320F"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South Australian (SA) Department of Treasury and Finance</w:t>
            </w:r>
          </w:p>
        </w:tc>
      </w:tr>
      <w:tr w:rsidR="003A4F41" w:rsidRPr="00F84D52" w14:paraId="5754C412" w14:textId="77777777" w:rsidTr="00F84D52">
        <w:trPr>
          <w:trHeight w:val="264"/>
        </w:trPr>
        <w:tc>
          <w:tcPr>
            <w:tcW w:w="9638" w:type="dxa"/>
            <w:tcBorders>
              <w:top w:val="nil"/>
              <w:bottom w:val="nil"/>
            </w:tcBorders>
            <w:shd w:val="clear" w:color="000000" w:fill="auto"/>
            <w:noWrap/>
            <w:hideMark/>
          </w:tcPr>
          <w:p w14:paraId="58809158" w14:textId="77777777" w:rsidR="003A4F41" w:rsidRPr="00F84D52" w:rsidRDefault="003A4F41" w:rsidP="00DD0012">
            <w:pPr>
              <w:spacing w:before="42" w:after="42" w:line="240" w:lineRule="auto"/>
              <w:ind w:left="57" w:right="108"/>
              <w:rPr>
                <w:rFonts w:eastAsia="Times New Roman" w:cs="Open Sans"/>
                <w:bCs/>
                <w:sz w:val="18"/>
                <w:highlight w:val="yellow"/>
                <w:lang w:eastAsia="en-AU"/>
              </w:rPr>
            </w:pPr>
            <w:r w:rsidRPr="00F84D52">
              <w:rPr>
                <w:rFonts w:eastAsia="Times New Roman" w:cs="Open Sans"/>
                <w:bCs/>
                <w:sz w:val="18"/>
                <w:lang w:eastAsia="en-AU"/>
              </w:rPr>
              <w:t>South Australian (SA) Productivity Commission</w:t>
            </w:r>
          </w:p>
        </w:tc>
      </w:tr>
      <w:tr w:rsidR="000706DB" w:rsidRPr="00F84D52" w14:paraId="2CDD1037" w14:textId="77777777" w:rsidTr="00F84D52">
        <w:trPr>
          <w:trHeight w:val="264"/>
        </w:trPr>
        <w:tc>
          <w:tcPr>
            <w:tcW w:w="9638" w:type="dxa"/>
            <w:tcBorders>
              <w:bottom w:val="nil"/>
            </w:tcBorders>
            <w:shd w:val="clear" w:color="000000" w:fill="E6E6E6"/>
            <w:noWrap/>
          </w:tcPr>
          <w:p w14:paraId="30119064" w14:textId="1C7D59F0" w:rsidR="000706DB" w:rsidRPr="00F84D52" w:rsidRDefault="000706DB"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Tasmanian (TAS) Department of State Growth</w:t>
            </w:r>
          </w:p>
        </w:tc>
      </w:tr>
      <w:tr w:rsidR="003A4F41" w:rsidRPr="00F84D52" w14:paraId="206F1F0D" w14:textId="77777777" w:rsidTr="00F84D52">
        <w:trPr>
          <w:trHeight w:val="264"/>
        </w:trPr>
        <w:tc>
          <w:tcPr>
            <w:tcW w:w="9638" w:type="dxa"/>
            <w:tcBorders>
              <w:top w:val="nil"/>
              <w:bottom w:val="nil"/>
            </w:tcBorders>
            <w:shd w:val="clear" w:color="000000" w:fill="auto"/>
            <w:noWrap/>
            <w:hideMark/>
          </w:tcPr>
          <w:p w14:paraId="69F2BDFA"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Tasmanian (TAS) Department of Treasury and Finance</w:t>
            </w:r>
          </w:p>
        </w:tc>
      </w:tr>
      <w:tr w:rsidR="003A4F41" w:rsidRPr="00F84D52" w14:paraId="409FBF02" w14:textId="77777777" w:rsidTr="00F84D52">
        <w:trPr>
          <w:trHeight w:val="264"/>
        </w:trPr>
        <w:tc>
          <w:tcPr>
            <w:tcW w:w="9638" w:type="dxa"/>
            <w:tcBorders>
              <w:bottom w:val="nil"/>
            </w:tcBorders>
            <w:shd w:val="clear" w:color="000000" w:fill="E6E6E6"/>
            <w:noWrap/>
            <w:hideMark/>
          </w:tcPr>
          <w:p w14:paraId="6206F988"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The Honourable Clare O'Neil MP – Minister for Housing and Homelessness</w:t>
            </w:r>
          </w:p>
        </w:tc>
      </w:tr>
      <w:tr w:rsidR="003A4F41" w:rsidRPr="00F84D52" w14:paraId="0E84EDCD" w14:textId="77777777" w:rsidTr="00F84D52">
        <w:trPr>
          <w:trHeight w:val="264"/>
        </w:trPr>
        <w:tc>
          <w:tcPr>
            <w:tcW w:w="9638" w:type="dxa"/>
            <w:tcBorders>
              <w:top w:val="nil"/>
              <w:bottom w:val="nil"/>
            </w:tcBorders>
            <w:shd w:val="clear" w:color="000000" w:fill="auto"/>
            <w:noWrap/>
            <w:hideMark/>
          </w:tcPr>
          <w:p w14:paraId="4B6F7915"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 xml:space="preserve">The Village Building Company </w:t>
            </w:r>
            <w:proofErr w:type="spellStart"/>
            <w:r w:rsidRPr="00F84D52">
              <w:rPr>
                <w:rFonts w:eastAsia="Times New Roman" w:cs="Open Sans"/>
                <w:bCs/>
                <w:sz w:val="18"/>
                <w:lang w:eastAsia="en-AU"/>
              </w:rPr>
              <w:t>Ptd</w:t>
            </w:r>
            <w:proofErr w:type="spellEnd"/>
            <w:r w:rsidRPr="00F84D52">
              <w:rPr>
                <w:rFonts w:eastAsia="Times New Roman" w:cs="Open Sans"/>
                <w:bCs/>
                <w:sz w:val="18"/>
                <w:lang w:eastAsia="en-AU"/>
              </w:rPr>
              <w:t xml:space="preserve"> Ltd</w:t>
            </w:r>
          </w:p>
        </w:tc>
      </w:tr>
      <w:tr w:rsidR="003A4F41" w:rsidRPr="00F84D52" w14:paraId="4BC246D3" w14:textId="77777777" w:rsidTr="00F84D52">
        <w:trPr>
          <w:trHeight w:val="264"/>
        </w:trPr>
        <w:tc>
          <w:tcPr>
            <w:tcW w:w="9638" w:type="dxa"/>
            <w:tcBorders>
              <w:bottom w:val="nil"/>
            </w:tcBorders>
            <w:shd w:val="clear" w:color="000000" w:fill="E6E6E6"/>
            <w:noWrap/>
            <w:hideMark/>
          </w:tcPr>
          <w:p w14:paraId="1CA39CC7"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Urban Development Institute of Australia (UDIA)</w:t>
            </w:r>
          </w:p>
        </w:tc>
      </w:tr>
      <w:tr w:rsidR="003A4F41" w:rsidRPr="00F84D52" w14:paraId="36514CD4" w14:textId="77777777" w:rsidTr="00F84D52">
        <w:trPr>
          <w:trHeight w:val="264"/>
        </w:trPr>
        <w:tc>
          <w:tcPr>
            <w:tcW w:w="9638" w:type="dxa"/>
            <w:tcBorders>
              <w:top w:val="nil"/>
              <w:bottom w:val="nil"/>
            </w:tcBorders>
            <w:shd w:val="clear" w:color="000000" w:fill="auto"/>
            <w:noWrap/>
            <w:hideMark/>
          </w:tcPr>
          <w:p w14:paraId="7723DFE5"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Victorian (VIC) Department of Treasury and Finance</w:t>
            </w:r>
          </w:p>
        </w:tc>
      </w:tr>
      <w:tr w:rsidR="003A4F41" w:rsidRPr="00F84D52" w14:paraId="759759F5" w14:textId="77777777" w:rsidTr="00F84D52">
        <w:trPr>
          <w:trHeight w:val="264"/>
        </w:trPr>
        <w:tc>
          <w:tcPr>
            <w:tcW w:w="9638" w:type="dxa"/>
            <w:tcBorders>
              <w:bottom w:val="nil"/>
            </w:tcBorders>
            <w:shd w:val="clear" w:color="000000" w:fill="E6E6E6"/>
            <w:noWrap/>
            <w:hideMark/>
          </w:tcPr>
          <w:p w14:paraId="67FD2593"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Western Australian (WA) Department of Housing and Works</w:t>
            </w:r>
          </w:p>
        </w:tc>
      </w:tr>
      <w:tr w:rsidR="003A4F41" w:rsidRPr="00F84D52" w14:paraId="51F2805E" w14:textId="77777777" w:rsidTr="00F84D52">
        <w:trPr>
          <w:trHeight w:val="264"/>
        </w:trPr>
        <w:tc>
          <w:tcPr>
            <w:tcW w:w="9638" w:type="dxa"/>
            <w:tcBorders>
              <w:top w:val="nil"/>
              <w:bottom w:val="nil"/>
            </w:tcBorders>
            <w:shd w:val="clear" w:color="000000" w:fill="auto"/>
            <w:noWrap/>
            <w:hideMark/>
          </w:tcPr>
          <w:p w14:paraId="4A62F8E0"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Western Australian (WA) Department of Planning, Lands and Heritage</w:t>
            </w:r>
          </w:p>
        </w:tc>
      </w:tr>
      <w:tr w:rsidR="003A4F41" w:rsidRPr="00F84D52" w14:paraId="52B27636" w14:textId="77777777" w:rsidTr="00F84D52">
        <w:trPr>
          <w:trHeight w:val="264"/>
        </w:trPr>
        <w:tc>
          <w:tcPr>
            <w:tcW w:w="9638" w:type="dxa"/>
            <w:tcBorders>
              <w:bottom w:val="nil"/>
            </w:tcBorders>
            <w:shd w:val="clear" w:color="000000" w:fill="E6E6E6"/>
            <w:noWrap/>
            <w:hideMark/>
          </w:tcPr>
          <w:p w14:paraId="5F336B91"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Western Australian (WA) Department of Premier and Cabinet</w:t>
            </w:r>
          </w:p>
        </w:tc>
      </w:tr>
      <w:tr w:rsidR="003A4F41" w:rsidRPr="00F84D52" w14:paraId="489C9794" w14:textId="77777777" w:rsidTr="00F84D52">
        <w:trPr>
          <w:trHeight w:val="385"/>
        </w:trPr>
        <w:tc>
          <w:tcPr>
            <w:tcW w:w="9638" w:type="dxa"/>
            <w:tcBorders>
              <w:top w:val="nil"/>
            </w:tcBorders>
            <w:shd w:val="clear" w:color="000000" w:fill="auto"/>
            <w:noWrap/>
            <w:hideMark/>
          </w:tcPr>
          <w:p w14:paraId="236DDBF9" w14:textId="77777777" w:rsidR="003A4F41" w:rsidRPr="00F84D52" w:rsidRDefault="003A4F41" w:rsidP="00DD0012">
            <w:pPr>
              <w:spacing w:before="42" w:after="42" w:line="240" w:lineRule="auto"/>
              <w:ind w:left="57" w:right="108"/>
              <w:rPr>
                <w:rFonts w:eastAsia="Times New Roman" w:cs="Open Sans"/>
                <w:bCs/>
                <w:sz w:val="18"/>
                <w:lang w:eastAsia="en-AU"/>
              </w:rPr>
            </w:pPr>
            <w:r w:rsidRPr="00F84D52">
              <w:rPr>
                <w:rFonts w:eastAsia="Times New Roman" w:cs="Open Sans"/>
                <w:bCs/>
                <w:sz w:val="18"/>
                <w:lang w:eastAsia="en-AU"/>
              </w:rPr>
              <w:t>Western Australian (WA) Department of Treasury and Finance</w:t>
            </w:r>
          </w:p>
        </w:tc>
      </w:tr>
    </w:tbl>
    <w:p w14:paraId="3A6FE47B" w14:textId="77777777" w:rsidR="003A4F41" w:rsidRDefault="003A4F41">
      <w:pPr>
        <w:pStyle w:val="FigureTableHeading"/>
      </w:pPr>
      <w:r>
        <w:t xml:space="preserve">Table A.3 </w:t>
      </w:r>
      <w:r>
        <w:rPr>
          <w:noProof/>
        </w:rPr>
        <w:t xml:space="preserve">– </w:t>
      </w:r>
      <w:r>
        <w:t>Roundtables</w:t>
      </w:r>
    </w:p>
    <w:tbl>
      <w:tblPr>
        <w:tblW w:w="0" w:type="auto"/>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9638"/>
      </w:tblGrid>
      <w:tr w:rsidR="003A4F41" w:rsidRPr="00627133" w14:paraId="2F7F3ED7" w14:textId="77777777">
        <w:trPr>
          <w:tblHeader/>
        </w:trPr>
        <w:tc>
          <w:tcPr>
            <w:tcW w:w="9638" w:type="dxa"/>
            <w:tcBorders>
              <w:bottom w:val="single" w:sz="4" w:space="0" w:color="B3B3B3"/>
            </w:tcBorders>
            <w:shd w:val="clear" w:color="000000" w:fill="auto"/>
            <w:vAlign w:val="bottom"/>
          </w:tcPr>
          <w:p w14:paraId="719D02BF" w14:textId="77777777" w:rsidR="003A4F41" w:rsidRPr="00627133" w:rsidRDefault="003A4F41" w:rsidP="009F2DE3">
            <w:pPr>
              <w:pStyle w:val="Source"/>
              <w:spacing w:before="40" w:after="40"/>
              <w:ind w:left="57" w:right="108"/>
              <w:rPr>
                <w:rFonts w:cs="Open Sans"/>
                <w:b/>
                <w:color w:val="1D4374"/>
              </w:rPr>
            </w:pPr>
            <w:r w:rsidRPr="00B652E9">
              <w:rPr>
                <w:rFonts w:cs="Open Sans"/>
                <w:b/>
                <w:color w:val="1D4374"/>
              </w:rPr>
              <w:t>Participants</w:t>
            </w:r>
          </w:p>
        </w:tc>
      </w:tr>
      <w:tr w:rsidR="003A4F41" w:rsidRPr="000929E2" w14:paraId="28737435" w14:textId="77777777">
        <w:tc>
          <w:tcPr>
            <w:tcW w:w="9638" w:type="dxa"/>
            <w:tcBorders>
              <w:top w:val="single" w:sz="4" w:space="0" w:color="B3B3B3"/>
              <w:bottom w:val="nil"/>
            </w:tcBorders>
            <w:shd w:val="clear" w:color="000000" w:fill="E6E6E6"/>
          </w:tcPr>
          <w:p w14:paraId="3F9A95D9"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Abundant Housing Network Australia (AHNA)</w:t>
            </w:r>
          </w:p>
        </w:tc>
      </w:tr>
      <w:tr w:rsidR="003A4F41" w:rsidRPr="000929E2" w14:paraId="13047DA7" w14:textId="77777777">
        <w:tc>
          <w:tcPr>
            <w:tcW w:w="9638" w:type="dxa"/>
            <w:tcBorders>
              <w:top w:val="nil"/>
              <w:bottom w:val="nil"/>
            </w:tcBorders>
            <w:shd w:val="clear" w:color="000000" w:fill="auto"/>
          </w:tcPr>
          <w:p w14:paraId="703DEEF1"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AMPLIFY</w:t>
            </w:r>
          </w:p>
        </w:tc>
      </w:tr>
      <w:tr w:rsidR="003A4F41" w:rsidRPr="000929E2" w14:paraId="145D06AB" w14:textId="77777777">
        <w:tc>
          <w:tcPr>
            <w:tcW w:w="9638" w:type="dxa"/>
            <w:tcBorders>
              <w:bottom w:val="nil"/>
            </w:tcBorders>
            <w:shd w:val="clear" w:color="000000" w:fill="E6E6E6"/>
          </w:tcPr>
          <w:p w14:paraId="2E552AF0" w14:textId="77777777" w:rsidR="003A4F41" w:rsidRPr="009D0E2A" w:rsidRDefault="003A4F41" w:rsidP="009F2DE3">
            <w:pPr>
              <w:pStyle w:val="Source"/>
              <w:spacing w:before="40" w:after="40"/>
              <w:ind w:left="57" w:right="108"/>
              <w:rPr>
                <w:rFonts w:eastAsia="Times New Roman" w:cs="Open Sans"/>
                <w:lang w:eastAsia="en-AU"/>
              </w:rPr>
            </w:pPr>
            <w:r w:rsidRPr="009D0E2A">
              <w:rPr>
                <w:rFonts w:eastAsia="Times New Roman" w:cs="Open Sans"/>
                <w:lang w:eastAsia="en-AU"/>
              </w:rPr>
              <w:t>Australian Construction Industry Forum (ACIF)</w:t>
            </w:r>
          </w:p>
        </w:tc>
      </w:tr>
      <w:tr w:rsidR="003A4F41" w:rsidRPr="000929E2" w14:paraId="4BCB6869" w14:textId="77777777">
        <w:tc>
          <w:tcPr>
            <w:tcW w:w="9638" w:type="dxa"/>
            <w:tcBorders>
              <w:top w:val="nil"/>
              <w:bottom w:val="nil"/>
            </w:tcBorders>
            <w:shd w:val="clear" w:color="000000" w:fill="auto"/>
          </w:tcPr>
          <w:p w14:paraId="4FD57A8E"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Australian Institute of Quantity Surveyors</w:t>
            </w:r>
          </w:p>
        </w:tc>
      </w:tr>
      <w:tr w:rsidR="003A4F41" w:rsidRPr="000929E2" w14:paraId="79ADD886" w14:textId="77777777">
        <w:tc>
          <w:tcPr>
            <w:tcW w:w="9638" w:type="dxa"/>
            <w:tcBorders>
              <w:bottom w:val="nil"/>
            </w:tcBorders>
            <w:shd w:val="clear" w:color="000000" w:fill="E6E6E6"/>
          </w:tcPr>
          <w:p w14:paraId="55716148" w14:textId="77777777" w:rsidR="003A4F41" w:rsidRPr="009D0E2A" w:rsidRDefault="003A4F41" w:rsidP="009F2DE3">
            <w:pPr>
              <w:pStyle w:val="Source"/>
              <w:spacing w:before="40" w:after="40"/>
              <w:ind w:left="57" w:right="108"/>
              <w:rPr>
                <w:rFonts w:eastAsia="Times New Roman" w:cs="Open Sans"/>
                <w:lang w:eastAsia="en-AU"/>
              </w:rPr>
            </w:pPr>
            <w:r w:rsidRPr="009D0E2A">
              <w:rPr>
                <w:rFonts w:eastAsia="Times New Roman" w:cs="Open Sans"/>
                <w:lang w:eastAsia="en-AU"/>
              </w:rPr>
              <w:t>Australian Property Developers Association (APDA)</w:t>
            </w:r>
          </w:p>
        </w:tc>
      </w:tr>
      <w:tr w:rsidR="003A4F41" w:rsidRPr="000929E2" w14:paraId="6AA2BA84" w14:textId="77777777">
        <w:tc>
          <w:tcPr>
            <w:tcW w:w="9638" w:type="dxa"/>
            <w:tcBorders>
              <w:top w:val="nil"/>
              <w:bottom w:val="nil"/>
            </w:tcBorders>
            <w:shd w:val="clear" w:color="000000" w:fill="auto"/>
          </w:tcPr>
          <w:p w14:paraId="1D5896ED"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Chartered Institute of Building (CIOB)</w:t>
            </w:r>
          </w:p>
        </w:tc>
      </w:tr>
      <w:tr w:rsidR="003A4F41" w:rsidRPr="000929E2" w14:paraId="7576F113" w14:textId="77777777">
        <w:tc>
          <w:tcPr>
            <w:tcW w:w="9638" w:type="dxa"/>
            <w:tcBorders>
              <w:bottom w:val="nil"/>
            </w:tcBorders>
            <w:shd w:val="clear" w:color="000000" w:fill="E6E6E6"/>
          </w:tcPr>
          <w:p w14:paraId="7FDA5189"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Committee for Economic Development of Australia (CEDA)</w:t>
            </w:r>
          </w:p>
        </w:tc>
      </w:tr>
      <w:tr w:rsidR="003A4F41" w:rsidRPr="000929E2" w14:paraId="1F931703" w14:textId="77777777">
        <w:tc>
          <w:tcPr>
            <w:tcW w:w="9638" w:type="dxa"/>
            <w:tcBorders>
              <w:top w:val="nil"/>
              <w:bottom w:val="nil"/>
            </w:tcBorders>
            <w:shd w:val="clear" w:color="000000" w:fill="auto"/>
          </w:tcPr>
          <w:p w14:paraId="6F0B4CED"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e61 Institute</w:t>
            </w:r>
          </w:p>
        </w:tc>
      </w:tr>
      <w:tr w:rsidR="003A4F41" w:rsidRPr="000929E2" w14:paraId="6F8C57C2" w14:textId="77777777">
        <w:tc>
          <w:tcPr>
            <w:tcW w:w="9638" w:type="dxa"/>
            <w:tcBorders>
              <w:top w:val="nil"/>
              <w:bottom w:val="nil"/>
            </w:tcBorders>
            <w:shd w:val="clear" w:color="auto" w:fill="E6E6E6"/>
          </w:tcPr>
          <w:p w14:paraId="68E68BC1" w14:textId="77777777" w:rsidR="003A4F41" w:rsidRPr="000929E2" w:rsidRDefault="003A4F41" w:rsidP="009F2DE3">
            <w:pPr>
              <w:pStyle w:val="Source"/>
              <w:spacing w:before="40" w:after="40"/>
              <w:ind w:left="57" w:right="108"/>
              <w:rPr>
                <w:rFonts w:cs="Open Sans"/>
              </w:rPr>
            </w:pPr>
            <w:r w:rsidRPr="000929E2">
              <w:rPr>
                <w:rFonts w:eastAsia="Times New Roman" w:cs="Open Sans"/>
                <w:bCs/>
                <w:lang w:eastAsia="en-AU"/>
              </w:rPr>
              <w:t>Grattan Institute</w:t>
            </w:r>
          </w:p>
        </w:tc>
      </w:tr>
      <w:tr w:rsidR="003A4F41" w:rsidRPr="000929E2" w14:paraId="4EF4A715" w14:textId="77777777">
        <w:tc>
          <w:tcPr>
            <w:tcW w:w="9638" w:type="dxa"/>
            <w:tcBorders>
              <w:top w:val="nil"/>
              <w:bottom w:val="nil"/>
            </w:tcBorders>
            <w:shd w:val="clear" w:color="000000" w:fill="auto"/>
          </w:tcPr>
          <w:p w14:paraId="760F95D9" w14:textId="77777777" w:rsidR="003A4F41" w:rsidRPr="000929E2" w:rsidRDefault="003A4F41" w:rsidP="009F2DE3">
            <w:pPr>
              <w:pStyle w:val="Source"/>
              <w:spacing w:before="40" w:after="40"/>
              <w:ind w:left="57" w:right="108"/>
              <w:rPr>
                <w:rFonts w:eastAsia="Times New Roman" w:cs="Open Sans"/>
                <w:bCs/>
                <w:lang w:eastAsia="en-AU"/>
              </w:rPr>
            </w:pPr>
            <w:r w:rsidRPr="009D0E2A">
              <w:rPr>
                <w:rFonts w:eastAsia="Times New Roman" w:cs="Open Sans"/>
                <w:lang w:eastAsia="en-AU"/>
              </w:rPr>
              <w:t>Housing Industry Association (HIA)</w:t>
            </w:r>
          </w:p>
        </w:tc>
      </w:tr>
      <w:tr w:rsidR="003A4F41" w:rsidRPr="000929E2" w14:paraId="08133949" w14:textId="77777777">
        <w:tc>
          <w:tcPr>
            <w:tcW w:w="9638" w:type="dxa"/>
            <w:tcBorders>
              <w:bottom w:val="nil"/>
            </w:tcBorders>
            <w:shd w:val="clear" w:color="000000" w:fill="E6E6E6"/>
          </w:tcPr>
          <w:p w14:paraId="1ABAB735"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 xml:space="preserve">Master Builders </w:t>
            </w:r>
            <w:r w:rsidRPr="000929E2">
              <w:rPr>
                <w:rFonts w:eastAsia="Times New Roman" w:cs="Open Sans"/>
                <w:bCs/>
                <w:lang w:eastAsia="en-AU"/>
              </w:rPr>
              <w:t>A</w:t>
            </w:r>
            <w:r>
              <w:rPr>
                <w:rFonts w:eastAsia="Times New Roman" w:cs="Open Sans"/>
                <w:bCs/>
                <w:lang w:eastAsia="en-AU"/>
              </w:rPr>
              <w:t>ustralia</w:t>
            </w:r>
            <w:r w:rsidRPr="009D0E2A">
              <w:rPr>
                <w:rFonts w:eastAsia="Times New Roman" w:cs="Open Sans"/>
                <w:lang w:eastAsia="en-AU"/>
              </w:rPr>
              <w:t xml:space="preserve"> </w:t>
            </w:r>
          </w:p>
        </w:tc>
      </w:tr>
      <w:tr w:rsidR="003A4F41" w:rsidRPr="000929E2" w14:paraId="0295926B" w14:textId="77777777">
        <w:tc>
          <w:tcPr>
            <w:tcW w:w="9638" w:type="dxa"/>
            <w:tcBorders>
              <w:top w:val="nil"/>
              <w:bottom w:val="nil"/>
            </w:tcBorders>
            <w:shd w:val="clear" w:color="000000" w:fill="auto"/>
          </w:tcPr>
          <w:p w14:paraId="64894E81"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Master Electricians Australia (MEA)</w:t>
            </w:r>
          </w:p>
        </w:tc>
      </w:tr>
      <w:tr w:rsidR="003A4F41" w:rsidRPr="000929E2" w14:paraId="1AD45433" w14:textId="77777777">
        <w:tc>
          <w:tcPr>
            <w:tcW w:w="9638" w:type="dxa"/>
            <w:tcBorders>
              <w:bottom w:val="nil"/>
            </w:tcBorders>
            <w:shd w:val="clear" w:color="auto" w:fill="E6E6E6"/>
          </w:tcPr>
          <w:p w14:paraId="3F1EC765"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Planning Institute of Australia (PIA)</w:t>
            </w:r>
          </w:p>
        </w:tc>
      </w:tr>
      <w:tr w:rsidR="003A4F41" w:rsidRPr="000929E2" w14:paraId="75B67E79" w14:textId="77777777">
        <w:tc>
          <w:tcPr>
            <w:tcW w:w="9638" w:type="dxa"/>
            <w:tcBorders>
              <w:top w:val="nil"/>
              <w:bottom w:val="nil"/>
            </w:tcBorders>
            <w:shd w:val="clear" w:color="000000" w:fill="auto"/>
          </w:tcPr>
          <w:p w14:paraId="5EAEDF39"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Property Council of Australia</w:t>
            </w:r>
          </w:p>
        </w:tc>
      </w:tr>
      <w:tr w:rsidR="003A4F41" w:rsidRPr="000929E2" w14:paraId="3A1CC857" w14:textId="77777777">
        <w:tc>
          <w:tcPr>
            <w:tcW w:w="9638" w:type="dxa"/>
            <w:tcBorders>
              <w:bottom w:val="nil"/>
            </w:tcBorders>
            <w:shd w:val="clear" w:color="000000" w:fill="E6E6E6"/>
          </w:tcPr>
          <w:p w14:paraId="751ECFF4" w14:textId="77777777" w:rsidR="003A4F41" w:rsidRPr="009D0E2A" w:rsidRDefault="003A4F41" w:rsidP="009F2DE3">
            <w:pPr>
              <w:pStyle w:val="Source"/>
              <w:spacing w:before="40" w:after="40"/>
              <w:ind w:left="57" w:right="108"/>
              <w:rPr>
                <w:rFonts w:eastAsia="Times New Roman" w:cs="Open Sans"/>
                <w:lang w:eastAsia="en-AU"/>
              </w:rPr>
            </w:pPr>
            <w:r>
              <w:rPr>
                <w:rFonts w:eastAsia="Times New Roman" w:cs="Open Sans"/>
                <w:bCs/>
                <w:lang w:eastAsia="en-AU"/>
              </w:rPr>
              <w:t>Royal Australian Institute of Architects</w:t>
            </w:r>
          </w:p>
        </w:tc>
      </w:tr>
      <w:tr w:rsidR="003A4F41" w:rsidRPr="000929E2" w14:paraId="61AC7AC7" w14:textId="77777777">
        <w:tc>
          <w:tcPr>
            <w:tcW w:w="9638" w:type="dxa"/>
            <w:tcBorders>
              <w:bottom w:val="nil"/>
            </w:tcBorders>
            <w:shd w:val="clear" w:color="auto" w:fill="FFFFFF" w:themeFill="background1"/>
          </w:tcPr>
          <w:p w14:paraId="7D3E7F74" w14:textId="77777777" w:rsidR="003A4F41" w:rsidRPr="000929E2" w:rsidRDefault="003A4F41" w:rsidP="009F2DE3">
            <w:pPr>
              <w:pStyle w:val="Source"/>
              <w:spacing w:before="40" w:after="40"/>
              <w:ind w:left="57" w:right="108"/>
              <w:rPr>
                <w:rFonts w:eastAsia="Times New Roman" w:cs="Open Sans"/>
                <w:bCs/>
                <w:lang w:eastAsia="en-AU"/>
              </w:rPr>
            </w:pPr>
            <w:r w:rsidRPr="009D0E2A">
              <w:rPr>
                <w:rFonts w:eastAsia="Times New Roman" w:cs="Open Sans"/>
                <w:lang w:eastAsia="en-AU"/>
              </w:rPr>
              <w:t>Royal Institute of Chartered Surveyors (RICS)</w:t>
            </w:r>
          </w:p>
        </w:tc>
      </w:tr>
      <w:tr w:rsidR="003A4F41" w:rsidRPr="000929E2" w14:paraId="5CA0A420" w14:textId="77777777">
        <w:tc>
          <w:tcPr>
            <w:tcW w:w="9638" w:type="dxa"/>
            <w:tcBorders>
              <w:top w:val="nil"/>
              <w:bottom w:val="nil"/>
            </w:tcBorders>
            <w:shd w:val="clear" w:color="auto" w:fill="E6E6E6"/>
          </w:tcPr>
          <w:p w14:paraId="30EF0507"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The Centre for Independent Studies (CIS)</w:t>
            </w:r>
          </w:p>
        </w:tc>
      </w:tr>
      <w:tr w:rsidR="003A4F41" w:rsidRPr="000929E2" w14:paraId="3ED594EB" w14:textId="77777777">
        <w:tc>
          <w:tcPr>
            <w:tcW w:w="9638" w:type="dxa"/>
            <w:tcBorders>
              <w:bottom w:val="nil"/>
            </w:tcBorders>
            <w:shd w:val="clear" w:color="auto" w:fill="FFFFFF" w:themeFill="background1"/>
          </w:tcPr>
          <w:p w14:paraId="19C53D83"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The Centre for International Economics (CIE)</w:t>
            </w:r>
          </w:p>
        </w:tc>
      </w:tr>
      <w:tr w:rsidR="003A4F41" w:rsidRPr="000929E2" w14:paraId="0F1A3DE1" w14:textId="77777777">
        <w:tc>
          <w:tcPr>
            <w:tcW w:w="9638" w:type="dxa"/>
            <w:tcBorders>
              <w:top w:val="nil"/>
              <w:bottom w:val="nil"/>
            </w:tcBorders>
            <w:shd w:val="clear" w:color="auto" w:fill="E6E6E6"/>
          </w:tcPr>
          <w:p w14:paraId="22BEDC68"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 xml:space="preserve">Urban Development Institute </w:t>
            </w:r>
            <w:r>
              <w:rPr>
                <w:rFonts w:eastAsia="Times New Roman" w:cs="Open Sans"/>
                <w:bCs/>
                <w:lang w:eastAsia="en-AU"/>
              </w:rPr>
              <w:t xml:space="preserve">of </w:t>
            </w:r>
            <w:r w:rsidRPr="009D0E2A">
              <w:rPr>
                <w:rFonts w:eastAsia="Times New Roman" w:cs="Open Sans"/>
                <w:lang w:eastAsia="en-AU"/>
              </w:rPr>
              <w:t>Australia (UDIA)</w:t>
            </w:r>
          </w:p>
        </w:tc>
      </w:tr>
      <w:tr w:rsidR="003A4F41" w:rsidRPr="000929E2" w14:paraId="1A99A91F" w14:textId="77777777">
        <w:tc>
          <w:tcPr>
            <w:tcW w:w="9638" w:type="dxa"/>
            <w:tcBorders>
              <w:bottom w:val="nil"/>
            </w:tcBorders>
            <w:shd w:val="clear" w:color="auto" w:fill="FFFFFF" w:themeFill="background1"/>
          </w:tcPr>
          <w:p w14:paraId="7CC487C6" w14:textId="77777777" w:rsidR="003A4F41" w:rsidRPr="000929E2" w:rsidRDefault="003A4F41" w:rsidP="009F2DE3">
            <w:pPr>
              <w:pStyle w:val="Source"/>
              <w:spacing w:before="40" w:after="40"/>
              <w:ind w:left="57" w:right="108"/>
              <w:rPr>
                <w:rFonts w:cs="Open Sans"/>
              </w:rPr>
            </w:pPr>
            <w:r w:rsidRPr="009D0E2A">
              <w:rPr>
                <w:rFonts w:eastAsia="Times New Roman" w:cs="Open Sans"/>
                <w:lang w:eastAsia="en-AU"/>
              </w:rPr>
              <w:t>Urban Taskforce Australia</w:t>
            </w:r>
          </w:p>
        </w:tc>
      </w:tr>
    </w:tbl>
    <w:p w14:paraId="13F9DD36" w14:textId="77777777" w:rsidR="003A4F41" w:rsidRPr="00BB5C22" w:rsidRDefault="003A4F41" w:rsidP="00C931C0">
      <w:pPr>
        <w:pStyle w:val="BodyText"/>
        <w:spacing w:before="0" w:after="0"/>
      </w:pPr>
    </w:p>
    <w:p w14:paraId="4667FBD3" w14:textId="77777777" w:rsidR="003A4F41" w:rsidRDefault="003A4F41" w:rsidP="00E76EEC">
      <w:pPr>
        <w:pStyle w:val="BodyText"/>
        <w:sectPr w:rsidR="003A4F41" w:rsidSect="003A4F41">
          <w:headerReference w:type="even" r:id="rId99"/>
          <w:headerReference w:type="default" r:id="rId100"/>
          <w:footerReference w:type="even" r:id="rId101"/>
          <w:footerReference w:type="default" r:id="rId102"/>
          <w:headerReference w:type="first" r:id="rId103"/>
          <w:type w:val="oddPage"/>
          <w:pgSz w:w="11906" w:h="16838" w:code="9"/>
          <w:pgMar w:top="1134" w:right="1134" w:bottom="1134" w:left="1134" w:header="794" w:footer="510" w:gutter="0"/>
          <w:cols w:space="708"/>
          <w:docGrid w:linePitch="360"/>
        </w:sectPr>
      </w:pPr>
    </w:p>
    <w:p w14:paraId="6E19578C" w14:textId="77777777" w:rsidR="003A4F41" w:rsidRPr="00610627" w:rsidRDefault="003A4F41">
      <w:pPr>
        <w:pStyle w:val="Heading1-nobackground"/>
      </w:pPr>
      <w:bookmarkStart w:id="44" w:name="_Toc78901540"/>
      <w:bookmarkStart w:id="45" w:name="_Toc235103167"/>
      <w:r w:rsidRPr="00C71BE6">
        <w:lastRenderedPageBreak/>
        <w:t>Abbreviations</w:t>
      </w:r>
      <w:bookmarkEnd w:id="44"/>
      <w:bookmarkEnd w:id="45"/>
    </w:p>
    <w:tbl>
      <w:tblPr>
        <w:tblW w:w="5000" w:type="pct"/>
        <w:tblBorders>
          <w:bottom w:val="single" w:sz="4" w:space="0" w:color="B3B3B3"/>
        </w:tblBorders>
        <w:shd w:val="clear" w:color="000000" w:fill="auto"/>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Open Sans&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29, 67, 116&quot;,&quot;BandedRow&quot;:&quot;230, 230, 230&quot;,&quot;BorderColor&quot;:&quot;179, 179, 179&quot;,&quot;BackgroundColor&quot;:&quot;Transparent&quot;},&quot;Cop&quot;:{&quot;FirstRow&quot;:true,&quot;LastRow&quot;:false,&quot;FirstColumn&quot;:true,&quot;LastColumn&quot;:false,&quot;BandedRows&quot;:true,&quot;BandedColumns&quot;:false},&quot;Aaf&quot;:false}"/>
      </w:tblPr>
      <w:tblGrid>
        <w:gridCol w:w="1700"/>
        <w:gridCol w:w="7938"/>
      </w:tblGrid>
      <w:tr w:rsidR="003A4F41" w:rsidRPr="00E20366" w14:paraId="4B528606" w14:textId="77777777" w:rsidTr="00E20366">
        <w:trPr>
          <w:tblHeader/>
        </w:trPr>
        <w:tc>
          <w:tcPr>
            <w:tcW w:w="882" w:type="pct"/>
            <w:tcBorders>
              <w:bottom w:val="single" w:sz="4" w:space="0" w:color="B3B3B3"/>
            </w:tcBorders>
            <w:shd w:val="clear" w:color="000000" w:fill="auto"/>
            <w:vAlign w:val="bottom"/>
          </w:tcPr>
          <w:p w14:paraId="5D408EB8"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Abbreviation</w:t>
            </w:r>
          </w:p>
        </w:tc>
        <w:tc>
          <w:tcPr>
            <w:tcW w:w="4118" w:type="pct"/>
            <w:tcBorders>
              <w:bottom w:val="single" w:sz="4" w:space="0" w:color="B3B3B3"/>
            </w:tcBorders>
            <w:shd w:val="clear" w:color="000000" w:fill="auto"/>
            <w:vAlign w:val="bottom"/>
          </w:tcPr>
          <w:p w14:paraId="10B0023D" w14:textId="77777777" w:rsidR="003A4F41" w:rsidRPr="00E20366" w:rsidRDefault="003A4F41" w:rsidP="00E20366">
            <w:pPr>
              <w:pStyle w:val="TableBody"/>
              <w:spacing w:before="45" w:after="45"/>
              <w:ind w:right="108"/>
              <w:rPr>
                <w:rFonts w:cs="Open Sans"/>
                <w:b/>
                <w:color w:val="1D4374"/>
              </w:rPr>
            </w:pPr>
            <w:r w:rsidRPr="00E20366">
              <w:rPr>
                <w:rFonts w:cs="Open Sans"/>
                <w:b/>
                <w:color w:val="1D4374"/>
              </w:rPr>
              <w:t>Definition</w:t>
            </w:r>
          </w:p>
        </w:tc>
      </w:tr>
      <w:tr w:rsidR="003A4F41" w:rsidRPr="00E20366" w14:paraId="7EB5DC5A" w14:textId="77777777" w:rsidTr="00E20366">
        <w:tc>
          <w:tcPr>
            <w:tcW w:w="882" w:type="pct"/>
            <w:tcBorders>
              <w:top w:val="single" w:sz="4" w:space="0" w:color="B3B3B3"/>
              <w:bottom w:val="nil"/>
            </w:tcBorders>
            <w:shd w:val="clear" w:color="000000" w:fill="E6E6E6"/>
          </w:tcPr>
          <w:p w14:paraId="37EC5FEF"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ACT</w:t>
            </w:r>
          </w:p>
        </w:tc>
        <w:tc>
          <w:tcPr>
            <w:tcW w:w="4118" w:type="pct"/>
            <w:tcBorders>
              <w:top w:val="single" w:sz="4" w:space="0" w:color="B3B3B3"/>
              <w:bottom w:val="nil"/>
            </w:tcBorders>
            <w:shd w:val="clear" w:color="000000" w:fill="E6E6E6"/>
          </w:tcPr>
          <w:p w14:paraId="02291FCE"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Australian Capital Territory</w:t>
            </w:r>
          </w:p>
        </w:tc>
      </w:tr>
      <w:tr w:rsidR="003A4F41" w:rsidRPr="00E20366" w14:paraId="28CBB164" w14:textId="77777777" w:rsidTr="00E20366">
        <w:tc>
          <w:tcPr>
            <w:tcW w:w="882" w:type="pct"/>
            <w:tcBorders>
              <w:top w:val="nil"/>
              <w:bottom w:val="nil"/>
            </w:tcBorders>
            <w:shd w:val="clear" w:color="000000" w:fill="auto"/>
          </w:tcPr>
          <w:p w14:paraId="21D36395"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AI</w:t>
            </w:r>
          </w:p>
        </w:tc>
        <w:tc>
          <w:tcPr>
            <w:tcW w:w="4118" w:type="pct"/>
            <w:tcBorders>
              <w:top w:val="nil"/>
              <w:bottom w:val="nil"/>
            </w:tcBorders>
            <w:shd w:val="clear" w:color="000000" w:fill="auto"/>
          </w:tcPr>
          <w:p w14:paraId="45A0117D"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Artificial Intelligence</w:t>
            </w:r>
          </w:p>
        </w:tc>
      </w:tr>
      <w:tr w:rsidR="003A4F41" w:rsidRPr="00E20366" w14:paraId="0697893B" w14:textId="77777777" w:rsidTr="00E20366">
        <w:tc>
          <w:tcPr>
            <w:tcW w:w="882" w:type="pct"/>
            <w:tcBorders>
              <w:bottom w:val="nil"/>
            </w:tcBorders>
            <w:shd w:val="clear" w:color="000000" w:fill="E6E6E6"/>
          </w:tcPr>
          <w:p w14:paraId="29612006"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AUP</w:t>
            </w:r>
          </w:p>
        </w:tc>
        <w:tc>
          <w:tcPr>
            <w:tcW w:w="4118" w:type="pct"/>
            <w:tcBorders>
              <w:bottom w:val="nil"/>
            </w:tcBorders>
            <w:shd w:val="clear" w:color="000000" w:fill="E6E6E6"/>
          </w:tcPr>
          <w:p w14:paraId="0E163FBA"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Auckland Unitary Plan</w:t>
            </w:r>
          </w:p>
        </w:tc>
      </w:tr>
      <w:tr w:rsidR="003A4F41" w:rsidRPr="00E20366" w14:paraId="73901DD1" w14:textId="77777777" w:rsidTr="00E20366">
        <w:tc>
          <w:tcPr>
            <w:tcW w:w="882" w:type="pct"/>
            <w:tcBorders>
              <w:top w:val="nil"/>
              <w:bottom w:val="nil"/>
            </w:tcBorders>
            <w:shd w:val="clear" w:color="000000" w:fill="auto"/>
          </w:tcPr>
          <w:p w14:paraId="7E785AEC"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CBD</w:t>
            </w:r>
          </w:p>
        </w:tc>
        <w:tc>
          <w:tcPr>
            <w:tcW w:w="4118" w:type="pct"/>
            <w:tcBorders>
              <w:top w:val="nil"/>
              <w:bottom w:val="nil"/>
            </w:tcBorders>
            <w:shd w:val="clear" w:color="000000" w:fill="auto"/>
          </w:tcPr>
          <w:p w14:paraId="6A44FC4E"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 xml:space="preserve">Central business district </w:t>
            </w:r>
          </w:p>
        </w:tc>
      </w:tr>
      <w:tr w:rsidR="00D05883" w:rsidRPr="00E20366" w14:paraId="450BAA0F" w14:textId="77777777" w:rsidTr="00E20366">
        <w:tc>
          <w:tcPr>
            <w:tcW w:w="882" w:type="pct"/>
            <w:tcBorders>
              <w:bottom w:val="nil"/>
            </w:tcBorders>
            <w:shd w:val="clear" w:color="000000" w:fill="E6E6E6"/>
          </w:tcPr>
          <w:p w14:paraId="677266E5" w14:textId="6E723254" w:rsidR="00D05883" w:rsidRPr="00E20366" w:rsidRDefault="00D05883" w:rsidP="00E20366">
            <w:pPr>
              <w:pStyle w:val="TableBody"/>
              <w:spacing w:before="45" w:after="45"/>
              <w:ind w:right="108"/>
              <w:rPr>
                <w:rFonts w:cs="Open Sans"/>
                <w:b/>
                <w:bCs/>
                <w:color w:val="1D4374"/>
              </w:rPr>
            </w:pPr>
            <w:r w:rsidRPr="00E20366">
              <w:rPr>
                <w:rFonts w:cs="Open Sans"/>
                <w:b/>
                <w:bCs/>
                <w:color w:val="1D4374"/>
              </w:rPr>
              <w:t>CDC</w:t>
            </w:r>
          </w:p>
        </w:tc>
        <w:tc>
          <w:tcPr>
            <w:tcW w:w="4118" w:type="pct"/>
            <w:tcBorders>
              <w:bottom w:val="nil"/>
            </w:tcBorders>
            <w:shd w:val="clear" w:color="000000" w:fill="E6E6E6"/>
          </w:tcPr>
          <w:p w14:paraId="2AE24206" w14:textId="5C573ECB" w:rsidR="00D05883" w:rsidRPr="00E20366" w:rsidRDefault="00D05883" w:rsidP="00E20366">
            <w:pPr>
              <w:pStyle w:val="TableBody"/>
              <w:spacing w:before="45" w:after="45"/>
              <w:ind w:right="108"/>
              <w:rPr>
                <w:rFonts w:cs="Open Sans"/>
                <w:color w:val="000000"/>
              </w:rPr>
            </w:pPr>
            <w:r w:rsidRPr="00E20366">
              <w:rPr>
                <w:rFonts w:cs="Open Sans"/>
                <w:color w:val="000000"/>
              </w:rPr>
              <w:t>Complying development certificate (New South Wales)</w:t>
            </w:r>
          </w:p>
        </w:tc>
      </w:tr>
      <w:tr w:rsidR="003A4F41" w:rsidRPr="00E20366" w14:paraId="5CCFC73C" w14:textId="77777777" w:rsidTr="00E20366">
        <w:tc>
          <w:tcPr>
            <w:tcW w:w="882" w:type="pct"/>
            <w:tcBorders>
              <w:top w:val="nil"/>
              <w:bottom w:val="nil"/>
            </w:tcBorders>
            <w:shd w:val="clear" w:color="000000" w:fill="auto"/>
          </w:tcPr>
          <w:p w14:paraId="7AD4C0D3"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DSS</w:t>
            </w:r>
          </w:p>
        </w:tc>
        <w:tc>
          <w:tcPr>
            <w:tcW w:w="4118" w:type="pct"/>
            <w:tcBorders>
              <w:top w:val="nil"/>
              <w:bottom w:val="nil"/>
            </w:tcBorders>
            <w:shd w:val="clear" w:color="000000" w:fill="auto"/>
          </w:tcPr>
          <w:p w14:paraId="4EF6600E"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Australian Government Department of Social Services</w:t>
            </w:r>
          </w:p>
        </w:tc>
      </w:tr>
      <w:tr w:rsidR="003A4F41" w:rsidRPr="00E20366" w14:paraId="75DBA298" w14:textId="77777777" w:rsidTr="00E20366">
        <w:tc>
          <w:tcPr>
            <w:tcW w:w="882" w:type="pct"/>
            <w:tcBorders>
              <w:bottom w:val="nil"/>
            </w:tcBorders>
            <w:shd w:val="clear" w:color="000000" w:fill="E6E6E6"/>
          </w:tcPr>
          <w:p w14:paraId="2A1B33F2"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FSR</w:t>
            </w:r>
          </w:p>
        </w:tc>
        <w:tc>
          <w:tcPr>
            <w:tcW w:w="4118" w:type="pct"/>
            <w:tcBorders>
              <w:bottom w:val="nil"/>
            </w:tcBorders>
            <w:shd w:val="clear" w:color="000000" w:fill="E6E6E6"/>
          </w:tcPr>
          <w:p w14:paraId="70A49B02" w14:textId="2158049E" w:rsidR="003A4F41" w:rsidRPr="00E20366" w:rsidRDefault="003A4F41" w:rsidP="00E20366">
            <w:pPr>
              <w:pStyle w:val="TableBody"/>
              <w:spacing w:before="45" w:after="45"/>
              <w:ind w:right="108"/>
              <w:rPr>
                <w:rFonts w:cs="Open Sans"/>
                <w:color w:val="000000"/>
              </w:rPr>
            </w:pPr>
            <w:r w:rsidRPr="00E20366">
              <w:rPr>
                <w:rFonts w:cs="Open Sans"/>
                <w:color w:val="000000"/>
              </w:rPr>
              <w:t>Floor-space ratio</w:t>
            </w:r>
          </w:p>
        </w:tc>
      </w:tr>
      <w:tr w:rsidR="003A4F41" w:rsidRPr="00E20366" w14:paraId="07FDF92B" w14:textId="77777777" w:rsidTr="00E20366">
        <w:tc>
          <w:tcPr>
            <w:tcW w:w="882" w:type="pct"/>
            <w:tcBorders>
              <w:top w:val="nil"/>
              <w:bottom w:val="nil"/>
            </w:tcBorders>
            <w:shd w:val="clear" w:color="000000" w:fill="auto"/>
          </w:tcPr>
          <w:p w14:paraId="05F99FA0"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GPOP</w:t>
            </w:r>
          </w:p>
        </w:tc>
        <w:tc>
          <w:tcPr>
            <w:tcW w:w="4118" w:type="pct"/>
            <w:tcBorders>
              <w:top w:val="nil"/>
              <w:bottom w:val="nil"/>
            </w:tcBorders>
            <w:shd w:val="clear" w:color="000000" w:fill="auto"/>
          </w:tcPr>
          <w:p w14:paraId="546D8116"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Greater Parramatta to Olympic Peninsula</w:t>
            </w:r>
          </w:p>
        </w:tc>
      </w:tr>
      <w:tr w:rsidR="003A4F41" w:rsidRPr="00E20366" w14:paraId="1874479B" w14:textId="77777777" w:rsidTr="00E20366">
        <w:tc>
          <w:tcPr>
            <w:tcW w:w="882" w:type="pct"/>
            <w:tcBorders>
              <w:bottom w:val="nil"/>
            </w:tcBorders>
            <w:shd w:val="clear" w:color="000000" w:fill="E6E6E6"/>
          </w:tcPr>
          <w:p w14:paraId="354CA7BC"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HILDA</w:t>
            </w:r>
          </w:p>
        </w:tc>
        <w:tc>
          <w:tcPr>
            <w:tcW w:w="4118" w:type="pct"/>
            <w:tcBorders>
              <w:bottom w:val="nil"/>
            </w:tcBorders>
            <w:shd w:val="clear" w:color="000000" w:fill="E6E6E6"/>
          </w:tcPr>
          <w:p w14:paraId="58CBAB37"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Household, Income and Labour Dynamics in Australia</w:t>
            </w:r>
          </w:p>
        </w:tc>
      </w:tr>
      <w:tr w:rsidR="003A4F41" w:rsidRPr="00E20366" w14:paraId="05228B20" w14:textId="77777777" w:rsidTr="00E20366">
        <w:tc>
          <w:tcPr>
            <w:tcW w:w="882" w:type="pct"/>
            <w:tcBorders>
              <w:top w:val="nil"/>
              <w:bottom w:val="nil"/>
            </w:tcBorders>
            <w:shd w:val="clear" w:color="000000" w:fill="auto"/>
          </w:tcPr>
          <w:p w14:paraId="3FEBCAFE"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LGA</w:t>
            </w:r>
          </w:p>
        </w:tc>
        <w:tc>
          <w:tcPr>
            <w:tcW w:w="4118" w:type="pct"/>
            <w:tcBorders>
              <w:top w:val="nil"/>
              <w:bottom w:val="nil"/>
            </w:tcBorders>
            <w:shd w:val="clear" w:color="000000" w:fill="auto"/>
          </w:tcPr>
          <w:p w14:paraId="53D74944"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 xml:space="preserve">Local government area </w:t>
            </w:r>
          </w:p>
        </w:tc>
      </w:tr>
      <w:tr w:rsidR="003A4F41" w:rsidRPr="00E20366" w14:paraId="00F9255B" w14:textId="77777777" w:rsidTr="00E20366">
        <w:tc>
          <w:tcPr>
            <w:tcW w:w="882" w:type="pct"/>
            <w:tcBorders>
              <w:bottom w:val="nil"/>
            </w:tcBorders>
            <w:shd w:val="clear" w:color="000000" w:fill="E6E6E6"/>
          </w:tcPr>
          <w:p w14:paraId="194000CD"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NSW</w:t>
            </w:r>
          </w:p>
        </w:tc>
        <w:tc>
          <w:tcPr>
            <w:tcW w:w="4118" w:type="pct"/>
            <w:tcBorders>
              <w:bottom w:val="nil"/>
            </w:tcBorders>
            <w:shd w:val="clear" w:color="000000" w:fill="E6E6E6"/>
          </w:tcPr>
          <w:p w14:paraId="476B7876"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New South Wales</w:t>
            </w:r>
          </w:p>
        </w:tc>
      </w:tr>
      <w:tr w:rsidR="003A4F41" w:rsidRPr="00E20366" w14:paraId="3A42BF52" w14:textId="77777777" w:rsidTr="00E20366">
        <w:tc>
          <w:tcPr>
            <w:tcW w:w="882" w:type="pct"/>
            <w:tcBorders>
              <w:top w:val="nil"/>
              <w:bottom w:val="nil"/>
            </w:tcBorders>
            <w:shd w:val="clear" w:color="000000" w:fill="auto"/>
          </w:tcPr>
          <w:p w14:paraId="711AC968"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NT</w:t>
            </w:r>
          </w:p>
        </w:tc>
        <w:tc>
          <w:tcPr>
            <w:tcW w:w="4118" w:type="pct"/>
            <w:tcBorders>
              <w:top w:val="nil"/>
              <w:bottom w:val="nil"/>
            </w:tcBorders>
            <w:shd w:val="clear" w:color="000000" w:fill="auto"/>
          </w:tcPr>
          <w:p w14:paraId="2BAD8136"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Northern Territory</w:t>
            </w:r>
          </w:p>
        </w:tc>
      </w:tr>
      <w:tr w:rsidR="003A4F41" w:rsidRPr="00E20366" w14:paraId="36FE62ED" w14:textId="77777777" w:rsidTr="00E20366">
        <w:tc>
          <w:tcPr>
            <w:tcW w:w="882" w:type="pct"/>
            <w:tcBorders>
              <w:bottom w:val="nil"/>
            </w:tcBorders>
            <w:shd w:val="clear" w:color="000000" w:fill="E6E6E6"/>
          </w:tcPr>
          <w:p w14:paraId="2DB28A4D"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OECD</w:t>
            </w:r>
          </w:p>
        </w:tc>
        <w:tc>
          <w:tcPr>
            <w:tcW w:w="4118" w:type="pct"/>
            <w:tcBorders>
              <w:bottom w:val="nil"/>
            </w:tcBorders>
            <w:shd w:val="clear" w:color="000000" w:fill="E6E6E6"/>
          </w:tcPr>
          <w:p w14:paraId="357079D3"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Organisation for Economic Co-operation and Development</w:t>
            </w:r>
          </w:p>
        </w:tc>
      </w:tr>
      <w:tr w:rsidR="003A4F41" w:rsidRPr="00E20366" w14:paraId="0481A27A" w14:textId="77777777" w:rsidTr="00E20366">
        <w:tc>
          <w:tcPr>
            <w:tcW w:w="882" w:type="pct"/>
            <w:tcBorders>
              <w:top w:val="nil"/>
              <w:bottom w:val="nil"/>
            </w:tcBorders>
            <w:shd w:val="clear" w:color="000000" w:fill="auto"/>
          </w:tcPr>
          <w:p w14:paraId="5825FEAE"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PC</w:t>
            </w:r>
          </w:p>
        </w:tc>
        <w:tc>
          <w:tcPr>
            <w:tcW w:w="4118" w:type="pct"/>
            <w:tcBorders>
              <w:top w:val="nil"/>
              <w:bottom w:val="nil"/>
            </w:tcBorders>
            <w:shd w:val="clear" w:color="000000" w:fill="auto"/>
          </w:tcPr>
          <w:p w14:paraId="44A83838"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Productivity Commission</w:t>
            </w:r>
          </w:p>
        </w:tc>
      </w:tr>
      <w:tr w:rsidR="003A4F41" w:rsidRPr="00E20366" w14:paraId="43AA43D9" w14:textId="77777777" w:rsidTr="00E20366">
        <w:tc>
          <w:tcPr>
            <w:tcW w:w="882" w:type="pct"/>
            <w:tcBorders>
              <w:bottom w:val="nil"/>
            </w:tcBorders>
            <w:shd w:val="clear" w:color="000000" w:fill="E6E6E6"/>
          </w:tcPr>
          <w:p w14:paraId="7C42C589"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PIC</w:t>
            </w:r>
          </w:p>
        </w:tc>
        <w:tc>
          <w:tcPr>
            <w:tcW w:w="4118" w:type="pct"/>
            <w:tcBorders>
              <w:bottom w:val="nil"/>
            </w:tcBorders>
            <w:shd w:val="clear" w:color="000000" w:fill="E6E6E6"/>
          </w:tcPr>
          <w:p w14:paraId="28A100D9"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Place-based infrastructure compact</w:t>
            </w:r>
          </w:p>
        </w:tc>
      </w:tr>
      <w:tr w:rsidR="00D05883" w:rsidRPr="00E20366" w14:paraId="4DB6E604" w14:textId="77777777" w:rsidTr="00E20366">
        <w:tc>
          <w:tcPr>
            <w:tcW w:w="882" w:type="pct"/>
            <w:tcBorders>
              <w:top w:val="nil"/>
              <w:bottom w:val="nil"/>
            </w:tcBorders>
            <w:shd w:val="clear" w:color="000000" w:fill="auto"/>
          </w:tcPr>
          <w:p w14:paraId="39D11B45" w14:textId="11A735B3" w:rsidR="00D05883" w:rsidRPr="00E20366" w:rsidRDefault="00D05883" w:rsidP="00E20366">
            <w:pPr>
              <w:pStyle w:val="TableBody"/>
              <w:spacing w:before="45" w:after="45"/>
              <w:ind w:right="108"/>
              <w:rPr>
                <w:rFonts w:cs="Open Sans"/>
                <w:b/>
                <w:bCs/>
                <w:color w:val="1D4374"/>
              </w:rPr>
            </w:pPr>
            <w:r w:rsidRPr="00E20366">
              <w:rPr>
                <w:rFonts w:cs="Open Sans"/>
                <w:b/>
                <w:bCs/>
                <w:color w:val="1D4374"/>
              </w:rPr>
              <w:t>PSP</w:t>
            </w:r>
          </w:p>
        </w:tc>
        <w:tc>
          <w:tcPr>
            <w:tcW w:w="4118" w:type="pct"/>
            <w:tcBorders>
              <w:top w:val="nil"/>
              <w:bottom w:val="nil"/>
            </w:tcBorders>
            <w:shd w:val="clear" w:color="000000" w:fill="auto"/>
          </w:tcPr>
          <w:p w14:paraId="260FF857" w14:textId="34030655" w:rsidR="00D05883" w:rsidRPr="00E20366" w:rsidRDefault="00D05883" w:rsidP="00E20366">
            <w:pPr>
              <w:pStyle w:val="TableBody"/>
              <w:spacing w:before="45" w:after="45"/>
              <w:ind w:right="108"/>
              <w:rPr>
                <w:rFonts w:cs="Open Sans"/>
                <w:color w:val="000000"/>
              </w:rPr>
            </w:pPr>
            <w:r w:rsidRPr="00E20366">
              <w:rPr>
                <w:rFonts w:cs="Open Sans"/>
                <w:color w:val="000000"/>
              </w:rPr>
              <w:t>Precinct structure plan</w:t>
            </w:r>
          </w:p>
        </w:tc>
      </w:tr>
      <w:tr w:rsidR="00D05883" w:rsidRPr="00E20366" w14:paraId="6FF95D94" w14:textId="77777777" w:rsidTr="00E20366">
        <w:tc>
          <w:tcPr>
            <w:tcW w:w="882" w:type="pct"/>
            <w:tcBorders>
              <w:bottom w:val="nil"/>
            </w:tcBorders>
            <w:shd w:val="clear" w:color="000000" w:fill="E6E6E6"/>
          </w:tcPr>
          <w:p w14:paraId="66DA9E45" w14:textId="4EED421B" w:rsidR="00D05883" w:rsidRPr="00E20366" w:rsidRDefault="00D05883" w:rsidP="00E20366">
            <w:pPr>
              <w:pStyle w:val="TableBody"/>
              <w:spacing w:before="45" w:after="45"/>
              <w:ind w:right="108"/>
              <w:rPr>
                <w:rFonts w:cs="Open Sans"/>
                <w:b/>
                <w:bCs/>
                <w:color w:val="1D4374"/>
              </w:rPr>
            </w:pPr>
            <w:r w:rsidRPr="00E20366">
              <w:rPr>
                <w:rFonts w:cs="Open Sans"/>
                <w:b/>
                <w:bCs/>
                <w:color w:val="1D4374"/>
              </w:rPr>
              <w:t>RFI</w:t>
            </w:r>
          </w:p>
        </w:tc>
        <w:tc>
          <w:tcPr>
            <w:tcW w:w="4118" w:type="pct"/>
            <w:tcBorders>
              <w:bottom w:val="nil"/>
            </w:tcBorders>
            <w:shd w:val="clear" w:color="000000" w:fill="E6E6E6"/>
          </w:tcPr>
          <w:p w14:paraId="6BF6A3DE" w14:textId="36EF1A86" w:rsidR="00D05883" w:rsidRPr="00E20366" w:rsidRDefault="00D05883" w:rsidP="00E20366">
            <w:pPr>
              <w:pStyle w:val="TableBody"/>
              <w:spacing w:before="45" w:after="45"/>
              <w:ind w:right="108"/>
              <w:rPr>
                <w:rFonts w:cs="Open Sans"/>
                <w:color w:val="000000"/>
              </w:rPr>
            </w:pPr>
            <w:r w:rsidRPr="00E20366">
              <w:rPr>
                <w:rFonts w:cs="Open Sans"/>
                <w:color w:val="000000"/>
              </w:rPr>
              <w:t>Request for further information</w:t>
            </w:r>
          </w:p>
        </w:tc>
      </w:tr>
      <w:tr w:rsidR="003A4F41" w:rsidRPr="00E20366" w14:paraId="3D834C72" w14:textId="77777777" w:rsidTr="00E20366">
        <w:tc>
          <w:tcPr>
            <w:tcW w:w="882" w:type="pct"/>
            <w:tcBorders>
              <w:top w:val="nil"/>
              <w:bottom w:val="nil"/>
            </w:tcBorders>
            <w:shd w:val="clear" w:color="000000" w:fill="auto"/>
          </w:tcPr>
          <w:p w14:paraId="75F9AC74"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SA</w:t>
            </w:r>
          </w:p>
        </w:tc>
        <w:tc>
          <w:tcPr>
            <w:tcW w:w="4118" w:type="pct"/>
            <w:tcBorders>
              <w:top w:val="nil"/>
              <w:bottom w:val="nil"/>
            </w:tcBorders>
            <w:shd w:val="clear" w:color="000000" w:fill="auto"/>
          </w:tcPr>
          <w:p w14:paraId="0659C911"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South Australia</w:t>
            </w:r>
          </w:p>
        </w:tc>
      </w:tr>
      <w:tr w:rsidR="00E20366" w:rsidRPr="00E20366" w14:paraId="337B02B5" w14:textId="77777777" w:rsidTr="00E20366">
        <w:tc>
          <w:tcPr>
            <w:tcW w:w="882" w:type="pct"/>
            <w:tcBorders>
              <w:bottom w:val="nil"/>
            </w:tcBorders>
            <w:shd w:val="clear" w:color="000000" w:fill="E6E6E6"/>
          </w:tcPr>
          <w:p w14:paraId="57449ED5" w14:textId="1B87C71D" w:rsidR="00E20366" w:rsidRPr="00E20366" w:rsidRDefault="00E20366" w:rsidP="00E20366">
            <w:pPr>
              <w:pStyle w:val="TableBody"/>
              <w:spacing w:before="45" w:after="45"/>
              <w:ind w:right="108"/>
              <w:rPr>
                <w:rFonts w:cs="Open Sans"/>
                <w:b/>
                <w:bCs/>
                <w:color w:val="1D4374"/>
              </w:rPr>
            </w:pPr>
            <w:r w:rsidRPr="00E20366">
              <w:rPr>
                <w:rFonts w:cs="Open Sans"/>
                <w:b/>
                <w:bCs/>
                <w:color w:val="1D4374"/>
              </w:rPr>
              <w:t>SARA</w:t>
            </w:r>
          </w:p>
        </w:tc>
        <w:tc>
          <w:tcPr>
            <w:tcW w:w="4118" w:type="pct"/>
            <w:tcBorders>
              <w:bottom w:val="nil"/>
            </w:tcBorders>
            <w:shd w:val="clear" w:color="000000" w:fill="E6E6E6"/>
          </w:tcPr>
          <w:p w14:paraId="7E8E485D" w14:textId="4A6A9486" w:rsidR="00E20366" w:rsidRPr="00E20366" w:rsidRDefault="00E20366" w:rsidP="00E20366">
            <w:pPr>
              <w:pStyle w:val="TableBody"/>
              <w:spacing w:before="45" w:after="45"/>
              <w:ind w:right="108"/>
              <w:rPr>
                <w:rFonts w:cs="Open Sans"/>
                <w:color w:val="000000"/>
              </w:rPr>
            </w:pPr>
            <w:r w:rsidRPr="00E20366">
              <w:rPr>
                <w:rFonts w:cs="Open Sans"/>
                <w:color w:val="000000"/>
              </w:rPr>
              <w:t>State Assessment and Referral Agency (Queensland)</w:t>
            </w:r>
          </w:p>
        </w:tc>
      </w:tr>
      <w:tr w:rsidR="003A4F41" w:rsidRPr="00E20366" w14:paraId="5805A006" w14:textId="77777777" w:rsidTr="00E20366">
        <w:tc>
          <w:tcPr>
            <w:tcW w:w="882" w:type="pct"/>
            <w:tcBorders>
              <w:top w:val="nil"/>
              <w:bottom w:val="nil"/>
            </w:tcBorders>
            <w:shd w:val="clear" w:color="000000" w:fill="auto"/>
          </w:tcPr>
          <w:p w14:paraId="71187EE3"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SB 35</w:t>
            </w:r>
          </w:p>
        </w:tc>
        <w:tc>
          <w:tcPr>
            <w:tcW w:w="4118" w:type="pct"/>
            <w:tcBorders>
              <w:top w:val="nil"/>
              <w:bottom w:val="nil"/>
            </w:tcBorders>
            <w:shd w:val="clear" w:color="000000" w:fill="auto"/>
          </w:tcPr>
          <w:p w14:paraId="53C8C39F"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California’s Senate Bill No. 35</w:t>
            </w:r>
          </w:p>
        </w:tc>
      </w:tr>
      <w:tr w:rsidR="003A4F41" w:rsidRPr="00E20366" w14:paraId="17E9CCE6" w14:textId="77777777" w:rsidTr="00E20366">
        <w:tc>
          <w:tcPr>
            <w:tcW w:w="882" w:type="pct"/>
            <w:tcBorders>
              <w:bottom w:val="nil"/>
            </w:tcBorders>
            <w:shd w:val="clear" w:color="000000" w:fill="E6E6E6"/>
          </w:tcPr>
          <w:p w14:paraId="6AD8EA48"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USA</w:t>
            </w:r>
          </w:p>
        </w:tc>
        <w:tc>
          <w:tcPr>
            <w:tcW w:w="4118" w:type="pct"/>
            <w:tcBorders>
              <w:bottom w:val="nil"/>
            </w:tcBorders>
            <w:shd w:val="clear" w:color="000000" w:fill="E6E6E6"/>
          </w:tcPr>
          <w:p w14:paraId="1EA0BFC6"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United States of America</w:t>
            </w:r>
          </w:p>
        </w:tc>
      </w:tr>
      <w:tr w:rsidR="003A4F41" w:rsidRPr="00E20366" w14:paraId="57132418" w14:textId="77777777" w:rsidTr="00E20366">
        <w:tc>
          <w:tcPr>
            <w:tcW w:w="882" w:type="pct"/>
            <w:tcBorders>
              <w:top w:val="nil"/>
            </w:tcBorders>
            <w:shd w:val="clear" w:color="000000" w:fill="auto"/>
          </w:tcPr>
          <w:p w14:paraId="7F664F58" w14:textId="77777777" w:rsidR="003A4F41" w:rsidRPr="00E20366" w:rsidRDefault="003A4F41" w:rsidP="00E20366">
            <w:pPr>
              <w:pStyle w:val="TableBody"/>
              <w:spacing w:before="45" w:after="45"/>
              <w:ind w:right="108"/>
              <w:rPr>
                <w:rFonts w:cs="Open Sans"/>
                <w:b/>
                <w:bCs/>
                <w:color w:val="1D4374"/>
              </w:rPr>
            </w:pPr>
            <w:r w:rsidRPr="00E20366">
              <w:rPr>
                <w:rFonts w:cs="Open Sans"/>
                <w:b/>
                <w:bCs/>
                <w:color w:val="1D4374"/>
              </w:rPr>
              <w:t>WA</w:t>
            </w:r>
          </w:p>
        </w:tc>
        <w:tc>
          <w:tcPr>
            <w:tcW w:w="4118" w:type="pct"/>
            <w:tcBorders>
              <w:top w:val="nil"/>
            </w:tcBorders>
            <w:shd w:val="clear" w:color="000000" w:fill="auto"/>
          </w:tcPr>
          <w:p w14:paraId="12FEE13A" w14:textId="77777777" w:rsidR="003A4F41" w:rsidRPr="00E20366" w:rsidRDefault="003A4F41" w:rsidP="00E20366">
            <w:pPr>
              <w:pStyle w:val="TableBody"/>
              <w:spacing w:before="45" w:after="45"/>
              <w:ind w:right="108"/>
              <w:rPr>
                <w:rFonts w:cs="Open Sans"/>
                <w:color w:val="000000"/>
              </w:rPr>
            </w:pPr>
            <w:r w:rsidRPr="00E20366">
              <w:rPr>
                <w:rFonts w:cs="Open Sans"/>
                <w:color w:val="000000"/>
              </w:rPr>
              <w:t>Western Australia</w:t>
            </w:r>
          </w:p>
        </w:tc>
      </w:tr>
    </w:tbl>
    <w:p w14:paraId="7E25ED51" w14:textId="77777777" w:rsidR="00D05883" w:rsidRDefault="00D05883">
      <w:pPr>
        <w:pStyle w:val="BodyText"/>
      </w:pPr>
    </w:p>
    <w:p w14:paraId="5185845F" w14:textId="77777777" w:rsidR="00024801" w:rsidRDefault="00024801" w:rsidP="00E76EEC">
      <w:pPr>
        <w:pStyle w:val="BodyText"/>
        <w:sectPr w:rsidR="00024801" w:rsidSect="00AD7C25">
          <w:headerReference w:type="even" r:id="rId104"/>
          <w:headerReference w:type="default" r:id="rId105"/>
          <w:footerReference w:type="even" r:id="rId106"/>
          <w:footerReference w:type="default" r:id="rId107"/>
          <w:headerReference w:type="first" r:id="rId108"/>
          <w:pgSz w:w="11906" w:h="16838" w:code="9"/>
          <w:pgMar w:top="1134" w:right="1134" w:bottom="1134" w:left="1134" w:header="794" w:footer="510" w:gutter="0"/>
          <w:cols w:space="708"/>
          <w:docGrid w:linePitch="360"/>
        </w:sectPr>
      </w:pPr>
    </w:p>
    <w:p w14:paraId="4CF594C9" w14:textId="305233D0" w:rsidR="003C3B31" w:rsidRDefault="002B5B8A" w:rsidP="00770BD4">
      <w:pPr>
        <w:pStyle w:val="Heading1-nobackground"/>
      </w:pPr>
      <w:bookmarkStart w:id="46" w:name="_Toc235103168"/>
      <w:r>
        <w:lastRenderedPageBreak/>
        <w:t>References</w:t>
      </w:r>
      <w:bookmarkEnd w:id="46"/>
    </w:p>
    <w:p w14:paraId="0FD6AA69" w14:textId="77777777" w:rsidR="002F3244" w:rsidRDefault="002F3244" w:rsidP="00F86D6E">
      <w:pPr>
        <w:pStyle w:val="Reference"/>
      </w:pPr>
    </w:p>
    <w:p w14:paraId="218E5CA0" w14:textId="77777777" w:rsidR="002F3244" w:rsidRDefault="002F3244" w:rsidP="00F86D6E">
      <w:pPr>
        <w:pStyle w:val="Reference"/>
        <w:sectPr w:rsidR="002F3244" w:rsidSect="003A4F41">
          <w:type w:val="oddPage"/>
          <w:pgSz w:w="11906" w:h="16838" w:code="9"/>
          <w:pgMar w:top="1134" w:right="1134" w:bottom="1134" w:left="1134" w:header="794" w:footer="510" w:gutter="0"/>
          <w:cols w:space="708"/>
          <w:docGrid w:linePitch="360"/>
        </w:sectPr>
      </w:pPr>
    </w:p>
    <w:p w14:paraId="055854A5" w14:textId="78BE4654" w:rsidR="00947D43" w:rsidRDefault="00947D43" w:rsidP="00F86D6E">
      <w:pPr>
        <w:pStyle w:val="Reference"/>
      </w:pPr>
      <w:r>
        <w:t xml:space="preserve">ABCB (Australian Building Codes Board) 2025a, </w:t>
      </w:r>
      <w:r>
        <w:rPr>
          <w:i/>
          <w:iCs/>
        </w:rPr>
        <w:t>Modern methods of construction</w:t>
      </w:r>
      <w:r>
        <w:t>, Australian Government, https://www.abcb.gov.au/faq/modern-methods-construction (accessed 19 March 2026).</w:t>
      </w:r>
    </w:p>
    <w:p w14:paraId="28B3FB9C" w14:textId="089774DF" w:rsidR="00947D43" w:rsidRDefault="00947D43" w:rsidP="00F86D6E">
      <w:pPr>
        <w:pStyle w:val="Reference"/>
      </w:pPr>
      <w:r>
        <w:t>——</w:t>
      </w:r>
      <w:r w:rsidR="00822709">
        <w:t> </w:t>
      </w:r>
      <w:r>
        <w:t xml:space="preserve">2025b, </w:t>
      </w:r>
      <w:r>
        <w:rPr>
          <w:i/>
          <w:iCs/>
        </w:rPr>
        <w:t>National voluntary certification scheme for manufacturers of modern methods of construction</w:t>
      </w:r>
      <w:r>
        <w:t>, Issues paper, July.</w:t>
      </w:r>
    </w:p>
    <w:p w14:paraId="1BC855F5" w14:textId="5D0296EC" w:rsidR="00947D43" w:rsidRPr="00C56225" w:rsidRDefault="00947D43" w:rsidP="00F86D6E">
      <w:pPr>
        <w:pStyle w:val="Reference"/>
        <w:rPr>
          <w:spacing w:val="-2"/>
        </w:rPr>
      </w:pPr>
      <w:r w:rsidRPr="00C56225">
        <w:rPr>
          <w:spacing w:val="-2"/>
        </w:rPr>
        <w:t xml:space="preserve">ABS (Australian Bureau of Statistics) 2022, </w:t>
      </w:r>
      <w:r w:rsidRPr="00C56225">
        <w:rPr>
          <w:i/>
          <w:iCs/>
          <w:spacing w:val="-2"/>
        </w:rPr>
        <w:t>Land and housing supply indicators</w:t>
      </w:r>
      <w:r w:rsidRPr="00C56225">
        <w:rPr>
          <w:spacing w:val="-2"/>
        </w:rPr>
        <w:t>, https://www.abs.gov.au/statistics/industry/</w:t>
      </w:r>
      <w:r w:rsidR="00C56225">
        <w:rPr>
          <w:spacing w:val="-2"/>
        </w:rPr>
        <w:br/>
      </w:r>
      <w:r w:rsidRPr="00C56225">
        <w:rPr>
          <w:spacing w:val="-2"/>
        </w:rPr>
        <w:t>building-and-construction/land-and-housing-supply-indicators/latest-release (accessed 6 December 2026).</w:t>
      </w:r>
    </w:p>
    <w:p w14:paraId="6F965A03" w14:textId="51E25FB4" w:rsidR="00947D43" w:rsidRDefault="00947D43" w:rsidP="00F86D6E">
      <w:pPr>
        <w:pStyle w:val="Reference"/>
      </w:pPr>
      <w:r>
        <w:t xml:space="preserve">ACT Planning (Australian Capital Territory Planning) 2026, </w:t>
      </w:r>
      <w:r>
        <w:rPr>
          <w:i/>
          <w:iCs/>
        </w:rPr>
        <w:t>Missing middle housing reforms</w:t>
      </w:r>
      <w:r>
        <w:t>, https://www.planning.act.gov.au/planning-priorities/</w:t>
      </w:r>
      <w:r w:rsidR="00C56225">
        <w:br/>
      </w:r>
      <w:r>
        <w:t>missing-middle-housing-reforms (accessed 7 July 2026).</w:t>
      </w:r>
    </w:p>
    <w:p w14:paraId="76082643" w14:textId="77777777" w:rsidR="00947D43" w:rsidRDefault="00947D43" w:rsidP="00F86D6E">
      <w:pPr>
        <w:pStyle w:val="Reference"/>
      </w:pPr>
      <w:r>
        <w:t xml:space="preserve">AHURI (Australian Housing and Urban Research Institute) 2023, </w:t>
      </w:r>
      <w:r>
        <w:rPr>
          <w:i/>
          <w:iCs/>
        </w:rPr>
        <w:t xml:space="preserve">What is the difference between social housing and affordable housing - and why do they </w:t>
      </w:r>
      <w:proofErr w:type="gramStart"/>
      <w:r>
        <w:rPr>
          <w:i/>
          <w:iCs/>
        </w:rPr>
        <w:t>matter?</w:t>
      </w:r>
      <w:r>
        <w:t>,</w:t>
      </w:r>
      <w:proofErr w:type="gramEnd"/>
      <w:r>
        <w:t xml:space="preserve"> https://www.ahuri.edu.au/analysis/brief/what-difference-between-social-housing-and-affordable-housing-and-why-do-they-matter (accessed 30 June 2026).</w:t>
      </w:r>
    </w:p>
    <w:p w14:paraId="31B0DE3D" w14:textId="6B6BC45F" w:rsidR="00947D43" w:rsidRDefault="00947D43" w:rsidP="00F86D6E">
      <w:pPr>
        <w:pStyle w:val="Reference"/>
      </w:pPr>
      <w:r>
        <w:t xml:space="preserve">AIHW (Australian Institute of Health and Welfare) 2024, </w:t>
      </w:r>
      <w:r>
        <w:rPr>
          <w:i/>
          <w:iCs/>
        </w:rPr>
        <w:t>Determinants of health for First Nations people</w:t>
      </w:r>
      <w:r>
        <w:t>, Australian Institute of Health and Welfare, https://www.aihw.gov.au/</w:t>
      </w:r>
      <w:r w:rsidR="00C56225">
        <w:br/>
      </w:r>
      <w:r>
        <w:t>reports/australias-health/social-determinants-and-indigenous-health (accessed 19 June 2025).</w:t>
      </w:r>
    </w:p>
    <w:p w14:paraId="694A9469" w14:textId="6053D773" w:rsidR="00947D43" w:rsidRDefault="00947D43" w:rsidP="00F86D6E">
      <w:pPr>
        <w:pStyle w:val="Reference"/>
      </w:pPr>
      <w:r>
        <w:t>——</w:t>
      </w:r>
      <w:r w:rsidR="00822709">
        <w:t> </w:t>
      </w:r>
      <w:r>
        <w:t xml:space="preserve">2026, </w:t>
      </w:r>
      <w:r>
        <w:rPr>
          <w:i/>
          <w:iCs/>
        </w:rPr>
        <w:t>Housing assistance in Australia, Entries, exits and transfers</w:t>
      </w:r>
      <w:r>
        <w:t>, Australian Institute of Health and Welfare, https://www.aihw.gov.au/reports/housing-assistance/</w:t>
      </w:r>
      <w:r w:rsidR="00C56225">
        <w:br/>
      </w:r>
      <w:r>
        <w:t>housing-assistance-in-australia-2026/contents/entries-exits-and-transfers (accessed 14 July 2026).</w:t>
      </w:r>
    </w:p>
    <w:p w14:paraId="6D2C8092" w14:textId="77777777" w:rsidR="00947D43" w:rsidRDefault="00947D43" w:rsidP="00F86D6E">
      <w:pPr>
        <w:pStyle w:val="Reference"/>
      </w:pPr>
      <w:r>
        <w:t xml:space="preserve">—— and NIAA (Australian Institute of Health and Welfare and National Indigenous Australians Agency) 2026, </w:t>
      </w:r>
      <w:r>
        <w:rPr>
          <w:i/>
          <w:iCs/>
        </w:rPr>
        <w:t>2.02 Access to functional housing with utilities</w:t>
      </w:r>
      <w:r>
        <w:t>, AIHW Indigenous Housing Performance Framework, https://www.indigenoushpf.gov.au/measures/2-02-access-to-functional-housing-with-utilities (accessed 12 June 2026).</w:t>
      </w:r>
    </w:p>
    <w:p w14:paraId="5F4D479D" w14:textId="77777777" w:rsidR="00947D43" w:rsidRDefault="00947D43" w:rsidP="00F86D6E">
      <w:pPr>
        <w:pStyle w:val="Reference"/>
      </w:pPr>
      <w:proofErr w:type="spellStart"/>
      <w:r>
        <w:t>Anagol</w:t>
      </w:r>
      <w:proofErr w:type="spellEnd"/>
      <w:r>
        <w:t xml:space="preserve">, S, Ferreira, F and Rexer, J 2021, </w:t>
      </w:r>
      <w:r>
        <w:rPr>
          <w:i/>
          <w:iCs/>
        </w:rPr>
        <w:t>Estimating the economic value of zoning reform</w:t>
      </w:r>
      <w:r>
        <w:t>, Working Paper, 29440, National Bureau of Economic Research.</w:t>
      </w:r>
    </w:p>
    <w:p w14:paraId="32C14580" w14:textId="77777777" w:rsidR="00947D43" w:rsidRDefault="00947D43" w:rsidP="00F86D6E">
      <w:pPr>
        <w:pStyle w:val="Reference"/>
      </w:pPr>
      <w:r>
        <w:t xml:space="preserve">Anglicare Australia 2026, </w:t>
      </w:r>
      <w:r>
        <w:rPr>
          <w:i/>
          <w:iCs/>
        </w:rPr>
        <w:t>Rental affordability snapshot</w:t>
      </w:r>
      <w:r>
        <w:t>, National Report, 17, Anglicare Australia.</w:t>
      </w:r>
    </w:p>
    <w:p w14:paraId="3B9415D1" w14:textId="77777777" w:rsidR="00947D43" w:rsidRDefault="00947D43" w:rsidP="00F86D6E">
      <w:pPr>
        <w:pStyle w:val="Reference"/>
      </w:pPr>
      <w:proofErr w:type="spellStart"/>
      <w:r>
        <w:t>Anoulack</w:t>
      </w:r>
      <w:proofErr w:type="spellEnd"/>
      <w:r>
        <w:t xml:space="preserve">, C, Rose, J and Paul, S 2026, </w:t>
      </w:r>
      <w:r>
        <w:rPr>
          <w:i/>
          <w:iCs/>
        </w:rPr>
        <w:t>New building laws for a new era of approvals and modern methods of construction in NSW</w:t>
      </w:r>
      <w:r>
        <w:t>, media release, New South Wales Government, https://www.nsw.gov.au/ministerial-releases/reforms-introduced-supporting-modern-methods-of-construction (accessed 6 November 2026).</w:t>
      </w:r>
    </w:p>
    <w:p w14:paraId="3B15D65B" w14:textId="77777777" w:rsidR="00947D43" w:rsidRDefault="00947D43" w:rsidP="00F86D6E">
      <w:pPr>
        <w:pStyle w:val="Reference"/>
      </w:pPr>
      <w:r>
        <w:t xml:space="preserve">Australian Capital Territory Government and ACT Government 2025, </w:t>
      </w:r>
      <w:r>
        <w:rPr>
          <w:i/>
          <w:iCs/>
        </w:rPr>
        <w:t>Housing, land release and city planning</w:t>
      </w:r>
      <w:r>
        <w:t>.</w:t>
      </w:r>
    </w:p>
    <w:p w14:paraId="4FCD3C52" w14:textId="77777777" w:rsidR="00947D43" w:rsidRDefault="00947D43" w:rsidP="00F86D6E">
      <w:pPr>
        <w:pStyle w:val="Reference"/>
      </w:pPr>
      <w:r>
        <w:t xml:space="preserve">Barker, A 2019, </w:t>
      </w:r>
      <w:r>
        <w:rPr>
          <w:i/>
          <w:iCs/>
        </w:rPr>
        <w:t>Improving well-being through better housing policy in New Zealand</w:t>
      </w:r>
      <w:r>
        <w:t xml:space="preserve">, OECD Economics Department Working Papers, 11 </w:t>
      </w:r>
      <w:proofErr w:type="gramStart"/>
      <w:r>
        <w:t>September,</w:t>
      </w:r>
      <w:proofErr w:type="gramEnd"/>
      <w:r>
        <w:t xml:space="preserve"> 1565, OECD.</w:t>
      </w:r>
    </w:p>
    <w:p w14:paraId="0F8FF8C6" w14:textId="77777777" w:rsidR="00947D43" w:rsidRDefault="00947D43" w:rsidP="00F86D6E">
      <w:pPr>
        <w:pStyle w:val="Reference"/>
      </w:pPr>
      <w:r>
        <w:t xml:space="preserve">Been, V, Ellen, IG and O’Regan, K 2025, ‘Supply </w:t>
      </w:r>
      <w:proofErr w:type="spellStart"/>
      <w:r>
        <w:t>skepticism</w:t>
      </w:r>
      <w:proofErr w:type="spellEnd"/>
      <w:r>
        <w:t xml:space="preserve"> revisited’, Routledge, </w:t>
      </w:r>
      <w:r>
        <w:rPr>
          <w:i/>
          <w:iCs/>
        </w:rPr>
        <w:t>Housing Policy Debate</w:t>
      </w:r>
      <w:r>
        <w:t>, vol. 35, no. 1, pp. 96–113.</w:t>
      </w:r>
    </w:p>
    <w:p w14:paraId="21477562" w14:textId="468A1899" w:rsidR="00947D43" w:rsidRPr="00525F08" w:rsidRDefault="00947D43" w:rsidP="00F86D6E">
      <w:pPr>
        <w:pStyle w:val="Reference"/>
      </w:pPr>
      <w:r>
        <w:t xml:space="preserve">Behrens, D, Gibbons, T and Maltman, M </w:t>
      </w:r>
      <w:r w:rsidR="00426AF5">
        <w:t>2026</w:t>
      </w:r>
      <w:r>
        <w:t xml:space="preserve">, </w:t>
      </w:r>
      <w:r w:rsidRPr="004612E2">
        <w:rPr>
          <w:i/>
          <w:iCs/>
        </w:rPr>
        <w:t>What local land use reform does, and doesn’t, do</w:t>
      </w:r>
      <w:r w:rsidR="00525F08">
        <w:t>,</w:t>
      </w:r>
      <w:r w:rsidR="00525F08" w:rsidRPr="004612E2">
        <w:t xml:space="preserve"> e61 Working paper no.</w:t>
      </w:r>
      <w:r w:rsidR="004612E2">
        <w:t> </w:t>
      </w:r>
      <w:r w:rsidR="00525F08" w:rsidRPr="004612E2">
        <w:t>3</w:t>
      </w:r>
      <w:r w:rsidR="004922AC">
        <w:t xml:space="preserve">, </w:t>
      </w:r>
      <w:r w:rsidR="001A7406">
        <w:t>e61 Institute</w:t>
      </w:r>
      <w:r w:rsidRPr="00525F08">
        <w:t>.</w:t>
      </w:r>
    </w:p>
    <w:p w14:paraId="4D6F05F2" w14:textId="77777777" w:rsidR="00947D43" w:rsidRDefault="00947D43" w:rsidP="00F86D6E">
      <w:pPr>
        <w:pStyle w:val="Reference"/>
      </w:pPr>
      <w:r>
        <w:t xml:space="preserve">—— and Gilbert, E 2026, </w:t>
      </w:r>
      <w:r>
        <w:rPr>
          <w:i/>
          <w:iCs/>
        </w:rPr>
        <w:t>Against ‘affordable’ housing</w:t>
      </w:r>
      <w:r>
        <w:t>, Inflection Points, Inflection points, https://inflectionpoints.work/articles/against-affordable-housing (accessed 24 June 2026).</w:t>
      </w:r>
    </w:p>
    <w:p w14:paraId="3743EA7C" w14:textId="3E3A6908" w:rsidR="00947D43" w:rsidRDefault="00947D43" w:rsidP="00F86D6E">
      <w:pPr>
        <w:pStyle w:val="Reference"/>
      </w:pPr>
      <w:r>
        <w:t xml:space="preserve">Bennetts, N 2026, </w:t>
      </w:r>
      <w:r>
        <w:rPr>
          <w:i/>
          <w:iCs/>
        </w:rPr>
        <w:t>Auckland isn’t a simple story of blanket upzoning</w:t>
      </w:r>
      <w:r>
        <w:t>, The Fifth Estate, https://thefifthestate.com.au/</w:t>
      </w:r>
      <w:r w:rsidR="00C56225">
        <w:br/>
      </w:r>
      <w:r>
        <w:t>columns/spinifex/auckland-isnt-a-simple-story-of-blanket-upzoning/ (accessed 12 June 2026).</w:t>
      </w:r>
    </w:p>
    <w:p w14:paraId="43875B28" w14:textId="77777777" w:rsidR="00947D43" w:rsidRDefault="00947D43" w:rsidP="00F86D6E">
      <w:pPr>
        <w:pStyle w:val="Reference"/>
      </w:pPr>
      <w:r>
        <w:t xml:space="preserve">Bertaud, A 2024, </w:t>
      </w:r>
      <w:r>
        <w:rPr>
          <w:i/>
          <w:iCs/>
        </w:rPr>
        <w:t>Order without design</w:t>
      </w:r>
      <w:r>
        <w:t>, MIT Press.</w:t>
      </w:r>
    </w:p>
    <w:p w14:paraId="3AC0EBA4" w14:textId="77777777" w:rsidR="00947D43" w:rsidRDefault="00947D43" w:rsidP="00F86D6E">
      <w:pPr>
        <w:pStyle w:val="Reference"/>
      </w:pPr>
      <w:proofErr w:type="spellStart"/>
      <w:r>
        <w:t>Bolleter</w:t>
      </w:r>
      <w:proofErr w:type="spellEnd"/>
      <w:r>
        <w:t xml:space="preserve">, J, Edwards, N, Cameron, R and Hooper, P 2024, ‘Density my way: Community attitudes to neighbourhood densification scenarios’, </w:t>
      </w:r>
      <w:r>
        <w:rPr>
          <w:i/>
          <w:iCs/>
        </w:rPr>
        <w:t xml:space="preserve">Cities </w:t>
      </w:r>
      <w:proofErr w:type="gramStart"/>
      <w:r>
        <w:rPr>
          <w:i/>
          <w:iCs/>
        </w:rPr>
        <w:t>The</w:t>
      </w:r>
      <w:proofErr w:type="gramEnd"/>
      <w:r>
        <w:rPr>
          <w:i/>
          <w:iCs/>
        </w:rPr>
        <w:t xml:space="preserve"> International Journal of Urban Policy and Planning</w:t>
      </w:r>
      <w:r>
        <w:t>, vol. 145.</w:t>
      </w:r>
    </w:p>
    <w:p w14:paraId="161CD1D1" w14:textId="77777777" w:rsidR="00947D43" w:rsidRPr="00C56225" w:rsidRDefault="00947D43" w:rsidP="00F86D6E">
      <w:pPr>
        <w:pStyle w:val="Reference"/>
        <w:rPr>
          <w:spacing w:val="-4"/>
        </w:rPr>
      </w:pPr>
      <w:r w:rsidRPr="00C56225">
        <w:rPr>
          <w:spacing w:val="-4"/>
        </w:rPr>
        <w:t xml:space="preserve">Bratu, C, </w:t>
      </w:r>
      <w:proofErr w:type="spellStart"/>
      <w:r w:rsidRPr="00C56225">
        <w:rPr>
          <w:spacing w:val="-4"/>
        </w:rPr>
        <w:t>Harjunen</w:t>
      </w:r>
      <w:proofErr w:type="spellEnd"/>
      <w:r w:rsidRPr="00C56225">
        <w:rPr>
          <w:spacing w:val="-4"/>
        </w:rPr>
        <w:t xml:space="preserve">, O and </w:t>
      </w:r>
      <w:proofErr w:type="spellStart"/>
      <w:r w:rsidRPr="00C56225">
        <w:rPr>
          <w:spacing w:val="-4"/>
        </w:rPr>
        <w:t>Saarimaa</w:t>
      </w:r>
      <w:proofErr w:type="spellEnd"/>
      <w:r w:rsidRPr="00C56225">
        <w:rPr>
          <w:spacing w:val="-4"/>
        </w:rPr>
        <w:t xml:space="preserve">, T 2023, ‘JUE Insight: City-wide effects of new housing supply: Evidence from moving chains’, </w:t>
      </w:r>
      <w:r w:rsidRPr="00C56225">
        <w:rPr>
          <w:i/>
          <w:iCs/>
          <w:spacing w:val="-4"/>
        </w:rPr>
        <w:t>Journal of Urban Economics</w:t>
      </w:r>
      <w:r w:rsidRPr="00C56225">
        <w:rPr>
          <w:spacing w:val="-4"/>
        </w:rPr>
        <w:t>, vol. 133, p. 103528.</w:t>
      </w:r>
    </w:p>
    <w:p w14:paraId="6AA9ED3B" w14:textId="77777777" w:rsidR="00947D43" w:rsidRDefault="00947D43" w:rsidP="00F86D6E">
      <w:pPr>
        <w:pStyle w:val="Reference"/>
      </w:pPr>
      <w:r>
        <w:t xml:space="preserve">BRV (Better Regulation Victoria) 2019, </w:t>
      </w:r>
      <w:r>
        <w:rPr>
          <w:i/>
          <w:iCs/>
        </w:rPr>
        <w:t>Planning and building approvals process review</w:t>
      </w:r>
      <w:r>
        <w:t>.</w:t>
      </w:r>
    </w:p>
    <w:p w14:paraId="13FED404" w14:textId="77777777" w:rsidR="00947D43" w:rsidRDefault="00947D43" w:rsidP="00F86D6E">
      <w:pPr>
        <w:pStyle w:val="Reference"/>
      </w:pPr>
      <w:r>
        <w:t xml:space="preserve">Bryant, L, Bull, A, </w:t>
      </w:r>
      <w:proofErr w:type="spellStart"/>
      <w:r>
        <w:t>Streten</w:t>
      </w:r>
      <w:proofErr w:type="spellEnd"/>
      <w:r>
        <w:t xml:space="preserve">, E, Cheung, F and O’Neill, M 2026, </w:t>
      </w:r>
      <w:r>
        <w:rPr>
          <w:i/>
          <w:iCs/>
        </w:rPr>
        <w:t>Housing construction costs are already rising, increasing risks of builders going bust</w:t>
      </w:r>
      <w:r>
        <w:t>, The Conversation, https://theconversation.com/housing-construction-costs-are-already-rising-increasing-risks-of-builders-going-bust-279329 (accessed 16 June 2026).</w:t>
      </w:r>
    </w:p>
    <w:p w14:paraId="3218604A" w14:textId="77777777" w:rsidR="00947D43" w:rsidRDefault="00947D43" w:rsidP="00F86D6E">
      <w:pPr>
        <w:pStyle w:val="Reference"/>
      </w:pPr>
      <w:proofErr w:type="spellStart"/>
      <w:r>
        <w:t>Büchler</w:t>
      </w:r>
      <w:proofErr w:type="spellEnd"/>
      <w:r>
        <w:t xml:space="preserve">, S and Lutz, E 2024, ‘Making housing affordable? The local effects of relaxing land-use regulation’, </w:t>
      </w:r>
      <w:r>
        <w:rPr>
          <w:i/>
          <w:iCs/>
        </w:rPr>
        <w:t>Journal of Urban Economics</w:t>
      </w:r>
      <w:r>
        <w:t>, vol. 143, p. 103689.</w:t>
      </w:r>
    </w:p>
    <w:p w14:paraId="6C32D19E" w14:textId="77777777" w:rsidR="00947D43" w:rsidRDefault="00947D43" w:rsidP="00F86D6E">
      <w:pPr>
        <w:pStyle w:val="Reference"/>
      </w:pPr>
      <w:r>
        <w:t xml:space="preserve">Buxton, M, Hurley, J and Phelan, K 2015, </w:t>
      </w:r>
      <w:r>
        <w:rPr>
          <w:i/>
          <w:iCs/>
        </w:rPr>
        <w:t>Melbourne at 8 million:  Matching land supply to dwelling demand</w:t>
      </w:r>
      <w:r>
        <w:t>, October, RMIT Centre for Urban Research.</w:t>
      </w:r>
    </w:p>
    <w:p w14:paraId="74A09953" w14:textId="77753CF9" w:rsidR="00947D43" w:rsidRDefault="00947D43" w:rsidP="00F86D6E">
      <w:pPr>
        <w:pStyle w:val="Reference"/>
      </w:pPr>
      <w:r>
        <w:t xml:space="preserve">Car, P and Scully, P 2023, </w:t>
      </w:r>
      <w:r>
        <w:rPr>
          <w:i/>
          <w:iCs/>
        </w:rPr>
        <w:t>Focus on prevention to reduce risk to life during floods in the Hawkesbury-Nepean Valley</w:t>
      </w:r>
      <w:r>
        <w:t>, Ministerial media release, https://www.nsw.gov.au/</w:t>
      </w:r>
      <w:r w:rsidR="00C56225">
        <w:br/>
      </w:r>
      <w:r>
        <w:t>ministerial-releases/risk-reduction-during-floods-hawkesbury-nepean-valley (accessed 6 December 2026).</w:t>
      </w:r>
    </w:p>
    <w:p w14:paraId="5026F9F7" w14:textId="77777777" w:rsidR="00947D43" w:rsidRDefault="00947D43" w:rsidP="00F86D6E">
      <w:pPr>
        <w:pStyle w:val="Reference"/>
      </w:pPr>
      <w:r>
        <w:t xml:space="preserve">CBRE Research 2025, </w:t>
      </w:r>
      <w:r>
        <w:rPr>
          <w:i/>
          <w:iCs/>
        </w:rPr>
        <w:t>Apartment vacancy and rent outlook</w:t>
      </w:r>
      <w:r>
        <w:t>.</w:t>
      </w:r>
    </w:p>
    <w:p w14:paraId="02505978" w14:textId="77777777" w:rsidR="00947D43" w:rsidRDefault="00947D43" w:rsidP="00F86D6E">
      <w:pPr>
        <w:pStyle w:val="Reference"/>
      </w:pPr>
      <w:r>
        <w:t xml:space="preserve">CEDA (Committee for Economic Development of Australia) 2026, </w:t>
      </w:r>
      <w:r>
        <w:rPr>
          <w:i/>
          <w:iCs/>
        </w:rPr>
        <w:t>Built different: Modern methods of construction</w:t>
      </w:r>
      <w:r>
        <w:t>.</w:t>
      </w:r>
    </w:p>
    <w:p w14:paraId="5F84F0D0" w14:textId="77777777" w:rsidR="00947D43" w:rsidRDefault="00947D43" w:rsidP="00F86D6E">
      <w:pPr>
        <w:pStyle w:val="Reference"/>
      </w:pPr>
      <w:r>
        <w:t xml:space="preserve">Christie, H, Smith, SJ and Munro, M 2008, ‘The emotional economy of housing’, </w:t>
      </w:r>
      <w:r>
        <w:rPr>
          <w:i/>
          <w:iCs/>
        </w:rPr>
        <w:t>Environment and Planning A: Economy and Space</w:t>
      </w:r>
      <w:r>
        <w:t>, vol. 40, no. 10, pp. 2296–2312.</w:t>
      </w:r>
    </w:p>
    <w:p w14:paraId="0A173974" w14:textId="77777777" w:rsidR="00947D43" w:rsidRDefault="00947D43" w:rsidP="00F86D6E">
      <w:pPr>
        <w:pStyle w:val="Reference"/>
      </w:pPr>
      <w:r>
        <w:t xml:space="preserve">CIE (The Centre for International Economics) 2024, </w:t>
      </w:r>
      <w:r>
        <w:rPr>
          <w:i/>
          <w:iCs/>
        </w:rPr>
        <w:t xml:space="preserve">Cost and feasibility </w:t>
      </w:r>
      <w:proofErr w:type="gramStart"/>
      <w:r>
        <w:rPr>
          <w:i/>
          <w:iCs/>
        </w:rPr>
        <w:t>estimates</w:t>
      </w:r>
      <w:proofErr w:type="gramEnd"/>
      <w:r>
        <w:rPr>
          <w:i/>
          <w:iCs/>
        </w:rPr>
        <w:t xml:space="preserve"> for supplying new residential dwellings in New South Wales</w:t>
      </w:r>
      <w:r>
        <w:t>.</w:t>
      </w:r>
    </w:p>
    <w:p w14:paraId="3803D21C" w14:textId="7776F232" w:rsidR="00947D43" w:rsidRDefault="00947D43" w:rsidP="00F86D6E">
      <w:pPr>
        <w:pStyle w:val="Reference"/>
      </w:pPr>
      <w:r>
        <w:t>——</w:t>
      </w:r>
      <w:r w:rsidR="00822709">
        <w:t> </w:t>
      </w:r>
      <w:r>
        <w:t xml:space="preserve">2025, </w:t>
      </w:r>
      <w:r>
        <w:rPr>
          <w:i/>
          <w:iCs/>
        </w:rPr>
        <w:t>Costs of housing regulation in Queensland</w:t>
      </w:r>
      <w:r>
        <w:t>.</w:t>
      </w:r>
    </w:p>
    <w:p w14:paraId="05A05424" w14:textId="601459E6" w:rsidR="00947D43" w:rsidRPr="00DD6140" w:rsidRDefault="00947D43" w:rsidP="00F86D6E">
      <w:pPr>
        <w:pStyle w:val="Reference"/>
        <w:rPr>
          <w:spacing w:val="-4"/>
        </w:rPr>
      </w:pPr>
      <w:r w:rsidRPr="00DD6140">
        <w:rPr>
          <w:spacing w:val="-4"/>
        </w:rPr>
        <w:lastRenderedPageBreak/>
        <w:t xml:space="preserve">City of Melbourne 2018, </w:t>
      </w:r>
      <w:r w:rsidRPr="00DD6140">
        <w:rPr>
          <w:i/>
          <w:iCs/>
          <w:spacing w:val="-4"/>
        </w:rPr>
        <w:t>Car parking transport strategy 2030</w:t>
      </w:r>
      <w:r w:rsidRPr="00DD6140">
        <w:rPr>
          <w:spacing w:val="-4"/>
        </w:rPr>
        <w:t>, Participate Melbourne, https://participate.melbourne.vic.</w:t>
      </w:r>
      <w:r w:rsidR="00DB27FD">
        <w:rPr>
          <w:spacing w:val="-4"/>
        </w:rPr>
        <w:br/>
      </w:r>
      <w:r w:rsidRPr="00DD6140">
        <w:rPr>
          <w:spacing w:val="-4"/>
        </w:rPr>
        <w:t>gov.au/</w:t>
      </w:r>
      <w:proofErr w:type="spellStart"/>
      <w:r w:rsidRPr="00DD6140">
        <w:rPr>
          <w:spacing w:val="-4"/>
        </w:rPr>
        <w:t>transportstrategy</w:t>
      </w:r>
      <w:proofErr w:type="spellEnd"/>
      <w:r w:rsidRPr="00DD6140">
        <w:rPr>
          <w:spacing w:val="-4"/>
        </w:rPr>
        <w:t>/car-parking (accessed 11 June 2026).</w:t>
      </w:r>
    </w:p>
    <w:p w14:paraId="72C8A5FE" w14:textId="77777777" w:rsidR="00947D43" w:rsidRDefault="00947D43" w:rsidP="00F86D6E">
      <w:pPr>
        <w:pStyle w:val="Reference"/>
      </w:pPr>
      <w:r>
        <w:t xml:space="preserve">City of Parramatta 2026, </w:t>
      </w:r>
      <w:r>
        <w:rPr>
          <w:i/>
          <w:iCs/>
        </w:rPr>
        <w:t xml:space="preserve">Track an </w:t>
      </w:r>
      <w:proofErr w:type="gramStart"/>
      <w:r>
        <w:rPr>
          <w:i/>
          <w:iCs/>
        </w:rPr>
        <w:t>Application</w:t>
      </w:r>
      <w:proofErr w:type="gramEnd"/>
      <w:r>
        <w:t>, https://www.cityofparramatta.nsw.gov.au/development/development-applications/track-an-application (accessed 6 December 2026).</w:t>
      </w:r>
    </w:p>
    <w:p w14:paraId="1694F4F7" w14:textId="77777777" w:rsidR="00947D43" w:rsidRDefault="00947D43" w:rsidP="00F86D6E">
      <w:pPr>
        <w:pStyle w:val="Reference"/>
      </w:pPr>
      <w:r>
        <w:t xml:space="preserve">Coates, B 2025, </w:t>
      </w:r>
      <w:r>
        <w:rPr>
          <w:i/>
          <w:iCs/>
        </w:rPr>
        <w:t>Planning better cities</w:t>
      </w:r>
      <w:r>
        <w:t>, Grattan Institute, https://grattan.edu.au/news/planning-better-cities/ (accessed 13 March 2026).</w:t>
      </w:r>
    </w:p>
    <w:p w14:paraId="6B866C96" w14:textId="77777777" w:rsidR="00947D43" w:rsidRDefault="00947D43" w:rsidP="00F86D6E">
      <w:pPr>
        <w:pStyle w:val="Reference"/>
      </w:pPr>
      <w:r>
        <w:t xml:space="preserve">——, Moloney, J and Bowes, M 2025, </w:t>
      </w:r>
      <w:r>
        <w:rPr>
          <w:i/>
          <w:iCs/>
        </w:rPr>
        <w:t>More homes, better cities: Letting more people live where they want</w:t>
      </w:r>
      <w:r>
        <w:t>, Grattan Institute.</w:t>
      </w:r>
    </w:p>
    <w:p w14:paraId="1F00B3ED" w14:textId="77777777" w:rsidR="00947D43" w:rsidRDefault="00947D43" w:rsidP="00F86D6E">
      <w:pPr>
        <w:pStyle w:val="Reference"/>
      </w:pPr>
      <w:proofErr w:type="spellStart"/>
      <w:r>
        <w:t>Cotality</w:t>
      </w:r>
      <w:proofErr w:type="spellEnd"/>
      <w:r>
        <w:t xml:space="preserve"> 2025, </w:t>
      </w:r>
      <w:r>
        <w:rPr>
          <w:i/>
          <w:iCs/>
        </w:rPr>
        <w:t>Housing affordability report Australia</w:t>
      </w:r>
      <w:r>
        <w:t>, November.</w:t>
      </w:r>
    </w:p>
    <w:p w14:paraId="79034145" w14:textId="77777777" w:rsidR="00947D43" w:rsidRDefault="00947D43" w:rsidP="00F86D6E">
      <w:pPr>
        <w:pStyle w:val="Reference"/>
      </w:pPr>
      <w:r>
        <w:t xml:space="preserve">Croaker, T 2017, </w:t>
      </w:r>
      <w:r>
        <w:rPr>
          <w:i/>
          <w:iCs/>
        </w:rPr>
        <w:t>Clever 27 square metre unit named ‘Best Apartment’ in Australia</w:t>
      </w:r>
      <w:r>
        <w:t>, Domain, https://www.domain.com.au/news/clever-27-square-metre-unit-named-best-apartment-in-australia-20150731-gio44t/ (accessed 25 May 2026).</w:t>
      </w:r>
    </w:p>
    <w:p w14:paraId="0CEBDA6C" w14:textId="77777777" w:rsidR="00947D43" w:rsidRDefault="00947D43" w:rsidP="00F86D6E">
      <w:pPr>
        <w:pStyle w:val="Reference"/>
      </w:pPr>
      <w:r>
        <w:t xml:space="preserve">Dauth, Findeisen, Moretti and </w:t>
      </w:r>
      <w:proofErr w:type="spellStart"/>
      <w:r>
        <w:t>Suedekum</w:t>
      </w:r>
      <w:proofErr w:type="spellEnd"/>
      <w:r>
        <w:t xml:space="preserve"> 2022, ‘Matching in cities’, </w:t>
      </w:r>
      <w:r>
        <w:rPr>
          <w:i/>
          <w:iCs/>
        </w:rPr>
        <w:t>Journal of the European Economic Association</w:t>
      </w:r>
      <w:r>
        <w:t>, vol. 20, no. 4.</w:t>
      </w:r>
    </w:p>
    <w:p w14:paraId="4F271981" w14:textId="77777777" w:rsidR="00947D43" w:rsidRDefault="00947D43" w:rsidP="00F86D6E">
      <w:pPr>
        <w:pStyle w:val="Reference"/>
      </w:pPr>
      <w:r>
        <w:t xml:space="preserve">De Gruyter, C, Hooper, P and Foster, S 2023, ‘Do apartment residents have enough car parking? An empirical assessment of car parking adequacy in Australian cities’, </w:t>
      </w:r>
      <w:r>
        <w:rPr>
          <w:i/>
          <w:iCs/>
        </w:rPr>
        <w:t>Journal of Transport Geography</w:t>
      </w:r>
      <w:r>
        <w:t>, vol. 107, Article 103542.</w:t>
      </w:r>
    </w:p>
    <w:p w14:paraId="2A0A5384" w14:textId="77777777" w:rsidR="00947D43" w:rsidRDefault="00947D43" w:rsidP="00F86D6E">
      <w:pPr>
        <w:pStyle w:val="Reference"/>
      </w:pPr>
      <w:r>
        <w:t xml:space="preserve">DISR (Department of Industry, Science and Resources) 2024, </w:t>
      </w:r>
      <w:r>
        <w:rPr>
          <w:i/>
          <w:iCs/>
        </w:rPr>
        <w:t>Building Ministers’ Meeting: communiqué March 2024</w:t>
      </w:r>
      <w:r>
        <w:t>, https://webarchive.nla.gov.au/awa/20240612083215/https://www.industry.gov.au/news/building-ministers-meeting-communique-march-2024 (accessed 9 December 2024).</w:t>
      </w:r>
    </w:p>
    <w:p w14:paraId="6932A6C6" w14:textId="77777777" w:rsidR="00947D43" w:rsidRDefault="00947D43" w:rsidP="00F86D6E">
      <w:pPr>
        <w:pStyle w:val="Reference"/>
      </w:pPr>
      <w:r>
        <w:t xml:space="preserve">Donovan, S and Maltman, M 2025, ‘Dispelling myths: Reviewing the evidence on zoning reforms in Auckland’, </w:t>
      </w:r>
      <w:r>
        <w:rPr>
          <w:i/>
          <w:iCs/>
        </w:rPr>
        <w:t>Land Use Policy</w:t>
      </w:r>
      <w:r>
        <w:t>, vol. 151, p. 107498.</w:t>
      </w:r>
    </w:p>
    <w:p w14:paraId="5734E021" w14:textId="77777777" w:rsidR="00947D43" w:rsidRDefault="00947D43" w:rsidP="00F86D6E">
      <w:pPr>
        <w:pStyle w:val="Reference"/>
      </w:pPr>
      <w:proofErr w:type="spellStart"/>
      <w:r>
        <w:t>Duranton</w:t>
      </w:r>
      <w:proofErr w:type="spellEnd"/>
      <w:r>
        <w:t xml:space="preserve">, G and Puga, D 2020, ‘The economics of urban density’, </w:t>
      </w:r>
      <w:r>
        <w:rPr>
          <w:i/>
          <w:iCs/>
        </w:rPr>
        <w:t>Journal of Economic Perspectives</w:t>
      </w:r>
      <w:r>
        <w:t>, vol. 34, no. 3, pp. 3–26.</w:t>
      </w:r>
    </w:p>
    <w:p w14:paraId="228748E7" w14:textId="77777777" w:rsidR="00947D43" w:rsidRDefault="00947D43" w:rsidP="00F86D6E">
      <w:pPr>
        <w:pStyle w:val="Reference"/>
      </w:pPr>
      <w:r>
        <w:t>Fifer, S 2025, ‘The value of historic cultural heritage:  Insights from discrete choice experiments in New South Wales, Australia’.</w:t>
      </w:r>
    </w:p>
    <w:p w14:paraId="3B048382" w14:textId="77777777" w:rsidR="00947D43" w:rsidRDefault="00947D43" w:rsidP="00F86D6E">
      <w:pPr>
        <w:pStyle w:val="Reference"/>
      </w:pPr>
      <w:r>
        <w:t xml:space="preserve">Finance (Australian Government Department of Finance) 2026, </w:t>
      </w:r>
      <w:r>
        <w:rPr>
          <w:i/>
          <w:iCs/>
        </w:rPr>
        <w:t>Housing Australia Future Fund</w:t>
      </w:r>
      <w:r>
        <w:t>, Australian Government, https://www.finance.gov.au/government/australian-government-investment-funds/housing-australia-future-fund (accessed 30 June 2026).</w:t>
      </w:r>
    </w:p>
    <w:p w14:paraId="3735F7E8" w14:textId="77777777" w:rsidR="00947D43" w:rsidRPr="00830F96" w:rsidRDefault="00947D43" w:rsidP="00F86D6E">
      <w:pPr>
        <w:pStyle w:val="Reference"/>
        <w:rPr>
          <w:spacing w:val="-4"/>
        </w:rPr>
      </w:pPr>
      <w:r w:rsidRPr="00830F96">
        <w:rPr>
          <w:spacing w:val="-4"/>
        </w:rPr>
        <w:t xml:space="preserve">Flanagan, K, Glackin, S, Stone, W and McDonald, E 2026, </w:t>
      </w:r>
      <w:r w:rsidRPr="00830F96">
        <w:rPr>
          <w:i/>
          <w:iCs/>
          <w:spacing w:val="-4"/>
        </w:rPr>
        <w:t>Administering Australian housing policy: practitioner perspectives</w:t>
      </w:r>
      <w:r w:rsidRPr="00830F96">
        <w:rPr>
          <w:spacing w:val="-4"/>
        </w:rPr>
        <w:t>, 453, Australian Housing and Research Institute, pp. 1–76.</w:t>
      </w:r>
    </w:p>
    <w:p w14:paraId="2C74456A" w14:textId="77777777" w:rsidR="00947D43" w:rsidRDefault="00947D43" w:rsidP="00F86D6E">
      <w:pPr>
        <w:pStyle w:val="Reference"/>
      </w:pPr>
      <w:r>
        <w:t xml:space="preserve">Florence, E and Triscari, C 2024, </w:t>
      </w:r>
      <w:r>
        <w:rPr>
          <w:i/>
          <w:iCs/>
        </w:rPr>
        <w:t>Heritage protections in Victoria</w:t>
      </w:r>
      <w:r>
        <w:t>, Research Note, October, Parliamentary Library and Information Service.</w:t>
      </w:r>
    </w:p>
    <w:p w14:paraId="0397CDF3" w14:textId="77777777" w:rsidR="00947D43" w:rsidRDefault="00947D43" w:rsidP="00F86D6E">
      <w:pPr>
        <w:pStyle w:val="Reference"/>
      </w:pPr>
      <w:r>
        <w:t xml:space="preserve">Gallagher, R, Sigler, T, Wyeth, S and Liu, Y 2025, ‘Do housing preferences reduce feasibility of densification? Perspectives of planning and development experts and residents’, </w:t>
      </w:r>
      <w:r>
        <w:rPr>
          <w:i/>
          <w:iCs/>
        </w:rPr>
        <w:t>Australian Planner</w:t>
      </w:r>
      <w:r>
        <w:t>, vol. 61, no. 2.</w:t>
      </w:r>
    </w:p>
    <w:p w14:paraId="71C49FF7" w14:textId="77777777" w:rsidR="00947D43" w:rsidRDefault="00947D43" w:rsidP="00F86D6E">
      <w:pPr>
        <w:pStyle w:val="Reference"/>
      </w:pPr>
      <w:r>
        <w:t xml:space="preserve">Garvin, N 2026, </w:t>
      </w:r>
      <w:r>
        <w:rPr>
          <w:i/>
          <w:iCs/>
        </w:rPr>
        <w:t>When housing supply hits the market: Apartment presales and Sydney price trends</w:t>
      </w:r>
      <w:r>
        <w:t>, e61 Institute.</w:t>
      </w:r>
    </w:p>
    <w:p w14:paraId="1F39CBE1" w14:textId="77777777" w:rsidR="00947D43" w:rsidRDefault="00947D43" w:rsidP="00F86D6E">
      <w:pPr>
        <w:pStyle w:val="Reference"/>
      </w:pPr>
      <w:r>
        <w:t xml:space="preserve">Ge, K, Kulish, M and Maguire, L 2021, </w:t>
      </w:r>
      <w:r>
        <w:rPr>
          <w:i/>
          <w:iCs/>
        </w:rPr>
        <w:t xml:space="preserve">Sensitivity analysis on Sydney’s urban structure and house prices for the 2021 </w:t>
      </w:r>
      <w:r>
        <w:rPr>
          <w:i/>
          <w:iCs/>
        </w:rPr>
        <w:t>Intergenerational Report</w:t>
      </w:r>
      <w:r>
        <w:t>, January, Treasury Technical Research Paper Series.</w:t>
      </w:r>
    </w:p>
    <w:p w14:paraId="074F480A" w14:textId="77777777" w:rsidR="00947D43" w:rsidRDefault="00947D43" w:rsidP="00F86D6E">
      <w:pPr>
        <w:pStyle w:val="Reference"/>
      </w:pPr>
      <w:r>
        <w:t xml:space="preserve">Gilbert, C, Rowley, S, Gurran, N, Leishman, C, Mouritz, M, Raynor, K and Cornell, C 2020, </w:t>
      </w:r>
      <w:r>
        <w:rPr>
          <w:i/>
          <w:iCs/>
        </w:rPr>
        <w:t>Urban regulation and diverse housing supply: An investigative panel</w:t>
      </w:r>
      <w:r>
        <w:t>, AHURI Final Report, December, 349, Australian Housing and Urban Research Institute Limited.</w:t>
      </w:r>
    </w:p>
    <w:p w14:paraId="078B5E2F" w14:textId="77777777" w:rsidR="00947D43" w:rsidRPr="00830F96" w:rsidRDefault="00947D43" w:rsidP="00F86D6E">
      <w:pPr>
        <w:pStyle w:val="Reference"/>
        <w:rPr>
          <w:spacing w:val="-2"/>
        </w:rPr>
      </w:pPr>
      <w:r w:rsidRPr="00830F96">
        <w:rPr>
          <w:spacing w:val="-2"/>
        </w:rPr>
        <w:t xml:space="preserve">Gray, MN and Millsap, AA 2023, ‘Subdividing the unzoned city: An analysis of the causes and effects of Houston’s 1998 subdivision reform’, SAGE Publications Inc, </w:t>
      </w:r>
      <w:r w:rsidRPr="00830F96">
        <w:rPr>
          <w:i/>
          <w:iCs/>
          <w:spacing w:val="-2"/>
        </w:rPr>
        <w:t>Journal of Planning Education and Research</w:t>
      </w:r>
      <w:r w:rsidRPr="00830F96">
        <w:rPr>
          <w:spacing w:val="-2"/>
        </w:rPr>
        <w:t>, vol. 43, no. 4, pp. 990–1006.</w:t>
      </w:r>
    </w:p>
    <w:p w14:paraId="08A8ED8C" w14:textId="77777777" w:rsidR="00947D43" w:rsidRDefault="00947D43" w:rsidP="00F86D6E">
      <w:pPr>
        <w:pStyle w:val="Reference"/>
      </w:pPr>
      <w:r>
        <w:t xml:space="preserve">Greater Sydney Commission 2019, </w:t>
      </w:r>
      <w:r>
        <w:rPr>
          <w:i/>
          <w:iCs/>
        </w:rPr>
        <w:t>A city supported by infrastructure: Place-based infrastructure compact pilot</w:t>
      </w:r>
      <w:r>
        <w:t>.</w:t>
      </w:r>
    </w:p>
    <w:p w14:paraId="53ADB760" w14:textId="044E2DA5" w:rsidR="00947D43" w:rsidRDefault="00947D43" w:rsidP="00F86D6E">
      <w:pPr>
        <w:pStyle w:val="Reference"/>
      </w:pPr>
      <w:r>
        <w:t>——</w:t>
      </w:r>
      <w:r w:rsidR="00822709">
        <w:t> </w:t>
      </w:r>
      <w:r>
        <w:t xml:space="preserve">2020, </w:t>
      </w:r>
      <w:r>
        <w:rPr>
          <w:i/>
          <w:iCs/>
        </w:rPr>
        <w:t>Recommendations report. Place-based infrastructure compact pilot for greater Parramatta and the Olympic Peninsula</w:t>
      </w:r>
      <w:r>
        <w:t>.</w:t>
      </w:r>
    </w:p>
    <w:p w14:paraId="4A60BB76" w14:textId="77777777" w:rsidR="00947D43" w:rsidRPr="00830F96" w:rsidRDefault="00947D43" w:rsidP="00F86D6E">
      <w:pPr>
        <w:pStyle w:val="Reference"/>
        <w:rPr>
          <w:spacing w:val="-2"/>
        </w:rPr>
      </w:pPr>
      <w:r w:rsidRPr="00830F96">
        <w:rPr>
          <w:spacing w:val="-2"/>
        </w:rPr>
        <w:t xml:space="preserve">Greaves, SP, Bertoia, T, Biddle, T and Stopher, P 2006, ‘The costs of infill versus greenfield development – a review of recent literature’, </w:t>
      </w:r>
      <w:r w:rsidRPr="00830F96">
        <w:rPr>
          <w:i/>
          <w:iCs/>
          <w:spacing w:val="-2"/>
        </w:rPr>
        <w:t>29th Australasian Transport Research Forum</w:t>
      </w:r>
      <w:r w:rsidRPr="00830F96">
        <w:rPr>
          <w:spacing w:val="-2"/>
        </w:rPr>
        <w:t>.</w:t>
      </w:r>
    </w:p>
    <w:p w14:paraId="7C0472AF" w14:textId="77777777" w:rsidR="00947D43" w:rsidRDefault="00947D43" w:rsidP="00F86D6E">
      <w:pPr>
        <w:pStyle w:val="Reference"/>
      </w:pPr>
      <w:r>
        <w:t xml:space="preserve">Greenaway-McGrevy, R 2025, ‘Evaluating the long-run effects of zoning reform on urban development’, </w:t>
      </w:r>
      <w:r>
        <w:rPr>
          <w:i/>
          <w:iCs/>
        </w:rPr>
        <w:t>Regional Science and Urban Economics</w:t>
      </w:r>
      <w:r>
        <w:t>, vol. 111.</w:t>
      </w:r>
    </w:p>
    <w:p w14:paraId="51B09517" w14:textId="3438491E" w:rsidR="00947D43" w:rsidRDefault="00947D43" w:rsidP="00F86D6E">
      <w:pPr>
        <w:pStyle w:val="Reference"/>
      </w:pPr>
      <w:r>
        <w:t>——</w:t>
      </w:r>
      <w:r w:rsidR="00822709">
        <w:t> </w:t>
      </w:r>
      <w:r>
        <w:t xml:space="preserve">2026, ‘Can zoning reform increase housing construction? Evidence from Auckland’, </w:t>
      </w:r>
      <w:r>
        <w:rPr>
          <w:i/>
          <w:iCs/>
        </w:rPr>
        <w:t>Economic Modelling</w:t>
      </w:r>
      <w:r>
        <w:t>, vol. 160, p. 107592.</w:t>
      </w:r>
    </w:p>
    <w:p w14:paraId="7E547462" w14:textId="77777777" w:rsidR="00947D43" w:rsidRPr="00830F96" w:rsidRDefault="00947D43" w:rsidP="00F86D6E">
      <w:pPr>
        <w:pStyle w:val="Reference"/>
        <w:rPr>
          <w:spacing w:val="-4"/>
        </w:rPr>
      </w:pPr>
      <w:r w:rsidRPr="00830F96">
        <w:rPr>
          <w:spacing w:val="-4"/>
        </w:rPr>
        <w:t xml:space="preserve">—— and Jones, JA 2025a, ‘Can zoning reform change urban development patterns? Evidence from Auckland’, SAGE Publications Ltd, </w:t>
      </w:r>
      <w:r w:rsidRPr="00830F96">
        <w:rPr>
          <w:i/>
          <w:iCs/>
          <w:spacing w:val="-4"/>
        </w:rPr>
        <w:t>Urban Studies</w:t>
      </w:r>
      <w:r w:rsidRPr="00830F96">
        <w:rPr>
          <w:spacing w:val="-4"/>
        </w:rPr>
        <w:t>, vol. 62, no. 12, pp. 2415–2435.</w:t>
      </w:r>
    </w:p>
    <w:p w14:paraId="0901DC6D" w14:textId="07F2D4F7" w:rsidR="00947D43" w:rsidRPr="00184FF3" w:rsidRDefault="00947D43" w:rsidP="00F86D6E">
      <w:pPr>
        <w:pStyle w:val="Reference"/>
        <w:rPr>
          <w:spacing w:val="-4"/>
        </w:rPr>
      </w:pPr>
      <w:r w:rsidRPr="00184FF3">
        <w:rPr>
          <w:spacing w:val="-4"/>
        </w:rPr>
        <w:t>—— and ——</w:t>
      </w:r>
      <w:r w:rsidR="00822709" w:rsidRPr="00184FF3">
        <w:rPr>
          <w:spacing w:val="-4"/>
        </w:rPr>
        <w:t> </w:t>
      </w:r>
      <w:r w:rsidRPr="00184FF3">
        <w:rPr>
          <w:spacing w:val="-4"/>
        </w:rPr>
        <w:t xml:space="preserve">2025b, ‘The welfare effects of character protections on neighbourhoods’, Wiley-Blackwell, </w:t>
      </w:r>
      <w:r w:rsidRPr="00184FF3">
        <w:rPr>
          <w:i/>
          <w:iCs/>
          <w:spacing w:val="-4"/>
        </w:rPr>
        <w:t>Economic Society Australia Economic Record</w:t>
      </w:r>
      <w:r w:rsidRPr="00184FF3">
        <w:rPr>
          <w:spacing w:val="-4"/>
        </w:rPr>
        <w:t>, vol. 101, no. 333, pp. 203–232.</w:t>
      </w:r>
    </w:p>
    <w:p w14:paraId="2771E8C9" w14:textId="77777777" w:rsidR="00947D43" w:rsidRDefault="00947D43" w:rsidP="00F86D6E">
      <w:pPr>
        <w:pStyle w:val="Reference"/>
      </w:pPr>
      <w:r>
        <w:t xml:space="preserve">—— and Phillips, PCB 2023, ‘The impact of upzoning on housing construction in Auckland’, </w:t>
      </w:r>
      <w:r>
        <w:rPr>
          <w:i/>
          <w:iCs/>
        </w:rPr>
        <w:t>Journal of Urban Economics</w:t>
      </w:r>
      <w:r>
        <w:t>, vol. 136, p. 103555.</w:t>
      </w:r>
    </w:p>
    <w:p w14:paraId="57FC40C8" w14:textId="1D25C427" w:rsidR="00947D43" w:rsidRDefault="00947D43" w:rsidP="00F86D6E">
      <w:pPr>
        <w:pStyle w:val="Reference"/>
      </w:pPr>
      <w:r>
        <w:t>—— and So, Y 202</w:t>
      </w:r>
      <w:r w:rsidR="00A7456D">
        <w:t>6</w:t>
      </w:r>
      <w:r>
        <w:t xml:space="preserve">, </w:t>
      </w:r>
      <w:r w:rsidR="005F6688">
        <w:t>‘</w:t>
      </w:r>
      <w:r>
        <w:rPr>
          <w:i/>
          <w:iCs/>
        </w:rPr>
        <w:t>Can zoning reform reduce housing costs? Evidence from rents in Auckland</w:t>
      </w:r>
      <w:r w:rsidR="005F6688">
        <w:rPr>
          <w:i/>
          <w:iCs/>
        </w:rPr>
        <w:t>’</w:t>
      </w:r>
      <w:r>
        <w:t xml:space="preserve">, </w:t>
      </w:r>
      <w:r w:rsidR="005F6688" w:rsidRPr="005F6688">
        <w:rPr>
          <w:i/>
          <w:iCs/>
        </w:rPr>
        <w:t>Economic</w:t>
      </w:r>
      <w:r w:rsidR="00C3457D" w:rsidRPr="005F6688">
        <w:rPr>
          <w:i/>
          <w:iCs/>
        </w:rPr>
        <w:t xml:space="preserve"> Inquiry</w:t>
      </w:r>
      <w:r>
        <w:t>.</w:t>
      </w:r>
    </w:p>
    <w:p w14:paraId="034E29BA" w14:textId="77777777" w:rsidR="00947D43" w:rsidRDefault="00947D43" w:rsidP="00F86D6E">
      <w:pPr>
        <w:pStyle w:val="Reference"/>
      </w:pPr>
      <w:r>
        <w:t xml:space="preserve">Gurran, N, Rowley, S, Milligan, V, Randolph, B, Phibbs, P, Gilbert, C, James, A, Troy, L and Van Den Nouwelant, R 2018, </w:t>
      </w:r>
      <w:r>
        <w:rPr>
          <w:i/>
          <w:iCs/>
        </w:rPr>
        <w:t>Inquiry into increasing affordable housing supply: Evidence-based principles and strategies for Australian policy and practice</w:t>
      </w:r>
      <w:r>
        <w:t>, AHURI Final Report, May, 300, Australian Housing and Urban Research Institute Limited.</w:t>
      </w:r>
    </w:p>
    <w:p w14:paraId="68A37BB7" w14:textId="77777777" w:rsidR="00947D43" w:rsidRDefault="00947D43" w:rsidP="00F86D6E">
      <w:pPr>
        <w:pStyle w:val="Reference"/>
      </w:pPr>
      <w:r>
        <w:t xml:space="preserve">Hamilton Bardin 2026, </w:t>
      </w:r>
      <w:r>
        <w:rPr>
          <w:i/>
          <w:iCs/>
        </w:rPr>
        <w:t>The impact of interest rates on home building in Melbourne</w:t>
      </w:r>
      <w:r>
        <w:t>, https://hamiltonbardin.com.au/the-impact-of-interest-rates-on-home-building-in-melbourne/ (accessed 2 July 2026).</w:t>
      </w:r>
    </w:p>
    <w:p w14:paraId="62CE0FB2" w14:textId="77777777" w:rsidR="00947D43" w:rsidRDefault="00947D43" w:rsidP="00F86D6E">
      <w:pPr>
        <w:pStyle w:val="Reference"/>
      </w:pPr>
      <w:r>
        <w:t xml:space="preserve">Hamilton, C and Kellett, J 2017, ‘Cost comparison of infrastructure on greenfield and infill sites’, </w:t>
      </w:r>
      <w:r>
        <w:rPr>
          <w:i/>
          <w:iCs/>
        </w:rPr>
        <w:t>Urban Policy and Research</w:t>
      </w:r>
      <w:r>
        <w:t>, vol. 35, no. 3, pp. 248–260.</w:t>
      </w:r>
    </w:p>
    <w:p w14:paraId="163D05F2" w14:textId="77777777" w:rsidR="00947D43" w:rsidRDefault="00947D43" w:rsidP="00F86D6E">
      <w:pPr>
        <w:pStyle w:val="Reference"/>
      </w:pPr>
      <w:r>
        <w:t xml:space="preserve">Han, L, Peng, C and Xu, Z 2022, ‘The effect of commuting time on quality of life: Evidence from </w:t>
      </w:r>
      <w:proofErr w:type="spellStart"/>
      <w:r>
        <w:t>china</w:t>
      </w:r>
      <w:proofErr w:type="spellEnd"/>
      <w:r>
        <w:t xml:space="preserve">’, </w:t>
      </w:r>
      <w:r>
        <w:rPr>
          <w:i/>
          <w:iCs/>
        </w:rPr>
        <w:t>International Journal of Environmental Research and Public Health</w:t>
      </w:r>
      <w:r>
        <w:t>, vol. 20, no. 1, p. 573.</w:t>
      </w:r>
    </w:p>
    <w:p w14:paraId="3E19C611" w14:textId="77777777" w:rsidR="00947D43" w:rsidRPr="00184FF3" w:rsidRDefault="00947D43" w:rsidP="00F86D6E">
      <w:pPr>
        <w:pStyle w:val="Reference"/>
        <w:rPr>
          <w:spacing w:val="-4"/>
        </w:rPr>
      </w:pPr>
      <w:r w:rsidRPr="00184FF3">
        <w:rPr>
          <w:spacing w:val="-4"/>
        </w:rPr>
        <w:t xml:space="preserve">Hanrahan, C and Gock, K 2022, ‘Sydney property development with no sewerage connection turns dream into nightmare’, </w:t>
      </w:r>
      <w:r w:rsidRPr="00184FF3">
        <w:rPr>
          <w:i/>
          <w:iCs/>
          <w:spacing w:val="-4"/>
        </w:rPr>
        <w:t>Australian Broadcasting Commission</w:t>
      </w:r>
      <w:r w:rsidRPr="00184FF3">
        <w:rPr>
          <w:spacing w:val="-4"/>
        </w:rPr>
        <w:t>, 23 February.</w:t>
      </w:r>
    </w:p>
    <w:p w14:paraId="7DD05A01" w14:textId="63093C15" w:rsidR="00947D43" w:rsidRDefault="00947D43" w:rsidP="00F86D6E">
      <w:pPr>
        <w:pStyle w:val="Reference"/>
      </w:pPr>
      <w:r>
        <w:t xml:space="preserve">Heritage Council Victoria 2023, </w:t>
      </w:r>
      <w:r>
        <w:rPr>
          <w:i/>
          <w:iCs/>
        </w:rPr>
        <w:t>Heritage information pack</w:t>
      </w:r>
      <w:r>
        <w:t>, https://www.heritagecouncil.vic.gov.au/research-guidance/</w:t>
      </w:r>
      <w:r w:rsidR="00184FF3">
        <w:br/>
      </w:r>
      <w:r>
        <w:t>heritage-information-pack (accessed 25 May 2026).</w:t>
      </w:r>
    </w:p>
    <w:p w14:paraId="3D19E4C8" w14:textId="77777777" w:rsidR="00947D43" w:rsidRDefault="00947D43" w:rsidP="00F86D6E">
      <w:pPr>
        <w:pStyle w:val="Reference"/>
      </w:pPr>
      <w:r>
        <w:t xml:space="preserve">Hewitt, J and Hill, S 2017, </w:t>
      </w:r>
      <w:r>
        <w:rPr>
          <w:i/>
          <w:iCs/>
        </w:rPr>
        <w:t xml:space="preserve">A Sirius misunderstanding: Millers Point Community Assoc. Incorporated v Property NSW [2017] </w:t>
      </w:r>
      <w:r>
        <w:rPr>
          <w:i/>
          <w:iCs/>
        </w:rPr>
        <w:lastRenderedPageBreak/>
        <w:t>NSWLEC 92</w:t>
      </w:r>
      <w:r>
        <w:t>, HWLE Lawyers, https://hwlebsworth.com.au/a-sirius-misunderstanding-millers-point-community-assoc-incorporated-v-property-nsw-2017-nswlec-92/ (accessed 10 June 2026).</w:t>
      </w:r>
    </w:p>
    <w:p w14:paraId="256A8F6B" w14:textId="77777777" w:rsidR="00947D43" w:rsidRDefault="00947D43" w:rsidP="00F86D6E">
      <w:pPr>
        <w:pStyle w:val="Reference"/>
      </w:pPr>
      <w:r>
        <w:t xml:space="preserve">HIA (Housing Industry Association) 2021, </w:t>
      </w:r>
      <w:r>
        <w:rPr>
          <w:i/>
          <w:iCs/>
        </w:rPr>
        <w:t>Submission to NSW Government proposed statutory amendments local character provision explanation of intended effect</w:t>
      </w:r>
      <w:r>
        <w:t>.</w:t>
      </w:r>
    </w:p>
    <w:p w14:paraId="040CCFA5" w14:textId="3EE4C592" w:rsidR="00947D43" w:rsidRDefault="00947D43" w:rsidP="00F86D6E">
      <w:pPr>
        <w:pStyle w:val="Reference"/>
      </w:pPr>
      <w:r>
        <w:t>——</w:t>
      </w:r>
      <w:r w:rsidR="00822709">
        <w:t> </w:t>
      </w:r>
      <w:r>
        <w:t xml:space="preserve">2025a, </w:t>
      </w:r>
      <w:r>
        <w:rPr>
          <w:i/>
          <w:iCs/>
        </w:rPr>
        <w:t>HIA feedback on the interim report - Productivity of the construction industry</w:t>
      </w:r>
      <w:r>
        <w:t>, p. 20.</w:t>
      </w:r>
    </w:p>
    <w:p w14:paraId="7A86A343" w14:textId="7BAAC72B" w:rsidR="00947D43" w:rsidRDefault="00947D43" w:rsidP="00F86D6E">
      <w:pPr>
        <w:pStyle w:val="Reference"/>
      </w:pPr>
      <w:r>
        <w:t>——</w:t>
      </w:r>
      <w:r w:rsidR="00822709">
        <w:t> </w:t>
      </w:r>
      <w:r>
        <w:t xml:space="preserve">2025b, </w:t>
      </w:r>
      <w:r>
        <w:rPr>
          <w:i/>
          <w:iCs/>
        </w:rPr>
        <w:t>Off-the-plan contracts and obsolete restrictive covenants: Consultation on the proposed reforms</w:t>
      </w:r>
      <w:r>
        <w:t>, HIA.</w:t>
      </w:r>
    </w:p>
    <w:p w14:paraId="1A3235A2" w14:textId="5130A64F" w:rsidR="00947D43" w:rsidRDefault="00947D43" w:rsidP="00F86D6E">
      <w:pPr>
        <w:pStyle w:val="Reference"/>
      </w:pPr>
      <w:r>
        <w:t>——</w:t>
      </w:r>
      <w:r w:rsidR="00822709">
        <w:t> </w:t>
      </w:r>
      <w:r>
        <w:t xml:space="preserve">2026a, </w:t>
      </w:r>
      <w:r>
        <w:rPr>
          <w:i/>
          <w:iCs/>
        </w:rPr>
        <w:t>2026 small business conditions survey</w:t>
      </w:r>
      <w:r>
        <w:t>, February.</w:t>
      </w:r>
    </w:p>
    <w:p w14:paraId="134037BC" w14:textId="2156D65A" w:rsidR="00947D43" w:rsidRDefault="00947D43" w:rsidP="00F86D6E">
      <w:pPr>
        <w:pStyle w:val="Reference"/>
      </w:pPr>
      <w:r>
        <w:t>——</w:t>
      </w:r>
      <w:r w:rsidR="00822709">
        <w:t> </w:t>
      </w:r>
      <w:r>
        <w:t xml:space="preserve">2026b, </w:t>
      </w:r>
      <w:r>
        <w:rPr>
          <w:i/>
          <w:iCs/>
        </w:rPr>
        <w:t>HIA Planning Blueprint Scorecard</w:t>
      </w:r>
      <w:r>
        <w:t>, Version 2.</w:t>
      </w:r>
    </w:p>
    <w:p w14:paraId="21A6DD66" w14:textId="58908CD8" w:rsidR="00947D43" w:rsidRDefault="00947D43" w:rsidP="00F86D6E">
      <w:pPr>
        <w:pStyle w:val="Reference"/>
      </w:pPr>
      <w:r>
        <w:t>——</w:t>
      </w:r>
      <w:r w:rsidR="00822709">
        <w:t> </w:t>
      </w:r>
      <w:r>
        <w:t xml:space="preserve">2026c, </w:t>
      </w:r>
      <w:r>
        <w:rPr>
          <w:i/>
          <w:iCs/>
        </w:rPr>
        <w:t>Increasing gentle density: Unlocking subdivision</w:t>
      </w:r>
      <w:r>
        <w:t>, March.</w:t>
      </w:r>
    </w:p>
    <w:p w14:paraId="19884B14" w14:textId="77777777" w:rsidR="00947D43" w:rsidRDefault="00947D43" w:rsidP="00F86D6E">
      <w:pPr>
        <w:pStyle w:val="Reference"/>
      </w:pPr>
      <w:r>
        <w:t xml:space="preserve">van </w:t>
      </w:r>
      <w:proofErr w:type="spellStart"/>
      <w:r>
        <w:t>Hoenselaar</w:t>
      </w:r>
      <w:proofErr w:type="spellEnd"/>
      <w:r>
        <w:t xml:space="preserve">, F, </w:t>
      </w:r>
      <w:proofErr w:type="spellStart"/>
      <w:r>
        <w:t>Cournede</w:t>
      </w:r>
      <w:proofErr w:type="spellEnd"/>
      <w:r>
        <w:t xml:space="preserve">, B, De Pace, F and Ziemann, V 2021, </w:t>
      </w:r>
      <w:r>
        <w:rPr>
          <w:i/>
          <w:iCs/>
        </w:rPr>
        <w:t>Mortgage finance across OECD countries</w:t>
      </w:r>
      <w:r>
        <w:t>, OECD Economics Department Working Papers, 14 December, vol 1693, 1693, OECD Economics Department Working Papers.</w:t>
      </w:r>
    </w:p>
    <w:p w14:paraId="1CB4FA83" w14:textId="77777777" w:rsidR="00947D43" w:rsidRDefault="00947D43" w:rsidP="00F86D6E">
      <w:pPr>
        <w:pStyle w:val="Reference"/>
      </w:pPr>
      <w:r>
        <w:t xml:space="preserve">Houses 2015, </w:t>
      </w:r>
      <w:r>
        <w:rPr>
          <w:i/>
          <w:iCs/>
        </w:rPr>
        <w:t>Darlinghurst apartment by Brad Swartz: Apartment or unit 2015</w:t>
      </w:r>
      <w:r>
        <w:t>, Houses, Houses Awards, https://housesawards.com.au/gallery/2015/apartment-or-unit/4QNYBOP6408 (accessed 25 May 2026).</w:t>
      </w:r>
    </w:p>
    <w:p w14:paraId="65FB2890" w14:textId="107EDA78" w:rsidR="00947D43" w:rsidRDefault="00947D43" w:rsidP="00F86D6E">
      <w:pPr>
        <w:pStyle w:val="Reference"/>
      </w:pPr>
      <w:r>
        <w:t>——</w:t>
      </w:r>
      <w:r w:rsidR="00822709">
        <w:t> </w:t>
      </w:r>
      <w:r>
        <w:t xml:space="preserve">2026, </w:t>
      </w:r>
      <w:r>
        <w:rPr>
          <w:i/>
          <w:iCs/>
        </w:rPr>
        <w:t>Introduction</w:t>
      </w:r>
      <w:r>
        <w:t>, Houses Awards, https://housesawards.com.au/about (accessed 7 July 2026).</w:t>
      </w:r>
    </w:p>
    <w:p w14:paraId="6F500642" w14:textId="77777777" w:rsidR="00947D43" w:rsidRDefault="00947D43" w:rsidP="00F86D6E">
      <w:pPr>
        <w:pStyle w:val="Reference"/>
      </w:pPr>
      <w:r>
        <w:t xml:space="preserve">Infrastructure Victoria 2019, </w:t>
      </w:r>
      <w:r>
        <w:rPr>
          <w:i/>
          <w:iCs/>
        </w:rPr>
        <w:t>Infrastructure provision in different development settings</w:t>
      </w:r>
      <w:r>
        <w:t>, Metropolitan Melbourne: Volume 1 technical paper.</w:t>
      </w:r>
    </w:p>
    <w:p w14:paraId="6C0D0C08" w14:textId="77777777" w:rsidR="00947D43" w:rsidRDefault="00947D43" w:rsidP="00F86D6E">
      <w:pPr>
        <w:pStyle w:val="Reference"/>
      </w:pPr>
      <w:r>
        <w:t xml:space="preserve">Inner West Council 2025, </w:t>
      </w:r>
      <w:r>
        <w:rPr>
          <w:i/>
          <w:iCs/>
        </w:rPr>
        <w:t xml:space="preserve">Our fairer </w:t>
      </w:r>
      <w:proofErr w:type="gramStart"/>
      <w:r>
        <w:rPr>
          <w:i/>
          <w:iCs/>
        </w:rPr>
        <w:t>future plan</w:t>
      </w:r>
      <w:proofErr w:type="gramEnd"/>
      <w:r>
        <w:rPr>
          <w:i/>
          <w:iCs/>
        </w:rPr>
        <w:t>: Council’s approach for new housing in the Inner West</w:t>
      </w:r>
      <w:r>
        <w:t>, November.</w:t>
      </w:r>
    </w:p>
    <w:p w14:paraId="4B938B10" w14:textId="77777777" w:rsidR="00947D43" w:rsidRDefault="00947D43" w:rsidP="00F86D6E">
      <w:pPr>
        <w:pStyle w:val="Reference"/>
      </w:pPr>
      <w:r>
        <w:t xml:space="preserve">Jenner, K and Tulip, P 2020, </w:t>
      </w:r>
      <w:r>
        <w:rPr>
          <w:i/>
          <w:iCs/>
        </w:rPr>
        <w:t>The apartment shortage</w:t>
      </w:r>
      <w:r>
        <w:t>, Research Discussion Paper, Reserve Bank of Australia.</w:t>
      </w:r>
    </w:p>
    <w:p w14:paraId="764ABDE6" w14:textId="742CF55E" w:rsidR="00947D43" w:rsidRDefault="00947D43" w:rsidP="00F86D6E">
      <w:pPr>
        <w:pStyle w:val="Reference"/>
      </w:pPr>
      <w:r>
        <w:t xml:space="preserve">Joint Council 2020, </w:t>
      </w:r>
      <w:r>
        <w:rPr>
          <w:i/>
          <w:iCs/>
        </w:rPr>
        <w:t>National Agreement on Closing the Gap</w:t>
      </w:r>
      <w:r>
        <w:t>, Australian Government, https://www.closingthegap.gov.au/</w:t>
      </w:r>
      <w:r w:rsidR="005860B4">
        <w:br/>
      </w:r>
      <w:r>
        <w:t>national-agreement/national-agreement-closing-the-gap (accessed 30 June 2026).</w:t>
      </w:r>
    </w:p>
    <w:p w14:paraId="2C641FA2" w14:textId="77777777" w:rsidR="00947D43" w:rsidRDefault="00947D43" w:rsidP="00F86D6E">
      <w:pPr>
        <w:pStyle w:val="Reference"/>
      </w:pPr>
      <w:proofErr w:type="spellStart"/>
      <w:r>
        <w:t>LegalClarity</w:t>
      </w:r>
      <w:proofErr w:type="spellEnd"/>
      <w:r>
        <w:t xml:space="preserve"> California 2026, </w:t>
      </w:r>
      <w:r>
        <w:rPr>
          <w:i/>
          <w:iCs/>
        </w:rPr>
        <w:t>How California’s SB 35 Streamlined Housing Approval Works</w:t>
      </w:r>
      <w:r>
        <w:t>, California, https://legalclarity.org/understanding-californias-sb-35-streamlined-housing-approval/?utm_source (accessed 26 May 2026).</w:t>
      </w:r>
    </w:p>
    <w:p w14:paraId="181E6617" w14:textId="77777777" w:rsidR="00947D43" w:rsidRDefault="00947D43" w:rsidP="00F86D6E">
      <w:pPr>
        <w:pStyle w:val="Reference"/>
      </w:pPr>
      <w:r>
        <w:t xml:space="preserve">Leishman, C, Gurran, N, James, A and Nygaard, C 2021, </w:t>
      </w:r>
      <w:r>
        <w:rPr>
          <w:i/>
          <w:iCs/>
        </w:rPr>
        <w:t>Inquiry into population, migration and agglomeration</w:t>
      </w:r>
      <w:r>
        <w:t>, 9 December.</w:t>
      </w:r>
    </w:p>
    <w:p w14:paraId="613F4AD5" w14:textId="77777777" w:rsidR="00947D43" w:rsidRDefault="00947D43" w:rsidP="00F86D6E">
      <w:pPr>
        <w:pStyle w:val="Reference"/>
      </w:pPr>
      <w:r>
        <w:t xml:space="preserve">Litman, T 2025, </w:t>
      </w:r>
      <w:r>
        <w:rPr>
          <w:i/>
          <w:iCs/>
        </w:rPr>
        <w:t>Parking requirement impacts on housing affordability</w:t>
      </w:r>
      <w:r>
        <w:t>, 21 December, Victoria Transport Policy Institute.</w:t>
      </w:r>
    </w:p>
    <w:p w14:paraId="5426BC59" w14:textId="77777777" w:rsidR="00947D43" w:rsidRDefault="00947D43" w:rsidP="00F86D6E">
      <w:pPr>
        <w:pStyle w:val="Reference"/>
      </w:pPr>
      <w:r>
        <w:t xml:space="preserve">Maltman, M 2025, </w:t>
      </w:r>
      <w:r>
        <w:rPr>
          <w:i/>
          <w:iCs/>
        </w:rPr>
        <w:t>Best practice for supply-side reform</w:t>
      </w:r>
      <w:r>
        <w:t>, Inflection Points, https://inflectionpoints.work/articles/best-practice-for-supply-side-reform (accessed 20 May 2026).</w:t>
      </w:r>
    </w:p>
    <w:p w14:paraId="6D147C8B" w14:textId="77777777" w:rsidR="00947D43" w:rsidRDefault="00947D43" w:rsidP="00F86D6E">
      <w:pPr>
        <w:pStyle w:val="Reference"/>
      </w:pPr>
      <w:r>
        <w:t xml:space="preserve">—— and Greenaway-McGrevy, R 2025, ‘Going it alone: The impact of upzoning on housing construction in Lower Hutt’, </w:t>
      </w:r>
      <w:r>
        <w:rPr>
          <w:i/>
          <w:iCs/>
        </w:rPr>
        <w:t>Journal of Housing Economics</w:t>
      </w:r>
      <w:r>
        <w:t>, vol. 67, p. 102032.</w:t>
      </w:r>
    </w:p>
    <w:p w14:paraId="45FAD502" w14:textId="77777777" w:rsidR="00947D43" w:rsidRDefault="00947D43" w:rsidP="00F86D6E">
      <w:pPr>
        <w:pStyle w:val="Reference"/>
      </w:pPr>
      <w:r>
        <w:t xml:space="preserve">Manji, S and Finnigan, R 2023, </w:t>
      </w:r>
      <w:r>
        <w:rPr>
          <w:i/>
          <w:iCs/>
        </w:rPr>
        <w:t>Streamlining multifamily housing production in California: Progress implementing SB 35</w:t>
      </w:r>
      <w:r>
        <w:t xml:space="preserve">, Terner </w:t>
      </w:r>
      <w:proofErr w:type="spellStart"/>
      <w:r>
        <w:t>Center</w:t>
      </w:r>
      <w:proofErr w:type="spellEnd"/>
      <w:r>
        <w:t xml:space="preserve"> for Housing Innovation, University of California Berkely.</w:t>
      </w:r>
    </w:p>
    <w:p w14:paraId="42CA98F3" w14:textId="77777777" w:rsidR="00947D43" w:rsidRDefault="00947D43" w:rsidP="00F86D6E">
      <w:pPr>
        <w:pStyle w:val="Reference"/>
      </w:pPr>
      <w:r>
        <w:t xml:space="preserve">Mast, E 2019, ‘The effect of new market-rate housing construction on the low-income housing market’, </w:t>
      </w:r>
      <w:r>
        <w:rPr>
          <w:i/>
          <w:iCs/>
        </w:rPr>
        <w:t>Upjohn Institute Working Papers</w:t>
      </w:r>
      <w:r>
        <w:t>.</w:t>
      </w:r>
    </w:p>
    <w:p w14:paraId="715A7957" w14:textId="77777777" w:rsidR="00947D43" w:rsidRDefault="00947D43" w:rsidP="00F86D6E">
      <w:pPr>
        <w:pStyle w:val="Reference"/>
      </w:pPr>
      <w:r>
        <w:t xml:space="preserve">Mense, A 2025, ‘The impact of new housing supply on the distribution of rents’, The University of Chicago Press, </w:t>
      </w:r>
      <w:r>
        <w:rPr>
          <w:i/>
          <w:iCs/>
        </w:rPr>
        <w:t>Journal of Political Economy Macroeconomics</w:t>
      </w:r>
      <w:r>
        <w:t>, vol. 3, no. 1, pp. 1–42.</w:t>
      </w:r>
    </w:p>
    <w:p w14:paraId="36EE015B" w14:textId="77777777" w:rsidR="00947D43" w:rsidRDefault="00947D43" w:rsidP="00F86D6E">
      <w:pPr>
        <w:pStyle w:val="Reference"/>
      </w:pPr>
      <w:r>
        <w:t xml:space="preserve">Municipal Association of Victoria 2025, </w:t>
      </w:r>
      <w:r>
        <w:rPr>
          <w:i/>
          <w:iCs/>
        </w:rPr>
        <w:t>Adopting AI for planning in Victoria’s councils</w:t>
      </w:r>
      <w:r>
        <w:t>.</w:t>
      </w:r>
    </w:p>
    <w:p w14:paraId="63B6D88C" w14:textId="77777777" w:rsidR="00947D43" w:rsidRDefault="00947D43" w:rsidP="00F86D6E">
      <w:pPr>
        <w:pStyle w:val="Reference"/>
      </w:pPr>
      <w:r>
        <w:t xml:space="preserve">Murray, C and Limb, M 2023, ‘We zoned for density and got higher house prices: Supply and price effects of upzoning over 20 years’, Routledge, </w:t>
      </w:r>
      <w:r>
        <w:rPr>
          <w:i/>
          <w:iCs/>
        </w:rPr>
        <w:t>Urban Policy and Research</w:t>
      </w:r>
      <w:r>
        <w:t>, vol. 41, no. 2, pp. 129–147.</w:t>
      </w:r>
    </w:p>
    <w:p w14:paraId="789E608D" w14:textId="6F33FC83" w:rsidR="00947D43" w:rsidRDefault="00947D43" w:rsidP="00F86D6E">
      <w:pPr>
        <w:pStyle w:val="Reference"/>
      </w:pPr>
      <w:proofErr w:type="spellStart"/>
      <w:r>
        <w:t>myLot</w:t>
      </w:r>
      <w:proofErr w:type="spellEnd"/>
      <w:r>
        <w:t xml:space="preserve"> 2026, </w:t>
      </w:r>
      <w:r>
        <w:rPr>
          <w:i/>
          <w:iCs/>
        </w:rPr>
        <w:t>What Victoria’s new planning rules mean for communities, planners and technology</w:t>
      </w:r>
      <w:r>
        <w:t>, https://www.mylot.ai/resources/what-victorias-new-planning-rules-mean-for-communities-planners-and-technology (accessed 18 June 2026).</w:t>
      </w:r>
    </w:p>
    <w:p w14:paraId="6EEAFE6D" w14:textId="29CDA7D5" w:rsidR="00947D43" w:rsidRDefault="00947D43" w:rsidP="00F86D6E">
      <w:pPr>
        <w:pStyle w:val="Reference"/>
      </w:pPr>
      <w:r>
        <w:t xml:space="preserve">National Library of Australia </w:t>
      </w:r>
      <w:proofErr w:type="spellStart"/>
      <w:r>
        <w:t>nd</w:t>
      </w:r>
      <w:proofErr w:type="spellEnd"/>
      <w:r>
        <w:t xml:space="preserve">, </w:t>
      </w:r>
      <w:r>
        <w:rPr>
          <w:i/>
          <w:iCs/>
        </w:rPr>
        <w:t xml:space="preserve">15 Jan 2015 </w:t>
      </w:r>
      <w:r w:rsidR="00897407">
        <w:rPr>
          <w:i/>
          <w:iCs/>
        </w:rPr>
        <w:t>–</w:t>
      </w:r>
      <w:r>
        <w:rPr>
          <w:i/>
          <w:iCs/>
        </w:rPr>
        <w:t xml:space="preserve"> Precinct Planning - Archived Website</w:t>
      </w:r>
      <w:r>
        <w:t>, Trove, https://webarchive.nla.gov.au/awa/20150115113906/http://pandora.nla.gov.au/pan/92542/20150115-0834/growth</w:t>
      </w:r>
      <w:r w:rsidR="00897407">
        <w:br/>
      </w:r>
      <w:r>
        <w:t>centres.planning.nsw.gov.au/PrecinctPlanning.html (accessed 6 July 2026).</w:t>
      </w:r>
    </w:p>
    <w:p w14:paraId="482F8984" w14:textId="77777777" w:rsidR="00947D43" w:rsidRDefault="00947D43" w:rsidP="00F86D6E">
      <w:pPr>
        <w:pStyle w:val="Reference"/>
      </w:pPr>
      <w:r>
        <w:t xml:space="preserve">New Zealand Ministry for the Environment 2020, </w:t>
      </w:r>
      <w:r>
        <w:rPr>
          <w:i/>
          <w:iCs/>
        </w:rPr>
        <w:t>National policy statement on urban development 2020: Car parking</w:t>
      </w:r>
      <w:r>
        <w:t>, https://environment.govt.nz/publications/nps-urban-development-2020-car-parking/ (accessed 29 June 2026).</w:t>
      </w:r>
    </w:p>
    <w:p w14:paraId="62BB78C6" w14:textId="57D3BDEE" w:rsidR="00947D43" w:rsidRDefault="00947D43" w:rsidP="00F86D6E">
      <w:pPr>
        <w:pStyle w:val="Reference"/>
      </w:pPr>
      <w:r>
        <w:t>——</w:t>
      </w:r>
      <w:r w:rsidR="00822709">
        <w:t> </w:t>
      </w:r>
      <w:r>
        <w:t xml:space="preserve">2025, </w:t>
      </w:r>
      <w:r>
        <w:rPr>
          <w:i/>
          <w:iCs/>
        </w:rPr>
        <w:t>Better planning for a better New Zealand: Overview of New Zealand’s new planning system</w:t>
      </w:r>
      <w:r>
        <w:t>.</w:t>
      </w:r>
    </w:p>
    <w:p w14:paraId="4D152C61" w14:textId="509EC386" w:rsidR="00947D43" w:rsidRDefault="00947D43" w:rsidP="00F86D6E">
      <w:pPr>
        <w:pStyle w:val="Reference"/>
      </w:pPr>
      <w:r>
        <w:t xml:space="preserve">NGAA (National Growth Areas Alliance) 2024, </w:t>
      </w:r>
      <w:r>
        <w:rPr>
          <w:i/>
          <w:iCs/>
        </w:rPr>
        <w:t>Population boom &amp; gloom: infrastructure funding fails fastest growing communities</w:t>
      </w:r>
      <w:r>
        <w:t>, https://www.ngaa.org.au/resources/</w:t>
      </w:r>
      <w:r w:rsidR="006557BB">
        <w:br/>
      </w:r>
      <w:r>
        <w:t>population-boom---gloom-infrastructure-funding-fails-fastest-growing-communities (accessed 17 June 2026).</w:t>
      </w:r>
    </w:p>
    <w:p w14:paraId="40546705" w14:textId="77777777" w:rsidR="00947D43" w:rsidRDefault="00947D43" w:rsidP="00F86D6E">
      <w:pPr>
        <w:pStyle w:val="Reference"/>
      </w:pPr>
      <w:r>
        <w:t xml:space="preserve">NHFIC (National Housing Finance and Investment Corporation) 2020, </w:t>
      </w:r>
      <w:r>
        <w:rPr>
          <w:i/>
          <w:iCs/>
        </w:rPr>
        <w:t>State of the nation’s housing 2020</w:t>
      </w:r>
      <w:r>
        <w:t>.</w:t>
      </w:r>
    </w:p>
    <w:p w14:paraId="0101063C" w14:textId="5C0AD6BD" w:rsidR="00947D43" w:rsidRDefault="00947D43" w:rsidP="00F86D6E">
      <w:pPr>
        <w:pStyle w:val="Reference"/>
      </w:pPr>
      <w:r>
        <w:t>——</w:t>
      </w:r>
      <w:r w:rsidR="00822709">
        <w:t> </w:t>
      </w:r>
      <w:r>
        <w:t xml:space="preserve">2021, </w:t>
      </w:r>
      <w:r>
        <w:rPr>
          <w:i/>
          <w:iCs/>
        </w:rPr>
        <w:t>Developer contributions: How should we pay for new local infrastructure?</w:t>
      </w:r>
    </w:p>
    <w:p w14:paraId="1F58CFFD" w14:textId="77777777" w:rsidR="00947D43" w:rsidRDefault="00947D43" w:rsidP="00F86D6E">
      <w:pPr>
        <w:pStyle w:val="Reference"/>
      </w:pPr>
      <w:r>
        <w:t xml:space="preserve">NHSAC (National Housing Supply and Affordability Council) 2023, </w:t>
      </w:r>
      <w:r>
        <w:rPr>
          <w:i/>
          <w:iCs/>
        </w:rPr>
        <w:t>Barriers to institutional investment, finance and innovation in housing</w:t>
      </w:r>
      <w:r>
        <w:t>.</w:t>
      </w:r>
    </w:p>
    <w:p w14:paraId="2D2FEC7D" w14:textId="3FBF8537" w:rsidR="00947D43" w:rsidRDefault="00947D43" w:rsidP="00F86D6E">
      <w:pPr>
        <w:pStyle w:val="Reference"/>
      </w:pPr>
      <w:r>
        <w:t>——</w:t>
      </w:r>
      <w:r w:rsidR="00822709">
        <w:t> </w:t>
      </w:r>
      <w:r>
        <w:t xml:space="preserve">2025, </w:t>
      </w:r>
      <w:r>
        <w:rPr>
          <w:i/>
          <w:iCs/>
        </w:rPr>
        <w:t>State of the Housing System 2025</w:t>
      </w:r>
      <w:r>
        <w:t>, Australian Government, pp. 1–177.</w:t>
      </w:r>
    </w:p>
    <w:p w14:paraId="229032A5" w14:textId="339FB767" w:rsidR="00947D43" w:rsidRDefault="00947D43" w:rsidP="00F86D6E">
      <w:pPr>
        <w:pStyle w:val="Reference"/>
      </w:pPr>
      <w:r>
        <w:t>——</w:t>
      </w:r>
      <w:r w:rsidR="00822709">
        <w:t> </w:t>
      </w:r>
      <w:r>
        <w:t xml:space="preserve">2026a, </w:t>
      </w:r>
      <w:r>
        <w:rPr>
          <w:i/>
          <w:iCs/>
        </w:rPr>
        <w:t>Quarterly Report – March 2026</w:t>
      </w:r>
      <w:r>
        <w:t>, Text, National Housing Supply and Affordability Council, https://nhsac.gov.au/reports-and-submissions/quarterly-report-march-2026 (accessed 16 June 2026).</w:t>
      </w:r>
    </w:p>
    <w:p w14:paraId="10F39AC1" w14:textId="6623C767" w:rsidR="00947D43" w:rsidRDefault="00947D43" w:rsidP="00F86D6E">
      <w:pPr>
        <w:pStyle w:val="Reference"/>
      </w:pPr>
      <w:r>
        <w:t>——</w:t>
      </w:r>
      <w:r w:rsidR="00822709">
        <w:t> </w:t>
      </w:r>
      <w:r>
        <w:t xml:space="preserve">2026b, </w:t>
      </w:r>
      <w:r>
        <w:rPr>
          <w:i/>
          <w:iCs/>
        </w:rPr>
        <w:t>State of the Housing System 2026</w:t>
      </w:r>
      <w:r>
        <w:t>, 20 April.</w:t>
      </w:r>
    </w:p>
    <w:p w14:paraId="6C849FC9" w14:textId="77777777" w:rsidR="00947D43" w:rsidRDefault="00947D43" w:rsidP="00F86D6E">
      <w:pPr>
        <w:pStyle w:val="Reference"/>
      </w:pPr>
      <w:r>
        <w:t xml:space="preserve">NIAA (National Indigenous Australians Agency) 2025, </w:t>
      </w:r>
      <w:r>
        <w:rPr>
          <w:i/>
          <w:iCs/>
        </w:rPr>
        <w:t>Housing and essential services policy factsheet</w:t>
      </w:r>
      <w:r>
        <w:t>, First Nations Impacts Factsheet.</w:t>
      </w:r>
    </w:p>
    <w:p w14:paraId="36F2D705" w14:textId="77777777" w:rsidR="00947D43" w:rsidRPr="00913D1B" w:rsidRDefault="00947D43" w:rsidP="00F86D6E">
      <w:pPr>
        <w:pStyle w:val="Reference"/>
        <w:rPr>
          <w:spacing w:val="-4"/>
        </w:rPr>
      </w:pPr>
      <w:r w:rsidRPr="00913D1B">
        <w:rPr>
          <w:spacing w:val="-4"/>
        </w:rPr>
        <w:t xml:space="preserve">NSW DPE (New South Wales Department of Planning and Environment) 2015, </w:t>
      </w:r>
      <w:r w:rsidRPr="00913D1B">
        <w:rPr>
          <w:i/>
          <w:iCs/>
          <w:spacing w:val="-4"/>
        </w:rPr>
        <w:t>Apartment design guide</w:t>
      </w:r>
      <w:r w:rsidRPr="00913D1B">
        <w:rPr>
          <w:spacing w:val="-4"/>
        </w:rPr>
        <w:t>, Guide document.</w:t>
      </w:r>
    </w:p>
    <w:p w14:paraId="1D2FB9C1" w14:textId="40867CB8" w:rsidR="00947D43" w:rsidRDefault="00947D43" w:rsidP="00F86D6E">
      <w:pPr>
        <w:pStyle w:val="Reference"/>
      </w:pPr>
      <w:r>
        <w:t>——</w:t>
      </w:r>
      <w:r w:rsidR="00822709">
        <w:t> </w:t>
      </w:r>
      <w:r>
        <w:t xml:space="preserve">2023, </w:t>
      </w:r>
      <w:r>
        <w:rPr>
          <w:i/>
          <w:iCs/>
        </w:rPr>
        <w:t>Explanation of intended effect: Changes to create low-and mid-rise housing</w:t>
      </w:r>
      <w:r>
        <w:t>, December.</w:t>
      </w:r>
    </w:p>
    <w:p w14:paraId="4AF5D9E9" w14:textId="77777777" w:rsidR="00947D43" w:rsidRDefault="00947D43" w:rsidP="00F86D6E">
      <w:pPr>
        <w:pStyle w:val="Reference"/>
      </w:pPr>
      <w:r>
        <w:t xml:space="preserve">NSW DPHI (New South Wales Department of Planning, Housing and Infrastructure) 2023a, </w:t>
      </w:r>
      <w:r>
        <w:rPr>
          <w:i/>
          <w:iCs/>
        </w:rPr>
        <w:t>Greater Parramatta and Olympic Peninsula</w:t>
      </w:r>
      <w:r>
        <w:t>, https://www.planning.nsw.gov.au/plans-for-your-area/priority-growth-areas-and-precincts/greater-parramatta-and-olympic-peninsula (accessed 30 June 2026).</w:t>
      </w:r>
    </w:p>
    <w:p w14:paraId="54B58D58" w14:textId="371E240F" w:rsidR="00947D43" w:rsidRDefault="00947D43" w:rsidP="00F86D6E">
      <w:pPr>
        <w:pStyle w:val="Reference"/>
      </w:pPr>
      <w:r>
        <w:t>——</w:t>
      </w:r>
      <w:r w:rsidR="00822709">
        <w:t> </w:t>
      </w:r>
      <w:r>
        <w:t xml:space="preserve">2023b, </w:t>
      </w:r>
      <w:r>
        <w:rPr>
          <w:i/>
          <w:iCs/>
        </w:rPr>
        <w:t>Prohibition of residential flat buildings in the R3 medium density residential zone</w:t>
      </w:r>
      <w:r>
        <w:t>, https://www.planningportal.nsw.gov.au/ppr/lep-</w:t>
      </w:r>
      <w:r>
        <w:lastRenderedPageBreak/>
        <w:t>decision/prohibition-residential-flat-buildings-r3-medium-density-residential-zone (accessed 7 July 2026).</w:t>
      </w:r>
    </w:p>
    <w:p w14:paraId="53FC50AB" w14:textId="0EBF361F" w:rsidR="00947D43" w:rsidRDefault="00947D43" w:rsidP="00F86D6E">
      <w:pPr>
        <w:pStyle w:val="Reference"/>
      </w:pPr>
      <w:r>
        <w:t>——</w:t>
      </w:r>
      <w:r w:rsidR="00822709">
        <w:t> </w:t>
      </w:r>
      <w:r>
        <w:t xml:space="preserve">2023c, </w:t>
      </w:r>
      <w:r>
        <w:rPr>
          <w:i/>
          <w:iCs/>
        </w:rPr>
        <w:t>Residential flat building</w:t>
      </w:r>
      <w:r>
        <w:t>, https://www.planningportal.nsw.gov.au/basix-project-details/project-type/residential-flat-building (accessed 7 July 2026).</w:t>
      </w:r>
    </w:p>
    <w:p w14:paraId="11AF98F3" w14:textId="0CEA1DCF" w:rsidR="00947D43" w:rsidRDefault="00947D43" w:rsidP="00F86D6E">
      <w:pPr>
        <w:pStyle w:val="Reference"/>
      </w:pPr>
      <w:r>
        <w:t>——</w:t>
      </w:r>
      <w:r w:rsidR="00822709">
        <w:t> </w:t>
      </w:r>
      <w:r>
        <w:t xml:space="preserve">2024, </w:t>
      </w:r>
      <w:r>
        <w:rPr>
          <w:i/>
          <w:iCs/>
        </w:rPr>
        <w:t>Fairer housing targets announced with incentives to councils to build better communities for NSW</w:t>
      </w:r>
      <w:r>
        <w:t>, https://www.planning.nsw.gov.au/news/fairer-housing-targets-announced-incentives-councils-build-better-communities-nsw (accessed 30 June 2026).</w:t>
      </w:r>
    </w:p>
    <w:p w14:paraId="188B5A2D" w14:textId="16E2AC64" w:rsidR="00947D43" w:rsidRDefault="00947D43" w:rsidP="00F86D6E">
      <w:pPr>
        <w:pStyle w:val="Reference"/>
      </w:pPr>
      <w:r>
        <w:t>——</w:t>
      </w:r>
      <w:r w:rsidR="00822709">
        <w:t> </w:t>
      </w:r>
      <w:r>
        <w:t xml:space="preserve">2025a, </w:t>
      </w:r>
      <w:r>
        <w:rPr>
          <w:i/>
          <w:iCs/>
        </w:rPr>
        <w:t xml:space="preserve">Fast-track </w:t>
      </w:r>
      <w:proofErr w:type="gramStart"/>
      <w:r>
        <w:rPr>
          <w:i/>
          <w:iCs/>
        </w:rPr>
        <w:t>your</w:t>
      </w:r>
      <w:proofErr w:type="gramEnd"/>
      <w:r>
        <w:rPr>
          <w:i/>
          <w:iCs/>
        </w:rPr>
        <w:t xml:space="preserve"> planning approval​</w:t>
      </w:r>
      <w:r>
        <w:t>, Planning, https://www.planning.nsw.gov.au/government-architect-nsw/housing-design/nsw-housing-pattern-book/fast-track-your-planning-approval (accessed 8 July 2026).</w:t>
      </w:r>
    </w:p>
    <w:p w14:paraId="350F3728" w14:textId="379353B4" w:rsidR="00947D43" w:rsidRDefault="00947D43" w:rsidP="00F86D6E">
      <w:pPr>
        <w:pStyle w:val="Reference"/>
      </w:pPr>
      <w:r>
        <w:t>——</w:t>
      </w:r>
      <w:r w:rsidR="00822709">
        <w:t> </w:t>
      </w:r>
      <w:r>
        <w:t xml:space="preserve">2025b, </w:t>
      </w:r>
      <w:r>
        <w:rPr>
          <w:i/>
          <w:iCs/>
        </w:rPr>
        <w:t>Industrial lands action plan</w:t>
      </w:r>
      <w:r>
        <w:t>.</w:t>
      </w:r>
    </w:p>
    <w:p w14:paraId="23C3C5F6" w14:textId="35346238" w:rsidR="00947D43" w:rsidRDefault="00947D43" w:rsidP="00F86D6E">
      <w:pPr>
        <w:pStyle w:val="Reference"/>
      </w:pPr>
      <w:r>
        <w:t>——</w:t>
      </w:r>
      <w:r w:rsidR="00822709">
        <w:t> </w:t>
      </w:r>
      <w:r>
        <w:t xml:space="preserve">2025c, </w:t>
      </w:r>
      <w:r>
        <w:rPr>
          <w:i/>
          <w:iCs/>
        </w:rPr>
        <w:t>Low and mid-rise housing policy</w:t>
      </w:r>
      <w:r>
        <w:t>, NSW Planning, https://www.planning.nsw.gov.au/policy-and-legislation/housing/low-and-mid-rise-housing-policy (accessed 7 July 2026).</w:t>
      </w:r>
    </w:p>
    <w:p w14:paraId="288E2C56" w14:textId="28E1FB9A" w:rsidR="00947D43" w:rsidRDefault="00947D43" w:rsidP="00F86D6E">
      <w:pPr>
        <w:pStyle w:val="Reference"/>
      </w:pPr>
      <w:r>
        <w:t>——</w:t>
      </w:r>
      <w:r w:rsidR="00822709">
        <w:t> </w:t>
      </w:r>
      <w:r>
        <w:t xml:space="preserve">2025d, </w:t>
      </w:r>
      <w:r>
        <w:rPr>
          <w:i/>
          <w:iCs/>
        </w:rPr>
        <w:t>Submissions report: Low and mid-rise housing policy</w:t>
      </w:r>
      <w:r>
        <w:t>, Submissions report, February.</w:t>
      </w:r>
    </w:p>
    <w:p w14:paraId="71479B08" w14:textId="7F4E91C5" w:rsidR="00947D43" w:rsidRDefault="00947D43" w:rsidP="00F86D6E">
      <w:pPr>
        <w:pStyle w:val="Reference"/>
      </w:pPr>
      <w:r>
        <w:t>——</w:t>
      </w:r>
      <w:r w:rsidR="00822709">
        <w:t> </w:t>
      </w:r>
      <w:r>
        <w:t xml:space="preserve">2026a, </w:t>
      </w:r>
      <w:r>
        <w:rPr>
          <w:i/>
          <w:iCs/>
        </w:rPr>
        <w:t>Low-rise housing and targeted assessment</w:t>
      </w:r>
      <w:r>
        <w:t>.</w:t>
      </w:r>
    </w:p>
    <w:p w14:paraId="63138029" w14:textId="6B34CE03" w:rsidR="00947D43" w:rsidRDefault="00947D43" w:rsidP="00F86D6E">
      <w:pPr>
        <w:pStyle w:val="Reference"/>
      </w:pPr>
      <w:r>
        <w:t>——</w:t>
      </w:r>
      <w:r w:rsidR="00822709">
        <w:t> </w:t>
      </w:r>
      <w:r>
        <w:t xml:space="preserve">2026b, </w:t>
      </w:r>
      <w:r>
        <w:rPr>
          <w:i/>
          <w:iCs/>
        </w:rPr>
        <w:t>National Planning Reform Blueprint – New South Wales progress report September 2025</w:t>
      </w:r>
      <w:r>
        <w:t>.</w:t>
      </w:r>
    </w:p>
    <w:p w14:paraId="7E288147" w14:textId="1C4666DA" w:rsidR="00947D43" w:rsidRDefault="00947D43" w:rsidP="00F86D6E">
      <w:pPr>
        <w:pStyle w:val="Reference"/>
      </w:pPr>
      <w:r>
        <w:t>——</w:t>
      </w:r>
      <w:r w:rsidR="00822709">
        <w:t> </w:t>
      </w:r>
      <w:r>
        <w:t xml:space="preserve">2026c, </w:t>
      </w:r>
      <w:r>
        <w:rPr>
          <w:i/>
          <w:iCs/>
        </w:rPr>
        <w:t>New one-stop shop to deliver faster and simpler planning system</w:t>
      </w:r>
      <w:r>
        <w:t>, Planning, www.planning.nsw.gov.au/news/</w:t>
      </w:r>
      <w:r w:rsidR="00913D1B">
        <w:br/>
      </w:r>
      <w:r>
        <w:t>new-one-stop-shop-deliver-faster-and-simpler-planning-system (accessed 1 July 2026).</w:t>
      </w:r>
    </w:p>
    <w:p w14:paraId="72F47F92" w14:textId="72FDD908" w:rsidR="00947D43" w:rsidRDefault="00947D43" w:rsidP="00F86D6E">
      <w:pPr>
        <w:pStyle w:val="Reference"/>
      </w:pPr>
      <w:r>
        <w:t>——</w:t>
      </w:r>
      <w:r w:rsidR="00822709">
        <w:t> </w:t>
      </w:r>
      <w:r>
        <w:t xml:space="preserve">2026d, </w:t>
      </w:r>
      <w:r>
        <w:rPr>
          <w:i/>
          <w:iCs/>
        </w:rPr>
        <w:t>Planning performance</w:t>
      </w:r>
      <w:r>
        <w:t>, NSW Planning, https://www.planning.nsw.gov.au/data-and-insights/planning-performance (accessed 6 March 2026).</w:t>
      </w:r>
    </w:p>
    <w:p w14:paraId="28CEEAC4" w14:textId="77777777" w:rsidR="00947D43" w:rsidRDefault="00947D43" w:rsidP="00F86D6E">
      <w:pPr>
        <w:pStyle w:val="Reference"/>
      </w:pPr>
      <w:r>
        <w:t xml:space="preserve">NSW PC (New South Wales Productivity Commission) 2021, </w:t>
      </w:r>
      <w:r>
        <w:rPr>
          <w:i/>
          <w:iCs/>
        </w:rPr>
        <w:t>Rebooting the economy</w:t>
      </w:r>
      <w:r>
        <w:t>.</w:t>
      </w:r>
    </w:p>
    <w:p w14:paraId="25113C3E" w14:textId="72D10719" w:rsidR="00947D43" w:rsidRDefault="00947D43" w:rsidP="00F86D6E">
      <w:pPr>
        <w:pStyle w:val="Reference"/>
      </w:pPr>
      <w:r>
        <w:t>——</w:t>
      </w:r>
      <w:r w:rsidR="00822709">
        <w:t> </w:t>
      </w:r>
      <w:r>
        <w:t xml:space="preserve">2023, </w:t>
      </w:r>
      <w:r>
        <w:rPr>
          <w:i/>
          <w:iCs/>
        </w:rPr>
        <w:t>Building more homes where people want to live</w:t>
      </w:r>
      <w:r>
        <w:t>, NSW Government, pp. 1–34.</w:t>
      </w:r>
    </w:p>
    <w:p w14:paraId="2140E49A" w14:textId="77777777" w:rsidR="00947D43" w:rsidRDefault="00947D43" w:rsidP="00F86D6E">
      <w:pPr>
        <w:pStyle w:val="Reference"/>
      </w:pPr>
      <w:r>
        <w:t xml:space="preserve">NSW PEC (New South Wales Productivity and Equality Commission) 2024a, </w:t>
      </w:r>
      <w:r>
        <w:rPr>
          <w:i/>
          <w:iCs/>
        </w:rPr>
        <w:t>Review of housing supply challenges and policy options for New South Wales</w:t>
      </w:r>
      <w:r>
        <w:t>.</w:t>
      </w:r>
    </w:p>
    <w:p w14:paraId="518EA5C3" w14:textId="4B795856" w:rsidR="00947D43" w:rsidRDefault="00947D43" w:rsidP="00F86D6E">
      <w:pPr>
        <w:pStyle w:val="Reference"/>
      </w:pPr>
      <w:r>
        <w:t>——</w:t>
      </w:r>
      <w:r w:rsidR="00822709">
        <w:t> </w:t>
      </w:r>
      <w:r>
        <w:t xml:space="preserve">2024b, </w:t>
      </w:r>
      <w:proofErr w:type="gramStart"/>
      <w:r>
        <w:rPr>
          <w:i/>
          <w:iCs/>
        </w:rPr>
        <w:t>What</w:t>
      </w:r>
      <w:proofErr w:type="gramEnd"/>
      <w:r>
        <w:rPr>
          <w:i/>
          <w:iCs/>
        </w:rPr>
        <w:t xml:space="preserve"> we gain by building more homes in the right places</w:t>
      </w:r>
      <w:r>
        <w:t>.</w:t>
      </w:r>
    </w:p>
    <w:p w14:paraId="6879FE0F" w14:textId="77777777" w:rsidR="00947D43" w:rsidRDefault="00947D43" w:rsidP="00F86D6E">
      <w:pPr>
        <w:pStyle w:val="Reference"/>
      </w:pPr>
      <w:r>
        <w:t xml:space="preserve">NSW State Archives Collection (New South Wales State Archives Collection) </w:t>
      </w:r>
      <w:proofErr w:type="spellStart"/>
      <w:r>
        <w:t>nd</w:t>
      </w:r>
      <w:proofErr w:type="spellEnd"/>
      <w:r>
        <w:t xml:space="preserve">, </w:t>
      </w:r>
      <w:r>
        <w:rPr>
          <w:i/>
          <w:iCs/>
        </w:rPr>
        <w:t>AGY-5205 Growth Centres Commission</w:t>
      </w:r>
      <w:r>
        <w:t>, Research Data Australia, https://researchdata.edu.au/agy-5205-growth-centres-commission/167652 (accessed 6 July 2026).</w:t>
      </w:r>
    </w:p>
    <w:p w14:paraId="2B146595" w14:textId="77777777" w:rsidR="00947D43" w:rsidRDefault="00947D43" w:rsidP="00F86D6E">
      <w:pPr>
        <w:pStyle w:val="Reference"/>
      </w:pPr>
      <w:r>
        <w:t xml:space="preserve">Nygaard, Parkinson and Reynolds 2021, </w:t>
      </w:r>
      <w:r>
        <w:rPr>
          <w:i/>
          <w:iCs/>
        </w:rPr>
        <w:t>Agglomeration effects and housing market dynamics</w:t>
      </w:r>
      <w:r>
        <w:t>, AHURI.</w:t>
      </w:r>
    </w:p>
    <w:p w14:paraId="4889E0B1" w14:textId="77777777" w:rsidR="00947D43" w:rsidRDefault="00947D43" w:rsidP="00F86D6E">
      <w:pPr>
        <w:pStyle w:val="Reference"/>
      </w:pPr>
      <w:r>
        <w:t xml:space="preserve">OECD (Organisation for Economic Co-operation and Development) 2019, </w:t>
      </w:r>
      <w:r>
        <w:rPr>
          <w:i/>
          <w:iCs/>
        </w:rPr>
        <w:t>OECD Principles on Urban Policy</w:t>
      </w:r>
      <w:r>
        <w:t>.</w:t>
      </w:r>
    </w:p>
    <w:p w14:paraId="6C7DBECA" w14:textId="7B5E58B0" w:rsidR="00947D43" w:rsidRDefault="00947D43" w:rsidP="00F86D6E">
      <w:pPr>
        <w:pStyle w:val="Reference"/>
      </w:pPr>
      <w:r>
        <w:t>——</w:t>
      </w:r>
      <w:r w:rsidR="00822709">
        <w:t> </w:t>
      </w:r>
      <w:r>
        <w:t xml:space="preserve">2021, </w:t>
      </w:r>
      <w:r>
        <w:rPr>
          <w:i/>
          <w:iCs/>
        </w:rPr>
        <w:t>Brick by brick: Building better housing policies</w:t>
      </w:r>
      <w:r>
        <w:t>, 31</w:t>
      </w:r>
      <w:r w:rsidR="00913D1B">
        <w:t> </w:t>
      </w:r>
      <w:r>
        <w:t>May, OECD Publishing, https://www.oecd.org/en/</w:t>
      </w:r>
      <w:r w:rsidR="00913D1B">
        <w:br/>
      </w:r>
      <w:r>
        <w:t>publications/brick-by-brick_b453b043-en.html (accessed 20</w:t>
      </w:r>
      <w:r w:rsidR="00913D1B">
        <w:t> </w:t>
      </w:r>
      <w:r>
        <w:t>May 2026).</w:t>
      </w:r>
    </w:p>
    <w:p w14:paraId="2F0D3914" w14:textId="77777777" w:rsidR="00947D43" w:rsidRDefault="00947D43" w:rsidP="00F86D6E">
      <w:pPr>
        <w:pStyle w:val="Reference"/>
      </w:pPr>
      <w:r>
        <w:t xml:space="preserve">Ong Vifor J, R, Dalton, T, Gurran, N, Phelps, C, Rowley, S and Wood, G 2017, </w:t>
      </w:r>
      <w:r>
        <w:rPr>
          <w:i/>
          <w:iCs/>
        </w:rPr>
        <w:t>Housing supply responsiveness in Australia: distribution, drivers and institutional settings</w:t>
      </w:r>
      <w:r>
        <w:t>, AHURI Final Report, 18 May, 281, Australian Housing and Urban Research Institute.</w:t>
      </w:r>
    </w:p>
    <w:p w14:paraId="29538B1C" w14:textId="77777777" w:rsidR="00947D43" w:rsidRDefault="00947D43" w:rsidP="00F86D6E">
      <w:pPr>
        <w:pStyle w:val="Reference"/>
      </w:pPr>
      <w:r>
        <w:t xml:space="preserve">Parliament of the Commonwealth of Australia 2021, </w:t>
      </w:r>
      <w:r>
        <w:rPr>
          <w:i/>
          <w:iCs/>
        </w:rPr>
        <w:t>Final report: Inquiry into homelessness in Australia</w:t>
      </w:r>
      <w:r>
        <w:t>.</w:t>
      </w:r>
    </w:p>
    <w:p w14:paraId="050C78A8" w14:textId="1C0CCEF4" w:rsidR="00947D43" w:rsidRDefault="00947D43" w:rsidP="00F86D6E">
      <w:pPr>
        <w:pStyle w:val="Reference"/>
      </w:pPr>
      <w:r>
        <w:t xml:space="preserve">PC (Productivity Commission) 2020a, </w:t>
      </w:r>
      <w:r>
        <w:rPr>
          <w:i/>
          <w:iCs/>
        </w:rPr>
        <w:t>Resources sector regulation</w:t>
      </w:r>
      <w:r>
        <w:t xml:space="preserve">, Study </w:t>
      </w:r>
      <w:r w:rsidR="00412E66">
        <w:t>r</w:t>
      </w:r>
      <w:r>
        <w:t>eport, Canberra.</w:t>
      </w:r>
    </w:p>
    <w:p w14:paraId="4A7D8372" w14:textId="173AA27D" w:rsidR="00947D43" w:rsidRDefault="00947D43" w:rsidP="00F86D6E">
      <w:pPr>
        <w:pStyle w:val="Reference"/>
      </w:pPr>
      <w:r>
        <w:t>——</w:t>
      </w:r>
      <w:r w:rsidR="00822709">
        <w:t> </w:t>
      </w:r>
      <w:r>
        <w:t xml:space="preserve">2020b, </w:t>
      </w:r>
      <w:r>
        <w:rPr>
          <w:i/>
          <w:iCs/>
        </w:rPr>
        <w:t>Victoria’s Commercial Land Use Zoning</w:t>
      </w:r>
      <w:r>
        <w:t>, Productivity Reform Case Study, Canberra.</w:t>
      </w:r>
    </w:p>
    <w:p w14:paraId="4C289204" w14:textId="733674CB" w:rsidR="00947D43" w:rsidRDefault="00947D43" w:rsidP="00F86D6E">
      <w:pPr>
        <w:pStyle w:val="Reference"/>
      </w:pPr>
      <w:r>
        <w:t>——</w:t>
      </w:r>
      <w:r w:rsidR="00822709">
        <w:t> </w:t>
      </w:r>
      <w:r>
        <w:t xml:space="preserve">2021, </w:t>
      </w:r>
      <w:r>
        <w:rPr>
          <w:i/>
          <w:iCs/>
        </w:rPr>
        <w:t>Plan to identify planning and zoning reforms</w:t>
      </w:r>
      <w:r>
        <w:t xml:space="preserve">, Information </w:t>
      </w:r>
      <w:r w:rsidR="00412E66">
        <w:t>p</w:t>
      </w:r>
      <w:r>
        <w:t>aper, Canberra.</w:t>
      </w:r>
    </w:p>
    <w:p w14:paraId="4B7688FB" w14:textId="190B4E0A" w:rsidR="00947D43" w:rsidRDefault="00947D43" w:rsidP="00F86D6E">
      <w:pPr>
        <w:pStyle w:val="Reference"/>
      </w:pPr>
      <w:r>
        <w:t>——</w:t>
      </w:r>
      <w:r w:rsidR="00822709">
        <w:t> </w:t>
      </w:r>
      <w:r>
        <w:t xml:space="preserve">2022, </w:t>
      </w:r>
      <w:r>
        <w:rPr>
          <w:i/>
          <w:iCs/>
        </w:rPr>
        <w:t>In need of repair: the National Housing and Homelessness Agreement</w:t>
      </w:r>
      <w:r>
        <w:t xml:space="preserve">, Study </w:t>
      </w:r>
      <w:r w:rsidR="00412E66">
        <w:t>r</w:t>
      </w:r>
      <w:r>
        <w:t>eport, Canberra.</w:t>
      </w:r>
    </w:p>
    <w:p w14:paraId="1D71E3BF" w14:textId="7A16C8C3" w:rsidR="00947D43" w:rsidRDefault="00947D43" w:rsidP="00F86D6E">
      <w:pPr>
        <w:pStyle w:val="Reference"/>
      </w:pPr>
      <w:r>
        <w:t>——</w:t>
      </w:r>
      <w:r w:rsidR="00822709">
        <w:t> </w:t>
      </w:r>
      <w:r>
        <w:t xml:space="preserve">2025a, </w:t>
      </w:r>
      <w:r>
        <w:rPr>
          <w:i/>
          <w:iCs/>
        </w:rPr>
        <w:t>Creating a more dynamic and resilient economy</w:t>
      </w:r>
      <w:r>
        <w:t>, Inquiry report no. 109, Canberra.</w:t>
      </w:r>
    </w:p>
    <w:p w14:paraId="353AD2B4" w14:textId="23A291F4" w:rsidR="00947D43" w:rsidRDefault="00947D43" w:rsidP="00F86D6E">
      <w:pPr>
        <w:pStyle w:val="Reference"/>
      </w:pPr>
      <w:r>
        <w:t>——</w:t>
      </w:r>
      <w:r w:rsidR="00822709">
        <w:t> </w:t>
      </w:r>
      <w:r>
        <w:t xml:space="preserve">2025b, </w:t>
      </w:r>
      <w:r>
        <w:rPr>
          <w:i/>
          <w:iCs/>
        </w:rPr>
        <w:t>Creating a more dynamic and resilient economy</w:t>
      </w:r>
      <w:r>
        <w:t>, Interim report, July.</w:t>
      </w:r>
    </w:p>
    <w:p w14:paraId="2CB225B3" w14:textId="7EF5CD12" w:rsidR="00947D43" w:rsidRDefault="00947D43" w:rsidP="00F86D6E">
      <w:pPr>
        <w:pStyle w:val="Reference"/>
      </w:pPr>
      <w:r>
        <w:t>——</w:t>
      </w:r>
      <w:r w:rsidR="00822709">
        <w:t> </w:t>
      </w:r>
      <w:r>
        <w:t xml:space="preserve">2025c, </w:t>
      </w:r>
      <w:r>
        <w:rPr>
          <w:i/>
          <w:iCs/>
        </w:rPr>
        <w:t xml:space="preserve">Housing construction productivity: Can we fix </w:t>
      </w:r>
      <w:proofErr w:type="gramStart"/>
      <w:r>
        <w:rPr>
          <w:i/>
          <w:iCs/>
        </w:rPr>
        <w:t>it?</w:t>
      </w:r>
      <w:r>
        <w:t>,</w:t>
      </w:r>
      <w:proofErr w:type="gramEnd"/>
      <w:r>
        <w:t xml:space="preserve"> Research paper, Canberra.</w:t>
      </w:r>
    </w:p>
    <w:p w14:paraId="495D037E" w14:textId="5CEDDD39" w:rsidR="00947D43" w:rsidRDefault="00947D43" w:rsidP="00F86D6E">
      <w:pPr>
        <w:pStyle w:val="Reference"/>
      </w:pPr>
      <w:r>
        <w:t>——</w:t>
      </w:r>
      <w:r w:rsidR="00822709">
        <w:t> </w:t>
      </w:r>
      <w:r>
        <w:t xml:space="preserve">2025d, </w:t>
      </w:r>
      <w:r>
        <w:rPr>
          <w:i/>
          <w:iCs/>
        </w:rPr>
        <w:t>Investing in cheaper cleaner energy and the net zero transformation</w:t>
      </w:r>
      <w:r>
        <w:t>, Interim report, August.</w:t>
      </w:r>
    </w:p>
    <w:p w14:paraId="105BCCD9" w14:textId="77777777" w:rsidR="00947D43" w:rsidRDefault="00947D43" w:rsidP="00F86D6E">
      <w:pPr>
        <w:pStyle w:val="Reference"/>
      </w:pPr>
      <w:r>
        <w:t xml:space="preserve">Phillips, S 2022, </w:t>
      </w:r>
      <w:r>
        <w:rPr>
          <w:i/>
          <w:iCs/>
        </w:rPr>
        <w:t>Building up the ‘zoning buffer’: using broad upzones to increase housing capacity without increasing land values</w:t>
      </w:r>
      <w:r>
        <w:t xml:space="preserve">, The Ralph and Goldy Lewis </w:t>
      </w:r>
      <w:proofErr w:type="spellStart"/>
      <w:r>
        <w:t>Center</w:t>
      </w:r>
      <w:proofErr w:type="spellEnd"/>
      <w:r>
        <w:t xml:space="preserve"> for Regional Policy Studies.</w:t>
      </w:r>
    </w:p>
    <w:p w14:paraId="2CCE4CAB" w14:textId="77777777" w:rsidR="00947D43" w:rsidRDefault="00947D43" w:rsidP="00F86D6E">
      <w:pPr>
        <w:pStyle w:val="Reference"/>
      </w:pPr>
      <w:r>
        <w:t xml:space="preserve">——, Manville, M and Lens, M 2021, </w:t>
      </w:r>
      <w:r>
        <w:rPr>
          <w:i/>
          <w:iCs/>
        </w:rPr>
        <w:t xml:space="preserve">Research roundup: The effect of market-rate development on </w:t>
      </w:r>
      <w:proofErr w:type="spellStart"/>
      <w:r>
        <w:rPr>
          <w:i/>
          <w:iCs/>
        </w:rPr>
        <w:t>neighborhood</w:t>
      </w:r>
      <w:proofErr w:type="spellEnd"/>
      <w:r>
        <w:rPr>
          <w:i/>
          <w:iCs/>
        </w:rPr>
        <w:t xml:space="preserve"> rents</w:t>
      </w:r>
      <w:r>
        <w:t xml:space="preserve">, UCLA Lewis </w:t>
      </w:r>
      <w:proofErr w:type="spellStart"/>
      <w:r>
        <w:t>Center</w:t>
      </w:r>
      <w:proofErr w:type="spellEnd"/>
      <w:r>
        <w:t xml:space="preserve"> for Regional Policy Studies.</w:t>
      </w:r>
    </w:p>
    <w:p w14:paraId="015FF991" w14:textId="77777777" w:rsidR="00947D43" w:rsidRDefault="00947D43" w:rsidP="00F86D6E">
      <w:pPr>
        <w:pStyle w:val="Reference"/>
      </w:pPr>
      <w:r>
        <w:t xml:space="preserve">PIA (Planning Institute of Australia) 2013, </w:t>
      </w:r>
      <w:r>
        <w:rPr>
          <w:i/>
          <w:iCs/>
        </w:rPr>
        <w:t>What is good planning? Position statement</w:t>
      </w:r>
      <w:r>
        <w:t>.</w:t>
      </w:r>
    </w:p>
    <w:p w14:paraId="59F5E10D" w14:textId="168B8509" w:rsidR="00947D43" w:rsidRDefault="00947D43" w:rsidP="00F86D6E">
      <w:pPr>
        <w:pStyle w:val="Reference"/>
      </w:pPr>
      <w:r>
        <w:t>——</w:t>
      </w:r>
      <w:r w:rsidR="00822709">
        <w:t> </w:t>
      </w:r>
      <w:r>
        <w:t xml:space="preserve">2022, </w:t>
      </w:r>
      <w:r>
        <w:rPr>
          <w:i/>
          <w:iCs/>
        </w:rPr>
        <w:t>Role of planning in housing - Position statement</w:t>
      </w:r>
      <w:r>
        <w:t>.</w:t>
      </w:r>
    </w:p>
    <w:p w14:paraId="48C7A476" w14:textId="73B1669A" w:rsidR="00947D43" w:rsidRDefault="00947D43" w:rsidP="00F86D6E">
      <w:pPr>
        <w:pStyle w:val="Reference"/>
      </w:pPr>
      <w:r>
        <w:t>——</w:t>
      </w:r>
      <w:r w:rsidR="00822709">
        <w:t> </w:t>
      </w:r>
      <w:r>
        <w:t xml:space="preserve">2023, </w:t>
      </w:r>
      <w:r>
        <w:rPr>
          <w:i/>
          <w:iCs/>
        </w:rPr>
        <w:t>Planning for the housing we need</w:t>
      </w:r>
      <w:r>
        <w:t>.</w:t>
      </w:r>
    </w:p>
    <w:p w14:paraId="2DFD2806" w14:textId="3755F034" w:rsidR="00947D43" w:rsidRDefault="00947D43" w:rsidP="00F86D6E">
      <w:pPr>
        <w:pStyle w:val="Reference"/>
      </w:pPr>
      <w:r>
        <w:t>——</w:t>
      </w:r>
      <w:r w:rsidR="00822709">
        <w:t> </w:t>
      </w:r>
      <w:r>
        <w:t xml:space="preserve">2025, </w:t>
      </w:r>
      <w:r>
        <w:rPr>
          <w:i/>
          <w:iCs/>
        </w:rPr>
        <w:t>Planning for productivity report</w:t>
      </w:r>
      <w:r>
        <w:t>, Submission prepared for the Australian Government’s Economic Reform Roundtable, July.</w:t>
      </w:r>
    </w:p>
    <w:p w14:paraId="63F529E5" w14:textId="77777777" w:rsidR="00947D43" w:rsidRDefault="00947D43" w:rsidP="00F86D6E">
      <w:pPr>
        <w:pStyle w:val="Reference"/>
      </w:pPr>
      <w:proofErr w:type="spellStart"/>
      <w:r>
        <w:t>PlanSA</w:t>
      </w:r>
      <w:proofErr w:type="spellEnd"/>
      <w:r>
        <w:t xml:space="preserve"> 2020, </w:t>
      </w:r>
      <w:proofErr w:type="spellStart"/>
      <w:r>
        <w:rPr>
          <w:i/>
          <w:iCs/>
        </w:rPr>
        <w:t>PlanSA</w:t>
      </w:r>
      <w:proofErr w:type="spellEnd"/>
      <w:r>
        <w:rPr>
          <w:i/>
          <w:iCs/>
        </w:rPr>
        <w:t xml:space="preserve"> portal website</w:t>
      </w:r>
      <w:r>
        <w:t xml:space="preserve">, </w:t>
      </w:r>
      <w:proofErr w:type="spellStart"/>
      <w:r>
        <w:t>PlanSA</w:t>
      </w:r>
      <w:proofErr w:type="spellEnd"/>
      <w:r>
        <w:t>, https://plan.sa.gov.au/our_planning_system/plan_sa/this_website (accessed 6 July 2026).</w:t>
      </w:r>
    </w:p>
    <w:p w14:paraId="4F552D7A" w14:textId="73DB3BEF" w:rsidR="00947D43" w:rsidRDefault="00947D43" w:rsidP="00F86D6E">
      <w:pPr>
        <w:pStyle w:val="Reference"/>
      </w:pPr>
      <w:r>
        <w:t>——</w:t>
      </w:r>
      <w:r w:rsidR="00822709">
        <w:t> </w:t>
      </w:r>
      <w:r>
        <w:t xml:space="preserve">2025, </w:t>
      </w:r>
      <w:r>
        <w:rPr>
          <w:i/>
          <w:iCs/>
        </w:rPr>
        <w:t>Performance Indicators Scheme Annual Report 2024-25</w:t>
      </w:r>
      <w:r>
        <w:t>, Government of South Australia.</w:t>
      </w:r>
    </w:p>
    <w:p w14:paraId="11BE81C2" w14:textId="77777777" w:rsidR="00947D43" w:rsidRDefault="00947D43" w:rsidP="00F86D6E">
      <w:pPr>
        <w:pStyle w:val="Reference"/>
      </w:pPr>
      <w:r>
        <w:t xml:space="preserve">Property Council of Australia 2024, </w:t>
      </w:r>
      <w:r>
        <w:rPr>
          <w:i/>
          <w:iCs/>
        </w:rPr>
        <w:t>Release the pressure</w:t>
      </w:r>
      <w:r>
        <w:t>, Property Council of Australia.</w:t>
      </w:r>
    </w:p>
    <w:p w14:paraId="54849A2F" w14:textId="77777777" w:rsidR="00947D43" w:rsidRDefault="00947D43" w:rsidP="00F86D6E">
      <w:pPr>
        <w:pStyle w:val="Reference"/>
      </w:pPr>
      <w:r>
        <w:t xml:space="preserve">PwC 2020, </w:t>
      </w:r>
      <w:r>
        <w:rPr>
          <w:i/>
          <w:iCs/>
        </w:rPr>
        <w:t>Methodology report for strategic assessment of the wider costs and benefits of urban development</w:t>
      </w:r>
      <w:r>
        <w:t>, July, PricewaterhouseCoopers Consulting, New Zealand.</w:t>
      </w:r>
    </w:p>
    <w:p w14:paraId="7E1BEB71" w14:textId="77777777" w:rsidR="00947D43" w:rsidRDefault="00947D43" w:rsidP="00F86D6E">
      <w:pPr>
        <w:pStyle w:val="Reference"/>
      </w:pPr>
      <w:r>
        <w:t xml:space="preserve">QLD DSDILGP (QLD Department of State Development, Infrastructure, Local Government and Planning) 2023, </w:t>
      </w:r>
      <w:r>
        <w:rPr>
          <w:i/>
          <w:iCs/>
        </w:rPr>
        <w:t>Shaping SEQ</w:t>
      </w:r>
      <w:r>
        <w:t>.</w:t>
      </w:r>
    </w:p>
    <w:p w14:paraId="10243D3F" w14:textId="77777777" w:rsidR="00947D43" w:rsidRDefault="00947D43" w:rsidP="00F86D6E">
      <w:pPr>
        <w:pStyle w:val="Reference"/>
      </w:pPr>
      <w:r>
        <w:t xml:space="preserve">QPC (Queensland Productivity Commission) 2025, </w:t>
      </w:r>
      <w:r>
        <w:rPr>
          <w:i/>
          <w:iCs/>
        </w:rPr>
        <w:t>Opportunities to improve the productivity of the Queensland construction industry</w:t>
      </w:r>
      <w:r>
        <w:t>, Final report, October.</w:t>
      </w:r>
    </w:p>
    <w:p w14:paraId="594E62A4" w14:textId="77777777" w:rsidR="00947D43" w:rsidRDefault="00947D43" w:rsidP="00F86D6E">
      <w:pPr>
        <w:pStyle w:val="Reference"/>
      </w:pPr>
      <w:r>
        <w:t xml:space="preserve">Quantify 2026, </w:t>
      </w:r>
      <w:r>
        <w:rPr>
          <w:i/>
          <w:iCs/>
        </w:rPr>
        <w:t>Rethinking 70/30: The cost of building where we already live</w:t>
      </w:r>
      <w:r>
        <w:t>, for the Urban Development Institute of Australia.</w:t>
      </w:r>
    </w:p>
    <w:p w14:paraId="2F2B15BB" w14:textId="77777777" w:rsidR="00947D43" w:rsidRDefault="00947D43" w:rsidP="00F86D6E">
      <w:pPr>
        <w:pStyle w:val="Reference"/>
      </w:pPr>
      <w:r>
        <w:t xml:space="preserve">Queensland DSDIP (Queensland Department of State Development, Infrastructure and Planning) 2019, </w:t>
      </w:r>
      <w:r>
        <w:rPr>
          <w:i/>
          <w:iCs/>
        </w:rPr>
        <w:t>SARA fact sheet</w:t>
      </w:r>
      <w:r>
        <w:t>.</w:t>
      </w:r>
    </w:p>
    <w:p w14:paraId="22ED6CD8" w14:textId="3AD54E57" w:rsidR="00947D43" w:rsidRDefault="00947D43" w:rsidP="00F86D6E">
      <w:pPr>
        <w:pStyle w:val="Reference"/>
      </w:pPr>
      <w:r>
        <w:t>——</w:t>
      </w:r>
      <w:r w:rsidR="00822709">
        <w:t> </w:t>
      </w:r>
      <w:r>
        <w:t xml:space="preserve">2021, </w:t>
      </w:r>
      <w:r>
        <w:rPr>
          <w:i/>
          <w:iCs/>
        </w:rPr>
        <w:t>Queensland zoning information: Low density residential zone</w:t>
      </w:r>
      <w:r>
        <w:t>.</w:t>
      </w:r>
    </w:p>
    <w:p w14:paraId="09756002" w14:textId="063962C8" w:rsidR="00947D43" w:rsidRDefault="00947D43" w:rsidP="00F86D6E">
      <w:pPr>
        <w:pStyle w:val="Reference"/>
      </w:pPr>
      <w:r>
        <w:t>——</w:t>
      </w:r>
      <w:r w:rsidR="00822709">
        <w:t> </w:t>
      </w:r>
      <w:r>
        <w:t xml:space="preserve">2022, </w:t>
      </w:r>
      <w:r>
        <w:rPr>
          <w:i/>
          <w:iCs/>
        </w:rPr>
        <w:t>SARA key performance indicators and customer satisfaction survey report 2021-2022</w:t>
      </w:r>
      <w:r>
        <w:t>.</w:t>
      </w:r>
    </w:p>
    <w:p w14:paraId="76F0CF6A" w14:textId="71AB3F03" w:rsidR="00947D43" w:rsidRDefault="00947D43" w:rsidP="00F86D6E">
      <w:pPr>
        <w:pStyle w:val="Reference"/>
      </w:pPr>
      <w:r>
        <w:lastRenderedPageBreak/>
        <w:t>——</w:t>
      </w:r>
      <w:r w:rsidR="00822709">
        <w:t> </w:t>
      </w:r>
      <w:r>
        <w:t xml:space="preserve">2026, </w:t>
      </w:r>
      <w:r>
        <w:rPr>
          <w:i/>
          <w:iCs/>
        </w:rPr>
        <w:t>Growth Area Compact</w:t>
      </w:r>
      <w:r>
        <w:t>, Growth Area Compact, https://www.statedevelopment.qld.gov.au/infrastructure/projects-and-programs/south-east-queensland-seq-city-deal/creating-thriving-communities-for-seq/create-thriving-communities-for-seq-accordion/growth-area-compact (accessed 30 June 2026).</w:t>
      </w:r>
    </w:p>
    <w:p w14:paraId="0F521989" w14:textId="77777777" w:rsidR="00947D43" w:rsidRDefault="00947D43" w:rsidP="00F86D6E">
      <w:pPr>
        <w:pStyle w:val="Reference"/>
      </w:pPr>
      <w:r>
        <w:t xml:space="preserve">Randwick City Council 2026, </w:t>
      </w:r>
      <w:r>
        <w:rPr>
          <w:i/>
          <w:iCs/>
        </w:rPr>
        <w:t>Search Applications</w:t>
      </w:r>
      <w:r>
        <w:t>, https://www.randwick.nsw.gov.au/planning-and-building/search-applications (accessed 6 December 2026).</w:t>
      </w:r>
    </w:p>
    <w:p w14:paraId="5BAA5258" w14:textId="77777777" w:rsidR="00947D43" w:rsidRDefault="00947D43" w:rsidP="00F86D6E">
      <w:pPr>
        <w:pStyle w:val="Reference"/>
      </w:pPr>
      <w:r>
        <w:t xml:space="preserve">Renewal SA (Renewal South Australia) 2025, </w:t>
      </w:r>
      <w:r>
        <w:rPr>
          <w:i/>
          <w:iCs/>
        </w:rPr>
        <w:t>Bowden</w:t>
      </w:r>
      <w:r>
        <w:t>, https://renewalsa.sa.gov.au/projects/bowden (accessed 6 December 2026).</w:t>
      </w:r>
    </w:p>
    <w:p w14:paraId="3025CEF0" w14:textId="77777777" w:rsidR="00947D43" w:rsidRDefault="00947D43" w:rsidP="00F86D6E">
      <w:pPr>
        <w:pStyle w:val="Reference"/>
      </w:pPr>
      <w:r>
        <w:t xml:space="preserve">Roggenbuck, C 2022, </w:t>
      </w:r>
      <w:r>
        <w:rPr>
          <w:i/>
          <w:iCs/>
        </w:rPr>
        <w:t>Housing First: An evidence review of implementation, effectiveness and outcomes</w:t>
      </w:r>
      <w:r>
        <w:t>, Australian Housing and Urban Research Institute.</w:t>
      </w:r>
    </w:p>
    <w:p w14:paraId="3580A647" w14:textId="77777777" w:rsidR="00947D43" w:rsidRDefault="00947D43" w:rsidP="00F86D6E">
      <w:pPr>
        <w:pStyle w:val="Reference"/>
      </w:pPr>
      <w:r>
        <w:t xml:space="preserve">Rollet, V 2025, </w:t>
      </w:r>
      <w:r>
        <w:rPr>
          <w:i/>
          <w:iCs/>
        </w:rPr>
        <w:t>Zoning and the dynamics of urban redevelopment</w:t>
      </w:r>
      <w:r>
        <w:t>, Massachusetts Institute of Technology.</w:t>
      </w:r>
    </w:p>
    <w:p w14:paraId="2377CA83" w14:textId="77777777" w:rsidR="00947D43" w:rsidRDefault="00947D43" w:rsidP="00F86D6E">
      <w:pPr>
        <w:pStyle w:val="Reference"/>
      </w:pPr>
      <w:r>
        <w:t xml:space="preserve">Rowley, S and Phibbs, P 2012, </w:t>
      </w:r>
      <w:r>
        <w:rPr>
          <w:i/>
          <w:iCs/>
        </w:rPr>
        <w:t>Delivering diverse and affordable housing on infill development sites</w:t>
      </w:r>
      <w:r>
        <w:t>, AHURI.</w:t>
      </w:r>
    </w:p>
    <w:p w14:paraId="45A0B977" w14:textId="77777777" w:rsidR="00947D43" w:rsidRDefault="00947D43" w:rsidP="00F86D6E">
      <w:pPr>
        <w:pStyle w:val="Reference"/>
      </w:pPr>
      <w:r>
        <w:t xml:space="preserve">SA DHUD (South Australian Department for Housing and Urban Development) 2025, </w:t>
      </w:r>
      <w:r>
        <w:rPr>
          <w:i/>
          <w:iCs/>
        </w:rPr>
        <w:t>Greater Adelaide regional plan</w:t>
      </w:r>
      <w:r>
        <w:t>, South Australian Government.</w:t>
      </w:r>
    </w:p>
    <w:p w14:paraId="41F7D4B6" w14:textId="77777777" w:rsidR="00947D43" w:rsidRDefault="00947D43" w:rsidP="00F86D6E">
      <w:pPr>
        <w:pStyle w:val="Reference"/>
      </w:pPr>
      <w:proofErr w:type="spellStart"/>
      <w:r>
        <w:t>Sathanapally</w:t>
      </w:r>
      <w:proofErr w:type="spellEnd"/>
      <w:r>
        <w:t xml:space="preserve">, A, Chang, A, Behrens, D and Bowes, M 2026, </w:t>
      </w:r>
      <w:r>
        <w:rPr>
          <w:i/>
          <w:iCs/>
        </w:rPr>
        <w:t>Wasted space: Axe car-parking rules to ease the housing crisis</w:t>
      </w:r>
      <w:r>
        <w:t>, Grattan Institute.</w:t>
      </w:r>
    </w:p>
    <w:p w14:paraId="5BA812B9" w14:textId="77777777" w:rsidR="00947D43" w:rsidRDefault="00947D43" w:rsidP="00F86D6E">
      <w:pPr>
        <w:pStyle w:val="Reference"/>
      </w:pPr>
      <w:r>
        <w:t xml:space="preserve">Saunders, T and Tulip, P 2020, ‘A Model of the Australian Housing Market’, </w:t>
      </w:r>
      <w:r>
        <w:rPr>
          <w:i/>
          <w:iCs/>
        </w:rPr>
        <w:t>Economic Record</w:t>
      </w:r>
      <w:r>
        <w:t>, vol. 96, no. S1, pp. 1–25.</w:t>
      </w:r>
    </w:p>
    <w:p w14:paraId="59E31D6B" w14:textId="77777777" w:rsidR="00947D43" w:rsidRDefault="00947D43" w:rsidP="00F86D6E">
      <w:pPr>
        <w:pStyle w:val="Reference"/>
      </w:pPr>
      <w:r>
        <w:t xml:space="preserve">SGS Economics and Planning 2023, </w:t>
      </w:r>
      <w:r>
        <w:rPr>
          <w:i/>
          <w:iCs/>
        </w:rPr>
        <w:t>Melbourne’s growth management opportunity</w:t>
      </w:r>
      <w:r>
        <w:t>, 16 August.</w:t>
      </w:r>
    </w:p>
    <w:p w14:paraId="78EC8662" w14:textId="77777777" w:rsidR="00947D43" w:rsidRDefault="00947D43" w:rsidP="00F86D6E">
      <w:pPr>
        <w:pStyle w:val="Reference"/>
      </w:pPr>
      <w:r>
        <w:t xml:space="preserve">Sharam, A and Bryant, L 2025, </w:t>
      </w:r>
      <w:r>
        <w:rPr>
          <w:i/>
          <w:iCs/>
        </w:rPr>
        <w:t>Research Paper: Meeting housing supply targets. How long does it take to build apartments in Australia?</w:t>
      </w:r>
    </w:p>
    <w:p w14:paraId="24EC48C0" w14:textId="07BA9FB6" w:rsidR="00947D43" w:rsidRPr="00C81DDD" w:rsidRDefault="00947D43" w:rsidP="00F86D6E">
      <w:pPr>
        <w:pStyle w:val="Reference"/>
        <w:rPr>
          <w:spacing w:val="-4"/>
        </w:rPr>
      </w:pPr>
      <w:r w:rsidRPr="00C81DDD">
        <w:rPr>
          <w:spacing w:val="-4"/>
        </w:rPr>
        <w:t xml:space="preserve">Sorensen, K and Allan Jones, J 2024, </w:t>
      </w:r>
      <w:r w:rsidRPr="00C81DDD">
        <w:rPr>
          <w:i/>
          <w:iCs/>
          <w:spacing w:val="-4"/>
        </w:rPr>
        <w:t xml:space="preserve">Zoning reform in Auckland </w:t>
      </w:r>
      <w:r w:rsidR="00C81DDD">
        <w:rPr>
          <w:i/>
          <w:iCs/>
          <w:spacing w:val="-4"/>
        </w:rPr>
        <w:t>–</w:t>
      </w:r>
      <w:r w:rsidRPr="00C81DDD">
        <w:rPr>
          <w:i/>
          <w:iCs/>
          <w:spacing w:val="-4"/>
        </w:rPr>
        <w:t xml:space="preserve"> What can we learn from the emerging </w:t>
      </w:r>
      <w:proofErr w:type="gramStart"/>
      <w:r w:rsidRPr="00C81DDD">
        <w:rPr>
          <w:i/>
          <w:iCs/>
          <w:spacing w:val="-4"/>
        </w:rPr>
        <w:t>literature?</w:t>
      </w:r>
      <w:r w:rsidRPr="00C81DDD">
        <w:rPr>
          <w:spacing w:val="-4"/>
        </w:rPr>
        <w:t>,</w:t>
      </w:r>
      <w:proofErr w:type="gramEnd"/>
      <w:r w:rsidRPr="00C81DDD">
        <w:rPr>
          <w:spacing w:val="-4"/>
        </w:rPr>
        <w:t xml:space="preserve"> Insights Paper, March, Auckland Council Chief Economist Unit.</w:t>
      </w:r>
    </w:p>
    <w:p w14:paraId="17AFBE00" w14:textId="77777777" w:rsidR="00947D43" w:rsidRDefault="00947D43" w:rsidP="00F86D6E">
      <w:pPr>
        <w:pStyle w:val="Reference"/>
      </w:pPr>
      <w:r>
        <w:t xml:space="preserve">Strata Community Association 2025, </w:t>
      </w:r>
      <w:r>
        <w:rPr>
          <w:i/>
          <w:iCs/>
        </w:rPr>
        <w:t>Statutory Review of the Owners Corporations Act 2006 Submission</w:t>
      </w:r>
      <w:r>
        <w:t>.</w:t>
      </w:r>
    </w:p>
    <w:p w14:paraId="4C18CE15" w14:textId="77777777" w:rsidR="00947D43" w:rsidRDefault="00947D43" w:rsidP="00F86D6E">
      <w:pPr>
        <w:pStyle w:val="Reference"/>
      </w:pPr>
      <w:r>
        <w:t xml:space="preserve">Swartz, B 2015, </w:t>
      </w:r>
      <w:r>
        <w:rPr>
          <w:i/>
          <w:iCs/>
        </w:rPr>
        <w:t>Darlinghurst apartment</w:t>
      </w:r>
      <w:r>
        <w:t>, Brad Swartz Architects, Brad Swartz Architects, https://bradswartz.com.au/project/darlinghurst-apartment/ (accessed 25 May 2026).</w:t>
      </w:r>
    </w:p>
    <w:p w14:paraId="6EA6CB6D" w14:textId="77777777" w:rsidR="00947D43" w:rsidRDefault="00947D43" w:rsidP="00F86D6E">
      <w:pPr>
        <w:pStyle w:val="Reference"/>
      </w:pPr>
      <w:r>
        <w:t xml:space="preserve">Treasury 2026a, </w:t>
      </w:r>
      <w:r>
        <w:rPr>
          <w:i/>
          <w:iCs/>
        </w:rPr>
        <w:t>National planning reform blueprint – metric report compiled - September 2025</w:t>
      </w:r>
      <w:r>
        <w:t>.</w:t>
      </w:r>
    </w:p>
    <w:p w14:paraId="0FD6FF99" w14:textId="35BF70A0" w:rsidR="00947D43" w:rsidRDefault="00947D43" w:rsidP="00F86D6E">
      <w:pPr>
        <w:pStyle w:val="Reference"/>
      </w:pPr>
      <w:r>
        <w:t>——</w:t>
      </w:r>
      <w:r w:rsidR="00822709">
        <w:t> </w:t>
      </w:r>
      <w:r>
        <w:t xml:space="preserve">2023, </w:t>
      </w:r>
      <w:r>
        <w:rPr>
          <w:i/>
          <w:iCs/>
        </w:rPr>
        <w:t>Intergenerational report 2023: Australia’s future to 2063</w:t>
      </w:r>
      <w:r>
        <w:t>, The Commonwealth of Australia, Canberra.</w:t>
      </w:r>
    </w:p>
    <w:p w14:paraId="461852BE" w14:textId="0CE6FA5C" w:rsidR="00947D43" w:rsidRDefault="00947D43" w:rsidP="00F86D6E">
      <w:pPr>
        <w:pStyle w:val="Reference"/>
      </w:pPr>
      <w:r>
        <w:t>——</w:t>
      </w:r>
      <w:r w:rsidR="00822709">
        <w:t> </w:t>
      </w:r>
      <w:r>
        <w:t xml:space="preserve">2024, </w:t>
      </w:r>
      <w:r>
        <w:rPr>
          <w:i/>
          <w:iCs/>
        </w:rPr>
        <w:t>Delivering the National Housing Accord | Treasury.gov.au</w:t>
      </w:r>
      <w:r>
        <w:t>, text, Department of the Treasury, https://treasury.gov.au/policy-topics/housing/accord (accessed 2 July 2026).</w:t>
      </w:r>
    </w:p>
    <w:p w14:paraId="2E2B2BC6" w14:textId="469D4F64" w:rsidR="00947D43" w:rsidRDefault="00947D43" w:rsidP="00F86D6E">
      <w:pPr>
        <w:pStyle w:val="Reference"/>
      </w:pPr>
      <w:r>
        <w:t>——</w:t>
      </w:r>
      <w:r w:rsidR="00822709">
        <w:t> </w:t>
      </w:r>
      <w:r>
        <w:t xml:space="preserve">2026b, </w:t>
      </w:r>
      <w:r>
        <w:rPr>
          <w:i/>
          <w:iCs/>
        </w:rPr>
        <w:t>National Construction Code Modernisation Project Interim Report</w:t>
      </w:r>
      <w:r>
        <w:t>, 30 April.</w:t>
      </w:r>
    </w:p>
    <w:p w14:paraId="493B2239" w14:textId="77777777" w:rsidR="00947D43" w:rsidRDefault="00947D43" w:rsidP="00F86D6E">
      <w:pPr>
        <w:pStyle w:val="Reference"/>
      </w:pPr>
      <w:r>
        <w:t xml:space="preserve">Tulip, P 2021, </w:t>
      </w:r>
      <w:r>
        <w:rPr>
          <w:i/>
          <w:iCs/>
        </w:rPr>
        <w:t>Misunderstandings about planning restrictions</w:t>
      </w:r>
      <w:r>
        <w:t>.</w:t>
      </w:r>
    </w:p>
    <w:p w14:paraId="7C9CAFA2" w14:textId="328BBDE4" w:rsidR="00947D43" w:rsidRDefault="00947D43" w:rsidP="00F86D6E">
      <w:pPr>
        <w:pStyle w:val="Reference"/>
      </w:pPr>
      <w:r>
        <w:t>——</w:t>
      </w:r>
      <w:r w:rsidR="00822709">
        <w:t> </w:t>
      </w:r>
      <w:r>
        <w:t xml:space="preserve">2026, </w:t>
      </w:r>
      <w:r>
        <w:rPr>
          <w:i/>
          <w:iCs/>
        </w:rPr>
        <w:t>Reform of heritage legislation</w:t>
      </w:r>
      <w:r>
        <w:t>, Policy Paper, February, 62, The Centre for Independent Studies.</w:t>
      </w:r>
    </w:p>
    <w:p w14:paraId="220ACC45" w14:textId="77777777" w:rsidR="00947D43" w:rsidRDefault="00947D43" w:rsidP="00F86D6E">
      <w:pPr>
        <w:pStyle w:val="Reference"/>
      </w:pPr>
      <w:r>
        <w:t xml:space="preserve">—— and Lanigan, Z 2021, </w:t>
      </w:r>
      <w:r>
        <w:rPr>
          <w:i/>
          <w:iCs/>
        </w:rPr>
        <w:t xml:space="preserve">Does high-rise development damage neighbourhood </w:t>
      </w:r>
      <w:proofErr w:type="gramStart"/>
      <w:r>
        <w:rPr>
          <w:i/>
          <w:iCs/>
        </w:rPr>
        <w:t>character?</w:t>
      </w:r>
      <w:r>
        <w:t>,</w:t>
      </w:r>
      <w:proofErr w:type="gramEnd"/>
      <w:r>
        <w:t xml:space="preserve"> Policy Paper, 40, Centre for Independent Studies.</w:t>
      </w:r>
    </w:p>
    <w:p w14:paraId="134B34A2" w14:textId="77777777" w:rsidR="00947D43" w:rsidRDefault="00947D43" w:rsidP="00F86D6E">
      <w:pPr>
        <w:pStyle w:val="Reference"/>
      </w:pPr>
      <w:r>
        <w:t xml:space="preserve">UDIA (Urban Development Institute of Australia) 2022, </w:t>
      </w:r>
      <w:r>
        <w:rPr>
          <w:i/>
          <w:iCs/>
        </w:rPr>
        <w:t>Greenfield land supply pipeline report</w:t>
      </w:r>
      <w:r>
        <w:t>, pp. 1–36.</w:t>
      </w:r>
    </w:p>
    <w:p w14:paraId="472EDBDB" w14:textId="54B7CCF3" w:rsidR="00947D43" w:rsidRDefault="00947D43" w:rsidP="00F86D6E">
      <w:pPr>
        <w:pStyle w:val="Reference"/>
      </w:pPr>
      <w:r>
        <w:t>——</w:t>
      </w:r>
      <w:r w:rsidR="00822709">
        <w:t> </w:t>
      </w:r>
      <w:r>
        <w:t xml:space="preserve">2026, </w:t>
      </w:r>
      <w:r>
        <w:rPr>
          <w:i/>
          <w:iCs/>
        </w:rPr>
        <w:t>State of the land 2026</w:t>
      </w:r>
      <w:r>
        <w:t>.</w:t>
      </w:r>
    </w:p>
    <w:p w14:paraId="6BB53274" w14:textId="77777777" w:rsidR="00947D43" w:rsidRDefault="00947D43" w:rsidP="00F86D6E">
      <w:pPr>
        <w:pStyle w:val="Reference"/>
      </w:pPr>
      <w:r>
        <w:t xml:space="preserve">Victorian DELWP (Victorian Department of Environment, Land, Water and Planning) 2018, </w:t>
      </w:r>
      <w:r>
        <w:rPr>
          <w:i/>
          <w:iCs/>
        </w:rPr>
        <w:t>Housing outcomes in established Melbourne 2005 to 2017</w:t>
      </w:r>
      <w:r>
        <w:t>.</w:t>
      </w:r>
    </w:p>
    <w:p w14:paraId="215D7A70" w14:textId="77777777" w:rsidR="00947D43" w:rsidRDefault="00947D43" w:rsidP="00F86D6E">
      <w:pPr>
        <w:pStyle w:val="Reference"/>
      </w:pPr>
      <w:r>
        <w:t xml:space="preserve">Victorian DTP (Victorian Department of Transport and Planning) 2024a, </w:t>
      </w:r>
      <w:r>
        <w:rPr>
          <w:i/>
          <w:iCs/>
        </w:rPr>
        <w:t>PPN43: Understanding neighbourhood character</w:t>
      </w:r>
      <w:r>
        <w:t>, Planning, Planning, https://www.planning.vic.gov.au/guides-and-resources/guides/planning-practice-notes/understanding-neighbourhood-character (accessed 23 June 2026).</w:t>
      </w:r>
    </w:p>
    <w:p w14:paraId="1A2EDC8D" w14:textId="377CF03B" w:rsidR="00947D43" w:rsidRDefault="00947D43" w:rsidP="00F86D6E">
      <w:pPr>
        <w:pStyle w:val="Reference"/>
      </w:pPr>
      <w:r>
        <w:t>——</w:t>
      </w:r>
      <w:r w:rsidR="00822709">
        <w:t> </w:t>
      </w:r>
      <w:r>
        <w:t xml:space="preserve">2024b, </w:t>
      </w:r>
      <w:r>
        <w:rPr>
          <w:i/>
          <w:iCs/>
        </w:rPr>
        <w:t>Yarra Ranges case study</w:t>
      </w:r>
      <w:r>
        <w:t>, Planning, Yarra Ranges case study, https://www.planning.vic.gov.au/guides-and-resources/council-resources/digital-planning-grants/yarra-ranges (accessed 9 July 2026).</w:t>
      </w:r>
    </w:p>
    <w:p w14:paraId="12CFDA1A" w14:textId="0078B8DD" w:rsidR="00947D43" w:rsidRDefault="00947D43" w:rsidP="00F86D6E">
      <w:pPr>
        <w:pStyle w:val="Reference"/>
      </w:pPr>
      <w:r>
        <w:t>——</w:t>
      </w:r>
      <w:r w:rsidR="00822709">
        <w:t> </w:t>
      </w:r>
      <w:r>
        <w:t xml:space="preserve">2025a, </w:t>
      </w:r>
      <w:r>
        <w:rPr>
          <w:i/>
          <w:iCs/>
        </w:rPr>
        <w:t>Clause 52.06: Car parking</w:t>
      </w:r>
      <w:r>
        <w:t>, Planning, Planning, https://www.planning.vic.gov.au/guides-and-resources/guides/all-guides/car-parking-requirements (accessed 26 June 2026).</w:t>
      </w:r>
    </w:p>
    <w:p w14:paraId="4AEED8DB" w14:textId="1278804A" w:rsidR="00947D43" w:rsidRDefault="00947D43" w:rsidP="00F86D6E">
      <w:pPr>
        <w:pStyle w:val="Reference"/>
      </w:pPr>
      <w:r>
        <w:t>——</w:t>
      </w:r>
      <w:r w:rsidR="00822709">
        <w:t> </w:t>
      </w:r>
      <w:r>
        <w:t xml:space="preserve">2025b, </w:t>
      </w:r>
      <w:r>
        <w:rPr>
          <w:i/>
          <w:iCs/>
        </w:rPr>
        <w:t>Housing targets</w:t>
      </w:r>
      <w:r>
        <w:t>, https://www.planning.vic.gov.au/planforvictoria/housing-for-all-victorians/housing-targets (accessed 30 June 2026).</w:t>
      </w:r>
    </w:p>
    <w:p w14:paraId="4802395A" w14:textId="343E11AE" w:rsidR="00947D43" w:rsidRDefault="00947D43" w:rsidP="00F86D6E">
      <w:pPr>
        <w:pStyle w:val="Reference"/>
      </w:pPr>
      <w:r>
        <w:t>——</w:t>
      </w:r>
      <w:r w:rsidR="00822709">
        <w:t> </w:t>
      </w:r>
      <w:r>
        <w:t xml:space="preserve">2026a, </w:t>
      </w:r>
      <w:proofErr w:type="gramStart"/>
      <w:r>
        <w:rPr>
          <w:i/>
          <w:iCs/>
        </w:rPr>
        <w:t>Commonly</w:t>
      </w:r>
      <w:proofErr w:type="gramEnd"/>
      <w:r>
        <w:rPr>
          <w:i/>
          <w:iCs/>
        </w:rPr>
        <w:t xml:space="preserve"> asked questions | Stage 2 Activity Centres Program – Phase 2: Sharing our draft maps</w:t>
      </w:r>
      <w:r>
        <w:t>, Engage Victoria, https://engage.vic.gov.au/project/activity-centres-program-stage-two/page/faqs (accessed 22 June 2026).</w:t>
      </w:r>
    </w:p>
    <w:p w14:paraId="185F0BD6" w14:textId="53A7DA16" w:rsidR="00947D43" w:rsidRPr="00C81DDD" w:rsidRDefault="00947D43" w:rsidP="00F86D6E">
      <w:pPr>
        <w:pStyle w:val="Reference"/>
        <w:rPr>
          <w:spacing w:val="-4"/>
        </w:rPr>
      </w:pPr>
      <w:r w:rsidRPr="00C81DDD">
        <w:rPr>
          <w:spacing w:val="-4"/>
        </w:rPr>
        <w:t>——</w:t>
      </w:r>
      <w:r w:rsidR="00822709" w:rsidRPr="00C81DDD">
        <w:rPr>
          <w:spacing w:val="-4"/>
        </w:rPr>
        <w:t> </w:t>
      </w:r>
      <w:r w:rsidRPr="00C81DDD">
        <w:rPr>
          <w:spacing w:val="-4"/>
        </w:rPr>
        <w:t xml:space="preserve">2026b, </w:t>
      </w:r>
      <w:r w:rsidRPr="00C81DDD">
        <w:rPr>
          <w:i/>
          <w:iCs/>
          <w:spacing w:val="-4"/>
        </w:rPr>
        <w:t>Planning permit activity reporting</w:t>
      </w:r>
      <w:r w:rsidRPr="00C81DDD">
        <w:rPr>
          <w:spacing w:val="-4"/>
        </w:rPr>
        <w:t>, Data Dashboard.</w:t>
      </w:r>
    </w:p>
    <w:p w14:paraId="1155D7ED" w14:textId="774964F1" w:rsidR="00947D43" w:rsidRDefault="00947D43" w:rsidP="00F86D6E">
      <w:pPr>
        <w:pStyle w:val="Reference"/>
      </w:pPr>
      <w:r>
        <w:t>——</w:t>
      </w:r>
      <w:r w:rsidR="00822709">
        <w:t> </w:t>
      </w:r>
      <w:r>
        <w:t xml:space="preserve">2026c, </w:t>
      </w:r>
      <w:r>
        <w:rPr>
          <w:i/>
          <w:iCs/>
        </w:rPr>
        <w:t>PPN91: Using the residential zones</w:t>
      </w:r>
      <w:r>
        <w:t>, Planning.</w:t>
      </w:r>
    </w:p>
    <w:p w14:paraId="25496801" w14:textId="0411E6BB" w:rsidR="00947D43" w:rsidRDefault="00947D43" w:rsidP="00F86D6E">
      <w:pPr>
        <w:pStyle w:val="Reference"/>
      </w:pPr>
      <w:r>
        <w:t>——</w:t>
      </w:r>
      <w:r w:rsidR="00822709">
        <w:t> </w:t>
      </w:r>
      <w:r>
        <w:t xml:space="preserve">2026d, </w:t>
      </w:r>
      <w:r>
        <w:rPr>
          <w:i/>
          <w:iCs/>
        </w:rPr>
        <w:t>Townhouse and low-rise code guidelines</w:t>
      </w:r>
      <w:r>
        <w:t>, p. 3.</w:t>
      </w:r>
    </w:p>
    <w:p w14:paraId="0C27BE17" w14:textId="556B8A71" w:rsidR="00947D43" w:rsidRDefault="00947D43" w:rsidP="00F86D6E">
      <w:pPr>
        <w:pStyle w:val="Reference"/>
      </w:pPr>
      <w:r>
        <w:t>——</w:t>
      </w:r>
      <w:r w:rsidR="00822709">
        <w:t> </w:t>
      </w:r>
      <w:r>
        <w:t xml:space="preserve">2026e, </w:t>
      </w:r>
      <w:r>
        <w:rPr>
          <w:i/>
          <w:iCs/>
        </w:rPr>
        <w:t>Train and tram zone activity centres program</w:t>
      </w:r>
      <w:r>
        <w:t>, Victorian Department of Transport and Planning, https://www.planning.vic.gov.au/guides-and-resources/strategies-and-initiatives/train-and-tram-zone-activity-centres (accessed 11 June 2026).</w:t>
      </w:r>
    </w:p>
    <w:p w14:paraId="7B894A76" w14:textId="77777777" w:rsidR="00947D43" w:rsidRDefault="00947D43" w:rsidP="00F86D6E">
      <w:pPr>
        <w:pStyle w:val="Reference"/>
      </w:pPr>
      <w:r>
        <w:t xml:space="preserve">WA DPLH (WA Department of Planning, Lands and Heritage) 2025, </w:t>
      </w:r>
      <w:r>
        <w:rPr>
          <w:i/>
          <w:iCs/>
        </w:rPr>
        <w:t>National planning reform blueprint Western Australia September 2024 progress report</w:t>
      </w:r>
      <w:r>
        <w:t>.</w:t>
      </w:r>
    </w:p>
    <w:p w14:paraId="5CFA7964" w14:textId="600F1A0C" w:rsidR="00947D43" w:rsidRDefault="00947D43" w:rsidP="00F86D6E">
      <w:pPr>
        <w:pStyle w:val="Reference"/>
      </w:pPr>
      <w:r>
        <w:t xml:space="preserve">WA Government (WA Government) 2026, </w:t>
      </w:r>
      <w:r>
        <w:rPr>
          <w:i/>
          <w:iCs/>
        </w:rPr>
        <w:t>Planning code reforms to unlock infill housing opportunities</w:t>
      </w:r>
      <w:r>
        <w:t>, https://www.wa.gov.au/government/media-statements/</w:t>
      </w:r>
      <w:r w:rsidR="00C81DDD">
        <w:br/>
      </w:r>
      <w:r>
        <w:t>Cook%20Labor%20Government/Planning-code-reforms-to-unlock-infill-housing-opportunities--20260702 (accessed 7</w:t>
      </w:r>
      <w:r w:rsidR="00C81DDD">
        <w:t> </w:t>
      </w:r>
      <w:r>
        <w:t>July 2026).</w:t>
      </w:r>
    </w:p>
    <w:p w14:paraId="100FDA28" w14:textId="77777777" w:rsidR="00947D43" w:rsidRDefault="00947D43" w:rsidP="00F86D6E">
      <w:pPr>
        <w:pStyle w:val="Reference"/>
      </w:pPr>
      <w:r>
        <w:t xml:space="preserve">WA Planning Commission 2024, </w:t>
      </w:r>
      <w:r>
        <w:rPr>
          <w:i/>
          <w:iCs/>
        </w:rPr>
        <w:t>Overview of the WA planning system</w:t>
      </w:r>
      <w:r>
        <w:t>, https://www.planning.wa.gov.au/how-does-planning-work/planning-instruments-used-across-the-wa-planning-system (accessed 9 July 2026).</w:t>
      </w:r>
    </w:p>
    <w:p w14:paraId="4B30E86D" w14:textId="45F2C07B" w:rsidR="00947D43" w:rsidRDefault="00947D43" w:rsidP="00F86D6E">
      <w:pPr>
        <w:pStyle w:val="Reference"/>
      </w:pPr>
      <w:r>
        <w:t>——</w:t>
      </w:r>
      <w:r w:rsidR="00822709">
        <w:t> </w:t>
      </w:r>
      <w:r>
        <w:t xml:space="preserve">2025, </w:t>
      </w:r>
      <w:r>
        <w:rPr>
          <w:i/>
          <w:iCs/>
        </w:rPr>
        <w:t>Urban growth monitor Perth metropolitan, Peel and Greater Bunbury regions</w:t>
      </w:r>
      <w:r>
        <w:t>.</w:t>
      </w:r>
    </w:p>
    <w:p w14:paraId="2E518AC5" w14:textId="77777777" w:rsidR="00947D43" w:rsidRDefault="00947D43" w:rsidP="00F86D6E">
      <w:pPr>
        <w:pStyle w:val="Reference"/>
      </w:pPr>
      <w:r>
        <w:t xml:space="preserve">WA State Administrative Tribunal (Western Australian State Administrative Tribunal) 2019, </w:t>
      </w:r>
      <w:r>
        <w:rPr>
          <w:i/>
          <w:iCs/>
        </w:rPr>
        <w:t>2019 WASAT 59</w:t>
      </w:r>
      <w:r>
        <w:t>, Court decision, 5 August.</w:t>
      </w:r>
    </w:p>
    <w:p w14:paraId="094573FF" w14:textId="77777777" w:rsidR="00947D43" w:rsidRDefault="00947D43" w:rsidP="00F86D6E">
      <w:pPr>
        <w:pStyle w:val="Reference"/>
      </w:pPr>
      <w:r>
        <w:t xml:space="preserve">WALGA (Western Australian Local Government Association) 2025a, </w:t>
      </w:r>
      <w:r>
        <w:rPr>
          <w:i/>
          <w:iCs/>
        </w:rPr>
        <w:t>Development Assessment Panels 2011-2024 Review</w:t>
      </w:r>
      <w:r>
        <w:t>.</w:t>
      </w:r>
    </w:p>
    <w:p w14:paraId="487FBB9A" w14:textId="796686B7" w:rsidR="00947D43" w:rsidRPr="006A2B01" w:rsidRDefault="00947D43" w:rsidP="00F86D6E">
      <w:pPr>
        <w:pStyle w:val="Reference"/>
        <w:rPr>
          <w:spacing w:val="-4"/>
        </w:rPr>
      </w:pPr>
      <w:r w:rsidRPr="006A2B01">
        <w:rPr>
          <w:spacing w:val="-4"/>
        </w:rPr>
        <w:t>——</w:t>
      </w:r>
      <w:r w:rsidR="00822709" w:rsidRPr="006A2B01">
        <w:rPr>
          <w:spacing w:val="-4"/>
        </w:rPr>
        <w:t> </w:t>
      </w:r>
      <w:r w:rsidRPr="006A2B01">
        <w:rPr>
          <w:spacing w:val="-4"/>
        </w:rPr>
        <w:t xml:space="preserve">2025b, </w:t>
      </w:r>
      <w:r w:rsidRPr="006A2B01">
        <w:rPr>
          <w:i/>
          <w:iCs/>
          <w:spacing w:val="-4"/>
        </w:rPr>
        <w:t>Significant Development Pathway 2020-2025 Review</w:t>
      </w:r>
      <w:r w:rsidRPr="006A2B01">
        <w:rPr>
          <w:spacing w:val="-4"/>
        </w:rPr>
        <w:t>.</w:t>
      </w:r>
    </w:p>
    <w:p w14:paraId="674CE519" w14:textId="77777777" w:rsidR="00947D43" w:rsidRDefault="00947D43" w:rsidP="007349AB">
      <w:pPr>
        <w:pStyle w:val="Reference"/>
        <w:keepNext/>
        <w:keepLines/>
      </w:pPr>
      <w:r>
        <w:t xml:space="preserve">Wang, Y, Marsella, A and Melo, V 2025, </w:t>
      </w:r>
      <w:r>
        <w:rPr>
          <w:i/>
          <w:iCs/>
        </w:rPr>
        <w:t>Effects of Minneapolis upzoning on house prices: Evidence from the Minneapolis 2040 plan</w:t>
      </w:r>
      <w:r>
        <w:t>, SSRN Scholarly Paper, 10 July, Social Science Research Network, Rochester, NY.</w:t>
      </w:r>
    </w:p>
    <w:p w14:paraId="0BFDEE57" w14:textId="77777777" w:rsidR="00947D43" w:rsidRDefault="00947D43" w:rsidP="00F86D6E">
      <w:pPr>
        <w:pStyle w:val="Reference"/>
      </w:pPr>
      <w:r>
        <w:t xml:space="preserve">Wiener, S 2017, </w:t>
      </w:r>
      <w:r>
        <w:rPr>
          <w:i/>
          <w:iCs/>
        </w:rPr>
        <w:t>Senate Bill</w:t>
      </w:r>
      <w:r>
        <w:t>, 35.</w:t>
      </w:r>
    </w:p>
    <w:p w14:paraId="72B2D8A7" w14:textId="77777777" w:rsidR="00947D43" w:rsidRDefault="00947D43" w:rsidP="00F86D6E">
      <w:pPr>
        <w:pStyle w:val="Reference"/>
      </w:pPr>
      <w:r>
        <w:t xml:space="preserve">Yates, J 2015, </w:t>
      </w:r>
      <w:r>
        <w:rPr>
          <w:i/>
          <w:iCs/>
        </w:rPr>
        <w:t>Trends in home ownership: causes, consequences and solutions</w:t>
      </w:r>
      <w:r>
        <w:t xml:space="preserve">, Submission to the Standing </w:t>
      </w:r>
      <w:r>
        <w:lastRenderedPageBreak/>
        <w:t>Committee on Economics Inquiry into Home Ownership, University of Sydney.</w:t>
      </w:r>
    </w:p>
    <w:p w14:paraId="27AD358E" w14:textId="77777777" w:rsidR="00947D43" w:rsidRDefault="00947D43" w:rsidP="00F86D6E">
      <w:pPr>
        <w:pStyle w:val="Reference"/>
      </w:pPr>
      <w:r>
        <w:t xml:space="preserve">YIMBY Melbourne 2024, </w:t>
      </w:r>
      <w:r>
        <w:rPr>
          <w:i/>
          <w:iCs/>
        </w:rPr>
        <w:t>What’s ruining our city’s architecture? (And how we can fix it)</w:t>
      </w:r>
      <w:r>
        <w:t>, Upper-level Setbacks Delenda Est – YIMBY Melbourne, https://setbacks.yimby.melbourne/ (accessed 11 June 2026).</w:t>
      </w:r>
    </w:p>
    <w:p w14:paraId="3AEC5A09" w14:textId="7212825C" w:rsidR="00947D43" w:rsidRDefault="00947D43" w:rsidP="00F86D6E">
      <w:pPr>
        <w:pStyle w:val="Reference"/>
      </w:pPr>
      <w:r>
        <w:t>——</w:t>
      </w:r>
      <w:r w:rsidR="00822709">
        <w:t> </w:t>
      </w:r>
      <w:r>
        <w:t xml:space="preserve">2025, </w:t>
      </w:r>
      <w:r>
        <w:rPr>
          <w:i/>
          <w:iCs/>
        </w:rPr>
        <w:t>The Townhouse Code unlocks city-wide, code-assessed upzoning</w:t>
      </w:r>
      <w:r>
        <w:t>, YIMBY Melbourne, https://yimby.melbourne/impact/wins/the-townhouse-code (accessed 23 June 2026).</w:t>
      </w:r>
    </w:p>
    <w:p w14:paraId="1846CFC2" w14:textId="252F6EC6" w:rsidR="00947D43" w:rsidRDefault="00947D43" w:rsidP="00F86D6E">
      <w:pPr>
        <w:pStyle w:val="Reference"/>
      </w:pPr>
      <w:r>
        <w:t>——</w:t>
      </w:r>
      <w:r w:rsidR="00822709">
        <w:t> </w:t>
      </w:r>
      <w:r>
        <w:t xml:space="preserve">2026a, </w:t>
      </w:r>
      <w:r>
        <w:rPr>
          <w:i/>
          <w:iCs/>
        </w:rPr>
        <w:t>Final 23 Activity Centres most ambitious yet, but unnecessary constraints remain</w:t>
      </w:r>
      <w:r>
        <w:t xml:space="preserve">, YIMBY Melbourne, </w:t>
      </w:r>
      <w:r>
        <w:t>https://yimby.melbourne/news/final-23-activity-centres-most-ambitious-yet-but-unnecessary-constraints-remain (accessed 11 June 2026).</w:t>
      </w:r>
    </w:p>
    <w:p w14:paraId="6F9CF9B3" w14:textId="0C5BE4F7" w:rsidR="00947D43" w:rsidRDefault="00947D43" w:rsidP="00F86D6E">
      <w:pPr>
        <w:pStyle w:val="Reference"/>
      </w:pPr>
      <w:r>
        <w:t>——</w:t>
      </w:r>
      <w:r w:rsidR="00822709">
        <w:t> </w:t>
      </w:r>
      <w:r>
        <w:t xml:space="preserve">2026b, </w:t>
      </w:r>
      <w:r>
        <w:rPr>
          <w:i/>
          <w:iCs/>
        </w:rPr>
        <w:t>Reform menu</w:t>
      </w:r>
      <w:r>
        <w:t>, Australian Zoning Atlas, https://zoning.org.au/reforms/ (accessed 14 July 2026).</w:t>
      </w:r>
    </w:p>
    <w:p w14:paraId="1E727CCD" w14:textId="77777777" w:rsidR="00822709" w:rsidRDefault="00947D43" w:rsidP="00F86D6E">
      <w:pPr>
        <w:pStyle w:val="Reference"/>
      </w:pPr>
      <w:r>
        <w:t xml:space="preserve">Zhang, Z, Tan, Y, Shi, L, Hou, L and Zhang, G 2022, ‘Current state of using prefabricated construction in Australia’, </w:t>
      </w:r>
      <w:r>
        <w:rPr>
          <w:i/>
          <w:iCs/>
        </w:rPr>
        <w:t>Buildings</w:t>
      </w:r>
      <w:r>
        <w:t>, vol. 12, no. 9.</w:t>
      </w:r>
    </w:p>
    <w:p w14:paraId="2A6271EA" w14:textId="77777777" w:rsidR="006A2B01" w:rsidRDefault="006A2B01" w:rsidP="00F86D6E">
      <w:pPr>
        <w:pStyle w:val="Reference"/>
      </w:pPr>
    </w:p>
    <w:p w14:paraId="661876AF" w14:textId="77777777" w:rsidR="007349AB" w:rsidRDefault="007349AB" w:rsidP="00F86D6E">
      <w:pPr>
        <w:pStyle w:val="Reference"/>
      </w:pPr>
    </w:p>
    <w:p w14:paraId="3C6B8E94" w14:textId="640F9883" w:rsidR="00BE0006" w:rsidRDefault="00BE0006" w:rsidP="00F86D6E">
      <w:pPr>
        <w:pStyle w:val="Reference"/>
        <w:sectPr w:rsidR="00BE0006" w:rsidSect="002F3244">
          <w:type w:val="continuous"/>
          <w:pgSz w:w="11906" w:h="16838" w:code="9"/>
          <w:pgMar w:top="1134" w:right="1134" w:bottom="1134" w:left="1134" w:header="794" w:footer="510" w:gutter="0"/>
          <w:cols w:num="2" w:space="708"/>
          <w:docGrid w:linePitch="360"/>
        </w:sectPr>
      </w:pPr>
    </w:p>
    <w:p w14:paraId="484FCC57" w14:textId="43F713C5" w:rsidR="00770BD4" w:rsidRPr="00770BD4" w:rsidRDefault="00770BD4" w:rsidP="00F86D6E">
      <w:pPr>
        <w:pStyle w:val="Reference"/>
      </w:pPr>
    </w:p>
    <w:sectPr w:rsidR="00770BD4" w:rsidRPr="00770BD4" w:rsidSect="002F3244">
      <w:type w:val="continuous"/>
      <w:pgSz w:w="11906" w:h="16838" w:code="9"/>
      <w:pgMar w:top="1134" w:right="1134" w:bottom="1134" w:left="1134" w:header="794" w:footer="51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89878" w14:textId="77777777" w:rsidR="007C23BA" w:rsidRPr="000429D1" w:rsidRDefault="007C23BA" w:rsidP="008017BC">
      <w:r w:rsidRPr="000429D1">
        <w:separator/>
      </w:r>
    </w:p>
    <w:p w14:paraId="25AE3632" w14:textId="77777777" w:rsidR="007C23BA" w:rsidRPr="000429D1" w:rsidRDefault="007C23BA"/>
  </w:endnote>
  <w:endnote w:type="continuationSeparator" w:id="0">
    <w:p w14:paraId="71DCF06A" w14:textId="77777777" w:rsidR="007C23BA" w:rsidRPr="000429D1" w:rsidRDefault="007C23BA" w:rsidP="008017BC">
      <w:r w:rsidRPr="000429D1">
        <w:continuationSeparator/>
      </w:r>
    </w:p>
    <w:p w14:paraId="44000EF7" w14:textId="77777777" w:rsidR="007C23BA" w:rsidRPr="000429D1" w:rsidRDefault="007C23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altName w:val="Segoe UI"/>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Open Sans Semibold">
    <w:altName w:val="Segoe UI"/>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54DC" w14:textId="77777777" w:rsidR="00F04EA7" w:rsidRPr="000429D1" w:rsidRDefault="00F04EA7" w:rsidP="00A471AE">
    <w:pPr>
      <w:pStyle w:val="Footer"/>
      <w:jc w:val="right"/>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0E9C3"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111817"/>
      <w:docPartObj>
        <w:docPartGallery w:val="Page Numbers (Bottom of Page)"/>
        <w:docPartUnique/>
      </w:docPartObj>
    </w:sdtPr>
    <w:sdtContent>
      <w:sdt>
        <w:sdtPr>
          <w:id w:val="-995021276"/>
          <w:docPartObj>
            <w:docPartGallery w:val="Page Numbers (Top of Page)"/>
            <w:docPartUnique/>
          </w:docPartObj>
        </w:sdtPr>
        <w:sdtContent>
          <w:p w14:paraId="19830AE1" w14:textId="4224D0E5"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0066"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49115"/>
      <w:docPartObj>
        <w:docPartGallery w:val="Page Numbers (Bottom of Page)"/>
        <w:docPartUnique/>
      </w:docPartObj>
    </w:sdtPr>
    <w:sdtContent>
      <w:sdt>
        <w:sdtPr>
          <w:id w:val="1551724301"/>
          <w:docPartObj>
            <w:docPartGallery w:val="Page Numbers (Top of Page)"/>
            <w:docPartUnique/>
          </w:docPartObj>
        </w:sdtPr>
        <w:sdtContent>
          <w:p w14:paraId="35CD8662"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FD8B0" w14:textId="77777777" w:rsidR="00D15113" w:rsidRPr="001D4A4E" w:rsidRDefault="00F04EA7" w:rsidP="002E3F19">
    <w:pPr>
      <w:pStyle w:val="Footer"/>
    </w:pPr>
    <w:r w:rsidRPr="001D4A4E">
      <w:fldChar w:fldCharType="begin"/>
    </w:r>
    <w:r w:rsidRPr="001D4A4E">
      <w:instrText xml:space="preserve"> PAGE   \* MERGEFORMAT </w:instrText>
    </w:r>
    <w:r w:rsidRPr="001D4A4E">
      <w:fldChar w:fldCharType="separate"/>
    </w:r>
    <w:r w:rsidRPr="001D4A4E">
      <w:t>1</w:t>
    </w:r>
    <w:r w:rsidRPr="001D4A4E">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5261"/>
      <w:docPartObj>
        <w:docPartGallery w:val="Page Numbers (Bottom of Page)"/>
        <w:docPartUnique/>
      </w:docPartObj>
    </w:sdtPr>
    <w:sdtContent>
      <w:sdt>
        <w:sdtPr>
          <w:id w:val="-1882007536"/>
          <w:docPartObj>
            <w:docPartGallery w:val="Page Numbers (Top of Page)"/>
            <w:docPartUnique/>
          </w:docPartObj>
        </w:sdtPr>
        <w:sdtContent>
          <w:p w14:paraId="5D030176" w14:textId="77777777" w:rsidR="00D15113" w:rsidRPr="001D4A4E" w:rsidRDefault="00F04EA7" w:rsidP="002E3F19">
            <w:pPr>
              <w:pStyle w:val="Footer-right"/>
            </w:pPr>
            <w:r w:rsidRPr="001D4A4E">
              <w:rPr>
                <w:sz w:val="24"/>
              </w:rPr>
              <w:fldChar w:fldCharType="begin"/>
            </w:r>
            <w:r w:rsidRPr="001D4A4E">
              <w:instrText xml:space="preserve"> PAGE </w:instrText>
            </w:r>
            <w:r w:rsidRPr="001D4A4E">
              <w:rPr>
                <w:sz w:val="24"/>
              </w:rPr>
              <w:fldChar w:fldCharType="separate"/>
            </w:r>
            <w:r w:rsidRPr="00520859">
              <w:t>1</w:t>
            </w:r>
            <w:r w:rsidRPr="001D4A4E">
              <w:rPr>
                <w:sz w:val="24"/>
              </w:rPr>
              <w:fldChar w:fldCharType="end"/>
            </w:r>
          </w:p>
        </w:sdtContent>
      </w:sdt>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C1CA" w14:textId="77777777" w:rsidR="00D95005" w:rsidRDefault="00D95005"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514420"/>
      <w:docPartObj>
        <w:docPartGallery w:val="Page Numbers (Bottom of Page)"/>
        <w:docPartUnique/>
      </w:docPartObj>
    </w:sdtPr>
    <w:sdtContent>
      <w:sdt>
        <w:sdtPr>
          <w:id w:val="996692024"/>
          <w:docPartObj>
            <w:docPartGallery w:val="Page Numbers (Top of Page)"/>
            <w:docPartUnique/>
          </w:docPartObj>
        </w:sdtPr>
        <w:sdtContent>
          <w:p w14:paraId="17EBFF13" w14:textId="77777777" w:rsidR="00D95005" w:rsidRDefault="00D95005"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567D"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644481"/>
      <w:docPartObj>
        <w:docPartGallery w:val="Page Numbers (Bottom of Page)"/>
        <w:docPartUnique/>
      </w:docPartObj>
    </w:sdtPr>
    <w:sdtContent>
      <w:sdt>
        <w:sdtPr>
          <w:id w:val="-295837268"/>
          <w:docPartObj>
            <w:docPartGallery w:val="Page Numbers (Top of Page)"/>
            <w:docPartUnique/>
          </w:docPartObj>
        </w:sdtPr>
        <w:sdtContent>
          <w:p w14:paraId="3D0B1739"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0263" w14:textId="77777777" w:rsidR="00C31E23" w:rsidRPr="000429D1" w:rsidRDefault="00C31E23">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9496"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243569"/>
      <w:docPartObj>
        <w:docPartGallery w:val="Page Numbers (Bottom of Page)"/>
        <w:docPartUnique/>
      </w:docPartObj>
    </w:sdtPr>
    <w:sdtContent>
      <w:sdt>
        <w:sdtPr>
          <w:id w:val="-1419091853"/>
          <w:docPartObj>
            <w:docPartGallery w:val="Page Numbers (Top of Page)"/>
            <w:docPartUnique/>
          </w:docPartObj>
        </w:sdtPr>
        <w:sdtContent>
          <w:p w14:paraId="511E2FBB"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1CE2E"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345118"/>
      <w:docPartObj>
        <w:docPartGallery w:val="Page Numbers (Bottom of Page)"/>
        <w:docPartUnique/>
      </w:docPartObj>
    </w:sdtPr>
    <w:sdtContent>
      <w:sdt>
        <w:sdtPr>
          <w:id w:val="484515810"/>
          <w:docPartObj>
            <w:docPartGallery w:val="Page Numbers (Top of Page)"/>
            <w:docPartUnique/>
          </w:docPartObj>
        </w:sdtPr>
        <w:sdtContent>
          <w:p w14:paraId="263FCCA0"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8967" w14:textId="77777777" w:rsidR="00F04EA7" w:rsidRPr="000429D1" w:rsidRDefault="00C31E23">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F1FD" w14:textId="77777777" w:rsidR="00D15113" w:rsidRPr="000429D1" w:rsidRDefault="00F04EA7" w:rsidP="002E3F19">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3DADB933" w14:textId="77777777" w:rsidR="00D15113" w:rsidRPr="000429D1" w:rsidRDefault="00F04EA7" w:rsidP="002E3F19">
            <w:pPr>
              <w:pStyle w:val="Footer-right"/>
            </w:pPr>
            <w:r w:rsidRPr="000429D1">
              <w:rPr>
                <w:sz w:val="24"/>
              </w:rPr>
              <w:fldChar w:fldCharType="begin"/>
            </w:r>
            <w:r w:rsidRPr="000429D1">
              <w:instrText xml:space="preserve"> PAGE </w:instrText>
            </w:r>
            <w:r w:rsidRPr="000429D1">
              <w:rPr>
                <w:sz w:val="24"/>
              </w:rPr>
              <w:fldChar w:fldCharType="separate"/>
            </w:r>
            <w:r w:rsidRPr="000429D1">
              <w:t>1</w:t>
            </w:r>
            <w:r w:rsidRPr="000429D1">
              <w:rPr>
                <w:sz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CB13B" w14:textId="77777777" w:rsidR="00E76EEC" w:rsidRPr="000429D1" w:rsidRDefault="00E76EEC" w:rsidP="004544D6">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4105459"/>
      <w:docPartObj>
        <w:docPartGallery w:val="Page Numbers (Bottom of Page)"/>
        <w:docPartUnique/>
      </w:docPartObj>
    </w:sdtPr>
    <w:sdtContent>
      <w:sdt>
        <w:sdtPr>
          <w:id w:val="372884374"/>
          <w:docPartObj>
            <w:docPartGallery w:val="Page Numbers (Top of Page)"/>
            <w:docPartUnique/>
          </w:docPartObj>
        </w:sdtPr>
        <w:sdtContent>
          <w:p w14:paraId="52D6D37A" w14:textId="77777777" w:rsidR="00E76EEC" w:rsidRPr="000429D1" w:rsidRDefault="00E76EEC" w:rsidP="004544D6">
            <w:pPr>
              <w:pStyle w:val="Footer-right"/>
            </w:pPr>
            <w:r w:rsidRPr="000429D1">
              <w:fldChar w:fldCharType="begin"/>
            </w:r>
            <w:r w:rsidRPr="000429D1">
              <w:instrText xml:space="preserve"> PAGE </w:instrText>
            </w:r>
            <w:r w:rsidRPr="000429D1">
              <w:fldChar w:fldCharType="separate"/>
            </w:r>
            <w:r w:rsidRPr="000429D1">
              <w:t>1</w:t>
            </w:r>
            <w:r w:rsidRPr="000429D1">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8557" w14:textId="77777777" w:rsidR="00E76EEC" w:rsidRPr="000429D1" w:rsidRDefault="00E76EEC" w:rsidP="002E3F19">
    <w:pPr>
      <w:pStyle w:val="Footer"/>
    </w:pPr>
    <w:r w:rsidRPr="000429D1">
      <w:fldChar w:fldCharType="begin"/>
    </w:r>
    <w:r w:rsidRPr="000429D1">
      <w:instrText xml:space="preserve"> PAGE   \* MERGEFORMAT </w:instrText>
    </w:r>
    <w:r w:rsidRPr="000429D1">
      <w:fldChar w:fldCharType="separate"/>
    </w:r>
    <w:r w:rsidRPr="000429D1">
      <w:t>1</w:t>
    </w:r>
    <w:r w:rsidRPr="000429D1">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9053832"/>
      <w:docPartObj>
        <w:docPartGallery w:val="Page Numbers (Bottom of Page)"/>
        <w:docPartUnique/>
      </w:docPartObj>
    </w:sdtPr>
    <w:sdtContent>
      <w:sdt>
        <w:sdtPr>
          <w:id w:val="83031833"/>
          <w:docPartObj>
            <w:docPartGallery w:val="Page Numbers (Top of Page)"/>
            <w:docPartUnique/>
          </w:docPartObj>
        </w:sdtPr>
        <w:sdtContent>
          <w:p w14:paraId="5696B216" w14:textId="77777777" w:rsidR="00E76EEC" w:rsidRPr="000429D1" w:rsidRDefault="00E76EEC" w:rsidP="002E3F19">
            <w:pPr>
              <w:pStyle w:val="Footer-right"/>
            </w:pPr>
            <w:r w:rsidRPr="000429D1">
              <w:rPr>
                <w:sz w:val="24"/>
              </w:rPr>
              <w:fldChar w:fldCharType="begin"/>
            </w:r>
            <w:r w:rsidRPr="000429D1">
              <w:instrText xml:space="preserve"> PAGE </w:instrText>
            </w:r>
            <w:r w:rsidRPr="000429D1">
              <w:rPr>
                <w:sz w:val="24"/>
              </w:rPr>
              <w:fldChar w:fldCharType="separate"/>
            </w:r>
            <w:r w:rsidRPr="000429D1">
              <w:t>1</w:t>
            </w:r>
            <w:r w:rsidRPr="000429D1">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CD936" w14:textId="77777777" w:rsidR="007C23BA" w:rsidRPr="000429D1" w:rsidRDefault="007C23BA" w:rsidP="00273E86">
      <w:pPr>
        <w:spacing w:after="0" w:line="240" w:lineRule="auto"/>
        <w:rPr>
          <w:rStyle w:val="ColourDarkBlue"/>
        </w:rPr>
      </w:pPr>
      <w:r w:rsidRPr="000429D1">
        <w:rPr>
          <w:rStyle w:val="ColourDarkBlue"/>
        </w:rPr>
        <w:continuationSeparator/>
      </w:r>
    </w:p>
  </w:footnote>
  <w:footnote w:type="continuationSeparator" w:id="0">
    <w:p w14:paraId="14F92B27" w14:textId="77777777" w:rsidR="007C23BA" w:rsidRPr="000429D1" w:rsidRDefault="007C23BA" w:rsidP="001D7D9B">
      <w:pPr>
        <w:spacing w:after="0" w:line="240" w:lineRule="auto"/>
        <w:rPr>
          <w:color w:val="265A9A" w:themeColor="background2"/>
        </w:rPr>
      </w:pPr>
      <w:r w:rsidRPr="000429D1">
        <w:rPr>
          <w:rStyle w:val="ColourDarkBlue"/>
        </w:rPr>
        <w:continuationSeparator/>
      </w:r>
    </w:p>
  </w:footnote>
  <w:footnote w:type="continuationNotice" w:id="1">
    <w:p w14:paraId="35894F39" w14:textId="77777777" w:rsidR="007C23BA" w:rsidRPr="000429D1" w:rsidRDefault="007C23BA"/>
  </w:footnote>
  <w:footnote w:id="2">
    <w:p w14:paraId="728824B8" w14:textId="2170F9BA" w:rsidR="00A450D6" w:rsidRPr="002B3D0E" w:rsidRDefault="00A450D6">
      <w:pPr>
        <w:pStyle w:val="FootnoteText"/>
      </w:pPr>
      <w:r w:rsidRPr="009A6E44">
        <w:rPr>
          <w:rStyle w:val="FootnoteReference"/>
        </w:rPr>
        <w:footnoteRef/>
      </w:r>
      <w:r>
        <w:t xml:space="preserve"> F</w:t>
      </w:r>
      <w:r w:rsidRPr="005B3402">
        <w:t xml:space="preserve">or example, </w:t>
      </w:r>
      <w:r w:rsidRPr="00194A0B">
        <w:rPr>
          <w:i/>
          <w:iCs/>
        </w:rPr>
        <w:t>Housing construction productivity: Can we fix it?</w:t>
      </w:r>
      <w:r w:rsidRPr="005B3402">
        <w:t xml:space="preserve"> </w:t>
      </w:r>
      <w:r w:rsidRPr="005B3402">
        <w:fldChar w:fldCharType="begin"/>
      </w:r>
      <w:r w:rsidR="008F2F22">
        <w:instrText xml:space="preserve"> ADDIN ZOTERO_ITEM CSL_CITATION {"citationID":"J04L7hiL","properties":{"unsorted":false,"formattedCitation":"(PC\\uc0\\u160{}2025c)","plainCitation":"(PC 2025c)","noteIndex":1},"citationItems":[{"id":1006,"uris":["http://zotero.org/groups/164861/items/6QP3W4QM"],"itemData":{"id":1006,"type":"report","genre":"Research paper","publisher-place":"Canberra","title":"Housing construction productivity: Can we fix it?","author":[{"family":"Productivity Commission","given":""}],"translator":[{"family":"PC","given":""}],"issued":{"date-parts":[["2025"]]}}}],"schema":"https://github.com/citation-style-language/schema/raw/master/csl-citation.json"} </w:instrText>
      </w:r>
      <w:r w:rsidRPr="005B3402">
        <w:fldChar w:fldCharType="separate"/>
      </w:r>
      <w:r w:rsidR="00877EF9" w:rsidRPr="00877EF9">
        <w:rPr>
          <w:rFonts w:cs="Open Sans"/>
        </w:rPr>
        <w:t>(PC 2025c)</w:t>
      </w:r>
      <w:r w:rsidRPr="005B3402">
        <w:fldChar w:fldCharType="end"/>
      </w:r>
      <w:r w:rsidRPr="005B3402">
        <w:t xml:space="preserve">; </w:t>
      </w:r>
      <w:r w:rsidRPr="00194A0B">
        <w:rPr>
          <w:i/>
          <w:iCs/>
        </w:rPr>
        <w:t>Creating a more dynamic and resilient economy</w:t>
      </w:r>
      <w:r w:rsidRPr="005B3402">
        <w:t xml:space="preserve"> </w:t>
      </w:r>
      <w:r w:rsidRPr="00194A0B">
        <w:rPr>
          <w:i/>
          <w:iCs/>
        </w:rPr>
        <w:fldChar w:fldCharType="begin"/>
      </w:r>
      <w:r w:rsidR="008F2F22">
        <w:rPr>
          <w:i/>
          <w:iCs/>
        </w:rPr>
        <w:instrText xml:space="preserve"> ADDIN ZOTERO_ITEM CSL_CITATION {"citationID":"zeCltnal","properties":{"unsorted":false,"formattedCitation":"(PC\\uc0\\u160{}2025a)","plainCitation":"(PC 2025a)","noteIndex":1},"citationItems":[{"id":8347,"uris":["http://zotero.org/groups/164861/items/5MGXGFHC"],"itemData":{"id":8347,"type":"report","number":"Inquiry report no. 109","publisher-place":"Canberra","title":"Creating a more dynamic and resilient economy","author":[{"family":"Productivity Commission","given":""}],"translator":[{"family":"PC","given":""}],"issued":{"date-parts":[["2025"]]}}}],"schema":"https://github.com/citation-style-language/schema/raw/master/csl-citation.json"} </w:instrText>
      </w:r>
      <w:r w:rsidRPr="00194A0B">
        <w:rPr>
          <w:i/>
          <w:iCs/>
        </w:rPr>
        <w:fldChar w:fldCharType="separate"/>
      </w:r>
      <w:r w:rsidRPr="00194A0B">
        <w:rPr>
          <w:i/>
          <w:iCs/>
        </w:rPr>
        <w:t>(PC 2025a)</w:t>
      </w:r>
      <w:r w:rsidRPr="00194A0B">
        <w:rPr>
          <w:i/>
          <w:iCs/>
        </w:rPr>
        <w:fldChar w:fldCharType="end"/>
      </w:r>
      <w:r w:rsidRPr="00194A0B">
        <w:rPr>
          <w:i/>
          <w:iCs/>
        </w:rPr>
        <w:t>; In need of repair: The National Housing and Homelessness Agreement</w:t>
      </w:r>
      <w:r w:rsidRPr="005B3402">
        <w:t xml:space="preserve"> </w:t>
      </w:r>
      <w:r w:rsidRPr="005B3402">
        <w:fldChar w:fldCharType="begin"/>
      </w:r>
      <w:r w:rsidR="008F2F22">
        <w:instrText xml:space="preserve"> ADDIN ZOTERO_ITEM CSL_CITATION {"citationID":"DpJcAiD0","properties":{"unsorted":false,"formattedCitation":"(PC\\uc0\\u160{}2022)","plainCitation":"(PC 2022)","noteIndex":1},"citationItems":[{"id":1033,"uris":["http://zotero.org/groups/164861/items/UVW64S8G"],"itemData":{"id":1033,"type":"report","genre":"Study Report","publisher-place":"Canberra","title":"In need of repair: the National Housing and Homelessness Agreement","author":[{"family":"Productivity Commission","given":""}],"translator":[{"family":"PC","given":""}],"issued":{"date-parts":[["2022"]]}}}],"schema":"https://github.com/citation-style-language/schema/raw/master/csl-citation.json"} </w:instrText>
      </w:r>
      <w:r w:rsidRPr="005B3402">
        <w:fldChar w:fldCharType="separate"/>
      </w:r>
      <w:r w:rsidRPr="005B3402">
        <w:t>(PC 2022)</w:t>
      </w:r>
      <w:r w:rsidRPr="005B3402">
        <w:fldChar w:fldCharType="end"/>
      </w:r>
      <w:r w:rsidRPr="005B3402">
        <w:t xml:space="preserve">; </w:t>
      </w:r>
      <w:r w:rsidRPr="008F24D9">
        <w:rPr>
          <w:i/>
          <w:iCs/>
        </w:rPr>
        <w:t>National voluntary certification scheme for manufacturers of modern methods of construction</w:t>
      </w:r>
      <w:r w:rsidRPr="005B3402">
        <w:t xml:space="preserve"> </w:t>
      </w:r>
      <w:r w:rsidRPr="005B3402">
        <w:fldChar w:fldCharType="begin"/>
      </w:r>
      <w:r w:rsidR="008F2F22">
        <w:instrText xml:space="preserve"> ADDIN ZOTERO_ITEM CSL_CITATION {"citationID":"IQ5SzYHW","properties":{"unsorted":false,"formattedCitation":"(ABCB\\uc0\\u160{}2025b)","plainCitation":"(ABCB 2025b)","noteIndex":1},"citationItems":[{"id":8908,"uris":["http://zotero.org/groups/6391232/items/BMNMYZ7T"],"itemData":{"id":8908,"type":"report","abstract":"Have your say and share feedback as we plan, develop and consult on our policies and projects.","genre":"Issues paper","language":"en","title":"National voluntary certification scheme for manufacturers of modern methods of construction","URL":"https://app.converlens.com/abcb/national-voluntary-certification-scheme-for-manufacturers-of-modern-methods-of-construction","author":[{"literal":"Australian Building Codes Board"}],"translator":[{"literal":"ABCB"}],"issued":{"date-parts":[["2025",7]]}}}],"schema":"https://github.com/citation-style-language/schema/raw/master/csl-citation.json"} </w:instrText>
      </w:r>
      <w:r w:rsidRPr="005B3402">
        <w:fldChar w:fldCharType="separate"/>
      </w:r>
      <w:r w:rsidR="00877EF9" w:rsidRPr="00877EF9">
        <w:rPr>
          <w:rFonts w:cs="Open Sans"/>
        </w:rPr>
        <w:t>(ABCB 2025b)</w:t>
      </w:r>
      <w:r w:rsidRPr="005B3402">
        <w:fldChar w:fldCharType="end"/>
      </w:r>
      <w:r w:rsidRPr="005B3402">
        <w:t xml:space="preserve">; </w:t>
      </w:r>
      <w:r w:rsidRPr="00752470">
        <w:rPr>
          <w:i/>
          <w:iCs/>
        </w:rPr>
        <w:t xml:space="preserve">National Construction Code modernisation project </w:t>
      </w:r>
      <w:r w:rsidRPr="00752470">
        <w:rPr>
          <w:rFonts w:hint="cs"/>
          <w:i/>
          <w:iCs/>
        </w:rPr>
        <w:t>–</w:t>
      </w:r>
      <w:r w:rsidRPr="00752470">
        <w:rPr>
          <w:i/>
          <w:iCs/>
        </w:rPr>
        <w:t xml:space="preserve"> interim report</w:t>
      </w:r>
      <w:r w:rsidRPr="005B3402">
        <w:t xml:space="preserve"> </w:t>
      </w:r>
      <w:r w:rsidRPr="005B3402">
        <w:fldChar w:fldCharType="begin"/>
      </w:r>
      <w:r w:rsidR="008F2F22">
        <w:instrText xml:space="preserve"> ADDIN ZOTERO_ITEM CSL_CITATION {"citationID":"sVtI5clU","properties":{"unsorted":false,"formattedCitation":"(Treasury\\uc0\\u160{}2026b)","plainCitation":"(Treasury 2026b)","noteIndex":1},"citationItems":[{"id":8976,"uris":["http://zotero.org/groups/6391232/items/4SD7MWUE"],"itemData":{"id":8976,"type":"report","title":"National Construction Code Modernisation Project Interim Report","author":[{"literal":"Australian Government Treasury"}],"translator":[{"literal":"Treasury"}],"issued":{"date-parts":[["2026",4,30]]}}}],"schema":"https://github.com/citation-style-language/schema/raw/master/csl-citation.json"} </w:instrText>
      </w:r>
      <w:r w:rsidRPr="005B3402">
        <w:fldChar w:fldCharType="separate"/>
      </w:r>
      <w:r w:rsidR="00877EF9" w:rsidRPr="00877EF9">
        <w:rPr>
          <w:rFonts w:cs="Open Sans"/>
        </w:rPr>
        <w:t>(Treasury 2026b)</w:t>
      </w:r>
      <w:r w:rsidRPr="005B3402">
        <w:fldChar w:fldCharType="end"/>
      </w:r>
      <w:r w:rsidRPr="005B3402">
        <w:t>.</w:t>
      </w:r>
    </w:p>
  </w:footnote>
  <w:footnote w:id="3">
    <w:p w14:paraId="080A9419" w14:textId="095A237D" w:rsidR="000A2D7A" w:rsidRPr="00970E30" w:rsidRDefault="000A2D7A">
      <w:pPr>
        <w:pStyle w:val="Reference"/>
      </w:pPr>
      <w:r>
        <w:rPr>
          <w:rStyle w:val="FootnoteReference"/>
        </w:rPr>
        <w:footnoteRef/>
      </w:r>
      <w:r>
        <w:t xml:space="preserve"> </w:t>
      </w:r>
      <w:r w:rsidRPr="00200305">
        <w:rPr>
          <w:rStyle w:val="FootnoteTextChar"/>
        </w:rPr>
        <w:t>ARAD sub. 59, p. 5; HIA, sub. 25, p. 5; Master Builders Australia, sub. 74, p.</w:t>
      </w:r>
      <w:r w:rsidR="009B5E72">
        <w:rPr>
          <w:rStyle w:val="FootnoteTextChar"/>
        </w:rPr>
        <w:t xml:space="preserve"> </w:t>
      </w:r>
      <w:r w:rsidRPr="00200305">
        <w:rPr>
          <w:rStyle w:val="FootnoteTextChar"/>
        </w:rPr>
        <w:t>9; NSW DPHI 2025c, p. 8; UDIA South Australia, sub. 31, p.</w:t>
      </w:r>
      <w:r w:rsidR="009B5E72">
        <w:rPr>
          <w:rStyle w:val="FootnoteTextChar"/>
        </w:rPr>
        <w:t xml:space="preserve"> </w:t>
      </w:r>
      <w:r w:rsidRPr="00200305">
        <w:rPr>
          <w:rStyle w:val="FootnoteTextChar"/>
        </w:rPr>
        <w:t>2.</w:t>
      </w:r>
    </w:p>
  </w:footnote>
  <w:footnote w:id="4">
    <w:p w14:paraId="18E02BFF" w14:textId="47CC512C" w:rsidR="000A2D7A" w:rsidRPr="003A6CDE" w:rsidRDefault="000A2D7A">
      <w:pPr>
        <w:pStyle w:val="FootnoteText"/>
      </w:pPr>
      <w:r w:rsidRPr="001D6906">
        <w:rPr>
          <w:rStyle w:val="FootnoteReference"/>
        </w:rPr>
        <w:footnoteRef/>
      </w:r>
      <w:r w:rsidRPr="001D4A4E">
        <w:t xml:space="preserve"> </w:t>
      </w:r>
      <w:r w:rsidRPr="003A6CDE">
        <w:t xml:space="preserve">Some evidence has found this to be the case within a housing type </w:t>
      </w:r>
      <w:r>
        <w:fldChar w:fldCharType="begin"/>
      </w:r>
      <w:r w:rsidR="008F2F22">
        <w:instrText xml:space="preserve"> ADDIN ZOTERO_ITEM CSL_CITATION {"citationID":"dyYINtia","properties":{"unsorted":false,"formattedCitation":"(Coates et al.\\uc0\\u160{}2025)","plainCitation":"(Coates et al. 2025)","noteIndex":3},"citationItems":[{"id":8420,"uris":["http://zotero.org/groups/6391232/items/THBW442H"],"itemData":{"id":8420,"type":"report","language":"en","publisher":"Grattan Institute","title":"More homes, better cities: Letting more people live where they want","URL":"https://grattan.edu.au/wp-content/uploads/2025/11/More-homes-better-cities-Grattan-2025-report.pdf","author":[{"family":"Coates","given":"Brendan"},{"family":"Moloney","given":"Joey"},{"family":"Bowes","given":"Matthew"}],"issued":{"date-parts":[["2025"]]}}}],"schema":"https://github.com/citation-style-language/schema/raw/master/csl-citation.json"} </w:instrText>
      </w:r>
      <w:r>
        <w:fldChar w:fldCharType="separate"/>
      </w:r>
      <w:r w:rsidRPr="00FB4485">
        <w:t>(Coates et al. 2025)</w:t>
      </w:r>
      <w:r>
        <w:fldChar w:fldCharType="end"/>
      </w:r>
      <w:r w:rsidRPr="003A6CDE">
        <w:t xml:space="preserve">. For example, denser apartments are often more feasible to develop than less dense ones. And denser townhouses are often more feasible to develop than less dense ones. But apartments are not always more feasible than townhouses. </w:t>
      </w:r>
    </w:p>
  </w:footnote>
  <w:footnote w:id="5">
    <w:p w14:paraId="6B048FDB" w14:textId="537AD23B" w:rsidR="000A2D7A" w:rsidRPr="00B97C8C" w:rsidRDefault="000A2D7A">
      <w:pPr>
        <w:pStyle w:val="FootnoteText"/>
        <w:contextualSpacing w:val="0"/>
        <w:rPr>
          <w:spacing w:val="-4"/>
          <w:lang w:val="en-US"/>
        </w:rPr>
      </w:pPr>
      <w:r w:rsidRPr="00B97C8C">
        <w:rPr>
          <w:rStyle w:val="FootnoteReference"/>
          <w:spacing w:val="-4"/>
        </w:rPr>
        <w:footnoteRef/>
      </w:r>
      <w:r w:rsidRPr="00B97C8C">
        <w:rPr>
          <w:spacing w:val="-4"/>
        </w:rPr>
        <w:t xml:space="preserve"> </w:t>
      </w:r>
      <w:r w:rsidRPr="00B97C8C">
        <w:rPr>
          <w:spacing w:val="-4"/>
        </w:rPr>
        <w:fldChar w:fldCharType="begin"/>
      </w:r>
      <w:r w:rsidR="008F2F22" w:rsidRPr="00B97C8C">
        <w:rPr>
          <w:spacing w:val="-4"/>
        </w:rPr>
        <w:instrText xml:space="preserve"> ADDIN ZOTERO_ITEM CSL_CITATION {"citationID":"DhM8DnV5","properties":{"unsorted":false,"formattedCitation":"(ACT Government\\uc0\\u160{}2025, p.\\uc0\\u160{}20; NSW DPHI\\uc0\\u160{}2024; QLD DSDILGP\\uc0\\u160{}2023, p.\\uc0\\u160{}56; SA DHUD\\uc0\\u160{}2025, p.\\uc0\\u160{}18; Victorian DTP\\uc0\\u160{}2025b)","plainCitation":"(ACT Government 2025, p. 20; NSW DPHI 2024; QLD DSDILGP 2023, p. 56; SA DHUD 2025, p. 18; Victorian DTP 2025b)","dontUpdate":true,"noteIndex":4},"citationItems":[{"id":9565,"uris":["http://zotero.org/groups/6391232/items/LTRAKDME"],"itemData":{"id":9565,"type":"report","title":"Housing, land release and city planning","URL":"https://www.act.gov.au/__data/assets/pdf_file/0009/2560842/ACT-Infrastructure-Plan-Update-Housing-Land-Release-and-City-Services.pdf","author":[{"family":"Australian Capital Territory Government","given":""},{"family":"ACT Government","given":""}],"issued":{"date-parts":[["2025"]]}},"locator":"20","label":"page"},{"id":9562,"uris":["http://zotero.org/groups/6391232/items/H43VJBDQ"],"itemData":{"id":9562,"type":"webpage","title":"Fairer housing targets announced with incentives to councils to build better communities for NSW","URL":"https://www.planning.nsw.gov.au/news/fairer-housing-targets-announced-incentives-councils-build-better-communities-nsw","author":[{"family":"New South Wales Department of Planning, Housing and Infrastructure","given":""}],"translator":[{"family":"NSW DPHI","given":""}],"accessed":{"date-parts":[["2026",6,30]]},"issued":{"date-parts":[["2024"]]}}},{"id":9648,"uris":["http://zotero.org/groups/6391232/items/46TJB6KP"],"itemData":{"id":9648,"type":"report","title":"Shaping SEQ","URL":"https://www.planning.qld.gov.au/__data/assets/pdf_file/0024/86145/shapingseq-2023-Low.pdf","author":[{"literal":"QLD Department of State Development, Infrastructure, Local Government and Planning"}],"translator":[{"family":"QLD DSDILGP","given":""}],"issued":{"date-parts":[["2023"]]}},"locator":"56","label":"page"},{"id":9532,"uris":["http://zotero.org/groups/6391232/items/HV7AT34M"],"itemData":{"id":9532,"type":"report","publisher":"South Australian Government","title":"Greater Adelaide regional plan","URL":"https://plan.sa.gov.au/resources/planning/regional_plans/greater-adelaide-regional-plan","author":[{"family":"South Australian Department for Housing and Urban Development","given":""}],"translator":[{"family":"SA DHUD","given":""}],"issued":{"date-parts":[["2025"]]}},"locator":"18","label":"page"},{"id":9561,"uris":["http://zotero.org/groups/6391232/items/WFU6SHIA"],"itemData":{"id":9561,"type":"webpage","title":"Housing targets","URL":"https://www.planning.vic.gov.au/planforvictoria/housing-for-all-victorians/housing-targets","author":[{"family":"Victorian Department of Transport and Planning","given":""}],"translator":[{"family":"Victorian DTP","given":""}],"accessed":{"date-parts":[["2026",6,30]]},"issued":{"date-parts":[["2025"]]}}}],"schema":"https://github.com/citation-style-language/schema/raw/master/csl-citation.json"} </w:instrText>
      </w:r>
      <w:r w:rsidRPr="00B97C8C">
        <w:rPr>
          <w:spacing w:val="-4"/>
        </w:rPr>
        <w:fldChar w:fldCharType="separate"/>
      </w:r>
      <w:r w:rsidRPr="00B97C8C">
        <w:rPr>
          <w:rFonts w:cs="Open Sans"/>
          <w:spacing w:val="-4"/>
        </w:rPr>
        <w:t>ACT Government 2025, p. 20; NSW DPHI 2024; QLD DSDILGP 2023, p. 56; SA DHUD 2025, p. 18; Victorian DTP 2025b</w:t>
      </w:r>
      <w:r w:rsidRPr="00B97C8C">
        <w:rPr>
          <w:spacing w:val="-4"/>
        </w:rPr>
        <w:fldChar w:fldCharType="end"/>
      </w:r>
      <w:r w:rsidRPr="00B97C8C">
        <w:rPr>
          <w:spacing w:val="-4"/>
        </w:rPr>
        <w:t>.</w:t>
      </w:r>
    </w:p>
  </w:footnote>
  <w:footnote w:id="6">
    <w:p w14:paraId="5802D7CD" w14:textId="5CD4FAA2" w:rsidR="000A2D7A" w:rsidRDefault="000A2D7A" w:rsidP="005D3EA4">
      <w:pPr>
        <w:pStyle w:val="FootnoteText"/>
        <w:contextualSpacing w:val="0"/>
      </w:pPr>
      <w:r w:rsidRPr="001D6906">
        <w:rPr>
          <w:rStyle w:val="FootnoteReference"/>
        </w:rPr>
        <w:footnoteRef/>
      </w:r>
      <w:r>
        <w:t xml:space="preserve"> </w:t>
      </w:r>
      <w:r w:rsidRPr="00337224">
        <w:rPr>
          <w:rStyle w:val="FootnoteTextChar"/>
        </w:rPr>
        <w:t xml:space="preserve">Some studies indicate insufficient residential rezoning remains a material barrier in NSW </w:t>
      </w:r>
      <w:r w:rsidRPr="00337224">
        <w:rPr>
          <w:rStyle w:val="FootnoteTextChar"/>
        </w:rPr>
        <w:fldChar w:fldCharType="begin"/>
      </w:r>
      <w:r w:rsidR="008F2F22">
        <w:rPr>
          <w:rStyle w:val="FootnoteTextChar"/>
        </w:rPr>
        <w:instrText xml:space="preserve"> ADDIN ZOTERO_ITEM CSL_CITATION {"citationID":"7KjAmtsB","properties":{"unsorted":false,"formattedCitation":"(UDIA\\uc0\\u160{}2022)","plainCitation":"(UDIA 2022)","noteIndex":5},"citationItems":[{"id":8888,"uris":["http://zotero.org/groups/6391232/items/KWUXNREY"],"itemData":{"id":8888,"type":"report","page":"1-36","title":"Greenfield land supply pipeline report","URL":"https://www.udiansw.com.au/wp-content/uploads/UDIA-Greenfield-Report-2022-Online-Version.pdf","author":[{"family":"Urban Development Institute of Australia","given":""}],"translator":[{"family":"UDIA","given":""}],"issued":{"date-parts":[["2022"]]}}}],"schema":"https://github.com/citation-style-language/schema/raw/master/csl-citation.json"} </w:instrText>
      </w:r>
      <w:r w:rsidRPr="00337224">
        <w:rPr>
          <w:rStyle w:val="FootnoteTextChar"/>
        </w:rPr>
        <w:fldChar w:fldCharType="separate"/>
      </w:r>
      <w:r w:rsidRPr="00337224">
        <w:rPr>
          <w:rStyle w:val="FootnoteTextChar"/>
        </w:rPr>
        <w:t>(UDIA 2022)</w:t>
      </w:r>
      <w:r w:rsidRPr="00337224">
        <w:rPr>
          <w:rStyle w:val="FootnoteTextChar"/>
        </w:rPr>
        <w:fldChar w:fldCharType="end"/>
      </w:r>
      <w:r w:rsidRPr="00337224">
        <w:rPr>
          <w:rStyle w:val="FootnoteTextChar"/>
        </w:rPr>
        <w:t>.</w:t>
      </w:r>
      <w:r w:rsidRPr="00920670">
        <w:t xml:space="preserve"> </w:t>
      </w:r>
    </w:p>
  </w:footnote>
  <w:footnote w:id="7">
    <w:p w14:paraId="4326B5C8" w14:textId="204BF85D" w:rsidR="00D95005" w:rsidRPr="00394017" w:rsidRDefault="00D95005">
      <w:pPr>
        <w:pStyle w:val="FootnoteText"/>
        <w:rPr>
          <w:lang w:val="en-US"/>
        </w:rPr>
      </w:pPr>
      <w:r w:rsidRPr="00CB0759">
        <w:rPr>
          <w:rStyle w:val="FootnoteReference"/>
        </w:rPr>
        <w:footnoteRef/>
      </w:r>
      <w:r>
        <w:t xml:space="preserve"> For readability, this chapter refers to anyone who is applying to build new housing as a ‘developer’. The conclusions and analysis in this chapter also apply to businesses that do not make profits from buying and selling land, not-for-profits, and individuals who are applying to build new housing, not just large-scale private investors.</w:t>
      </w:r>
    </w:p>
  </w:footnote>
  <w:footnote w:id="8">
    <w:p w14:paraId="3F188961" w14:textId="1F9CB9DD" w:rsidR="00D95005" w:rsidRDefault="00D95005">
      <w:pPr>
        <w:pStyle w:val="FootnoteText"/>
      </w:pPr>
      <w:r w:rsidRPr="00CB0759">
        <w:rPr>
          <w:rStyle w:val="FootnoteReference"/>
        </w:rPr>
        <w:footnoteRef/>
      </w:r>
      <w:r>
        <w:t xml:space="preserve"> In these zones, new development must preserve the neighbourhood’s character </w:t>
      </w:r>
      <w:r>
        <w:fldChar w:fldCharType="begin"/>
      </w:r>
      <w:r w:rsidR="008F2F22">
        <w:instrText xml:space="preserve"> ADDIN ZOTERO_ITEM CSL_CITATION {"citationID":"16WjlhSb","properties":{"unsorted":false,"formattedCitation":"(Queensland DSDIP\\uc0\\u160{}2021)","plainCitation":"(Queensland DSDIP 2021)","noteIndex":11},"citationItems":[{"id":9427,"uris":["http://zotero.org/groups/6391232/items/KA2NGTSA"],"itemData":{"id":9427,"type":"report","title":"Queensland zoning information: Low density residential zone","URL":"https://dsdmipprd.blob.core.windows.net/general/planning-zone-cards-03-low-density-residential-zone.pdf","author":[{"literal":"Queensland Department of State Development, Infrastructure and Planning"}],"translator":[{"family":"Queensland DSDIP","given":""}],"issued":{"date-parts":[["2021"]]}}}],"schema":"https://github.com/citation-style-language/schema/raw/master/csl-citation.json"} </w:instrText>
      </w:r>
      <w:r>
        <w:fldChar w:fldCharType="separate"/>
      </w:r>
      <w:r w:rsidRPr="000161C1">
        <w:rPr>
          <w:rFonts w:cs="Open Sans"/>
          <w:szCs w:val="24"/>
        </w:rPr>
        <w:t>(Queensland DSDIP 2021)</w:t>
      </w:r>
      <w:r>
        <w:fldChar w:fldCharType="end"/>
      </w:r>
      <w:r w:rsidR="00EE1E89">
        <w:t>.</w:t>
      </w:r>
    </w:p>
  </w:footnote>
  <w:footnote w:id="9">
    <w:p w14:paraId="2B5B3245" w14:textId="11B9F823" w:rsidR="00D95005" w:rsidRDefault="00D95005">
      <w:pPr>
        <w:pStyle w:val="FootnoteText"/>
      </w:pPr>
      <w:r w:rsidRPr="00CB0759">
        <w:rPr>
          <w:rStyle w:val="FootnoteReference"/>
        </w:rPr>
        <w:footnoteRef/>
      </w:r>
      <w:r>
        <w:t xml:space="preserve"> Queensland differs from most jurisdictions because planning schemes provide more flexible assessment pathways, meaning some developments can proceed through variation requests rather than requiring a formal amendment to the planning scheme</w:t>
      </w:r>
      <w:r w:rsidR="0019200F">
        <w:t>.</w:t>
      </w:r>
    </w:p>
  </w:footnote>
  <w:footnote w:id="10">
    <w:p w14:paraId="64A44759" w14:textId="2F2F8A2D" w:rsidR="00D95005" w:rsidRDefault="00D95005">
      <w:pPr>
        <w:pStyle w:val="FootnoteText"/>
      </w:pPr>
      <w:r w:rsidRPr="00CB0759">
        <w:rPr>
          <w:rStyle w:val="FootnoteReference"/>
        </w:rPr>
        <w:footnoteRef/>
      </w:r>
      <w:r>
        <w:t xml:space="preserve"> In some jurisdictions (e.g. Victoria) a development approval is known as a planning permit</w:t>
      </w:r>
      <w:r w:rsidR="00153260">
        <w:t>.</w:t>
      </w:r>
    </w:p>
  </w:footnote>
  <w:footnote w:id="11">
    <w:p w14:paraId="0D5209B6" w14:textId="75D9ED23" w:rsidR="00D95005" w:rsidRDefault="00D95005">
      <w:pPr>
        <w:pStyle w:val="FootnoteText"/>
      </w:pPr>
      <w:r w:rsidRPr="00CB0759">
        <w:rPr>
          <w:rStyle w:val="FootnoteReference"/>
        </w:rPr>
        <w:footnoteRef/>
      </w:r>
      <w:r>
        <w:t xml:space="preserve"> In some jurisdictions (e.g. New South Wales) this is known as a construction certificate</w:t>
      </w:r>
      <w:r w:rsidR="00153260">
        <w:t>.</w:t>
      </w:r>
    </w:p>
  </w:footnote>
  <w:footnote w:id="12">
    <w:p w14:paraId="1F4B3F92" w14:textId="77777777" w:rsidR="00D95005" w:rsidRDefault="00D95005">
      <w:pPr>
        <w:pStyle w:val="FootnoteText"/>
      </w:pPr>
      <w:r w:rsidRPr="00CB0759">
        <w:rPr>
          <w:rStyle w:val="FootnoteReference"/>
        </w:rPr>
        <w:footnoteRef/>
      </w:r>
      <w:r>
        <w:t xml:space="preserve"> Noting that we classify the post-approval conditions as part of the development approval process, rather than the building approval process.</w:t>
      </w:r>
    </w:p>
  </w:footnote>
  <w:footnote w:id="13">
    <w:p w14:paraId="1C18E63A" w14:textId="459A1F55" w:rsidR="00CC2DD4" w:rsidRPr="006839F1" w:rsidRDefault="00CC2DD4" w:rsidP="006839F1">
      <w:pPr>
        <w:pStyle w:val="FootnoteText"/>
      </w:pPr>
      <w:r w:rsidRPr="00014CAF">
        <w:rPr>
          <w:rStyle w:val="FootnoteReference"/>
        </w:rPr>
        <w:footnoteRef/>
      </w:r>
      <w:r>
        <w:t xml:space="preserve"> Basic infrastructure is also referred to as ‘economic’ or ‘essential’ infrastructure in some literature. </w:t>
      </w:r>
    </w:p>
  </w:footnote>
  <w:footnote w:id="14">
    <w:p w14:paraId="024509DA" w14:textId="5D9EE283" w:rsidR="00CC2DD4" w:rsidRPr="00843229" w:rsidRDefault="00CC2DD4">
      <w:pPr>
        <w:pStyle w:val="FootnoteText"/>
        <w:rPr>
          <w:spacing w:val="-6"/>
        </w:rPr>
      </w:pPr>
      <w:r w:rsidRPr="00843229">
        <w:rPr>
          <w:rStyle w:val="FootnoteReference"/>
          <w:spacing w:val="-6"/>
        </w:rPr>
        <w:footnoteRef/>
      </w:r>
      <w:r w:rsidRPr="00843229">
        <w:rPr>
          <w:spacing w:val="-6"/>
        </w:rPr>
        <w:t xml:space="preserve"> ALGA, sub. 8, p. 7; Create Advisory, sub. 70, pp. 2</w:t>
      </w:r>
      <w:r w:rsidR="00843229">
        <w:rPr>
          <w:spacing w:val="-6"/>
        </w:rPr>
        <w:t>–</w:t>
      </w:r>
      <w:r w:rsidRPr="00843229">
        <w:rPr>
          <w:spacing w:val="-6"/>
        </w:rPr>
        <w:t>5; HIA, sub. 25, pp. 4, 25; NGAA, sub. 54, pp. 11</w:t>
      </w:r>
      <w:r w:rsidR="00843229">
        <w:rPr>
          <w:spacing w:val="-6"/>
        </w:rPr>
        <w:t>–</w:t>
      </w:r>
      <w:r w:rsidRPr="00843229">
        <w:rPr>
          <w:spacing w:val="-6"/>
        </w:rPr>
        <w:t>12; Master Builders Australia, sub. 74, pp. 13</w:t>
      </w:r>
      <w:r w:rsidR="00843229">
        <w:rPr>
          <w:spacing w:val="-6"/>
        </w:rPr>
        <w:t>–</w:t>
      </w:r>
      <w:r w:rsidRPr="00843229">
        <w:rPr>
          <w:spacing w:val="-6"/>
        </w:rPr>
        <w:t>14; Neighbourhood Forum 5, sub. 17, pp. 4</w:t>
      </w:r>
      <w:r w:rsidR="00843229">
        <w:rPr>
          <w:spacing w:val="-6"/>
        </w:rPr>
        <w:t>–</w:t>
      </w:r>
      <w:r w:rsidRPr="00843229">
        <w:rPr>
          <w:spacing w:val="-6"/>
        </w:rPr>
        <w:t>5; PIA. sub. 34, pp. 6, 23</w:t>
      </w:r>
      <w:r w:rsidR="00843229">
        <w:rPr>
          <w:spacing w:val="-6"/>
        </w:rPr>
        <w:t>–</w:t>
      </w:r>
      <w:r w:rsidRPr="00843229">
        <w:rPr>
          <w:spacing w:val="-6"/>
        </w:rPr>
        <w:t>26; Policy Watchdog Australia, sub. 1, pp. 9</w:t>
      </w:r>
      <w:r w:rsidR="00843229">
        <w:rPr>
          <w:spacing w:val="-6"/>
        </w:rPr>
        <w:t>–</w:t>
      </w:r>
      <w:r w:rsidRPr="00843229">
        <w:rPr>
          <w:spacing w:val="-6"/>
        </w:rPr>
        <w:t>10; PPI, sub. 77, pp. 10</w:t>
      </w:r>
      <w:r w:rsidR="00843229">
        <w:rPr>
          <w:spacing w:val="-6"/>
        </w:rPr>
        <w:t>–</w:t>
      </w:r>
      <w:r w:rsidRPr="00843229">
        <w:rPr>
          <w:spacing w:val="-6"/>
        </w:rPr>
        <w:t>11; SGS Economics and Planning, sub. 45, p. 5; UDIA South Australia, sub. 31, pp. 2</w:t>
      </w:r>
      <w:r w:rsidR="00843229">
        <w:rPr>
          <w:spacing w:val="-6"/>
        </w:rPr>
        <w:t>–</w:t>
      </w:r>
      <w:r w:rsidRPr="00843229">
        <w:rPr>
          <w:spacing w:val="-6"/>
        </w:rPr>
        <w:t>3.</w:t>
      </w:r>
    </w:p>
  </w:footnote>
  <w:footnote w:id="15">
    <w:p w14:paraId="2D97AE50" w14:textId="77777777" w:rsidR="00CC2DD4" w:rsidRPr="001651D9" w:rsidRDefault="00CC2DD4">
      <w:pPr>
        <w:pStyle w:val="FootnoteText"/>
        <w:rPr>
          <w:lang w:val="en-US"/>
        </w:rPr>
      </w:pPr>
      <w:r w:rsidRPr="00014CAF">
        <w:rPr>
          <w:rStyle w:val="FootnoteReference"/>
        </w:rPr>
        <w:footnoteRef/>
      </w:r>
      <w:r>
        <w:t xml:space="preserve"> </w:t>
      </w:r>
      <w:r>
        <w:rPr>
          <w:lang w:val="en-US"/>
        </w:rPr>
        <w:t xml:space="preserve">‘Developer </w:t>
      </w:r>
      <w:proofErr w:type="gramStart"/>
      <w:r>
        <w:rPr>
          <w:lang w:val="en-US"/>
        </w:rPr>
        <w:t>contributions’</w:t>
      </w:r>
      <w:proofErr w:type="gramEnd"/>
      <w:r>
        <w:rPr>
          <w:lang w:val="en-US"/>
        </w:rPr>
        <w:t xml:space="preserve"> can also refer to non-monetary contributions by developers, such as works-in-kind or direct provision of land or infrastructure. This chapter focuses on monetary contributions.</w:t>
      </w:r>
    </w:p>
  </w:footnote>
  <w:footnote w:id="16">
    <w:p w14:paraId="2F06FCCC" w14:textId="4CE3A179" w:rsidR="00CC2DD4" w:rsidRDefault="00CC2DD4">
      <w:pPr>
        <w:pStyle w:val="FootnoteText"/>
      </w:pPr>
      <w:r w:rsidRPr="00014CAF">
        <w:rPr>
          <w:rStyle w:val="FootnoteReference"/>
        </w:rPr>
        <w:footnoteRef/>
      </w:r>
      <w:r>
        <w:t xml:space="preserve"> </w:t>
      </w:r>
      <w:r w:rsidRPr="003116F9">
        <w:t>Ell Legal Construction Advisory, sub. 52, pp. 5</w:t>
      </w:r>
      <w:r w:rsidR="00753F61" w:rsidRPr="005F1C68">
        <w:t>–</w:t>
      </w:r>
      <w:r w:rsidRPr="003116F9">
        <w:t>6; HIA, sub. 25, p. 22; Master Builders Australia, sub. 74, pp. 10</w:t>
      </w:r>
      <w:r w:rsidR="00753F61" w:rsidRPr="005F1C68">
        <w:t>–</w:t>
      </w:r>
      <w:r w:rsidRPr="003116F9">
        <w:t>13; Policy Watchdog Australia, sub. 1, p.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005A2" w14:textId="7439D8EC" w:rsidR="001E2FE4" w:rsidRPr="000429D1" w:rsidRDefault="00000000" w:rsidP="001E2FE4">
    <w:pPr>
      <w:pStyle w:val="Header-Keyline"/>
    </w:pPr>
    <w:sdt>
      <w:sdtPr>
        <w:rPr>
          <w:rStyle w:val="Strong"/>
        </w:rPr>
        <w:alias w:val="Title"/>
        <w:tag w:val=""/>
        <w:id w:val="-1701777645"/>
        <w:placeholder>
          <w:docPart w:val="249FA56151844F979020595114D16358"/>
        </w:placeholder>
        <w:dataBinding w:prefixMappings="xmlns:ns0='http://purl.org/dc/elements/1.1/' xmlns:ns1='http://schemas.openxmlformats.org/package/2006/metadata/core-properties' " w:xpath="/ns1:coreProperties[1]/ns0:title[1]" w:storeItemID="{6C3C8BC8-F283-45AE-878A-BAB7291924A1}"/>
        <w:text/>
      </w:sdtPr>
      <w:sdtContent>
        <w:r w:rsidR="001035CF">
          <w:rPr>
            <w:rStyle w:val="Strong"/>
          </w:rPr>
          <w:t>Interim report - Housing supply regulation</w:t>
        </w:r>
      </w:sdtContent>
    </w:sdt>
    <w:r w:rsidR="001E2FE4" w:rsidRPr="000429D1">
      <w:t xml:space="preserve"> Inquiry Report</w:t>
    </w:r>
  </w:p>
  <w:p w14:paraId="4034EF4B" w14:textId="0FB5561F" w:rsidR="001E2FE4" w:rsidRPr="000429D1" w:rsidRDefault="00000000" w:rsidP="001E2FE4">
    <w:pPr>
      <w:pStyle w:val="Header-Keyline"/>
    </w:pPr>
    <w:sdt>
      <w:sdtPr>
        <w:rPr>
          <w:rStyle w:val="Strong"/>
        </w:rPr>
        <w:alias w:val="Title"/>
        <w:tag w:val=""/>
        <w:id w:val="1209687023"/>
        <w:placeholder>
          <w:docPart w:val="550A43F2A6904F789E1F24274A1130EA"/>
        </w:placeholder>
        <w:dataBinding w:prefixMappings="xmlns:ns0='http://purl.org/dc/elements/1.1/' xmlns:ns1='http://schemas.openxmlformats.org/package/2006/metadata/core-properties' " w:xpath="/ns1:coreProperties[1]/ns0:title[1]" w:storeItemID="{6C3C8BC8-F283-45AE-878A-BAB7291924A1}"/>
        <w:text/>
      </w:sdtPr>
      <w:sdtContent>
        <w:r w:rsidR="001035CF">
          <w:rPr>
            <w:rStyle w:val="Strong"/>
          </w:rPr>
          <w:t>Interim report - Housing supply regulation</w:t>
        </w:r>
      </w:sdtContent>
    </w:sdt>
    <w:r w:rsidR="001E2FE4" w:rsidRPr="000429D1">
      <w:t xml:space="preserve"> Inquiry Report</w:t>
    </w:r>
  </w:p>
  <w:p w14:paraId="49CCE91C" w14:textId="77777777" w:rsidR="001E2FE4" w:rsidRPr="000429D1" w:rsidRDefault="001E2F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F5FA7" w14:textId="6292B46F" w:rsidR="00E76EEC" w:rsidRPr="000429D1" w:rsidRDefault="00051F3A">
    <w:pPr>
      <w:pStyle w:val="Header-Keyline"/>
    </w:pPr>
    <w:r w:rsidRPr="000429D1">
      <w:rPr>
        <w:rStyle w:val="Strong"/>
      </w:rPr>
      <w:t>Housing supply regulation</w:t>
    </w:r>
    <w:r w:rsidR="00E76EEC" w:rsidRPr="000429D1">
      <w:t xml:space="preserve"> </w:t>
    </w:r>
    <w:r w:rsidR="0085334C" w:rsidRPr="000429D1">
      <w:t>Interim</w:t>
    </w:r>
    <w:r w:rsidR="00E76EEC" w:rsidRPr="000429D1">
      <w:t xml:space="preserve"> report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93BE" w14:textId="677C3ECE" w:rsidR="00E76EEC" w:rsidRPr="000429D1" w:rsidRDefault="00E76EEC">
    <w:pPr>
      <w:pStyle w:val="Header-KeylineRight"/>
      <w:rPr>
        <w:rStyle w:val="Strong"/>
        <w:b w:val="0"/>
        <w:bCs w:val="0"/>
      </w:rPr>
    </w:pPr>
    <w:r w:rsidRPr="000429D1">
      <w:rPr>
        <w:rStyle w:val="Strong"/>
        <w:b w:val="0"/>
        <w:bCs w:val="0"/>
      </w:rPr>
      <w:fldChar w:fldCharType="begin"/>
    </w:r>
    <w:r w:rsidRPr="000429D1">
      <w:rPr>
        <w:rStyle w:val="Strong"/>
        <w:b w:val="0"/>
        <w:bCs w:val="0"/>
      </w:rPr>
      <w:instrText xml:space="preserve"> STYLEREF  "Heading 1-no background"  \* MERGEFORMAT </w:instrText>
    </w:r>
    <w:r w:rsidRPr="000429D1">
      <w:rPr>
        <w:rStyle w:val="Strong"/>
        <w:b w:val="0"/>
        <w:bCs w:val="0"/>
      </w:rPr>
      <w:fldChar w:fldCharType="separate"/>
    </w:r>
    <w:r w:rsidR="00B87306">
      <w:rPr>
        <w:rStyle w:val="Strong"/>
        <w:b w:val="0"/>
        <w:bCs w:val="0"/>
        <w:noProof/>
      </w:rPr>
      <w:t>Terms of reference</w:t>
    </w:r>
    <w:r w:rsidRPr="000429D1">
      <w:rPr>
        <w:rStyle w:val="Strong"/>
        <w:b w:val="0"/>
        <w:bCs w:val="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A251" w14:textId="7EA74494" w:rsidR="00E76EEC" w:rsidRPr="000429D1" w:rsidRDefault="00E76EE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3FDAC" w14:textId="47A5742C" w:rsidR="00E76EEC" w:rsidRPr="000429D1" w:rsidRDefault="00051F3A">
    <w:pPr>
      <w:pStyle w:val="Header-Keyline"/>
    </w:pPr>
    <w:r w:rsidRPr="000429D1">
      <w:rPr>
        <w:rStyle w:val="Strong"/>
      </w:rPr>
      <w:t>Housing supply regulation</w:t>
    </w:r>
    <w:r w:rsidR="00E76EEC" w:rsidRPr="000429D1">
      <w:t xml:space="preserve"> </w:t>
    </w:r>
    <w:r w:rsidR="0085334C" w:rsidRPr="000429D1">
      <w:t>Interim</w:t>
    </w:r>
    <w:r w:rsidR="00E76EEC" w:rsidRPr="000429D1">
      <w:t xml:space="preserve"> </w:t>
    </w:r>
    <w:r w:rsidR="00095C5D" w:rsidRPr="000429D1">
      <w:t>r</w:t>
    </w:r>
    <w:r w:rsidR="00E76EEC" w:rsidRPr="000429D1">
      <w:t>eport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78C48" w14:textId="1B881E7B" w:rsidR="0080161B" w:rsidRPr="000429D1" w:rsidRDefault="00907919" w:rsidP="0080161B">
    <w:pPr>
      <w:pStyle w:val="Header-KeylineRight"/>
    </w:pPr>
    <w:r>
      <w:t>Contents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5282" w14:textId="418F8FB6" w:rsidR="00E76EEC" w:rsidRPr="000429D1" w:rsidRDefault="00E76EE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FBCB8" w14:textId="34FF5788" w:rsidR="00CE19B8" w:rsidRPr="000429D1" w:rsidRDefault="00CE19B8" w:rsidP="00CE19B8">
    <w:pPr>
      <w:pStyle w:val="Header-Keyline"/>
    </w:pPr>
    <w:r>
      <w:rPr>
        <w:rStyle w:val="Strong"/>
      </w:rPr>
      <w:t>Housing supply regulation</w:t>
    </w:r>
    <w:r>
      <w:t xml:space="preserve"> Interim report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2241" w14:textId="7CD4ACC5" w:rsidR="007C5184" w:rsidRPr="00534FAC" w:rsidRDefault="00525F08" w:rsidP="00534FAC">
    <w:pPr>
      <w:pStyle w:val="Header-KeylineRight"/>
    </w:pPr>
    <w:fldSimple w:instr=" STYLEREF  &quot;Heading 1-Section-full page&quot;  \* MERGEFORMAT ">
      <w:r w:rsidR="00B87306">
        <w:rPr>
          <w:noProof/>
        </w:rPr>
        <w:t>Overview</w:t>
      </w:r>
    </w:fldSimple>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8CC23" w14:textId="78E67761" w:rsidR="007C5184" w:rsidRPr="000429D1" w:rsidRDefault="007C518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4309" w14:textId="4AADC29A" w:rsidR="00903247" w:rsidRDefault="00046C48">
    <w:pPr>
      <w:pStyle w:val="Header-Keyline"/>
    </w:pPr>
    <w:r>
      <w:rPr>
        <w:rStyle w:val="Strong"/>
      </w:rPr>
      <w:t>Housing supply regulation</w:t>
    </w:r>
    <w:r w:rsidR="00FB6FB1">
      <w:t xml:space="preserve"> In</w:t>
    </w:r>
    <w:r w:rsidR="000C2D79">
      <w:t>terim</w:t>
    </w:r>
    <w:r w:rsidR="00FB6FB1">
      <w:t xml:space="preserv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13592" w14:textId="12293930" w:rsidR="001E2FE4" w:rsidRPr="000429D1" w:rsidRDefault="00CB06D8" w:rsidP="001E2FE4">
    <w:pPr>
      <w:pStyle w:val="Header-KeylineRight"/>
    </w:pPr>
    <w:fldSimple w:instr=" STYLEREF  &quot;Heading 1&quot;  \* MERGEFORMAT ">
      <w:r>
        <w:rPr>
          <w:noProof/>
        </w:rPr>
        <w:t>Best practice for housing regulatory systems</w:t>
      </w:r>
    </w:fldSimple>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E8AF" w14:textId="0FDAFEF3" w:rsidR="00903247" w:rsidRDefault="001A2AE3">
    <w:pPr>
      <w:pStyle w:val="Header-KeylineRight"/>
    </w:pPr>
    <w:fldSimple w:instr=" STYLEREF  &quot;Heading 1-no number&quot;  \* MERGEFORMAT ">
      <w:r w:rsidR="00B87306" w:rsidRPr="00B87306">
        <w:rPr>
          <w:b/>
          <w:bCs/>
          <w:noProof/>
          <w:lang w:val="en-US"/>
        </w:rPr>
        <w:t>Information requests</w:t>
      </w:r>
    </w:fldSimple>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00A3" w14:textId="30A0FA6C" w:rsidR="00903247" w:rsidRDefault="0090324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1136" w14:textId="4819D509" w:rsidR="00472225" w:rsidRDefault="00472225">
    <w:pPr>
      <w:pStyle w:val="Header-Keyline"/>
    </w:pPr>
    <w:r>
      <w:rPr>
        <w:rStyle w:val="Strong"/>
      </w:rPr>
      <w:t>Housing supply regulation</w:t>
    </w:r>
    <w:r>
      <w:t xml:space="preserve"> In</w:t>
    </w:r>
    <w:r w:rsidR="0046660C">
      <w:t xml:space="preserve">terim </w:t>
    </w:r>
    <w:r>
      <w:t>report</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C7CC0" w14:textId="5D92E2CD" w:rsidR="00903247" w:rsidRDefault="00AC7313" w:rsidP="00472225">
    <w:pPr>
      <w:pStyle w:val="Header-KeylineRight"/>
    </w:pPr>
    <w:fldSimple w:instr=" STYLEREF  &quot;Heading 1&quot;  \* MERGEFORMAT ">
      <w:r w:rsidR="00B87306">
        <w:rPr>
          <w:noProof/>
        </w:rPr>
        <w:t>Best practice for housing regulatory systems</w:t>
      </w:r>
    </w:fldSimple>
    <w:r w:rsidR="009614C4">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E7956" w14:textId="5B65FA52" w:rsidR="00903247" w:rsidRDefault="0090324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00557" w14:textId="661BC9D3" w:rsidR="00C42F53" w:rsidRDefault="00C42F53">
    <w:pPr>
      <w:pStyle w:val="Header-Keyline"/>
    </w:pPr>
    <w:r>
      <w:rPr>
        <w:b/>
        <w:bCs/>
        <w:noProof/>
      </w:rPr>
      <w:drawing>
        <wp:anchor distT="0" distB="0" distL="114300" distR="114300" simplePos="0" relativeHeight="251661312" behindDoc="1" locked="0" layoutInCell="1" allowOverlap="1" wp14:anchorId="0F89962D" wp14:editId="4DFA62D4">
          <wp:simplePos x="0" y="0"/>
          <wp:positionH relativeFrom="page">
            <wp:align>right</wp:align>
          </wp:positionH>
          <wp:positionV relativeFrom="paragraph">
            <wp:posOffset>-504190</wp:posOffset>
          </wp:positionV>
          <wp:extent cx="7560000" cy="10681108"/>
          <wp:effectExtent l="0" t="0" r="3175" b="6350"/>
          <wp:wrapNone/>
          <wp:docPr id="17637238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238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sdt>
      <w:sdtPr>
        <w:rPr>
          <w:rStyle w:val="Strong"/>
        </w:rPr>
        <w:alias w:val="Title"/>
        <w:tag w:val=""/>
        <w:id w:val="-745186494"/>
        <w:placeholder>
          <w:docPart w:val="3F5F4E4682D54EBB9B4D76DDBD041638"/>
        </w:placeholder>
        <w:dataBinding w:prefixMappings="xmlns:ns0='http://purl.org/dc/elements/1.1/' xmlns:ns1='http://schemas.openxmlformats.org/package/2006/metadata/core-properties' " w:xpath="/ns1:coreProperties[1]/ns0:title[1]" w:storeItemID="{6C3C8BC8-F283-45AE-878A-BAB7291924A1}"/>
        <w:text/>
      </w:sdtPr>
      <w:sdtContent>
        <w:r w:rsidR="001035CF">
          <w:rPr>
            <w:rStyle w:val="Strong"/>
          </w:rPr>
          <w:t>Interim report - Housing supply regulation</w:t>
        </w:r>
      </w:sdtContent>
    </w:sdt>
    <w:r>
      <w:t xml:space="preserve"> Interim report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1A6A" w14:textId="1F778D95" w:rsidR="00903247" w:rsidRPr="001D4A4E" w:rsidRDefault="00C12BB6">
    <w:pPr>
      <w:pStyle w:val="Header-Keyline"/>
    </w:pPr>
    <w:r>
      <w:rPr>
        <w:rStyle w:val="Strong"/>
      </w:rPr>
      <w:t>Housing supply regulation</w:t>
    </w:r>
    <w:r>
      <w:t xml:space="preserve"> Interim report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12C4" w14:textId="7C95F943" w:rsidR="00903247" w:rsidRPr="001D4A4E" w:rsidRDefault="00932739" w:rsidP="00481091">
    <w:pPr>
      <w:pStyle w:val="Header-KeylineRight"/>
    </w:pPr>
    <w:fldSimple w:instr=" STYLEREF  &quot;Heading 1&quot;  \* MERGEFORMAT ">
      <w:r w:rsidR="009435FF">
        <w:rPr>
          <w:noProof/>
        </w:rPr>
        <w:t>Reducing the burden of approvals</w:t>
      </w:r>
    </w:fldSimple>
    <w:r w:rsidR="0092258A">
      <w:t xml:space="preserve"> </w:t>
    </w:r>
    <w:r w:rsidR="00481091" w:rsidRPr="001D4A4E">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B072" w14:textId="53C5DDB2" w:rsidR="00903247" w:rsidRPr="001D4A4E" w:rsidRDefault="0090324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5429" w14:textId="62EEC7A2" w:rsidR="00C42F53" w:rsidRPr="001D4A4E" w:rsidRDefault="00C42F53">
    <w:pPr>
      <w:pStyle w:val="Header-Keyline"/>
    </w:pPr>
    <w:r>
      <w:rPr>
        <w:b/>
        <w:bCs/>
        <w:noProof/>
      </w:rPr>
      <w:drawing>
        <wp:anchor distT="0" distB="0" distL="114300" distR="114300" simplePos="0" relativeHeight="251663360" behindDoc="1" locked="0" layoutInCell="1" allowOverlap="1" wp14:anchorId="712DECDA" wp14:editId="063EDD24">
          <wp:simplePos x="0" y="0"/>
          <wp:positionH relativeFrom="page">
            <wp:align>left</wp:align>
          </wp:positionH>
          <wp:positionV relativeFrom="paragraph">
            <wp:posOffset>-499398</wp:posOffset>
          </wp:positionV>
          <wp:extent cx="7560000" cy="10681108"/>
          <wp:effectExtent l="0" t="0" r="3175" b="6350"/>
          <wp:wrapNone/>
          <wp:docPr id="163314965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49659"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sdt>
      <w:sdtPr>
        <w:rPr>
          <w:rStyle w:val="Strong"/>
        </w:rPr>
        <w:alias w:val="Title"/>
        <w:tag w:val=""/>
        <w:id w:val="1129049954"/>
        <w:placeholder>
          <w:docPart w:val="7A05311C7E0D444A90625533494694B4"/>
        </w:placeholder>
        <w:dataBinding w:prefixMappings="xmlns:ns0='http://purl.org/dc/elements/1.1/' xmlns:ns1='http://schemas.openxmlformats.org/package/2006/metadata/core-properties' " w:xpath="/ns1:coreProperties[1]/ns0:title[1]" w:storeItemID="{6C3C8BC8-F283-45AE-878A-BAB7291924A1}"/>
        <w:text/>
      </w:sdtPr>
      <w:sdtContent>
        <w:r w:rsidR="001035CF">
          <w:rPr>
            <w:rStyle w:val="Strong"/>
          </w:rPr>
          <w:t>Interim report - Housing supply regulation</w:t>
        </w:r>
      </w:sdtContent>
    </w:sdt>
    <w:r>
      <w:t xml:space="preserve"> Interim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E0E4" w14:textId="6093355C" w:rsidR="00F04EA7" w:rsidRPr="000429D1" w:rsidRDefault="00E74787" w:rsidP="007215EF">
    <w:r w:rsidRPr="000429D1">
      <w:rPr>
        <w:noProof/>
      </w:rPr>
      <w:drawing>
        <wp:anchor distT="0" distB="0" distL="114300" distR="114300" simplePos="0" relativeHeight="251658240" behindDoc="0" locked="0" layoutInCell="1" allowOverlap="1" wp14:anchorId="47AEDB50" wp14:editId="706320BE">
          <wp:simplePos x="0" y="0"/>
          <wp:positionH relativeFrom="page">
            <wp:posOffset>0</wp:posOffset>
          </wp:positionH>
          <wp:positionV relativeFrom="paragraph">
            <wp:posOffset>-396240</wp:posOffset>
          </wp:positionV>
          <wp:extent cx="7559998" cy="10690797"/>
          <wp:effectExtent l="0" t="0" r="3175" b="0"/>
          <wp:wrapNone/>
          <wp:docPr id="1862824584" name="Picture 1" descr="Australian Government Productivity Commission logo | Housing supply regulation interim report 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2824584" name="Picture 1" descr="Australian Government Productivity Commission logo | Housing supply regulation interim report cover"/>
                  <pic:cNvPicPr/>
                </pic:nvPicPr>
                <pic:blipFill>
                  <a:blip r:embed="rId1">
                    <a:extLst>
                      <a:ext uri="{28A0092B-C50C-407E-A947-70E740481C1C}">
                        <a14:useLocalDpi xmlns:a14="http://schemas.microsoft.com/office/drawing/2010/main" val="0"/>
                      </a:ext>
                    </a:extLst>
                  </a:blip>
                  <a:stretch>
                    <a:fillRect/>
                  </a:stretch>
                </pic:blipFill>
                <pic:spPr>
                  <a:xfrm>
                    <a:off x="0" y="0"/>
                    <a:ext cx="7559998" cy="10690797"/>
                  </a:xfrm>
                  <a:prstGeom prst="rect">
                    <a:avLst/>
                  </a:prstGeom>
                </pic:spPr>
              </pic:pic>
            </a:graphicData>
          </a:graphic>
          <wp14:sizeRelH relativeFrom="margin">
            <wp14:pctWidth>0</wp14:pctWidth>
          </wp14:sizeRelH>
          <wp14:sizeRelV relativeFrom="margin">
            <wp14:pctHeight>0</wp14:pctHeight>
          </wp14:sizeRelV>
        </wp:anchor>
      </w:drawing>
    </w:r>
  </w:p>
  <w:p w14:paraId="15724F3E" w14:textId="77777777" w:rsidR="00F04EA7" w:rsidRPr="000429D1" w:rsidRDefault="00F04EA7" w:rsidP="005965BC">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E9A52" w14:textId="5596B426" w:rsidR="00657245" w:rsidRDefault="00000000">
    <w:pPr>
      <w:pStyle w:val="Header-Keyline"/>
    </w:pPr>
    <w:sdt>
      <w:sdtPr>
        <w:rPr>
          <w:rStyle w:val="Strong"/>
        </w:rPr>
        <w:alias w:val="Title"/>
        <w:tag w:val=""/>
        <w:id w:val="-1175874502"/>
        <w:dataBinding w:prefixMappings="xmlns:ns0='http://purl.org/dc/elements/1.1/' xmlns:ns1='http://schemas.openxmlformats.org/package/2006/metadata/core-properties' " w:xpath="/ns1:coreProperties[1]/ns0:title[1]" w:storeItemID="{6C3C8BC8-F283-45AE-878A-BAB7291924A1}"/>
        <w:text/>
      </w:sdtPr>
      <w:sdtContent>
        <w:r w:rsidR="001035CF">
          <w:rPr>
            <w:rStyle w:val="Strong"/>
          </w:rPr>
          <w:t>Interim report - Housing supply regulation</w:t>
        </w:r>
      </w:sdtContent>
    </w:sdt>
    <w:r w:rsidR="00657245">
      <w:t xml:space="preserve"> In</w:t>
    </w:r>
    <w:r w:rsidR="00111056">
      <w:t>terim</w:t>
    </w:r>
    <w:r w:rsidR="00657245">
      <w:t xml:space="preserve"> report</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9B7E" w14:textId="13A8F2AE" w:rsidR="00D95005" w:rsidRDefault="00D9500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DB212" w14:textId="4B185EFA" w:rsidR="00C42F53" w:rsidRDefault="00C42F53">
    <w:pPr>
      <w:pStyle w:val="Header-Keyline"/>
    </w:pPr>
    <w:r>
      <w:rPr>
        <w:rStyle w:val="Strong"/>
      </w:rPr>
      <w:t>Housing supply regulation</w:t>
    </w:r>
    <w:r>
      <w:t xml:space="preserve"> Interim report</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C4EE1" w14:textId="6C0AFCFA" w:rsidR="00C42F53" w:rsidRDefault="00C42F53">
    <w:pPr>
      <w:pStyle w:val="Header-Keyline"/>
    </w:pPr>
    <w:r>
      <w:rPr>
        <w:b/>
        <w:bCs/>
        <w:noProof/>
      </w:rPr>
      <w:drawing>
        <wp:anchor distT="0" distB="0" distL="114300" distR="114300" simplePos="0" relativeHeight="251665408" behindDoc="1" locked="0" layoutInCell="1" allowOverlap="1" wp14:anchorId="576E46A1" wp14:editId="7B914FB0">
          <wp:simplePos x="0" y="0"/>
          <wp:positionH relativeFrom="page">
            <wp:align>left</wp:align>
          </wp:positionH>
          <wp:positionV relativeFrom="paragraph">
            <wp:posOffset>-499399</wp:posOffset>
          </wp:positionV>
          <wp:extent cx="7560000" cy="10681108"/>
          <wp:effectExtent l="0" t="0" r="3175" b="6350"/>
          <wp:wrapNone/>
          <wp:docPr id="29520148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238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sdt>
      <w:sdtPr>
        <w:rPr>
          <w:rStyle w:val="Strong"/>
        </w:rPr>
        <w:alias w:val="Title"/>
        <w:tag w:val=""/>
        <w:id w:val="535710219"/>
        <w:dataBinding w:prefixMappings="xmlns:ns0='http://purl.org/dc/elements/1.1/' xmlns:ns1='http://schemas.openxmlformats.org/package/2006/metadata/core-properties' " w:xpath="/ns1:coreProperties[1]/ns0:title[1]" w:storeItemID="{6C3C8BC8-F283-45AE-878A-BAB7291924A1}"/>
        <w:text/>
      </w:sdtPr>
      <w:sdtContent>
        <w:r w:rsidR="001035CF">
          <w:rPr>
            <w:rStyle w:val="Strong"/>
          </w:rPr>
          <w:t>Interim report - Housing supply regulation</w:t>
        </w:r>
      </w:sdtContent>
    </w:sdt>
    <w:r>
      <w:t xml:space="preserve"> Interim report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DA3E" w14:textId="5BF0956F" w:rsidR="00C42F53" w:rsidRDefault="00C42F53">
    <w:pPr>
      <w:pStyle w:val="Header-Keyline"/>
    </w:pPr>
    <w:r>
      <w:rPr>
        <w:rStyle w:val="Strong"/>
      </w:rPr>
      <w:t>Housing supply regulation</w:t>
    </w:r>
    <w:r>
      <w:t xml:space="preserve"> Interim report</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3051" w14:textId="43349AD2" w:rsidR="00C42F53" w:rsidRDefault="004D402E">
    <w:pPr>
      <w:pStyle w:val="Header-Keyline"/>
    </w:pPr>
    <w:r>
      <w:rPr>
        <w:b/>
        <w:bCs/>
        <w:noProof/>
      </w:rPr>
      <w:drawing>
        <wp:anchor distT="0" distB="0" distL="114300" distR="114300" simplePos="0" relativeHeight="251667456" behindDoc="1" locked="0" layoutInCell="1" allowOverlap="1" wp14:anchorId="562D2121" wp14:editId="6D0C25CF">
          <wp:simplePos x="0" y="0"/>
          <wp:positionH relativeFrom="page">
            <wp:align>right</wp:align>
          </wp:positionH>
          <wp:positionV relativeFrom="paragraph">
            <wp:posOffset>-487524</wp:posOffset>
          </wp:positionV>
          <wp:extent cx="7560000" cy="10681108"/>
          <wp:effectExtent l="0" t="0" r="3175" b="6350"/>
          <wp:wrapNone/>
          <wp:docPr id="16416547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2386"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1108"/>
                  </a:xfrm>
                  <a:prstGeom prst="rect">
                    <a:avLst/>
                  </a:prstGeom>
                </pic:spPr>
              </pic:pic>
            </a:graphicData>
          </a:graphic>
          <wp14:sizeRelH relativeFrom="page">
            <wp14:pctWidth>0</wp14:pctWidth>
          </wp14:sizeRelH>
          <wp14:sizeRelV relativeFrom="page">
            <wp14:pctHeight>0</wp14:pctHeight>
          </wp14:sizeRelV>
        </wp:anchor>
      </w:drawing>
    </w:r>
    <w:sdt>
      <w:sdtPr>
        <w:rPr>
          <w:rStyle w:val="Strong"/>
        </w:rPr>
        <w:alias w:val="Title"/>
        <w:tag w:val=""/>
        <w:id w:val="-1896577053"/>
        <w:dataBinding w:prefixMappings="xmlns:ns0='http://purl.org/dc/elements/1.1/' xmlns:ns1='http://schemas.openxmlformats.org/package/2006/metadata/core-properties' " w:xpath="/ns1:coreProperties[1]/ns0:title[1]" w:storeItemID="{6C3C8BC8-F283-45AE-878A-BAB7291924A1}"/>
        <w:text/>
      </w:sdtPr>
      <w:sdtContent>
        <w:r w:rsidR="001035CF">
          <w:rPr>
            <w:rStyle w:val="Strong"/>
          </w:rPr>
          <w:t>Interim report - Housing supply regulation</w:t>
        </w:r>
      </w:sdtContent>
    </w:sdt>
    <w:r w:rsidR="00C42F53">
      <w:t xml:space="preserve"> Interim report</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7E2BC" w14:textId="415A5512" w:rsidR="00C42F53" w:rsidRDefault="00C42F53">
    <w:pPr>
      <w:pStyle w:val="Header-Keyline"/>
    </w:pPr>
    <w:r>
      <w:rPr>
        <w:rStyle w:val="Strong"/>
      </w:rPr>
      <w:t>Housing supply regulation</w:t>
    </w:r>
    <w:r>
      <w:t xml:space="preserve"> Interim report</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654F" w14:textId="744467C1" w:rsidR="00481091" w:rsidRPr="001D4A4E" w:rsidRDefault="00932739" w:rsidP="00481091">
    <w:pPr>
      <w:pStyle w:val="Header-KeylineRight"/>
    </w:pPr>
    <w:fldSimple w:instr=" STYLEREF  &quot;Heading 1&quot;  \* MERGEFORMAT ">
      <w:r w:rsidR="00B87306">
        <w:rPr>
          <w:noProof/>
        </w:rPr>
        <w:t>Toward more homes, faster</w:t>
      </w:r>
    </w:fldSimple>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71273" w14:textId="3E02F7B2" w:rsidR="00903247" w:rsidRDefault="0090324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F088" w14:textId="7F60FA7E" w:rsidR="00903247" w:rsidRDefault="00FB6FB1" w:rsidP="007B42C5">
    <w:pPr>
      <w:pStyle w:val="Header-Keyline"/>
      <w:tabs>
        <w:tab w:val="clear" w:pos="4513"/>
        <w:tab w:val="clear" w:pos="9026"/>
        <w:tab w:val="center" w:pos="4819"/>
      </w:tabs>
    </w:pPr>
    <w:r w:rsidRPr="00A854E3">
      <w:rPr>
        <w:b/>
        <w:bCs/>
      </w:rPr>
      <w:t xml:space="preserve">Housing </w:t>
    </w:r>
    <w:r w:rsidR="00D43390">
      <w:rPr>
        <w:b/>
        <w:bCs/>
      </w:rPr>
      <w:t>s</w:t>
    </w:r>
    <w:r w:rsidRPr="00A854E3">
      <w:rPr>
        <w:b/>
        <w:bCs/>
      </w:rPr>
      <w:t xml:space="preserve">upply </w:t>
    </w:r>
    <w:r w:rsidR="00D43390">
      <w:rPr>
        <w:b/>
        <w:bCs/>
      </w:rPr>
      <w:t>r</w:t>
    </w:r>
    <w:r w:rsidRPr="00A854E3">
      <w:rPr>
        <w:b/>
        <w:bCs/>
      </w:rPr>
      <w:t>egulation</w:t>
    </w:r>
    <w:r>
      <w:t xml:space="preserve"> Interim report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AFC6" w14:textId="127F3F3F" w:rsidR="001E2FE4" w:rsidRPr="000429D1" w:rsidRDefault="00051F3A" w:rsidP="00390E05">
    <w:pPr>
      <w:pStyle w:val="Header-Keyline"/>
    </w:pPr>
    <w:r w:rsidRPr="000429D1">
      <w:rPr>
        <w:rStyle w:val="Strong"/>
      </w:rPr>
      <w:t>Housing supply regulation</w:t>
    </w:r>
    <w:r w:rsidR="001E2FE4" w:rsidRPr="000429D1">
      <w:t xml:space="preserve"> </w:t>
    </w:r>
    <w:r w:rsidR="0085334C" w:rsidRPr="000429D1">
      <w:t>Interim</w:t>
    </w:r>
    <w:r w:rsidR="001E2FE4" w:rsidRPr="000429D1">
      <w:t xml:space="preserve"> </w:t>
    </w:r>
    <w:r w:rsidR="00BE5E7E" w:rsidRPr="000429D1">
      <w:t>r</w:t>
    </w:r>
    <w:r w:rsidR="001E2FE4" w:rsidRPr="000429D1">
      <w:t>eport</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D7D2" w14:textId="67DE22A2" w:rsidR="00903247" w:rsidRDefault="00932739">
    <w:pPr>
      <w:pStyle w:val="Header-KeylineRight"/>
    </w:pPr>
    <w:fldSimple w:instr=" STYLEREF  Heading-Appendix  \* MERGEFORMAT ">
      <w:r w:rsidR="00B87306">
        <w:rPr>
          <w:noProof/>
        </w:rPr>
        <w:t>Public consultation</w:t>
      </w:r>
    </w:fldSimple>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DEDE" w14:textId="09DDBC51" w:rsidR="00903247" w:rsidRDefault="0090324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6FFA" w14:textId="456A9952" w:rsidR="00903247" w:rsidRDefault="003A4F41">
    <w:pPr>
      <w:pStyle w:val="Header-Keyline"/>
    </w:pPr>
    <w:r>
      <w:rPr>
        <w:rStyle w:val="Strong"/>
      </w:rPr>
      <w:t>Housing supply regulation</w:t>
    </w:r>
    <w:r w:rsidR="00FB6FB1">
      <w:t xml:space="preserve"> In</w:t>
    </w:r>
    <w:r w:rsidR="00EF2391">
      <w:t>terim</w:t>
    </w:r>
    <w:r w:rsidR="00FB6FB1">
      <w:t xml:space="preserve"> report</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60B34" w14:textId="06C1F39B" w:rsidR="00903247" w:rsidRDefault="00932739">
    <w:pPr>
      <w:pStyle w:val="Header-KeylineRight"/>
    </w:pPr>
    <w:fldSimple w:instr=" STYLEREF  &quot;Heading 1-no background&quot;  \* MERGEFORMAT ">
      <w:r w:rsidR="00B87306">
        <w:rPr>
          <w:noProof/>
        </w:rPr>
        <w:t>References</w:t>
      </w:r>
    </w:fldSimple>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A84A" w14:textId="216A1097" w:rsidR="00903247" w:rsidRDefault="0090324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00A4" w14:textId="1F0D682A" w:rsidR="001E2FE4" w:rsidRPr="000429D1" w:rsidRDefault="00CB06D8" w:rsidP="00EA3238">
    <w:pPr>
      <w:pStyle w:val="Header-KeylineRight"/>
    </w:pPr>
    <w:fldSimple w:instr=" STYLEREF  &quot;Heading 1&quot;  \* MERGEFORMAT ">
      <w:r>
        <w:rPr>
          <w:noProof/>
        </w:rPr>
        <w:t>Best practice for housing regulatory systems</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41B4" w14:textId="28BB6F3A" w:rsidR="00C73D38" w:rsidRPr="000429D1" w:rsidRDefault="00C73D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46ED4" w14:textId="3B780EFF" w:rsidR="00E76EEC" w:rsidRPr="000429D1" w:rsidRDefault="00000000" w:rsidP="001D7D9B">
    <w:pPr>
      <w:pStyle w:val="Header-Keyline"/>
    </w:pPr>
    <w:sdt>
      <w:sdtPr>
        <w:rPr>
          <w:rStyle w:val="Strong"/>
        </w:rPr>
        <w:alias w:val="Title"/>
        <w:tag w:val=""/>
        <w:id w:val="-847643246"/>
        <w:placeholder>
          <w:docPart w:val="13443BB1BCA544ABA559CADEDC8531D2"/>
        </w:placeholder>
        <w:dataBinding w:prefixMappings="xmlns:ns0='http://purl.org/dc/elements/1.1/' xmlns:ns1='http://schemas.openxmlformats.org/package/2006/metadata/core-properties' " w:xpath="/ns1:coreProperties[1]/ns0:title[1]" w:storeItemID="{6C3C8BC8-F283-45AE-878A-BAB7291924A1}"/>
        <w:text/>
      </w:sdtPr>
      <w:sdtContent>
        <w:r w:rsidR="001035CF">
          <w:rPr>
            <w:rStyle w:val="Strong"/>
          </w:rPr>
          <w:t>Interim report - Housing supply regulation</w:t>
        </w:r>
      </w:sdtContent>
    </w:sdt>
    <w:r w:rsidR="00E76EEC" w:rsidRPr="000429D1">
      <w:t xml:space="preserve"> Inquiry report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E2C3" w14:textId="137C792A" w:rsidR="00E76EEC" w:rsidRPr="000429D1" w:rsidRDefault="00112D8E" w:rsidP="00160FEC">
    <w:pPr>
      <w:pStyle w:val="Header-KeylineRight"/>
      <w:rPr>
        <w:rStyle w:val="Strong"/>
        <w:b w:val="0"/>
        <w:bCs w:val="0"/>
      </w:rPr>
    </w:pPr>
    <w:r w:rsidRPr="000429D1">
      <w:rPr>
        <w:rStyle w:val="Strong"/>
        <w:b w:val="0"/>
        <w:bCs w:val="0"/>
      </w:rPr>
      <w:t>Opportunity for comment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73DD" w14:textId="4ABC4590" w:rsidR="00E76EEC" w:rsidRPr="000429D1" w:rsidRDefault="00E76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B00EAC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55366B42"/>
    <w:numStyleLink w:val="LetteredList"/>
  </w:abstractNum>
  <w:abstractNum w:abstractNumId="11" w15:restartNumberingAfterBreak="0">
    <w:nsid w:val="2DFE29AF"/>
    <w:multiLevelType w:val="multilevel"/>
    <w:tmpl w:val="72768BCE"/>
    <w:numStyleLink w:val="AppendixHeadingList"/>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6134636A"/>
    <w:multiLevelType w:val="multilevel"/>
    <w:tmpl w:val="1FA8DC2A"/>
    <w:numStyleLink w:val="Numbering"/>
  </w:abstractNum>
  <w:abstractNum w:abstractNumId="17" w15:restartNumberingAfterBreak="0">
    <w:nsid w:val="67EB6AB0"/>
    <w:multiLevelType w:val="multilevel"/>
    <w:tmpl w:val="FF8069A4"/>
    <w:numStyleLink w:val="Bullets"/>
  </w:abstractNum>
  <w:abstractNum w:abstractNumId="18" w15:restartNumberingAfterBreak="0">
    <w:nsid w:val="74FE0A55"/>
    <w:multiLevelType w:val="hybridMultilevel"/>
    <w:tmpl w:val="00BED0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61B4A1B"/>
    <w:multiLevelType w:val="multilevel"/>
    <w:tmpl w:val="4F48000A"/>
    <w:numStyleLink w:val="Alphalist"/>
  </w:abstractNum>
  <w:abstractNum w:abstractNumId="20" w15:restartNumberingAfterBreak="0">
    <w:nsid w:val="78DE36CD"/>
    <w:multiLevelType w:val="hybridMultilevel"/>
    <w:tmpl w:val="201A049E"/>
    <w:lvl w:ilvl="0" w:tplc="4FC213E8">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num w:numId="1" w16cid:durableId="675377460">
    <w:abstractNumId w:val="5"/>
  </w:num>
  <w:num w:numId="2" w16cid:durableId="1977758896">
    <w:abstractNumId w:val="1"/>
  </w:num>
  <w:num w:numId="3" w16cid:durableId="892694678">
    <w:abstractNumId w:val="18"/>
  </w:num>
  <w:num w:numId="4" w16cid:durableId="117602025">
    <w:abstractNumId w:val="20"/>
  </w:num>
  <w:num w:numId="5" w16cid:durableId="4037214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3564051">
    <w:abstractNumId w:val="16"/>
    <w:lvlOverride w:ilvl="0">
      <w:lvl w:ilvl="0">
        <w:start w:val="1"/>
        <w:numFmt w:val="decimal"/>
        <w:lvlText w:val="%1."/>
        <w:lvlJc w:val="left"/>
        <w:pPr>
          <w:ind w:left="454" w:hanging="454"/>
        </w:pPr>
        <w:rPr>
          <w:rFonts w:hint="default"/>
          <w:b/>
          <w:bCs/>
        </w:rPr>
      </w:lvl>
    </w:lvlOverride>
    <w:lvlOverride w:ilvl="1">
      <w:lvl w:ilvl="1">
        <w:start w:val="1"/>
        <w:numFmt w:val="decimal"/>
        <w:lvlText w:val="%1.%2."/>
        <w:lvlJc w:val="left"/>
        <w:pPr>
          <w:ind w:left="680" w:hanging="680"/>
        </w:pPr>
        <w:rPr>
          <w:rFonts w:hint="default"/>
        </w:rPr>
      </w:lvl>
    </w:lvlOverride>
    <w:lvlOverride w:ilvl="2">
      <w:lvl w:ilvl="2">
        <w:start w:val="1"/>
        <w:numFmt w:val="decimal"/>
        <w:lvlText w:val="%1.%2.%3."/>
        <w:lvlJc w:val="left"/>
        <w:pPr>
          <w:ind w:left="907" w:hanging="907"/>
        </w:pPr>
        <w:rPr>
          <w:rFonts w:hint="default"/>
        </w:rPr>
      </w:lvl>
    </w:lvlOverride>
    <w:lvlOverride w:ilvl="3">
      <w:lvl w:ilvl="3">
        <w:start w:val="1"/>
        <w:numFmt w:val="decimal"/>
        <w:lvlText w:val="%1.%2.%3.%4."/>
        <w:lvlJc w:val="left"/>
        <w:pPr>
          <w:ind w:left="1134" w:hanging="1134"/>
        </w:pPr>
        <w:rPr>
          <w:rFonts w:hint="default"/>
        </w:rPr>
      </w:lvl>
    </w:lvlOverride>
    <w:lvlOverride w:ilvl="4">
      <w:lvl w:ilvl="4">
        <w:start w:val="1"/>
        <w:numFmt w:val="decimal"/>
        <w:lvlText w:val="%1.%2.%3.%4.%5"/>
        <w:lvlJc w:val="left"/>
        <w:pPr>
          <w:ind w:left="1361" w:hanging="1361"/>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567" w:hanging="567"/>
        </w:pPr>
        <w:rPr>
          <w:rFonts w:hint="default"/>
        </w:rPr>
      </w:lvl>
    </w:lvlOverride>
    <w:lvlOverride w:ilvl="8">
      <w:lvl w:ilvl="8">
        <w:start w:val="1"/>
        <w:numFmt w:val="none"/>
        <w:lvlText w:val=""/>
        <w:lvlJc w:val="right"/>
        <w:pPr>
          <w:ind w:left="567" w:hanging="567"/>
        </w:pPr>
        <w:rPr>
          <w:rFonts w:hint="default"/>
        </w:rPr>
      </w:lvl>
    </w:lvlOverride>
  </w:num>
  <w:num w:numId="7" w16cid:durableId="68576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7265953">
    <w:abstractNumId w:val="16"/>
    <w:lvlOverride w:ilvl="0">
      <w:startOverride w:val="1"/>
      <w:lvl w:ilvl="0">
        <w:start w:val="1"/>
        <w:numFmt w:val="decimal"/>
        <w:lvlText w:val="%1."/>
        <w:lvlJc w:val="left"/>
        <w:pPr>
          <w:ind w:left="454" w:hanging="454"/>
        </w:pPr>
        <w:rPr>
          <w:rFonts w:hint="default"/>
          <w:b/>
          <w:bCs/>
        </w:rPr>
      </w:lvl>
    </w:lvlOverride>
    <w:lvlOverride w:ilvl="1">
      <w:startOverride w:val="1"/>
      <w:lvl w:ilvl="1">
        <w:start w:val="1"/>
        <w:numFmt w:val="decimal"/>
        <w:lvlText w:val="%1.%2."/>
        <w:lvlJc w:val="left"/>
        <w:pPr>
          <w:ind w:left="680" w:hanging="680"/>
        </w:pPr>
        <w:rPr>
          <w:rFonts w:hint="default"/>
        </w:rPr>
      </w:lvl>
    </w:lvlOverride>
    <w:lvlOverride w:ilvl="2">
      <w:startOverride w:val="1"/>
      <w:lvl w:ilvl="2">
        <w:start w:val="1"/>
        <w:numFmt w:val="decimal"/>
        <w:lvlText w:val="%1.%2.%3."/>
        <w:lvlJc w:val="left"/>
        <w:pPr>
          <w:ind w:left="907" w:hanging="907"/>
        </w:pPr>
        <w:rPr>
          <w:rFonts w:hint="default"/>
        </w:rPr>
      </w:lvl>
    </w:lvlOverride>
    <w:lvlOverride w:ilvl="3">
      <w:startOverride w:val="1"/>
      <w:lvl w:ilvl="3">
        <w:start w:val="1"/>
        <w:numFmt w:val="decimal"/>
        <w:lvlText w:val="%1.%2.%3.%4."/>
        <w:lvlJc w:val="left"/>
        <w:pPr>
          <w:ind w:left="1134" w:hanging="1134"/>
        </w:pPr>
        <w:rPr>
          <w:rFonts w:hint="default"/>
        </w:rPr>
      </w:lvl>
    </w:lvlOverride>
    <w:lvlOverride w:ilvl="4">
      <w:startOverride w:val="1"/>
      <w:lvl w:ilvl="4">
        <w:start w:val="1"/>
        <w:numFmt w:val="decimal"/>
        <w:lvlText w:val="%1.%2.%3.%4.%5"/>
        <w:lvlJc w:val="left"/>
        <w:pPr>
          <w:ind w:left="1361" w:hanging="1361"/>
        </w:pPr>
        <w:rPr>
          <w:rFonts w:hint="default"/>
        </w:rPr>
      </w:lvl>
    </w:lvlOverride>
    <w:lvlOverride w:ilvl="5">
      <w:startOverride w:val="1"/>
      <w:lvl w:ilvl="5">
        <w:start w:val="1"/>
        <w:numFmt w:val="decimal"/>
        <w:lvlText w:val="%6"/>
        <w:lvlJc w:val="lef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decimal"/>
        <w:lvlText w:val="%8."/>
        <w:lvlJc w:val="left"/>
        <w:pPr>
          <w:ind w:left="567" w:hanging="567"/>
        </w:pPr>
        <w:rPr>
          <w:rFonts w:hint="default"/>
        </w:rPr>
      </w:lvl>
    </w:lvlOverride>
    <w:lvlOverride w:ilvl="8">
      <w:startOverride w:val="1"/>
      <w:lvl w:ilvl="8">
        <w:start w:val="1"/>
        <w:numFmt w:val="none"/>
        <w:lvlText w:val=""/>
        <w:lvlJc w:val="right"/>
        <w:pPr>
          <w:ind w:left="567" w:hanging="567"/>
        </w:pPr>
        <w:rPr>
          <w:rFonts w:hint="default"/>
        </w:rPr>
      </w:lvl>
    </w:lvlOverride>
  </w:num>
  <w:num w:numId="9" w16cid:durableId="1931618919">
    <w:abstractNumId w:val="6"/>
  </w:num>
  <w:num w:numId="10" w16cid:durableId="1787239030">
    <w:abstractNumId w:val="3"/>
  </w:num>
  <w:num w:numId="11" w16cid:durableId="1708531372">
    <w:abstractNumId w:val="9"/>
  </w:num>
  <w:num w:numId="12" w16cid:durableId="1707295021">
    <w:abstractNumId w:val="14"/>
  </w:num>
  <w:num w:numId="13" w16cid:durableId="256445266">
    <w:abstractNumId w:val="15"/>
  </w:num>
  <w:num w:numId="14" w16cid:durableId="153760113">
    <w:abstractNumId w:val="13"/>
  </w:num>
  <w:num w:numId="15" w16cid:durableId="468860594">
    <w:abstractNumId w:val="11"/>
  </w:num>
  <w:num w:numId="16" w16cid:durableId="1720857960">
    <w:abstractNumId w:val="7"/>
  </w:num>
  <w:num w:numId="17" w16cid:durableId="501048444">
    <w:abstractNumId w:val="10"/>
  </w:num>
  <w:num w:numId="18" w16cid:durableId="1650593897">
    <w:abstractNumId w:val="19"/>
  </w:num>
  <w:num w:numId="19" w16cid:durableId="426076249">
    <w:abstractNumId w:val="0"/>
  </w:num>
  <w:num w:numId="20" w16cid:durableId="2112164021">
    <w:abstractNumId w:val="4"/>
  </w:num>
  <w:num w:numId="21" w16cid:durableId="1280647996">
    <w:abstractNumId w:val="8"/>
  </w:num>
  <w:num w:numId="22" w16cid:durableId="1969168471">
    <w:abstractNumId w:val="5"/>
  </w:num>
  <w:num w:numId="23" w16cid:durableId="1474105272">
    <w:abstractNumId w:val="17"/>
  </w:num>
  <w:num w:numId="24" w16cid:durableId="883953553">
    <w:abstractNumId w:val="2"/>
  </w:num>
  <w:num w:numId="25" w16cid:durableId="1901593954">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E73"/>
    <w:rsid w:val="00000075"/>
    <w:rsid w:val="000006B9"/>
    <w:rsid w:val="00000F3C"/>
    <w:rsid w:val="00003789"/>
    <w:rsid w:val="00004489"/>
    <w:rsid w:val="00005C79"/>
    <w:rsid w:val="00006309"/>
    <w:rsid w:val="000074C8"/>
    <w:rsid w:val="000079F0"/>
    <w:rsid w:val="00010C55"/>
    <w:rsid w:val="00011B66"/>
    <w:rsid w:val="00014854"/>
    <w:rsid w:val="0001502B"/>
    <w:rsid w:val="00021D38"/>
    <w:rsid w:val="00024801"/>
    <w:rsid w:val="0002655F"/>
    <w:rsid w:val="00026C04"/>
    <w:rsid w:val="00026E2C"/>
    <w:rsid w:val="000300AF"/>
    <w:rsid w:val="00030F38"/>
    <w:rsid w:val="000315DD"/>
    <w:rsid w:val="000331E4"/>
    <w:rsid w:val="0003338D"/>
    <w:rsid w:val="00033619"/>
    <w:rsid w:val="0003400C"/>
    <w:rsid w:val="00035E42"/>
    <w:rsid w:val="00036A25"/>
    <w:rsid w:val="000429D1"/>
    <w:rsid w:val="000438E6"/>
    <w:rsid w:val="000439D8"/>
    <w:rsid w:val="00044DBB"/>
    <w:rsid w:val="00046C48"/>
    <w:rsid w:val="000472B6"/>
    <w:rsid w:val="00047894"/>
    <w:rsid w:val="0005151B"/>
    <w:rsid w:val="00051F3A"/>
    <w:rsid w:val="0005476E"/>
    <w:rsid w:val="00054C95"/>
    <w:rsid w:val="000552B7"/>
    <w:rsid w:val="000561CF"/>
    <w:rsid w:val="000571C6"/>
    <w:rsid w:val="0005774F"/>
    <w:rsid w:val="00060ACB"/>
    <w:rsid w:val="00061945"/>
    <w:rsid w:val="0006234A"/>
    <w:rsid w:val="00062A44"/>
    <w:rsid w:val="0006539B"/>
    <w:rsid w:val="000706DB"/>
    <w:rsid w:val="00070ED7"/>
    <w:rsid w:val="000724AE"/>
    <w:rsid w:val="0007776A"/>
    <w:rsid w:val="00077A76"/>
    <w:rsid w:val="000801A0"/>
    <w:rsid w:val="0008037D"/>
    <w:rsid w:val="00084660"/>
    <w:rsid w:val="00085FB9"/>
    <w:rsid w:val="00086D70"/>
    <w:rsid w:val="00091286"/>
    <w:rsid w:val="000956E1"/>
    <w:rsid w:val="00095C5D"/>
    <w:rsid w:val="000965FA"/>
    <w:rsid w:val="00097AB9"/>
    <w:rsid w:val="000A0F08"/>
    <w:rsid w:val="000A25AF"/>
    <w:rsid w:val="000A2D7A"/>
    <w:rsid w:val="000A38AA"/>
    <w:rsid w:val="000B497F"/>
    <w:rsid w:val="000B4A72"/>
    <w:rsid w:val="000B5105"/>
    <w:rsid w:val="000C2D79"/>
    <w:rsid w:val="000C3AB0"/>
    <w:rsid w:val="000C6B77"/>
    <w:rsid w:val="000D00B9"/>
    <w:rsid w:val="000D0563"/>
    <w:rsid w:val="000D2CF4"/>
    <w:rsid w:val="000D352A"/>
    <w:rsid w:val="000D54C4"/>
    <w:rsid w:val="000E0EFF"/>
    <w:rsid w:val="000E43B0"/>
    <w:rsid w:val="000E5E58"/>
    <w:rsid w:val="000F4488"/>
    <w:rsid w:val="000F57FA"/>
    <w:rsid w:val="00100FAB"/>
    <w:rsid w:val="001031B4"/>
    <w:rsid w:val="001035CF"/>
    <w:rsid w:val="00111056"/>
    <w:rsid w:val="0011217E"/>
    <w:rsid w:val="00112948"/>
    <w:rsid w:val="00112D8E"/>
    <w:rsid w:val="00112E8F"/>
    <w:rsid w:val="001170D5"/>
    <w:rsid w:val="00120792"/>
    <w:rsid w:val="0012249B"/>
    <w:rsid w:val="00125275"/>
    <w:rsid w:val="001268BC"/>
    <w:rsid w:val="001275F3"/>
    <w:rsid w:val="00130093"/>
    <w:rsid w:val="001318D3"/>
    <w:rsid w:val="00132EAC"/>
    <w:rsid w:val="00134C5F"/>
    <w:rsid w:val="00135337"/>
    <w:rsid w:val="0013722E"/>
    <w:rsid w:val="00137FAB"/>
    <w:rsid w:val="001457F0"/>
    <w:rsid w:val="00147720"/>
    <w:rsid w:val="001477FA"/>
    <w:rsid w:val="00151F4A"/>
    <w:rsid w:val="00153260"/>
    <w:rsid w:val="00154E0D"/>
    <w:rsid w:val="001600E9"/>
    <w:rsid w:val="00160FEC"/>
    <w:rsid w:val="001610E5"/>
    <w:rsid w:val="00161BC8"/>
    <w:rsid w:val="00161DA1"/>
    <w:rsid w:val="001648A6"/>
    <w:rsid w:val="001714F3"/>
    <w:rsid w:val="00174365"/>
    <w:rsid w:val="00176281"/>
    <w:rsid w:val="001822B4"/>
    <w:rsid w:val="00182A32"/>
    <w:rsid w:val="00182EA8"/>
    <w:rsid w:val="001838AA"/>
    <w:rsid w:val="00184388"/>
    <w:rsid w:val="00184A48"/>
    <w:rsid w:val="00184FF3"/>
    <w:rsid w:val="001850B6"/>
    <w:rsid w:val="00186571"/>
    <w:rsid w:val="00187F05"/>
    <w:rsid w:val="00191E11"/>
    <w:rsid w:val="0019200F"/>
    <w:rsid w:val="00192BFA"/>
    <w:rsid w:val="001952DF"/>
    <w:rsid w:val="001957BF"/>
    <w:rsid w:val="00197C88"/>
    <w:rsid w:val="001A06B6"/>
    <w:rsid w:val="001A0D77"/>
    <w:rsid w:val="001A196A"/>
    <w:rsid w:val="001A1D95"/>
    <w:rsid w:val="001A2565"/>
    <w:rsid w:val="001A2AE3"/>
    <w:rsid w:val="001A5011"/>
    <w:rsid w:val="001A7406"/>
    <w:rsid w:val="001A7CE7"/>
    <w:rsid w:val="001B1762"/>
    <w:rsid w:val="001B17AC"/>
    <w:rsid w:val="001B588D"/>
    <w:rsid w:val="001C1045"/>
    <w:rsid w:val="001C3773"/>
    <w:rsid w:val="001C6EBC"/>
    <w:rsid w:val="001C7835"/>
    <w:rsid w:val="001C7E47"/>
    <w:rsid w:val="001D0922"/>
    <w:rsid w:val="001D107C"/>
    <w:rsid w:val="001D134C"/>
    <w:rsid w:val="001D3201"/>
    <w:rsid w:val="001D4050"/>
    <w:rsid w:val="001D4A11"/>
    <w:rsid w:val="001D7D9B"/>
    <w:rsid w:val="001E2FE4"/>
    <w:rsid w:val="001F081C"/>
    <w:rsid w:val="001F13C1"/>
    <w:rsid w:val="001F15E0"/>
    <w:rsid w:val="001F1E9A"/>
    <w:rsid w:val="001F446D"/>
    <w:rsid w:val="001F49D9"/>
    <w:rsid w:val="001F4F25"/>
    <w:rsid w:val="001F6B0A"/>
    <w:rsid w:val="002002A2"/>
    <w:rsid w:val="0020078D"/>
    <w:rsid w:val="00201320"/>
    <w:rsid w:val="00201F5E"/>
    <w:rsid w:val="0020204A"/>
    <w:rsid w:val="00203363"/>
    <w:rsid w:val="002034FA"/>
    <w:rsid w:val="00204BAC"/>
    <w:rsid w:val="00206E62"/>
    <w:rsid w:val="00206FF6"/>
    <w:rsid w:val="002112EC"/>
    <w:rsid w:val="00211A39"/>
    <w:rsid w:val="00214763"/>
    <w:rsid w:val="00216254"/>
    <w:rsid w:val="00221800"/>
    <w:rsid w:val="00221AB7"/>
    <w:rsid w:val="00221C27"/>
    <w:rsid w:val="002235F5"/>
    <w:rsid w:val="00225835"/>
    <w:rsid w:val="00227712"/>
    <w:rsid w:val="00231395"/>
    <w:rsid w:val="002315D8"/>
    <w:rsid w:val="002371FA"/>
    <w:rsid w:val="0024183F"/>
    <w:rsid w:val="002425C1"/>
    <w:rsid w:val="002457DE"/>
    <w:rsid w:val="00246435"/>
    <w:rsid w:val="00246BCF"/>
    <w:rsid w:val="00247D9B"/>
    <w:rsid w:val="00250171"/>
    <w:rsid w:val="00251245"/>
    <w:rsid w:val="00251CA2"/>
    <w:rsid w:val="002601BB"/>
    <w:rsid w:val="00262E10"/>
    <w:rsid w:val="0026419F"/>
    <w:rsid w:val="00265918"/>
    <w:rsid w:val="00270834"/>
    <w:rsid w:val="0027236D"/>
    <w:rsid w:val="00273E86"/>
    <w:rsid w:val="00274325"/>
    <w:rsid w:val="0028062B"/>
    <w:rsid w:val="002814E6"/>
    <w:rsid w:val="00281A54"/>
    <w:rsid w:val="00282AE5"/>
    <w:rsid w:val="002860E3"/>
    <w:rsid w:val="0028649D"/>
    <w:rsid w:val="00287114"/>
    <w:rsid w:val="00292290"/>
    <w:rsid w:val="002936B4"/>
    <w:rsid w:val="00294629"/>
    <w:rsid w:val="002951E6"/>
    <w:rsid w:val="00295330"/>
    <w:rsid w:val="00297905"/>
    <w:rsid w:val="002A095E"/>
    <w:rsid w:val="002A3A3B"/>
    <w:rsid w:val="002A4823"/>
    <w:rsid w:val="002A67E4"/>
    <w:rsid w:val="002B0577"/>
    <w:rsid w:val="002B435C"/>
    <w:rsid w:val="002B5B8A"/>
    <w:rsid w:val="002B6EBD"/>
    <w:rsid w:val="002B7F60"/>
    <w:rsid w:val="002C3D4F"/>
    <w:rsid w:val="002C797E"/>
    <w:rsid w:val="002D50CB"/>
    <w:rsid w:val="002D54C1"/>
    <w:rsid w:val="002E0C49"/>
    <w:rsid w:val="002E1C0B"/>
    <w:rsid w:val="002E3696"/>
    <w:rsid w:val="002E3F19"/>
    <w:rsid w:val="002E51D2"/>
    <w:rsid w:val="002E7A0E"/>
    <w:rsid w:val="002E7EFA"/>
    <w:rsid w:val="002F21F3"/>
    <w:rsid w:val="002F3244"/>
    <w:rsid w:val="002F6386"/>
    <w:rsid w:val="002F79E3"/>
    <w:rsid w:val="00301CF7"/>
    <w:rsid w:val="00302E3B"/>
    <w:rsid w:val="00303704"/>
    <w:rsid w:val="00304A93"/>
    <w:rsid w:val="00305171"/>
    <w:rsid w:val="00305D8B"/>
    <w:rsid w:val="0030738E"/>
    <w:rsid w:val="003107DC"/>
    <w:rsid w:val="00315AE4"/>
    <w:rsid w:val="00315B51"/>
    <w:rsid w:val="003163C0"/>
    <w:rsid w:val="00317EBC"/>
    <w:rsid w:val="00321142"/>
    <w:rsid w:val="003221B4"/>
    <w:rsid w:val="00323400"/>
    <w:rsid w:val="0032451F"/>
    <w:rsid w:val="003262D7"/>
    <w:rsid w:val="00326A36"/>
    <w:rsid w:val="003302AE"/>
    <w:rsid w:val="00330497"/>
    <w:rsid w:val="00335217"/>
    <w:rsid w:val="00336E46"/>
    <w:rsid w:val="00336ECB"/>
    <w:rsid w:val="00345D43"/>
    <w:rsid w:val="0034680A"/>
    <w:rsid w:val="003470DF"/>
    <w:rsid w:val="0035074A"/>
    <w:rsid w:val="00351F5D"/>
    <w:rsid w:val="00352395"/>
    <w:rsid w:val="00354696"/>
    <w:rsid w:val="003548B1"/>
    <w:rsid w:val="0035519A"/>
    <w:rsid w:val="0035623E"/>
    <w:rsid w:val="0036039C"/>
    <w:rsid w:val="0036059A"/>
    <w:rsid w:val="00361038"/>
    <w:rsid w:val="00363483"/>
    <w:rsid w:val="003639FA"/>
    <w:rsid w:val="00363FF8"/>
    <w:rsid w:val="003640E1"/>
    <w:rsid w:val="00365D67"/>
    <w:rsid w:val="0036625B"/>
    <w:rsid w:val="00366D95"/>
    <w:rsid w:val="003724C8"/>
    <w:rsid w:val="00373CB6"/>
    <w:rsid w:val="00376491"/>
    <w:rsid w:val="0037721D"/>
    <w:rsid w:val="0038102A"/>
    <w:rsid w:val="003833B4"/>
    <w:rsid w:val="003843F6"/>
    <w:rsid w:val="0038499C"/>
    <w:rsid w:val="00384E92"/>
    <w:rsid w:val="003906EA"/>
    <w:rsid w:val="00390AE4"/>
    <w:rsid w:val="00390E05"/>
    <w:rsid w:val="00391BEE"/>
    <w:rsid w:val="00395F7D"/>
    <w:rsid w:val="00395F81"/>
    <w:rsid w:val="00396A2E"/>
    <w:rsid w:val="00397FDB"/>
    <w:rsid w:val="003A0787"/>
    <w:rsid w:val="003A0909"/>
    <w:rsid w:val="003A4C65"/>
    <w:rsid w:val="003A4F41"/>
    <w:rsid w:val="003A6564"/>
    <w:rsid w:val="003A743E"/>
    <w:rsid w:val="003A7ADE"/>
    <w:rsid w:val="003B2015"/>
    <w:rsid w:val="003B2A34"/>
    <w:rsid w:val="003B3CD4"/>
    <w:rsid w:val="003B5EF9"/>
    <w:rsid w:val="003B6E2C"/>
    <w:rsid w:val="003B743A"/>
    <w:rsid w:val="003B7DB1"/>
    <w:rsid w:val="003C01D4"/>
    <w:rsid w:val="003C157F"/>
    <w:rsid w:val="003C2B3E"/>
    <w:rsid w:val="003C2CC3"/>
    <w:rsid w:val="003C3B31"/>
    <w:rsid w:val="003C584D"/>
    <w:rsid w:val="003C69BF"/>
    <w:rsid w:val="003D09EE"/>
    <w:rsid w:val="003D23A3"/>
    <w:rsid w:val="003D40B6"/>
    <w:rsid w:val="003D5856"/>
    <w:rsid w:val="003D5C29"/>
    <w:rsid w:val="003E6055"/>
    <w:rsid w:val="003E60CC"/>
    <w:rsid w:val="003F007E"/>
    <w:rsid w:val="003F1D7B"/>
    <w:rsid w:val="003F6B7E"/>
    <w:rsid w:val="003F6CB5"/>
    <w:rsid w:val="003F6F1A"/>
    <w:rsid w:val="0040060F"/>
    <w:rsid w:val="004009EF"/>
    <w:rsid w:val="00402EBC"/>
    <w:rsid w:val="004038E1"/>
    <w:rsid w:val="00404E4F"/>
    <w:rsid w:val="004064F7"/>
    <w:rsid w:val="004116F9"/>
    <w:rsid w:val="00412E66"/>
    <w:rsid w:val="0041561E"/>
    <w:rsid w:val="00416F75"/>
    <w:rsid w:val="00420257"/>
    <w:rsid w:val="00420F0E"/>
    <w:rsid w:val="0042339A"/>
    <w:rsid w:val="00423B15"/>
    <w:rsid w:val="00424CB8"/>
    <w:rsid w:val="0042508F"/>
    <w:rsid w:val="00426416"/>
    <w:rsid w:val="00426AF5"/>
    <w:rsid w:val="00432D56"/>
    <w:rsid w:val="0043326D"/>
    <w:rsid w:val="00434A53"/>
    <w:rsid w:val="00436DEB"/>
    <w:rsid w:val="004379C2"/>
    <w:rsid w:val="004400E8"/>
    <w:rsid w:val="00440563"/>
    <w:rsid w:val="0044196B"/>
    <w:rsid w:val="00443869"/>
    <w:rsid w:val="0045079C"/>
    <w:rsid w:val="00450C80"/>
    <w:rsid w:val="004544D6"/>
    <w:rsid w:val="00456142"/>
    <w:rsid w:val="004612E2"/>
    <w:rsid w:val="00461CE9"/>
    <w:rsid w:val="00462407"/>
    <w:rsid w:val="004629AF"/>
    <w:rsid w:val="00463187"/>
    <w:rsid w:val="004631DD"/>
    <w:rsid w:val="00463309"/>
    <w:rsid w:val="004635FD"/>
    <w:rsid w:val="00463ED8"/>
    <w:rsid w:val="00464F71"/>
    <w:rsid w:val="0046660C"/>
    <w:rsid w:val="00467F93"/>
    <w:rsid w:val="00470129"/>
    <w:rsid w:val="00470F6B"/>
    <w:rsid w:val="00472225"/>
    <w:rsid w:val="004728A0"/>
    <w:rsid w:val="004742DD"/>
    <w:rsid w:val="00474D57"/>
    <w:rsid w:val="00475231"/>
    <w:rsid w:val="00476C75"/>
    <w:rsid w:val="00477F20"/>
    <w:rsid w:val="004805C1"/>
    <w:rsid w:val="00481091"/>
    <w:rsid w:val="00481151"/>
    <w:rsid w:val="004813A1"/>
    <w:rsid w:val="00484E96"/>
    <w:rsid w:val="004856BB"/>
    <w:rsid w:val="00487842"/>
    <w:rsid w:val="004922AC"/>
    <w:rsid w:val="00496700"/>
    <w:rsid w:val="00496FDB"/>
    <w:rsid w:val="00497FD4"/>
    <w:rsid w:val="004A1C15"/>
    <w:rsid w:val="004A2FB8"/>
    <w:rsid w:val="004A5586"/>
    <w:rsid w:val="004A7E6F"/>
    <w:rsid w:val="004B1531"/>
    <w:rsid w:val="004B3E96"/>
    <w:rsid w:val="004B546B"/>
    <w:rsid w:val="004B609E"/>
    <w:rsid w:val="004B77F5"/>
    <w:rsid w:val="004B7A5A"/>
    <w:rsid w:val="004C16CE"/>
    <w:rsid w:val="004C310C"/>
    <w:rsid w:val="004C34D2"/>
    <w:rsid w:val="004C4823"/>
    <w:rsid w:val="004D1E93"/>
    <w:rsid w:val="004D402E"/>
    <w:rsid w:val="004D4875"/>
    <w:rsid w:val="004D70F9"/>
    <w:rsid w:val="004E1233"/>
    <w:rsid w:val="004E28C6"/>
    <w:rsid w:val="004E6DE1"/>
    <w:rsid w:val="004E7C49"/>
    <w:rsid w:val="004F0A60"/>
    <w:rsid w:val="004F10E0"/>
    <w:rsid w:val="004F138F"/>
    <w:rsid w:val="004F1679"/>
    <w:rsid w:val="004F2D0A"/>
    <w:rsid w:val="004F2E0B"/>
    <w:rsid w:val="004F420C"/>
    <w:rsid w:val="004F4220"/>
    <w:rsid w:val="004F43E0"/>
    <w:rsid w:val="004F5AEA"/>
    <w:rsid w:val="00500123"/>
    <w:rsid w:val="00502373"/>
    <w:rsid w:val="00502A92"/>
    <w:rsid w:val="00506684"/>
    <w:rsid w:val="0050670B"/>
    <w:rsid w:val="00511B29"/>
    <w:rsid w:val="005122A3"/>
    <w:rsid w:val="005124ED"/>
    <w:rsid w:val="005141E8"/>
    <w:rsid w:val="00515F70"/>
    <w:rsid w:val="00516A89"/>
    <w:rsid w:val="00517257"/>
    <w:rsid w:val="00517C75"/>
    <w:rsid w:val="005210DF"/>
    <w:rsid w:val="00522052"/>
    <w:rsid w:val="00525F08"/>
    <w:rsid w:val="00527A18"/>
    <w:rsid w:val="005326C5"/>
    <w:rsid w:val="00533132"/>
    <w:rsid w:val="00534FAC"/>
    <w:rsid w:val="00540B70"/>
    <w:rsid w:val="0054321A"/>
    <w:rsid w:val="00544255"/>
    <w:rsid w:val="005447DF"/>
    <w:rsid w:val="00544F9C"/>
    <w:rsid w:val="0054725E"/>
    <w:rsid w:val="00547435"/>
    <w:rsid w:val="0054750D"/>
    <w:rsid w:val="0055074C"/>
    <w:rsid w:val="00550C99"/>
    <w:rsid w:val="00553413"/>
    <w:rsid w:val="0055489B"/>
    <w:rsid w:val="00554DD9"/>
    <w:rsid w:val="00554F68"/>
    <w:rsid w:val="00555AB2"/>
    <w:rsid w:val="00556D8F"/>
    <w:rsid w:val="00557470"/>
    <w:rsid w:val="00561129"/>
    <w:rsid w:val="00562410"/>
    <w:rsid w:val="005625DE"/>
    <w:rsid w:val="0056431A"/>
    <w:rsid w:val="005651A7"/>
    <w:rsid w:val="0057096B"/>
    <w:rsid w:val="00570F22"/>
    <w:rsid w:val="00571371"/>
    <w:rsid w:val="00571C54"/>
    <w:rsid w:val="0057367B"/>
    <w:rsid w:val="005754AB"/>
    <w:rsid w:val="0057704B"/>
    <w:rsid w:val="005818CF"/>
    <w:rsid w:val="00581BBD"/>
    <w:rsid w:val="005826F4"/>
    <w:rsid w:val="0058285F"/>
    <w:rsid w:val="0058369E"/>
    <w:rsid w:val="00583C78"/>
    <w:rsid w:val="00583CD8"/>
    <w:rsid w:val="0058486D"/>
    <w:rsid w:val="00584C2A"/>
    <w:rsid w:val="00585395"/>
    <w:rsid w:val="005860B4"/>
    <w:rsid w:val="00590BFA"/>
    <w:rsid w:val="00590D09"/>
    <w:rsid w:val="00590FBA"/>
    <w:rsid w:val="0059156A"/>
    <w:rsid w:val="00593314"/>
    <w:rsid w:val="0059368E"/>
    <w:rsid w:val="00593BF5"/>
    <w:rsid w:val="00594496"/>
    <w:rsid w:val="00594A57"/>
    <w:rsid w:val="005956D3"/>
    <w:rsid w:val="00596365"/>
    <w:rsid w:val="005965BC"/>
    <w:rsid w:val="005A1773"/>
    <w:rsid w:val="005A35F6"/>
    <w:rsid w:val="005A7E78"/>
    <w:rsid w:val="005B0211"/>
    <w:rsid w:val="005B03ED"/>
    <w:rsid w:val="005B1776"/>
    <w:rsid w:val="005B1BA3"/>
    <w:rsid w:val="005B32FB"/>
    <w:rsid w:val="005B63D9"/>
    <w:rsid w:val="005B7FE4"/>
    <w:rsid w:val="005C05E0"/>
    <w:rsid w:val="005C076E"/>
    <w:rsid w:val="005C0B92"/>
    <w:rsid w:val="005C37E0"/>
    <w:rsid w:val="005C54B9"/>
    <w:rsid w:val="005C5A1C"/>
    <w:rsid w:val="005C6618"/>
    <w:rsid w:val="005D0189"/>
    <w:rsid w:val="005D2DFD"/>
    <w:rsid w:val="005D3EA4"/>
    <w:rsid w:val="005D64A0"/>
    <w:rsid w:val="005D68DF"/>
    <w:rsid w:val="005E4470"/>
    <w:rsid w:val="005E5794"/>
    <w:rsid w:val="005E5CE4"/>
    <w:rsid w:val="005E74C5"/>
    <w:rsid w:val="005F1C68"/>
    <w:rsid w:val="005F3478"/>
    <w:rsid w:val="005F3DE5"/>
    <w:rsid w:val="005F6688"/>
    <w:rsid w:val="005F669F"/>
    <w:rsid w:val="006030C4"/>
    <w:rsid w:val="00603B79"/>
    <w:rsid w:val="00603FD5"/>
    <w:rsid w:val="00604FD2"/>
    <w:rsid w:val="00605753"/>
    <w:rsid w:val="006071FF"/>
    <w:rsid w:val="006074CD"/>
    <w:rsid w:val="00607B17"/>
    <w:rsid w:val="00607F03"/>
    <w:rsid w:val="00610627"/>
    <w:rsid w:val="00610CC0"/>
    <w:rsid w:val="00610F6C"/>
    <w:rsid w:val="00616676"/>
    <w:rsid w:val="00616DC8"/>
    <w:rsid w:val="00617BC3"/>
    <w:rsid w:val="00620548"/>
    <w:rsid w:val="006236E7"/>
    <w:rsid w:val="00624B90"/>
    <w:rsid w:val="00630F02"/>
    <w:rsid w:val="00635339"/>
    <w:rsid w:val="00642A74"/>
    <w:rsid w:val="00643C1B"/>
    <w:rsid w:val="006475BD"/>
    <w:rsid w:val="00651EB6"/>
    <w:rsid w:val="006527FF"/>
    <w:rsid w:val="00655336"/>
    <w:rsid w:val="006554F2"/>
    <w:rsid w:val="006557BB"/>
    <w:rsid w:val="00656A8A"/>
    <w:rsid w:val="00656E0D"/>
    <w:rsid w:val="00657245"/>
    <w:rsid w:val="0066040A"/>
    <w:rsid w:val="00662209"/>
    <w:rsid w:val="00663C44"/>
    <w:rsid w:val="006643CD"/>
    <w:rsid w:val="00665019"/>
    <w:rsid w:val="00665A62"/>
    <w:rsid w:val="00671884"/>
    <w:rsid w:val="00674A43"/>
    <w:rsid w:val="00675635"/>
    <w:rsid w:val="0067673A"/>
    <w:rsid w:val="00681434"/>
    <w:rsid w:val="00681C1F"/>
    <w:rsid w:val="00682373"/>
    <w:rsid w:val="00682712"/>
    <w:rsid w:val="006836E1"/>
    <w:rsid w:val="006839F1"/>
    <w:rsid w:val="0068401C"/>
    <w:rsid w:val="00685A3B"/>
    <w:rsid w:val="0068724F"/>
    <w:rsid w:val="00692D1E"/>
    <w:rsid w:val="00695D65"/>
    <w:rsid w:val="006A0411"/>
    <w:rsid w:val="006A1512"/>
    <w:rsid w:val="006A1970"/>
    <w:rsid w:val="006A19DA"/>
    <w:rsid w:val="006A1DEF"/>
    <w:rsid w:val="006A2B01"/>
    <w:rsid w:val="006A32EF"/>
    <w:rsid w:val="006A3325"/>
    <w:rsid w:val="006A41FD"/>
    <w:rsid w:val="006A4F89"/>
    <w:rsid w:val="006A7031"/>
    <w:rsid w:val="006A7069"/>
    <w:rsid w:val="006A71CA"/>
    <w:rsid w:val="006B2A81"/>
    <w:rsid w:val="006B3841"/>
    <w:rsid w:val="006B5987"/>
    <w:rsid w:val="006C1C55"/>
    <w:rsid w:val="006C36D5"/>
    <w:rsid w:val="006C4AF4"/>
    <w:rsid w:val="006C4C82"/>
    <w:rsid w:val="006D05FE"/>
    <w:rsid w:val="006D095B"/>
    <w:rsid w:val="006D0C5B"/>
    <w:rsid w:val="006D1C9B"/>
    <w:rsid w:val="006D3F2F"/>
    <w:rsid w:val="006D48D5"/>
    <w:rsid w:val="006D4F09"/>
    <w:rsid w:val="006D5F4F"/>
    <w:rsid w:val="006D635F"/>
    <w:rsid w:val="006D6D12"/>
    <w:rsid w:val="006E113B"/>
    <w:rsid w:val="006E1238"/>
    <w:rsid w:val="006E3536"/>
    <w:rsid w:val="006E607C"/>
    <w:rsid w:val="006E7F29"/>
    <w:rsid w:val="006F13E9"/>
    <w:rsid w:val="006F65F5"/>
    <w:rsid w:val="006F7E4F"/>
    <w:rsid w:val="00700697"/>
    <w:rsid w:val="00701100"/>
    <w:rsid w:val="00706404"/>
    <w:rsid w:val="00707BB8"/>
    <w:rsid w:val="00711EFE"/>
    <w:rsid w:val="00714488"/>
    <w:rsid w:val="00714807"/>
    <w:rsid w:val="007158C6"/>
    <w:rsid w:val="0071699F"/>
    <w:rsid w:val="00720507"/>
    <w:rsid w:val="007215EF"/>
    <w:rsid w:val="007301C9"/>
    <w:rsid w:val="007349AB"/>
    <w:rsid w:val="0073671A"/>
    <w:rsid w:val="007373F6"/>
    <w:rsid w:val="0074093A"/>
    <w:rsid w:val="00741BF5"/>
    <w:rsid w:val="00741D1D"/>
    <w:rsid w:val="00742F0D"/>
    <w:rsid w:val="00742F82"/>
    <w:rsid w:val="00743548"/>
    <w:rsid w:val="007440FF"/>
    <w:rsid w:val="00744120"/>
    <w:rsid w:val="007453FC"/>
    <w:rsid w:val="007454B1"/>
    <w:rsid w:val="007519DC"/>
    <w:rsid w:val="0075386F"/>
    <w:rsid w:val="00753F61"/>
    <w:rsid w:val="00754A11"/>
    <w:rsid w:val="0075718D"/>
    <w:rsid w:val="00760304"/>
    <w:rsid w:val="00760E1B"/>
    <w:rsid w:val="007620BD"/>
    <w:rsid w:val="00762F69"/>
    <w:rsid w:val="00763B55"/>
    <w:rsid w:val="00764FE1"/>
    <w:rsid w:val="007669DE"/>
    <w:rsid w:val="00767EAE"/>
    <w:rsid w:val="00770BD4"/>
    <w:rsid w:val="00770DB0"/>
    <w:rsid w:val="00770E7B"/>
    <w:rsid w:val="00775165"/>
    <w:rsid w:val="007761FE"/>
    <w:rsid w:val="007809DA"/>
    <w:rsid w:val="00780BAD"/>
    <w:rsid w:val="00783E9A"/>
    <w:rsid w:val="0078533C"/>
    <w:rsid w:val="00790E74"/>
    <w:rsid w:val="00792D11"/>
    <w:rsid w:val="007A0363"/>
    <w:rsid w:val="007A0F59"/>
    <w:rsid w:val="007A18FD"/>
    <w:rsid w:val="007A2477"/>
    <w:rsid w:val="007A50A2"/>
    <w:rsid w:val="007B0A10"/>
    <w:rsid w:val="007B42C5"/>
    <w:rsid w:val="007B43F8"/>
    <w:rsid w:val="007B5014"/>
    <w:rsid w:val="007C015F"/>
    <w:rsid w:val="007C01AB"/>
    <w:rsid w:val="007C0C6F"/>
    <w:rsid w:val="007C11E5"/>
    <w:rsid w:val="007C23BA"/>
    <w:rsid w:val="007C3475"/>
    <w:rsid w:val="007C4801"/>
    <w:rsid w:val="007C4AB5"/>
    <w:rsid w:val="007C5184"/>
    <w:rsid w:val="007C6064"/>
    <w:rsid w:val="007D1569"/>
    <w:rsid w:val="007D1F4A"/>
    <w:rsid w:val="007D2078"/>
    <w:rsid w:val="007D25EB"/>
    <w:rsid w:val="007D539B"/>
    <w:rsid w:val="007E0560"/>
    <w:rsid w:val="007E1A38"/>
    <w:rsid w:val="007E5A01"/>
    <w:rsid w:val="007E749F"/>
    <w:rsid w:val="007E7AEE"/>
    <w:rsid w:val="007F70E1"/>
    <w:rsid w:val="0080161B"/>
    <w:rsid w:val="008017BC"/>
    <w:rsid w:val="00802063"/>
    <w:rsid w:val="0080322B"/>
    <w:rsid w:val="008035C3"/>
    <w:rsid w:val="00803F26"/>
    <w:rsid w:val="00804B8B"/>
    <w:rsid w:val="00806F63"/>
    <w:rsid w:val="00807F06"/>
    <w:rsid w:val="00811196"/>
    <w:rsid w:val="008120C9"/>
    <w:rsid w:val="0081533C"/>
    <w:rsid w:val="008161D7"/>
    <w:rsid w:val="00816C30"/>
    <w:rsid w:val="008203AF"/>
    <w:rsid w:val="00820661"/>
    <w:rsid w:val="008225ED"/>
    <w:rsid w:val="00822709"/>
    <w:rsid w:val="0082437F"/>
    <w:rsid w:val="00826C05"/>
    <w:rsid w:val="0083069E"/>
    <w:rsid w:val="00830F96"/>
    <w:rsid w:val="00832EFB"/>
    <w:rsid w:val="008337C6"/>
    <w:rsid w:val="0083428E"/>
    <w:rsid w:val="00834A20"/>
    <w:rsid w:val="00834B91"/>
    <w:rsid w:val="00836262"/>
    <w:rsid w:val="00836E3A"/>
    <w:rsid w:val="00837210"/>
    <w:rsid w:val="008411FA"/>
    <w:rsid w:val="0084238D"/>
    <w:rsid w:val="00843229"/>
    <w:rsid w:val="00843514"/>
    <w:rsid w:val="008445D0"/>
    <w:rsid w:val="0084590B"/>
    <w:rsid w:val="008472B8"/>
    <w:rsid w:val="008529A2"/>
    <w:rsid w:val="0085334C"/>
    <w:rsid w:val="0085439B"/>
    <w:rsid w:val="0085439C"/>
    <w:rsid w:val="008579B4"/>
    <w:rsid w:val="00860204"/>
    <w:rsid w:val="008659C9"/>
    <w:rsid w:val="008664F3"/>
    <w:rsid w:val="00871A6C"/>
    <w:rsid w:val="00872A6F"/>
    <w:rsid w:val="00872BA0"/>
    <w:rsid w:val="0087524F"/>
    <w:rsid w:val="00875CCB"/>
    <w:rsid w:val="00877EF9"/>
    <w:rsid w:val="00881C00"/>
    <w:rsid w:val="008833F3"/>
    <w:rsid w:val="00883C07"/>
    <w:rsid w:val="00884008"/>
    <w:rsid w:val="00885678"/>
    <w:rsid w:val="00886A58"/>
    <w:rsid w:val="00890396"/>
    <w:rsid w:val="00895373"/>
    <w:rsid w:val="00897407"/>
    <w:rsid w:val="00897793"/>
    <w:rsid w:val="008A0D26"/>
    <w:rsid w:val="008A1632"/>
    <w:rsid w:val="008A1951"/>
    <w:rsid w:val="008A263A"/>
    <w:rsid w:val="008A600B"/>
    <w:rsid w:val="008A6F83"/>
    <w:rsid w:val="008A7819"/>
    <w:rsid w:val="008B05C3"/>
    <w:rsid w:val="008B1820"/>
    <w:rsid w:val="008B4965"/>
    <w:rsid w:val="008B4E13"/>
    <w:rsid w:val="008B4E5B"/>
    <w:rsid w:val="008B78B1"/>
    <w:rsid w:val="008C121F"/>
    <w:rsid w:val="008C1CCF"/>
    <w:rsid w:val="008C7E73"/>
    <w:rsid w:val="008D19FD"/>
    <w:rsid w:val="008D1ABD"/>
    <w:rsid w:val="008D3A0D"/>
    <w:rsid w:val="008D7425"/>
    <w:rsid w:val="008E07AC"/>
    <w:rsid w:val="008E25D6"/>
    <w:rsid w:val="008E5DCD"/>
    <w:rsid w:val="008E5E76"/>
    <w:rsid w:val="008E680D"/>
    <w:rsid w:val="008E707D"/>
    <w:rsid w:val="008E7143"/>
    <w:rsid w:val="008E7BD4"/>
    <w:rsid w:val="008F0A95"/>
    <w:rsid w:val="008F2B35"/>
    <w:rsid w:val="008F2F22"/>
    <w:rsid w:val="008F525C"/>
    <w:rsid w:val="008F52FE"/>
    <w:rsid w:val="008F567D"/>
    <w:rsid w:val="008F6661"/>
    <w:rsid w:val="008F6884"/>
    <w:rsid w:val="008F6F1A"/>
    <w:rsid w:val="008F7897"/>
    <w:rsid w:val="009006F0"/>
    <w:rsid w:val="0090137A"/>
    <w:rsid w:val="009026CD"/>
    <w:rsid w:val="00903247"/>
    <w:rsid w:val="00903370"/>
    <w:rsid w:val="00905B56"/>
    <w:rsid w:val="00907919"/>
    <w:rsid w:val="00907A1B"/>
    <w:rsid w:val="00912BCD"/>
    <w:rsid w:val="0091349A"/>
    <w:rsid w:val="00913D1B"/>
    <w:rsid w:val="00914399"/>
    <w:rsid w:val="0091472E"/>
    <w:rsid w:val="0091530C"/>
    <w:rsid w:val="009158BF"/>
    <w:rsid w:val="00915B5A"/>
    <w:rsid w:val="00916287"/>
    <w:rsid w:val="0091646A"/>
    <w:rsid w:val="0092128C"/>
    <w:rsid w:val="009219FD"/>
    <w:rsid w:val="00921EE1"/>
    <w:rsid w:val="0092258A"/>
    <w:rsid w:val="0092336A"/>
    <w:rsid w:val="00927EA8"/>
    <w:rsid w:val="00932739"/>
    <w:rsid w:val="00933239"/>
    <w:rsid w:val="00933E08"/>
    <w:rsid w:val="009342FC"/>
    <w:rsid w:val="00936068"/>
    <w:rsid w:val="00936532"/>
    <w:rsid w:val="00936935"/>
    <w:rsid w:val="009435FF"/>
    <w:rsid w:val="00943806"/>
    <w:rsid w:val="009447CD"/>
    <w:rsid w:val="00946351"/>
    <w:rsid w:val="00947983"/>
    <w:rsid w:val="00947ABB"/>
    <w:rsid w:val="00947D43"/>
    <w:rsid w:val="009500BB"/>
    <w:rsid w:val="009517CC"/>
    <w:rsid w:val="00957E28"/>
    <w:rsid w:val="009605CD"/>
    <w:rsid w:val="009614C4"/>
    <w:rsid w:val="009615D4"/>
    <w:rsid w:val="00962905"/>
    <w:rsid w:val="009630C2"/>
    <w:rsid w:val="00963415"/>
    <w:rsid w:val="00965186"/>
    <w:rsid w:val="0096532A"/>
    <w:rsid w:val="00965E42"/>
    <w:rsid w:val="00966038"/>
    <w:rsid w:val="009660A9"/>
    <w:rsid w:val="00970A20"/>
    <w:rsid w:val="0097163D"/>
    <w:rsid w:val="009721D2"/>
    <w:rsid w:val="009721F8"/>
    <w:rsid w:val="009738B0"/>
    <w:rsid w:val="00974677"/>
    <w:rsid w:val="00975B6E"/>
    <w:rsid w:val="00976023"/>
    <w:rsid w:val="00980461"/>
    <w:rsid w:val="009828C9"/>
    <w:rsid w:val="0098542A"/>
    <w:rsid w:val="00985983"/>
    <w:rsid w:val="00985C65"/>
    <w:rsid w:val="009864AF"/>
    <w:rsid w:val="009901F4"/>
    <w:rsid w:val="00990710"/>
    <w:rsid w:val="009953B3"/>
    <w:rsid w:val="00995B8A"/>
    <w:rsid w:val="00995F73"/>
    <w:rsid w:val="009969C3"/>
    <w:rsid w:val="00996A29"/>
    <w:rsid w:val="00996A5B"/>
    <w:rsid w:val="009A1968"/>
    <w:rsid w:val="009A2205"/>
    <w:rsid w:val="009A2F17"/>
    <w:rsid w:val="009A39EB"/>
    <w:rsid w:val="009A3C2B"/>
    <w:rsid w:val="009A536E"/>
    <w:rsid w:val="009A5980"/>
    <w:rsid w:val="009B06C3"/>
    <w:rsid w:val="009B06D1"/>
    <w:rsid w:val="009B1967"/>
    <w:rsid w:val="009B3C57"/>
    <w:rsid w:val="009B43B1"/>
    <w:rsid w:val="009B55AC"/>
    <w:rsid w:val="009B5E72"/>
    <w:rsid w:val="009C0B72"/>
    <w:rsid w:val="009C2E79"/>
    <w:rsid w:val="009C2EED"/>
    <w:rsid w:val="009C3B3F"/>
    <w:rsid w:val="009C5019"/>
    <w:rsid w:val="009C6075"/>
    <w:rsid w:val="009D0D4D"/>
    <w:rsid w:val="009D24F5"/>
    <w:rsid w:val="009E19A3"/>
    <w:rsid w:val="009E2BF5"/>
    <w:rsid w:val="009E47ED"/>
    <w:rsid w:val="009E4DC0"/>
    <w:rsid w:val="009E792A"/>
    <w:rsid w:val="009F14E9"/>
    <w:rsid w:val="009F2261"/>
    <w:rsid w:val="009F2DE3"/>
    <w:rsid w:val="009F5FD7"/>
    <w:rsid w:val="009F6B00"/>
    <w:rsid w:val="009F6CF9"/>
    <w:rsid w:val="009F70DA"/>
    <w:rsid w:val="00A02CE4"/>
    <w:rsid w:val="00A048D2"/>
    <w:rsid w:val="00A0757A"/>
    <w:rsid w:val="00A1184A"/>
    <w:rsid w:val="00A128B7"/>
    <w:rsid w:val="00A13664"/>
    <w:rsid w:val="00A15AFB"/>
    <w:rsid w:val="00A165E7"/>
    <w:rsid w:val="00A17423"/>
    <w:rsid w:val="00A17F80"/>
    <w:rsid w:val="00A2287B"/>
    <w:rsid w:val="00A234BE"/>
    <w:rsid w:val="00A25715"/>
    <w:rsid w:val="00A272FB"/>
    <w:rsid w:val="00A416AD"/>
    <w:rsid w:val="00A450D6"/>
    <w:rsid w:val="00A471AE"/>
    <w:rsid w:val="00A50CD9"/>
    <w:rsid w:val="00A51374"/>
    <w:rsid w:val="00A51571"/>
    <w:rsid w:val="00A5529A"/>
    <w:rsid w:val="00A5703F"/>
    <w:rsid w:val="00A60234"/>
    <w:rsid w:val="00A64E24"/>
    <w:rsid w:val="00A65DCB"/>
    <w:rsid w:val="00A71482"/>
    <w:rsid w:val="00A7237E"/>
    <w:rsid w:val="00A7456D"/>
    <w:rsid w:val="00A75DCB"/>
    <w:rsid w:val="00A76089"/>
    <w:rsid w:val="00A7646D"/>
    <w:rsid w:val="00A806B3"/>
    <w:rsid w:val="00A8183A"/>
    <w:rsid w:val="00A844C6"/>
    <w:rsid w:val="00A84F65"/>
    <w:rsid w:val="00A85D8A"/>
    <w:rsid w:val="00A86051"/>
    <w:rsid w:val="00A8625F"/>
    <w:rsid w:val="00A86703"/>
    <w:rsid w:val="00A87AB4"/>
    <w:rsid w:val="00A90151"/>
    <w:rsid w:val="00A90256"/>
    <w:rsid w:val="00A91FB9"/>
    <w:rsid w:val="00A928E6"/>
    <w:rsid w:val="00A9330C"/>
    <w:rsid w:val="00A9359B"/>
    <w:rsid w:val="00A9545C"/>
    <w:rsid w:val="00A970A6"/>
    <w:rsid w:val="00AA0FF2"/>
    <w:rsid w:val="00AA163B"/>
    <w:rsid w:val="00AA1BE2"/>
    <w:rsid w:val="00AA3569"/>
    <w:rsid w:val="00AA56A2"/>
    <w:rsid w:val="00AA778A"/>
    <w:rsid w:val="00AB10F4"/>
    <w:rsid w:val="00AB230C"/>
    <w:rsid w:val="00AB2D17"/>
    <w:rsid w:val="00AB34AD"/>
    <w:rsid w:val="00AB46E2"/>
    <w:rsid w:val="00AB66AE"/>
    <w:rsid w:val="00AB7E21"/>
    <w:rsid w:val="00AC15E0"/>
    <w:rsid w:val="00AC23D7"/>
    <w:rsid w:val="00AC28B0"/>
    <w:rsid w:val="00AC4F7C"/>
    <w:rsid w:val="00AC587D"/>
    <w:rsid w:val="00AC66FC"/>
    <w:rsid w:val="00AC7313"/>
    <w:rsid w:val="00AD0025"/>
    <w:rsid w:val="00AD0678"/>
    <w:rsid w:val="00AD193E"/>
    <w:rsid w:val="00AD1AA2"/>
    <w:rsid w:val="00AD263B"/>
    <w:rsid w:val="00AD2D15"/>
    <w:rsid w:val="00AD7A30"/>
    <w:rsid w:val="00AD7C25"/>
    <w:rsid w:val="00AE10DF"/>
    <w:rsid w:val="00AE291D"/>
    <w:rsid w:val="00AE2980"/>
    <w:rsid w:val="00AE2B62"/>
    <w:rsid w:val="00AE4CCF"/>
    <w:rsid w:val="00AE5C3D"/>
    <w:rsid w:val="00AF28A2"/>
    <w:rsid w:val="00AF2912"/>
    <w:rsid w:val="00AF3227"/>
    <w:rsid w:val="00AF3BD9"/>
    <w:rsid w:val="00AF479F"/>
    <w:rsid w:val="00B044BC"/>
    <w:rsid w:val="00B05975"/>
    <w:rsid w:val="00B0617C"/>
    <w:rsid w:val="00B062EE"/>
    <w:rsid w:val="00B11F80"/>
    <w:rsid w:val="00B1209F"/>
    <w:rsid w:val="00B1487B"/>
    <w:rsid w:val="00B21213"/>
    <w:rsid w:val="00B21740"/>
    <w:rsid w:val="00B23258"/>
    <w:rsid w:val="00B23603"/>
    <w:rsid w:val="00B23715"/>
    <w:rsid w:val="00B2466D"/>
    <w:rsid w:val="00B2619F"/>
    <w:rsid w:val="00B275AC"/>
    <w:rsid w:val="00B302FA"/>
    <w:rsid w:val="00B31D80"/>
    <w:rsid w:val="00B32D6C"/>
    <w:rsid w:val="00B336C4"/>
    <w:rsid w:val="00B34048"/>
    <w:rsid w:val="00B3749D"/>
    <w:rsid w:val="00B440C1"/>
    <w:rsid w:val="00B443CC"/>
    <w:rsid w:val="00B44B0C"/>
    <w:rsid w:val="00B44F5E"/>
    <w:rsid w:val="00B559FF"/>
    <w:rsid w:val="00B57413"/>
    <w:rsid w:val="00B6041F"/>
    <w:rsid w:val="00B605B6"/>
    <w:rsid w:val="00B6502F"/>
    <w:rsid w:val="00B652E9"/>
    <w:rsid w:val="00B65DAA"/>
    <w:rsid w:val="00B66B2F"/>
    <w:rsid w:val="00B67627"/>
    <w:rsid w:val="00B7036C"/>
    <w:rsid w:val="00B71DE7"/>
    <w:rsid w:val="00B720EC"/>
    <w:rsid w:val="00B74F7F"/>
    <w:rsid w:val="00B75286"/>
    <w:rsid w:val="00B7586C"/>
    <w:rsid w:val="00B75B08"/>
    <w:rsid w:val="00B7663C"/>
    <w:rsid w:val="00B776DD"/>
    <w:rsid w:val="00B825C3"/>
    <w:rsid w:val="00B84869"/>
    <w:rsid w:val="00B86607"/>
    <w:rsid w:val="00B87306"/>
    <w:rsid w:val="00B87859"/>
    <w:rsid w:val="00B91D47"/>
    <w:rsid w:val="00B92400"/>
    <w:rsid w:val="00B94C57"/>
    <w:rsid w:val="00B953E2"/>
    <w:rsid w:val="00B97C8C"/>
    <w:rsid w:val="00BA1EAB"/>
    <w:rsid w:val="00BA2796"/>
    <w:rsid w:val="00BA3CB8"/>
    <w:rsid w:val="00BA4238"/>
    <w:rsid w:val="00BA7623"/>
    <w:rsid w:val="00BA7DBF"/>
    <w:rsid w:val="00BB1825"/>
    <w:rsid w:val="00BB211D"/>
    <w:rsid w:val="00BB23C3"/>
    <w:rsid w:val="00BB3B31"/>
    <w:rsid w:val="00BB5C72"/>
    <w:rsid w:val="00BB65C5"/>
    <w:rsid w:val="00BB6DF9"/>
    <w:rsid w:val="00BC0DCE"/>
    <w:rsid w:val="00BC127C"/>
    <w:rsid w:val="00BC36A5"/>
    <w:rsid w:val="00BC5991"/>
    <w:rsid w:val="00BC5BDF"/>
    <w:rsid w:val="00BC6606"/>
    <w:rsid w:val="00BC7C1B"/>
    <w:rsid w:val="00BD190D"/>
    <w:rsid w:val="00BD2D19"/>
    <w:rsid w:val="00BE0006"/>
    <w:rsid w:val="00BE00FE"/>
    <w:rsid w:val="00BE0F78"/>
    <w:rsid w:val="00BE5E7E"/>
    <w:rsid w:val="00BF0EF2"/>
    <w:rsid w:val="00BF11A0"/>
    <w:rsid w:val="00BF68C8"/>
    <w:rsid w:val="00BF7140"/>
    <w:rsid w:val="00C0089B"/>
    <w:rsid w:val="00C016A3"/>
    <w:rsid w:val="00C01E68"/>
    <w:rsid w:val="00C0295B"/>
    <w:rsid w:val="00C047D1"/>
    <w:rsid w:val="00C07F90"/>
    <w:rsid w:val="00C10AE9"/>
    <w:rsid w:val="00C11924"/>
    <w:rsid w:val="00C12BB6"/>
    <w:rsid w:val="00C13515"/>
    <w:rsid w:val="00C138F6"/>
    <w:rsid w:val="00C14016"/>
    <w:rsid w:val="00C17B40"/>
    <w:rsid w:val="00C17EDE"/>
    <w:rsid w:val="00C2170E"/>
    <w:rsid w:val="00C221A0"/>
    <w:rsid w:val="00C238D1"/>
    <w:rsid w:val="00C23EAB"/>
    <w:rsid w:val="00C24419"/>
    <w:rsid w:val="00C25C46"/>
    <w:rsid w:val="00C31E23"/>
    <w:rsid w:val="00C3211F"/>
    <w:rsid w:val="00C326F9"/>
    <w:rsid w:val="00C33B39"/>
    <w:rsid w:val="00C3457D"/>
    <w:rsid w:val="00C36B88"/>
    <w:rsid w:val="00C36FFC"/>
    <w:rsid w:val="00C37A29"/>
    <w:rsid w:val="00C401A1"/>
    <w:rsid w:val="00C42F53"/>
    <w:rsid w:val="00C47100"/>
    <w:rsid w:val="00C54D91"/>
    <w:rsid w:val="00C5558D"/>
    <w:rsid w:val="00C55637"/>
    <w:rsid w:val="00C56225"/>
    <w:rsid w:val="00C56ECC"/>
    <w:rsid w:val="00C56F4F"/>
    <w:rsid w:val="00C60B92"/>
    <w:rsid w:val="00C626D8"/>
    <w:rsid w:val="00C64330"/>
    <w:rsid w:val="00C7056F"/>
    <w:rsid w:val="00C70D80"/>
    <w:rsid w:val="00C70EFC"/>
    <w:rsid w:val="00C71688"/>
    <w:rsid w:val="00C73D38"/>
    <w:rsid w:val="00C74BA7"/>
    <w:rsid w:val="00C75C56"/>
    <w:rsid w:val="00C81833"/>
    <w:rsid w:val="00C81DDD"/>
    <w:rsid w:val="00C82B78"/>
    <w:rsid w:val="00C840B2"/>
    <w:rsid w:val="00C87F78"/>
    <w:rsid w:val="00C92EDC"/>
    <w:rsid w:val="00C92F55"/>
    <w:rsid w:val="00C931C0"/>
    <w:rsid w:val="00C932F3"/>
    <w:rsid w:val="00C94638"/>
    <w:rsid w:val="00C96455"/>
    <w:rsid w:val="00C971B2"/>
    <w:rsid w:val="00CA0B3F"/>
    <w:rsid w:val="00CA1015"/>
    <w:rsid w:val="00CA26D3"/>
    <w:rsid w:val="00CA3F32"/>
    <w:rsid w:val="00CA5EBC"/>
    <w:rsid w:val="00CB06D8"/>
    <w:rsid w:val="00CB13B6"/>
    <w:rsid w:val="00CB185A"/>
    <w:rsid w:val="00CB1954"/>
    <w:rsid w:val="00CB294B"/>
    <w:rsid w:val="00CB3859"/>
    <w:rsid w:val="00CB3A38"/>
    <w:rsid w:val="00CB5DA1"/>
    <w:rsid w:val="00CB675A"/>
    <w:rsid w:val="00CB7BE1"/>
    <w:rsid w:val="00CC2DD4"/>
    <w:rsid w:val="00CC3DE4"/>
    <w:rsid w:val="00CC459B"/>
    <w:rsid w:val="00CC5F5B"/>
    <w:rsid w:val="00CD0553"/>
    <w:rsid w:val="00CD0ECA"/>
    <w:rsid w:val="00CD61EB"/>
    <w:rsid w:val="00CD7F44"/>
    <w:rsid w:val="00CE01E5"/>
    <w:rsid w:val="00CE0EC8"/>
    <w:rsid w:val="00CE19B8"/>
    <w:rsid w:val="00CE43AF"/>
    <w:rsid w:val="00CE4D3A"/>
    <w:rsid w:val="00CE5B81"/>
    <w:rsid w:val="00CE64FD"/>
    <w:rsid w:val="00CE7062"/>
    <w:rsid w:val="00CE7236"/>
    <w:rsid w:val="00CF02F0"/>
    <w:rsid w:val="00CF2F1A"/>
    <w:rsid w:val="00CF4BC6"/>
    <w:rsid w:val="00CF6CE9"/>
    <w:rsid w:val="00CF7F06"/>
    <w:rsid w:val="00CF7FC8"/>
    <w:rsid w:val="00D01615"/>
    <w:rsid w:val="00D02433"/>
    <w:rsid w:val="00D0352E"/>
    <w:rsid w:val="00D05883"/>
    <w:rsid w:val="00D06AF9"/>
    <w:rsid w:val="00D10F14"/>
    <w:rsid w:val="00D12A05"/>
    <w:rsid w:val="00D15113"/>
    <w:rsid w:val="00D15B7C"/>
    <w:rsid w:val="00D15B7D"/>
    <w:rsid w:val="00D16F74"/>
    <w:rsid w:val="00D20B05"/>
    <w:rsid w:val="00D21BE3"/>
    <w:rsid w:val="00D2502F"/>
    <w:rsid w:val="00D2508F"/>
    <w:rsid w:val="00D256ED"/>
    <w:rsid w:val="00D25F67"/>
    <w:rsid w:val="00D26D52"/>
    <w:rsid w:val="00D30791"/>
    <w:rsid w:val="00D31E3E"/>
    <w:rsid w:val="00D330CA"/>
    <w:rsid w:val="00D3316D"/>
    <w:rsid w:val="00D359B1"/>
    <w:rsid w:val="00D37882"/>
    <w:rsid w:val="00D42520"/>
    <w:rsid w:val="00D43390"/>
    <w:rsid w:val="00D46FD9"/>
    <w:rsid w:val="00D472F5"/>
    <w:rsid w:val="00D574BB"/>
    <w:rsid w:val="00D60649"/>
    <w:rsid w:val="00D61E88"/>
    <w:rsid w:val="00D64320"/>
    <w:rsid w:val="00D711F4"/>
    <w:rsid w:val="00D77A27"/>
    <w:rsid w:val="00D82157"/>
    <w:rsid w:val="00D8263D"/>
    <w:rsid w:val="00D83923"/>
    <w:rsid w:val="00D84D79"/>
    <w:rsid w:val="00D8605B"/>
    <w:rsid w:val="00D909E8"/>
    <w:rsid w:val="00D93A32"/>
    <w:rsid w:val="00D9419D"/>
    <w:rsid w:val="00D95005"/>
    <w:rsid w:val="00D96A38"/>
    <w:rsid w:val="00D96F65"/>
    <w:rsid w:val="00DA136C"/>
    <w:rsid w:val="00DA3017"/>
    <w:rsid w:val="00DA5484"/>
    <w:rsid w:val="00DA589B"/>
    <w:rsid w:val="00DB27FD"/>
    <w:rsid w:val="00DB48E6"/>
    <w:rsid w:val="00DB7455"/>
    <w:rsid w:val="00DB7E8D"/>
    <w:rsid w:val="00DC1012"/>
    <w:rsid w:val="00DC18D8"/>
    <w:rsid w:val="00DC1B37"/>
    <w:rsid w:val="00DC2539"/>
    <w:rsid w:val="00DC346E"/>
    <w:rsid w:val="00DC5D69"/>
    <w:rsid w:val="00DC5DFF"/>
    <w:rsid w:val="00DC6842"/>
    <w:rsid w:val="00DC74CB"/>
    <w:rsid w:val="00DD0012"/>
    <w:rsid w:val="00DD1240"/>
    <w:rsid w:val="00DD134A"/>
    <w:rsid w:val="00DD2F67"/>
    <w:rsid w:val="00DD6140"/>
    <w:rsid w:val="00DD6376"/>
    <w:rsid w:val="00DD6473"/>
    <w:rsid w:val="00DE05E7"/>
    <w:rsid w:val="00DE2323"/>
    <w:rsid w:val="00DF1FFA"/>
    <w:rsid w:val="00DF3BF0"/>
    <w:rsid w:val="00DF4E3E"/>
    <w:rsid w:val="00DF57D9"/>
    <w:rsid w:val="00DF5A88"/>
    <w:rsid w:val="00DF60B9"/>
    <w:rsid w:val="00DF63B7"/>
    <w:rsid w:val="00DF7776"/>
    <w:rsid w:val="00DF7DB3"/>
    <w:rsid w:val="00E0041E"/>
    <w:rsid w:val="00E010CD"/>
    <w:rsid w:val="00E01547"/>
    <w:rsid w:val="00E02F88"/>
    <w:rsid w:val="00E03B03"/>
    <w:rsid w:val="00E0453D"/>
    <w:rsid w:val="00E04C95"/>
    <w:rsid w:val="00E05FA6"/>
    <w:rsid w:val="00E06132"/>
    <w:rsid w:val="00E10642"/>
    <w:rsid w:val="00E11D04"/>
    <w:rsid w:val="00E11F5D"/>
    <w:rsid w:val="00E15A2F"/>
    <w:rsid w:val="00E20366"/>
    <w:rsid w:val="00E22FD4"/>
    <w:rsid w:val="00E25474"/>
    <w:rsid w:val="00E31475"/>
    <w:rsid w:val="00E32EE5"/>
    <w:rsid w:val="00E32F93"/>
    <w:rsid w:val="00E379F7"/>
    <w:rsid w:val="00E46837"/>
    <w:rsid w:val="00E47107"/>
    <w:rsid w:val="00E4734C"/>
    <w:rsid w:val="00E51DB6"/>
    <w:rsid w:val="00E521B0"/>
    <w:rsid w:val="00E54ACD"/>
    <w:rsid w:val="00E54B2B"/>
    <w:rsid w:val="00E55BE6"/>
    <w:rsid w:val="00E61632"/>
    <w:rsid w:val="00E62286"/>
    <w:rsid w:val="00E707C1"/>
    <w:rsid w:val="00E70DD7"/>
    <w:rsid w:val="00E72EE0"/>
    <w:rsid w:val="00E741FB"/>
    <w:rsid w:val="00E7469E"/>
    <w:rsid w:val="00E74787"/>
    <w:rsid w:val="00E74F13"/>
    <w:rsid w:val="00E75C5B"/>
    <w:rsid w:val="00E76EEC"/>
    <w:rsid w:val="00E82908"/>
    <w:rsid w:val="00E85DD2"/>
    <w:rsid w:val="00E86E31"/>
    <w:rsid w:val="00E915E2"/>
    <w:rsid w:val="00E91A7E"/>
    <w:rsid w:val="00E91FED"/>
    <w:rsid w:val="00E92AFD"/>
    <w:rsid w:val="00E92E95"/>
    <w:rsid w:val="00EA07EA"/>
    <w:rsid w:val="00EA1943"/>
    <w:rsid w:val="00EA2F19"/>
    <w:rsid w:val="00EA3238"/>
    <w:rsid w:val="00EA3F63"/>
    <w:rsid w:val="00EB07BE"/>
    <w:rsid w:val="00EB3F9D"/>
    <w:rsid w:val="00EB5DC6"/>
    <w:rsid w:val="00EB6C28"/>
    <w:rsid w:val="00EC3A1A"/>
    <w:rsid w:val="00EC436B"/>
    <w:rsid w:val="00EC558F"/>
    <w:rsid w:val="00ED114A"/>
    <w:rsid w:val="00ED1BC6"/>
    <w:rsid w:val="00ED334D"/>
    <w:rsid w:val="00ED4983"/>
    <w:rsid w:val="00ED5EF4"/>
    <w:rsid w:val="00ED7FE0"/>
    <w:rsid w:val="00EE1A3E"/>
    <w:rsid w:val="00EE1E89"/>
    <w:rsid w:val="00EE1FDC"/>
    <w:rsid w:val="00EE6BE2"/>
    <w:rsid w:val="00EE6F14"/>
    <w:rsid w:val="00EF2391"/>
    <w:rsid w:val="00EF2C5A"/>
    <w:rsid w:val="00EF3F23"/>
    <w:rsid w:val="00EF6601"/>
    <w:rsid w:val="00EF6977"/>
    <w:rsid w:val="00F005BF"/>
    <w:rsid w:val="00F012BD"/>
    <w:rsid w:val="00F04EA7"/>
    <w:rsid w:val="00F057D4"/>
    <w:rsid w:val="00F067DE"/>
    <w:rsid w:val="00F0759B"/>
    <w:rsid w:val="00F10E10"/>
    <w:rsid w:val="00F135CC"/>
    <w:rsid w:val="00F162D4"/>
    <w:rsid w:val="00F16325"/>
    <w:rsid w:val="00F1691F"/>
    <w:rsid w:val="00F179F6"/>
    <w:rsid w:val="00F2058B"/>
    <w:rsid w:val="00F23904"/>
    <w:rsid w:val="00F2532B"/>
    <w:rsid w:val="00F25AE6"/>
    <w:rsid w:val="00F3098B"/>
    <w:rsid w:val="00F3209B"/>
    <w:rsid w:val="00F3214C"/>
    <w:rsid w:val="00F33F8D"/>
    <w:rsid w:val="00F37CB6"/>
    <w:rsid w:val="00F37F65"/>
    <w:rsid w:val="00F4010B"/>
    <w:rsid w:val="00F44C89"/>
    <w:rsid w:val="00F463FE"/>
    <w:rsid w:val="00F46E42"/>
    <w:rsid w:val="00F4702C"/>
    <w:rsid w:val="00F505B8"/>
    <w:rsid w:val="00F53471"/>
    <w:rsid w:val="00F53EFE"/>
    <w:rsid w:val="00F55C15"/>
    <w:rsid w:val="00F60BA2"/>
    <w:rsid w:val="00F6171E"/>
    <w:rsid w:val="00F634F6"/>
    <w:rsid w:val="00F64722"/>
    <w:rsid w:val="00F67712"/>
    <w:rsid w:val="00F70C8F"/>
    <w:rsid w:val="00F74575"/>
    <w:rsid w:val="00F746AD"/>
    <w:rsid w:val="00F76D46"/>
    <w:rsid w:val="00F778E9"/>
    <w:rsid w:val="00F77B4D"/>
    <w:rsid w:val="00F84D52"/>
    <w:rsid w:val="00F8549D"/>
    <w:rsid w:val="00F85E51"/>
    <w:rsid w:val="00F8642D"/>
    <w:rsid w:val="00F86D6E"/>
    <w:rsid w:val="00F87B07"/>
    <w:rsid w:val="00F9072E"/>
    <w:rsid w:val="00F91000"/>
    <w:rsid w:val="00F943B9"/>
    <w:rsid w:val="00F94880"/>
    <w:rsid w:val="00F95D52"/>
    <w:rsid w:val="00FA1A02"/>
    <w:rsid w:val="00FA33D2"/>
    <w:rsid w:val="00FA4E28"/>
    <w:rsid w:val="00FA6605"/>
    <w:rsid w:val="00FA69BD"/>
    <w:rsid w:val="00FA7837"/>
    <w:rsid w:val="00FB016C"/>
    <w:rsid w:val="00FB04BC"/>
    <w:rsid w:val="00FB300F"/>
    <w:rsid w:val="00FB4E93"/>
    <w:rsid w:val="00FB6EF8"/>
    <w:rsid w:val="00FB6FB1"/>
    <w:rsid w:val="00FC2D8B"/>
    <w:rsid w:val="00FC4494"/>
    <w:rsid w:val="00FC46E7"/>
    <w:rsid w:val="00FC6654"/>
    <w:rsid w:val="00FD2188"/>
    <w:rsid w:val="00FD3306"/>
    <w:rsid w:val="00FD36B1"/>
    <w:rsid w:val="00FD3EED"/>
    <w:rsid w:val="00FE4627"/>
    <w:rsid w:val="00FE59FD"/>
    <w:rsid w:val="00FE5F52"/>
    <w:rsid w:val="00FE7F98"/>
    <w:rsid w:val="00FF2E7F"/>
    <w:rsid w:val="00FF306D"/>
    <w:rsid w:val="00FF403E"/>
    <w:rsid w:val="00FF693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9CB78"/>
  <w15:chartTrackingRefBased/>
  <w15:docId w15:val="{5D8ECE15-F236-4C70-B0EC-52C7AD2B5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A2287B"/>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A2287B"/>
    <w:pPr>
      <w:numPr>
        <w:numId w:val="21"/>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A2287B"/>
    <w:pPr>
      <w:keepNext/>
      <w:keepLines/>
      <w:numPr>
        <w:ilvl w:val="2"/>
        <w:numId w:val="21"/>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A2287B"/>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A2287B"/>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A2287B"/>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A2287B"/>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A2287B"/>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A2287B"/>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A2287B"/>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87B"/>
    <w:rPr>
      <w:color w:val="808080"/>
    </w:rPr>
  </w:style>
  <w:style w:type="paragraph" w:styleId="Date">
    <w:name w:val="Date"/>
    <w:basedOn w:val="Normal"/>
    <w:next w:val="Normal"/>
    <w:link w:val="DateChar"/>
    <w:uiPriority w:val="99"/>
    <w:unhideWhenUsed/>
    <w:rsid w:val="00A2287B"/>
    <w:pPr>
      <w:spacing w:after="360" w:line="293" w:lineRule="auto"/>
    </w:pPr>
  </w:style>
  <w:style w:type="character" w:customStyle="1" w:styleId="DateChar">
    <w:name w:val="Date Char"/>
    <w:basedOn w:val="DefaultParagraphFont"/>
    <w:link w:val="Date"/>
    <w:uiPriority w:val="99"/>
    <w:rsid w:val="00A2287B"/>
    <w:rPr>
      <w:rFonts w:ascii="Open Sans" w:hAnsi="Open Sans"/>
      <w:sz w:val="20"/>
      <w:szCs w:val="20"/>
    </w:rPr>
  </w:style>
  <w:style w:type="paragraph" w:styleId="NoSpacing">
    <w:name w:val="No Spacing"/>
    <w:basedOn w:val="Normal"/>
    <w:link w:val="NoSpacingChar"/>
    <w:uiPriority w:val="10"/>
    <w:qFormat/>
    <w:rsid w:val="00A2287B"/>
    <w:pPr>
      <w:spacing w:before="0" w:after="0"/>
    </w:pPr>
  </w:style>
  <w:style w:type="paragraph" w:styleId="ListBullet">
    <w:name w:val="List Bullet"/>
    <w:basedOn w:val="Normal"/>
    <w:link w:val="ListBulletChar"/>
    <w:uiPriority w:val="1"/>
    <w:qFormat/>
    <w:rsid w:val="00A2287B"/>
    <w:pPr>
      <w:numPr>
        <w:numId w:val="23"/>
      </w:numPr>
      <w:contextualSpacing/>
    </w:pPr>
  </w:style>
  <w:style w:type="paragraph" w:styleId="ListBullet2">
    <w:name w:val="List Bullet 2"/>
    <w:basedOn w:val="Normal"/>
    <w:uiPriority w:val="1"/>
    <w:qFormat/>
    <w:rsid w:val="00A2287B"/>
    <w:pPr>
      <w:numPr>
        <w:ilvl w:val="1"/>
        <w:numId w:val="23"/>
      </w:numPr>
      <w:contextualSpacing/>
    </w:pPr>
  </w:style>
  <w:style w:type="paragraph" w:styleId="ListNumber">
    <w:name w:val="List Number"/>
    <w:basedOn w:val="Normal"/>
    <w:uiPriority w:val="2"/>
    <w:qFormat/>
    <w:rsid w:val="00A2287B"/>
    <w:pPr>
      <w:numPr>
        <w:numId w:val="22"/>
      </w:numPr>
      <w:spacing w:before="60"/>
      <w:contextualSpacing/>
    </w:pPr>
  </w:style>
  <w:style w:type="numbering" w:customStyle="1" w:styleId="Bullets">
    <w:name w:val="Bullets"/>
    <w:uiPriority w:val="99"/>
    <w:rsid w:val="00A2287B"/>
    <w:pPr>
      <w:numPr>
        <w:numId w:val="13"/>
      </w:numPr>
    </w:pPr>
  </w:style>
  <w:style w:type="character" w:customStyle="1" w:styleId="Heading1Char">
    <w:name w:val="Heading 1 Char"/>
    <w:basedOn w:val="DefaultParagraphFont"/>
    <w:link w:val="Heading1"/>
    <w:uiPriority w:val="9"/>
    <w:rsid w:val="00A2287B"/>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qFormat/>
    <w:rsid w:val="00A2287B"/>
    <w:pPr>
      <w:numPr>
        <w:ilvl w:val="1"/>
        <w:numId w:val="22"/>
      </w:numPr>
      <w:spacing w:before="60"/>
      <w:contextualSpacing/>
    </w:pPr>
  </w:style>
  <w:style w:type="character" w:customStyle="1" w:styleId="Heading2Char">
    <w:name w:val="Heading 2 Char"/>
    <w:basedOn w:val="DefaultParagraphFont"/>
    <w:link w:val="Heading2"/>
    <w:uiPriority w:val="9"/>
    <w:rsid w:val="00A2287B"/>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A2287B"/>
    <w:pPr>
      <w:spacing w:line="293" w:lineRule="auto"/>
      <w:ind w:left="284"/>
      <w:contextualSpacing/>
    </w:pPr>
  </w:style>
  <w:style w:type="paragraph" w:styleId="Header">
    <w:name w:val="header"/>
    <w:basedOn w:val="Normal"/>
    <w:link w:val="HeaderChar"/>
    <w:uiPriority w:val="99"/>
    <w:unhideWhenUsed/>
    <w:rsid w:val="00A2287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A2287B"/>
    <w:rPr>
      <w:rFonts w:ascii="Open Sans" w:hAnsi="Open Sans"/>
      <w:sz w:val="16"/>
      <w:szCs w:val="20"/>
    </w:rPr>
  </w:style>
  <w:style w:type="paragraph" w:styleId="Footer">
    <w:name w:val="footer"/>
    <w:basedOn w:val="Normal"/>
    <w:link w:val="FooterChar"/>
    <w:uiPriority w:val="11"/>
    <w:rsid w:val="00A2287B"/>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A2287B"/>
    <w:rPr>
      <w:rFonts w:ascii="Open Sans Extrabold" w:hAnsi="Open Sans Extrabold"/>
      <w:sz w:val="17"/>
    </w:rPr>
  </w:style>
  <w:style w:type="numbering" w:customStyle="1" w:styleId="Numbering">
    <w:name w:val="Numbering"/>
    <w:uiPriority w:val="99"/>
    <w:rsid w:val="00A2287B"/>
    <w:pPr>
      <w:numPr>
        <w:numId w:val="1"/>
      </w:numPr>
    </w:pPr>
  </w:style>
  <w:style w:type="paragraph" w:styleId="ListBullet3">
    <w:name w:val="List Bullet 3"/>
    <w:basedOn w:val="Normal"/>
    <w:uiPriority w:val="1"/>
    <w:qFormat/>
    <w:rsid w:val="00A2287B"/>
    <w:pPr>
      <w:numPr>
        <w:ilvl w:val="2"/>
        <w:numId w:val="23"/>
      </w:numPr>
      <w:contextualSpacing/>
    </w:pPr>
  </w:style>
  <w:style w:type="paragraph" w:styleId="ListContinue2">
    <w:name w:val="List Continue 2"/>
    <w:basedOn w:val="Normal"/>
    <w:uiPriority w:val="3"/>
    <w:unhideWhenUsed/>
    <w:qFormat/>
    <w:rsid w:val="00A2287B"/>
    <w:pPr>
      <w:spacing w:before="60"/>
      <w:ind w:left="454"/>
    </w:pPr>
  </w:style>
  <w:style w:type="paragraph" w:styleId="ListNumber3">
    <w:name w:val="List Number 3"/>
    <w:basedOn w:val="Normal"/>
    <w:uiPriority w:val="13"/>
    <w:semiHidden/>
    <w:qFormat/>
    <w:rsid w:val="00A2287B"/>
    <w:pPr>
      <w:numPr>
        <w:ilvl w:val="2"/>
        <w:numId w:val="22"/>
      </w:numPr>
      <w:spacing w:before="60"/>
      <w:contextualSpacing/>
    </w:pPr>
  </w:style>
  <w:style w:type="paragraph" w:styleId="ListNumber4">
    <w:name w:val="List Number 4"/>
    <w:basedOn w:val="Normal"/>
    <w:uiPriority w:val="13"/>
    <w:semiHidden/>
    <w:qFormat/>
    <w:rsid w:val="00A2287B"/>
    <w:pPr>
      <w:numPr>
        <w:ilvl w:val="3"/>
        <w:numId w:val="22"/>
      </w:numPr>
      <w:spacing w:after="200" w:line="293" w:lineRule="auto"/>
      <w:contextualSpacing/>
    </w:pPr>
  </w:style>
  <w:style w:type="paragraph" w:styleId="ListNumber5">
    <w:name w:val="List Number 5"/>
    <w:basedOn w:val="Normal"/>
    <w:uiPriority w:val="13"/>
    <w:semiHidden/>
    <w:rsid w:val="00A2287B"/>
    <w:pPr>
      <w:numPr>
        <w:ilvl w:val="4"/>
        <w:numId w:val="22"/>
      </w:numPr>
      <w:spacing w:after="200" w:line="293" w:lineRule="auto"/>
      <w:contextualSpacing/>
    </w:pPr>
  </w:style>
  <w:style w:type="paragraph" w:styleId="ListContinue">
    <w:name w:val="List Continue"/>
    <w:basedOn w:val="Normal"/>
    <w:uiPriority w:val="3"/>
    <w:unhideWhenUsed/>
    <w:qFormat/>
    <w:rsid w:val="00A2287B"/>
    <w:pPr>
      <w:spacing w:before="60"/>
      <w:ind w:left="227"/>
    </w:pPr>
  </w:style>
  <w:style w:type="paragraph" w:styleId="ListContinue3">
    <w:name w:val="List Continue 3"/>
    <w:basedOn w:val="Normal"/>
    <w:uiPriority w:val="3"/>
    <w:unhideWhenUsed/>
    <w:qFormat/>
    <w:rsid w:val="00A2287B"/>
    <w:pPr>
      <w:spacing w:before="60"/>
      <w:ind w:left="907"/>
    </w:pPr>
  </w:style>
  <w:style w:type="paragraph" w:styleId="ListContinue4">
    <w:name w:val="List Continue 4"/>
    <w:basedOn w:val="Normal"/>
    <w:uiPriority w:val="3"/>
    <w:unhideWhenUsed/>
    <w:qFormat/>
    <w:rsid w:val="00A2287B"/>
    <w:pPr>
      <w:spacing w:line="293" w:lineRule="auto"/>
      <w:ind w:left="907"/>
      <w:contextualSpacing/>
    </w:pPr>
  </w:style>
  <w:style w:type="character" w:customStyle="1" w:styleId="Heading3Char">
    <w:name w:val="Heading 3 Char"/>
    <w:basedOn w:val="DefaultParagraphFont"/>
    <w:link w:val="Heading3"/>
    <w:uiPriority w:val="9"/>
    <w:rsid w:val="00A2287B"/>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A2287B"/>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A2287B"/>
    <w:rPr>
      <w:rFonts w:ascii="Open Sans" w:eastAsiaTheme="majorEastAsia" w:hAnsi="Open Sans" w:cstheme="majorBidi"/>
      <w:b/>
      <w:color w:val="265A9A" w:themeColor="background2"/>
      <w:szCs w:val="29"/>
    </w:rPr>
  </w:style>
  <w:style w:type="numbering" w:customStyle="1" w:styleId="ListHeadings">
    <w:name w:val="List Headings"/>
    <w:uiPriority w:val="99"/>
    <w:rsid w:val="00A2287B"/>
    <w:pPr>
      <w:numPr>
        <w:numId w:val="20"/>
      </w:numPr>
    </w:pPr>
  </w:style>
  <w:style w:type="paragraph" w:styleId="Title">
    <w:name w:val="Title"/>
    <w:basedOn w:val="Heading1"/>
    <w:next w:val="Normal"/>
    <w:link w:val="TitleChar"/>
    <w:uiPriority w:val="39"/>
    <w:rsid w:val="00A2287B"/>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A2287B"/>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A2287B"/>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A2287B"/>
    <w:rPr>
      <w:b/>
    </w:rPr>
  </w:style>
  <w:style w:type="character" w:customStyle="1" w:styleId="Pull-outQuoteChar">
    <w:name w:val="Pull-out Quote Char"/>
    <w:basedOn w:val="DefaultParagraphFont"/>
    <w:link w:val="Pull-outQuote"/>
    <w:uiPriority w:val="99"/>
    <w:semiHidden/>
    <w:rsid w:val="00A2287B"/>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A2287B"/>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A2287B"/>
  </w:style>
  <w:style w:type="paragraph" w:customStyle="1" w:styleId="NumberedHeading2">
    <w:name w:val="Numbered Heading 2"/>
    <w:basedOn w:val="Heading2"/>
    <w:next w:val="Normal"/>
    <w:link w:val="NumberedHeading2Char"/>
    <w:uiPriority w:val="9"/>
    <w:semiHidden/>
    <w:rsid w:val="00A2287B"/>
  </w:style>
  <w:style w:type="character" w:customStyle="1" w:styleId="NumberedHeading1Char">
    <w:name w:val="Numbered Heading 1 Char"/>
    <w:basedOn w:val="Heading1Char"/>
    <w:link w:val="NumberedHeading1"/>
    <w:uiPriority w:val="9"/>
    <w:semiHidden/>
    <w:rsid w:val="00A2287B"/>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A2287B"/>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A2287B"/>
    <w:pPr>
      <w:ind w:left="1134"/>
      <w:contextualSpacing/>
    </w:pPr>
  </w:style>
  <w:style w:type="table" w:styleId="TableGrid">
    <w:name w:val="Table Grid"/>
    <w:basedOn w:val="TableNormal"/>
    <w:uiPriority w:val="39"/>
    <w:rsid w:val="00A22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A2287B"/>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A2287B"/>
    <w:pPr>
      <w:numPr>
        <w:numId w:val="17"/>
      </w:numPr>
      <w:spacing w:before="60"/>
    </w:pPr>
  </w:style>
  <w:style w:type="paragraph" w:styleId="List2">
    <w:name w:val="List 2"/>
    <w:basedOn w:val="Normal"/>
    <w:uiPriority w:val="99"/>
    <w:semiHidden/>
    <w:qFormat/>
    <w:rsid w:val="00A2287B"/>
    <w:pPr>
      <w:numPr>
        <w:ilvl w:val="1"/>
        <w:numId w:val="17"/>
      </w:numPr>
      <w:spacing w:before="60"/>
    </w:pPr>
  </w:style>
  <w:style w:type="numbering" w:customStyle="1" w:styleId="LetteredList">
    <w:name w:val="Lettered List"/>
    <w:uiPriority w:val="99"/>
    <w:rsid w:val="00A2287B"/>
    <w:pPr>
      <w:numPr>
        <w:numId w:val="16"/>
      </w:numPr>
    </w:pPr>
  </w:style>
  <w:style w:type="paragraph" w:styleId="Subtitle">
    <w:name w:val="Subtitle"/>
    <w:basedOn w:val="Normal"/>
    <w:next w:val="Normal"/>
    <w:link w:val="SubtitleChar"/>
    <w:uiPriority w:val="39"/>
    <w:rsid w:val="00A2287B"/>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A2287B"/>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A2287B"/>
    <w:rPr>
      <w:rFonts w:ascii="Open Sans" w:hAnsi="Open Sans"/>
      <w:b/>
      <w:bCs/>
    </w:rPr>
  </w:style>
  <w:style w:type="paragraph" w:customStyle="1" w:styleId="Header-Keyline">
    <w:name w:val="Header - Keyline"/>
    <w:basedOn w:val="Header"/>
    <w:link w:val="Header-KeylineChar"/>
    <w:uiPriority w:val="99"/>
    <w:rsid w:val="00A2287B"/>
    <w:pPr>
      <w:pBdr>
        <w:bottom w:val="single" w:sz="4" w:space="31" w:color="2B9AC2" w:themeColor="text2"/>
      </w:pBdr>
      <w:spacing w:after="600"/>
    </w:pPr>
  </w:style>
  <w:style w:type="character" w:customStyle="1" w:styleId="Heading6Char">
    <w:name w:val="Heading 6 Char"/>
    <w:basedOn w:val="DefaultParagraphFont"/>
    <w:link w:val="Heading6"/>
    <w:uiPriority w:val="9"/>
    <w:rsid w:val="00A2287B"/>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A2287B"/>
    <w:rPr>
      <w:rFonts w:ascii="Open Sans" w:hAnsi="Open Sans"/>
      <w:sz w:val="16"/>
      <w:szCs w:val="20"/>
    </w:rPr>
  </w:style>
  <w:style w:type="character" w:customStyle="1" w:styleId="Heading7Char">
    <w:name w:val="Heading 7 Char"/>
    <w:basedOn w:val="DefaultParagraphFont"/>
    <w:link w:val="Heading7"/>
    <w:uiPriority w:val="9"/>
    <w:semiHidden/>
    <w:rsid w:val="00A2287B"/>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A2287B"/>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A2287B"/>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A2287B"/>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A2287B"/>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A2287B"/>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A2287B"/>
    <w:pPr>
      <w:spacing w:before="60" w:after="60" w:line="293" w:lineRule="auto"/>
      <w:contextualSpacing/>
    </w:pPr>
    <w:rPr>
      <w:sz w:val="18"/>
    </w:rPr>
  </w:style>
  <w:style w:type="paragraph" w:styleId="TOC1">
    <w:name w:val="toc 1"/>
    <w:basedOn w:val="Normal"/>
    <w:next w:val="BodyText"/>
    <w:autoRedefine/>
    <w:uiPriority w:val="39"/>
    <w:unhideWhenUsed/>
    <w:rsid w:val="005E5CE4"/>
    <w:pPr>
      <w:keepNext/>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A2287B"/>
    <w:rPr>
      <w:rFonts w:ascii="Open Sans" w:hAnsi="Open Sans"/>
      <w:sz w:val="18"/>
      <w:szCs w:val="20"/>
    </w:rPr>
  </w:style>
  <w:style w:type="character" w:styleId="FootnoteReference">
    <w:name w:val="footnote reference"/>
    <w:basedOn w:val="DefaultParagraphFont"/>
    <w:uiPriority w:val="99"/>
    <w:unhideWhenUsed/>
    <w:rsid w:val="00A2287B"/>
    <w:rPr>
      <w:vertAlign w:val="superscript"/>
    </w:rPr>
  </w:style>
  <w:style w:type="character" w:styleId="Hyperlink">
    <w:name w:val="Hyperlink"/>
    <w:basedOn w:val="DefaultParagraphFont"/>
    <w:uiPriority w:val="99"/>
    <w:unhideWhenUsed/>
    <w:rsid w:val="00A2287B"/>
    <w:rPr>
      <w:color w:val="000000" w:themeColor="hyperlink"/>
      <w:u w:val="single"/>
    </w:rPr>
  </w:style>
  <w:style w:type="character" w:styleId="HTMLVariable">
    <w:name w:val="HTML Variable"/>
    <w:basedOn w:val="DefaultParagraphFont"/>
    <w:uiPriority w:val="99"/>
    <w:unhideWhenUsed/>
    <w:rsid w:val="00A2287B"/>
    <w:rPr>
      <w:i/>
      <w:iCs/>
    </w:rPr>
  </w:style>
  <w:style w:type="paragraph" w:styleId="TOC2">
    <w:name w:val="toc 2"/>
    <w:basedOn w:val="Normal"/>
    <w:next w:val="Normal"/>
    <w:autoRedefine/>
    <w:uiPriority w:val="39"/>
    <w:unhideWhenUsed/>
    <w:rsid w:val="00A2287B"/>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A2287B"/>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A2287B"/>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A2287B"/>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A2287B"/>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A2287B"/>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A2287B"/>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A2287B"/>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A2287B"/>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A2287B"/>
    <w:rPr>
      <w:rFonts w:ascii="Open Sans" w:hAnsi="Open Sans"/>
      <w:color w:val="000000" w:themeColor="text1"/>
      <w:sz w:val="16"/>
      <w:szCs w:val="20"/>
    </w:rPr>
  </w:style>
  <w:style w:type="character" w:customStyle="1" w:styleId="Copyrightpage-HeadingChar">
    <w:name w:val="Copyright page-Heading Char"/>
    <w:basedOn w:val="Subtitle2Char"/>
    <w:link w:val="Copyrightpage-Heading"/>
    <w:uiPriority w:val="19"/>
    <w:rsid w:val="00A2287B"/>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A2287B"/>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paragraph" w:customStyle="1" w:styleId="Heading2-noTOC">
    <w:name w:val="Heading 2-no TOC"/>
    <w:next w:val="BodyText"/>
    <w:uiPriority w:val="9"/>
    <w:unhideWhenUsed/>
    <w:qFormat/>
    <w:rsid w:val="00A2287B"/>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A2287B"/>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A2287B"/>
    <w:pPr>
      <w:spacing w:line="360" w:lineRule="auto"/>
      <w:jc w:val="right"/>
    </w:pPr>
    <w:rPr>
      <w:sz w:val="16"/>
    </w:rPr>
  </w:style>
  <w:style w:type="paragraph" w:customStyle="1" w:styleId="Letterlogo">
    <w:name w:val="Letter logo"/>
    <w:basedOn w:val="LetterRight"/>
    <w:uiPriority w:val="99"/>
    <w:rsid w:val="00A2287B"/>
    <w:pPr>
      <w:spacing w:after="320"/>
    </w:pPr>
  </w:style>
  <w:style w:type="character" w:customStyle="1" w:styleId="LetterRightChar">
    <w:name w:val="Letter Right Char"/>
    <w:basedOn w:val="DefaultParagraphFont"/>
    <w:link w:val="LetterRight"/>
    <w:uiPriority w:val="99"/>
    <w:rsid w:val="00A2287B"/>
    <w:rPr>
      <w:rFonts w:ascii="Open Sans" w:hAnsi="Open Sans"/>
      <w:sz w:val="16"/>
      <w:szCs w:val="20"/>
    </w:rPr>
  </w:style>
  <w:style w:type="character" w:styleId="UnresolvedMention">
    <w:name w:val="Unresolved Mention"/>
    <w:basedOn w:val="DefaultParagraphFont"/>
    <w:uiPriority w:val="99"/>
    <w:unhideWhenUsed/>
    <w:rsid w:val="00A2287B"/>
    <w:rPr>
      <w:color w:val="605E5C"/>
      <w:shd w:val="clear" w:color="auto" w:fill="E1DFDD"/>
    </w:rPr>
  </w:style>
  <w:style w:type="paragraph" w:customStyle="1" w:styleId="LetterRight-NoSpace">
    <w:name w:val="Letter Right-No Space"/>
    <w:basedOn w:val="LetterRight"/>
    <w:uiPriority w:val="99"/>
    <w:rsid w:val="00A2287B"/>
    <w:pPr>
      <w:spacing w:after="0"/>
    </w:pPr>
  </w:style>
  <w:style w:type="table" w:customStyle="1" w:styleId="Blank">
    <w:name w:val="Blank"/>
    <w:basedOn w:val="TableNormal"/>
    <w:uiPriority w:val="99"/>
    <w:rsid w:val="00A2287B"/>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A2287B"/>
    <w:pPr>
      <w:numPr>
        <w:numId w:val="19"/>
      </w:numPr>
      <w:contextualSpacing/>
    </w:pPr>
  </w:style>
  <w:style w:type="paragraph" w:customStyle="1" w:styleId="Coverdate">
    <w:name w:val="Cover date"/>
    <w:basedOn w:val="Normal"/>
    <w:uiPriority w:val="29"/>
    <w:rsid w:val="00A2287B"/>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A2287B"/>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A2287B"/>
    <w:rPr>
      <w:color w:val="FFFFFF" w:themeColor="background1"/>
    </w:rPr>
  </w:style>
  <w:style w:type="paragraph" w:customStyle="1" w:styleId="Copyrightpage-Keylinenotext">
    <w:name w:val="Copyright page-Keyline (no text)"/>
    <w:basedOn w:val="Copyrightpage-Heading2"/>
    <w:uiPriority w:val="19"/>
    <w:rsid w:val="00A2287B"/>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A2287B"/>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A2287B"/>
    <w:pPr>
      <w:spacing w:before="46" w:after="46"/>
      <w:ind w:left="57" w:right="108"/>
    </w:pPr>
    <w:rPr>
      <w:b/>
      <w:sz w:val="18"/>
    </w:rPr>
  </w:style>
  <w:style w:type="paragraph" w:customStyle="1" w:styleId="CoverImage">
    <w:name w:val="Cover Image"/>
    <w:basedOn w:val="Normal"/>
    <w:uiPriority w:val="29"/>
    <w:rsid w:val="00A2287B"/>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A2287B"/>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A2287B"/>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A2287B"/>
    <w:pPr>
      <w:spacing w:before="60"/>
      <w:ind w:left="113" w:right="851"/>
    </w:pPr>
    <w:rPr>
      <w:color w:val="58585B"/>
    </w:rPr>
  </w:style>
  <w:style w:type="numbering" w:customStyle="1" w:styleId="TOCList">
    <w:name w:val="TOC List"/>
    <w:uiPriority w:val="99"/>
    <w:rsid w:val="00A2287B"/>
    <w:pPr>
      <w:numPr>
        <w:numId w:val="25"/>
      </w:numPr>
    </w:pPr>
  </w:style>
  <w:style w:type="paragraph" w:customStyle="1" w:styleId="Heading1-Section-fullpage">
    <w:name w:val="Heading 1-Section-full page"/>
    <w:basedOn w:val="Heading1-nobackground"/>
    <w:uiPriority w:val="9"/>
    <w:qFormat/>
    <w:rsid w:val="00A2287B"/>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A2287B"/>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A2287B"/>
    <w:pPr>
      <w:keepNext/>
      <w:spacing w:before="240"/>
    </w:pPr>
  </w:style>
  <w:style w:type="paragraph" w:customStyle="1" w:styleId="Source">
    <w:name w:val="Source"/>
    <w:basedOn w:val="Normal"/>
    <w:uiPriority w:val="9"/>
    <w:qFormat/>
    <w:rsid w:val="00A2287B"/>
    <w:pPr>
      <w:spacing w:before="80" w:after="240" w:line="216" w:lineRule="atLeast"/>
    </w:pPr>
    <w:rPr>
      <w:sz w:val="18"/>
    </w:rPr>
  </w:style>
  <w:style w:type="paragraph" w:customStyle="1" w:styleId="Note">
    <w:name w:val="Note"/>
    <w:basedOn w:val="Source"/>
    <w:uiPriority w:val="9"/>
    <w:qFormat/>
    <w:rsid w:val="00A2287B"/>
    <w:pPr>
      <w:spacing w:after="20"/>
    </w:pPr>
  </w:style>
  <w:style w:type="numbering" w:customStyle="1" w:styleId="Figure">
    <w:name w:val="Figure"/>
    <w:uiPriority w:val="99"/>
    <w:rsid w:val="00A2287B"/>
    <w:pPr>
      <w:numPr>
        <w:numId w:val="14"/>
      </w:numPr>
    </w:pPr>
  </w:style>
  <w:style w:type="table" w:customStyle="1" w:styleId="Boxtable">
    <w:name w:val="Box table"/>
    <w:basedOn w:val="Texttable-Paleblue"/>
    <w:uiPriority w:val="99"/>
    <w:rsid w:val="00A2287B"/>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A2287B"/>
    <w:pPr>
      <w:numPr>
        <w:numId w:val="12"/>
      </w:numPr>
    </w:pPr>
  </w:style>
  <w:style w:type="paragraph" w:customStyle="1" w:styleId="BoxHeading2">
    <w:name w:val="Box Heading 2"/>
    <w:basedOn w:val="Normal"/>
    <w:next w:val="BodyText"/>
    <w:uiPriority w:val="4"/>
    <w:qFormat/>
    <w:rsid w:val="00A2287B"/>
    <w:rPr>
      <w:b/>
    </w:rPr>
  </w:style>
  <w:style w:type="table" w:customStyle="1" w:styleId="ProductivityCommissionTable2-Dark">
    <w:name w:val="Productivity Commission Table 2 - Dark"/>
    <w:basedOn w:val="ProductivityCommissionTable2"/>
    <w:uiPriority w:val="99"/>
    <w:rsid w:val="00A2287B"/>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A2287B"/>
    <w:rPr>
      <w:i/>
    </w:rPr>
  </w:style>
  <w:style w:type="paragraph" w:customStyle="1" w:styleId="TableListBullet">
    <w:name w:val="Table List Bullet"/>
    <w:basedOn w:val="ListBullet"/>
    <w:uiPriority w:val="10"/>
    <w:qFormat/>
    <w:rsid w:val="00A2287B"/>
    <w:pPr>
      <w:spacing w:before="46" w:after="46"/>
      <w:ind w:left="170" w:hanging="113"/>
    </w:pPr>
    <w:rPr>
      <w:sz w:val="18"/>
    </w:rPr>
  </w:style>
  <w:style w:type="paragraph" w:customStyle="1" w:styleId="BodyText-Blue">
    <w:name w:val="Body Text-Blue"/>
    <w:basedOn w:val="BodyText"/>
    <w:link w:val="BodyText-BlueChar"/>
    <w:semiHidden/>
    <w:qFormat/>
    <w:rsid w:val="00A2287B"/>
    <w:rPr>
      <w:color w:val="265A9A" w:themeColor="background2"/>
    </w:rPr>
  </w:style>
  <w:style w:type="table" w:customStyle="1" w:styleId="Texttable-Keyline">
    <w:name w:val="Text table-Keyline"/>
    <w:basedOn w:val="Texttable-Paleblue"/>
    <w:uiPriority w:val="99"/>
    <w:rsid w:val="00A2287B"/>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A2287B"/>
    <w:pPr>
      <w:jc w:val="right"/>
    </w:pPr>
  </w:style>
  <w:style w:type="table" w:customStyle="1" w:styleId="CopyrightPage">
    <w:name w:val="Copyright Page"/>
    <w:basedOn w:val="OverviewPageBannerTableStyle"/>
    <w:uiPriority w:val="99"/>
    <w:rsid w:val="00A2287B"/>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A2287B"/>
    <w:pPr>
      <w:spacing w:line="312" w:lineRule="atLeast"/>
    </w:pPr>
  </w:style>
  <w:style w:type="paragraph" w:styleId="BodyText">
    <w:name w:val="Body Text"/>
    <w:basedOn w:val="Normal"/>
    <w:link w:val="BodyTextChar"/>
    <w:qFormat/>
    <w:rsid w:val="00A2287B"/>
  </w:style>
  <w:style w:type="character" w:customStyle="1" w:styleId="BodyTextChar">
    <w:name w:val="Body Text Char"/>
    <w:basedOn w:val="DefaultParagraphFont"/>
    <w:link w:val="BodyText"/>
    <w:rsid w:val="00A2287B"/>
    <w:rPr>
      <w:rFonts w:ascii="Open Sans" w:hAnsi="Open Sans"/>
      <w:sz w:val="20"/>
      <w:szCs w:val="20"/>
    </w:rPr>
  </w:style>
  <w:style w:type="paragraph" w:styleId="List4">
    <w:name w:val="List 4"/>
    <w:basedOn w:val="Normal"/>
    <w:uiPriority w:val="99"/>
    <w:semiHidden/>
    <w:rsid w:val="00A2287B"/>
    <w:pPr>
      <w:numPr>
        <w:ilvl w:val="3"/>
        <w:numId w:val="17"/>
      </w:numPr>
      <w:contextualSpacing/>
    </w:pPr>
  </w:style>
  <w:style w:type="paragraph" w:styleId="List3">
    <w:name w:val="List 3"/>
    <w:basedOn w:val="Normal"/>
    <w:uiPriority w:val="99"/>
    <w:semiHidden/>
    <w:rsid w:val="00A2287B"/>
    <w:pPr>
      <w:numPr>
        <w:ilvl w:val="2"/>
        <w:numId w:val="17"/>
      </w:numPr>
      <w:contextualSpacing/>
    </w:pPr>
  </w:style>
  <w:style w:type="paragraph" w:customStyle="1" w:styleId="Heading1-nonumber">
    <w:name w:val="Heading 1-no number"/>
    <w:basedOn w:val="Heading1"/>
    <w:next w:val="BodyText"/>
    <w:uiPriority w:val="9"/>
    <w:qFormat/>
    <w:rsid w:val="00A2287B"/>
    <w:pPr>
      <w:numPr>
        <w:numId w:val="0"/>
      </w:numPr>
      <w:ind w:left="567"/>
    </w:pPr>
  </w:style>
  <w:style w:type="paragraph" w:customStyle="1" w:styleId="ListAlpha1">
    <w:name w:val="List Alpha 1"/>
    <w:basedOn w:val="Normal"/>
    <w:uiPriority w:val="3"/>
    <w:qFormat/>
    <w:rsid w:val="00A2287B"/>
    <w:pPr>
      <w:numPr>
        <w:numId w:val="18"/>
      </w:numPr>
      <w:spacing w:before="60"/>
      <w:contextualSpacing/>
    </w:pPr>
  </w:style>
  <w:style w:type="paragraph" w:customStyle="1" w:styleId="ListAlpha2">
    <w:name w:val="List Alpha 2"/>
    <w:basedOn w:val="ListAlpha1"/>
    <w:uiPriority w:val="3"/>
    <w:qFormat/>
    <w:rsid w:val="00A2287B"/>
    <w:pPr>
      <w:numPr>
        <w:ilvl w:val="1"/>
      </w:numPr>
    </w:pPr>
  </w:style>
  <w:style w:type="paragraph" w:customStyle="1" w:styleId="ListAlpha3">
    <w:name w:val="List Alpha 3"/>
    <w:basedOn w:val="ListAlpha2"/>
    <w:uiPriority w:val="3"/>
    <w:qFormat/>
    <w:rsid w:val="00A2287B"/>
    <w:pPr>
      <w:numPr>
        <w:ilvl w:val="2"/>
      </w:numPr>
    </w:pPr>
  </w:style>
  <w:style w:type="paragraph" w:customStyle="1" w:styleId="ListAlpha4">
    <w:name w:val="List Alpha 4"/>
    <w:basedOn w:val="ListAlpha3"/>
    <w:uiPriority w:val="3"/>
    <w:semiHidden/>
    <w:qFormat/>
    <w:rsid w:val="00A2287B"/>
    <w:pPr>
      <w:numPr>
        <w:ilvl w:val="3"/>
      </w:numPr>
    </w:pPr>
  </w:style>
  <w:style w:type="numbering" w:customStyle="1" w:styleId="Alphalist">
    <w:name w:val="Alpha list"/>
    <w:uiPriority w:val="99"/>
    <w:rsid w:val="00A2287B"/>
    <w:pPr>
      <w:numPr>
        <w:numId w:val="9"/>
      </w:numPr>
    </w:pPr>
  </w:style>
  <w:style w:type="paragraph" w:customStyle="1" w:styleId="KeyPoints-Bold">
    <w:name w:val="Key Points-Bold"/>
    <w:basedOn w:val="Normal"/>
    <w:uiPriority w:val="10"/>
    <w:qFormat/>
    <w:rsid w:val="00A2287B"/>
    <w:pPr>
      <w:spacing w:before="40" w:after="60" w:line="274" w:lineRule="atLeast"/>
    </w:pPr>
    <w:rPr>
      <w:b/>
      <w:sz w:val="18"/>
    </w:rPr>
  </w:style>
  <w:style w:type="paragraph" w:customStyle="1" w:styleId="Copyrightpage-BodyBold">
    <w:name w:val="Copyright page-Body Bold"/>
    <w:basedOn w:val="Copyrightpage-BodyText"/>
    <w:uiPriority w:val="19"/>
    <w:rsid w:val="00A2287B"/>
    <w:rPr>
      <w:b/>
    </w:rPr>
  </w:style>
  <w:style w:type="paragraph" w:customStyle="1" w:styleId="KeyPoints-Bullet">
    <w:name w:val="Key Points-Bullet"/>
    <w:basedOn w:val="ListBullet"/>
    <w:uiPriority w:val="10"/>
    <w:qFormat/>
    <w:rsid w:val="00A2287B"/>
    <w:pPr>
      <w:spacing w:after="60" w:line="274" w:lineRule="atLeast"/>
    </w:pPr>
    <w:rPr>
      <w:sz w:val="18"/>
    </w:rPr>
  </w:style>
  <w:style w:type="paragraph" w:customStyle="1" w:styleId="BodyText-Grey">
    <w:name w:val="Body Text-Grey"/>
    <w:basedOn w:val="BodyText"/>
    <w:link w:val="BodyText-GreyChar"/>
    <w:semiHidden/>
    <w:qFormat/>
    <w:rsid w:val="00A2287B"/>
    <w:rPr>
      <w:color w:val="58585B"/>
    </w:rPr>
  </w:style>
  <w:style w:type="character" w:customStyle="1" w:styleId="BodyText-GreyChar">
    <w:name w:val="Body Text-Grey Char"/>
    <w:basedOn w:val="BodyTextChar"/>
    <w:link w:val="BodyText-Grey"/>
    <w:semiHidden/>
    <w:rsid w:val="00A2287B"/>
    <w:rPr>
      <w:rFonts w:ascii="Open Sans" w:hAnsi="Open Sans"/>
      <w:color w:val="58585B"/>
      <w:sz w:val="20"/>
      <w:szCs w:val="20"/>
    </w:rPr>
  </w:style>
  <w:style w:type="paragraph" w:styleId="BalloonText">
    <w:name w:val="Balloon Text"/>
    <w:basedOn w:val="Normal"/>
    <w:link w:val="BalloonTextChar"/>
    <w:uiPriority w:val="99"/>
    <w:semiHidden/>
    <w:unhideWhenUsed/>
    <w:rsid w:val="00A22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7B"/>
    <w:rPr>
      <w:rFonts w:ascii="Segoe UI" w:hAnsi="Segoe UI" w:cs="Segoe UI"/>
      <w:sz w:val="18"/>
      <w:szCs w:val="18"/>
    </w:rPr>
  </w:style>
  <w:style w:type="character" w:styleId="CommentReference">
    <w:name w:val="annotation reference"/>
    <w:basedOn w:val="DefaultParagraphFont"/>
    <w:uiPriority w:val="99"/>
    <w:semiHidden/>
    <w:unhideWhenUsed/>
    <w:rsid w:val="00A2287B"/>
    <w:rPr>
      <w:sz w:val="16"/>
      <w:szCs w:val="16"/>
    </w:rPr>
  </w:style>
  <w:style w:type="paragraph" w:styleId="CommentText">
    <w:name w:val="annotation text"/>
    <w:basedOn w:val="Normal"/>
    <w:link w:val="CommentTextChar"/>
    <w:uiPriority w:val="99"/>
    <w:unhideWhenUsed/>
    <w:rsid w:val="00A2287B"/>
    <w:pPr>
      <w:spacing w:line="240" w:lineRule="auto"/>
    </w:pPr>
  </w:style>
  <w:style w:type="character" w:customStyle="1" w:styleId="CommentTextChar">
    <w:name w:val="Comment Text Char"/>
    <w:basedOn w:val="DefaultParagraphFont"/>
    <w:link w:val="CommentText"/>
    <w:uiPriority w:val="99"/>
    <w:rsid w:val="00A2287B"/>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A2287B"/>
    <w:rPr>
      <w:b/>
      <w:bCs/>
    </w:rPr>
  </w:style>
  <w:style w:type="character" w:customStyle="1" w:styleId="CommentSubjectChar">
    <w:name w:val="Comment Subject Char"/>
    <w:basedOn w:val="CommentTextChar"/>
    <w:link w:val="CommentSubject"/>
    <w:uiPriority w:val="99"/>
    <w:semiHidden/>
    <w:rsid w:val="00A2287B"/>
    <w:rPr>
      <w:rFonts w:ascii="Open Sans" w:hAnsi="Open Sans"/>
      <w:b/>
      <w:bCs/>
      <w:sz w:val="20"/>
      <w:szCs w:val="20"/>
    </w:rPr>
  </w:style>
  <w:style w:type="character" w:customStyle="1" w:styleId="ColourBlue">
    <w:name w:val="Colour Blue"/>
    <w:basedOn w:val="DefaultParagraphFont"/>
    <w:uiPriority w:val="22"/>
    <w:qFormat/>
    <w:rsid w:val="00A2287B"/>
    <w:rPr>
      <w:color w:val="2B9AC2" w:themeColor="text2"/>
    </w:rPr>
  </w:style>
  <w:style w:type="character" w:customStyle="1" w:styleId="ColourDarkBlue">
    <w:name w:val="Colour Dark Blue"/>
    <w:basedOn w:val="ColourBlue"/>
    <w:uiPriority w:val="22"/>
    <w:qFormat/>
    <w:rsid w:val="00A2287B"/>
    <w:rPr>
      <w:color w:val="265A9A" w:themeColor="background2"/>
    </w:rPr>
  </w:style>
  <w:style w:type="paragraph" w:customStyle="1" w:styleId="BodyText-Beforebullet">
    <w:name w:val="Body Text-Before bullet"/>
    <w:basedOn w:val="BodyText"/>
    <w:link w:val="BodyText-BeforebulletChar"/>
    <w:semiHidden/>
    <w:unhideWhenUsed/>
    <w:rsid w:val="00A2287B"/>
    <w:pPr>
      <w:spacing w:after="20"/>
    </w:pPr>
  </w:style>
  <w:style w:type="paragraph" w:customStyle="1" w:styleId="PullQuote">
    <w:name w:val="Pull Quote"/>
    <w:basedOn w:val="BodyText"/>
    <w:next w:val="BodyText"/>
    <w:uiPriority w:val="10"/>
    <w:qFormat/>
    <w:rsid w:val="00A2287B"/>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A2287B"/>
    <w:rPr>
      <w:rFonts w:ascii="Open Sans" w:hAnsi="Open Sans"/>
      <w:sz w:val="20"/>
      <w:szCs w:val="20"/>
    </w:rPr>
  </w:style>
  <w:style w:type="paragraph" w:customStyle="1" w:styleId="TableHeading">
    <w:name w:val="Table Heading"/>
    <w:basedOn w:val="NoSpacing"/>
    <w:link w:val="TableHeadingChar"/>
    <w:uiPriority w:val="4"/>
    <w:qFormat/>
    <w:rsid w:val="00A2287B"/>
    <w:pPr>
      <w:spacing w:before="46" w:after="46"/>
      <w:ind w:left="57" w:right="108"/>
    </w:pPr>
    <w:rPr>
      <w:b/>
      <w:color w:val="132D4D" w:themeColor="background2" w:themeShade="80"/>
      <w:sz w:val="18"/>
    </w:rPr>
  </w:style>
  <w:style w:type="paragraph" w:customStyle="1" w:styleId="TableBody">
    <w:name w:val="Table Body"/>
    <w:basedOn w:val="NoSpacing"/>
    <w:uiPriority w:val="4"/>
    <w:qFormat/>
    <w:rsid w:val="00A2287B"/>
    <w:pPr>
      <w:spacing w:before="46" w:after="46"/>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A2287B"/>
    <w:pPr>
      <w:spacing w:before="60"/>
      <w:jc w:val="right"/>
    </w:pPr>
  </w:style>
  <w:style w:type="paragraph" w:customStyle="1" w:styleId="FigureTableSubheading">
    <w:name w:val="Figure/Table Subheading"/>
    <w:basedOn w:val="FigureTableHeading"/>
    <w:uiPriority w:val="4"/>
    <w:qFormat/>
    <w:rsid w:val="00A2287B"/>
    <w:pPr>
      <w:spacing w:before="40"/>
    </w:pPr>
    <w:rPr>
      <w:color w:val="58585B"/>
    </w:rPr>
  </w:style>
  <w:style w:type="table" w:customStyle="1" w:styleId="TextTable-Grey">
    <w:name w:val="Text Table-Grey"/>
    <w:basedOn w:val="Texttable-Paleblue"/>
    <w:uiPriority w:val="99"/>
    <w:rsid w:val="00A2287B"/>
    <w:rPr>
      <w:color w:val="265A9A" w:themeColor="background2"/>
    </w:rPr>
    <w:tblPr/>
    <w:tcPr>
      <w:shd w:val="clear" w:color="auto" w:fill="F2F2F2"/>
    </w:tcPr>
  </w:style>
  <w:style w:type="character" w:customStyle="1" w:styleId="BodyText-BlueChar">
    <w:name w:val="Body Text-Blue Char"/>
    <w:basedOn w:val="BodyTextChar"/>
    <w:link w:val="BodyText-Blue"/>
    <w:semiHidden/>
    <w:rsid w:val="00A2287B"/>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A2287B"/>
  </w:style>
  <w:style w:type="paragraph" w:customStyle="1" w:styleId="Heading1-nobackground">
    <w:name w:val="Heading 1-no background"/>
    <w:basedOn w:val="Heading1"/>
    <w:next w:val="BodyText"/>
    <w:uiPriority w:val="9"/>
    <w:qFormat/>
    <w:rsid w:val="00A2287B"/>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A2287B"/>
    <w:rPr>
      <w:rFonts w:ascii="Open Sans" w:hAnsi="Open Sans"/>
      <w:color w:val="58585B"/>
      <w:sz w:val="20"/>
      <w:szCs w:val="20"/>
    </w:rPr>
  </w:style>
  <w:style w:type="paragraph" w:customStyle="1" w:styleId="TableHeading-numbered">
    <w:name w:val="Table Heading-numbered"/>
    <w:basedOn w:val="Normal"/>
    <w:semiHidden/>
    <w:qFormat/>
    <w:rsid w:val="00A2287B"/>
    <w:pPr>
      <w:numPr>
        <w:numId w:val="24"/>
      </w:numPr>
      <w:spacing w:before="60"/>
      <w:contextualSpacing/>
    </w:pPr>
    <w:rPr>
      <w:b/>
      <w:color w:val="265A9A" w:themeColor="background2"/>
    </w:rPr>
  </w:style>
  <w:style w:type="numbering" w:customStyle="1" w:styleId="TableList">
    <w:name w:val="TableList"/>
    <w:uiPriority w:val="99"/>
    <w:rsid w:val="00A2287B"/>
    <w:pPr>
      <w:numPr>
        <w:numId w:val="24"/>
      </w:numPr>
    </w:pPr>
  </w:style>
  <w:style w:type="paragraph" w:customStyle="1" w:styleId="Footer-right">
    <w:name w:val="Footer-right"/>
    <w:basedOn w:val="Footer"/>
    <w:uiPriority w:val="11"/>
    <w:rsid w:val="00A2287B"/>
    <w:pPr>
      <w:jc w:val="right"/>
    </w:pPr>
    <w:rPr>
      <w:szCs w:val="24"/>
    </w:rPr>
  </w:style>
  <w:style w:type="paragraph" w:customStyle="1" w:styleId="Heading2-nonumber">
    <w:name w:val="Heading 2-no number"/>
    <w:basedOn w:val="Heading2"/>
    <w:uiPriority w:val="9"/>
    <w:qFormat/>
    <w:rsid w:val="00A2287B"/>
    <w:pPr>
      <w:numPr>
        <w:ilvl w:val="0"/>
        <w:numId w:val="0"/>
      </w:numPr>
    </w:pPr>
  </w:style>
  <w:style w:type="paragraph" w:customStyle="1" w:styleId="Heading-Appendix">
    <w:name w:val="Heading-Appendix"/>
    <w:basedOn w:val="Heading1-nonumber"/>
    <w:next w:val="BodyText"/>
    <w:uiPriority w:val="9"/>
    <w:qFormat/>
    <w:rsid w:val="00A2287B"/>
    <w:pPr>
      <w:numPr>
        <w:numId w:val="15"/>
      </w:numPr>
    </w:pPr>
  </w:style>
  <w:style w:type="numbering" w:customStyle="1" w:styleId="AppendixHeading">
    <w:name w:val="AppendixHeading"/>
    <w:uiPriority w:val="99"/>
    <w:rsid w:val="00A2287B"/>
    <w:pPr>
      <w:numPr>
        <w:numId w:val="11"/>
      </w:numPr>
    </w:pPr>
  </w:style>
  <w:style w:type="paragraph" w:customStyle="1" w:styleId="DraftingNote">
    <w:name w:val="Drafting Note"/>
    <w:basedOn w:val="BodyText"/>
    <w:link w:val="DraftingNoteChar"/>
    <w:qFormat/>
    <w:rsid w:val="00A2287B"/>
    <w:pPr>
      <w:contextualSpacing/>
    </w:pPr>
    <w:rPr>
      <w:color w:val="A22D2B"/>
      <w:sz w:val="24"/>
      <w:u w:val="dotted"/>
    </w:rPr>
  </w:style>
  <w:style w:type="character" w:customStyle="1" w:styleId="DraftingNoteChar">
    <w:name w:val="Drafting Note Char"/>
    <w:basedOn w:val="BodyTextChar"/>
    <w:link w:val="DraftingNote"/>
    <w:rsid w:val="00A2287B"/>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A2287B"/>
    <w:pPr>
      <w:spacing w:after="0"/>
    </w:pPr>
  </w:style>
  <w:style w:type="character" w:styleId="Emphasis">
    <w:name w:val="Emphasis"/>
    <w:basedOn w:val="DefaultParagraphFont"/>
    <w:uiPriority w:val="22"/>
    <w:qFormat/>
    <w:rsid w:val="00A2287B"/>
    <w:rPr>
      <w:i/>
      <w:iCs/>
    </w:rPr>
  </w:style>
  <w:style w:type="paragraph" w:customStyle="1" w:styleId="Reference">
    <w:name w:val="Reference"/>
    <w:basedOn w:val="BodyText"/>
    <w:qFormat/>
    <w:rsid w:val="00A2287B"/>
    <w:pPr>
      <w:spacing w:before="0" w:after="60" w:line="200" w:lineRule="exact"/>
    </w:pPr>
    <w:rPr>
      <w:sz w:val="16"/>
    </w:rPr>
  </w:style>
  <w:style w:type="paragraph" w:customStyle="1" w:styleId="Keypoints-heading">
    <w:name w:val="Key points-heading"/>
    <w:basedOn w:val="Heading3"/>
    <w:uiPriority w:val="10"/>
    <w:qFormat/>
    <w:rsid w:val="00A2287B"/>
    <w:rPr>
      <w:color w:val="auto"/>
    </w:rPr>
  </w:style>
  <w:style w:type="paragraph" w:customStyle="1" w:styleId="Heading2-Appendix">
    <w:name w:val="Heading 2-Appendix"/>
    <w:basedOn w:val="Heading2-nonumber"/>
    <w:next w:val="Normal"/>
    <w:uiPriority w:val="10"/>
    <w:qFormat/>
    <w:rsid w:val="00A2287B"/>
    <w:pPr>
      <w:numPr>
        <w:ilvl w:val="1"/>
        <w:numId w:val="15"/>
      </w:numPr>
    </w:pPr>
  </w:style>
  <w:style w:type="numbering" w:customStyle="1" w:styleId="AppendixHeadingList">
    <w:name w:val="Appendix Heading List"/>
    <w:uiPriority w:val="99"/>
    <w:rsid w:val="00A2287B"/>
    <w:pPr>
      <w:numPr>
        <w:numId w:val="10"/>
      </w:numPr>
    </w:pPr>
  </w:style>
  <w:style w:type="paragraph" w:customStyle="1" w:styleId="Space">
    <w:name w:val="Space"/>
    <w:basedOn w:val="BodyText"/>
    <w:uiPriority w:val="1"/>
    <w:rsid w:val="00A2287B"/>
    <w:pPr>
      <w:spacing w:before="0" w:after="0"/>
    </w:pPr>
  </w:style>
  <w:style w:type="paragraph" w:customStyle="1" w:styleId="QuoteBullet">
    <w:name w:val="Quote Bullet"/>
    <w:basedOn w:val="ListBullet"/>
    <w:link w:val="QuoteBulletChar"/>
    <w:uiPriority w:val="1"/>
    <w:qFormat/>
    <w:rsid w:val="00A2287B"/>
    <w:pPr>
      <w:spacing w:before="60"/>
      <w:ind w:left="340" w:right="851"/>
    </w:pPr>
    <w:rPr>
      <w:color w:val="58585B"/>
    </w:rPr>
  </w:style>
  <w:style w:type="character" w:customStyle="1" w:styleId="ListBulletChar">
    <w:name w:val="List Bullet Char"/>
    <w:basedOn w:val="DefaultParagraphFont"/>
    <w:link w:val="ListBullet"/>
    <w:uiPriority w:val="1"/>
    <w:rsid w:val="00A2287B"/>
    <w:rPr>
      <w:rFonts w:ascii="Open Sans" w:hAnsi="Open Sans"/>
      <w:sz w:val="20"/>
      <w:szCs w:val="20"/>
    </w:rPr>
  </w:style>
  <w:style w:type="character" w:customStyle="1" w:styleId="QuoteBulletChar">
    <w:name w:val="Quote Bullet Char"/>
    <w:basedOn w:val="ListBulletChar"/>
    <w:link w:val="QuoteBullet"/>
    <w:uiPriority w:val="1"/>
    <w:rsid w:val="00A2287B"/>
    <w:rPr>
      <w:rFonts w:ascii="Open Sans" w:hAnsi="Open Sans"/>
      <w:color w:val="58585B"/>
      <w:sz w:val="20"/>
      <w:szCs w:val="20"/>
    </w:rPr>
  </w:style>
  <w:style w:type="paragraph" w:customStyle="1" w:styleId="Figurecharttitle">
    <w:name w:val="Figure chart title"/>
    <w:basedOn w:val="BodyText"/>
    <w:uiPriority w:val="10"/>
    <w:qFormat/>
    <w:rsid w:val="00A2287B"/>
    <w:pPr>
      <w:spacing w:before="0" w:after="0"/>
      <w:ind w:left="284" w:hanging="284"/>
    </w:pPr>
    <w:rPr>
      <w:sz w:val="18"/>
      <w:szCs w:val="18"/>
    </w:rPr>
  </w:style>
  <w:style w:type="paragraph" w:customStyle="1" w:styleId="PullQuoteNoSpacing">
    <w:name w:val="Pull Quote No Spacing"/>
    <w:basedOn w:val="NoSpacing"/>
    <w:link w:val="PullQuoteNoSpacingChar"/>
    <w:uiPriority w:val="10"/>
    <w:qFormat/>
    <w:rsid w:val="00A2287B"/>
    <w:pPr>
      <w:spacing w:line="160" w:lineRule="exact"/>
    </w:pPr>
  </w:style>
  <w:style w:type="character" w:customStyle="1" w:styleId="PullQuoteNoSpacingChar">
    <w:name w:val="Pull Quote No Spacing Char"/>
    <w:basedOn w:val="NoSpacingChar"/>
    <w:link w:val="PullQuoteNoSpacing"/>
    <w:uiPriority w:val="10"/>
    <w:rsid w:val="00A2287B"/>
    <w:rPr>
      <w:rFonts w:ascii="Open Sans" w:hAnsi="Open Sans"/>
      <w:sz w:val="20"/>
      <w:szCs w:val="20"/>
    </w:rPr>
  </w:style>
  <w:style w:type="paragraph" w:customStyle="1" w:styleId="PullQuote-Indigenous">
    <w:name w:val="Pull Quote-Indigenous"/>
    <w:basedOn w:val="PullQuote"/>
    <w:uiPriority w:val="10"/>
    <w:qFormat/>
    <w:rsid w:val="00A2287B"/>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A2287B"/>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A2287B"/>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A2287B"/>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A2287B"/>
    <w:rPr>
      <w:rFonts w:ascii="Open Sans" w:hAnsi="Open Sans"/>
      <w:b/>
      <w:color w:val="265A9A" w:themeColor="background2"/>
      <w:sz w:val="20"/>
      <w:szCs w:val="20"/>
    </w:rPr>
  </w:style>
  <w:style w:type="character" w:styleId="Mention">
    <w:name w:val="Mention"/>
    <w:basedOn w:val="DefaultParagraphFont"/>
    <w:uiPriority w:val="99"/>
    <w:unhideWhenUsed/>
    <w:rsid w:val="004038E1"/>
    <w:rPr>
      <w:color w:val="2B579A"/>
      <w:shd w:val="clear" w:color="auto" w:fill="E1DFDD"/>
    </w:rPr>
  </w:style>
  <w:style w:type="character" w:styleId="FollowedHyperlink">
    <w:name w:val="FollowedHyperlink"/>
    <w:basedOn w:val="DefaultParagraphFont"/>
    <w:uiPriority w:val="99"/>
    <w:semiHidden/>
    <w:unhideWhenUsed/>
    <w:rsid w:val="00203363"/>
    <w:rPr>
      <w:color w:val="BFBFBF" w:themeColor="followedHyperlink"/>
      <w:u w:val="single"/>
    </w:rPr>
  </w:style>
  <w:style w:type="paragraph" w:customStyle="1" w:styleId="Subtitle4">
    <w:name w:val="Subtitle 4"/>
    <w:basedOn w:val="Copyrightpage-Heading"/>
    <w:link w:val="Subtitle4Char"/>
    <w:uiPriority w:val="39"/>
    <w:rsid w:val="00A450D6"/>
    <w:pPr>
      <w:spacing w:after="40"/>
    </w:pPr>
    <w:rPr>
      <w:b/>
      <w:sz w:val="16"/>
    </w:rPr>
  </w:style>
  <w:style w:type="character" w:customStyle="1" w:styleId="Subtitle4Char">
    <w:name w:val="Subtitle 4 Char"/>
    <w:basedOn w:val="Copyrightpage-HeadingChar"/>
    <w:link w:val="Subtitle4"/>
    <w:uiPriority w:val="39"/>
    <w:rsid w:val="00A450D6"/>
    <w:rPr>
      <w:rFonts w:ascii="Open Sans Semibold" w:hAnsi="Open Sans Semibold"/>
      <w:b/>
      <w:color w:val="1C4373" w:themeColor="background2" w:themeShade="BF"/>
      <w:spacing w:val="4"/>
      <w:sz w:val="16"/>
      <w:szCs w:val="18"/>
    </w:rPr>
  </w:style>
  <w:style w:type="paragraph" w:styleId="Bibliography">
    <w:name w:val="Bibliography"/>
    <w:basedOn w:val="Normal"/>
    <w:next w:val="Normal"/>
    <w:uiPriority w:val="37"/>
    <w:unhideWhenUsed/>
    <w:rsid w:val="00A450D6"/>
    <w:pPr>
      <w:spacing w:after="240" w:line="240" w:lineRule="atLeast"/>
      <w:ind w:left="720" w:hanging="720"/>
    </w:pPr>
  </w:style>
  <w:style w:type="character" w:styleId="EndnoteReference">
    <w:name w:val="endnote reference"/>
    <w:basedOn w:val="DefaultParagraphFont"/>
    <w:uiPriority w:val="99"/>
    <w:semiHidden/>
    <w:unhideWhenUsed/>
    <w:rsid w:val="00A450D6"/>
    <w:rPr>
      <w:vertAlign w:val="superscript"/>
    </w:rPr>
  </w:style>
  <w:style w:type="table" w:styleId="PlainTable4">
    <w:name w:val="Plain Table 4"/>
    <w:basedOn w:val="TableNormal"/>
    <w:uiPriority w:val="44"/>
    <w:rsid w:val="00A450D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7Colorful-Accent6">
    <w:name w:val="Grid Table 7 Colorful Accent 6"/>
    <w:basedOn w:val="TableNormal"/>
    <w:uiPriority w:val="52"/>
    <w:rsid w:val="000A2D7A"/>
    <w:pPr>
      <w:spacing w:after="0" w:line="240" w:lineRule="auto"/>
    </w:pPr>
    <w:rPr>
      <w:color w:val="3E1E55" w:themeColor="accent6" w:themeShade="BF"/>
    </w:rPr>
    <w:tblPr>
      <w:tblStyleRowBandSize w:val="1"/>
      <w:tblStyleColBandSize w:val="1"/>
      <w:tblBorders>
        <w:top w:val="single" w:sz="4" w:space="0" w:color="9D62C6" w:themeColor="accent6" w:themeTint="99"/>
        <w:left w:val="single" w:sz="4" w:space="0" w:color="9D62C6" w:themeColor="accent6" w:themeTint="99"/>
        <w:bottom w:val="single" w:sz="4" w:space="0" w:color="9D62C6" w:themeColor="accent6" w:themeTint="99"/>
        <w:right w:val="single" w:sz="4" w:space="0" w:color="9D62C6" w:themeColor="accent6" w:themeTint="99"/>
        <w:insideH w:val="single" w:sz="4" w:space="0" w:color="9D62C6" w:themeColor="accent6" w:themeTint="99"/>
        <w:insideV w:val="single" w:sz="4" w:space="0" w:color="9D62C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CAEC" w:themeFill="accent6" w:themeFillTint="33"/>
      </w:tcPr>
    </w:tblStylePr>
    <w:tblStylePr w:type="band1Horz">
      <w:tblPr/>
      <w:tcPr>
        <w:shd w:val="clear" w:color="auto" w:fill="DECAEC" w:themeFill="accent6" w:themeFillTint="33"/>
      </w:tcPr>
    </w:tblStylePr>
    <w:tblStylePr w:type="neCell">
      <w:tblPr/>
      <w:tcPr>
        <w:tcBorders>
          <w:bottom w:val="single" w:sz="4" w:space="0" w:color="9D62C6" w:themeColor="accent6" w:themeTint="99"/>
        </w:tcBorders>
      </w:tcPr>
    </w:tblStylePr>
    <w:tblStylePr w:type="nwCell">
      <w:tblPr/>
      <w:tcPr>
        <w:tcBorders>
          <w:bottom w:val="single" w:sz="4" w:space="0" w:color="9D62C6" w:themeColor="accent6" w:themeTint="99"/>
        </w:tcBorders>
      </w:tcPr>
    </w:tblStylePr>
    <w:tblStylePr w:type="seCell">
      <w:tblPr/>
      <w:tcPr>
        <w:tcBorders>
          <w:top w:val="single" w:sz="4" w:space="0" w:color="9D62C6" w:themeColor="accent6" w:themeTint="99"/>
        </w:tcBorders>
      </w:tcPr>
    </w:tblStylePr>
    <w:tblStylePr w:type="swCell">
      <w:tblPr/>
      <w:tcPr>
        <w:tcBorders>
          <w:top w:val="single" w:sz="4" w:space="0" w:color="9D62C6" w:themeColor="accent6" w:themeTint="99"/>
        </w:tcBorders>
      </w:tcPr>
    </w:tblStylePr>
  </w:style>
  <w:style w:type="table" w:styleId="PlainTable3">
    <w:name w:val="Plain Table 3"/>
    <w:basedOn w:val="TableNormal"/>
    <w:uiPriority w:val="43"/>
    <w:rsid w:val="000A2D7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0A2D7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D95005"/>
    <w:pPr>
      <w:spacing w:before="100" w:beforeAutospacing="1" w:after="100" w:afterAutospacing="1" w:line="240" w:lineRule="auto"/>
    </w:pPr>
    <w:rPr>
      <w:rFonts w:ascii="Times New Roman" w:eastAsia="Times New Roman" w:hAnsi="Times New Roman" w:cs="Times New Roman"/>
      <w:sz w:val="24"/>
      <w:szCs w:val="24"/>
      <w:lang w:eastAsia="zh-CN" w:bidi="th-TH"/>
    </w:rPr>
  </w:style>
  <w:style w:type="character" w:customStyle="1" w:styleId="normaltextrun">
    <w:name w:val="normaltextrun"/>
    <w:basedOn w:val="DefaultParagraphFont"/>
    <w:rsid w:val="00D95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s://www.pc.gov.au" TargetMode="External"/><Relationship Id="rId42" Type="http://schemas.openxmlformats.org/officeDocument/2006/relationships/footer" Target="footer8.xml"/><Relationship Id="rId47" Type="http://schemas.openxmlformats.org/officeDocument/2006/relationships/image" Target="media/image7.emf"/><Relationship Id="rId63" Type="http://schemas.openxmlformats.org/officeDocument/2006/relationships/header" Target="header22.xml"/><Relationship Id="rId68" Type="http://schemas.openxmlformats.org/officeDocument/2006/relationships/header" Target="header25.xml"/><Relationship Id="rId84" Type="http://schemas.openxmlformats.org/officeDocument/2006/relationships/header" Target="header33.xml"/><Relationship Id="rId89" Type="http://schemas.openxmlformats.org/officeDocument/2006/relationships/header" Target="header34.xml"/><Relationship Id="rId16" Type="http://schemas.openxmlformats.org/officeDocument/2006/relationships/footer" Target="footer1.xml"/><Relationship Id="rId107" Type="http://schemas.openxmlformats.org/officeDocument/2006/relationships/footer" Target="footer23.xml"/><Relationship Id="rId11" Type="http://schemas.openxmlformats.org/officeDocument/2006/relationships/webSettings" Target="webSettings.xml"/><Relationship Id="rId32" Type="http://schemas.openxmlformats.org/officeDocument/2006/relationships/header" Target="header8.xml"/><Relationship Id="rId37" Type="http://schemas.openxmlformats.org/officeDocument/2006/relationships/header" Target="header10.xml"/><Relationship Id="rId53" Type="http://schemas.openxmlformats.org/officeDocument/2006/relationships/header" Target="header18.xml"/><Relationship Id="rId58" Type="http://schemas.openxmlformats.org/officeDocument/2006/relationships/footer" Target="footer10.xml"/><Relationship Id="rId74" Type="http://schemas.openxmlformats.org/officeDocument/2006/relationships/footer" Target="footer14.xml"/><Relationship Id="rId79" Type="http://schemas.openxmlformats.org/officeDocument/2006/relationships/footer" Target="footer16.xml"/><Relationship Id="rId102" Type="http://schemas.openxmlformats.org/officeDocument/2006/relationships/footer" Target="footer21.xml"/><Relationship Id="rId5" Type="http://schemas.openxmlformats.org/officeDocument/2006/relationships/customXml" Target="../customXml/item5.xml"/><Relationship Id="rId90" Type="http://schemas.openxmlformats.org/officeDocument/2006/relationships/header" Target="header35.xml"/><Relationship Id="rId95" Type="http://schemas.openxmlformats.org/officeDocument/2006/relationships/header" Target="header37.xml"/><Relationship Id="rId22" Type="http://schemas.openxmlformats.org/officeDocument/2006/relationships/image" Target="media/image3.png"/><Relationship Id="rId27" Type="http://schemas.openxmlformats.org/officeDocument/2006/relationships/footer" Target="footer4.xml"/><Relationship Id="rId43" Type="http://schemas.openxmlformats.org/officeDocument/2006/relationships/footer" Target="footer9.xml"/><Relationship Id="rId48" Type="http://schemas.openxmlformats.org/officeDocument/2006/relationships/image" Target="media/image8.emf"/><Relationship Id="rId64" Type="http://schemas.openxmlformats.org/officeDocument/2006/relationships/header" Target="header23.xml"/><Relationship Id="rId69" Type="http://schemas.openxmlformats.org/officeDocument/2006/relationships/image" Target="media/image16.emf"/><Relationship Id="rId80" Type="http://schemas.openxmlformats.org/officeDocument/2006/relationships/footer" Target="footer17.xml"/><Relationship Id="rId85" Type="http://schemas.openxmlformats.org/officeDocument/2006/relationships/image" Target="media/image20.emf"/><Relationship Id="rId12" Type="http://schemas.openxmlformats.org/officeDocument/2006/relationships/footnotes" Target="footnotes.xml"/><Relationship Id="rId17" Type="http://schemas.openxmlformats.org/officeDocument/2006/relationships/footer" Target="footer2.xml"/><Relationship Id="rId33" Type="http://schemas.openxmlformats.org/officeDocument/2006/relationships/footer" Target="footer6.xml"/><Relationship Id="rId38" Type="http://schemas.openxmlformats.org/officeDocument/2006/relationships/header" Target="header11.xml"/><Relationship Id="rId59" Type="http://schemas.openxmlformats.org/officeDocument/2006/relationships/footer" Target="footer11.xml"/><Relationship Id="rId103" Type="http://schemas.openxmlformats.org/officeDocument/2006/relationships/header" Target="header41.xml"/><Relationship Id="rId108" Type="http://schemas.openxmlformats.org/officeDocument/2006/relationships/header" Target="header44.xml"/><Relationship Id="rId54" Type="http://schemas.openxmlformats.org/officeDocument/2006/relationships/image" Target="media/image11.png"/><Relationship Id="rId70" Type="http://schemas.openxmlformats.org/officeDocument/2006/relationships/image" Target="media/image17.emf"/><Relationship Id="rId75" Type="http://schemas.openxmlformats.org/officeDocument/2006/relationships/footer" Target="footer15.xml"/><Relationship Id="rId91" Type="http://schemas.openxmlformats.org/officeDocument/2006/relationships/image" Target="media/image24.emf"/><Relationship Id="rId96"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4.svg"/><Relationship Id="rId28" Type="http://schemas.openxmlformats.org/officeDocument/2006/relationships/footer" Target="footer5.xml"/><Relationship Id="rId36" Type="http://schemas.openxmlformats.org/officeDocument/2006/relationships/hyperlink" Target="https://www.pc.gov.au/inquiries-and-research/resilient-economy/" TargetMode="External"/><Relationship Id="rId49" Type="http://schemas.openxmlformats.org/officeDocument/2006/relationships/image" Target="media/image9.png"/><Relationship Id="rId57" Type="http://schemas.openxmlformats.org/officeDocument/2006/relationships/header" Target="header20.xml"/><Relationship Id="rId106" Type="http://schemas.openxmlformats.org/officeDocument/2006/relationships/footer" Target="footer22.xml"/><Relationship Id="rId10" Type="http://schemas.openxmlformats.org/officeDocument/2006/relationships/settings" Target="settings.xml"/><Relationship Id="rId31" Type="http://schemas.openxmlformats.org/officeDocument/2006/relationships/header" Target="header7.xml"/><Relationship Id="rId44" Type="http://schemas.openxmlformats.org/officeDocument/2006/relationships/header" Target="header15.xml"/><Relationship Id="rId52" Type="http://schemas.openxmlformats.org/officeDocument/2006/relationships/header" Target="header17.xml"/><Relationship Id="rId60" Type="http://schemas.openxmlformats.org/officeDocument/2006/relationships/header" Target="header21.xml"/><Relationship Id="rId65" Type="http://schemas.openxmlformats.org/officeDocument/2006/relationships/footer" Target="footer12.xml"/><Relationship Id="rId73" Type="http://schemas.openxmlformats.org/officeDocument/2006/relationships/header" Target="header27.xml"/><Relationship Id="rId78" Type="http://schemas.openxmlformats.org/officeDocument/2006/relationships/header" Target="header30.xml"/><Relationship Id="rId81" Type="http://schemas.openxmlformats.org/officeDocument/2006/relationships/header" Target="header31.xml"/><Relationship Id="rId86" Type="http://schemas.openxmlformats.org/officeDocument/2006/relationships/image" Target="media/image21.emf"/><Relationship Id="rId94" Type="http://schemas.openxmlformats.org/officeDocument/2006/relationships/header" Target="header36.xml"/><Relationship Id="rId99" Type="http://schemas.openxmlformats.org/officeDocument/2006/relationships/header" Target="header39.xml"/><Relationship Id="rId101" Type="http://schemas.openxmlformats.org/officeDocument/2006/relationships/footer" Target="footer20.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9" Type="http://schemas.openxmlformats.org/officeDocument/2006/relationships/header" Target="header12.xml"/><Relationship Id="rId109" Type="http://schemas.openxmlformats.org/officeDocument/2006/relationships/fontTable" Target="fontTable.xml"/><Relationship Id="rId34" Type="http://schemas.openxmlformats.org/officeDocument/2006/relationships/footer" Target="footer7.xml"/><Relationship Id="rId50" Type="http://schemas.openxmlformats.org/officeDocument/2006/relationships/image" Target="media/image10.svg"/><Relationship Id="rId55" Type="http://schemas.openxmlformats.org/officeDocument/2006/relationships/image" Target="media/image12.svg"/><Relationship Id="rId76" Type="http://schemas.openxmlformats.org/officeDocument/2006/relationships/header" Target="header28.xml"/><Relationship Id="rId97" Type="http://schemas.openxmlformats.org/officeDocument/2006/relationships/footer" Target="footer19.xml"/><Relationship Id="rId104" Type="http://schemas.openxmlformats.org/officeDocument/2006/relationships/header" Target="header42.xml"/><Relationship Id="rId7" Type="http://schemas.openxmlformats.org/officeDocument/2006/relationships/customXml" Target="../customXml/item7.xml"/><Relationship Id="rId71" Type="http://schemas.openxmlformats.org/officeDocument/2006/relationships/image" Target="media/image18.emf"/><Relationship Id="rId92" Type="http://schemas.openxmlformats.org/officeDocument/2006/relationships/image" Target="media/image25.emf"/><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yperlink" Target="mailto:publications@pc.gov.au" TargetMode="External"/><Relationship Id="rId40" Type="http://schemas.openxmlformats.org/officeDocument/2006/relationships/header" Target="header13.xml"/><Relationship Id="rId45" Type="http://schemas.openxmlformats.org/officeDocument/2006/relationships/image" Target="media/image5.png"/><Relationship Id="rId66" Type="http://schemas.openxmlformats.org/officeDocument/2006/relationships/footer" Target="footer13.xml"/><Relationship Id="rId87" Type="http://schemas.openxmlformats.org/officeDocument/2006/relationships/image" Target="media/image22.emf"/><Relationship Id="rId110" Type="http://schemas.openxmlformats.org/officeDocument/2006/relationships/glossaryDocument" Target="glossary/document.xml"/><Relationship Id="rId61" Type="http://schemas.openxmlformats.org/officeDocument/2006/relationships/image" Target="media/image13.emf"/><Relationship Id="rId82" Type="http://schemas.openxmlformats.org/officeDocument/2006/relationships/header" Target="header32.xm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yperlink" Target="http://www.pc.gov.au/inquiries-and-research/housing-supply" TargetMode="External"/><Relationship Id="rId35" Type="http://schemas.openxmlformats.org/officeDocument/2006/relationships/header" Target="header9.xml"/><Relationship Id="rId56" Type="http://schemas.openxmlformats.org/officeDocument/2006/relationships/header" Target="header19.xml"/><Relationship Id="rId77" Type="http://schemas.openxmlformats.org/officeDocument/2006/relationships/header" Target="header29.xml"/><Relationship Id="rId100" Type="http://schemas.openxmlformats.org/officeDocument/2006/relationships/header" Target="header40.xml"/><Relationship Id="rId105" Type="http://schemas.openxmlformats.org/officeDocument/2006/relationships/header" Target="header43.xml"/><Relationship Id="rId8" Type="http://schemas.openxmlformats.org/officeDocument/2006/relationships/numbering" Target="numbering.xml"/><Relationship Id="rId51" Type="http://schemas.openxmlformats.org/officeDocument/2006/relationships/header" Target="header16.xml"/><Relationship Id="rId72" Type="http://schemas.openxmlformats.org/officeDocument/2006/relationships/header" Target="header26.xml"/><Relationship Id="rId93" Type="http://schemas.openxmlformats.org/officeDocument/2006/relationships/image" Target="media/image26.emf"/><Relationship Id="rId98" Type="http://schemas.openxmlformats.org/officeDocument/2006/relationships/header" Target="header38.xml"/><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image" Target="media/image6.svg"/><Relationship Id="rId67" Type="http://schemas.openxmlformats.org/officeDocument/2006/relationships/header" Target="header24.xml"/><Relationship Id="rId20" Type="http://schemas.openxmlformats.org/officeDocument/2006/relationships/image" Target="media/image2.png"/><Relationship Id="rId41" Type="http://schemas.openxmlformats.org/officeDocument/2006/relationships/header" Target="header14.xml"/><Relationship Id="rId62" Type="http://schemas.openxmlformats.org/officeDocument/2006/relationships/image" Target="media/image14.emf"/><Relationship Id="rId83" Type="http://schemas.openxmlformats.org/officeDocument/2006/relationships/image" Target="media/image19.emf"/><Relationship Id="rId88" Type="http://schemas.openxmlformats.org/officeDocument/2006/relationships/image" Target="media/image23.emf"/><Relationship Id="rId111" Type="http://schemas.openxmlformats.org/officeDocument/2006/relationships/theme" Target="theme/theme1.xml"/></Relationships>
</file>

<file path=word/_rels/header25.xml.rels><?xml version="1.0" encoding="UTF-8" standalone="yes"?>
<Relationships xmlns="http://schemas.openxmlformats.org/package/2006/relationships"><Relationship Id="rId1" Type="http://schemas.openxmlformats.org/officeDocument/2006/relationships/image" Target="media/image15.png"/></Relationships>
</file>

<file path=word/_rels/header29.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5.png"/></Relationships>
</file>

<file path=word/_rels/header35.xml.rels><?xml version="1.0" encoding="UTF-8" standalone="yes"?>
<Relationships xmlns="http://schemas.openxmlformats.org/package/2006/relationships"><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9FA56151844F979020595114D16358"/>
        <w:category>
          <w:name w:val="General"/>
          <w:gallery w:val="placeholder"/>
        </w:category>
        <w:types>
          <w:type w:val="bbPlcHdr"/>
        </w:types>
        <w:behaviors>
          <w:behavior w:val="content"/>
        </w:behaviors>
        <w:guid w:val="{F6F11A3F-03F5-4623-B1CC-64D9B2126CA3}"/>
      </w:docPartPr>
      <w:docPartBody>
        <w:p w:rsidR="00517EAE" w:rsidRDefault="00A805BD">
          <w:pPr>
            <w:pStyle w:val="249FA56151844F979020595114D16358"/>
          </w:pPr>
          <w:r w:rsidRPr="00A25715">
            <w:rPr>
              <w:i/>
              <w:iCs/>
            </w:rPr>
            <w:t>[Title]</w:t>
          </w:r>
        </w:p>
      </w:docPartBody>
    </w:docPart>
    <w:docPart>
      <w:docPartPr>
        <w:name w:val="550A43F2A6904F789E1F24274A1130EA"/>
        <w:category>
          <w:name w:val="General"/>
          <w:gallery w:val="placeholder"/>
        </w:category>
        <w:types>
          <w:type w:val="bbPlcHdr"/>
        </w:types>
        <w:behaviors>
          <w:behavior w:val="content"/>
        </w:behaviors>
        <w:guid w:val="{656BA356-412E-4A96-8451-8A1F981EA836}"/>
      </w:docPartPr>
      <w:docPartBody>
        <w:p w:rsidR="00517EAE" w:rsidRDefault="00A805BD">
          <w:pPr>
            <w:pStyle w:val="550A43F2A6904F789E1F24274A1130EA"/>
          </w:pPr>
          <w:r w:rsidRPr="00F2058B">
            <w:rPr>
              <w:highlight w:val="lightGray"/>
            </w:rPr>
            <w:t>[click to add text]</w:t>
          </w:r>
        </w:p>
      </w:docPartBody>
    </w:docPart>
    <w:docPart>
      <w:docPartPr>
        <w:name w:val="C18630CDC2E54D228D800A9520D28324"/>
        <w:category>
          <w:name w:val="General"/>
          <w:gallery w:val="placeholder"/>
        </w:category>
        <w:types>
          <w:type w:val="bbPlcHdr"/>
        </w:types>
        <w:behaviors>
          <w:behavior w:val="content"/>
        </w:behaviors>
        <w:guid w:val="{EDFAE408-1F3D-435B-86AC-DB488A0F922F}"/>
      </w:docPartPr>
      <w:docPartBody>
        <w:p w:rsidR="00517EAE" w:rsidRDefault="00A805BD">
          <w:pPr>
            <w:pStyle w:val="C18630CDC2E54D228D800A9520D28324"/>
          </w:pPr>
          <w:r w:rsidRPr="00265918">
            <w:rPr>
              <w:highlight w:val="lightGray"/>
            </w:rPr>
            <w:t>[Choose Received date]</w:t>
          </w:r>
        </w:p>
      </w:docPartBody>
    </w:docPart>
    <w:docPart>
      <w:docPartPr>
        <w:name w:val="13443BB1BCA544ABA559CADEDC8531D2"/>
        <w:category>
          <w:name w:val="General"/>
          <w:gallery w:val="placeholder"/>
        </w:category>
        <w:types>
          <w:type w:val="bbPlcHdr"/>
        </w:types>
        <w:behaviors>
          <w:behavior w:val="content"/>
        </w:behaviors>
        <w:guid w:val="{7FD89880-08CF-4A89-B515-7A910CE2A0FC}"/>
      </w:docPartPr>
      <w:docPartBody>
        <w:p w:rsidR="00517EAE" w:rsidRDefault="00A805BD">
          <w:pPr>
            <w:pStyle w:val="13443BB1BCA544ABA559CADEDC8531D2"/>
          </w:pPr>
          <w:r w:rsidRPr="00201320">
            <w:rPr>
              <w:rStyle w:val="Strong"/>
            </w:rPr>
            <w:t>[Title]</w:t>
          </w:r>
        </w:p>
      </w:docPartBody>
    </w:docPart>
    <w:docPart>
      <w:docPartPr>
        <w:name w:val="3F5F4E4682D54EBB9B4D76DDBD041638"/>
        <w:category>
          <w:name w:val="General"/>
          <w:gallery w:val="placeholder"/>
        </w:category>
        <w:types>
          <w:type w:val="bbPlcHdr"/>
        </w:types>
        <w:behaviors>
          <w:behavior w:val="content"/>
        </w:behaviors>
        <w:guid w:val="{24949CD4-3EEA-443C-9BB5-E29578A7E698}"/>
      </w:docPartPr>
      <w:docPartBody>
        <w:p w:rsidR="000D2245" w:rsidRDefault="00D94D17" w:rsidP="00D94D17">
          <w:pPr>
            <w:pStyle w:val="3F5F4E4682D54EBB9B4D76DDBD041638"/>
          </w:pPr>
          <w:r w:rsidRPr="00201320">
            <w:rPr>
              <w:rStyle w:val="Strong"/>
            </w:rPr>
            <w:t>[Title]</w:t>
          </w:r>
        </w:p>
      </w:docPartBody>
    </w:docPart>
    <w:docPart>
      <w:docPartPr>
        <w:name w:val="7A05311C7E0D444A90625533494694B4"/>
        <w:category>
          <w:name w:val="General"/>
          <w:gallery w:val="placeholder"/>
        </w:category>
        <w:types>
          <w:type w:val="bbPlcHdr"/>
        </w:types>
        <w:behaviors>
          <w:behavior w:val="content"/>
        </w:behaviors>
        <w:guid w:val="{9BC9032B-B848-41D3-9FD7-455328099B25}"/>
      </w:docPartPr>
      <w:docPartBody>
        <w:p w:rsidR="000D2245" w:rsidRDefault="00D94D17" w:rsidP="00D94D17">
          <w:pPr>
            <w:pStyle w:val="7A05311C7E0D444A90625533494694B4"/>
          </w:pPr>
          <w:r w:rsidRPr="00201320">
            <w:rPr>
              <w:rStyle w:val="Strong"/>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altName w:val="Segoe UI"/>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Open Sans Semibold">
    <w:altName w:val="Segoe UI"/>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478"/>
    <w:rsid w:val="000315DD"/>
    <w:rsid w:val="00040AEF"/>
    <w:rsid w:val="00084B28"/>
    <w:rsid w:val="000A6F27"/>
    <w:rsid w:val="000D2245"/>
    <w:rsid w:val="00283BF6"/>
    <w:rsid w:val="00304A0C"/>
    <w:rsid w:val="00383814"/>
    <w:rsid w:val="003E60CC"/>
    <w:rsid w:val="0048015E"/>
    <w:rsid w:val="00517EAE"/>
    <w:rsid w:val="00544255"/>
    <w:rsid w:val="00545F17"/>
    <w:rsid w:val="00613395"/>
    <w:rsid w:val="00675635"/>
    <w:rsid w:val="006A1792"/>
    <w:rsid w:val="00766016"/>
    <w:rsid w:val="008C121F"/>
    <w:rsid w:val="00941E10"/>
    <w:rsid w:val="009500BB"/>
    <w:rsid w:val="00996A5B"/>
    <w:rsid w:val="009A39EB"/>
    <w:rsid w:val="009F6CF9"/>
    <w:rsid w:val="00A22B73"/>
    <w:rsid w:val="00A805BD"/>
    <w:rsid w:val="00A86E45"/>
    <w:rsid w:val="00AE4583"/>
    <w:rsid w:val="00BB1825"/>
    <w:rsid w:val="00C1193A"/>
    <w:rsid w:val="00CA26D3"/>
    <w:rsid w:val="00CF2F1A"/>
    <w:rsid w:val="00D8605B"/>
    <w:rsid w:val="00D94D17"/>
    <w:rsid w:val="00DB0160"/>
    <w:rsid w:val="00DE075E"/>
    <w:rsid w:val="00E46837"/>
    <w:rsid w:val="00ED114A"/>
    <w:rsid w:val="00ED7FE0"/>
    <w:rsid w:val="00FA32FE"/>
    <w:rsid w:val="00FE14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BBDE77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49FA56151844F979020595114D16358">
    <w:name w:val="249FA56151844F979020595114D16358"/>
  </w:style>
  <w:style w:type="paragraph" w:customStyle="1" w:styleId="550A43F2A6904F789E1F24274A1130EA">
    <w:name w:val="550A43F2A6904F789E1F24274A1130EA"/>
  </w:style>
  <w:style w:type="paragraph" w:customStyle="1" w:styleId="C18630CDC2E54D228D800A9520D28324">
    <w:name w:val="C18630CDC2E54D228D800A9520D28324"/>
  </w:style>
  <w:style w:type="character" w:styleId="Strong">
    <w:name w:val="Strong"/>
    <w:basedOn w:val="DefaultParagraphFont"/>
    <w:uiPriority w:val="22"/>
    <w:qFormat/>
    <w:rsid w:val="00D94D17"/>
    <w:rPr>
      <w:rFonts w:asciiTheme="minorHAnsi" w:hAnsiTheme="minorHAnsi"/>
      <w:b/>
      <w:bCs/>
    </w:rPr>
  </w:style>
  <w:style w:type="paragraph" w:customStyle="1" w:styleId="13443BB1BCA544ABA559CADEDC8531D2">
    <w:name w:val="13443BB1BCA544ABA559CADEDC8531D2"/>
  </w:style>
  <w:style w:type="paragraph" w:customStyle="1" w:styleId="3F5F4E4682D54EBB9B4D76DDBD041638">
    <w:name w:val="3F5F4E4682D54EBB9B4D76DDBD041638"/>
    <w:rsid w:val="00D94D17"/>
  </w:style>
  <w:style w:type="paragraph" w:customStyle="1" w:styleId="7A05311C7E0D444A90625533494694B4">
    <w:name w:val="7A05311C7E0D444A90625533494694B4"/>
    <w:rsid w:val="00D94D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PC font">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TemplateConfiguration><![CDATA[{"elementsMetadata":[],"transformationConfigurations":[],"templateName":"prelims-draft report","templateDescription":"Prelims for draft inquiry and study reports","enableDocumentContentUpdater":fals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 xmlns="20393cdf-440a-4521-8f19-00ba43423d00">MPWT-2140667901-102082</_dlc_DocId>
    <_dlc_DocIdUrl xmlns="20393cdf-440a-4521-8f19-00ba43423d00">
      <Url>https://pcgov.sharepoint.com/sites/sceteam/_layouts/15/DocIdRedir.aspx?ID=MPWT-2140667901-102082</Url>
      <Description>MPWT-2140667901-102082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c0b2884314d4d88d2af2e081d51bea09">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0f36e5fe4afdf19b0f0674bc67de49c0"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1;#Unclassified|3955eeb1-2d18-4582-aeb2-00144ec3aaf5"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CDCE8C-2FF2-479D-91C1-79A7A7683D3C}">
  <ds:schemaRefs/>
</ds:datastoreItem>
</file>

<file path=customXml/itemProps2.xml><?xml version="1.0" encoding="utf-8"?>
<ds:datastoreItem xmlns:ds="http://schemas.openxmlformats.org/officeDocument/2006/customXml" ds:itemID="{E55B0D2D-7B8E-44EE-8991-D7DEA56F5C1C}">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3.xml><?xml version="1.0" encoding="utf-8"?>
<ds:datastoreItem xmlns:ds="http://schemas.openxmlformats.org/officeDocument/2006/customXml" ds:itemID="{21ED88CD-FE2F-4F77-901D-672651A1376B}">
  <ds:schemaRefs>
    <ds:schemaRef ds:uri="http://schemas.microsoft.com/sharepoint/v3/contenttype/forms"/>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5.xml><?xml version="1.0" encoding="utf-8"?>
<ds:datastoreItem xmlns:ds="http://schemas.openxmlformats.org/officeDocument/2006/customXml" ds:itemID="{9897F752-2238-441E-ABA5-DB8C10DEA577}">
  <ds:schemaRefs/>
</ds:datastoreItem>
</file>

<file path=customXml/itemProps6.xml><?xml version="1.0" encoding="utf-8"?>
<ds:datastoreItem xmlns:ds="http://schemas.openxmlformats.org/officeDocument/2006/customXml" ds:itemID="{D6D8D62E-C7A2-4CF4-AE5C-1C55A8F84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186B008-04AC-490D-8867-1D397D2A12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940</TotalTime>
  <Pages>136</Pages>
  <Words>49957</Words>
  <Characters>297745</Characters>
  <Application>Microsoft Office Word</Application>
  <DocSecurity>0</DocSecurity>
  <Lines>5046</Lines>
  <Paragraphs>2120</Paragraphs>
  <ScaleCrop>false</ScaleCrop>
  <HeadingPairs>
    <vt:vector size="2" baseType="variant">
      <vt:variant>
        <vt:lpstr>Title</vt:lpstr>
      </vt:variant>
      <vt:variant>
        <vt:i4>1</vt:i4>
      </vt:variant>
    </vt:vector>
  </HeadingPairs>
  <TitlesOfParts>
    <vt:vector size="1" baseType="lpstr">
      <vt:lpstr>Interim report - Housing supply regulation</vt:lpstr>
    </vt:vector>
  </TitlesOfParts>
  <Company>Productivity Commission</Company>
  <LinksUpToDate>false</LinksUpToDate>
  <CharactersWithSpaces>345582</CharactersWithSpaces>
  <SharedDoc>false</SharedDoc>
  <HLinks>
    <vt:vector size="30" baseType="variant">
      <vt:variant>
        <vt:i4>5636179</vt:i4>
      </vt:variant>
      <vt:variant>
        <vt:i4>1341</vt:i4>
      </vt:variant>
      <vt:variant>
        <vt:i4>0</vt:i4>
      </vt:variant>
      <vt:variant>
        <vt:i4>5</vt:i4>
      </vt:variant>
      <vt:variant>
        <vt:lpwstr>http://www.pc.gov.au/inquiries/current/housing-supply</vt:lpwstr>
      </vt:variant>
      <vt:variant>
        <vt:lpwstr/>
      </vt:variant>
      <vt:variant>
        <vt:i4>3604538</vt:i4>
      </vt:variant>
      <vt:variant>
        <vt:i4>9</vt:i4>
      </vt:variant>
      <vt:variant>
        <vt:i4>0</vt:i4>
      </vt:variant>
      <vt:variant>
        <vt:i4>5</vt:i4>
      </vt:variant>
      <vt:variant>
        <vt:lpwstr>https://www.pc.gov.au/inquiries-and-research/resilient-economy/</vt:lpwstr>
      </vt:variant>
      <vt:variant>
        <vt:lpwstr>final-report</vt:lpwstr>
      </vt:variant>
      <vt:variant>
        <vt:i4>2097256</vt:i4>
      </vt:variant>
      <vt:variant>
        <vt:i4>6</vt:i4>
      </vt:variant>
      <vt:variant>
        <vt:i4>0</vt:i4>
      </vt:variant>
      <vt:variant>
        <vt:i4>5</vt:i4>
      </vt:variant>
      <vt:variant>
        <vt:lpwstr>http://www.pc.gov.au/inquiries-and-research/housing-supply</vt:lpwstr>
      </vt:variant>
      <vt:variant>
        <vt:lpwstr/>
      </vt:variant>
      <vt:variant>
        <vt:i4>2883655</vt:i4>
      </vt:variant>
      <vt:variant>
        <vt:i4>3</vt:i4>
      </vt:variant>
      <vt:variant>
        <vt:i4>0</vt:i4>
      </vt:variant>
      <vt:variant>
        <vt:i4>5</vt:i4>
      </vt:variant>
      <vt:variant>
        <vt:lpwstr>mailto:publications@pc.gov.au</vt:lpwstr>
      </vt:variant>
      <vt:variant>
        <vt:lpwstr/>
      </vt:variant>
      <vt:variant>
        <vt:i4>7602218</vt:i4>
      </vt:variant>
      <vt:variant>
        <vt:i4>0</vt:i4>
      </vt:variant>
      <vt:variant>
        <vt:i4>0</vt:i4>
      </vt:variant>
      <vt:variant>
        <vt:i4>5</vt:i4>
      </vt:variant>
      <vt:variant>
        <vt:lpwstr>https://www.pc.gov.au/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report - Housing supply regulation</dc:title>
  <dc:subject>Interim report</dc:subject>
  <dc:creator>Productivity Commission</dc:creator>
  <cp:keywords/>
  <dc:description/>
  <cp:lastModifiedBy>Chris Alston</cp:lastModifiedBy>
  <cp:revision>323</cp:revision>
  <cp:lastPrinted>2026-07-23T04:27:00Z</cp:lastPrinted>
  <dcterms:created xsi:type="dcterms:W3CDTF">2026-07-16T07:40:00Z</dcterms:created>
  <dcterms:modified xsi:type="dcterms:W3CDTF">2026-07-23T23:57:00Z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RevIMBCS">
    <vt:lpwstr>1;#Unclassified|3955eeb1-2d18-4582-aeb2-00144ec3aaf5</vt:lpwstr>
  </property>
  <property fmtid="{D5CDD505-2E9C-101B-9397-08002B2CF9AE}" pid="4" name="MediaServiceImageTags">
    <vt:lpwstr/>
  </property>
  <property fmtid="{D5CDD505-2E9C-101B-9397-08002B2CF9AE}" pid="5" name="TemplafyTenantId">
    <vt:lpwstr>productivitycommission</vt:lpwstr>
  </property>
  <property fmtid="{D5CDD505-2E9C-101B-9397-08002B2CF9AE}" pid="6" name="TemplafyTemplateId">
    <vt:lpwstr>637629323326921041</vt:lpwstr>
  </property>
  <property fmtid="{D5CDD505-2E9C-101B-9397-08002B2CF9AE}" pid="7" name="TemplafyUserProfileId">
    <vt:lpwstr>637956860990638124</vt:lpwstr>
  </property>
  <property fmtid="{D5CDD505-2E9C-101B-9397-08002B2CF9AE}" pid="8" name="TemplafyFromBlank">
    <vt:bool>false</vt:bool>
  </property>
  <property fmtid="{D5CDD505-2E9C-101B-9397-08002B2CF9AE}" pid="9" name="MSIP_Label_c1f2b1ce-4212-46db-a901-dd8453f57141_Enabled">
    <vt:lpwstr>true</vt:lpwstr>
  </property>
  <property fmtid="{D5CDD505-2E9C-101B-9397-08002B2CF9AE}" pid="10" name="MSIP_Label_c1f2b1ce-4212-46db-a901-dd8453f57141_SetDate">
    <vt:lpwstr>2026-07-16T00:11:54Z</vt:lpwstr>
  </property>
  <property fmtid="{D5CDD505-2E9C-101B-9397-08002B2CF9AE}" pid="11" name="MSIP_Label_c1f2b1ce-4212-46db-a901-dd8453f57141_Method">
    <vt:lpwstr>Privileged</vt:lpwstr>
  </property>
  <property fmtid="{D5CDD505-2E9C-101B-9397-08002B2CF9AE}" pid="12" name="MSIP_Label_c1f2b1ce-4212-46db-a901-dd8453f57141_Name">
    <vt:lpwstr>Publish</vt:lpwstr>
  </property>
  <property fmtid="{D5CDD505-2E9C-101B-9397-08002B2CF9AE}" pid="13" name="MSIP_Label_c1f2b1ce-4212-46db-a901-dd8453f57141_SiteId">
    <vt:lpwstr>29f9330b-c0fe-4244-830e-ba9f275d6c34</vt:lpwstr>
  </property>
  <property fmtid="{D5CDD505-2E9C-101B-9397-08002B2CF9AE}" pid="14" name="MSIP_Label_c1f2b1ce-4212-46db-a901-dd8453f57141_ActionId">
    <vt:lpwstr>5229f225-bc23-4447-97f3-564d70e4ab7f</vt:lpwstr>
  </property>
  <property fmtid="{D5CDD505-2E9C-101B-9397-08002B2CF9AE}" pid="15" name="MSIP_Label_c1f2b1ce-4212-46db-a901-dd8453f57141_ContentBits">
    <vt:lpwstr>0</vt:lpwstr>
  </property>
  <property fmtid="{D5CDD505-2E9C-101B-9397-08002B2CF9AE}" pid="16" name="MSIP_Label_c1f2b1ce-4212-46db-a901-dd8453f57141_Tag">
    <vt:lpwstr>10, 0, 1, 1</vt:lpwstr>
  </property>
  <property fmtid="{D5CDD505-2E9C-101B-9397-08002B2CF9AE}" pid="17" name="ZOTERO_PREF_1">
    <vt:lpwstr>&lt;data data-version="3" zotero-version="9.0.6"&gt;&lt;session id="d5T1O1x6"/&gt;&lt;style id="http://www.zotero.org/styles/Productivity-Commission" hasBibliography="1" bibliographyStyleHasBeenSet="1"/&gt;&lt;prefs&gt;&lt;pref name="fieldType" value="Field"/&gt;&lt;pref name="automaticJ</vt:lpwstr>
  </property>
  <property fmtid="{D5CDD505-2E9C-101B-9397-08002B2CF9AE}" pid="18" name="ZOTERO_PREF_2">
    <vt:lpwstr>ournalAbbreviations" value="true"/&gt;&lt;/prefs&gt;&lt;/data&gt;</vt:lpwstr>
  </property>
  <property fmtid="{D5CDD505-2E9C-101B-9397-08002B2CF9AE}" pid="19" name="_dlc_DocIdItemGuid">
    <vt:lpwstr>91cea23b-07e2-432c-a729-083a3595a1bc</vt:lpwstr>
  </property>
</Properties>
</file>