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413E" w14:textId="29565071" w:rsidR="00B20F9F" w:rsidRPr="00B20F9F" w:rsidRDefault="009374AC" w:rsidP="009374AC">
      <w:pPr>
        <w:ind w:firstLine="720"/>
        <w:jc w:val="both"/>
        <w:rPr>
          <w:rFonts w:ascii="Times New Roman" w:hAnsi="Times New Roman" w:cs="Times New Roman"/>
        </w:rPr>
      </w:pPr>
      <w:r>
        <w:rPr>
          <w:rFonts w:ascii="Times New Roman" w:hAnsi="Times New Roman" w:cs="Times New Roman"/>
        </w:rPr>
        <w:t xml:space="preserve">I am undertaking a PhD on </w:t>
      </w:r>
      <w:r w:rsidR="009541B6">
        <w:rPr>
          <w:rFonts w:ascii="Times New Roman" w:hAnsi="Times New Roman" w:cs="Times New Roman"/>
        </w:rPr>
        <w:t xml:space="preserve">comparative study on </w:t>
      </w:r>
      <w:r>
        <w:rPr>
          <w:rFonts w:ascii="Times New Roman" w:hAnsi="Times New Roman" w:cs="Times New Roman"/>
        </w:rPr>
        <w:t xml:space="preserve">SME Insolvency on Australia and India from the </w:t>
      </w:r>
      <w:r w:rsidR="00DF7751">
        <w:rPr>
          <w:rFonts w:ascii="Times New Roman" w:hAnsi="Times New Roman" w:cs="Times New Roman"/>
        </w:rPr>
        <w:t>University of Sydney. Based on my research in Indian insolvency law, I have some comments for the commission.</w:t>
      </w:r>
      <w:r w:rsidR="009541B6">
        <w:rPr>
          <w:rFonts w:ascii="Times New Roman" w:hAnsi="Times New Roman" w:cs="Times New Roman"/>
        </w:rPr>
        <w:t xml:space="preserve"> </w:t>
      </w:r>
    </w:p>
    <w:p w14:paraId="34E4D591" w14:textId="26D64B42" w:rsidR="00E55247" w:rsidRPr="00CE27C8" w:rsidRDefault="00D36FDC" w:rsidP="00FE0D6F">
      <w:pPr>
        <w:ind w:firstLine="720"/>
        <w:jc w:val="both"/>
        <w:rPr>
          <w:rFonts w:ascii="Times New Roman" w:hAnsi="Times New Roman" w:cs="Times New Roman"/>
        </w:rPr>
      </w:pPr>
      <w:r w:rsidRPr="00CE27C8">
        <w:rPr>
          <w:rFonts w:ascii="Times New Roman" w:hAnsi="Times New Roman" w:cs="Times New Roman"/>
        </w:rPr>
        <w:t xml:space="preserve">One of the </w:t>
      </w:r>
      <w:r w:rsidR="00513F95" w:rsidRPr="00CE27C8">
        <w:rPr>
          <w:rFonts w:ascii="Times New Roman" w:hAnsi="Times New Roman" w:cs="Times New Roman"/>
        </w:rPr>
        <w:t>systems</w:t>
      </w:r>
      <w:r w:rsidR="003C592E">
        <w:rPr>
          <w:rFonts w:ascii="Times New Roman" w:hAnsi="Times New Roman" w:cs="Times New Roman"/>
        </w:rPr>
        <w:t xml:space="preserve"> used by the union government</w:t>
      </w:r>
      <w:r w:rsidR="00513F95" w:rsidRPr="00CE27C8">
        <w:rPr>
          <w:rFonts w:ascii="Times New Roman" w:hAnsi="Times New Roman" w:cs="Times New Roman"/>
        </w:rPr>
        <w:t xml:space="preserve"> is the use of Information Utilities or IUs. </w:t>
      </w:r>
      <w:r w:rsidR="008B4BCC" w:rsidRPr="00CE27C8">
        <w:rPr>
          <w:rFonts w:ascii="Times New Roman" w:hAnsi="Times New Roman" w:cs="Times New Roman"/>
        </w:rPr>
        <w:t xml:space="preserve">It is </w:t>
      </w:r>
      <w:r w:rsidR="00E10FE5" w:rsidRPr="00CE27C8">
        <w:rPr>
          <w:rFonts w:ascii="Times New Roman" w:hAnsi="Times New Roman" w:cs="Times New Roman"/>
        </w:rPr>
        <w:t>a storage system, a real time electronic database, that stores key credit information about all the parties in an insolvency case before the courts</w:t>
      </w:r>
      <w:r w:rsidR="00FE0D6F">
        <w:rPr>
          <w:rStyle w:val="FootnoteReference"/>
          <w:rFonts w:ascii="Times New Roman" w:hAnsi="Times New Roman" w:cs="Times New Roman"/>
        </w:rPr>
        <w:footnoteReference w:id="1"/>
      </w:r>
      <w:r w:rsidR="00E10FE5" w:rsidRPr="00CE27C8">
        <w:rPr>
          <w:rFonts w:ascii="Times New Roman" w:hAnsi="Times New Roman" w:cs="Times New Roman"/>
        </w:rPr>
        <w:t xml:space="preserve">. </w:t>
      </w:r>
      <w:r w:rsidR="00724D23" w:rsidRPr="00CE27C8">
        <w:rPr>
          <w:rFonts w:ascii="Times New Roman" w:hAnsi="Times New Roman" w:cs="Times New Roman"/>
        </w:rPr>
        <w:t xml:space="preserve">Any person that wishes to file the case under the IBC must be registered to one of the IUs. IUs ought to be interoperable with one another. </w:t>
      </w:r>
      <w:r w:rsidR="00E10FE5" w:rsidRPr="00CE27C8">
        <w:rPr>
          <w:rFonts w:ascii="Times New Roman" w:hAnsi="Times New Roman" w:cs="Times New Roman"/>
        </w:rPr>
        <w:t>The IBBI describes the IUs as one of the four pillars that help the stakeholders resolve the insolvency dispute</w:t>
      </w:r>
      <w:r w:rsidR="00FE0D6F">
        <w:rPr>
          <w:rStyle w:val="FootnoteReference"/>
          <w:rFonts w:ascii="Times New Roman" w:hAnsi="Times New Roman" w:cs="Times New Roman"/>
        </w:rPr>
        <w:footnoteReference w:id="2"/>
      </w:r>
      <w:r w:rsidR="00E10FE5" w:rsidRPr="00CE27C8">
        <w:rPr>
          <w:rFonts w:ascii="Times New Roman" w:hAnsi="Times New Roman" w:cs="Times New Roman"/>
        </w:rPr>
        <w:t xml:space="preserve">. IUs are meant to resolve the information asymmetry </w:t>
      </w:r>
      <w:r w:rsidR="004350A6" w:rsidRPr="00CE27C8">
        <w:rPr>
          <w:rFonts w:ascii="Times New Roman" w:hAnsi="Times New Roman" w:cs="Times New Roman"/>
        </w:rPr>
        <w:t>problem within the process.</w:t>
      </w:r>
    </w:p>
    <w:p w14:paraId="61CF66C5" w14:textId="4576AFAA" w:rsidR="00856FD5" w:rsidRPr="00CE27C8" w:rsidRDefault="00856FD5" w:rsidP="000841E7">
      <w:pPr>
        <w:ind w:firstLine="720"/>
        <w:jc w:val="both"/>
        <w:rPr>
          <w:rFonts w:ascii="Times New Roman" w:hAnsi="Times New Roman" w:cs="Times New Roman"/>
        </w:rPr>
      </w:pPr>
      <w:r w:rsidRPr="00CE27C8">
        <w:rPr>
          <w:rFonts w:ascii="Times New Roman" w:hAnsi="Times New Roman" w:cs="Times New Roman"/>
        </w:rPr>
        <w:t>The use of data within is the IU is meant to so that the adjudicators can determine when the default has happened, the quantity of the default</w:t>
      </w:r>
      <w:r w:rsidR="00233CBC" w:rsidRPr="00CE27C8">
        <w:rPr>
          <w:rFonts w:ascii="Times New Roman" w:hAnsi="Times New Roman" w:cs="Times New Roman"/>
        </w:rPr>
        <w:t xml:space="preserve"> and verify the claims of the creditors and insolvency professionals</w:t>
      </w:r>
      <w:r w:rsidR="001E3B54">
        <w:rPr>
          <w:rStyle w:val="FootnoteReference"/>
          <w:rFonts w:ascii="Times New Roman" w:hAnsi="Times New Roman" w:cs="Times New Roman"/>
        </w:rPr>
        <w:footnoteReference w:id="3"/>
      </w:r>
      <w:r w:rsidR="00233CBC" w:rsidRPr="00CE27C8">
        <w:rPr>
          <w:rFonts w:ascii="Times New Roman" w:hAnsi="Times New Roman" w:cs="Times New Roman"/>
        </w:rPr>
        <w:t xml:space="preserve">. </w:t>
      </w:r>
      <w:r w:rsidR="00F078CE">
        <w:rPr>
          <w:rFonts w:ascii="Times New Roman" w:hAnsi="Times New Roman" w:cs="Times New Roman"/>
        </w:rPr>
        <w:t xml:space="preserve">One of the biggest queries in the process is when did the default occur. Australia covers default based on the guidelines established in the </w:t>
      </w:r>
      <w:r w:rsidR="00F078CE" w:rsidRPr="00F279D0">
        <w:rPr>
          <w:rFonts w:ascii="Times New Roman" w:hAnsi="Times New Roman" w:cs="Times New Roman"/>
          <w:i/>
          <w:iCs/>
        </w:rPr>
        <w:t>ASIC v Plymin</w:t>
      </w:r>
      <w:r w:rsidR="00FE0D6F">
        <w:rPr>
          <w:rStyle w:val="FootnoteReference"/>
          <w:rFonts w:ascii="Times New Roman" w:hAnsi="Times New Roman" w:cs="Times New Roman"/>
          <w:i/>
          <w:iCs/>
        </w:rPr>
        <w:footnoteReference w:id="4"/>
      </w:r>
      <w:r w:rsidR="00F078CE" w:rsidRPr="00970CD4">
        <w:rPr>
          <w:rFonts w:ascii="Times New Roman" w:hAnsi="Times New Roman" w:cs="Times New Roman"/>
        </w:rPr>
        <w:t xml:space="preserve"> </w:t>
      </w:r>
      <w:r w:rsidR="00F078CE">
        <w:rPr>
          <w:rFonts w:ascii="Times New Roman" w:hAnsi="Times New Roman" w:cs="Times New Roman"/>
        </w:rPr>
        <w:t xml:space="preserve">case. IUs are meant to assist in determining whether the default has taken place already or not. </w:t>
      </w:r>
      <w:r w:rsidR="00AE6F37" w:rsidRPr="00CE27C8">
        <w:rPr>
          <w:rFonts w:ascii="Times New Roman" w:hAnsi="Times New Roman" w:cs="Times New Roman"/>
        </w:rPr>
        <w:t xml:space="preserve">Section 7 of the IBC mandates that any financial creditor has to first carry proof of default recorded within the IU and submit it to the adjudicator </w:t>
      </w:r>
      <w:r w:rsidR="00DC4B9F" w:rsidRPr="00CE27C8">
        <w:rPr>
          <w:rFonts w:ascii="Times New Roman" w:hAnsi="Times New Roman" w:cs="Times New Roman"/>
        </w:rPr>
        <w:t xml:space="preserve">before </w:t>
      </w:r>
      <w:r w:rsidR="00F25077" w:rsidRPr="00CE27C8">
        <w:rPr>
          <w:rFonts w:ascii="Times New Roman" w:hAnsi="Times New Roman" w:cs="Times New Roman"/>
        </w:rPr>
        <w:t>the process can proceed. Section 9 puts the same responsibility on operational creditors if they wish to bring a case to the adjudicators.</w:t>
      </w:r>
      <w:r w:rsidR="00425549" w:rsidRPr="00CE27C8">
        <w:rPr>
          <w:rFonts w:ascii="Times New Roman" w:hAnsi="Times New Roman" w:cs="Times New Roman"/>
        </w:rPr>
        <w:t xml:space="preserve"> </w:t>
      </w:r>
      <w:r w:rsidR="00D9709C">
        <w:rPr>
          <w:rFonts w:ascii="Times New Roman" w:hAnsi="Times New Roman" w:cs="Times New Roman"/>
        </w:rPr>
        <w:t>The go</w:t>
      </w:r>
      <w:r w:rsidR="00425549" w:rsidRPr="00CE27C8">
        <w:rPr>
          <w:rFonts w:ascii="Times New Roman" w:hAnsi="Times New Roman" w:cs="Times New Roman"/>
        </w:rPr>
        <w:t xml:space="preserve">vernment </w:t>
      </w:r>
      <w:r w:rsidR="00D9709C">
        <w:rPr>
          <w:rFonts w:ascii="Times New Roman" w:hAnsi="Times New Roman" w:cs="Times New Roman"/>
        </w:rPr>
        <w:t xml:space="preserve">also </w:t>
      </w:r>
      <w:r w:rsidR="00425549" w:rsidRPr="00CE27C8">
        <w:rPr>
          <w:rFonts w:ascii="Times New Roman" w:hAnsi="Times New Roman" w:cs="Times New Roman"/>
        </w:rPr>
        <w:t>amended the IBC</w:t>
      </w:r>
      <w:r w:rsidR="00D9709C">
        <w:rPr>
          <w:rFonts w:ascii="Times New Roman" w:hAnsi="Times New Roman" w:cs="Times New Roman"/>
        </w:rPr>
        <w:t xml:space="preserve"> in</w:t>
      </w:r>
      <w:r w:rsidR="00425549" w:rsidRPr="00CE27C8">
        <w:rPr>
          <w:rFonts w:ascii="Times New Roman" w:hAnsi="Times New Roman" w:cs="Times New Roman"/>
        </w:rPr>
        <w:t xml:space="preserve"> 2026</w:t>
      </w:r>
      <w:r w:rsidR="00D9709C">
        <w:rPr>
          <w:rFonts w:ascii="Times New Roman" w:hAnsi="Times New Roman" w:cs="Times New Roman"/>
        </w:rPr>
        <w:t xml:space="preserve"> to clarify that </w:t>
      </w:r>
      <w:r w:rsidR="00D9709C" w:rsidRPr="00CE27C8">
        <w:rPr>
          <w:rFonts w:ascii="Times New Roman" w:hAnsi="Times New Roman" w:cs="Times New Roman"/>
        </w:rPr>
        <w:t>the record of the IU would be considered sufficient evidence to prove default and that adjudicators will proceed to the next evidence based on the report</w:t>
      </w:r>
      <w:r w:rsidR="00425549" w:rsidRPr="00CE27C8">
        <w:rPr>
          <w:rFonts w:ascii="Times New Roman" w:hAnsi="Times New Roman" w:cs="Times New Roman"/>
        </w:rPr>
        <w:t xml:space="preserve"> </w:t>
      </w:r>
      <w:r w:rsidR="00D9709C">
        <w:rPr>
          <w:rFonts w:ascii="Times New Roman" w:hAnsi="Times New Roman" w:cs="Times New Roman"/>
        </w:rPr>
        <w:t>(</w:t>
      </w:r>
      <w:r w:rsidR="0005577F" w:rsidRPr="00CE27C8">
        <w:rPr>
          <w:rFonts w:ascii="Times New Roman" w:hAnsi="Times New Roman" w:cs="Times New Roman"/>
        </w:rPr>
        <w:t>Clause 4 of the IBC Amendment Act 2026</w:t>
      </w:r>
      <w:r w:rsidR="00D9709C">
        <w:rPr>
          <w:rFonts w:ascii="Times New Roman" w:hAnsi="Times New Roman" w:cs="Times New Roman"/>
        </w:rPr>
        <w:t>)</w:t>
      </w:r>
      <w:r w:rsidR="00425549" w:rsidRPr="00CE27C8">
        <w:rPr>
          <w:rFonts w:ascii="Times New Roman" w:hAnsi="Times New Roman" w:cs="Times New Roman"/>
        </w:rPr>
        <w:t xml:space="preserve">. Thus, the adjudicators will have to consider the reports of the IUs as the complete evidence necessary and proceed accordingly. </w:t>
      </w:r>
      <w:r w:rsidR="00C945F9" w:rsidRPr="00CE27C8">
        <w:rPr>
          <w:rFonts w:ascii="Times New Roman" w:hAnsi="Times New Roman" w:cs="Times New Roman"/>
        </w:rPr>
        <w:t>This should make the process more efficient than it currently is</w:t>
      </w:r>
      <w:r w:rsidR="00CE27C8">
        <w:rPr>
          <w:rFonts w:ascii="Times New Roman" w:hAnsi="Times New Roman" w:cs="Times New Roman"/>
        </w:rPr>
        <w:t xml:space="preserve"> and also reflects the Indian government’s belief in the IU system and its efficacy in delivering an efficient insolvency process</w:t>
      </w:r>
      <w:r w:rsidR="00A955AA">
        <w:rPr>
          <w:rStyle w:val="FootnoteReference"/>
          <w:rFonts w:ascii="Times New Roman" w:hAnsi="Times New Roman" w:cs="Times New Roman"/>
        </w:rPr>
        <w:footnoteReference w:id="5"/>
      </w:r>
      <w:r w:rsidR="00C945F9" w:rsidRPr="00CE27C8">
        <w:rPr>
          <w:rFonts w:ascii="Times New Roman" w:hAnsi="Times New Roman" w:cs="Times New Roman"/>
        </w:rPr>
        <w:t xml:space="preserve">. </w:t>
      </w:r>
      <w:r w:rsidR="002050F7">
        <w:rPr>
          <w:rFonts w:ascii="Times New Roman" w:hAnsi="Times New Roman" w:cs="Times New Roman"/>
        </w:rPr>
        <w:t xml:space="preserve">Some recommendations for IUs </w:t>
      </w:r>
      <w:r w:rsidR="000F5D5D">
        <w:rPr>
          <w:rFonts w:ascii="Times New Roman" w:hAnsi="Times New Roman" w:cs="Times New Roman"/>
        </w:rPr>
        <w:t>are</w:t>
      </w:r>
      <w:r w:rsidR="002050F7">
        <w:rPr>
          <w:rFonts w:ascii="Times New Roman" w:hAnsi="Times New Roman" w:cs="Times New Roman"/>
        </w:rPr>
        <w:t xml:space="preserve"> that operational creditors ought to be encouraged to use the </w:t>
      </w:r>
      <w:r w:rsidR="000F5D5D">
        <w:rPr>
          <w:rFonts w:ascii="Times New Roman" w:hAnsi="Times New Roman" w:cs="Times New Roman"/>
        </w:rPr>
        <w:t>repository</w:t>
      </w:r>
      <w:r w:rsidR="002050F7">
        <w:rPr>
          <w:rFonts w:ascii="Times New Roman" w:hAnsi="Times New Roman" w:cs="Times New Roman"/>
        </w:rPr>
        <w:t xml:space="preserve"> as it will lead to even better data integration</w:t>
      </w:r>
      <w:r w:rsidR="002050F7">
        <w:rPr>
          <w:rStyle w:val="FootnoteReference"/>
          <w:rFonts w:ascii="Times New Roman" w:hAnsi="Times New Roman" w:cs="Times New Roman"/>
        </w:rPr>
        <w:footnoteReference w:id="6"/>
      </w:r>
      <w:r w:rsidR="002050F7">
        <w:rPr>
          <w:rFonts w:ascii="Times New Roman" w:hAnsi="Times New Roman" w:cs="Times New Roman"/>
        </w:rPr>
        <w:t>.</w:t>
      </w:r>
    </w:p>
    <w:p w14:paraId="653AD056" w14:textId="6F38AC6D" w:rsidR="00856FD5" w:rsidRDefault="004B52AD" w:rsidP="000841E7">
      <w:pPr>
        <w:ind w:firstLine="720"/>
        <w:jc w:val="both"/>
        <w:rPr>
          <w:rFonts w:ascii="Times New Roman" w:hAnsi="Times New Roman" w:cs="Times New Roman"/>
        </w:rPr>
      </w:pPr>
      <w:r w:rsidRPr="00CE27C8">
        <w:rPr>
          <w:rFonts w:ascii="Times New Roman" w:hAnsi="Times New Roman" w:cs="Times New Roman"/>
        </w:rPr>
        <w:t xml:space="preserve">The use of IUs also has to be seen in the context of digital financial infrastructure in India. The Unified Payments Interface (UPI) for digital payments, Open Network of Digital Commerce (ONDC) and other online platforms have changed </w:t>
      </w:r>
      <w:r w:rsidR="00E7650D" w:rsidRPr="00CE27C8">
        <w:rPr>
          <w:rFonts w:ascii="Times New Roman" w:hAnsi="Times New Roman" w:cs="Times New Roman"/>
        </w:rPr>
        <w:t xml:space="preserve">Indian </w:t>
      </w:r>
      <w:r w:rsidR="0010374C" w:rsidRPr="00CE27C8">
        <w:rPr>
          <w:rFonts w:ascii="Times New Roman" w:hAnsi="Times New Roman" w:cs="Times New Roman"/>
        </w:rPr>
        <w:t xml:space="preserve">finance in ways that affect </w:t>
      </w:r>
      <w:r w:rsidR="00D61582">
        <w:rPr>
          <w:rFonts w:ascii="Times New Roman" w:hAnsi="Times New Roman" w:cs="Times New Roman"/>
        </w:rPr>
        <w:t xml:space="preserve">micro, </w:t>
      </w:r>
      <w:r w:rsidR="0010374C" w:rsidRPr="00CE27C8">
        <w:rPr>
          <w:rFonts w:ascii="Times New Roman" w:hAnsi="Times New Roman" w:cs="Times New Roman"/>
        </w:rPr>
        <w:t>small</w:t>
      </w:r>
      <w:r w:rsidR="00D61582">
        <w:rPr>
          <w:rFonts w:ascii="Times New Roman" w:hAnsi="Times New Roman" w:cs="Times New Roman"/>
        </w:rPr>
        <w:t xml:space="preserve"> and medium enterprises (MSME)</w:t>
      </w:r>
      <w:r w:rsidR="0010374C" w:rsidRPr="00CE27C8">
        <w:rPr>
          <w:rFonts w:ascii="Times New Roman" w:hAnsi="Times New Roman" w:cs="Times New Roman"/>
        </w:rPr>
        <w:t xml:space="preserve"> in a significant manner</w:t>
      </w:r>
      <w:r w:rsidR="001E3B54">
        <w:rPr>
          <w:rStyle w:val="FootnoteReference"/>
          <w:rFonts w:ascii="Times New Roman" w:hAnsi="Times New Roman" w:cs="Times New Roman"/>
        </w:rPr>
        <w:footnoteReference w:id="7"/>
      </w:r>
      <w:r w:rsidR="0010374C" w:rsidRPr="00CE27C8">
        <w:rPr>
          <w:rFonts w:ascii="Times New Roman" w:hAnsi="Times New Roman" w:cs="Times New Roman"/>
        </w:rPr>
        <w:t xml:space="preserve">. UPI is helping keeping </w:t>
      </w:r>
      <w:r w:rsidR="0010374C" w:rsidRPr="00CE27C8">
        <w:rPr>
          <w:rFonts w:ascii="Times New Roman" w:hAnsi="Times New Roman" w:cs="Times New Roman"/>
        </w:rPr>
        <w:lastRenderedPageBreak/>
        <w:t xml:space="preserve">track of the transactions </w:t>
      </w:r>
      <w:r w:rsidR="00DD1D6B" w:rsidRPr="00CE27C8">
        <w:rPr>
          <w:rFonts w:ascii="Times New Roman" w:hAnsi="Times New Roman" w:cs="Times New Roman"/>
        </w:rPr>
        <w:t>for merchants who have never been part of the formal credit system</w:t>
      </w:r>
      <w:r w:rsidR="001E3B54">
        <w:rPr>
          <w:rStyle w:val="FootnoteReference"/>
          <w:rFonts w:ascii="Times New Roman" w:hAnsi="Times New Roman" w:cs="Times New Roman"/>
        </w:rPr>
        <w:footnoteReference w:id="8"/>
      </w:r>
      <w:r w:rsidR="00DD1D6B" w:rsidRPr="00CE27C8">
        <w:rPr>
          <w:rFonts w:ascii="Times New Roman" w:hAnsi="Times New Roman" w:cs="Times New Roman"/>
        </w:rPr>
        <w:t xml:space="preserve">. </w:t>
      </w:r>
      <w:r w:rsidR="00767892" w:rsidRPr="00CE27C8">
        <w:rPr>
          <w:rFonts w:ascii="Times New Roman" w:hAnsi="Times New Roman" w:cs="Times New Roman"/>
        </w:rPr>
        <w:t xml:space="preserve">The Reserve Bank of India (RBI) is using this data and combining it with their new </w:t>
      </w:r>
      <w:r w:rsidR="00CE27C8" w:rsidRPr="00CE27C8">
        <w:rPr>
          <w:rFonts w:ascii="Times New Roman" w:hAnsi="Times New Roman" w:cs="Times New Roman"/>
        </w:rPr>
        <w:t>pilot project, the Unified Lending Interface (ULI) to integrate all property records and make borrowing more efficient and faster</w:t>
      </w:r>
      <w:r w:rsidR="00E453D3">
        <w:rPr>
          <w:rStyle w:val="FootnoteReference"/>
          <w:rFonts w:ascii="Times New Roman" w:hAnsi="Times New Roman" w:cs="Times New Roman"/>
        </w:rPr>
        <w:footnoteReference w:id="9"/>
      </w:r>
      <w:r w:rsidR="00CE27C8" w:rsidRPr="00CE27C8">
        <w:rPr>
          <w:rFonts w:ascii="Times New Roman" w:hAnsi="Times New Roman" w:cs="Times New Roman"/>
        </w:rPr>
        <w:t>.</w:t>
      </w:r>
      <w:r w:rsidR="00CE27C8">
        <w:t xml:space="preserve"> </w:t>
      </w:r>
      <w:r w:rsidR="00A76F19">
        <w:rPr>
          <w:rFonts w:ascii="Times New Roman" w:hAnsi="Times New Roman" w:cs="Times New Roman"/>
        </w:rPr>
        <w:t>Linking the digital infrastructure with insolvency shows that the process can be more efficient if the staff are trained to handle the systems and integrate the different systems in order to simplify the process</w:t>
      </w:r>
      <w:r w:rsidR="00494DC0">
        <w:rPr>
          <w:rStyle w:val="FootnoteReference"/>
          <w:rFonts w:ascii="Times New Roman" w:hAnsi="Times New Roman" w:cs="Times New Roman"/>
        </w:rPr>
        <w:footnoteReference w:id="10"/>
      </w:r>
      <w:r w:rsidR="00A76F19">
        <w:rPr>
          <w:rFonts w:ascii="Times New Roman" w:hAnsi="Times New Roman" w:cs="Times New Roman"/>
        </w:rPr>
        <w:t>. This will reduce costs which will benefit the small businesses the most in the long run as they will be more likely able to access the insolvency system.</w:t>
      </w:r>
    </w:p>
    <w:p w14:paraId="75853000" w14:textId="061AF32E" w:rsidR="00BB2382" w:rsidRDefault="00BB2382" w:rsidP="000841E7">
      <w:pPr>
        <w:ind w:firstLine="720"/>
        <w:jc w:val="both"/>
        <w:rPr>
          <w:rFonts w:ascii="Times New Roman" w:hAnsi="Times New Roman" w:cs="Times New Roman"/>
        </w:rPr>
      </w:pPr>
      <w:r>
        <w:rPr>
          <w:rFonts w:ascii="Times New Roman" w:hAnsi="Times New Roman" w:cs="Times New Roman"/>
        </w:rPr>
        <w:t xml:space="preserve">Another relevant feature of the Indian insolvency resolution system is the dominance of the Council of Creditors (CoC). Financial creditors to the debtor firm </w:t>
      </w:r>
      <w:r w:rsidR="00281927">
        <w:rPr>
          <w:rFonts w:ascii="Times New Roman" w:hAnsi="Times New Roman" w:cs="Times New Roman"/>
        </w:rPr>
        <w:t xml:space="preserve">create a council whose votes are necessary for the insolvency approval. </w:t>
      </w:r>
      <w:r w:rsidR="000542E9">
        <w:rPr>
          <w:rFonts w:ascii="Times New Roman" w:hAnsi="Times New Roman" w:cs="Times New Roman"/>
        </w:rPr>
        <w:t xml:space="preserve">While debtor-in-possession models are present, the confidence of the CoC is necessary </w:t>
      </w:r>
      <w:r w:rsidR="00281927">
        <w:rPr>
          <w:rFonts w:ascii="Times New Roman" w:hAnsi="Times New Roman" w:cs="Times New Roman"/>
        </w:rPr>
        <w:t xml:space="preserve">It is the CoC that decides on the final planning, unlike in Australia where the trustee decisions can be taken to court, prolonging the process. </w:t>
      </w:r>
    </w:p>
    <w:p w14:paraId="6B41F5E9" w14:textId="48B26A1D" w:rsidR="003C592E" w:rsidRDefault="003C592E" w:rsidP="000841E7">
      <w:pPr>
        <w:ind w:firstLine="720"/>
        <w:jc w:val="both"/>
        <w:rPr>
          <w:rFonts w:ascii="Times New Roman" w:hAnsi="Times New Roman" w:cs="Times New Roman"/>
        </w:rPr>
      </w:pPr>
      <w:r>
        <w:rPr>
          <w:rFonts w:ascii="Times New Roman" w:hAnsi="Times New Roman" w:cs="Times New Roman"/>
        </w:rPr>
        <w:t xml:space="preserve">Based on the Indian experience, Australia can learn </w:t>
      </w:r>
      <w:r w:rsidR="00D61582">
        <w:rPr>
          <w:rFonts w:ascii="Times New Roman" w:hAnsi="Times New Roman" w:cs="Times New Roman"/>
        </w:rPr>
        <w:t xml:space="preserve">that making the insolvency process as well as the financial sector more digitized can lead to financial benefits for the small businesses and the economy as a whole. </w:t>
      </w:r>
      <w:r w:rsidR="000F5D5D">
        <w:rPr>
          <w:rFonts w:ascii="Times New Roman" w:hAnsi="Times New Roman" w:cs="Times New Roman"/>
        </w:rPr>
        <w:t>I</w:t>
      </w:r>
      <w:r w:rsidR="00D61582">
        <w:rPr>
          <w:rFonts w:ascii="Times New Roman" w:hAnsi="Times New Roman" w:cs="Times New Roman"/>
        </w:rPr>
        <w:t xml:space="preserve">f the Commonwealth administration </w:t>
      </w:r>
      <w:r w:rsidR="000F5D5D">
        <w:rPr>
          <w:rFonts w:ascii="Times New Roman" w:hAnsi="Times New Roman" w:cs="Times New Roman"/>
        </w:rPr>
        <w:t>can create</w:t>
      </w:r>
      <w:r w:rsidR="00D61582">
        <w:rPr>
          <w:rFonts w:ascii="Times New Roman" w:hAnsi="Times New Roman" w:cs="Times New Roman"/>
        </w:rPr>
        <w:t xml:space="preserve"> a digital information repository</w:t>
      </w:r>
      <w:r w:rsidR="000F5D5D">
        <w:rPr>
          <w:rFonts w:ascii="Times New Roman" w:hAnsi="Times New Roman" w:cs="Times New Roman"/>
        </w:rPr>
        <w:t>, based on the Indian IU model,</w:t>
      </w:r>
      <w:r w:rsidR="00D61582">
        <w:rPr>
          <w:rFonts w:ascii="Times New Roman" w:hAnsi="Times New Roman" w:cs="Times New Roman"/>
        </w:rPr>
        <w:t xml:space="preserve"> that all parties </w:t>
      </w:r>
      <w:r w:rsidR="000F5D5D">
        <w:rPr>
          <w:rFonts w:ascii="Times New Roman" w:hAnsi="Times New Roman" w:cs="Times New Roman"/>
        </w:rPr>
        <w:t>have</w:t>
      </w:r>
      <w:r w:rsidR="00D61582">
        <w:rPr>
          <w:rFonts w:ascii="Times New Roman" w:hAnsi="Times New Roman" w:cs="Times New Roman"/>
        </w:rPr>
        <w:t xml:space="preserve"> access to before they can even claim default, it wi</w:t>
      </w:r>
      <w:r w:rsidR="00365F31">
        <w:rPr>
          <w:rFonts w:ascii="Times New Roman" w:hAnsi="Times New Roman" w:cs="Times New Roman"/>
        </w:rPr>
        <w:t xml:space="preserve">ll clarify whether or not default has taken place quicker than what it currently takes. </w:t>
      </w:r>
      <w:r w:rsidR="00401863">
        <w:rPr>
          <w:rFonts w:ascii="Times New Roman" w:hAnsi="Times New Roman" w:cs="Times New Roman"/>
        </w:rPr>
        <w:t>Also, giving the creditors council a binding vote on the arrangement will make the process easier and cheaper</w:t>
      </w:r>
    </w:p>
    <w:p w14:paraId="0DF62629" w14:textId="31760576" w:rsidR="00970644" w:rsidRDefault="00970644" w:rsidP="000841E7">
      <w:pPr>
        <w:ind w:firstLine="720"/>
        <w:jc w:val="both"/>
        <w:rPr>
          <w:rFonts w:ascii="Times New Roman" w:hAnsi="Times New Roman" w:cs="Times New Roman"/>
        </w:rPr>
      </w:pPr>
    </w:p>
    <w:sectPr w:rsidR="00970644">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2EDA" w14:textId="77777777" w:rsidR="006A56A7" w:rsidRDefault="006A56A7" w:rsidP="00FE0D6F">
      <w:pPr>
        <w:spacing w:after="0" w:line="240" w:lineRule="auto"/>
      </w:pPr>
      <w:r>
        <w:separator/>
      </w:r>
    </w:p>
  </w:endnote>
  <w:endnote w:type="continuationSeparator" w:id="0">
    <w:p w14:paraId="2E6A5FE4" w14:textId="77777777" w:rsidR="006A56A7" w:rsidRDefault="006A56A7" w:rsidP="00FE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A502" w14:textId="77777777" w:rsidR="006A56A7" w:rsidRDefault="006A56A7" w:rsidP="00FE0D6F">
      <w:pPr>
        <w:spacing w:after="0" w:line="240" w:lineRule="auto"/>
      </w:pPr>
      <w:r>
        <w:separator/>
      </w:r>
    </w:p>
  </w:footnote>
  <w:footnote w:type="continuationSeparator" w:id="0">
    <w:p w14:paraId="39084282" w14:textId="77777777" w:rsidR="006A56A7" w:rsidRDefault="006A56A7" w:rsidP="00FE0D6F">
      <w:pPr>
        <w:spacing w:after="0" w:line="240" w:lineRule="auto"/>
      </w:pPr>
      <w:r>
        <w:continuationSeparator/>
      </w:r>
    </w:p>
  </w:footnote>
  <w:footnote w:id="1">
    <w:p w14:paraId="271BB321" w14:textId="30172A08" w:rsidR="00FE0D6F" w:rsidRPr="001E3B54" w:rsidRDefault="00FE0D6F">
      <w:pPr>
        <w:pStyle w:val="FootnoteText"/>
        <w:rPr>
          <w:rFonts w:ascii="Times New Roman" w:hAnsi="Times New Roman" w:cs="Times New Roman"/>
        </w:rPr>
      </w:pPr>
      <w:r w:rsidRPr="00FE0D6F">
        <w:rPr>
          <w:rStyle w:val="FootnoteReference"/>
          <w:rFonts w:ascii="Times New Roman" w:hAnsi="Times New Roman" w:cs="Times New Roman"/>
        </w:rPr>
        <w:footnoteRef/>
      </w:r>
      <w:r w:rsidRPr="00FE0D6F">
        <w:rPr>
          <w:rFonts w:ascii="Times New Roman" w:hAnsi="Times New Roman" w:cs="Times New Roman"/>
        </w:rPr>
        <w:t xml:space="preserve"> </w:t>
      </w:r>
      <w:r w:rsidRPr="001E3B54">
        <w:rPr>
          <w:rFonts w:ascii="Times New Roman" w:hAnsi="Times New Roman" w:cs="Times New Roman"/>
        </w:rPr>
        <w:t xml:space="preserve">National E-Governance Services Ltd, </w:t>
      </w:r>
      <w:r w:rsidRPr="001E3B54">
        <w:rPr>
          <w:rFonts w:ascii="Times New Roman" w:hAnsi="Times New Roman" w:cs="Times New Roman"/>
          <w:i/>
          <w:iCs/>
        </w:rPr>
        <w:t>NeSL Utility Manual</w:t>
      </w:r>
      <w:r w:rsidRPr="001E3B54">
        <w:rPr>
          <w:rFonts w:ascii="Times New Roman" w:hAnsi="Times New Roman" w:cs="Times New Roman"/>
        </w:rPr>
        <w:t xml:space="preserve"> </w:t>
      </w:r>
      <w:hyperlink r:id="rId1" w:tgtFrame="_new" w:history="1">
        <w:r w:rsidRPr="001E3B54">
          <w:rPr>
            <w:rStyle w:val="Hyperlink"/>
            <w:rFonts w:ascii="Times New Roman" w:hAnsi="Times New Roman" w:cs="Times New Roman"/>
          </w:rPr>
          <w:t>https://www.ipaicmai.in/IPANEW/UploadFiles/Other/NeSL_Utility_Manual.pdf</w:t>
        </w:r>
      </w:hyperlink>
      <w:r w:rsidRPr="001E3B54">
        <w:rPr>
          <w:rFonts w:ascii="Times New Roman" w:hAnsi="Times New Roman" w:cs="Times New Roman"/>
        </w:rPr>
        <w:t xml:space="preserve">. </w:t>
      </w:r>
    </w:p>
  </w:footnote>
  <w:footnote w:id="2">
    <w:p w14:paraId="7ADF0070" w14:textId="363DF292" w:rsidR="00FE0D6F" w:rsidRPr="001E3B54" w:rsidRDefault="00FE0D6F">
      <w:pPr>
        <w:pStyle w:val="FootnoteText"/>
        <w:rPr>
          <w:rFonts w:ascii="Times New Roman" w:hAnsi="Times New Roman" w:cs="Times New Roman"/>
        </w:rPr>
      </w:pPr>
      <w:r w:rsidRPr="001E3B54">
        <w:rPr>
          <w:rStyle w:val="FootnoteReference"/>
          <w:rFonts w:ascii="Times New Roman" w:hAnsi="Times New Roman" w:cs="Times New Roman"/>
        </w:rPr>
        <w:footnoteRef/>
      </w:r>
      <w:r w:rsidRPr="001E3B54">
        <w:rPr>
          <w:rFonts w:ascii="Times New Roman" w:hAnsi="Times New Roman" w:cs="Times New Roman"/>
        </w:rPr>
        <w:t xml:space="preserve"> Insolvency and Bankruptcy Board of India, </w:t>
      </w:r>
      <w:r w:rsidRPr="001E3B54">
        <w:rPr>
          <w:rFonts w:ascii="Times New Roman" w:hAnsi="Times New Roman" w:cs="Times New Roman"/>
          <w:i/>
          <w:iCs/>
        </w:rPr>
        <w:t>Information Utilities: A Key Pillar of Insolvency Proceedings</w:t>
      </w:r>
      <w:r w:rsidRPr="001E3B54">
        <w:rPr>
          <w:rFonts w:ascii="Times New Roman" w:hAnsi="Times New Roman" w:cs="Times New Roman"/>
        </w:rPr>
        <w:t xml:space="preserve"> (Information Brochure, 30 November 2020) </w:t>
      </w:r>
      <w:hyperlink r:id="rId2" w:tgtFrame="_new" w:history="1">
        <w:r w:rsidRPr="001E3B54">
          <w:rPr>
            <w:rStyle w:val="Hyperlink"/>
            <w:rFonts w:ascii="Times New Roman" w:hAnsi="Times New Roman" w:cs="Times New Roman"/>
          </w:rPr>
          <w:t>https://ibbi.gov.in/uploads/publication/ee64e0a0330c81c11c0ab538b5e4b946.pdf</w:t>
        </w:r>
      </w:hyperlink>
      <w:r w:rsidRPr="001E3B54">
        <w:rPr>
          <w:rFonts w:ascii="Times New Roman" w:hAnsi="Times New Roman" w:cs="Times New Roman"/>
        </w:rPr>
        <w:t xml:space="preserve">. </w:t>
      </w:r>
    </w:p>
  </w:footnote>
  <w:footnote w:id="3">
    <w:p w14:paraId="40967BD8" w14:textId="40C0131E" w:rsidR="001E3B54" w:rsidRPr="001E3B54" w:rsidRDefault="001E3B54" w:rsidP="001E3B54">
      <w:pPr>
        <w:pStyle w:val="FootnoteText"/>
        <w:rPr>
          <w:rFonts w:ascii="Times New Roman" w:hAnsi="Times New Roman" w:cs="Times New Roman"/>
        </w:rPr>
      </w:pPr>
      <w:r w:rsidRPr="001E3B54">
        <w:rPr>
          <w:rStyle w:val="FootnoteReference"/>
          <w:rFonts w:ascii="Times New Roman" w:hAnsi="Times New Roman" w:cs="Times New Roman"/>
        </w:rPr>
        <w:footnoteRef/>
      </w:r>
      <w:r w:rsidRPr="001E3B54">
        <w:rPr>
          <w:rFonts w:ascii="Times New Roman" w:hAnsi="Times New Roman" w:cs="Times New Roman"/>
        </w:rPr>
        <w:t xml:space="preserve"> Insolvency and Bankruptcy Board of India (Information Utilities) Regulations, 2017.</w:t>
      </w:r>
    </w:p>
  </w:footnote>
  <w:footnote w:id="4">
    <w:p w14:paraId="78ABE570" w14:textId="1AF1460E" w:rsidR="00FE0D6F" w:rsidRDefault="00FE0D6F">
      <w:pPr>
        <w:pStyle w:val="FootnoteText"/>
      </w:pPr>
      <w:r w:rsidRPr="001E3B54">
        <w:rPr>
          <w:rStyle w:val="FootnoteReference"/>
          <w:rFonts w:ascii="Times New Roman" w:hAnsi="Times New Roman" w:cs="Times New Roman"/>
        </w:rPr>
        <w:footnoteRef/>
      </w:r>
      <w:r w:rsidRPr="001E3B54">
        <w:rPr>
          <w:rFonts w:ascii="Times New Roman" w:hAnsi="Times New Roman" w:cs="Times New Roman"/>
        </w:rPr>
        <w:t xml:space="preserve"> (2003) 46 ACSR 126.</w:t>
      </w:r>
      <w:r>
        <w:rPr>
          <w:rFonts w:ascii="Times New Roman" w:hAnsi="Times New Roman" w:cs="Times New Roman"/>
        </w:rPr>
        <w:t xml:space="preserve"> </w:t>
      </w:r>
    </w:p>
  </w:footnote>
  <w:footnote w:id="5">
    <w:p w14:paraId="2AD1D73C" w14:textId="6B9F778C" w:rsidR="00A955AA" w:rsidRPr="00E453D3" w:rsidRDefault="00A955AA">
      <w:pPr>
        <w:pStyle w:val="FootnoteText"/>
        <w:rPr>
          <w:rFonts w:ascii="Times New Roman" w:hAnsi="Times New Roman" w:cs="Times New Roman"/>
        </w:rPr>
      </w:pPr>
      <w:r>
        <w:rPr>
          <w:rStyle w:val="FootnoteReference"/>
        </w:rPr>
        <w:footnoteRef/>
      </w:r>
      <w:r>
        <w:t xml:space="preserve"> </w:t>
      </w:r>
      <w:r w:rsidRPr="00E453D3">
        <w:rPr>
          <w:rFonts w:ascii="Times New Roman" w:hAnsi="Times New Roman" w:cs="Times New Roman"/>
        </w:rPr>
        <w:t xml:space="preserve">Select Committee on the Insolvency &amp; Bankruptcy Code (Amendment) Bill, 2025, </w:t>
      </w:r>
      <w:r w:rsidRPr="00E453D3">
        <w:rPr>
          <w:rFonts w:ascii="Times New Roman" w:hAnsi="Times New Roman" w:cs="Times New Roman"/>
          <w:i/>
          <w:iCs/>
        </w:rPr>
        <w:t>Report</w:t>
      </w:r>
      <w:r w:rsidRPr="00E453D3">
        <w:rPr>
          <w:rFonts w:ascii="Times New Roman" w:hAnsi="Times New Roman" w:cs="Times New Roman"/>
        </w:rPr>
        <w:t xml:space="preserve"> (Lok Sabha, 17 December 2025) </w:t>
      </w:r>
      <w:hyperlink r:id="rId3" w:tgtFrame="_new" w:history="1">
        <w:r w:rsidRPr="00E453D3">
          <w:rPr>
            <w:rStyle w:val="Hyperlink"/>
            <w:rFonts w:ascii="Times New Roman" w:hAnsi="Times New Roman" w:cs="Times New Roman"/>
          </w:rPr>
          <w:t>https://ibbi.gov.in/uploads/resources/2ce0f4a4a146d49fb96f4939aa4fbe25.pdf</w:t>
        </w:r>
      </w:hyperlink>
      <w:r w:rsidRPr="00E453D3">
        <w:rPr>
          <w:rFonts w:ascii="Times New Roman" w:hAnsi="Times New Roman" w:cs="Times New Roman"/>
        </w:rPr>
        <w:t>.</w:t>
      </w:r>
    </w:p>
  </w:footnote>
  <w:footnote w:id="6">
    <w:p w14:paraId="4AF01390" w14:textId="5B1BDBBD" w:rsidR="002050F7" w:rsidRDefault="002050F7">
      <w:pPr>
        <w:pStyle w:val="FootnoteText"/>
      </w:pPr>
      <w:r>
        <w:rPr>
          <w:rStyle w:val="FootnoteReference"/>
        </w:rPr>
        <w:footnoteRef/>
      </w:r>
      <w:r>
        <w:t xml:space="preserve"> </w:t>
      </w:r>
      <w:r w:rsidRPr="002050F7">
        <w:rPr>
          <w:rFonts w:ascii="Times New Roman" w:hAnsi="Times New Roman" w:cs="Times New Roman"/>
        </w:rPr>
        <w:t xml:space="preserve">Ameya Gokhale and Kriti Kalyani, ‘Technology and Insolvency: Leveraging Digital Tools for Faster Resolutions’ (Article, BW Legal World, 1 August 2024) </w:t>
      </w:r>
      <w:hyperlink r:id="rId4" w:tgtFrame="_new" w:history="1">
        <w:r w:rsidRPr="002050F7">
          <w:rPr>
            <w:rStyle w:val="Hyperlink"/>
            <w:rFonts w:ascii="Times New Roman" w:hAnsi="Times New Roman" w:cs="Times New Roman"/>
          </w:rPr>
          <w:t>https://www.bwlegalworld.com/article/technology-and-insolvency-leveraging-digital-tools-for-faster-resolutions-527995</w:t>
        </w:r>
      </w:hyperlink>
      <w:r w:rsidRPr="002050F7">
        <w:rPr>
          <w:rFonts w:ascii="Times New Roman" w:hAnsi="Times New Roman" w:cs="Times New Roman"/>
        </w:rPr>
        <w:t>.</w:t>
      </w:r>
    </w:p>
  </w:footnote>
  <w:footnote w:id="7">
    <w:p w14:paraId="0E7B0801" w14:textId="3D65A82D" w:rsidR="001E3B54" w:rsidRPr="00E453D3" w:rsidRDefault="001E3B54">
      <w:pPr>
        <w:pStyle w:val="FootnoteText"/>
        <w:rPr>
          <w:rFonts w:ascii="Times New Roman" w:hAnsi="Times New Roman" w:cs="Times New Roman"/>
        </w:rPr>
      </w:pPr>
      <w:r w:rsidRPr="00E453D3">
        <w:rPr>
          <w:rStyle w:val="FootnoteReference"/>
          <w:rFonts w:ascii="Times New Roman" w:hAnsi="Times New Roman" w:cs="Times New Roman"/>
        </w:rPr>
        <w:footnoteRef/>
      </w:r>
      <w:r w:rsidRPr="00E453D3">
        <w:rPr>
          <w:rFonts w:ascii="Times New Roman" w:hAnsi="Times New Roman" w:cs="Times New Roman"/>
        </w:rPr>
        <w:t xml:space="preserve"> Joydip Gupta and Chandan Pal, ‘The balance sheet is dead. India just hasn’t buried it yet’ (19 March 2026) </w:t>
      </w:r>
      <w:r w:rsidRPr="00E453D3">
        <w:rPr>
          <w:rFonts w:ascii="Times New Roman" w:hAnsi="Times New Roman" w:cs="Times New Roman"/>
          <w:i/>
          <w:iCs/>
        </w:rPr>
        <w:t>The Economic Times</w:t>
      </w:r>
      <w:r w:rsidRPr="00E453D3">
        <w:rPr>
          <w:rFonts w:ascii="Times New Roman" w:hAnsi="Times New Roman" w:cs="Times New Roman"/>
        </w:rPr>
        <w:t xml:space="preserve"> </w:t>
      </w:r>
      <w:hyperlink r:id="rId5" w:tgtFrame="_new" w:history="1">
        <w:r w:rsidRPr="00E453D3">
          <w:rPr>
            <w:rStyle w:val="Hyperlink"/>
            <w:rFonts w:ascii="Times New Roman" w:hAnsi="Times New Roman" w:cs="Times New Roman"/>
          </w:rPr>
          <w:t>https://economictimes.indiatimes.com/small-biz/sme-sector/the-balance-sheet-is-dead-india-just-hasnt-buried-it-yet/articleshow/129671766.cms</w:t>
        </w:r>
      </w:hyperlink>
      <w:r w:rsidRPr="00E453D3">
        <w:rPr>
          <w:rFonts w:ascii="Times New Roman" w:hAnsi="Times New Roman" w:cs="Times New Roman"/>
        </w:rPr>
        <w:t xml:space="preserve">. </w:t>
      </w:r>
    </w:p>
  </w:footnote>
  <w:footnote w:id="8">
    <w:p w14:paraId="65627C72" w14:textId="4E73A6F5" w:rsidR="001E3B54" w:rsidRPr="00E453D3" w:rsidRDefault="001E3B54">
      <w:pPr>
        <w:pStyle w:val="FootnoteText"/>
        <w:rPr>
          <w:rFonts w:ascii="Times New Roman" w:hAnsi="Times New Roman" w:cs="Times New Roman"/>
        </w:rPr>
      </w:pPr>
      <w:r w:rsidRPr="00E453D3">
        <w:rPr>
          <w:rStyle w:val="FootnoteReference"/>
          <w:rFonts w:ascii="Times New Roman" w:hAnsi="Times New Roman" w:cs="Times New Roman"/>
        </w:rPr>
        <w:footnoteRef/>
      </w:r>
      <w:r w:rsidRPr="00E453D3">
        <w:rPr>
          <w:rFonts w:ascii="Times New Roman" w:hAnsi="Times New Roman" w:cs="Times New Roman"/>
        </w:rPr>
        <w:t xml:space="preserve"> </w:t>
      </w:r>
      <w:r w:rsidR="00E453D3" w:rsidRPr="00E453D3">
        <w:rPr>
          <w:rFonts w:ascii="Times New Roman" w:hAnsi="Times New Roman" w:cs="Times New Roman"/>
        </w:rPr>
        <w:t xml:space="preserve">PricewaterhouseCoopers India, </w:t>
      </w:r>
      <w:r w:rsidR="00E453D3" w:rsidRPr="00E453D3">
        <w:rPr>
          <w:rFonts w:ascii="Times New Roman" w:hAnsi="Times New Roman" w:cs="Times New Roman"/>
          <w:i/>
          <w:iCs/>
        </w:rPr>
        <w:t>The Indian Payments Handbook – 2023–2028</w:t>
      </w:r>
      <w:r w:rsidR="00E453D3" w:rsidRPr="00E453D3">
        <w:rPr>
          <w:rFonts w:ascii="Times New Roman" w:hAnsi="Times New Roman" w:cs="Times New Roman"/>
        </w:rPr>
        <w:t xml:space="preserve"> (Report, 2023) </w:t>
      </w:r>
      <w:hyperlink r:id="rId6" w:tgtFrame="_new" w:history="1">
        <w:r w:rsidR="00E453D3" w:rsidRPr="00E453D3">
          <w:rPr>
            <w:rStyle w:val="Hyperlink"/>
            <w:rFonts w:ascii="Times New Roman" w:hAnsi="Times New Roman" w:cs="Times New Roman"/>
          </w:rPr>
          <w:t>https://www.pwc.in/assets/pdfs/consulting/financial-services/fintech/publications/the-indian-payments-handbook-%E2%80%93-2023%E2%80%932028.pdf</w:t>
        </w:r>
      </w:hyperlink>
      <w:r w:rsidRPr="00E453D3">
        <w:rPr>
          <w:rFonts w:ascii="Times New Roman" w:hAnsi="Times New Roman" w:cs="Times New Roman"/>
        </w:rPr>
        <w:t xml:space="preserve">. </w:t>
      </w:r>
    </w:p>
  </w:footnote>
  <w:footnote w:id="9">
    <w:p w14:paraId="4A9EEF6D" w14:textId="74A11C44" w:rsidR="00E453D3" w:rsidRDefault="00E453D3">
      <w:pPr>
        <w:pStyle w:val="FootnoteText"/>
      </w:pPr>
      <w:r w:rsidRPr="00E453D3">
        <w:rPr>
          <w:rStyle w:val="FootnoteReference"/>
          <w:rFonts w:ascii="Times New Roman" w:hAnsi="Times New Roman" w:cs="Times New Roman"/>
        </w:rPr>
        <w:footnoteRef/>
      </w:r>
      <w:r w:rsidRPr="00E453D3">
        <w:rPr>
          <w:rFonts w:ascii="Times New Roman" w:hAnsi="Times New Roman" w:cs="Times New Roman"/>
        </w:rPr>
        <w:t xml:space="preserve"> Reserve Bank Innovation Hub, </w:t>
      </w:r>
      <w:r w:rsidRPr="00E453D3">
        <w:rPr>
          <w:rFonts w:ascii="Times New Roman" w:hAnsi="Times New Roman" w:cs="Times New Roman"/>
          <w:i/>
          <w:iCs/>
        </w:rPr>
        <w:t>Unified Lending Interface</w:t>
      </w:r>
      <w:r w:rsidRPr="00E453D3">
        <w:rPr>
          <w:rFonts w:ascii="Times New Roman" w:hAnsi="Times New Roman" w:cs="Times New Roman"/>
        </w:rPr>
        <w:t xml:space="preserve"> (Web Page) </w:t>
      </w:r>
      <w:hyperlink r:id="rId7" w:tgtFrame="_new" w:history="1">
        <w:r w:rsidRPr="00E453D3">
          <w:rPr>
            <w:rStyle w:val="Hyperlink"/>
            <w:rFonts w:ascii="Times New Roman" w:hAnsi="Times New Roman" w:cs="Times New Roman"/>
          </w:rPr>
          <w:t>https://rbihub.in/projects/unified-lending-interface</w:t>
        </w:r>
      </w:hyperlink>
      <w:r w:rsidRPr="00E453D3">
        <w:rPr>
          <w:rFonts w:ascii="Times New Roman" w:hAnsi="Times New Roman" w:cs="Times New Roman"/>
        </w:rPr>
        <w:t>.</w:t>
      </w:r>
      <w:r>
        <w:t xml:space="preserve"> </w:t>
      </w:r>
    </w:p>
  </w:footnote>
  <w:footnote w:id="10">
    <w:p w14:paraId="2B29F452" w14:textId="689249BB" w:rsidR="00494DC0" w:rsidRPr="00494DC0" w:rsidRDefault="00494DC0">
      <w:pPr>
        <w:pStyle w:val="FootnoteText"/>
        <w:rPr>
          <w:rFonts w:ascii="Times New Roman" w:hAnsi="Times New Roman" w:cs="Times New Roman"/>
        </w:rPr>
      </w:pPr>
      <w:r w:rsidRPr="00494DC0">
        <w:rPr>
          <w:rStyle w:val="FootnoteReference"/>
          <w:rFonts w:ascii="Times New Roman" w:hAnsi="Times New Roman" w:cs="Times New Roman"/>
        </w:rPr>
        <w:footnoteRef/>
      </w:r>
      <w:r w:rsidRPr="00494DC0">
        <w:rPr>
          <w:rFonts w:ascii="Times New Roman" w:hAnsi="Times New Roman" w:cs="Times New Roman"/>
        </w:rPr>
        <w:t xml:space="preserve"> Vaidehi Gulati, ‘The Future of Indian Insolvency Law: New-Age Business, Technology and Sustainability’ (2026) </w:t>
      </w:r>
      <w:r w:rsidRPr="00494DC0">
        <w:rPr>
          <w:rFonts w:ascii="Times New Roman" w:hAnsi="Times New Roman" w:cs="Times New Roman"/>
          <w:i/>
          <w:iCs/>
        </w:rPr>
        <w:t>Chartered Secretary Journal</w:t>
      </w:r>
      <w:r w:rsidRPr="00494DC0">
        <w:rPr>
          <w:rFonts w:ascii="Times New Roman" w:hAnsi="Times New Roman" w:cs="Times New Roman"/>
        </w:rPr>
        <w:t xml:space="preserve"> art 18 </w:t>
      </w:r>
      <w:hyperlink r:id="rId8" w:tgtFrame="_new" w:history="1">
        <w:r w:rsidRPr="00494DC0">
          <w:rPr>
            <w:rStyle w:val="Hyperlink"/>
            <w:rFonts w:ascii="Times New Roman" w:hAnsi="Times New Roman" w:cs="Times New Roman"/>
          </w:rPr>
          <w:t>https://www.icsi.edu/media/webmodules/CSJ/Apr2026/18.pdf</w:t>
        </w:r>
      </w:hyperlink>
      <w:r w:rsidRPr="00494DC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E462" w14:textId="3B95AE53" w:rsidR="00471A8F" w:rsidRDefault="00471A8F">
    <w:pPr>
      <w:pStyle w:val="Header"/>
    </w:pPr>
    <w:r>
      <w:rPr>
        <w:noProof/>
      </w:rPr>
      <mc:AlternateContent>
        <mc:Choice Requires="wps">
          <w:drawing>
            <wp:anchor distT="0" distB="0" distL="0" distR="0" simplePos="0" relativeHeight="251659264" behindDoc="0" locked="0" layoutInCell="1" allowOverlap="1" wp14:anchorId="784D8861" wp14:editId="2CEBA04D">
              <wp:simplePos x="635" y="635"/>
              <wp:positionH relativeFrom="page">
                <wp:align>center</wp:align>
              </wp:positionH>
              <wp:positionV relativeFrom="page">
                <wp:align>top</wp:align>
              </wp:positionV>
              <wp:extent cx="653415" cy="405765"/>
              <wp:effectExtent l="0" t="0" r="13335" b="13335"/>
              <wp:wrapNone/>
              <wp:docPr id="516364230"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5765"/>
                      </a:xfrm>
                      <a:prstGeom prst="rect">
                        <a:avLst/>
                      </a:prstGeom>
                      <a:noFill/>
                      <a:ln>
                        <a:noFill/>
                      </a:ln>
                    </wps:spPr>
                    <wps:txbx>
                      <w:txbxContent>
                        <w:p w14:paraId="13720204" w14:textId="17C40C2D" w:rsidR="00471A8F" w:rsidRPr="00471A8F" w:rsidRDefault="00471A8F" w:rsidP="00471A8F">
                          <w:pPr>
                            <w:spacing w:after="0"/>
                            <w:rPr>
                              <w:rFonts w:ascii="Aptos" w:eastAsia="Aptos" w:hAnsi="Aptos" w:cs="Aptos"/>
                              <w:noProof/>
                              <w:color w:val="000000"/>
                            </w:rPr>
                          </w:pPr>
                          <w:r w:rsidRPr="00471A8F">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D8861" id="_x0000_t202" coordsize="21600,21600" o:spt="202" path="m,l,21600r21600,l21600,xe">
              <v:stroke joinstyle="miter"/>
              <v:path gradientshapeok="t" o:connecttype="rect"/>
            </v:shapetype>
            <v:shape id="Text Box 2" o:spid="_x0000_s1026" type="#_x0000_t202" alt=" OFFICIAL" style="position:absolute;margin-left:0;margin-top:0;width:51.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" filled="f" stroked="f">
              <v:textbox style="mso-fit-shape-to-text:t" inset="0,15pt,0,0">
                <w:txbxContent>
                  <w:p w14:paraId="13720204" w14:textId="17C40C2D" w:rsidR="00471A8F" w:rsidRPr="00471A8F" w:rsidRDefault="00471A8F" w:rsidP="00471A8F">
                    <w:pPr>
                      <w:spacing w:after="0"/>
                      <w:rPr>
                        <w:rFonts w:ascii="Aptos" w:eastAsia="Aptos" w:hAnsi="Aptos" w:cs="Aptos"/>
                        <w:noProof/>
                        <w:color w:val="000000"/>
                      </w:rPr>
                    </w:pPr>
                    <w:r w:rsidRPr="00471A8F">
                      <w:rPr>
                        <w:rFonts w:ascii="Aptos" w:eastAsia="Aptos" w:hAnsi="Aptos" w:cs="Aptos"/>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7D4E" w14:textId="2A50C5F4" w:rsidR="00471A8F" w:rsidRDefault="00471A8F">
    <w:pPr>
      <w:pStyle w:val="Header"/>
    </w:pPr>
    <w:r>
      <w:rPr>
        <w:noProof/>
      </w:rPr>
      <mc:AlternateContent>
        <mc:Choice Requires="wps">
          <w:drawing>
            <wp:anchor distT="0" distB="0" distL="0" distR="0" simplePos="0" relativeHeight="251660288" behindDoc="0" locked="0" layoutInCell="1" allowOverlap="1" wp14:anchorId="77C6F02A" wp14:editId="15119729">
              <wp:simplePos x="635" y="635"/>
              <wp:positionH relativeFrom="page">
                <wp:align>center</wp:align>
              </wp:positionH>
              <wp:positionV relativeFrom="page">
                <wp:align>top</wp:align>
              </wp:positionV>
              <wp:extent cx="653415" cy="405765"/>
              <wp:effectExtent l="0" t="0" r="13335" b="13335"/>
              <wp:wrapNone/>
              <wp:docPr id="5939004"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5765"/>
                      </a:xfrm>
                      <a:prstGeom prst="rect">
                        <a:avLst/>
                      </a:prstGeom>
                      <a:noFill/>
                      <a:ln>
                        <a:noFill/>
                      </a:ln>
                    </wps:spPr>
                    <wps:txbx>
                      <w:txbxContent>
                        <w:p w14:paraId="39E8CE42" w14:textId="333D7C4A" w:rsidR="00471A8F" w:rsidRPr="00471A8F" w:rsidRDefault="00471A8F" w:rsidP="00471A8F">
                          <w:pPr>
                            <w:spacing w:after="0"/>
                            <w:rPr>
                              <w:rFonts w:ascii="Aptos" w:eastAsia="Aptos" w:hAnsi="Aptos" w:cs="Aptos"/>
                              <w:noProof/>
                              <w:color w:val="000000"/>
                            </w:rPr>
                          </w:pPr>
                          <w:r w:rsidRPr="00471A8F">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C6F02A" id="_x0000_t202" coordsize="21600,21600" o:spt="202" path="m,l,21600r21600,l21600,xe">
              <v:stroke joinstyle="miter"/>
              <v:path gradientshapeok="t" o:connecttype="rect"/>
            </v:shapetype>
            <v:shape id="Text Box 3" o:spid="_x0000_s1027" type="#_x0000_t202" alt=" OFFICIAL" style="position:absolute;margin-left:0;margin-top:0;width:51.4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" filled="f" stroked="f">
              <v:textbox style="mso-fit-shape-to-text:t" inset="0,15pt,0,0">
                <w:txbxContent>
                  <w:p w14:paraId="39E8CE42" w14:textId="333D7C4A" w:rsidR="00471A8F" w:rsidRPr="00471A8F" w:rsidRDefault="00471A8F" w:rsidP="00471A8F">
                    <w:pPr>
                      <w:spacing w:after="0"/>
                      <w:rPr>
                        <w:rFonts w:ascii="Aptos" w:eastAsia="Aptos" w:hAnsi="Aptos" w:cs="Aptos"/>
                        <w:noProof/>
                        <w:color w:val="000000"/>
                      </w:rPr>
                    </w:pPr>
                    <w:r w:rsidRPr="00471A8F">
                      <w:rPr>
                        <w:rFonts w:ascii="Aptos" w:eastAsia="Aptos" w:hAnsi="Aptos" w:cs="Aptos"/>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CC74" w14:textId="6A66D25F" w:rsidR="00471A8F" w:rsidRDefault="00471A8F">
    <w:pPr>
      <w:pStyle w:val="Header"/>
    </w:pPr>
    <w:r>
      <w:rPr>
        <w:noProof/>
      </w:rPr>
      <mc:AlternateContent>
        <mc:Choice Requires="wps">
          <w:drawing>
            <wp:anchor distT="0" distB="0" distL="0" distR="0" simplePos="0" relativeHeight="251658240" behindDoc="0" locked="0" layoutInCell="1" allowOverlap="1" wp14:anchorId="05A189A4" wp14:editId="453DD036">
              <wp:simplePos x="635" y="635"/>
              <wp:positionH relativeFrom="page">
                <wp:align>center</wp:align>
              </wp:positionH>
              <wp:positionV relativeFrom="page">
                <wp:align>top</wp:align>
              </wp:positionV>
              <wp:extent cx="653415" cy="405765"/>
              <wp:effectExtent l="0" t="0" r="13335" b="13335"/>
              <wp:wrapNone/>
              <wp:docPr id="36253262"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5765"/>
                      </a:xfrm>
                      <a:prstGeom prst="rect">
                        <a:avLst/>
                      </a:prstGeom>
                      <a:noFill/>
                      <a:ln>
                        <a:noFill/>
                      </a:ln>
                    </wps:spPr>
                    <wps:txbx>
                      <w:txbxContent>
                        <w:p w14:paraId="41090D15" w14:textId="1347BA7E" w:rsidR="00471A8F" w:rsidRPr="00471A8F" w:rsidRDefault="00471A8F" w:rsidP="00471A8F">
                          <w:pPr>
                            <w:spacing w:after="0"/>
                            <w:rPr>
                              <w:rFonts w:ascii="Aptos" w:eastAsia="Aptos" w:hAnsi="Aptos" w:cs="Aptos"/>
                              <w:noProof/>
                              <w:color w:val="000000"/>
                            </w:rPr>
                          </w:pPr>
                          <w:r w:rsidRPr="00471A8F">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A189A4" id="_x0000_t202" coordsize="21600,21600" o:spt="202" path="m,l,21600r21600,l21600,xe">
              <v:stroke joinstyle="miter"/>
              <v:path gradientshapeok="t" o:connecttype="rect"/>
            </v:shapetype>
            <v:shape id="Text Box 1" o:spid="_x0000_s1028" type="#_x0000_t202" alt=" OFFICIAL" style="position:absolute;margin-left:0;margin-top:0;width:51.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" filled="f" stroked="f">
              <v:textbox style="mso-fit-shape-to-text:t" inset="0,15pt,0,0">
                <w:txbxContent>
                  <w:p w14:paraId="41090D15" w14:textId="1347BA7E" w:rsidR="00471A8F" w:rsidRPr="00471A8F" w:rsidRDefault="00471A8F" w:rsidP="00471A8F">
                    <w:pPr>
                      <w:spacing w:after="0"/>
                      <w:rPr>
                        <w:rFonts w:ascii="Aptos" w:eastAsia="Aptos" w:hAnsi="Aptos" w:cs="Aptos"/>
                        <w:noProof/>
                        <w:color w:val="000000"/>
                      </w:rPr>
                    </w:pPr>
                    <w:r w:rsidRPr="00471A8F">
                      <w:rPr>
                        <w:rFonts w:ascii="Aptos" w:eastAsia="Aptos" w:hAnsi="Aptos" w:cs="Aptos"/>
                        <w:noProof/>
                        <w:color w:val="000000"/>
                      </w:rPr>
                      <w:t xml:space="preserve">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D2"/>
    <w:rsid w:val="000542E9"/>
    <w:rsid w:val="0005577F"/>
    <w:rsid w:val="000841E7"/>
    <w:rsid w:val="000A5141"/>
    <w:rsid w:val="000B5EF8"/>
    <w:rsid w:val="000F5D5D"/>
    <w:rsid w:val="0010374C"/>
    <w:rsid w:val="001466B8"/>
    <w:rsid w:val="001E3B54"/>
    <w:rsid w:val="002002AE"/>
    <w:rsid w:val="002050F7"/>
    <w:rsid w:val="00233CBC"/>
    <w:rsid w:val="00253C2A"/>
    <w:rsid w:val="00281927"/>
    <w:rsid w:val="002B462F"/>
    <w:rsid w:val="002F14CF"/>
    <w:rsid w:val="002F54CF"/>
    <w:rsid w:val="0030302A"/>
    <w:rsid w:val="00341E66"/>
    <w:rsid w:val="00365F31"/>
    <w:rsid w:val="003A6BD2"/>
    <w:rsid w:val="003C592E"/>
    <w:rsid w:val="003D649F"/>
    <w:rsid w:val="00401863"/>
    <w:rsid w:val="00425549"/>
    <w:rsid w:val="00431463"/>
    <w:rsid w:val="004350A6"/>
    <w:rsid w:val="004542CF"/>
    <w:rsid w:val="00471A8F"/>
    <w:rsid w:val="00494DC0"/>
    <w:rsid w:val="004B0CB1"/>
    <w:rsid w:val="004B52AD"/>
    <w:rsid w:val="00513F95"/>
    <w:rsid w:val="005648EF"/>
    <w:rsid w:val="005C560B"/>
    <w:rsid w:val="006A56A7"/>
    <w:rsid w:val="00724D23"/>
    <w:rsid w:val="00767892"/>
    <w:rsid w:val="0083646A"/>
    <w:rsid w:val="00856FD5"/>
    <w:rsid w:val="00885EBF"/>
    <w:rsid w:val="008B4BCC"/>
    <w:rsid w:val="008D69E1"/>
    <w:rsid w:val="009374AC"/>
    <w:rsid w:val="009541B6"/>
    <w:rsid w:val="00970644"/>
    <w:rsid w:val="00A76F19"/>
    <w:rsid w:val="00A955AA"/>
    <w:rsid w:val="00AE6F37"/>
    <w:rsid w:val="00B12970"/>
    <w:rsid w:val="00B13BB2"/>
    <w:rsid w:val="00B20F9F"/>
    <w:rsid w:val="00B6011B"/>
    <w:rsid w:val="00BB2382"/>
    <w:rsid w:val="00C945F9"/>
    <w:rsid w:val="00C95CE4"/>
    <w:rsid w:val="00CB2431"/>
    <w:rsid w:val="00CE27C8"/>
    <w:rsid w:val="00D36FDC"/>
    <w:rsid w:val="00D61582"/>
    <w:rsid w:val="00D83106"/>
    <w:rsid w:val="00D9709C"/>
    <w:rsid w:val="00DC4B9F"/>
    <w:rsid w:val="00DD1D6B"/>
    <w:rsid w:val="00DF7751"/>
    <w:rsid w:val="00E10FE5"/>
    <w:rsid w:val="00E4486E"/>
    <w:rsid w:val="00E453D3"/>
    <w:rsid w:val="00E55247"/>
    <w:rsid w:val="00E7650D"/>
    <w:rsid w:val="00F078CE"/>
    <w:rsid w:val="00F25077"/>
    <w:rsid w:val="00F279D0"/>
    <w:rsid w:val="00F4447A"/>
    <w:rsid w:val="00FB74BA"/>
    <w:rsid w:val="00FE0D6F"/>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2D06"/>
  <w15:chartTrackingRefBased/>
  <w15:docId w15:val="{13CA41DA-217D-4793-A4E5-1E085C0D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BD2"/>
    <w:rPr>
      <w:rFonts w:eastAsiaTheme="majorEastAsia" w:cstheme="majorBidi"/>
      <w:color w:val="272727" w:themeColor="text1" w:themeTint="D8"/>
    </w:rPr>
  </w:style>
  <w:style w:type="paragraph" w:styleId="Title">
    <w:name w:val="Title"/>
    <w:basedOn w:val="Normal"/>
    <w:next w:val="Normal"/>
    <w:link w:val="TitleChar"/>
    <w:uiPriority w:val="10"/>
    <w:qFormat/>
    <w:rsid w:val="003A6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BD2"/>
    <w:pPr>
      <w:spacing w:before="160"/>
      <w:jc w:val="center"/>
    </w:pPr>
    <w:rPr>
      <w:i/>
      <w:iCs/>
      <w:color w:val="404040" w:themeColor="text1" w:themeTint="BF"/>
    </w:rPr>
  </w:style>
  <w:style w:type="character" w:customStyle="1" w:styleId="QuoteChar">
    <w:name w:val="Quote Char"/>
    <w:basedOn w:val="DefaultParagraphFont"/>
    <w:link w:val="Quote"/>
    <w:uiPriority w:val="29"/>
    <w:rsid w:val="003A6BD2"/>
    <w:rPr>
      <w:i/>
      <w:iCs/>
      <w:color w:val="404040" w:themeColor="text1" w:themeTint="BF"/>
    </w:rPr>
  </w:style>
  <w:style w:type="paragraph" w:styleId="ListParagraph">
    <w:name w:val="List Paragraph"/>
    <w:basedOn w:val="Normal"/>
    <w:uiPriority w:val="34"/>
    <w:qFormat/>
    <w:rsid w:val="003A6BD2"/>
    <w:pPr>
      <w:ind w:left="720"/>
      <w:contextualSpacing/>
    </w:pPr>
  </w:style>
  <w:style w:type="character" w:styleId="IntenseEmphasis">
    <w:name w:val="Intense Emphasis"/>
    <w:basedOn w:val="DefaultParagraphFont"/>
    <w:uiPriority w:val="21"/>
    <w:qFormat/>
    <w:rsid w:val="003A6BD2"/>
    <w:rPr>
      <w:i/>
      <w:iCs/>
      <w:color w:val="0F4761" w:themeColor="accent1" w:themeShade="BF"/>
    </w:rPr>
  </w:style>
  <w:style w:type="paragraph" w:styleId="IntenseQuote">
    <w:name w:val="Intense Quote"/>
    <w:basedOn w:val="Normal"/>
    <w:next w:val="Normal"/>
    <w:link w:val="IntenseQuoteChar"/>
    <w:uiPriority w:val="30"/>
    <w:qFormat/>
    <w:rsid w:val="003A6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BD2"/>
    <w:rPr>
      <w:i/>
      <w:iCs/>
      <w:color w:val="0F4761" w:themeColor="accent1" w:themeShade="BF"/>
    </w:rPr>
  </w:style>
  <w:style w:type="character" w:styleId="IntenseReference">
    <w:name w:val="Intense Reference"/>
    <w:basedOn w:val="DefaultParagraphFont"/>
    <w:uiPriority w:val="32"/>
    <w:qFormat/>
    <w:rsid w:val="003A6BD2"/>
    <w:rPr>
      <w:b/>
      <w:bCs/>
      <w:smallCaps/>
      <w:color w:val="0F4761" w:themeColor="accent1" w:themeShade="BF"/>
      <w:spacing w:val="5"/>
    </w:rPr>
  </w:style>
  <w:style w:type="paragraph" w:styleId="FootnoteText">
    <w:name w:val="footnote text"/>
    <w:basedOn w:val="Normal"/>
    <w:link w:val="FootnoteTextChar"/>
    <w:uiPriority w:val="99"/>
    <w:semiHidden/>
    <w:unhideWhenUsed/>
    <w:rsid w:val="00FE0D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D6F"/>
    <w:rPr>
      <w:sz w:val="20"/>
      <w:szCs w:val="20"/>
    </w:rPr>
  </w:style>
  <w:style w:type="character" w:styleId="FootnoteReference">
    <w:name w:val="footnote reference"/>
    <w:basedOn w:val="DefaultParagraphFont"/>
    <w:uiPriority w:val="99"/>
    <w:semiHidden/>
    <w:unhideWhenUsed/>
    <w:rsid w:val="00FE0D6F"/>
    <w:rPr>
      <w:vertAlign w:val="superscript"/>
    </w:rPr>
  </w:style>
  <w:style w:type="character" w:styleId="Hyperlink">
    <w:name w:val="Hyperlink"/>
    <w:basedOn w:val="DefaultParagraphFont"/>
    <w:uiPriority w:val="99"/>
    <w:unhideWhenUsed/>
    <w:rsid w:val="00FE0D6F"/>
    <w:rPr>
      <w:color w:val="467886" w:themeColor="hyperlink"/>
      <w:u w:val="single"/>
    </w:rPr>
  </w:style>
  <w:style w:type="character" w:styleId="UnresolvedMention">
    <w:name w:val="Unresolved Mention"/>
    <w:basedOn w:val="DefaultParagraphFont"/>
    <w:uiPriority w:val="99"/>
    <w:semiHidden/>
    <w:unhideWhenUsed/>
    <w:rsid w:val="00FE0D6F"/>
    <w:rPr>
      <w:color w:val="605E5C"/>
      <w:shd w:val="clear" w:color="auto" w:fill="E1DFDD"/>
    </w:rPr>
  </w:style>
  <w:style w:type="paragraph" w:styleId="Header">
    <w:name w:val="header"/>
    <w:basedOn w:val="Normal"/>
    <w:link w:val="HeaderChar"/>
    <w:uiPriority w:val="99"/>
    <w:unhideWhenUsed/>
    <w:rsid w:val="00471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csi.edu/media/webmodules/CSJ/Apr2026/18.pdf" TargetMode="External"/><Relationship Id="rId3" Type="http://schemas.openxmlformats.org/officeDocument/2006/relationships/hyperlink" Target="https://ibbi.gov.in/uploads/resources/2ce0f4a4a146d49fb96f4939aa4fbe25.pdf" TargetMode="External"/><Relationship Id="rId7" Type="http://schemas.openxmlformats.org/officeDocument/2006/relationships/hyperlink" Target="https://rbihub.in/projects/unified-lending-interface" TargetMode="External"/><Relationship Id="rId2" Type="http://schemas.openxmlformats.org/officeDocument/2006/relationships/hyperlink" Target="https://ibbi.gov.in/uploads/publication/ee64e0a0330c81c11c0ab538b5e4b946.pdf" TargetMode="External"/><Relationship Id="rId1" Type="http://schemas.openxmlformats.org/officeDocument/2006/relationships/hyperlink" Target="https://www.ipaicmai.in/IPANEW/UploadFiles/Other/NeSL_Utility_Manual.pdf" TargetMode="External"/><Relationship Id="rId6" Type="http://schemas.openxmlformats.org/officeDocument/2006/relationships/hyperlink" Target="https://www.pwc.in/assets/pdfs/consulting/financial-services/fintech/publications/the-indian-payments-handbook-%E2%80%93-2023%E2%80%932028.pdf" TargetMode="External"/><Relationship Id="rId5" Type="http://schemas.openxmlformats.org/officeDocument/2006/relationships/hyperlink" Target="https://economictimes.indiatimes.com/small-biz/sme-sector/the-balance-sheet-is-dead-india-just-hasnt-buried-it-yet/articleshow/129671766.cms" TargetMode="External"/><Relationship Id="rId4" Type="http://schemas.openxmlformats.org/officeDocument/2006/relationships/hyperlink" Target="https://www.bwlegalworld.com/article/technology-and-insolvency-leveraging-digital-tools-for-faster-resolutions-527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B8B5264E86D942B6F960C66631D3A5" ma:contentTypeVersion="13" ma:contentTypeDescription="Create a new document." ma:contentTypeScope="" ma:versionID="642097d673fe161cc1ce84c500eb4330">
  <xsd:schema xmlns:xsd="http://www.w3.org/2001/XMLSchema" xmlns:xs="http://www.w3.org/2001/XMLSchema" xmlns:p="http://schemas.microsoft.com/office/2006/metadata/properties" xmlns:ns2="5ff63dbc-cfbd-4279-8802-fbe3eb1843ca" xmlns:ns3="092c6315-7fbc-4c66-b693-ef9eb3f5bfdc" targetNamespace="http://schemas.microsoft.com/office/2006/metadata/properties" ma:root="true" ma:fieldsID="a8b95e7083c368b3e4754532251618c7" ns2:_="" ns3:_="">
    <xsd:import namespace="5ff63dbc-cfbd-4279-8802-fbe3eb1843ca"/>
    <xsd:import namespace="092c6315-7fbc-4c66-b693-ef9eb3f5bfd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3dbc-cfbd-4279-8802-fbe3eb1843c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c28a9cb-3f6d-4395-bf00-bc0972fcb329}" ma:internalName="TaxCatchAll" ma:showField="CatchAllData" ma:web="5ff63dbc-cfbd-4279-8802-fbe3eb1843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c6315-7fbc-4c66-b693-ef9eb3f5bf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5ff63dbc-cfbd-4279-8802-fbe3eb1843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ff63dbc-cfbd-4279-8802-fbe3eb1843ca">
      <Value>1</Value>
    </TaxCatchAll>
    <lcf76f155ced4ddcb4097134ff3c332f xmlns="092c6315-7fbc-4c66-b693-ef9eb3f5bf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8CA48E-50F8-4046-AEAE-59A6DC965DF3}">
  <ds:schemaRefs>
    <ds:schemaRef ds:uri="http://schemas.openxmlformats.org/officeDocument/2006/bibliography"/>
  </ds:schemaRefs>
</ds:datastoreItem>
</file>

<file path=customXml/itemProps2.xml><?xml version="1.0" encoding="utf-8"?>
<ds:datastoreItem xmlns:ds="http://schemas.openxmlformats.org/officeDocument/2006/customXml" ds:itemID="{298A0698-45F1-4BC3-B1B3-710DE7BA4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63dbc-cfbd-4279-8802-fbe3eb1843ca"/>
    <ds:schemaRef ds:uri="092c6315-7fbc-4c66-b693-ef9eb3f5b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8DC90-17B0-4FA3-A3BC-A0663258EA41}">
  <ds:schemaRefs>
    <ds:schemaRef ds:uri="http://schemas.microsoft.com/sharepoint/v3/contenttype/forms"/>
  </ds:schemaRefs>
</ds:datastoreItem>
</file>

<file path=customXml/itemProps4.xml><?xml version="1.0" encoding="utf-8"?>
<ds:datastoreItem xmlns:ds="http://schemas.openxmlformats.org/officeDocument/2006/customXml" ds:itemID="{C8A25EC5-336D-4A2D-8759-ACEE973203C9}">
  <ds:schemaRefs>
    <ds:schemaRef ds:uri="http://schemas.microsoft.com/office/2006/metadata/properties"/>
    <ds:schemaRef ds:uri="http://schemas.microsoft.com/office/infopath/2007/PartnerControls"/>
    <ds:schemaRef ds:uri="5ff63dbc-cfbd-4279-8802-fbe3eb1843ca"/>
    <ds:schemaRef ds:uri="092c6315-7fbc-4c66-b693-ef9eb3f5bfd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14 - Aryaman Sinha - Reducing barriers to business dynamism - Public inquiry</vt:lpstr>
    </vt:vector>
  </TitlesOfParts>
  <Company>Aryaman Sinha</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Aryaman Sinha - Reducing barriers to business dynamism - Public inquiry</dc:title>
  <dc:subject/>
  <dc:creator>Aryaman Sinha</dc:creator>
  <cp:keywords/>
  <dc:description/>
  <cp:lastModifiedBy>Chris Alston</cp:lastModifiedBy>
  <cp:revision>4</cp:revision>
  <dcterms:created xsi:type="dcterms:W3CDTF">2026-07-02T01:38:00Z</dcterms:created>
  <dcterms:modified xsi:type="dcterms:W3CDTF">2026-07-02T05:56:00Z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2292e4e,1ec717c6,5a9f3c</vt:lpwstr>
  </property>
  <property fmtid="{D5CDD505-2E9C-101B-9397-08002B2CF9AE}" pid="3" name="ClassificationContentMarkingHeaderFontProps">
    <vt:lpwstr>#000000,12,Aptos</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2026-07-01T05:34:52Z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aff63f3b-531d-4590-b5de-b57e450696cf</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y fmtid="{D5CDD505-2E9C-101B-9397-08002B2CF9AE}" pid="13" name="ContentTypeId">
    <vt:lpwstr>0x010100DFB8B5264E86D942B6F960C66631D3A5</vt:lpwstr>
  </property>
  <property fmtid="{D5CDD505-2E9C-101B-9397-08002B2CF9AE}" pid="14" name="RevIMBCS">
    <vt:lpwstr>1;#Unclassified|3955eeb1-2d18-4582-aeb2-00144ec3aaf5</vt:lpwstr>
  </property>
  <property fmtid="{D5CDD505-2E9C-101B-9397-08002B2CF9AE}" pid="15" name="MediaServiceImageTags">
    <vt:lpwstr/>
  </property>
</Properties>
</file>