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5826" w14:textId="03DA69F5" w:rsidR="009D6BCA" w:rsidRPr="009D6BCA" w:rsidRDefault="00E95C60" w:rsidP="00443F7B">
      <w:pPr>
        <w:spacing w:line="240" w:lineRule="auto"/>
        <w:rPr>
          <w:rFonts w:asciiTheme="minorHAnsi" w:hAnsiTheme="minorHAnsi"/>
        </w:rPr>
      </w:pPr>
      <w:r>
        <w:rPr>
          <w:rFonts w:asciiTheme="minorHAnsi" w:hAnsiTheme="minorHAnsi"/>
          <w:b/>
          <w:bCs/>
        </w:rPr>
        <w:t xml:space="preserve">Productivity Commission </w:t>
      </w:r>
      <w:r w:rsidR="003B7C97">
        <w:rPr>
          <w:rFonts w:asciiTheme="minorHAnsi" w:hAnsiTheme="minorHAnsi"/>
          <w:b/>
          <w:bCs/>
        </w:rPr>
        <w:t xml:space="preserve">Inquiry into Reducing barriers to business dynamism - </w:t>
      </w:r>
      <w:r w:rsidR="00EE3CF0" w:rsidRPr="00241F41">
        <w:rPr>
          <w:rFonts w:asciiTheme="minorHAnsi" w:hAnsiTheme="minorHAnsi"/>
          <w:b/>
          <w:bCs/>
        </w:rPr>
        <w:t xml:space="preserve">Retail </w:t>
      </w:r>
      <w:r w:rsidR="009D6BCA" w:rsidRPr="009D6BCA">
        <w:rPr>
          <w:rFonts w:asciiTheme="minorHAnsi" w:hAnsiTheme="minorHAnsi"/>
          <w:b/>
          <w:bCs/>
        </w:rPr>
        <w:t>Corporate Bond Market Development</w:t>
      </w:r>
    </w:p>
    <w:p w14:paraId="503FA6CF" w14:textId="5D799EFC" w:rsidR="00931424" w:rsidRDefault="00213D21" w:rsidP="00443F7B">
      <w:pPr>
        <w:spacing w:line="240" w:lineRule="auto"/>
        <w:rPr>
          <w:rFonts w:asciiTheme="minorHAnsi" w:hAnsiTheme="minorHAnsi"/>
        </w:rPr>
      </w:pPr>
      <w:r w:rsidRPr="00213D21">
        <w:rPr>
          <w:rFonts w:asciiTheme="minorHAnsi" w:hAnsiTheme="minorHAnsi"/>
        </w:rPr>
        <w:t xml:space="preserve">The Corporate Bond </w:t>
      </w:r>
      <w:r w:rsidR="00720903">
        <w:rPr>
          <w:rFonts w:asciiTheme="minorHAnsi" w:hAnsiTheme="minorHAnsi"/>
        </w:rPr>
        <w:t xml:space="preserve">Reform </w:t>
      </w:r>
      <w:r w:rsidRPr="00213D21">
        <w:rPr>
          <w:rFonts w:asciiTheme="minorHAnsi" w:hAnsiTheme="minorHAnsi"/>
        </w:rPr>
        <w:t xml:space="preserve">Working Group (the Group) is pleased to </w:t>
      </w:r>
      <w:r w:rsidR="00D04A8A">
        <w:rPr>
          <w:rFonts w:asciiTheme="minorHAnsi" w:hAnsiTheme="minorHAnsi"/>
        </w:rPr>
        <w:t>provide</w:t>
      </w:r>
      <w:r w:rsidR="00D04A8A" w:rsidRPr="00213D21">
        <w:rPr>
          <w:rFonts w:asciiTheme="minorHAnsi" w:hAnsiTheme="minorHAnsi"/>
        </w:rPr>
        <w:t xml:space="preserve"> </w:t>
      </w:r>
      <w:r w:rsidRPr="00213D21">
        <w:rPr>
          <w:rFonts w:asciiTheme="minorHAnsi" w:hAnsiTheme="minorHAnsi"/>
        </w:rPr>
        <w:t>this submission</w:t>
      </w:r>
      <w:r w:rsidR="003B7C97">
        <w:rPr>
          <w:rFonts w:asciiTheme="minorHAnsi" w:hAnsiTheme="minorHAnsi"/>
        </w:rPr>
        <w:t xml:space="preserve"> to the Productivity Commission inquiry into Reducing barriers to business d</w:t>
      </w:r>
      <w:r w:rsidR="00D16FE9">
        <w:rPr>
          <w:rFonts w:asciiTheme="minorHAnsi" w:hAnsiTheme="minorHAnsi"/>
        </w:rPr>
        <w:t>ynamism</w:t>
      </w:r>
      <w:r w:rsidRPr="00213D21">
        <w:rPr>
          <w:rFonts w:asciiTheme="minorHAnsi" w:hAnsiTheme="minorHAnsi"/>
        </w:rPr>
        <w:t xml:space="preserve">. </w:t>
      </w:r>
      <w:r w:rsidR="005C08C9">
        <w:rPr>
          <w:rFonts w:asciiTheme="minorHAnsi" w:hAnsiTheme="minorHAnsi"/>
        </w:rPr>
        <w:t>T</w:t>
      </w:r>
      <w:r w:rsidRPr="00213D21">
        <w:rPr>
          <w:rFonts w:asciiTheme="minorHAnsi" w:hAnsiTheme="minorHAnsi"/>
        </w:rPr>
        <w:t>he Group aims to foster the development of a robust, retail-accessible corporate bond market in Australia</w:t>
      </w:r>
      <w:r w:rsidR="00931424">
        <w:rPr>
          <w:rFonts w:asciiTheme="minorHAnsi" w:hAnsiTheme="minorHAnsi"/>
        </w:rPr>
        <w:t xml:space="preserve"> to provide capital to help grow </w:t>
      </w:r>
      <w:r w:rsidR="00C54986">
        <w:rPr>
          <w:rFonts w:asciiTheme="minorHAnsi" w:hAnsiTheme="minorHAnsi"/>
        </w:rPr>
        <w:t>Australian businesses</w:t>
      </w:r>
      <w:r w:rsidR="00931424">
        <w:rPr>
          <w:rFonts w:asciiTheme="minorHAnsi" w:hAnsiTheme="minorHAnsi"/>
        </w:rPr>
        <w:t xml:space="preserve"> and </w:t>
      </w:r>
      <w:r w:rsidR="000631D4">
        <w:rPr>
          <w:rFonts w:asciiTheme="minorHAnsi" w:hAnsiTheme="minorHAnsi"/>
        </w:rPr>
        <w:t xml:space="preserve">investment </w:t>
      </w:r>
      <w:r w:rsidR="00931424">
        <w:rPr>
          <w:rFonts w:asciiTheme="minorHAnsi" w:hAnsiTheme="minorHAnsi"/>
        </w:rPr>
        <w:t>opportunities for Australian in</w:t>
      </w:r>
      <w:r w:rsidR="00B17B12">
        <w:rPr>
          <w:rFonts w:asciiTheme="minorHAnsi" w:hAnsiTheme="minorHAnsi"/>
        </w:rPr>
        <w:t>dividuals</w:t>
      </w:r>
      <w:r w:rsidR="00931424">
        <w:rPr>
          <w:rFonts w:asciiTheme="minorHAnsi" w:hAnsiTheme="minorHAnsi"/>
        </w:rPr>
        <w:t xml:space="preserve"> to create wealth</w:t>
      </w:r>
      <w:r w:rsidR="009D6BCA" w:rsidRPr="009D6BCA">
        <w:rPr>
          <w:rFonts w:asciiTheme="minorHAnsi" w:hAnsiTheme="minorHAnsi"/>
        </w:rPr>
        <w:t xml:space="preserve">. </w:t>
      </w:r>
    </w:p>
    <w:p w14:paraId="11ADBF48" w14:textId="20E6C5D1" w:rsidR="00213D21" w:rsidRDefault="00213D21" w:rsidP="00443F7B">
      <w:pPr>
        <w:spacing w:line="240" w:lineRule="auto"/>
        <w:rPr>
          <w:rFonts w:asciiTheme="minorHAnsi" w:hAnsiTheme="minorHAnsi"/>
        </w:rPr>
      </w:pPr>
      <w:r>
        <w:rPr>
          <w:rFonts w:asciiTheme="minorHAnsi" w:hAnsiTheme="minorHAnsi"/>
        </w:rPr>
        <w:t>Our</w:t>
      </w:r>
      <w:r w:rsidR="009D6BCA" w:rsidRPr="009D6BCA">
        <w:rPr>
          <w:rFonts w:asciiTheme="minorHAnsi" w:hAnsiTheme="minorHAnsi"/>
        </w:rPr>
        <w:t xml:space="preserve"> members represent a diverse range of stakeholders from across Australia's financial markets, including retail investors, stockbrokers, financial advisers, corporate borrowers, and industry service providers. </w:t>
      </w:r>
      <w:r w:rsidRPr="00213D21">
        <w:rPr>
          <w:rFonts w:asciiTheme="minorHAnsi" w:hAnsiTheme="minorHAnsi"/>
        </w:rPr>
        <w:t xml:space="preserve">A full list of members is provided in </w:t>
      </w:r>
      <w:r w:rsidR="00A42F89">
        <w:rPr>
          <w:rFonts w:asciiTheme="minorHAnsi" w:hAnsiTheme="minorHAnsi"/>
        </w:rPr>
        <w:t>Annexure A</w:t>
      </w:r>
      <w:r w:rsidRPr="00213D21">
        <w:rPr>
          <w:rFonts w:asciiTheme="minorHAnsi" w:hAnsiTheme="minorHAnsi"/>
        </w:rPr>
        <w:t xml:space="preserve"> (see Slide </w:t>
      </w:r>
      <w:r w:rsidR="00F04E13">
        <w:rPr>
          <w:rFonts w:asciiTheme="minorHAnsi" w:hAnsiTheme="minorHAnsi"/>
        </w:rPr>
        <w:t>8</w:t>
      </w:r>
      <w:r w:rsidRPr="00213D21">
        <w:rPr>
          <w:rFonts w:asciiTheme="minorHAnsi" w:hAnsiTheme="minorHAnsi"/>
        </w:rPr>
        <w:t>).</w:t>
      </w:r>
    </w:p>
    <w:p w14:paraId="23249595" w14:textId="77777777" w:rsidR="00C54986" w:rsidRDefault="002A4920" w:rsidP="00443F7B">
      <w:pPr>
        <w:spacing w:line="240" w:lineRule="auto"/>
        <w:rPr>
          <w:rFonts w:asciiTheme="minorHAnsi" w:hAnsiTheme="minorHAnsi"/>
        </w:rPr>
      </w:pPr>
      <w:r w:rsidRPr="00720903">
        <w:rPr>
          <w:rFonts w:asciiTheme="minorHAnsi" w:hAnsiTheme="minorHAnsi"/>
        </w:rPr>
        <w:t xml:space="preserve">A </w:t>
      </w:r>
      <w:r>
        <w:rPr>
          <w:rFonts w:asciiTheme="minorHAnsi" w:hAnsiTheme="minorHAnsi"/>
        </w:rPr>
        <w:t xml:space="preserve">retail corporate bond </w:t>
      </w:r>
      <w:r w:rsidRPr="00720903">
        <w:rPr>
          <w:rFonts w:asciiTheme="minorHAnsi" w:hAnsiTheme="minorHAnsi"/>
        </w:rPr>
        <w:t xml:space="preserve">market </w:t>
      </w:r>
      <w:r>
        <w:rPr>
          <w:rFonts w:asciiTheme="minorHAnsi" w:hAnsiTheme="minorHAnsi"/>
        </w:rPr>
        <w:t xml:space="preserve">is </w:t>
      </w:r>
      <w:r w:rsidR="003F0C65">
        <w:rPr>
          <w:rFonts w:asciiTheme="minorHAnsi" w:hAnsiTheme="minorHAnsi"/>
        </w:rPr>
        <w:t xml:space="preserve">a </w:t>
      </w:r>
      <w:r>
        <w:rPr>
          <w:rFonts w:asciiTheme="minorHAnsi" w:hAnsiTheme="minorHAnsi"/>
        </w:rPr>
        <w:t xml:space="preserve">market </w:t>
      </w:r>
      <w:r w:rsidRPr="00720903">
        <w:rPr>
          <w:rFonts w:asciiTheme="minorHAnsi" w:hAnsiTheme="minorHAnsi"/>
        </w:rPr>
        <w:t>for corporate bonds that are publicly offered, traded on an exchange and designed to be accessible to the widest possible range of investors, including retail investors, institutional investors, and others in the most transparent way</w:t>
      </w:r>
      <w:r>
        <w:rPr>
          <w:rFonts w:asciiTheme="minorHAnsi" w:hAnsiTheme="minorHAnsi"/>
        </w:rPr>
        <w:t xml:space="preserve">. </w:t>
      </w:r>
    </w:p>
    <w:p w14:paraId="445FCB19" w14:textId="797F491B" w:rsidR="00405B5B" w:rsidRPr="00A16B0B" w:rsidRDefault="009F0CCC" w:rsidP="00443F7B">
      <w:pPr>
        <w:spacing w:line="240" w:lineRule="auto"/>
        <w:rPr>
          <w:rFonts w:asciiTheme="minorHAnsi" w:hAnsiTheme="minorHAnsi"/>
        </w:rPr>
      </w:pPr>
      <w:r w:rsidRPr="00A16B0B">
        <w:rPr>
          <w:rFonts w:asciiTheme="minorHAnsi" w:hAnsiTheme="minorHAnsi"/>
        </w:rPr>
        <w:t>This</w:t>
      </w:r>
      <w:r w:rsidR="00405B5B" w:rsidRPr="00A16B0B">
        <w:rPr>
          <w:rFonts w:asciiTheme="minorHAnsi" w:hAnsiTheme="minorHAnsi"/>
        </w:rPr>
        <w:t xml:space="preserve"> submission is focused on the development of </w:t>
      </w:r>
      <w:r w:rsidR="00FB6FD7" w:rsidRPr="00A16B0B">
        <w:rPr>
          <w:rFonts w:asciiTheme="minorHAnsi" w:hAnsiTheme="minorHAnsi"/>
        </w:rPr>
        <w:t>a</w:t>
      </w:r>
      <w:r w:rsidRPr="00A16B0B">
        <w:rPr>
          <w:rFonts w:asciiTheme="minorHAnsi" w:hAnsiTheme="minorHAnsi"/>
        </w:rPr>
        <w:t xml:space="preserve"> vibrant</w:t>
      </w:r>
      <w:r w:rsidR="00405B5B" w:rsidRPr="00A16B0B">
        <w:rPr>
          <w:rFonts w:asciiTheme="minorHAnsi" w:hAnsiTheme="minorHAnsi"/>
        </w:rPr>
        <w:t xml:space="preserve"> retail corporate bond market</w:t>
      </w:r>
      <w:r w:rsidR="00FB6FD7" w:rsidRPr="00A16B0B">
        <w:rPr>
          <w:rFonts w:asciiTheme="minorHAnsi" w:hAnsiTheme="minorHAnsi"/>
        </w:rPr>
        <w:t xml:space="preserve"> in Australia</w:t>
      </w:r>
      <w:r w:rsidR="00405B5B" w:rsidRPr="00A16B0B">
        <w:rPr>
          <w:rFonts w:asciiTheme="minorHAnsi" w:hAnsiTheme="minorHAnsi"/>
        </w:rPr>
        <w:t xml:space="preserve"> and recommends legislative change to remove</w:t>
      </w:r>
      <w:r w:rsidR="009B462A" w:rsidRPr="00A16B0B">
        <w:rPr>
          <w:rFonts w:asciiTheme="minorHAnsi" w:hAnsiTheme="minorHAnsi"/>
        </w:rPr>
        <w:t xml:space="preserve"> issuance</w:t>
      </w:r>
      <w:r w:rsidR="00405B5B" w:rsidRPr="00A16B0B">
        <w:rPr>
          <w:rFonts w:asciiTheme="minorHAnsi" w:hAnsiTheme="minorHAnsi"/>
        </w:rPr>
        <w:t xml:space="preserve"> </w:t>
      </w:r>
      <w:r w:rsidR="009B462A" w:rsidRPr="00A16B0B">
        <w:rPr>
          <w:rFonts w:asciiTheme="minorHAnsi" w:hAnsiTheme="minorHAnsi"/>
        </w:rPr>
        <w:t xml:space="preserve">barriers and </w:t>
      </w:r>
      <w:r w:rsidR="00405B5B" w:rsidRPr="00A16B0B">
        <w:rPr>
          <w:rFonts w:asciiTheme="minorHAnsi" w:hAnsiTheme="minorHAnsi"/>
        </w:rPr>
        <w:t xml:space="preserve">facilitate </w:t>
      </w:r>
      <w:r w:rsidR="009B462A" w:rsidRPr="00A16B0B">
        <w:rPr>
          <w:rFonts w:asciiTheme="minorHAnsi" w:hAnsiTheme="minorHAnsi"/>
        </w:rPr>
        <w:t>access for retail investors.</w:t>
      </w:r>
      <w:r w:rsidR="00720903">
        <w:rPr>
          <w:rFonts w:asciiTheme="minorHAnsi" w:hAnsiTheme="minorHAnsi"/>
        </w:rPr>
        <w:t xml:space="preserve"> </w:t>
      </w:r>
    </w:p>
    <w:p w14:paraId="0DB1B505" w14:textId="7393295E" w:rsidR="00232D77" w:rsidRPr="00A16B0B" w:rsidRDefault="0069469B" w:rsidP="00443F7B">
      <w:pPr>
        <w:spacing w:line="240" w:lineRule="auto"/>
        <w:rPr>
          <w:rFonts w:asciiTheme="minorHAnsi" w:hAnsiTheme="minorHAnsi"/>
        </w:rPr>
      </w:pPr>
      <w:r w:rsidRPr="00A16B0B">
        <w:rPr>
          <w:rFonts w:asciiTheme="minorHAnsi" w:hAnsiTheme="minorHAnsi"/>
        </w:rPr>
        <w:t>Against the backdrop of ‘broadly flat productivity growth’</w:t>
      </w:r>
      <w:r w:rsidRPr="00A16B0B">
        <w:rPr>
          <w:rStyle w:val="FootnoteReference"/>
          <w:rFonts w:asciiTheme="minorHAnsi" w:hAnsiTheme="minorHAnsi"/>
        </w:rPr>
        <w:footnoteReference w:id="1"/>
      </w:r>
      <w:r w:rsidR="00A16B0B">
        <w:rPr>
          <w:rFonts w:asciiTheme="minorHAnsi" w:hAnsiTheme="minorHAnsi"/>
        </w:rPr>
        <w:t xml:space="preserve"> and</w:t>
      </w:r>
      <w:r w:rsidRPr="00A16B0B">
        <w:rPr>
          <w:rFonts w:asciiTheme="minorHAnsi" w:hAnsiTheme="minorHAnsi"/>
        </w:rPr>
        <w:t xml:space="preserve"> </w:t>
      </w:r>
      <w:r w:rsidR="00A16B0B">
        <w:rPr>
          <w:rFonts w:asciiTheme="minorHAnsi" w:hAnsiTheme="minorHAnsi"/>
        </w:rPr>
        <w:t>a highly uncertain economic outlook</w:t>
      </w:r>
      <w:r w:rsidR="00A16B0B">
        <w:rPr>
          <w:rStyle w:val="FootnoteReference"/>
          <w:rFonts w:asciiTheme="minorHAnsi" w:hAnsiTheme="minorHAnsi"/>
        </w:rPr>
        <w:footnoteReference w:id="2"/>
      </w:r>
      <w:r w:rsidR="00A16B0B">
        <w:rPr>
          <w:rFonts w:asciiTheme="minorHAnsi" w:hAnsiTheme="minorHAnsi"/>
        </w:rPr>
        <w:t xml:space="preserve"> </w:t>
      </w:r>
      <w:r w:rsidRPr="00A16B0B">
        <w:rPr>
          <w:rFonts w:asciiTheme="minorHAnsi" w:hAnsiTheme="minorHAnsi"/>
        </w:rPr>
        <w:t xml:space="preserve">it is critical to have policy settings that support </w:t>
      </w:r>
      <w:r w:rsidR="005E5826" w:rsidRPr="00A16B0B">
        <w:rPr>
          <w:rFonts w:asciiTheme="minorHAnsi" w:hAnsiTheme="minorHAnsi"/>
        </w:rPr>
        <w:t>productivity</w:t>
      </w:r>
      <w:r w:rsidR="00A16B0B">
        <w:rPr>
          <w:rFonts w:asciiTheme="minorHAnsi" w:hAnsiTheme="minorHAnsi"/>
        </w:rPr>
        <w:t xml:space="preserve"> and </w:t>
      </w:r>
      <w:r w:rsidR="005E5826" w:rsidRPr="00A16B0B">
        <w:rPr>
          <w:rFonts w:asciiTheme="minorHAnsi" w:hAnsiTheme="minorHAnsi"/>
        </w:rPr>
        <w:t>economic</w:t>
      </w:r>
      <w:r w:rsidR="00280440" w:rsidRPr="00A16B0B">
        <w:rPr>
          <w:rFonts w:asciiTheme="minorHAnsi" w:hAnsiTheme="minorHAnsi"/>
        </w:rPr>
        <w:t xml:space="preserve"> growth</w:t>
      </w:r>
      <w:r w:rsidRPr="00A16B0B">
        <w:rPr>
          <w:rFonts w:asciiTheme="minorHAnsi" w:hAnsiTheme="minorHAnsi"/>
        </w:rPr>
        <w:t xml:space="preserve">. </w:t>
      </w:r>
      <w:r w:rsidR="00A16B0B">
        <w:rPr>
          <w:rFonts w:asciiTheme="minorHAnsi" w:hAnsiTheme="minorHAnsi"/>
        </w:rPr>
        <w:t xml:space="preserve">Furthermore, </w:t>
      </w:r>
      <w:r w:rsidR="00C54986">
        <w:rPr>
          <w:rFonts w:asciiTheme="minorHAnsi" w:hAnsiTheme="minorHAnsi"/>
        </w:rPr>
        <w:t xml:space="preserve">faced </w:t>
      </w:r>
      <w:r w:rsidR="005A1650">
        <w:rPr>
          <w:rFonts w:asciiTheme="minorHAnsi" w:hAnsiTheme="minorHAnsi"/>
        </w:rPr>
        <w:t>with an</w:t>
      </w:r>
      <w:r w:rsidR="00181BF0">
        <w:rPr>
          <w:rFonts w:asciiTheme="minorHAnsi" w:hAnsiTheme="minorHAnsi"/>
        </w:rPr>
        <w:t xml:space="preserve"> ageing population</w:t>
      </w:r>
      <w:r w:rsidR="000C19BF">
        <w:rPr>
          <w:rStyle w:val="FootnoteReference"/>
          <w:rFonts w:asciiTheme="minorHAnsi" w:hAnsiTheme="minorHAnsi"/>
        </w:rPr>
        <w:footnoteReference w:id="3"/>
      </w:r>
      <w:r w:rsidR="005A1650">
        <w:rPr>
          <w:rFonts w:asciiTheme="minorHAnsi" w:hAnsiTheme="minorHAnsi"/>
        </w:rPr>
        <w:t>,</w:t>
      </w:r>
      <w:r w:rsidR="00181BF0">
        <w:rPr>
          <w:rFonts w:asciiTheme="minorHAnsi" w:hAnsiTheme="minorHAnsi"/>
        </w:rPr>
        <w:t xml:space="preserve"> Australians </w:t>
      </w:r>
      <w:r w:rsidR="005A1650">
        <w:rPr>
          <w:rFonts w:asciiTheme="minorHAnsi" w:hAnsiTheme="minorHAnsi"/>
        </w:rPr>
        <w:t>need</w:t>
      </w:r>
      <w:r w:rsidR="00181BF0">
        <w:rPr>
          <w:rFonts w:asciiTheme="minorHAnsi" w:hAnsiTheme="minorHAnsi"/>
        </w:rPr>
        <w:t xml:space="preserve"> access to a diverse range of investment opportunities which can be tailored to suit their specific needs.  </w:t>
      </w:r>
    </w:p>
    <w:p w14:paraId="2869DB84" w14:textId="7C1732AD" w:rsidR="005A1650" w:rsidRDefault="005A1650" w:rsidP="005B058D">
      <w:pPr>
        <w:spacing w:line="240" w:lineRule="auto"/>
        <w:rPr>
          <w:rFonts w:asciiTheme="minorHAnsi" w:hAnsiTheme="minorHAnsi"/>
        </w:rPr>
      </w:pPr>
      <w:r>
        <w:rPr>
          <w:rFonts w:asciiTheme="minorHAnsi" w:hAnsiTheme="minorHAnsi"/>
        </w:rPr>
        <w:t>A well-functioning retail corporate bond market can:</w:t>
      </w:r>
    </w:p>
    <w:p w14:paraId="7A8D9F99" w14:textId="49C77FF7" w:rsidR="005A1650" w:rsidRDefault="005A1650" w:rsidP="004578BE">
      <w:pPr>
        <w:pStyle w:val="ListParagraph"/>
        <w:numPr>
          <w:ilvl w:val="0"/>
          <w:numId w:val="6"/>
        </w:numPr>
        <w:spacing w:after="40" w:line="240" w:lineRule="auto"/>
        <w:ind w:left="357" w:hanging="357"/>
        <w:contextualSpacing w:val="0"/>
        <w:rPr>
          <w:rFonts w:asciiTheme="minorHAnsi" w:hAnsiTheme="minorHAnsi"/>
        </w:rPr>
      </w:pPr>
      <w:r>
        <w:rPr>
          <w:rFonts w:asciiTheme="minorHAnsi" w:hAnsiTheme="minorHAnsi"/>
        </w:rPr>
        <w:t>Support</w:t>
      </w:r>
      <w:r w:rsidR="00106D9D">
        <w:rPr>
          <w:rFonts w:asciiTheme="minorHAnsi" w:hAnsiTheme="minorHAnsi"/>
        </w:rPr>
        <w:t xml:space="preserve"> Australia’s</w:t>
      </w:r>
      <w:r>
        <w:rPr>
          <w:rFonts w:asciiTheme="minorHAnsi" w:hAnsiTheme="minorHAnsi"/>
        </w:rPr>
        <w:t xml:space="preserve"> economic growth by reallocating private savings to productive </w:t>
      </w:r>
      <w:r w:rsidR="00106D9D">
        <w:rPr>
          <w:rFonts w:asciiTheme="minorHAnsi" w:hAnsiTheme="minorHAnsi"/>
        </w:rPr>
        <w:t>investments</w:t>
      </w:r>
      <w:r w:rsidR="006C68EC">
        <w:rPr>
          <w:rFonts w:asciiTheme="minorHAnsi" w:hAnsiTheme="minorHAnsi"/>
        </w:rPr>
        <w:t>;</w:t>
      </w:r>
    </w:p>
    <w:p w14:paraId="7056560A" w14:textId="629B1CEE" w:rsidR="005A1650" w:rsidRDefault="00106D9D" w:rsidP="004578BE">
      <w:pPr>
        <w:pStyle w:val="ListParagraph"/>
        <w:numPr>
          <w:ilvl w:val="0"/>
          <w:numId w:val="6"/>
        </w:numPr>
        <w:spacing w:after="40" w:line="240" w:lineRule="auto"/>
        <w:ind w:left="357" w:hanging="357"/>
        <w:contextualSpacing w:val="0"/>
        <w:rPr>
          <w:rFonts w:asciiTheme="minorHAnsi" w:hAnsiTheme="minorHAnsi"/>
        </w:rPr>
      </w:pPr>
      <w:r>
        <w:rPr>
          <w:rFonts w:asciiTheme="minorHAnsi" w:hAnsiTheme="minorHAnsi"/>
        </w:rPr>
        <w:t>Enable improved retirement outcomes for Australian individuals by providing access to</w:t>
      </w:r>
      <w:r w:rsidR="00D65DFD">
        <w:rPr>
          <w:rFonts w:asciiTheme="minorHAnsi" w:hAnsiTheme="minorHAnsi"/>
        </w:rPr>
        <w:t xml:space="preserve"> an</w:t>
      </w:r>
      <w:r>
        <w:rPr>
          <w:rFonts w:asciiTheme="minorHAnsi" w:hAnsiTheme="minorHAnsi"/>
        </w:rPr>
        <w:t xml:space="preserve"> investment class that offers stable income with minimal volatility</w:t>
      </w:r>
      <w:r w:rsidR="006C68EC">
        <w:rPr>
          <w:rFonts w:asciiTheme="minorHAnsi" w:hAnsiTheme="minorHAnsi"/>
        </w:rPr>
        <w:t>; and</w:t>
      </w:r>
    </w:p>
    <w:p w14:paraId="3EBC0A8C" w14:textId="34C1864D" w:rsidR="004E4246" w:rsidRPr="005254DE" w:rsidRDefault="004E4246" w:rsidP="004578BE">
      <w:pPr>
        <w:pStyle w:val="ListParagraph"/>
        <w:numPr>
          <w:ilvl w:val="0"/>
          <w:numId w:val="6"/>
        </w:numPr>
        <w:spacing w:line="240" w:lineRule="auto"/>
        <w:ind w:left="357" w:hanging="357"/>
        <w:contextualSpacing w:val="0"/>
        <w:rPr>
          <w:rFonts w:asciiTheme="minorHAnsi" w:hAnsiTheme="minorHAnsi"/>
        </w:rPr>
      </w:pPr>
      <w:r>
        <w:rPr>
          <w:rFonts w:asciiTheme="minorHAnsi" w:hAnsiTheme="minorHAnsi"/>
        </w:rPr>
        <w:t>S</w:t>
      </w:r>
      <w:r w:rsidRPr="004E4246">
        <w:rPr>
          <w:rFonts w:asciiTheme="minorHAnsi" w:hAnsiTheme="minorHAnsi"/>
        </w:rPr>
        <w:t xml:space="preserve">trengthen the crisis resilience of </w:t>
      </w:r>
      <w:r>
        <w:rPr>
          <w:rFonts w:asciiTheme="minorHAnsi" w:hAnsiTheme="minorHAnsi"/>
        </w:rPr>
        <w:t>Australia’s</w:t>
      </w:r>
      <w:r w:rsidRPr="004E4246">
        <w:rPr>
          <w:rFonts w:asciiTheme="minorHAnsi" w:hAnsiTheme="minorHAnsi"/>
        </w:rPr>
        <w:t xml:space="preserve"> financial system, </w:t>
      </w:r>
      <w:r>
        <w:rPr>
          <w:rFonts w:asciiTheme="minorHAnsi" w:hAnsiTheme="minorHAnsi"/>
        </w:rPr>
        <w:t>by broadening</w:t>
      </w:r>
      <w:r w:rsidRPr="004E4246">
        <w:rPr>
          <w:rFonts w:asciiTheme="minorHAnsi" w:hAnsiTheme="minorHAnsi"/>
        </w:rPr>
        <w:t xml:space="preserve"> the availability of funding for companies</w:t>
      </w:r>
      <w:r>
        <w:rPr>
          <w:rFonts w:asciiTheme="minorHAnsi" w:hAnsiTheme="minorHAnsi"/>
        </w:rPr>
        <w:t xml:space="preserve"> beyond traditional bank lending and offshore wholesale debt markets.</w:t>
      </w:r>
    </w:p>
    <w:p w14:paraId="40C25449" w14:textId="5FD2612D" w:rsidR="00181BF0" w:rsidRDefault="005254DE" w:rsidP="00443F7B">
      <w:pPr>
        <w:spacing w:line="240" w:lineRule="auto"/>
        <w:rPr>
          <w:rFonts w:asciiTheme="minorHAnsi" w:hAnsiTheme="minorHAnsi"/>
        </w:rPr>
      </w:pPr>
      <w:r>
        <w:rPr>
          <w:rFonts w:asciiTheme="minorHAnsi" w:hAnsiTheme="minorHAnsi"/>
        </w:rPr>
        <w:t>Because of</w:t>
      </w:r>
      <w:r w:rsidR="001D4376" w:rsidRPr="00A16B0B">
        <w:rPr>
          <w:rFonts w:asciiTheme="minorHAnsi" w:hAnsiTheme="minorHAnsi"/>
        </w:rPr>
        <w:t xml:space="preserve"> inhibitory policy settings, Australia has an underdeveloped retail corporate bond market. </w:t>
      </w:r>
      <w:r w:rsidR="007F707B" w:rsidRPr="00A16B0B">
        <w:rPr>
          <w:rFonts w:asciiTheme="minorHAnsi" w:hAnsiTheme="minorHAnsi"/>
        </w:rPr>
        <w:t>With the right</w:t>
      </w:r>
      <w:r w:rsidR="00AA586B" w:rsidRPr="00A16B0B">
        <w:rPr>
          <w:rFonts w:asciiTheme="minorHAnsi" w:hAnsiTheme="minorHAnsi"/>
        </w:rPr>
        <w:t xml:space="preserve"> regulatory </w:t>
      </w:r>
      <w:r w:rsidR="007F707B" w:rsidRPr="00A16B0B">
        <w:rPr>
          <w:rFonts w:asciiTheme="minorHAnsi" w:hAnsiTheme="minorHAnsi"/>
        </w:rPr>
        <w:t>settings,</w:t>
      </w:r>
      <w:r w:rsidR="003305BC" w:rsidRPr="00A16B0B">
        <w:rPr>
          <w:rFonts w:asciiTheme="minorHAnsi" w:hAnsiTheme="minorHAnsi"/>
        </w:rPr>
        <w:t xml:space="preserve"> </w:t>
      </w:r>
      <w:r w:rsidR="00CC613A" w:rsidRPr="00A16B0B">
        <w:rPr>
          <w:rFonts w:asciiTheme="minorHAnsi" w:hAnsiTheme="minorHAnsi"/>
        </w:rPr>
        <w:t xml:space="preserve">the </w:t>
      </w:r>
      <w:r w:rsidR="00D90862" w:rsidRPr="00A16B0B">
        <w:rPr>
          <w:rFonts w:asciiTheme="minorHAnsi" w:hAnsiTheme="minorHAnsi"/>
        </w:rPr>
        <w:t xml:space="preserve">issuer barriers </w:t>
      </w:r>
      <w:r w:rsidR="006B7259" w:rsidRPr="00A16B0B">
        <w:rPr>
          <w:rFonts w:asciiTheme="minorHAnsi" w:hAnsiTheme="minorHAnsi"/>
        </w:rPr>
        <w:t>can be streamlined</w:t>
      </w:r>
      <w:r w:rsidR="00B77F8E" w:rsidRPr="00A16B0B">
        <w:rPr>
          <w:rFonts w:asciiTheme="minorHAnsi" w:hAnsiTheme="minorHAnsi"/>
        </w:rPr>
        <w:t xml:space="preserve"> </w:t>
      </w:r>
      <w:r w:rsidR="00324572" w:rsidRPr="00A16B0B">
        <w:rPr>
          <w:rFonts w:asciiTheme="minorHAnsi" w:hAnsiTheme="minorHAnsi"/>
        </w:rPr>
        <w:t xml:space="preserve">to </w:t>
      </w:r>
      <w:r w:rsidR="00410939" w:rsidRPr="00A16B0B">
        <w:rPr>
          <w:rFonts w:asciiTheme="minorHAnsi" w:hAnsiTheme="minorHAnsi"/>
        </w:rPr>
        <w:t>unlock the potential of Australia’s retail corporate bond market.</w:t>
      </w:r>
      <w:r w:rsidR="006C5D28" w:rsidRPr="00A16B0B">
        <w:rPr>
          <w:rFonts w:asciiTheme="minorHAnsi" w:hAnsiTheme="minorHAnsi"/>
        </w:rPr>
        <w:t xml:space="preserve"> </w:t>
      </w:r>
    </w:p>
    <w:p w14:paraId="2AE9C582" w14:textId="20432B2F" w:rsidR="003305BC" w:rsidRDefault="003305BC" w:rsidP="00443F7B">
      <w:pPr>
        <w:spacing w:line="240" w:lineRule="auto"/>
        <w:rPr>
          <w:rFonts w:asciiTheme="minorHAnsi" w:hAnsiTheme="minorHAnsi"/>
          <w:b/>
          <w:bCs/>
        </w:rPr>
      </w:pPr>
      <w:r w:rsidRPr="004D5CFC">
        <w:rPr>
          <w:rFonts w:asciiTheme="minorHAnsi" w:hAnsiTheme="minorHAnsi"/>
          <w:b/>
          <w:bCs/>
        </w:rPr>
        <w:t>Why develop Australia’s corporate bond market?</w:t>
      </w:r>
    </w:p>
    <w:p w14:paraId="76B5991E" w14:textId="50170E18" w:rsidR="003305BC" w:rsidRPr="004D5CFC" w:rsidRDefault="003305BC" w:rsidP="00443F7B">
      <w:pPr>
        <w:spacing w:line="240" w:lineRule="auto"/>
        <w:rPr>
          <w:rFonts w:asciiTheme="minorHAnsi" w:hAnsiTheme="minorHAnsi"/>
        </w:rPr>
      </w:pPr>
      <w:r>
        <w:rPr>
          <w:rFonts w:asciiTheme="minorHAnsi" w:hAnsiTheme="minorHAnsi"/>
        </w:rPr>
        <w:t>In recognition of the economic benefits provided by the availability of diverse forms of capital/credit</w:t>
      </w:r>
      <w:r w:rsidR="00BA6276">
        <w:rPr>
          <w:rFonts w:asciiTheme="minorHAnsi" w:hAnsiTheme="minorHAnsi"/>
        </w:rPr>
        <w:t>,</w:t>
      </w:r>
      <w:r>
        <w:rPr>
          <w:rFonts w:asciiTheme="minorHAnsi" w:hAnsiTheme="minorHAnsi"/>
        </w:rPr>
        <w:t xml:space="preserve"> there has been a concerted effort across many jurisdictions to facilitate the growth of corporate bond markets</w:t>
      </w:r>
      <w:r w:rsidR="00B17B12">
        <w:rPr>
          <w:rStyle w:val="FootnoteReference"/>
          <w:rFonts w:asciiTheme="minorHAnsi" w:hAnsiTheme="minorHAnsi"/>
        </w:rPr>
        <w:footnoteReference w:id="4"/>
      </w:r>
      <w:r>
        <w:rPr>
          <w:rFonts w:asciiTheme="minorHAnsi" w:hAnsiTheme="minorHAnsi"/>
        </w:rPr>
        <w:t>.</w:t>
      </w:r>
    </w:p>
    <w:p w14:paraId="3B7F612A" w14:textId="607863F0" w:rsidR="003305BC" w:rsidRDefault="003305BC" w:rsidP="003305BC">
      <w:pPr>
        <w:spacing w:line="240" w:lineRule="auto"/>
        <w:rPr>
          <w:rFonts w:asciiTheme="minorHAnsi" w:hAnsiTheme="minorHAnsi"/>
        </w:rPr>
      </w:pPr>
      <w:r w:rsidRPr="00213D21">
        <w:rPr>
          <w:rFonts w:asciiTheme="minorHAnsi" w:hAnsiTheme="minorHAnsi"/>
        </w:rPr>
        <w:lastRenderedPageBreak/>
        <w:t>A well-developed retail</w:t>
      </w:r>
      <w:r>
        <w:rPr>
          <w:rFonts w:asciiTheme="minorHAnsi" w:hAnsiTheme="minorHAnsi"/>
        </w:rPr>
        <w:t xml:space="preserve"> </w:t>
      </w:r>
      <w:r w:rsidRPr="00213D21">
        <w:rPr>
          <w:rFonts w:asciiTheme="minorHAnsi" w:hAnsiTheme="minorHAnsi"/>
        </w:rPr>
        <w:t>corporate bond market offers significant benefits for the economy and its participants:</w:t>
      </w:r>
    </w:p>
    <w:p w14:paraId="20BF4CD2" w14:textId="350A9798" w:rsidR="003305BC" w:rsidRDefault="003305BC" w:rsidP="004578BE">
      <w:pPr>
        <w:pStyle w:val="ListParagraph"/>
        <w:numPr>
          <w:ilvl w:val="0"/>
          <w:numId w:val="5"/>
        </w:numPr>
        <w:spacing w:after="40" w:line="240" w:lineRule="auto"/>
        <w:ind w:left="357" w:hanging="357"/>
        <w:contextualSpacing w:val="0"/>
        <w:rPr>
          <w:rFonts w:asciiTheme="minorHAnsi" w:hAnsiTheme="minorHAnsi"/>
        </w:rPr>
      </w:pPr>
      <w:r w:rsidRPr="001A34A8">
        <w:rPr>
          <w:rFonts w:asciiTheme="minorHAnsi" w:hAnsiTheme="minorHAnsi"/>
          <w:b/>
          <w:bCs/>
        </w:rPr>
        <w:t xml:space="preserve">For </w:t>
      </w:r>
      <w:r w:rsidR="008015D5">
        <w:rPr>
          <w:rFonts w:asciiTheme="minorHAnsi" w:hAnsiTheme="minorHAnsi"/>
          <w:b/>
          <w:bCs/>
        </w:rPr>
        <w:t>c</w:t>
      </w:r>
      <w:r w:rsidRPr="001A34A8">
        <w:rPr>
          <w:rFonts w:asciiTheme="minorHAnsi" w:hAnsiTheme="minorHAnsi"/>
          <w:b/>
          <w:bCs/>
        </w:rPr>
        <w:t xml:space="preserve">orporate </w:t>
      </w:r>
      <w:r w:rsidR="008015D5">
        <w:rPr>
          <w:rFonts w:asciiTheme="minorHAnsi" w:hAnsiTheme="minorHAnsi"/>
          <w:b/>
          <w:bCs/>
        </w:rPr>
        <w:t>b</w:t>
      </w:r>
      <w:r w:rsidRPr="001A34A8">
        <w:rPr>
          <w:rFonts w:asciiTheme="minorHAnsi" w:hAnsiTheme="minorHAnsi"/>
          <w:b/>
          <w:bCs/>
        </w:rPr>
        <w:t>orrowers:</w:t>
      </w:r>
      <w:r w:rsidRPr="001A34A8">
        <w:rPr>
          <w:rFonts w:asciiTheme="minorHAnsi" w:hAnsiTheme="minorHAnsi"/>
        </w:rPr>
        <w:t xml:space="preserve"> A vibrant retail bond market </w:t>
      </w:r>
      <w:r w:rsidR="00BE61E8">
        <w:rPr>
          <w:rFonts w:asciiTheme="minorHAnsi" w:hAnsiTheme="minorHAnsi"/>
        </w:rPr>
        <w:t xml:space="preserve">would </w:t>
      </w:r>
      <w:r w:rsidRPr="001A34A8">
        <w:rPr>
          <w:rFonts w:asciiTheme="minorHAnsi" w:hAnsiTheme="minorHAnsi"/>
        </w:rPr>
        <w:t xml:space="preserve">provide a </w:t>
      </w:r>
      <w:r w:rsidR="006A4635">
        <w:rPr>
          <w:rFonts w:asciiTheme="minorHAnsi" w:hAnsiTheme="minorHAnsi"/>
        </w:rPr>
        <w:t xml:space="preserve">source of capital in addition </w:t>
      </w:r>
      <w:r w:rsidRPr="001A34A8">
        <w:rPr>
          <w:rFonts w:asciiTheme="minorHAnsi" w:hAnsiTheme="minorHAnsi"/>
        </w:rPr>
        <w:t xml:space="preserve">to equity, bank debt and wholesale </w:t>
      </w:r>
      <w:r>
        <w:rPr>
          <w:rFonts w:asciiTheme="minorHAnsi" w:hAnsiTheme="minorHAnsi"/>
        </w:rPr>
        <w:t>bonds</w:t>
      </w:r>
      <w:r w:rsidRPr="001A34A8">
        <w:rPr>
          <w:rFonts w:asciiTheme="minorHAnsi" w:hAnsiTheme="minorHAnsi"/>
        </w:rPr>
        <w:t>, enabling diversification of funding sources and more flexibility in responding to changing market conditions</w:t>
      </w:r>
      <w:r w:rsidR="00A131FE">
        <w:rPr>
          <w:rStyle w:val="FootnoteReference"/>
          <w:rFonts w:asciiTheme="minorHAnsi" w:hAnsiTheme="minorHAnsi"/>
        </w:rPr>
        <w:footnoteReference w:id="5"/>
      </w:r>
      <w:r w:rsidRPr="001A34A8">
        <w:rPr>
          <w:rFonts w:asciiTheme="minorHAnsi" w:hAnsiTheme="minorHAnsi"/>
        </w:rPr>
        <w:t xml:space="preserve">. </w:t>
      </w:r>
      <w:r>
        <w:rPr>
          <w:rFonts w:asciiTheme="minorHAnsi" w:hAnsiTheme="minorHAnsi"/>
        </w:rPr>
        <w:t xml:space="preserve">The broadening of funding avenues </w:t>
      </w:r>
      <w:r w:rsidRPr="001A34A8">
        <w:rPr>
          <w:rFonts w:asciiTheme="minorHAnsi" w:hAnsiTheme="minorHAnsi"/>
        </w:rPr>
        <w:t xml:space="preserve">can lead to more competitive terms and lower </w:t>
      </w:r>
      <w:r>
        <w:rPr>
          <w:rFonts w:asciiTheme="minorHAnsi" w:hAnsiTheme="minorHAnsi"/>
        </w:rPr>
        <w:t>capital costs</w:t>
      </w:r>
      <w:r w:rsidRPr="001A34A8">
        <w:rPr>
          <w:rFonts w:asciiTheme="minorHAnsi" w:hAnsiTheme="minorHAnsi"/>
        </w:rPr>
        <w:t xml:space="preserve">, </w:t>
      </w:r>
      <w:r>
        <w:rPr>
          <w:rFonts w:asciiTheme="minorHAnsi" w:hAnsiTheme="minorHAnsi"/>
        </w:rPr>
        <w:t>driving increased</w:t>
      </w:r>
      <w:r w:rsidRPr="001A34A8">
        <w:rPr>
          <w:rFonts w:asciiTheme="minorHAnsi" w:hAnsiTheme="minorHAnsi"/>
        </w:rPr>
        <w:t xml:space="preserve"> business investment and job creation. Additionally, a strong domestic bond market reduces reliance on offshore funding, thereby mitigating currency risks and funding instability, particularly during global market shocks. This is particularly pertinent given Australia’s current heavy reliance on offshore </w:t>
      </w:r>
      <w:r>
        <w:rPr>
          <w:rFonts w:asciiTheme="minorHAnsi" w:hAnsiTheme="minorHAnsi"/>
        </w:rPr>
        <w:t>debt markets</w:t>
      </w:r>
      <w:r w:rsidRPr="001A34A8">
        <w:rPr>
          <w:rFonts w:asciiTheme="minorHAnsi" w:hAnsiTheme="minorHAnsi"/>
        </w:rPr>
        <w:t xml:space="preserve">, which currently </w:t>
      </w:r>
      <w:r>
        <w:rPr>
          <w:rFonts w:asciiTheme="minorHAnsi" w:hAnsiTheme="minorHAnsi"/>
        </w:rPr>
        <w:t>underpin</w:t>
      </w:r>
      <w:r w:rsidRPr="001A34A8">
        <w:rPr>
          <w:rFonts w:asciiTheme="minorHAnsi" w:hAnsiTheme="minorHAnsi"/>
        </w:rPr>
        <w:t xml:space="preserve"> </w:t>
      </w:r>
      <w:r>
        <w:rPr>
          <w:rFonts w:asciiTheme="minorHAnsi" w:hAnsiTheme="minorHAnsi"/>
        </w:rPr>
        <w:t>~</w:t>
      </w:r>
      <w:r w:rsidRPr="001A34A8">
        <w:rPr>
          <w:rFonts w:asciiTheme="minorHAnsi" w:hAnsiTheme="minorHAnsi"/>
        </w:rPr>
        <w:t>60% of</w:t>
      </w:r>
      <w:r>
        <w:rPr>
          <w:rFonts w:asciiTheme="minorHAnsi" w:hAnsiTheme="minorHAnsi"/>
        </w:rPr>
        <w:t xml:space="preserve"> Australia’s corporate bond</w:t>
      </w:r>
      <w:r w:rsidRPr="001A34A8">
        <w:rPr>
          <w:rFonts w:asciiTheme="minorHAnsi" w:hAnsiTheme="minorHAnsi"/>
        </w:rPr>
        <w:t xml:space="preserve"> issuance</w:t>
      </w:r>
      <w:r w:rsidR="00B17B12">
        <w:rPr>
          <w:rStyle w:val="FootnoteReference"/>
          <w:rFonts w:asciiTheme="minorHAnsi" w:hAnsiTheme="minorHAnsi"/>
        </w:rPr>
        <w:footnoteReference w:id="6"/>
      </w:r>
      <w:r w:rsidRPr="001A34A8">
        <w:rPr>
          <w:rFonts w:asciiTheme="minorHAnsi" w:hAnsiTheme="minorHAnsi"/>
        </w:rPr>
        <w:t xml:space="preserve">. </w:t>
      </w:r>
    </w:p>
    <w:p w14:paraId="41334BE8" w14:textId="34AC4A70" w:rsidR="00CB5303" w:rsidRPr="00720903" w:rsidRDefault="003305BC" w:rsidP="004578BE">
      <w:pPr>
        <w:pStyle w:val="ListParagraph"/>
        <w:numPr>
          <w:ilvl w:val="0"/>
          <w:numId w:val="5"/>
        </w:numPr>
        <w:spacing w:after="40" w:line="240" w:lineRule="auto"/>
        <w:ind w:left="357" w:hanging="357"/>
        <w:contextualSpacing w:val="0"/>
        <w:rPr>
          <w:rFonts w:asciiTheme="minorHAnsi" w:hAnsiTheme="minorHAnsi"/>
          <w:caps/>
        </w:rPr>
      </w:pPr>
      <w:r w:rsidRPr="00CB5303">
        <w:rPr>
          <w:rFonts w:asciiTheme="minorHAnsi" w:hAnsiTheme="minorHAnsi"/>
          <w:b/>
          <w:bCs/>
        </w:rPr>
        <w:t xml:space="preserve">For </w:t>
      </w:r>
      <w:r w:rsidR="008015D5" w:rsidRPr="00CB5303">
        <w:rPr>
          <w:rFonts w:asciiTheme="minorHAnsi" w:hAnsiTheme="minorHAnsi"/>
          <w:b/>
          <w:bCs/>
        </w:rPr>
        <w:t>r</w:t>
      </w:r>
      <w:r w:rsidRPr="00CB5303">
        <w:rPr>
          <w:rFonts w:asciiTheme="minorHAnsi" w:hAnsiTheme="minorHAnsi"/>
          <w:b/>
          <w:bCs/>
        </w:rPr>
        <w:t xml:space="preserve">etail </w:t>
      </w:r>
      <w:r w:rsidR="008015D5" w:rsidRPr="00CB5303">
        <w:rPr>
          <w:rFonts w:asciiTheme="minorHAnsi" w:hAnsiTheme="minorHAnsi"/>
          <w:b/>
          <w:bCs/>
        </w:rPr>
        <w:t>i</w:t>
      </w:r>
      <w:r w:rsidRPr="00CB5303">
        <w:rPr>
          <w:rFonts w:asciiTheme="minorHAnsi" w:hAnsiTheme="minorHAnsi"/>
          <w:b/>
          <w:bCs/>
        </w:rPr>
        <w:t>nvestors:</w:t>
      </w:r>
      <w:r w:rsidRPr="00CB5303">
        <w:rPr>
          <w:rFonts w:asciiTheme="minorHAnsi" w:hAnsiTheme="minorHAnsi"/>
        </w:rPr>
        <w:t xml:space="preserve"> Corporate bonds represent a key asset class that offers </w:t>
      </w:r>
      <w:r w:rsidR="00557A41">
        <w:rPr>
          <w:rFonts w:asciiTheme="minorHAnsi" w:hAnsiTheme="minorHAnsi"/>
        </w:rPr>
        <w:t>more price and yield stability</w:t>
      </w:r>
      <w:r w:rsidR="00371604" w:rsidRPr="00CB5303">
        <w:rPr>
          <w:rFonts w:asciiTheme="minorHAnsi" w:hAnsiTheme="minorHAnsi"/>
        </w:rPr>
        <w:t xml:space="preserve"> </w:t>
      </w:r>
      <w:r w:rsidRPr="00CB5303">
        <w:rPr>
          <w:rFonts w:asciiTheme="minorHAnsi" w:hAnsiTheme="minorHAnsi"/>
        </w:rPr>
        <w:t xml:space="preserve">than equities, higher and longer-dated returns than bank deposits, and greater liquidity than real property. </w:t>
      </w:r>
      <w:r w:rsidR="0071162C" w:rsidRPr="00CB5303">
        <w:rPr>
          <w:rFonts w:asciiTheme="minorHAnsi" w:hAnsiTheme="minorHAnsi"/>
        </w:rPr>
        <w:t xml:space="preserve">These characteristics </w:t>
      </w:r>
      <w:r w:rsidR="004806AB">
        <w:rPr>
          <w:rFonts w:asciiTheme="minorHAnsi" w:hAnsiTheme="minorHAnsi"/>
        </w:rPr>
        <w:t xml:space="preserve">can </w:t>
      </w:r>
      <w:r w:rsidR="00CB5303" w:rsidRPr="00CB5303">
        <w:rPr>
          <w:rFonts w:asciiTheme="minorHAnsi" w:hAnsiTheme="minorHAnsi"/>
        </w:rPr>
        <w:t xml:space="preserve">support a well-diversified investment portfolio and </w:t>
      </w:r>
      <w:r w:rsidR="0071162C" w:rsidRPr="00CB5303">
        <w:rPr>
          <w:rFonts w:asciiTheme="minorHAnsi" w:hAnsiTheme="minorHAnsi"/>
        </w:rPr>
        <w:t>are often highly desired by retail investors, particularly those at or nearing retirement</w:t>
      </w:r>
      <w:r w:rsidR="00CB5303">
        <w:rPr>
          <w:rFonts w:asciiTheme="minorHAnsi" w:hAnsiTheme="minorHAnsi"/>
        </w:rPr>
        <w:t>.</w:t>
      </w:r>
      <w:r w:rsidR="0071162C" w:rsidRPr="00CB5303">
        <w:rPr>
          <w:rFonts w:asciiTheme="minorHAnsi" w:hAnsiTheme="minorHAnsi"/>
        </w:rPr>
        <w:t xml:space="preserve"> </w:t>
      </w:r>
      <w:r w:rsidR="00D73D41">
        <w:rPr>
          <w:rFonts w:asciiTheme="minorHAnsi" w:hAnsiTheme="minorHAnsi"/>
        </w:rPr>
        <w:t>This asset class is important</w:t>
      </w:r>
      <w:r w:rsidR="002936E7">
        <w:rPr>
          <w:rFonts w:asciiTheme="minorHAnsi" w:hAnsiTheme="minorHAnsi"/>
        </w:rPr>
        <w:t xml:space="preserve"> as the hybrid market winds-down over the next 6 years.</w:t>
      </w:r>
    </w:p>
    <w:p w14:paraId="06AA71F8" w14:textId="492C69FC" w:rsidR="00720903" w:rsidRPr="00804AEE" w:rsidRDefault="00720903" w:rsidP="00804AEE">
      <w:pPr>
        <w:pStyle w:val="ListParagraph"/>
        <w:numPr>
          <w:ilvl w:val="0"/>
          <w:numId w:val="5"/>
        </w:numPr>
        <w:spacing w:before="240" w:line="240" w:lineRule="auto"/>
        <w:rPr>
          <w:rFonts w:asciiTheme="minorHAnsi" w:hAnsiTheme="minorHAnsi"/>
          <w:caps/>
        </w:rPr>
      </w:pPr>
      <w:r>
        <w:rPr>
          <w:rFonts w:asciiTheme="minorHAnsi" w:hAnsiTheme="minorHAnsi"/>
          <w:b/>
          <w:bCs/>
        </w:rPr>
        <w:t>For both borrowers and investors:</w:t>
      </w:r>
      <w:r>
        <w:rPr>
          <w:rFonts w:asciiTheme="minorHAnsi" w:hAnsiTheme="minorHAnsi"/>
          <w:caps/>
        </w:rPr>
        <w:t xml:space="preserve"> </w:t>
      </w:r>
      <w:r>
        <w:rPr>
          <w:rFonts w:asciiTheme="minorHAnsi" w:hAnsiTheme="minorHAnsi"/>
        </w:rPr>
        <w:t>By c</w:t>
      </w:r>
      <w:r w:rsidRPr="00720903">
        <w:rPr>
          <w:rFonts w:asciiTheme="minorHAnsi" w:hAnsiTheme="minorHAnsi"/>
        </w:rPr>
        <w:t>ombining demand from multiple buying groups, including retail and institutional investors, issuers can</w:t>
      </w:r>
      <w:r>
        <w:rPr>
          <w:rFonts w:asciiTheme="minorHAnsi" w:hAnsiTheme="minorHAnsi"/>
        </w:rPr>
        <w:t xml:space="preserve"> a</w:t>
      </w:r>
      <w:r w:rsidRPr="00720903">
        <w:rPr>
          <w:rFonts w:asciiTheme="minorHAnsi" w:hAnsiTheme="minorHAnsi"/>
        </w:rPr>
        <w:t xml:space="preserve">ccess funding in challenging economic times </w:t>
      </w:r>
      <w:r>
        <w:rPr>
          <w:rFonts w:asciiTheme="minorHAnsi" w:hAnsiTheme="minorHAnsi"/>
        </w:rPr>
        <w:t>(</w:t>
      </w:r>
      <w:r w:rsidRPr="00720903">
        <w:rPr>
          <w:rFonts w:asciiTheme="minorHAnsi" w:hAnsiTheme="minorHAnsi"/>
        </w:rPr>
        <w:t>as we’ve seen through listed bonds in the past</w:t>
      </w:r>
      <w:r>
        <w:rPr>
          <w:rStyle w:val="FootnoteReference"/>
          <w:rFonts w:asciiTheme="minorHAnsi" w:hAnsiTheme="minorHAnsi"/>
        </w:rPr>
        <w:footnoteReference w:id="7"/>
      </w:r>
      <w:r>
        <w:rPr>
          <w:rFonts w:asciiTheme="minorHAnsi" w:hAnsiTheme="minorHAnsi"/>
        </w:rPr>
        <w:t>)</w:t>
      </w:r>
      <w:r w:rsidRPr="00720903">
        <w:rPr>
          <w:rFonts w:asciiTheme="minorHAnsi" w:hAnsiTheme="minorHAnsi"/>
        </w:rPr>
        <w:t xml:space="preserve"> and investors can access liquidity under stress from a diverse range of buyers.</w:t>
      </w:r>
    </w:p>
    <w:p w14:paraId="127F1ED2" w14:textId="7CD30A04" w:rsidR="002112B4" w:rsidRPr="00CB5303" w:rsidRDefault="00557A41" w:rsidP="00CB5303">
      <w:pPr>
        <w:spacing w:before="240" w:line="240" w:lineRule="auto"/>
        <w:rPr>
          <w:rFonts w:asciiTheme="minorHAnsi" w:hAnsiTheme="minorHAnsi"/>
          <w:caps/>
        </w:rPr>
      </w:pPr>
      <w:r>
        <w:rPr>
          <w:rFonts w:asciiTheme="minorHAnsi" w:hAnsiTheme="minorHAnsi"/>
          <w:b/>
          <w:bCs/>
        </w:rPr>
        <w:t>Status</w:t>
      </w:r>
      <w:r w:rsidR="002112B4">
        <w:rPr>
          <w:rFonts w:asciiTheme="minorHAnsi" w:hAnsiTheme="minorHAnsi"/>
          <w:b/>
          <w:bCs/>
        </w:rPr>
        <w:t xml:space="preserve"> of </w:t>
      </w:r>
      <w:r w:rsidR="002112B4" w:rsidRPr="004D5CFC">
        <w:rPr>
          <w:rFonts w:asciiTheme="minorHAnsi" w:hAnsiTheme="minorHAnsi"/>
          <w:b/>
          <w:bCs/>
        </w:rPr>
        <w:t>Australia’s corporate bond market</w:t>
      </w:r>
    </w:p>
    <w:p w14:paraId="760F1AAA" w14:textId="187063D6" w:rsidR="00131C2A" w:rsidRDefault="00213D21" w:rsidP="00443F7B">
      <w:pPr>
        <w:spacing w:line="240" w:lineRule="auto"/>
        <w:rPr>
          <w:rFonts w:asciiTheme="minorHAnsi" w:hAnsiTheme="minorHAnsi"/>
        </w:rPr>
      </w:pPr>
      <w:r w:rsidRPr="00213D21">
        <w:rPr>
          <w:rFonts w:asciiTheme="minorHAnsi" w:hAnsiTheme="minorHAnsi"/>
        </w:rPr>
        <w:t>Despite the clear benefits, Australia</w:t>
      </w:r>
      <w:r w:rsidR="005254DE">
        <w:rPr>
          <w:rFonts w:asciiTheme="minorHAnsi" w:hAnsiTheme="minorHAnsi"/>
        </w:rPr>
        <w:t>’s</w:t>
      </w:r>
      <w:r w:rsidRPr="00213D21">
        <w:rPr>
          <w:rFonts w:asciiTheme="minorHAnsi" w:hAnsiTheme="minorHAnsi"/>
        </w:rPr>
        <w:t xml:space="preserve"> corporate bond market remains underdeveloped compared to global peers</w:t>
      </w:r>
      <w:r w:rsidR="007838F2" w:rsidRPr="009D6BCA">
        <w:rPr>
          <w:rFonts w:asciiTheme="minorHAnsi" w:hAnsiTheme="minorHAnsi"/>
        </w:rPr>
        <w:t>.</w:t>
      </w:r>
      <w:r w:rsidR="00454732" w:rsidRPr="00241F41">
        <w:rPr>
          <w:rFonts w:asciiTheme="minorHAnsi" w:hAnsiTheme="minorHAnsi"/>
        </w:rPr>
        <w:t xml:space="preserve"> I</w:t>
      </w:r>
      <w:r w:rsidR="007838F2" w:rsidRPr="009D6BCA">
        <w:rPr>
          <w:rFonts w:asciiTheme="minorHAnsi" w:hAnsiTheme="minorHAnsi"/>
        </w:rPr>
        <w:t>ssuance is concentrated among a small number of large corporations</w:t>
      </w:r>
      <w:r w:rsidR="00732D6B">
        <w:rPr>
          <w:rFonts w:asciiTheme="minorHAnsi" w:hAnsiTheme="minorHAnsi"/>
        </w:rPr>
        <w:t xml:space="preserve"> (</w:t>
      </w:r>
      <w:r w:rsidR="0071162C">
        <w:rPr>
          <w:rFonts w:asciiTheme="minorHAnsi" w:hAnsiTheme="minorHAnsi"/>
        </w:rPr>
        <w:t>predominantly</w:t>
      </w:r>
      <w:r w:rsidR="00732D6B">
        <w:rPr>
          <w:rFonts w:asciiTheme="minorHAnsi" w:hAnsiTheme="minorHAnsi"/>
        </w:rPr>
        <w:t xml:space="preserve"> banks</w:t>
      </w:r>
      <w:r w:rsidR="006828E2">
        <w:rPr>
          <w:rStyle w:val="FootnoteReference"/>
          <w:rFonts w:asciiTheme="minorHAnsi" w:hAnsiTheme="minorHAnsi"/>
        </w:rPr>
        <w:footnoteReference w:id="8"/>
      </w:r>
      <w:r w:rsidR="00732D6B">
        <w:rPr>
          <w:rFonts w:asciiTheme="minorHAnsi" w:hAnsiTheme="minorHAnsi"/>
        </w:rPr>
        <w:t>)</w:t>
      </w:r>
      <w:r w:rsidR="007838F2" w:rsidRPr="009D6BCA">
        <w:rPr>
          <w:rFonts w:asciiTheme="minorHAnsi" w:hAnsiTheme="minorHAnsi"/>
        </w:rPr>
        <w:t xml:space="preserve">, and the investor base is largely </w:t>
      </w:r>
      <w:r w:rsidR="00EE3CF0" w:rsidRPr="00241F41">
        <w:rPr>
          <w:rFonts w:asciiTheme="minorHAnsi" w:hAnsiTheme="minorHAnsi"/>
        </w:rPr>
        <w:t>wholesale</w:t>
      </w:r>
      <w:r w:rsidR="000639F3">
        <w:rPr>
          <w:rFonts w:asciiTheme="minorHAnsi" w:hAnsiTheme="minorHAnsi"/>
        </w:rPr>
        <w:t xml:space="preserve"> (commonly institutional)</w:t>
      </w:r>
      <w:r w:rsidR="007838F2" w:rsidRPr="009D6BCA">
        <w:rPr>
          <w:rFonts w:asciiTheme="minorHAnsi" w:hAnsiTheme="minorHAnsi"/>
        </w:rPr>
        <w:t xml:space="preserve"> investors, with </w:t>
      </w:r>
      <w:r w:rsidR="006A4635">
        <w:rPr>
          <w:rFonts w:asciiTheme="minorHAnsi" w:hAnsiTheme="minorHAnsi"/>
        </w:rPr>
        <w:t xml:space="preserve">very </w:t>
      </w:r>
      <w:r w:rsidR="00CA3BE8" w:rsidRPr="00241F41">
        <w:rPr>
          <w:rFonts w:asciiTheme="minorHAnsi" w:hAnsiTheme="minorHAnsi"/>
        </w:rPr>
        <w:t>limited</w:t>
      </w:r>
      <w:r w:rsidR="007838F2" w:rsidRPr="009D6BCA">
        <w:rPr>
          <w:rFonts w:asciiTheme="minorHAnsi" w:hAnsiTheme="minorHAnsi"/>
        </w:rPr>
        <w:t xml:space="preserve"> retail participation.</w:t>
      </w:r>
      <w:r w:rsidR="00252052">
        <w:rPr>
          <w:rFonts w:asciiTheme="minorHAnsi" w:hAnsiTheme="minorHAnsi"/>
        </w:rPr>
        <w:t xml:space="preserve"> </w:t>
      </w:r>
    </w:p>
    <w:p w14:paraId="56870453" w14:textId="6CFC0977" w:rsidR="005B058D" w:rsidRDefault="00F50510" w:rsidP="3DD062A2">
      <w:pPr>
        <w:spacing w:line="240" w:lineRule="auto"/>
        <w:rPr>
          <w:rFonts w:asciiTheme="minorHAnsi" w:hAnsiTheme="minorHAnsi"/>
        </w:rPr>
      </w:pPr>
      <w:r w:rsidRPr="3DD062A2">
        <w:rPr>
          <w:rFonts w:asciiTheme="minorHAnsi" w:hAnsiTheme="minorHAnsi"/>
        </w:rPr>
        <w:t xml:space="preserve">Currently, </w:t>
      </w:r>
      <w:r w:rsidRPr="00520592">
        <w:rPr>
          <w:rFonts w:asciiTheme="minorHAnsi" w:hAnsiTheme="minorHAnsi"/>
        </w:rPr>
        <w:t xml:space="preserve">there are only </w:t>
      </w:r>
      <w:r w:rsidR="00DF7208" w:rsidRPr="00520592">
        <w:rPr>
          <w:rFonts w:asciiTheme="minorHAnsi" w:hAnsiTheme="minorHAnsi"/>
        </w:rPr>
        <w:t xml:space="preserve">four </w:t>
      </w:r>
      <w:r w:rsidRPr="00520592">
        <w:rPr>
          <w:rFonts w:asciiTheme="minorHAnsi" w:hAnsiTheme="minorHAnsi"/>
        </w:rPr>
        <w:t>corporate bonds</w:t>
      </w:r>
      <w:r w:rsidR="00814247" w:rsidRPr="00520592">
        <w:rPr>
          <w:rFonts w:asciiTheme="minorHAnsi" w:hAnsiTheme="minorHAnsi"/>
        </w:rPr>
        <w:t xml:space="preserve"> in Australia</w:t>
      </w:r>
      <w:r w:rsidRPr="00520592">
        <w:rPr>
          <w:rFonts w:asciiTheme="minorHAnsi" w:hAnsiTheme="minorHAnsi"/>
        </w:rPr>
        <w:t xml:space="preserve"> that are </w:t>
      </w:r>
      <w:r w:rsidR="00A131FE" w:rsidRPr="00520592">
        <w:rPr>
          <w:rFonts w:asciiTheme="minorHAnsi" w:hAnsiTheme="minorHAnsi"/>
        </w:rPr>
        <w:t xml:space="preserve">directly </w:t>
      </w:r>
      <w:r w:rsidRPr="00520592">
        <w:rPr>
          <w:rFonts w:asciiTheme="minorHAnsi" w:hAnsiTheme="minorHAnsi"/>
        </w:rPr>
        <w:t xml:space="preserve">accessible </w:t>
      </w:r>
      <w:r w:rsidR="00814247" w:rsidRPr="00520592">
        <w:rPr>
          <w:rFonts w:asciiTheme="minorHAnsi" w:hAnsiTheme="minorHAnsi"/>
        </w:rPr>
        <w:t>to</w:t>
      </w:r>
      <w:r w:rsidRPr="00520592">
        <w:rPr>
          <w:rFonts w:asciiTheme="minorHAnsi" w:hAnsiTheme="minorHAnsi"/>
        </w:rPr>
        <w:t xml:space="preserve"> retail investors</w:t>
      </w:r>
      <w:r w:rsidR="006C7427" w:rsidRPr="00520592">
        <w:rPr>
          <w:rFonts w:asciiTheme="minorHAnsi" w:hAnsiTheme="minorHAnsi"/>
        </w:rPr>
        <w:t xml:space="preserve"> via a licensed exchange</w:t>
      </w:r>
      <w:r w:rsidRPr="00520592">
        <w:rPr>
          <w:rFonts w:asciiTheme="minorHAnsi" w:hAnsiTheme="minorHAnsi"/>
        </w:rPr>
        <w:t>. These bonds have an aggregate market capitalisation of less than $</w:t>
      </w:r>
      <w:r w:rsidR="00613008" w:rsidRPr="00520592">
        <w:rPr>
          <w:rFonts w:asciiTheme="minorHAnsi" w:hAnsiTheme="minorHAnsi"/>
        </w:rPr>
        <w:t>600 m</w:t>
      </w:r>
      <w:r w:rsidRPr="00520592">
        <w:rPr>
          <w:rFonts w:asciiTheme="minorHAnsi" w:hAnsiTheme="minorHAnsi"/>
        </w:rPr>
        <w:t xml:space="preserve">illion and are held by </w:t>
      </w:r>
      <w:r w:rsidR="00814247" w:rsidRPr="00520592">
        <w:rPr>
          <w:rFonts w:asciiTheme="minorHAnsi" w:hAnsiTheme="minorHAnsi"/>
        </w:rPr>
        <w:t xml:space="preserve">less than </w:t>
      </w:r>
      <w:r w:rsidR="00300485" w:rsidRPr="00520592">
        <w:rPr>
          <w:rFonts w:asciiTheme="minorHAnsi" w:hAnsiTheme="minorHAnsi"/>
        </w:rPr>
        <w:t>3</w:t>
      </w:r>
      <w:r w:rsidR="00D309D5" w:rsidRPr="00520592">
        <w:rPr>
          <w:rFonts w:asciiTheme="minorHAnsi" w:hAnsiTheme="minorHAnsi"/>
        </w:rPr>
        <w:t>,000</w:t>
      </w:r>
      <w:r w:rsidR="00814247" w:rsidRPr="00520592">
        <w:rPr>
          <w:rFonts w:asciiTheme="minorHAnsi" w:hAnsiTheme="minorHAnsi"/>
          <w:color w:val="EE0000"/>
        </w:rPr>
        <w:t xml:space="preserve"> </w:t>
      </w:r>
      <w:r w:rsidR="00814247" w:rsidRPr="00520592">
        <w:rPr>
          <w:rFonts w:asciiTheme="minorHAnsi" w:hAnsiTheme="minorHAnsi"/>
        </w:rPr>
        <w:t>individual</w:t>
      </w:r>
      <w:r w:rsidRPr="00520592">
        <w:rPr>
          <w:rFonts w:asciiTheme="minorHAnsi" w:hAnsiTheme="minorHAnsi"/>
        </w:rPr>
        <w:t xml:space="preserve"> investors</w:t>
      </w:r>
      <w:r w:rsidR="002322AD" w:rsidRPr="00520592">
        <w:rPr>
          <w:rStyle w:val="FootnoteReference"/>
          <w:rFonts w:asciiTheme="minorHAnsi" w:hAnsiTheme="minorHAnsi"/>
        </w:rPr>
        <w:footnoteReference w:id="9"/>
      </w:r>
      <w:r w:rsidRPr="00520592">
        <w:rPr>
          <w:rFonts w:asciiTheme="minorHAnsi" w:hAnsiTheme="minorHAnsi"/>
        </w:rPr>
        <w:t>.</w:t>
      </w:r>
      <w:r w:rsidRPr="003A4E60">
        <w:rPr>
          <w:rFonts w:asciiTheme="minorHAnsi" w:hAnsiTheme="minorHAnsi"/>
        </w:rPr>
        <w:t xml:space="preserve"> This contrasts with</w:t>
      </w:r>
      <w:r w:rsidR="005B058D" w:rsidRPr="003A4E60">
        <w:rPr>
          <w:rFonts w:asciiTheme="minorHAnsi" w:hAnsiTheme="minorHAnsi"/>
        </w:rPr>
        <w:t xml:space="preserve"> </w:t>
      </w:r>
      <w:r w:rsidRPr="003A4E60">
        <w:rPr>
          <w:rFonts w:asciiTheme="minorHAnsi" w:hAnsiTheme="minorHAnsi"/>
        </w:rPr>
        <w:t xml:space="preserve">Australia’s </w:t>
      </w:r>
      <w:r w:rsidR="00557A41" w:rsidRPr="003A4E60">
        <w:rPr>
          <w:rFonts w:asciiTheme="minorHAnsi" w:hAnsiTheme="minorHAnsi"/>
        </w:rPr>
        <w:t>deep and liquid</w:t>
      </w:r>
      <w:r w:rsidR="005B058D" w:rsidRPr="003A4E60">
        <w:rPr>
          <w:rFonts w:asciiTheme="minorHAnsi" w:hAnsiTheme="minorHAnsi"/>
        </w:rPr>
        <w:t xml:space="preserve"> listed:</w:t>
      </w:r>
    </w:p>
    <w:p w14:paraId="3D79AC43" w14:textId="1C0417F6" w:rsidR="005B058D" w:rsidRPr="003A4E60" w:rsidRDefault="005B058D" w:rsidP="004578BE">
      <w:pPr>
        <w:pStyle w:val="ListParagraph"/>
        <w:numPr>
          <w:ilvl w:val="0"/>
          <w:numId w:val="9"/>
        </w:numPr>
        <w:spacing w:after="40" w:line="240" w:lineRule="auto"/>
        <w:ind w:left="357" w:hanging="357"/>
        <w:contextualSpacing w:val="0"/>
        <w:rPr>
          <w:rFonts w:asciiTheme="minorHAnsi" w:hAnsiTheme="minorHAnsi"/>
        </w:rPr>
      </w:pPr>
      <w:r w:rsidRPr="003A4E60">
        <w:rPr>
          <w:rFonts w:asciiTheme="minorHAnsi" w:hAnsiTheme="minorHAnsi"/>
        </w:rPr>
        <w:t>E</w:t>
      </w:r>
      <w:r w:rsidR="00F50510" w:rsidRPr="003A4E60">
        <w:rPr>
          <w:rFonts w:asciiTheme="minorHAnsi" w:hAnsiTheme="minorHAnsi"/>
        </w:rPr>
        <w:t>quity market</w:t>
      </w:r>
      <w:r w:rsidRPr="003A4E60">
        <w:rPr>
          <w:rFonts w:asciiTheme="minorHAnsi" w:hAnsiTheme="minorHAnsi"/>
        </w:rPr>
        <w:t xml:space="preserve">, </w:t>
      </w:r>
      <w:r w:rsidR="00F50510" w:rsidRPr="003A4E60">
        <w:rPr>
          <w:rFonts w:asciiTheme="minorHAnsi" w:hAnsiTheme="minorHAnsi"/>
        </w:rPr>
        <w:t xml:space="preserve">which </w:t>
      </w:r>
      <w:r w:rsidR="00814247" w:rsidRPr="003A4E60">
        <w:rPr>
          <w:rFonts w:asciiTheme="minorHAnsi" w:hAnsiTheme="minorHAnsi"/>
        </w:rPr>
        <w:t xml:space="preserve">is accessible to both wholesale and retail investors, </w:t>
      </w:r>
      <w:r w:rsidR="00F50510" w:rsidRPr="003A4E60">
        <w:rPr>
          <w:rFonts w:asciiTheme="minorHAnsi" w:hAnsiTheme="minorHAnsi"/>
        </w:rPr>
        <w:t xml:space="preserve">has </w:t>
      </w:r>
      <w:r w:rsidR="009C6974" w:rsidRPr="003A4E60">
        <w:rPr>
          <w:rFonts w:asciiTheme="minorHAnsi" w:hAnsiTheme="minorHAnsi"/>
        </w:rPr>
        <w:t>approximately</w:t>
      </w:r>
      <w:r w:rsidR="00F50510" w:rsidRPr="003A4E60">
        <w:rPr>
          <w:rFonts w:asciiTheme="minorHAnsi" w:hAnsiTheme="minorHAnsi"/>
        </w:rPr>
        <w:t xml:space="preserve"> </w:t>
      </w:r>
      <w:r w:rsidR="00F50510" w:rsidRPr="00520592">
        <w:rPr>
          <w:rFonts w:asciiTheme="minorHAnsi" w:hAnsiTheme="minorHAnsi"/>
        </w:rPr>
        <w:t>2</w:t>
      </w:r>
      <w:r w:rsidR="004806AB" w:rsidRPr="00520592">
        <w:rPr>
          <w:rFonts w:asciiTheme="minorHAnsi" w:hAnsiTheme="minorHAnsi"/>
        </w:rPr>
        <w:t>,</w:t>
      </w:r>
      <w:r w:rsidR="00F50510" w:rsidRPr="00520592">
        <w:rPr>
          <w:rFonts w:asciiTheme="minorHAnsi" w:hAnsiTheme="minorHAnsi"/>
        </w:rPr>
        <w:t>000 securities on issue</w:t>
      </w:r>
      <w:r w:rsidR="00814247" w:rsidRPr="00520592">
        <w:rPr>
          <w:rFonts w:asciiTheme="minorHAnsi" w:hAnsiTheme="minorHAnsi"/>
        </w:rPr>
        <w:t xml:space="preserve"> with an aggregate market capitalisation of </w:t>
      </w:r>
      <w:r w:rsidR="00C97446" w:rsidRPr="00520592">
        <w:rPr>
          <w:rFonts w:asciiTheme="minorHAnsi" w:hAnsiTheme="minorHAnsi"/>
        </w:rPr>
        <w:t xml:space="preserve">over </w:t>
      </w:r>
      <w:r w:rsidR="00814247" w:rsidRPr="00520592">
        <w:rPr>
          <w:rFonts w:asciiTheme="minorHAnsi" w:hAnsiTheme="minorHAnsi"/>
        </w:rPr>
        <w:t>$3 trillion</w:t>
      </w:r>
      <w:r w:rsidR="004270CF">
        <w:rPr>
          <w:rStyle w:val="FootnoteReference"/>
          <w:rFonts w:asciiTheme="minorHAnsi" w:hAnsiTheme="minorHAnsi"/>
        </w:rPr>
        <w:footnoteReference w:id="10"/>
      </w:r>
      <w:r w:rsidR="009C6974" w:rsidRPr="00520592">
        <w:rPr>
          <w:rFonts w:asciiTheme="minorHAnsi" w:hAnsiTheme="minorHAnsi"/>
        </w:rPr>
        <w:t xml:space="preserve"> and </w:t>
      </w:r>
      <w:r w:rsidR="007A2B0E" w:rsidRPr="00520592">
        <w:rPr>
          <w:rFonts w:asciiTheme="minorHAnsi" w:hAnsiTheme="minorHAnsi"/>
        </w:rPr>
        <w:t>is</w:t>
      </w:r>
      <w:r w:rsidR="009C6974" w:rsidRPr="00520592">
        <w:rPr>
          <w:rFonts w:asciiTheme="minorHAnsi" w:hAnsiTheme="minorHAnsi"/>
        </w:rPr>
        <w:t xml:space="preserve"> held by over 3 million individual investors</w:t>
      </w:r>
      <w:r w:rsidR="002322AD" w:rsidRPr="003A4E60">
        <w:rPr>
          <w:rStyle w:val="FootnoteReference"/>
          <w:rFonts w:asciiTheme="minorHAnsi" w:hAnsiTheme="minorHAnsi"/>
        </w:rPr>
        <w:footnoteReference w:id="11"/>
      </w:r>
      <w:r w:rsidRPr="003A4E60">
        <w:rPr>
          <w:rFonts w:asciiTheme="minorHAnsi" w:hAnsiTheme="minorHAnsi"/>
        </w:rPr>
        <w:t>; and</w:t>
      </w:r>
    </w:p>
    <w:p w14:paraId="4A50CE67" w14:textId="041BF4DD" w:rsidR="005B058D" w:rsidRPr="00520592" w:rsidRDefault="005B058D" w:rsidP="005B058D">
      <w:pPr>
        <w:pStyle w:val="ListParagraph"/>
        <w:numPr>
          <w:ilvl w:val="0"/>
          <w:numId w:val="7"/>
        </w:numPr>
        <w:spacing w:line="240" w:lineRule="auto"/>
        <w:rPr>
          <w:rFonts w:asciiTheme="minorHAnsi" w:hAnsiTheme="minorHAnsi"/>
        </w:rPr>
      </w:pPr>
      <w:r w:rsidRPr="003A4E60">
        <w:rPr>
          <w:rFonts w:asciiTheme="minorHAnsi" w:hAnsiTheme="minorHAnsi"/>
        </w:rPr>
        <w:lastRenderedPageBreak/>
        <w:t xml:space="preserve">Hybrid market, which is </w:t>
      </w:r>
      <w:r w:rsidR="004050AA">
        <w:rPr>
          <w:rFonts w:asciiTheme="minorHAnsi" w:hAnsiTheme="minorHAnsi"/>
        </w:rPr>
        <w:t xml:space="preserve">currently </w:t>
      </w:r>
      <w:r w:rsidRPr="003A4E60">
        <w:rPr>
          <w:rFonts w:asciiTheme="minorHAnsi" w:hAnsiTheme="minorHAnsi"/>
        </w:rPr>
        <w:t xml:space="preserve">accessible to both wholesale and retail investors, has </w:t>
      </w:r>
      <w:r w:rsidRPr="00520592">
        <w:rPr>
          <w:rFonts w:asciiTheme="minorHAnsi" w:hAnsiTheme="minorHAnsi"/>
        </w:rPr>
        <w:t xml:space="preserve">approximately </w:t>
      </w:r>
      <w:r w:rsidR="000D1EF6" w:rsidRPr="00520592">
        <w:rPr>
          <w:rFonts w:asciiTheme="minorHAnsi" w:hAnsiTheme="minorHAnsi"/>
        </w:rPr>
        <w:t xml:space="preserve">50 </w:t>
      </w:r>
      <w:r w:rsidRPr="00520592">
        <w:rPr>
          <w:rFonts w:asciiTheme="minorHAnsi" w:hAnsiTheme="minorHAnsi"/>
        </w:rPr>
        <w:t>securities on issue with an aggregate market capitalisation of $</w:t>
      </w:r>
      <w:r w:rsidR="00EB3309" w:rsidRPr="00520592">
        <w:rPr>
          <w:rFonts w:asciiTheme="minorHAnsi" w:hAnsiTheme="minorHAnsi"/>
        </w:rPr>
        <w:t>41</w:t>
      </w:r>
      <w:r w:rsidRPr="00520592">
        <w:rPr>
          <w:rFonts w:asciiTheme="minorHAnsi" w:hAnsiTheme="minorHAnsi"/>
        </w:rPr>
        <w:t xml:space="preserve"> billion</w:t>
      </w:r>
      <w:r w:rsidR="00430582">
        <w:rPr>
          <w:rStyle w:val="FootnoteReference"/>
          <w:rFonts w:asciiTheme="minorHAnsi" w:hAnsiTheme="minorHAnsi"/>
        </w:rPr>
        <w:footnoteReference w:id="12"/>
      </w:r>
      <w:r w:rsidRPr="00520592">
        <w:rPr>
          <w:rFonts w:asciiTheme="minorHAnsi" w:hAnsiTheme="minorHAnsi"/>
        </w:rPr>
        <w:t xml:space="preserve"> and is held by </w:t>
      </w:r>
      <w:r w:rsidR="00300485" w:rsidRPr="00300485">
        <w:rPr>
          <w:rFonts w:asciiTheme="minorHAnsi" w:hAnsiTheme="minorHAnsi"/>
        </w:rPr>
        <w:t>~</w:t>
      </w:r>
      <w:r w:rsidR="006230FD" w:rsidRPr="00520592">
        <w:rPr>
          <w:rFonts w:asciiTheme="minorHAnsi" w:hAnsiTheme="minorHAnsi"/>
        </w:rPr>
        <w:t>1</w:t>
      </w:r>
      <w:r w:rsidR="00300485" w:rsidRPr="00520592">
        <w:rPr>
          <w:rFonts w:asciiTheme="minorHAnsi" w:hAnsiTheme="minorHAnsi"/>
        </w:rPr>
        <w:t>00</w:t>
      </w:r>
      <w:r w:rsidR="006230FD" w:rsidRPr="00520592">
        <w:rPr>
          <w:rFonts w:asciiTheme="minorHAnsi" w:hAnsiTheme="minorHAnsi"/>
        </w:rPr>
        <w:t>,000</w:t>
      </w:r>
      <w:r w:rsidRPr="00520592">
        <w:rPr>
          <w:rFonts w:asciiTheme="minorHAnsi" w:hAnsiTheme="minorHAnsi"/>
        </w:rPr>
        <w:t xml:space="preserve"> individual investors</w:t>
      </w:r>
      <w:r w:rsidRPr="00520592">
        <w:rPr>
          <w:rStyle w:val="FootnoteReference"/>
          <w:rFonts w:asciiTheme="minorHAnsi" w:hAnsiTheme="minorHAnsi"/>
        </w:rPr>
        <w:footnoteReference w:id="13"/>
      </w:r>
      <w:r w:rsidR="002F3D6D" w:rsidRPr="00520592">
        <w:rPr>
          <w:rFonts w:asciiTheme="minorHAnsi" w:hAnsiTheme="minorHAnsi"/>
        </w:rPr>
        <w:t>.</w:t>
      </w:r>
      <w:r w:rsidR="004050AA">
        <w:rPr>
          <w:rFonts w:asciiTheme="minorHAnsi" w:hAnsiTheme="minorHAnsi"/>
        </w:rPr>
        <w:t xml:space="preserve"> </w:t>
      </w:r>
      <w:proofErr w:type="gramStart"/>
      <w:r w:rsidR="004C6B2E">
        <w:rPr>
          <w:rFonts w:asciiTheme="minorHAnsi" w:hAnsiTheme="minorHAnsi"/>
        </w:rPr>
        <w:t>Albeit,</w:t>
      </w:r>
      <w:proofErr w:type="gramEnd"/>
      <w:r w:rsidR="004C6B2E">
        <w:rPr>
          <w:rFonts w:asciiTheme="minorHAnsi" w:hAnsiTheme="minorHAnsi"/>
        </w:rPr>
        <w:t xml:space="preserve"> t</w:t>
      </w:r>
      <w:r w:rsidR="004050AA">
        <w:rPr>
          <w:rFonts w:asciiTheme="minorHAnsi" w:hAnsiTheme="minorHAnsi"/>
        </w:rPr>
        <w:t xml:space="preserve">his market is in a </w:t>
      </w:r>
      <w:r w:rsidR="004C6B2E">
        <w:rPr>
          <w:rFonts w:asciiTheme="minorHAnsi" w:hAnsiTheme="minorHAnsi"/>
        </w:rPr>
        <w:t>wind-down</w:t>
      </w:r>
      <w:r w:rsidR="004050AA">
        <w:rPr>
          <w:rFonts w:asciiTheme="minorHAnsi" w:hAnsiTheme="minorHAnsi"/>
        </w:rPr>
        <w:t xml:space="preserve"> mode following APRA’s </w:t>
      </w:r>
      <w:r w:rsidR="004C6B2E">
        <w:rPr>
          <w:rFonts w:asciiTheme="minorHAnsi" w:hAnsiTheme="minorHAnsi"/>
        </w:rPr>
        <w:t xml:space="preserve">2024 decision to phase out use of hybrid bonds </w:t>
      </w:r>
      <w:r w:rsidR="00605536">
        <w:rPr>
          <w:rFonts w:asciiTheme="minorHAnsi" w:hAnsiTheme="minorHAnsi"/>
        </w:rPr>
        <w:t>by</w:t>
      </w:r>
      <w:r w:rsidR="00D309BE">
        <w:rPr>
          <w:rFonts w:asciiTheme="minorHAnsi" w:hAnsiTheme="minorHAnsi"/>
        </w:rPr>
        <w:t xml:space="preserve"> </w:t>
      </w:r>
      <w:r w:rsidR="00605536">
        <w:rPr>
          <w:rFonts w:asciiTheme="minorHAnsi" w:hAnsiTheme="minorHAnsi"/>
        </w:rPr>
        <w:t xml:space="preserve">banks </w:t>
      </w:r>
      <w:r w:rsidR="004C6B2E">
        <w:rPr>
          <w:rFonts w:asciiTheme="minorHAnsi" w:hAnsiTheme="minorHAnsi"/>
        </w:rPr>
        <w:t xml:space="preserve">(AT 1 capital instruments) by 2032. </w:t>
      </w:r>
      <w:r w:rsidR="009A1DAB" w:rsidRPr="009A1DAB">
        <w:rPr>
          <w:rFonts w:asciiTheme="minorHAnsi" w:hAnsiTheme="minorHAnsi"/>
        </w:rPr>
        <w:t xml:space="preserve">Retail investors who have used </w:t>
      </w:r>
      <w:r w:rsidR="009864BA">
        <w:rPr>
          <w:rFonts w:asciiTheme="minorHAnsi" w:hAnsiTheme="minorHAnsi"/>
        </w:rPr>
        <w:t xml:space="preserve">bank </w:t>
      </w:r>
      <w:r w:rsidR="009A1DAB" w:rsidRPr="009A1DAB">
        <w:rPr>
          <w:rFonts w:asciiTheme="minorHAnsi" w:hAnsiTheme="minorHAnsi"/>
        </w:rPr>
        <w:t>hybrids for potential yield enhancement and franking credit benefits may need to consider other income securities</w:t>
      </w:r>
      <w:r w:rsidR="004D111F">
        <w:rPr>
          <w:rFonts w:asciiTheme="minorHAnsi" w:hAnsiTheme="minorHAnsi"/>
        </w:rPr>
        <w:t xml:space="preserve">, </w:t>
      </w:r>
      <w:r w:rsidR="00F63907">
        <w:rPr>
          <w:rFonts w:asciiTheme="minorHAnsi" w:hAnsiTheme="minorHAnsi"/>
        </w:rPr>
        <w:t>such as corporate bonds,</w:t>
      </w:r>
      <w:r w:rsidR="009A1DAB" w:rsidRPr="009A1DAB">
        <w:rPr>
          <w:rFonts w:asciiTheme="minorHAnsi" w:hAnsiTheme="minorHAnsi"/>
        </w:rPr>
        <w:t xml:space="preserve"> between now and 2032 as the bank hybrid markets gradually winds down</w:t>
      </w:r>
      <w:r w:rsidR="009A1DAB">
        <w:rPr>
          <w:rFonts w:asciiTheme="minorHAnsi" w:hAnsiTheme="minorHAnsi"/>
        </w:rPr>
        <w:t>.</w:t>
      </w:r>
      <w:r w:rsidR="003237A7">
        <w:rPr>
          <w:rStyle w:val="FootnoteReference"/>
          <w:rFonts w:asciiTheme="minorHAnsi" w:hAnsiTheme="minorHAnsi"/>
        </w:rPr>
        <w:footnoteReference w:id="14"/>
      </w:r>
    </w:p>
    <w:p w14:paraId="2CD23255" w14:textId="5733C045" w:rsidR="00FE7DEB" w:rsidRPr="004578BE" w:rsidRDefault="00FE7DEB" w:rsidP="005B058D">
      <w:pPr>
        <w:spacing w:line="240" w:lineRule="auto"/>
        <w:rPr>
          <w:rFonts w:asciiTheme="minorHAnsi" w:hAnsiTheme="minorHAnsi"/>
        </w:rPr>
      </w:pPr>
      <w:r w:rsidRPr="004578BE">
        <w:rPr>
          <w:rFonts w:asciiTheme="minorHAnsi" w:hAnsiTheme="minorHAnsi"/>
        </w:rPr>
        <w:t xml:space="preserve">There are widely acknowledged benefits associated with </w:t>
      </w:r>
      <w:r w:rsidR="006230FD">
        <w:rPr>
          <w:rFonts w:asciiTheme="minorHAnsi" w:hAnsiTheme="minorHAnsi"/>
        </w:rPr>
        <w:t xml:space="preserve">listed </w:t>
      </w:r>
      <w:r w:rsidRPr="004578BE">
        <w:rPr>
          <w:rFonts w:asciiTheme="minorHAnsi" w:hAnsiTheme="minorHAnsi"/>
        </w:rPr>
        <w:t>market</w:t>
      </w:r>
      <w:r w:rsidR="006230FD">
        <w:rPr>
          <w:rFonts w:asciiTheme="minorHAnsi" w:hAnsiTheme="minorHAnsi"/>
        </w:rPr>
        <w:t>s</w:t>
      </w:r>
      <w:r w:rsidRPr="004578BE">
        <w:rPr>
          <w:rFonts w:asciiTheme="minorHAnsi" w:hAnsiTheme="minorHAnsi"/>
        </w:rPr>
        <w:t xml:space="preserve"> that </w:t>
      </w:r>
      <w:r w:rsidR="00374CDA" w:rsidRPr="004578BE">
        <w:rPr>
          <w:rFonts w:asciiTheme="minorHAnsi" w:hAnsiTheme="minorHAnsi"/>
        </w:rPr>
        <w:t>w</w:t>
      </w:r>
      <w:r w:rsidR="00725BB4" w:rsidRPr="004578BE">
        <w:rPr>
          <w:rFonts w:asciiTheme="minorHAnsi" w:hAnsiTheme="minorHAnsi"/>
        </w:rPr>
        <w:t xml:space="preserve">ould be </w:t>
      </w:r>
      <w:r w:rsidR="00374CDA" w:rsidRPr="004578BE">
        <w:rPr>
          <w:rFonts w:asciiTheme="minorHAnsi" w:hAnsiTheme="minorHAnsi"/>
        </w:rPr>
        <w:t xml:space="preserve">advantageous for </w:t>
      </w:r>
      <w:r w:rsidR="006230FD">
        <w:rPr>
          <w:rFonts w:asciiTheme="minorHAnsi" w:hAnsiTheme="minorHAnsi"/>
        </w:rPr>
        <w:t>Australia’s</w:t>
      </w:r>
      <w:r w:rsidR="006230FD" w:rsidRPr="004578BE">
        <w:rPr>
          <w:rFonts w:asciiTheme="minorHAnsi" w:hAnsiTheme="minorHAnsi"/>
        </w:rPr>
        <w:t xml:space="preserve"> </w:t>
      </w:r>
      <w:r w:rsidR="00374CDA" w:rsidRPr="004578BE">
        <w:rPr>
          <w:rFonts w:asciiTheme="minorHAnsi" w:hAnsiTheme="minorHAnsi"/>
        </w:rPr>
        <w:t>corporate bond market</w:t>
      </w:r>
      <w:r w:rsidR="001D4376" w:rsidRPr="004578BE">
        <w:rPr>
          <w:rFonts w:asciiTheme="minorHAnsi" w:hAnsiTheme="minorHAnsi"/>
        </w:rPr>
        <w:t>,</w:t>
      </w:r>
      <w:r w:rsidR="00C17A02" w:rsidRPr="004578BE">
        <w:rPr>
          <w:rFonts w:asciiTheme="minorHAnsi" w:hAnsiTheme="minorHAnsi"/>
        </w:rPr>
        <w:t xml:space="preserve"> includ</w:t>
      </w:r>
      <w:r w:rsidR="001D4376" w:rsidRPr="004578BE">
        <w:rPr>
          <w:rFonts w:asciiTheme="minorHAnsi" w:hAnsiTheme="minorHAnsi"/>
        </w:rPr>
        <w:t>ing</w:t>
      </w:r>
      <w:r w:rsidR="00C17A02" w:rsidRPr="004578BE">
        <w:rPr>
          <w:rFonts w:asciiTheme="minorHAnsi" w:hAnsiTheme="minorHAnsi"/>
        </w:rPr>
        <w:t xml:space="preserve"> fair and open access to all investor groups, transparent price discovery and valuations, and </w:t>
      </w:r>
      <w:r w:rsidR="00E3578F" w:rsidRPr="004578BE">
        <w:rPr>
          <w:rFonts w:asciiTheme="minorHAnsi" w:hAnsiTheme="minorHAnsi"/>
        </w:rPr>
        <w:t xml:space="preserve">strong </w:t>
      </w:r>
      <w:r w:rsidR="00C17A02" w:rsidRPr="004578BE">
        <w:rPr>
          <w:rFonts w:asciiTheme="minorHAnsi" w:hAnsiTheme="minorHAnsi"/>
        </w:rPr>
        <w:t xml:space="preserve">governance </w:t>
      </w:r>
      <w:r w:rsidR="00E3578F" w:rsidRPr="004578BE">
        <w:rPr>
          <w:rFonts w:asciiTheme="minorHAnsi" w:hAnsiTheme="minorHAnsi"/>
        </w:rPr>
        <w:t xml:space="preserve">requirements </w:t>
      </w:r>
      <w:r w:rsidR="00C17A02" w:rsidRPr="004578BE">
        <w:rPr>
          <w:rFonts w:asciiTheme="minorHAnsi" w:hAnsiTheme="minorHAnsi"/>
        </w:rPr>
        <w:t xml:space="preserve">and </w:t>
      </w:r>
      <w:r w:rsidR="00E3578F" w:rsidRPr="004578BE">
        <w:rPr>
          <w:rFonts w:asciiTheme="minorHAnsi" w:hAnsiTheme="minorHAnsi"/>
        </w:rPr>
        <w:t>oversight</w:t>
      </w:r>
      <w:r w:rsidR="00C17A02" w:rsidRPr="004578BE">
        <w:rPr>
          <w:rFonts w:asciiTheme="minorHAnsi" w:hAnsiTheme="minorHAnsi"/>
        </w:rPr>
        <w:t xml:space="preserve">.   </w:t>
      </w:r>
      <w:r w:rsidRPr="004578BE">
        <w:rPr>
          <w:rFonts w:asciiTheme="minorHAnsi" w:hAnsiTheme="minorHAnsi"/>
        </w:rPr>
        <w:t xml:space="preserve"> </w:t>
      </w:r>
    </w:p>
    <w:p w14:paraId="72529CF3" w14:textId="3F8D698C" w:rsidR="00FE7DEB" w:rsidRDefault="00131C2A" w:rsidP="00FE7DEB">
      <w:pPr>
        <w:spacing w:line="240" w:lineRule="auto"/>
        <w:rPr>
          <w:rFonts w:asciiTheme="minorHAnsi" w:hAnsiTheme="minorHAnsi"/>
        </w:rPr>
      </w:pPr>
      <w:r>
        <w:rPr>
          <w:rFonts w:asciiTheme="minorHAnsi" w:hAnsiTheme="minorHAnsi"/>
        </w:rPr>
        <w:t xml:space="preserve">Australia’s corporate bond market also lags many regional peers. </w:t>
      </w:r>
      <w:r w:rsidR="00FE7DEB" w:rsidRPr="00FE7DEB">
        <w:rPr>
          <w:rFonts w:asciiTheme="minorHAnsi" w:hAnsiTheme="minorHAnsi"/>
        </w:rPr>
        <w:t>Submissions to the 2020 Inquiry into the Development of the Australian Corporate Bond Market by the Standing Committee on Tax and Revenue noted that Singapore had three times more, and Hong Kong double, corporate bond issuances than Australia</w:t>
      </w:r>
      <w:r w:rsidR="002322AD">
        <w:rPr>
          <w:rStyle w:val="FootnoteReference"/>
          <w:rFonts w:asciiTheme="minorHAnsi" w:hAnsiTheme="minorHAnsi"/>
        </w:rPr>
        <w:footnoteReference w:id="15"/>
      </w:r>
      <w:r w:rsidR="00FE7DEB" w:rsidRPr="00FE7DEB">
        <w:rPr>
          <w:rFonts w:asciiTheme="minorHAnsi" w:hAnsiTheme="minorHAnsi"/>
        </w:rPr>
        <w:t xml:space="preserve">. Following regulatory reform, New Zealand’s issuance of </w:t>
      </w:r>
      <w:r w:rsidR="00E3578F">
        <w:rPr>
          <w:rFonts w:asciiTheme="minorHAnsi" w:hAnsiTheme="minorHAnsi"/>
        </w:rPr>
        <w:t>c</w:t>
      </w:r>
      <w:r w:rsidR="00FE7DEB" w:rsidRPr="00FE7DEB">
        <w:rPr>
          <w:rFonts w:asciiTheme="minorHAnsi" w:hAnsiTheme="minorHAnsi"/>
        </w:rPr>
        <w:t xml:space="preserve">orporate </w:t>
      </w:r>
      <w:r w:rsidR="00E3578F">
        <w:rPr>
          <w:rFonts w:asciiTheme="minorHAnsi" w:hAnsiTheme="minorHAnsi"/>
        </w:rPr>
        <w:t>b</w:t>
      </w:r>
      <w:r w:rsidR="00FE7DEB" w:rsidRPr="00FE7DEB">
        <w:rPr>
          <w:rFonts w:asciiTheme="minorHAnsi" w:hAnsiTheme="minorHAnsi"/>
        </w:rPr>
        <w:t xml:space="preserve">onds is also larger </w:t>
      </w:r>
      <w:r w:rsidR="00BE61E8">
        <w:rPr>
          <w:rFonts w:asciiTheme="minorHAnsi" w:hAnsiTheme="minorHAnsi"/>
        </w:rPr>
        <w:t xml:space="preserve">(relative to the listed equities market) </w:t>
      </w:r>
      <w:r w:rsidR="00FE7DEB" w:rsidRPr="00FE7DEB">
        <w:rPr>
          <w:rFonts w:asciiTheme="minorHAnsi" w:hAnsiTheme="minorHAnsi"/>
        </w:rPr>
        <w:t xml:space="preserve">and more liquid than Australia’s, notwithstanding that its capital markets and savings pool are substantially smaller than </w:t>
      </w:r>
      <w:r w:rsidR="00E3578F" w:rsidRPr="00FE7DEB">
        <w:rPr>
          <w:rFonts w:asciiTheme="minorHAnsi" w:hAnsiTheme="minorHAnsi"/>
        </w:rPr>
        <w:t>Austr</w:t>
      </w:r>
      <w:r w:rsidR="00E3578F" w:rsidRPr="003A4E60">
        <w:rPr>
          <w:rFonts w:asciiTheme="minorHAnsi" w:hAnsiTheme="minorHAnsi"/>
        </w:rPr>
        <w:t>alia’s</w:t>
      </w:r>
      <w:r w:rsidR="002322AD" w:rsidRPr="003A4E60">
        <w:rPr>
          <w:rStyle w:val="FootnoteReference"/>
          <w:rFonts w:asciiTheme="minorHAnsi" w:hAnsiTheme="minorHAnsi"/>
        </w:rPr>
        <w:footnoteReference w:id="16"/>
      </w:r>
      <w:r w:rsidR="00FE7DEB" w:rsidRPr="003A4E60">
        <w:rPr>
          <w:rFonts w:asciiTheme="minorHAnsi" w:hAnsiTheme="minorHAnsi"/>
        </w:rPr>
        <w:t xml:space="preserve">. </w:t>
      </w:r>
      <w:r w:rsidRPr="003A4E60">
        <w:rPr>
          <w:rFonts w:asciiTheme="minorHAnsi" w:hAnsiTheme="minorHAnsi"/>
        </w:rPr>
        <w:t>N</w:t>
      </w:r>
      <w:r w:rsidRPr="00520592">
        <w:rPr>
          <w:rFonts w:asciiTheme="minorHAnsi" w:hAnsiTheme="minorHAnsi"/>
        </w:rPr>
        <w:t>ew Zealand boasts over 100 retail</w:t>
      </w:r>
      <w:r w:rsidR="00FE7DEB" w:rsidRPr="00520592">
        <w:rPr>
          <w:rFonts w:asciiTheme="minorHAnsi" w:hAnsiTheme="minorHAnsi"/>
        </w:rPr>
        <w:t>-accessible corporate</w:t>
      </w:r>
      <w:r w:rsidRPr="00520592">
        <w:rPr>
          <w:rFonts w:asciiTheme="minorHAnsi" w:hAnsiTheme="minorHAnsi"/>
        </w:rPr>
        <w:t xml:space="preserve"> </w:t>
      </w:r>
      <w:r w:rsidR="00FE7DEB" w:rsidRPr="00520592">
        <w:rPr>
          <w:rFonts w:asciiTheme="minorHAnsi" w:hAnsiTheme="minorHAnsi"/>
        </w:rPr>
        <w:t>bonds</w:t>
      </w:r>
      <w:r w:rsidRPr="00520592">
        <w:rPr>
          <w:rFonts w:asciiTheme="minorHAnsi" w:hAnsiTheme="minorHAnsi"/>
        </w:rPr>
        <w:t xml:space="preserve"> with an aggregate market capitalisation </w:t>
      </w:r>
      <w:r w:rsidR="009947D2" w:rsidRPr="00520592">
        <w:rPr>
          <w:rFonts w:asciiTheme="minorHAnsi" w:hAnsiTheme="minorHAnsi"/>
        </w:rPr>
        <w:t>~NZ$</w:t>
      </w:r>
      <w:r w:rsidR="0009531D" w:rsidRPr="00520592">
        <w:rPr>
          <w:rFonts w:asciiTheme="minorHAnsi" w:hAnsiTheme="minorHAnsi"/>
        </w:rPr>
        <w:t>50</w:t>
      </w:r>
      <w:r w:rsidR="00EB3309" w:rsidRPr="00520592">
        <w:rPr>
          <w:rFonts w:asciiTheme="minorHAnsi" w:hAnsiTheme="minorHAnsi"/>
        </w:rPr>
        <w:t xml:space="preserve"> </w:t>
      </w:r>
      <w:r w:rsidR="009947D2" w:rsidRPr="00520592">
        <w:rPr>
          <w:rFonts w:asciiTheme="minorHAnsi" w:hAnsiTheme="minorHAnsi"/>
        </w:rPr>
        <w:t>billion</w:t>
      </w:r>
      <w:r w:rsidR="002322AD" w:rsidRPr="00520592">
        <w:rPr>
          <w:rStyle w:val="FootnoteReference"/>
          <w:rFonts w:asciiTheme="minorHAnsi" w:hAnsiTheme="minorHAnsi"/>
        </w:rPr>
        <w:footnoteReference w:id="17"/>
      </w:r>
      <w:r w:rsidR="00FE7DEB" w:rsidRPr="00520592">
        <w:rPr>
          <w:rFonts w:asciiTheme="minorHAnsi" w:hAnsiTheme="minorHAnsi"/>
        </w:rPr>
        <w:t>.</w:t>
      </w:r>
      <w:r w:rsidR="009947D2">
        <w:rPr>
          <w:rFonts w:asciiTheme="minorHAnsi" w:hAnsiTheme="minorHAnsi"/>
        </w:rPr>
        <w:t xml:space="preserve"> </w:t>
      </w:r>
    </w:p>
    <w:p w14:paraId="73F0EE8E" w14:textId="19461B37" w:rsidR="00213D21" w:rsidRDefault="00213D21" w:rsidP="00443F7B">
      <w:pPr>
        <w:spacing w:line="240" w:lineRule="auto"/>
        <w:rPr>
          <w:rFonts w:asciiTheme="minorHAnsi" w:hAnsiTheme="minorHAnsi"/>
        </w:rPr>
      </w:pPr>
      <w:r w:rsidRPr="00213D21">
        <w:rPr>
          <w:rFonts w:asciiTheme="minorHAnsi" w:hAnsiTheme="minorHAnsi"/>
        </w:rPr>
        <w:t xml:space="preserve">Additional data on the status of the Australian corporate bond market is provided in </w:t>
      </w:r>
      <w:r w:rsidR="00A42F89">
        <w:rPr>
          <w:rFonts w:asciiTheme="minorHAnsi" w:hAnsiTheme="minorHAnsi"/>
        </w:rPr>
        <w:t>Annexure A</w:t>
      </w:r>
      <w:r w:rsidR="0071162C">
        <w:rPr>
          <w:rFonts w:asciiTheme="minorHAnsi" w:hAnsiTheme="minorHAnsi"/>
        </w:rPr>
        <w:t xml:space="preserve"> (see </w:t>
      </w:r>
      <w:r w:rsidR="00A42F89">
        <w:rPr>
          <w:rFonts w:asciiTheme="minorHAnsi" w:hAnsiTheme="minorHAnsi"/>
        </w:rPr>
        <w:t>S</w:t>
      </w:r>
      <w:r w:rsidR="0071162C">
        <w:rPr>
          <w:rFonts w:asciiTheme="minorHAnsi" w:hAnsiTheme="minorHAnsi"/>
        </w:rPr>
        <w:t xml:space="preserve">lides </w:t>
      </w:r>
      <w:r w:rsidR="00A42F89">
        <w:rPr>
          <w:rFonts w:asciiTheme="minorHAnsi" w:hAnsiTheme="minorHAnsi"/>
        </w:rPr>
        <w:t>3-5</w:t>
      </w:r>
      <w:r w:rsidR="0071162C">
        <w:rPr>
          <w:rFonts w:asciiTheme="minorHAnsi" w:hAnsiTheme="minorHAnsi"/>
        </w:rPr>
        <w:t>)</w:t>
      </w:r>
      <w:r w:rsidRPr="00213D21">
        <w:rPr>
          <w:rFonts w:asciiTheme="minorHAnsi" w:hAnsiTheme="minorHAnsi"/>
        </w:rPr>
        <w:t>.</w:t>
      </w:r>
    </w:p>
    <w:p w14:paraId="704A36D0" w14:textId="7F45DE55" w:rsidR="00A70840" w:rsidRPr="009D6BCA" w:rsidRDefault="00A70840" w:rsidP="00443F7B">
      <w:pPr>
        <w:spacing w:line="240" w:lineRule="auto"/>
        <w:rPr>
          <w:rFonts w:asciiTheme="minorHAnsi" w:hAnsiTheme="minorHAnsi"/>
        </w:rPr>
      </w:pPr>
      <w:r w:rsidRPr="009D6BCA">
        <w:rPr>
          <w:rFonts w:asciiTheme="minorHAnsi" w:hAnsiTheme="minorHAnsi"/>
          <w:b/>
          <w:bCs/>
        </w:rPr>
        <w:t xml:space="preserve">Proposed Reforms to Develop the </w:t>
      </w:r>
      <w:r>
        <w:rPr>
          <w:rFonts w:asciiTheme="minorHAnsi" w:hAnsiTheme="minorHAnsi"/>
          <w:b/>
          <w:bCs/>
        </w:rPr>
        <w:t xml:space="preserve">Retail </w:t>
      </w:r>
      <w:r w:rsidRPr="009D6BCA">
        <w:rPr>
          <w:rFonts w:asciiTheme="minorHAnsi" w:hAnsiTheme="minorHAnsi"/>
          <w:b/>
          <w:bCs/>
        </w:rPr>
        <w:t>Corporate Bond Market</w:t>
      </w:r>
    </w:p>
    <w:p w14:paraId="56E5A081" w14:textId="78EBE61D" w:rsidR="00434582" w:rsidRDefault="00E52436" w:rsidP="00443F7B">
      <w:pPr>
        <w:spacing w:line="240" w:lineRule="auto"/>
        <w:rPr>
          <w:rFonts w:asciiTheme="minorHAnsi" w:hAnsiTheme="minorHAnsi"/>
        </w:rPr>
      </w:pPr>
      <w:r w:rsidRPr="00241F41">
        <w:rPr>
          <w:rFonts w:asciiTheme="minorHAnsi" w:hAnsiTheme="minorHAnsi"/>
        </w:rPr>
        <w:t xml:space="preserve">Despite the concerted effort by </w:t>
      </w:r>
      <w:r w:rsidR="00093428">
        <w:rPr>
          <w:rFonts w:asciiTheme="minorHAnsi" w:hAnsiTheme="minorHAnsi"/>
        </w:rPr>
        <w:t>previous</w:t>
      </w:r>
      <w:r w:rsidR="009D4EB7">
        <w:rPr>
          <w:rFonts w:asciiTheme="minorHAnsi" w:hAnsiTheme="minorHAnsi"/>
        </w:rPr>
        <w:t xml:space="preserve"> </w:t>
      </w:r>
      <w:r w:rsidRPr="00241F41">
        <w:rPr>
          <w:rFonts w:asciiTheme="minorHAnsi" w:hAnsiTheme="minorHAnsi"/>
        </w:rPr>
        <w:t>Government</w:t>
      </w:r>
      <w:r w:rsidR="009D4EB7">
        <w:rPr>
          <w:rFonts w:asciiTheme="minorHAnsi" w:hAnsiTheme="minorHAnsi"/>
        </w:rPr>
        <w:t>s</w:t>
      </w:r>
      <w:r w:rsidR="00BB459C">
        <w:rPr>
          <w:rStyle w:val="FootnoteReference"/>
          <w:rFonts w:asciiTheme="minorHAnsi" w:hAnsiTheme="minorHAnsi"/>
        </w:rPr>
        <w:footnoteReference w:id="18"/>
      </w:r>
      <w:r w:rsidRPr="00241F41">
        <w:rPr>
          <w:rFonts w:asciiTheme="minorHAnsi" w:hAnsiTheme="minorHAnsi"/>
        </w:rPr>
        <w:t xml:space="preserve"> to amend the regulatory regime and allow for the development of a deeper and more active corporate bond market</w:t>
      </w:r>
      <w:r w:rsidR="00772E7F">
        <w:rPr>
          <w:rFonts w:asciiTheme="minorHAnsi" w:hAnsiTheme="minorHAnsi"/>
        </w:rPr>
        <w:t xml:space="preserve">, </w:t>
      </w:r>
      <w:r w:rsidR="009D4EB7">
        <w:rPr>
          <w:rFonts w:asciiTheme="minorHAnsi" w:hAnsiTheme="minorHAnsi"/>
        </w:rPr>
        <w:t xml:space="preserve">policy </w:t>
      </w:r>
      <w:r w:rsidR="00BE61E8">
        <w:rPr>
          <w:rFonts w:asciiTheme="minorHAnsi" w:hAnsiTheme="minorHAnsi"/>
        </w:rPr>
        <w:t xml:space="preserve">changes </w:t>
      </w:r>
      <w:r w:rsidR="002847F8">
        <w:rPr>
          <w:rFonts w:asciiTheme="minorHAnsi" w:hAnsiTheme="minorHAnsi"/>
        </w:rPr>
        <w:t>to date</w:t>
      </w:r>
      <w:r w:rsidR="009D4EB7">
        <w:rPr>
          <w:rFonts w:asciiTheme="minorHAnsi" w:hAnsiTheme="minorHAnsi"/>
        </w:rPr>
        <w:t xml:space="preserve"> have been insufficient </w:t>
      </w:r>
      <w:r w:rsidR="00A1687B">
        <w:rPr>
          <w:rFonts w:asciiTheme="minorHAnsi" w:hAnsiTheme="minorHAnsi"/>
        </w:rPr>
        <w:t xml:space="preserve">to </w:t>
      </w:r>
      <w:r w:rsidR="002847F8">
        <w:rPr>
          <w:rFonts w:asciiTheme="minorHAnsi" w:hAnsiTheme="minorHAnsi"/>
        </w:rPr>
        <w:t>address barriers</w:t>
      </w:r>
      <w:r w:rsidRPr="00241F41">
        <w:rPr>
          <w:rFonts w:asciiTheme="minorHAnsi" w:hAnsiTheme="minorHAnsi"/>
        </w:rPr>
        <w:t>.</w:t>
      </w:r>
      <w:r w:rsidR="00BF2A6F">
        <w:rPr>
          <w:rFonts w:asciiTheme="minorHAnsi" w:hAnsiTheme="minorHAnsi"/>
        </w:rPr>
        <w:t xml:space="preserve"> </w:t>
      </w:r>
    </w:p>
    <w:p w14:paraId="749C8E90" w14:textId="4FCB9BF9" w:rsidR="002847F8" w:rsidRDefault="000B753E" w:rsidP="00BF345E">
      <w:pPr>
        <w:spacing w:line="240" w:lineRule="auto"/>
        <w:rPr>
          <w:rFonts w:asciiTheme="minorHAnsi" w:hAnsiTheme="minorHAnsi"/>
        </w:rPr>
      </w:pPr>
      <w:r w:rsidRPr="000B753E">
        <w:rPr>
          <w:rFonts w:asciiTheme="minorHAnsi" w:hAnsiTheme="minorHAnsi"/>
        </w:rPr>
        <w:t xml:space="preserve">The most recent reforms </w:t>
      </w:r>
      <w:r w:rsidR="00BE61E8">
        <w:rPr>
          <w:rFonts w:asciiTheme="minorHAnsi" w:hAnsiTheme="minorHAnsi"/>
        </w:rPr>
        <w:t>occurred in</w:t>
      </w:r>
      <w:r w:rsidRPr="000B753E">
        <w:rPr>
          <w:rFonts w:asciiTheme="minorHAnsi" w:hAnsiTheme="minorHAnsi"/>
        </w:rPr>
        <w:t xml:space="preserve"> 2014 when the Corporations Act was amended to introduce a new simple corporate bonds regime which provided limited disclosure relief for issuers of simple corporate bonds. The regime was introduced </w:t>
      </w:r>
      <w:proofErr w:type="gramStart"/>
      <w:r w:rsidRPr="000B753E">
        <w:rPr>
          <w:rFonts w:asciiTheme="minorHAnsi" w:hAnsiTheme="minorHAnsi"/>
        </w:rPr>
        <w:t>in an effort to</w:t>
      </w:r>
      <w:proofErr w:type="gramEnd"/>
      <w:r w:rsidRPr="000B753E">
        <w:rPr>
          <w:rFonts w:asciiTheme="minorHAnsi" w:hAnsiTheme="minorHAnsi"/>
        </w:rPr>
        <w:t xml:space="preserve"> strike an appropriate balance between streamlining disclosure for issuers and protecting the interests of retail investors. The fact that very few companies have issued under the simple corporate bond regime suggests that the right balance </w:t>
      </w:r>
      <w:r w:rsidR="00BE61E8">
        <w:rPr>
          <w:rFonts w:asciiTheme="minorHAnsi" w:hAnsiTheme="minorHAnsi"/>
        </w:rPr>
        <w:t>has not yet</w:t>
      </w:r>
      <w:r w:rsidR="00475FCE">
        <w:rPr>
          <w:rFonts w:asciiTheme="minorHAnsi" w:hAnsiTheme="minorHAnsi"/>
        </w:rPr>
        <w:t xml:space="preserve"> been</w:t>
      </w:r>
      <w:r w:rsidRPr="000B753E">
        <w:rPr>
          <w:rFonts w:asciiTheme="minorHAnsi" w:hAnsiTheme="minorHAnsi"/>
        </w:rPr>
        <w:t xml:space="preserve"> </w:t>
      </w:r>
      <w:proofErr w:type="gramStart"/>
      <w:r w:rsidRPr="000B753E">
        <w:rPr>
          <w:rFonts w:asciiTheme="minorHAnsi" w:hAnsiTheme="minorHAnsi"/>
        </w:rPr>
        <w:t>struck</w:t>
      </w:r>
      <w:proofErr w:type="gramEnd"/>
      <w:r w:rsidRPr="000B753E">
        <w:rPr>
          <w:rFonts w:asciiTheme="minorHAnsi" w:hAnsiTheme="minorHAnsi"/>
        </w:rPr>
        <w:t xml:space="preserve"> and more is required to improve the attractiveness of the corporate bond market for both investors and issuers.  </w:t>
      </w:r>
    </w:p>
    <w:p w14:paraId="1A0479CF" w14:textId="0FBCEB5D" w:rsidR="002847F8" w:rsidRPr="00241F41" w:rsidRDefault="002847F8" w:rsidP="00443F7B">
      <w:pPr>
        <w:spacing w:line="240" w:lineRule="auto"/>
        <w:rPr>
          <w:rFonts w:asciiTheme="minorHAnsi" w:hAnsiTheme="minorHAnsi"/>
        </w:rPr>
      </w:pPr>
      <w:r>
        <w:rPr>
          <w:rFonts w:asciiTheme="minorHAnsi" w:hAnsiTheme="minorHAnsi"/>
        </w:rPr>
        <w:t>The following reforms are recommended (which are set out in order of priority) to</w:t>
      </w:r>
      <w:r w:rsidR="009D4EB7">
        <w:rPr>
          <w:rFonts w:asciiTheme="minorHAnsi" w:hAnsiTheme="minorHAnsi"/>
        </w:rPr>
        <w:t xml:space="preserve"> </w:t>
      </w:r>
      <w:r w:rsidR="009D6BCA" w:rsidRPr="009D6BCA">
        <w:rPr>
          <w:rFonts w:asciiTheme="minorHAnsi" w:hAnsiTheme="minorHAnsi"/>
        </w:rPr>
        <w:t>foster the development of a more dynamic and retail-accessible corporate bond market</w:t>
      </w:r>
      <w:r w:rsidR="00157713">
        <w:rPr>
          <w:rFonts w:asciiTheme="minorHAnsi" w:hAnsiTheme="minorHAnsi"/>
        </w:rPr>
        <w:t>:</w:t>
      </w:r>
    </w:p>
    <w:p w14:paraId="28482C5C" w14:textId="2634A1C9" w:rsidR="001A34A8" w:rsidRPr="00BA3955" w:rsidRDefault="0099499F" w:rsidP="00BA3955">
      <w:pPr>
        <w:pStyle w:val="ListParagraph"/>
        <w:numPr>
          <w:ilvl w:val="0"/>
          <w:numId w:val="3"/>
        </w:numPr>
        <w:spacing w:after="120" w:line="240" w:lineRule="auto"/>
        <w:rPr>
          <w:rFonts w:asciiTheme="minorHAnsi" w:hAnsiTheme="minorHAnsi"/>
        </w:rPr>
      </w:pPr>
      <w:r w:rsidRPr="00BA3955">
        <w:rPr>
          <w:rFonts w:asciiTheme="minorHAnsi" w:hAnsiTheme="minorHAnsi"/>
          <w:b/>
          <w:bCs/>
        </w:rPr>
        <w:lastRenderedPageBreak/>
        <w:t>Streamline</w:t>
      </w:r>
      <w:r w:rsidR="00892A2D" w:rsidRPr="00BA3955">
        <w:rPr>
          <w:rFonts w:asciiTheme="minorHAnsi" w:hAnsiTheme="minorHAnsi"/>
          <w:b/>
          <w:bCs/>
        </w:rPr>
        <w:t xml:space="preserve"> D</w:t>
      </w:r>
      <w:r w:rsidRPr="00BA3955">
        <w:rPr>
          <w:rFonts w:asciiTheme="minorHAnsi" w:hAnsiTheme="minorHAnsi"/>
          <w:b/>
          <w:bCs/>
        </w:rPr>
        <w:t xml:space="preserve">isclosure </w:t>
      </w:r>
      <w:r w:rsidR="00892A2D" w:rsidRPr="00BA3955">
        <w:rPr>
          <w:rFonts w:asciiTheme="minorHAnsi" w:hAnsiTheme="minorHAnsi"/>
          <w:b/>
          <w:bCs/>
        </w:rPr>
        <w:t>R</w:t>
      </w:r>
      <w:r w:rsidRPr="00BA3955">
        <w:rPr>
          <w:rFonts w:asciiTheme="minorHAnsi" w:hAnsiTheme="minorHAnsi"/>
          <w:b/>
          <w:bCs/>
        </w:rPr>
        <w:t>equirements</w:t>
      </w:r>
      <w:r w:rsidR="00892A2D" w:rsidRPr="00BA3955">
        <w:rPr>
          <w:rFonts w:asciiTheme="minorHAnsi" w:hAnsiTheme="minorHAnsi"/>
          <w:b/>
          <w:bCs/>
        </w:rPr>
        <w:t xml:space="preserve">: </w:t>
      </w:r>
      <w:r w:rsidRPr="00BA3955">
        <w:rPr>
          <w:rFonts w:asciiTheme="minorHAnsi" w:hAnsiTheme="minorHAnsi"/>
        </w:rPr>
        <w:t>The current prospectus level disclosure requirement for retail corporate bonds is costly</w:t>
      </w:r>
      <w:r w:rsidR="001A34A8" w:rsidRPr="00BA3955">
        <w:rPr>
          <w:rFonts w:asciiTheme="minorHAnsi" w:hAnsiTheme="minorHAnsi"/>
        </w:rPr>
        <w:t xml:space="preserve"> </w:t>
      </w:r>
      <w:r w:rsidRPr="00BA3955">
        <w:rPr>
          <w:rFonts w:asciiTheme="minorHAnsi" w:hAnsiTheme="minorHAnsi"/>
        </w:rPr>
        <w:t xml:space="preserve">and duplicative for listed entities that are already subject to continuous disclosure requirements. </w:t>
      </w:r>
      <w:r w:rsidR="001A34A8" w:rsidRPr="00BA3955">
        <w:rPr>
          <w:rFonts w:asciiTheme="minorHAnsi" w:hAnsiTheme="minorHAnsi"/>
        </w:rPr>
        <w:t xml:space="preserve">This contrasts with the streamlined non-prospectus </w:t>
      </w:r>
      <w:r w:rsidR="00892A2D" w:rsidRPr="00BA3955">
        <w:rPr>
          <w:rFonts w:asciiTheme="minorHAnsi" w:hAnsiTheme="minorHAnsi"/>
        </w:rPr>
        <w:t xml:space="preserve">disclosure </w:t>
      </w:r>
      <w:r w:rsidR="001A34A8" w:rsidRPr="00BA3955">
        <w:rPr>
          <w:rFonts w:asciiTheme="minorHAnsi" w:hAnsiTheme="minorHAnsi"/>
        </w:rPr>
        <w:t>process for equity capital raises, despite the lower risk profile of bonds</w:t>
      </w:r>
      <w:r w:rsidR="00325219" w:rsidRPr="00BA3955">
        <w:rPr>
          <w:rFonts w:asciiTheme="minorHAnsi" w:hAnsiTheme="minorHAnsi"/>
        </w:rPr>
        <w:t xml:space="preserve"> as an asset class</w:t>
      </w:r>
      <w:r w:rsidR="001A34A8" w:rsidRPr="00BA3955">
        <w:rPr>
          <w:rFonts w:asciiTheme="minorHAnsi" w:hAnsiTheme="minorHAnsi"/>
        </w:rPr>
        <w:t xml:space="preserve"> compared to equity. </w:t>
      </w:r>
      <w:r w:rsidR="00BA3955" w:rsidRPr="00BA3955">
        <w:rPr>
          <w:rFonts w:asciiTheme="minorHAnsi" w:hAnsiTheme="minorHAnsi"/>
        </w:rPr>
        <w:t>The effect is that retail issuance of standard bonds is prohibitively expensive and time-consuming in comparison with the</w:t>
      </w:r>
      <w:r w:rsidR="00BA3955">
        <w:rPr>
          <w:rFonts w:asciiTheme="minorHAnsi" w:hAnsiTheme="minorHAnsi"/>
        </w:rPr>
        <w:t xml:space="preserve"> </w:t>
      </w:r>
      <w:r w:rsidR="00BA3955" w:rsidRPr="00BA3955">
        <w:rPr>
          <w:rFonts w:asciiTheme="minorHAnsi" w:hAnsiTheme="minorHAnsi"/>
        </w:rPr>
        <w:t xml:space="preserve">obligations that apply to </w:t>
      </w:r>
      <w:r w:rsidR="00BA3955">
        <w:rPr>
          <w:rFonts w:asciiTheme="minorHAnsi" w:hAnsiTheme="minorHAnsi"/>
        </w:rPr>
        <w:t xml:space="preserve">equity markets and </w:t>
      </w:r>
      <w:r w:rsidR="00BA3955" w:rsidRPr="00BA3955">
        <w:rPr>
          <w:rFonts w:asciiTheme="minorHAnsi" w:hAnsiTheme="minorHAnsi"/>
        </w:rPr>
        <w:t>wholesale and offshore bond markets.</w:t>
      </w:r>
    </w:p>
    <w:p w14:paraId="6FF161DF" w14:textId="497C3E85" w:rsidR="0099499F" w:rsidRPr="00241F41" w:rsidRDefault="001A34A8" w:rsidP="00892A2D">
      <w:pPr>
        <w:spacing w:line="240" w:lineRule="auto"/>
        <w:ind w:left="360"/>
        <w:rPr>
          <w:rFonts w:asciiTheme="minorHAnsi" w:hAnsiTheme="minorHAnsi"/>
        </w:rPr>
      </w:pPr>
      <w:r w:rsidRPr="00115015">
        <w:rPr>
          <w:rFonts w:asciiTheme="minorHAnsi" w:hAnsiTheme="minorHAnsi"/>
          <w:b/>
          <w:bCs/>
          <w:i/>
          <w:iCs/>
        </w:rPr>
        <w:t>Recommendation:</w:t>
      </w:r>
      <w:r w:rsidRPr="001A34A8">
        <w:rPr>
          <w:rFonts w:asciiTheme="minorHAnsi" w:hAnsiTheme="minorHAnsi"/>
          <w:i/>
          <w:iCs/>
        </w:rPr>
        <w:t xml:space="preserve"> </w:t>
      </w:r>
      <w:r w:rsidRPr="001A34A8">
        <w:rPr>
          <w:rFonts w:asciiTheme="minorHAnsi" w:hAnsiTheme="minorHAnsi"/>
        </w:rPr>
        <w:t xml:space="preserve">Allow publicly listed companies to rely on a “cleansing notice” regime for retail bond offerings, supplemented by transaction-specific </w:t>
      </w:r>
      <w:r w:rsidR="00514F33">
        <w:rPr>
          <w:rFonts w:asciiTheme="minorHAnsi" w:hAnsiTheme="minorHAnsi"/>
        </w:rPr>
        <w:t xml:space="preserve">term sheet </w:t>
      </w:r>
      <w:r w:rsidRPr="001A34A8">
        <w:rPr>
          <w:rFonts w:asciiTheme="minorHAnsi" w:hAnsiTheme="minorHAnsi"/>
        </w:rPr>
        <w:t>disclosure</w:t>
      </w:r>
      <w:r w:rsidR="00115015">
        <w:rPr>
          <w:rStyle w:val="FootnoteReference"/>
          <w:rFonts w:asciiTheme="minorHAnsi" w:hAnsiTheme="minorHAnsi"/>
        </w:rPr>
        <w:footnoteReference w:id="19"/>
      </w:r>
      <w:r w:rsidRPr="001A34A8">
        <w:rPr>
          <w:rFonts w:asciiTheme="minorHAnsi" w:hAnsiTheme="minorHAnsi"/>
        </w:rPr>
        <w:t>.</w:t>
      </w:r>
      <w:r w:rsidR="0099499F" w:rsidRPr="00241F41">
        <w:rPr>
          <w:rFonts w:asciiTheme="minorHAnsi" w:hAnsiTheme="minorHAnsi"/>
        </w:rPr>
        <w:t xml:space="preserve"> </w:t>
      </w:r>
    </w:p>
    <w:p w14:paraId="7FF3D047" w14:textId="42BEE88F" w:rsidR="00892A2D" w:rsidRPr="00892A2D" w:rsidRDefault="00892A2D">
      <w:pPr>
        <w:pStyle w:val="ListParagraph"/>
        <w:numPr>
          <w:ilvl w:val="0"/>
          <w:numId w:val="3"/>
        </w:numPr>
        <w:spacing w:after="120" w:line="240" w:lineRule="auto"/>
        <w:rPr>
          <w:rFonts w:asciiTheme="minorHAnsi" w:hAnsiTheme="minorHAnsi"/>
        </w:rPr>
      </w:pPr>
      <w:r w:rsidRPr="00892A2D">
        <w:rPr>
          <w:rFonts w:asciiTheme="minorHAnsi" w:hAnsiTheme="minorHAnsi"/>
          <w:b/>
          <w:bCs/>
        </w:rPr>
        <w:t xml:space="preserve">Enable Early Redemption of Simple Corporate Bonds: </w:t>
      </w:r>
      <w:r w:rsidRPr="00892A2D">
        <w:rPr>
          <w:rFonts w:asciiTheme="minorHAnsi" w:hAnsiTheme="minorHAnsi"/>
        </w:rPr>
        <w:t xml:space="preserve">Current regulations do not allow issuers </w:t>
      </w:r>
      <w:r w:rsidR="000B753E">
        <w:rPr>
          <w:rFonts w:asciiTheme="minorHAnsi" w:hAnsiTheme="minorHAnsi"/>
        </w:rPr>
        <w:t xml:space="preserve">of simple corporate bonds </w:t>
      </w:r>
      <w:r w:rsidRPr="00892A2D">
        <w:rPr>
          <w:rFonts w:asciiTheme="minorHAnsi" w:hAnsiTheme="minorHAnsi"/>
        </w:rPr>
        <w:t xml:space="preserve">to facilitate early redemptions or extend bond maturity dates, exposing them to unacceptable refinancing risk. Issuers often need flexibility to refinance bonds in advance of </w:t>
      </w:r>
      <w:proofErr w:type="gramStart"/>
      <w:r w:rsidRPr="00892A2D">
        <w:rPr>
          <w:rFonts w:asciiTheme="minorHAnsi" w:hAnsiTheme="minorHAnsi"/>
        </w:rPr>
        <w:t>maturity</w:t>
      </w:r>
      <w:proofErr w:type="gramEnd"/>
      <w:r w:rsidR="00BE61E8">
        <w:rPr>
          <w:rFonts w:asciiTheme="minorHAnsi" w:hAnsiTheme="minorHAnsi"/>
        </w:rPr>
        <w:t xml:space="preserve"> and this lack of flexibility is one of the reasons they are reluctant to issue under the simple corporate </w:t>
      </w:r>
      <w:proofErr w:type="gramStart"/>
      <w:r w:rsidR="00BE61E8">
        <w:rPr>
          <w:rFonts w:asciiTheme="minorHAnsi" w:hAnsiTheme="minorHAnsi"/>
        </w:rPr>
        <w:t>bonds</w:t>
      </w:r>
      <w:proofErr w:type="gramEnd"/>
      <w:r w:rsidR="00BE61E8">
        <w:rPr>
          <w:rFonts w:asciiTheme="minorHAnsi" w:hAnsiTheme="minorHAnsi"/>
        </w:rPr>
        <w:t xml:space="preserve"> legislation</w:t>
      </w:r>
      <w:r w:rsidRPr="00892A2D">
        <w:rPr>
          <w:rFonts w:asciiTheme="minorHAnsi" w:hAnsiTheme="minorHAnsi"/>
        </w:rPr>
        <w:t>.</w:t>
      </w:r>
    </w:p>
    <w:p w14:paraId="0BEBD50D" w14:textId="7280B515" w:rsidR="0099499F" w:rsidRPr="00D703CC" w:rsidRDefault="00892A2D" w:rsidP="00892A2D">
      <w:pPr>
        <w:spacing w:line="240" w:lineRule="auto"/>
        <w:ind w:left="360"/>
        <w:rPr>
          <w:rFonts w:asciiTheme="minorHAnsi" w:hAnsiTheme="minorHAnsi"/>
          <w:b/>
          <w:bCs/>
          <w:i/>
          <w:iCs/>
        </w:rPr>
      </w:pPr>
      <w:r w:rsidRPr="001736C0">
        <w:rPr>
          <w:rFonts w:asciiTheme="minorHAnsi" w:hAnsiTheme="minorHAnsi"/>
          <w:b/>
          <w:bCs/>
          <w:i/>
          <w:iCs/>
        </w:rPr>
        <w:t>Recommendation:</w:t>
      </w:r>
      <w:r w:rsidRPr="00892A2D">
        <w:rPr>
          <w:rFonts w:asciiTheme="minorHAnsi" w:hAnsiTheme="minorHAnsi"/>
          <w:i/>
          <w:iCs/>
        </w:rPr>
        <w:t xml:space="preserve"> </w:t>
      </w:r>
      <w:r w:rsidRPr="00892A2D">
        <w:rPr>
          <w:rFonts w:asciiTheme="minorHAnsi" w:hAnsiTheme="minorHAnsi"/>
        </w:rPr>
        <w:t>Allow early redemption of simple corporate bonds</w:t>
      </w:r>
      <w:r w:rsidR="00514F33">
        <w:rPr>
          <w:rFonts w:asciiTheme="minorHAnsi" w:hAnsiTheme="minorHAnsi"/>
        </w:rPr>
        <w:t>,</w:t>
      </w:r>
      <w:r w:rsidRPr="00892A2D">
        <w:rPr>
          <w:rFonts w:asciiTheme="minorHAnsi" w:hAnsiTheme="minorHAnsi"/>
        </w:rPr>
        <w:t xml:space="preserve"> in line with practices in the wholesale bond market.</w:t>
      </w:r>
      <w:r>
        <w:rPr>
          <w:rFonts w:asciiTheme="minorHAnsi" w:hAnsiTheme="minorHAnsi"/>
        </w:rPr>
        <w:t xml:space="preserve"> </w:t>
      </w:r>
      <w:r w:rsidRPr="00892A2D">
        <w:rPr>
          <w:rFonts w:asciiTheme="minorHAnsi" w:hAnsiTheme="minorHAnsi"/>
        </w:rPr>
        <w:t>Early redemption rights w</w:t>
      </w:r>
      <w:r w:rsidR="00514F33">
        <w:rPr>
          <w:rFonts w:asciiTheme="minorHAnsi" w:hAnsiTheme="minorHAnsi"/>
        </w:rPr>
        <w:t xml:space="preserve">ould </w:t>
      </w:r>
      <w:r w:rsidRPr="00892A2D">
        <w:rPr>
          <w:rFonts w:asciiTheme="minorHAnsi" w:hAnsiTheme="minorHAnsi"/>
        </w:rPr>
        <w:t xml:space="preserve">be fully </w:t>
      </w:r>
      <w:r w:rsidR="00514F33" w:rsidRPr="00892A2D">
        <w:rPr>
          <w:rFonts w:asciiTheme="minorHAnsi" w:hAnsiTheme="minorHAnsi"/>
        </w:rPr>
        <w:t>disclosed,</w:t>
      </w:r>
      <w:r w:rsidRPr="00892A2D">
        <w:rPr>
          <w:rFonts w:asciiTheme="minorHAnsi" w:hAnsiTheme="minorHAnsi"/>
        </w:rPr>
        <w:t xml:space="preserve"> and </w:t>
      </w:r>
      <w:r w:rsidR="00514F33">
        <w:rPr>
          <w:rFonts w:asciiTheme="minorHAnsi" w:hAnsiTheme="minorHAnsi"/>
        </w:rPr>
        <w:t>i</w:t>
      </w:r>
      <w:r w:rsidRPr="00892A2D">
        <w:rPr>
          <w:rFonts w:asciiTheme="minorHAnsi" w:hAnsiTheme="minorHAnsi"/>
        </w:rPr>
        <w:t>nvestor protection is achieved through disclosure rather than prescri</w:t>
      </w:r>
      <w:r w:rsidR="00514F33">
        <w:rPr>
          <w:rFonts w:asciiTheme="minorHAnsi" w:hAnsiTheme="minorHAnsi"/>
        </w:rPr>
        <w:t>ptive</w:t>
      </w:r>
      <w:r w:rsidRPr="00892A2D">
        <w:rPr>
          <w:rFonts w:asciiTheme="minorHAnsi" w:hAnsiTheme="minorHAnsi"/>
        </w:rPr>
        <w:t xml:space="preserve"> legislative restrictions.</w:t>
      </w:r>
      <w:r w:rsidR="00D703CC" w:rsidRPr="00D703CC">
        <w:rPr>
          <w:rFonts w:asciiTheme="minorHAnsi" w:hAnsiTheme="minorHAnsi"/>
        </w:rPr>
        <w:t xml:space="preserve"> </w:t>
      </w:r>
    </w:p>
    <w:p w14:paraId="144AB126" w14:textId="37E9BDDC" w:rsidR="00892A2D" w:rsidRPr="00892A2D" w:rsidRDefault="00892A2D" w:rsidP="00892A2D">
      <w:pPr>
        <w:pStyle w:val="ListParagraph"/>
        <w:numPr>
          <w:ilvl w:val="0"/>
          <w:numId w:val="3"/>
        </w:numPr>
        <w:spacing w:line="240" w:lineRule="auto"/>
        <w:rPr>
          <w:rFonts w:asciiTheme="minorHAnsi" w:hAnsiTheme="minorHAnsi"/>
        </w:rPr>
      </w:pPr>
      <w:r w:rsidRPr="00892A2D">
        <w:rPr>
          <w:rFonts w:asciiTheme="minorHAnsi" w:hAnsiTheme="minorHAnsi"/>
          <w:b/>
          <w:bCs/>
        </w:rPr>
        <w:t>Provide Flexibility in Reporting Financial Ratios</w:t>
      </w:r>
      <w:r w:rsidR="00BF345E">
        <w:rPr>
          <w:rFonts w:asciiTheme="minorHAnsi" w:hAnsiTheme="minorHAnsi"/>
          <w:b/>
          <w:bCs/>
        </w:rPr>
        <w:t xml:space="preserve"> that are disclosed for Simple Corporate Bond</w:t>
      </w:r>
      <w:r w:rsidR="003631DA">
        <w:rPr>
          <w:rFonts w:asciiTheme="minorHAnsi" w:hAnsiTheme="minorHAnsi"/>
          <w:b/>
          <w:bCs/>
        </w:rPr>
        <w:t>s</w:t>
      </w:r>
      <w:r w:rsidRPr="00892A2D">
        <w:rPr>
          <w:rFonts w:asciiTheme="minorHAnsi" w:hAnsiTheme="minorHAnsi"/>
          <w:b/>
          <w:bCs/>
        </w:rPr>
        <w:t xml:space="preserve">: </w:t>
      </w:r>
      <w:r w:rsidRPr="00892A2D">
        <w:rPr>
          <w:rFonts w:asciiTheme="minorHAnsi" w:hAnsiTheme="minorHAnsi"/>
        </w:rPr>
        <w:t>The current prescribed financial ratio disclosures</w:t>
      </w:r>
      <w:r w:rsidR="00BF345E">
        <w:rPr>
          <w:rFonts w:asciiTheme="minorHAnsi" w:hAnsiTheme="minorHAnsi"/>
        </w:rPr>
        <w:t xml:space="preserve"> for simple corporate bonds</w:t>
      </w:r>
      <w:r w:rsidRPr="00892A2D">
        <w:rPr>
          <w:rFonts w:asciiTheme="minorHAnsi" w:hAnsiTheme="minorHAnsi"/>
        </w:rPr>
        <w:t xml:space="preserve"> do not adequately account for the diversity of business models and funding structures across </w:t>
      </w:r>
      <w:r>
        <w:rPr>
          <w:rFonts w:asciiTheme="minorHAnsi" w:hAnsiTheme="minorHAnsi"/>
        </w:rPr>
        <w:t xml:space="preserve">issuers and </w:t>
      </w:r>
      <w:r w:rsidRPr="00892A2D">
        <w:rPr>
          <w:rFonts w:asciiTheme="minorHAnsi" w:hAnsiTheme="minorHAnsi"/>
        </w:rPr>
        <w:t>sectors</w:t>
      </w:r>
      <w:r w:rsidR="00514F33">
        <w:rPr>
          <w:rFonts w:asciiTheme="minorHAnsi" w:hAnsiTheme="minorHAnsi"/>
        </w:rPr>
        <w:t xml:space="preserve"> and</w:t>
      </w:r>
      <w:r w:rsidRPr="00892A2D">
        <w:rPr>
          <w:rFonts w:asciiTheme="minorHAnsi" w:hAnsiTheme="minorHAnsi"/>
        </w:rPr>
        <w:t xml:space="preserve"> </w:t>
      </w:r>
      <w:r w:rsidR="00856529">
        <w:rPr>
          <w:rFonts w:asciiTheme="minorHAnsi" w:hAnsiTheme="minorHAnsi"/>
        </w:rPr>
        <w:t>may not be informative or helpful to</w:t>
      </w:r>
      <w:r w:rsidRPr="00892A2D">
        <w:rPr>
          <w:rFonts w:asciiTheme="minorHAnsi" w:hAnsiTheme="minorHAnsi"/>
        </w:rPr>
        <w:t xml:space="preserve"> investors</w:t>
      </w:r>
      <w:r w:rsidR="00157713">
        <w:rPr>
          <w:rFonts w:asciiTheme="minorHAnsi" w:hAnsiTheme="minorHAnsi"/>
        </w:rPr>
        <w:t xml:space="preserve"> due to their irrelevancy </w:t>
      </w:r>
      <w:r w:rsidR="00BA3955">
        <w:rPr>
          <w:rFonts w:asciiTheme="minorHAnsi" w:hAnsiTheme="minorHAnsi"/>
        </w:rPr>
        <w:t>as a measure of the issuer’s ability to service and repay the debt</w:t>
      </w:r>
      <w:r w:rsidRPr="00892A2D">
        <w:rPr>
          <w:rFonts w:asciiTheme="minorHAnsi" w:hAnsiTheme="minorHAnsi"/>
        </w:rPr>
        <w:t>.</w:t>
      </w:r>
    </w:p>
    <w:p w14:paraId="05F038BC" w14:textId="683189FA" w:rsidR="00892A2D" w:rsidRPr="00892A2D" w:rsidRDefault="00892A2D" w:rsidP="00892A2D">
      <w:pPr>
        <w:spacing w:line="240" w:lineRule="auto"/>
        <w:ind w:left="360"/>
        <w:rPr>
          <w:rFonts w:asciiTheme="minorHAnsi" w:hAnsiTheme="minorHAnsi"/>
          <w:b/>
          <w:bCs/>
          <w:i/>
          <w:iCs/>
        </w:rPr>
      </w:pPr>
      <w:r w:rsidRPr="001736C0">
        <w:rPr>
          <w:rFonts w:asciiTheme="minorHAnsi" w:hAnsiTheme="minorHAnsi"/>
          <w:b/>
          <w:bCs/>
          <w:i/>
          <w:iCs/>
        </w:rPr>
        <w:t>Recommendation:</w:t>
      </w:r>
      <w:r w:rsidRPr="00892A2D">
        <w:rPr>
          <w:rFonts w:asciiTheme="minorHAnsi" w:hAnsiTheme="minorHAnsi"/>
          <w:i/>
          <w:iCs/>
        </w:rPr>
        <w:t xml:space="preserve"> </w:t>
      </w:r>
      <w:r w:rsidRPr="00892A2D">
        <w:rPr>
          <w:rFonts w:asciiTheme="minorHAnsi" w:hAnsiTheme="minorHAnsi"/>
        </w:rPr>
        <w:t>Remove the requirement for prescribed financial ratios</w:t>
      </w:r>
      <w:r w:rsidR="00BF345E">
        <w:rPr>
          <w:rFonts w:asciiTheme="minorHAnsi" w:hAnsiTheme="minorHAnsi"/>
        </w:rPr>
        <w:t xml:space="preserve"> for simple corporate bonds</w:t>
      </w:r>
      <w:r w:rsidRPr="00892A2D">
        <w:rPr>
          <w:rFonts w:asciiTheme="minorHAnsi" w:hAnsiTheme="minorHAnsi"/>
        </w:rPr>
        <w:t xml:space="preserve"> and instead require issuers to disclose key ratios relevant to their capacity to service and repay bonds.</w:t>
      </w:r>
    </w:p>
    <w:p w14:paraId="2DEB90D6" w14:textId="459EA26D" w:rsidR="00892A2D" w:rsidRPr="00892A2D" w:rsidRDefault="00892A2D" w:rsidP="00892A2D">
      <w:pPr>
        <w:pStyle w:val="ListParagraph"/>
        <w:numPr>
          <w:ilvl w:val="0"/>
          <w:numId w:val="3"/>
        </w:numPr>
        <w:spacing w:line="240" w:lineRule="auto"/>
        <w:rPr>
          <w:rFonts w:asciiTheme="minorHAnsi" w:hAnsiTheme="minorHAnsi"/>
        </w:rPr>
      </w:pPr>
      <w:r w:rsidRPr="00892A2D">
        <w:rPr>
          <w:rFonts w:asciiTheme="minorHAnsi" w:hAnsiTheme="minorHAnsi"/>
          <w:b/>
          <w:bCs/>
        </w:rPr>
        <w:t>Review Trustee Regulatory Obligations</w:t>
      </w:r>
      <w:r>
        <w:rPr>
          <w:rFonts w:asciiTheme="minorHAnsi" w:hAnsiTheme="minorHAnsi"/>
          <w:b/>
          <w:bCs/>
        </w:rPr>
        <w:t xml:space="preserve">: </w:t>
      </w:r>
      <w:r w:rsidRPr="00892A2D">
        <w:rPr>
          <w:rFonts w:asciiTheme="minorHAnsi" w:hAnsiTheme="minorHAnsi"/>
        </w:rPr>
        <w:t>The retail bond market faces limited trustee availability due to the onerous regulatory obligations imposed on them. Trustees are hesitant to assume the additional costs, risks, and liabilities associated with retail bond issuance.</w:t>
      </w:r>
    </w:p>
    <w:p w14:paraId="62F97689" w14:textId="6A01D6A5" w:rsidR="00892A2D" w:rsidRPr="00892A2D" w:rsidRDefault="00892A2D" w:rsidP="00892A2D">
      <w:pPr>
        <w:spacing w:line="240" w:lineRule="auto"/>
        <w:ind w:left="360"/>
        <w:rPr>
          <w:rFonts w:asciiTheme="minorHAnsi" w:hAnsiTheme="minorHAnsi"/>
          <w:b/>
          <w:bCs/>
          <w:i/>
          <w:iCs/>
        </w:rPr>
      </w:pPr>
      <w:r w:rsidRPr="001736C0">
        <w:rPr>
          <w:rFonts w:asciiTheme="minorHAnsi" w:hAnsiTheme="minorHAnsi"/>
          <w:b/>
          <w:bCs/>
          <w:i/>
          <w:iCs/>
        </w:rPr>
        <w:t>Recommendation:</w:t>
      </w:r>
      <w:r w:rsidR="009741D6">
        <w:rPr>
          <w:rFonts w:asciiTheme="minorHAnsi" w:hAnsiTheme="minorHAnsi"/>
          <w:i/>
          <w:iCs/>
        </w:rPr>
        <w:t xml:space="preserve"> </w:t>
      </w:r>
      <w:r w:rsidR="009741D6">
        <w:rPr>
          <w:rFonts w:asciiTheme="minorHAnsi" w:hAnsiTheme="minorHAnsi"/>
        </w:rPr>
        <w:t>Review trustee obligations with a view of increasing the availability of trustees for the retail bond market.</w:t>
      </w:r>
      <w:r w:rsidRPr="00892A2D">
        <w:rPr>
          <w:rFonts w:asciiTheme="minorHAnsi" w:hAnsiTheme="minorHAnsi"/>
          <w:i/>
          <w:iCs/>
        </w:rPr>
        <w:t xml:space="preserve"> </w:t>
      </w:r>
    </w:p>
    <w:p w14:paraId="68DA48EF" w14:textId="76FB6B8A" w:rsidR="00892A2D" w:rsidRPr="00892A2D" w:rsidRDefault="00892A2D" w:rsidP="00892A2D">
      <w:pPr>
        <w:pStyle w:val="ListParagraph"/>
        <w:numPr>
          <w:ilvl w:val="0"/>
          <w:numId w:val="3"/>
        </w:numPr>
        <w:spacing w:line="240" w:lineRule="auto"/>
        <w:ind w:left="357" w:hanging="357"/>
        <w:contextualSpacing w:val="0"/>
        <w:rPr>
          <w:rFonts w:asciiTheme="minorHAnsi" w:hAnsiTheme="minorHAnsi"/>
        </w:rPr>
      </w:pPr>
      <w:r w:rsidRPr="00892A2D">
        <w:rPr>
          <w:rFonts w:asciiTheme="minorHAnsi" w:hAnsiTheme="minorHAnsi"/>
          <w:b/>
          <w:bCs/>
        </w:rPr>
        <w:t xml:space="preserve">Review Regulatory Obligations for Credit Rating Agencies (CRAs): </w:t>
      </w:r>
      <w:r w:rsidR="00B427C6" w:rsidRPr="00FD742B">
        <w:rPr>
          <w:rFonts w:asciiTheme="minorHAnsi" w:hAnsiTheme="minorHAnsi"/>
        </w:rPr>
        <w:t>For debt investors, default is</w:t>
      </w:r>
      <w:r w:rsidR="00DB7EBA">
        <w:rPr>
          <w:rFonts w:asciiTheme="minorHAnsi" w:hAnsiTheme="minorHAnsi"/>
        </w:rPr>
        <w:t xml:space="preserve"> often</w:t>
      </w:r>
      <w:r w:rsidR="00B427C6" w:rsidRPr="00FD742B">
        <w:rPr>
          <w:rFonts w:asciiTheme="minorHAnsi" w:hAnsiTheme="minorHAnsi"/>
        </w:rPr>
        <w:t xml:space="preserve"> the most important risk to assess. Established credit ratings </w:t>
      </w:r>
      <w:r w:rsidR="00B427C6">
        <w:rPr>
          <w:rFonts w:asciiTheme="minorHAnsi" w:hAnsiTheme="minorHAnsi"/>
        </w:rPr>
        <w:t>are</w:t>
      </w:r>
      <w:r w:rsidR="00B427C6" w:rsidRPr="00FD742B">
        <w:rPr>
          <w:rFonts w:asciiTheme="minorHAnsi" w:hAnsiTheme="minorHAnsi"/>
        </w:rPr>
        <w:t xml:space="preserve"> </w:t>
      </w:r>
      <w:r w:rsidR="00DB7EBA">
        <w:rPr>
          <w:rFonts w:asciiTheme="minorHAnsi" w:hAnsiTheme="minorHAnsi"/>
        </w:rPr>
        <w:t xml:space="preserve">commonly </w:t>
      </w:r>
      <w:r w:rsidR="00B427C6" w:rsidRPr="00FD742B">
        <w:rPr>
          <w:rFonts w:asciiTheme="minorHAnsi" w:hAnsiTheme="minorHAnsi"/>
        </w:rPr>
        <w:t xml:space="preserve">the most effective way to communicate issuer or security risk – and yet the </w:t>
      </w:r>
      <w:r w:rsidR="00DB7EBA">
        <w:rPr>
          <w:rFonts w:asciiTheme="minorHAnsi" w:hAnsiTheme="minorHAnsi"/>
        </w:rPr>
        <w:t>regulatory settings for</w:t>
      </w:r>
      <w:r w:rsidR="00B427C6" w:rsidRPr="00FD742B">
        <w:rPr>
          <w:rFonts w:asciiTheme="minorHAnsi" w:hAnsiTheme="minorHAnsi"/>
        </w:rPr>
        <w:t xml:space="preserve"> credit rating agencies in Australia</w:t>
      </w:r>
      <w:r w:rsidR="00DB7EBA">
        <w:rPr>
          <w:rFonts w:asciiTheme="minorHAnsi" w:hAnsiTheme="minorHAnsi"/>
        </w:rPr>
        <w:t xml:space="preserve"> inhibit</w:t>
      </w:r>
      <w:r w:rsidR="00B427C6" w:rsidRPr="00FD742B">
        <w:rPr>
          <w:rFonts w:asciiTheme="minorHAnsi" w:hAnsiTheme="minorHAnsi"/>
        </w:rPr>
        <w:t xml:space="preserve"> retail investors from accessing recognised, high-quality credit ratings</w:t>
      </w:r>
      <w:r w:rsidR="00BA6276">
        <w:rPr>
          <w:rFonts w:asciiTheme="minorHAnsi" w:hAnsiTheme="minorHAnsi"/>
        </w:rPr>
        <w:t>.</w:t>
      </w:r>
      <w:r w:rsidR="00B427C6">
        <w:rPr>
          <w:rFonts w:asciiTheme="minorHAnsi" w:hAnsiTheme="minorHAnsi"/>
          <w:b/>
          <w:bCs/>
        </w:rPr>
        <w:t xml:space="preserve"> </w:t>
      </w:r>
      <w:r w:rsidRPr="00892A2D">
        <w:rPr>
          <w:rFonts w:asciiTheme="minorHAnsi" w:hAnsiTheme="minorHAnsi"/>
        </w:rPr>
        <w:t>Only one of the six CRAs operating in Australia is licensed to serve retail clients due to stringent regulatory requirements</w:t>
      </w:r>
      <w:r w:rsidR="00514F33">
        <w:rPr>
          <w:rFonts w:asciiTheme="minorHAnsi" w:hAnsiTheme="minorHAnsi"/>
        </w:rPr>
        <w:t>, which</w:t>
      </w:r>
      <w:r w:rsidR="00325219">
        <w:rPr>
          <w:rFonts w:asciiTheme="minorHAnsi" w:hAnsiTheme="minorHAnsi"/>
        </w:rPr>
        <w:t xml:space="preserve"> many</w:t>
      </w:r>
      <w:r w:rsidR="00514F33">
        <w:rPr>
          <w:rFonts w:asciiTheme="minorHAnsi" w:hAnsiTheme="minorHAnsi"/>
        </w:rPr>
        <w:t xml:space="preserve"> CRAs are not willing to assume</w:t>
      </w:r>
      <w:r w:rsidRPr="00892A2D">
        <w:rPr>
          <w:rFonts w:asciiTheme="minorHAnsi" w:hAnsiTheme="minorHAnsi"/>
        </w:rPr>
        <w:t xml:space="preserve">. This creates information asymmetry between wholesale and </w:t>
      </w:r>
      <w:r w:rsidRPr="00892A2D">
        <w:rPr>
          <w:rFonts w:asciiTheme="minorHAnsi" w:hAnsiTheme="minorHAnsi"/>
        </w:rPr>
        <w:lastRenderedPageBreak/>
        <w:t>retail investors,</w:t>
      </w:r>
      <w:r w:rsidR="00325219">
        <w:rPr>
          <w:rFonts w:asciiTheme="minorHAnsi" w:hAnsiTheme="minorHAnsi"/>
        </w:rPr>
        <w:t xml:space="preserve"> reduces information available to retail investors, and </w:t>
      </w:r>
      <w:r w:rsidRPr="00892A2D">
        <w:rPr>
          <w:rFonts w:asciiTheme="minorHAnsi" w:hAnsiTheme="minorHAnsi"/>
        </w:rPr>
        <w:t>hinder</w:t>
      </w:r>
      <w:r w:rsidR="00325219">
        <w:rPr>
          <w:rFonts w:asciiTheme="minorHAnsi" w:hAnsiTheme="minorHAnsi"/>
        </w:rPr>
        <w:t>s</w:t>
      </w:r>
      <w:r w:rsidRPr="00892A2D">
        <w:rPr>
          <w:rFonts w:asciiTheme="minorHAnsi" w:hAnsiTheme="minorHAnsi"/>
        </w:rPr>
        <w:t xml:space="preserve"> the development of the retail bond market.</w:t>
      </w:r>
    </w:p>
    <w:p w14:paraId="59054CEB" w14:textId="3EDF9861" w:rsidR="00892A2D" w:rsidRPr="00892A2D" w:rsidRDefault="00892A2D" w:rsidP="00892A2D">
      <w:pPr>
        <w:pStyle w:val="ListParagraph"/>
        <w:spacing w:line="240" w:lineRule="auto"/>
        <w:ind w:left="360"/>
        <w:rPr>
          <w:rFonts w:asciiTheme="minorHAnsi" w:hAnsiTheme="minorHAnsi"/>
          <w:b/>
          <w:bCs/>
          <w:i/>
          <w:iCs/>
        </w:rPr>
      </w:pPr>
      <w:r w:rsidRPr="001736C0">
        <w:rPr>
          <w:rFonts w:asciiTheme="minorHAnsi" w:hAnsiTheme="minorHAnsi"/>
          <w:b/>
          <w:bCs/>
          <w:i/>
          <w:iCs/>
        </w:rPr>
        <w:t>Recommendation:</w:t>
      </w:r>
      <w:r w:rsidRPr="00892A2D">
        <w:rPr>
          <w:rFonts w:asciiTheme="minorHAnsi" w:hAnsiTheme="minorHAnsi"/>
          <w:i/>
          <w:iCs/>
        </w:rPr>
        <w:t xml:space="preserve"> </w:t>
      </w:r>
      <w:r w:rsidR="00FD766E">
        <w:rPr>
          <w:rFonts w:asciiTheme="minorHAnsi" w:hAnsiTheme="minorHAnsi"/>
        </w:rPr>
        <w:t>Review the</w:t>
      </w:r>
      <w:r w:rsidR="001C430F" w:rsidRPr="001C430F">
        <w:rPr>
          <w:rFonts w:asciiTheme="minorHAnsi" w:hAnsiTheme="minorHAnsi"/>
        </w:rPr>
        <w:t xml:space="preserve"> Australian Financial Services License (AFSL)</w:t>
      </w:r>
      <w:r w:rsidR="00FD766E">
        <w:rPr>
          <w:rFonts w:asciiTheme="minorHAnsi" w:hAnsiTheme="minorHAnsi"/>
        </w:rPr>
        <w:t xml:space="preserve"> licensing regime for CRAs to reduce access barriers for retail investors.</w:t>
      </w:r>
      <w:r w:rsidR="001C430F" w:rsidRPr="001C430F">
        <w:rPr>
          <w:rFonts w:asciiTheme="minorHAnsi" w:hAnsiTheme="minorHAnsi"/>
        </w:rPr>
        <w:t xml:space="preserve"> </w:t>
      </w:r>
      <w:r w:rsidR="00FD766E">
        <w:rPr>
          <w:rFonts w:asciiTheme="minorHAnsi" w:hAnsiTheme="minorHAnsi"/>
        </w:rPr>
        <w:t xml:space="preserve"> </w:t>
      </w:r>
    </w:p>
    <w:p w14:paraId="3F0BE61E" w14:textId="4221CC30" w:rsidR="0009515F" w:rsidRDefault="001C430F" w:rsidP="0009515F">
      <w:pPr>
        <w:spacing w:line="240" w:lineRule="auto"/>
        <w:rPr>
          <w:rFonts w:asciiTheme="minorHAnsi" w:hAnsiTheme="minorHAnsi"/>
        </w:rPr>
      </w:pPr>
      <w:r w:rsidRPr="001C430F">
        <w:rPr>
          <w:rFonts w:asciiTheme="minorHAnsi" w:hAnsiTheme="minorHAnsi"/>
        </w:rPr>
        <w:t xml:space="preserve">Further details on the proposed reforms are outlined in Annexure A </w:t>
      </w:r>
      <w:r w:rsidR="00B427C6">
        <w:rPr>
          <w:rFonts w:asciiTheme="minorHAnsi" w:hAnsiTheme="minorHAnsi"/>
        </w:rPr>
        <w:t>(see Slides 11-18)</w:t>
      </w:r>
      <w:r w:rsidR="00696089">
        <w:rPr>
          <w:rFonts w:asciiTheme="minorHAnsi" w:hAnsiTheme="minorHAnsi"/>
        </w:rPr>
        <w:t xml:space="preserve">, including </w:t>
      </w:r>
      <w:r w:rsidR="007C33BF">
        <w:rPr>
          <w:rFonts w:asciiTheme="minorHAnsi" w:hAnsiTheme="minorHAnsi"/>
        </w:rPr>
        <w:t xml:space="preserve">our proposed draft legislative changes to effect the reform. </w:t>
      </w:r>
    </w:p>
    <w:p w14:paraId="35DA629E" w14:textId="4C030B04" w:rsidR="0009515F" w:rsidRDefault="0009515F" w:rsidP="370B6BFD">
      <w:pPr>
        <w:spacing w:line="240" w:lineRule="auto"/>
        <w:rPr>
          <w:rFonts w:asciiTheme="minorHAnsi" w:hAnsiTheme="minorHAnsi"/>
        </w:rPr>
      </w:pPr>
      <w:r w:rsidRPr="370B6BFD">
        <w:rPr>
          <w:rFonts w:asciiTheme="minorHAnsi" w:hAnsiTheme="minorHAnsi"/>
        </w:rPr>
        <w:t>Implementing the above reforms presents Australia with the opportunity to experienc</w:t>
      </w:r>
      <w:r w:rsidR="003B70CC" w:rsidRPr="370B6BFD">
        <w:rPr>
          <w:rFonts w:asciiTheme="minorHAnsi" w:hAnsiTheme="minorHAnsi"/>
        </w:rPr>
        <w:t>e</w:t>
      </w:r>
      <w:r w:rsidRPr="370B6BFD">
        <w:rPr>
          <w:rFonts w:asciiTheme="minorHAnsi" w:hAnsiTheme="minorHAnsi"/>
        </w:rPr>
        <w:t xml:space="preserve"> </w:t>
      </w:r>
      <w:r w:rsidR="00E3578F" w:rsidRPr="370B6BFD">
        <w:rPr>
          <w:rFonts w:asciiTheme="minorHAnsi" w:hAnsiTheme="minorHAnsi"/>
        </w:rPr>
        <w:t>similar</w:t>
      </w:r>
      <w:r w:rsidRPr="370B6BFD">
        <w:rPr>
          <w:rFonts w:asciiTheme="minorHAnsi" w:hAnsiTheme="minorHAnsi"/>
        </w:rPr>
        <w:t xml:space="preserve"> success t</w:t>
      </w:r>
      <w:r w:rsidR="00E3578F" w:rsidRPr="370B6BFD">
        <w:rPr>
          <w:rFonts w:asciiTheme="minorHAnsi" w:hAnsiTheme="minorHAnsi"/>
        </w:rPr>
        <w:t>o</w:t>
      </w:r>
      <w:r w:rsidR="007570E7" w:rsidRPr="370B6BFD">
        <w:rPr>
          <w:rFonts w:asciiTheme="minorHAnsi" w:hAnsiTheme="minorHAnsi"/>
        </w:rPr>
        <w:t xml:space="preserve"> that of</w:t>
      </w:r>
      <w:r w:rsidRPr="370B6BFD">
        <w:rPr>
          <w:rFonts w:asciiTheme="minorHAnsi" w:hAnsiTheme="minorHAnsi"/>
        </w:rPr>
        <w:t xml:space="preserve"> New Zealand</w:t>
      </w:r>
      <w:r w:rsidR="007570E7" w:rsidRPr="370B6BFD">
        <w:rPr>
          <w:rFonts w:asciiTheme="minorHAnsi" w:hAnsiTheme="minorHAnsi"/>
        </w:rPr>
        <w:t>,</w:t>
      </w:r>
      <w:r w:rsidRPr="370B6BFD">
        <w:rPr>
          <w:rFonts w:asciiTheme="minorHAnsi" w:hAnsiTheme="minorHAnsi"/>
        </w:rPr>
        <w:t xml:space="preserve"> </w:t>
      </w:r>
      <w:r w:rsidR="003B70CC" w:rsidRPr="370B6BFD">
        <w:rPr>
          <w:rFonts w:asciiTheme="minorHAnsi" w:hAnsiTheme="minorHAnsi"/>
        </w:rPr>
        <w:t>which</w:t>
      </w:r>
      <w:r w:rsidR="007570E7" w:rsidRPr="370B6BFD">
        <w:rPr>
          <w:rFonts w:asciiTheme="minorHAnsi" w:hAnsiTheme="minorHAnsi"/>
        </w:rPr>
        <w:t>,</w:t>
      </w:r>
      <w:r w:rsidR="003B70CC" w:rsidRPr="370B6BFD">
        <w:rPr>
          <w:rFonts w:asciiTheme="minorHAnsi" w:hAnsiTheme="minorHAnsi"/>
        </w:rPr>
        <w:t xml:space="preserve"> </w:t>
      </w:r>
      <w:r w:rsidRPr="370B6BFD">
        <w:rPr>
          <w:rFonts w:asciiTheme="minorHAnsi" w:hAnsiTheme="minorHAnsi"/>
        </w:rPr>
        <w:t xml:space="preserve">following </w:t>
      </w:r>
      <w:r w:rsidR="00C75739" w:rsidRPr="370B6BFD">
        <w:rPr>
          <w:rFonts w:asciiTheme="minorHAnsi" w:hAnsiTheme="minorHAnsi"/>
        </w:rPr>
        <w:t>the</w:t>
      </w:r>
      <w:r w:rsidRPr="370B6BFD">
        <w:rPr>
          <w:rFonts w:asciiTheme="minorHAnsi" w:hAnsiTheme="minorHAnsi"/>
        </w:rPr>
        <w:t xml:space="preserve"> introduction of</w:t>
      </w:r>
      <w:r w:rsidR="003B70CC" w:rsidRPr="370B6BFD">
        <w:rPr>
          <w:rFonts w:asciiTheme="minorHAnsi" w:hAnsiTheme="minorHAnsi"/>
        </w:rPr>
        <w:t xml:space="preserve"> similar reforms </w:t>
      </w:r>
      <w:r w:rsidR="007570E7" w:rsidRPr="370B6BFD">
        <w:rPr>
          <w:rFonts w:asciiTheme="minorHAnsi" w:hAnsiTheme="minorHAnsi"/>
        </w:rPr>
        <w:t>in</w:t>
      </w:r>
      <w:r w:rsidRPr="370B6BFD">
        <w:rPr>
          <w:rFonts w:asciiTheme="minorHAnsi" w:hAnsiTheme="minorHAnsi"/>
        </w:rPr>
        <w:t xml:space="preserve"> 2013</w:t>
      </w:r>
      <w:r w:rsidRPr="370B6BFD">
        <w:rPr>
          <w:rStyle w:val="FootnoteReference"/>
          <w:rFonts w:asciiTheme="minorHAnsi" w:hAnsiTheme="minorHAnsi"/>
        </w:rPr>
        <w:footnoteReference w:id="20"/>
      </w:r>
      <w:r w:rsidR="007570E7" w:rsidRPr="370B6BFD">
        <w:rPr>
          <w:rFonts w:asciiTheme="minorHAnsi" w:hAnsiTheme="minorHAnsi"/>
        </w:rPr>
        <w:t>, has developed a large and liquid retail bond market</w:t>
      </w:r>
      <w:r w:rsidR="003B70CC" w:rsidRPr="370B6BFD">
        <w:rPr>
          <w:rFonts w:asciiTheme="minorHAnsi" w:hAnsiTheme="minorHAnsi"/>
        </w:rPr>
        <w:t>.</w:t>
      </w:r>
      <w:r w:rsidR="005A2CCE" w:rsidRPr="370B6BFD">
        <w:rPr>
          <w:rFonts w:asciiTheme="minorHAnsi" w:hAnsiTheme="minorHAnsi"/>
        </w:rPr>
        <w:t xml:space="preserve"> The </w:t>
      </w:r>
      <w:r w:rsidR="007570E7" w:rsidRPr="370B6BFD">
        <w:rPr>
          <w:rFonts w:asciiTheme="minorHAnsi" w:hAnsiTheme="minorHAnsi"/>
        </w:rPr>
        <w:t xml:space="preserve">New Zealand </w:t>
      </w:r>
      <w:r w:rsidR="005A2CCE" w:rsidRPr="370B6BFD">
        <w:rPr>
          <w:rFonts w:asciiTheme="minorHAnsi" w:hAnsiTheme="minorHAnsi"/>
        </w:rPr>
        <w:t xml:space="preserve">system allows for simple, flexible, and accessible documentation, including the use of cleansing notices. Investor protections are provided by the initial disclosures and continuous disclosure obligations. As a result of these reforms, </w:t>
      </w:r>
      <w:r w:rsidR="005A2CCE" w:rsidRPr="00520592">
        <w:rPr>
          <w:rFonts w:asciiTheme="minorHAnsi" w:hAnsiTheme="minorHAnsi"/>
        </w:rPr>
        <w:t xml:space="preserve">New Zealand now has a thriving retail corporate bond market, which has grown to represent </w:t>
      </w:r>
      <w:r w:rsidR="009947D2" w:rsidRPr="00520592">
        <w:rPr>
          <w:rFonts w:asciiTheme="minorHAnsi" w:hAnsiTheme="minorHAnsi"/>
        </w:rPr>
        <w:t xml:space="preserve">approximately </w:t>
      </w:r>
      <w:r w:rsidR="00560121" w:rsidRPr="00520592">
        <w:rPr>
          <w:rFonts w:asciiTheme="minorHAnsi" w:hAnsiTheme="minorHAnsi"/>
        </w:rPr>
        <w:t>30%</w:t>
      </w:r>
      <w:r w:rsidR="005A2CCE" w:rsidRPr="00520592">
        <w:rPr>
          <w:rFonts w:asciiTheme="minorHAnsi" w:hAnsiTheme="minorHAnsi"/>
        </w:rPr>
        <w:t xml:space="preserve"> the size of its listed equity market</w:t>
      </w:r>
      <w:r w:rsidR="00B427C6" w:rsidRPr="370B6BFD">
        <w:rPr>
          <w:rStyle w:val="FootnoteReference"/>
          <w:rFonts w:asciiTheme="minorHAnsi" w:hAnsiTheme="minorHAnsi"/>
        </w:rPr>
        <w:footnoteReference w:id="21"/>
      </w:r>
      <w:r w:rsidR="005A2CCE" w:rsidRPr="00520592">
        <w:rPr>
          <w:rFonts w:asciiTheme="minorHAnsi" w:hAnsiTheme="minorHAnsi"/>
        </w:rPr>
        <w:t>.</w:t>
      </w:r>
      <w:r w:rsidR="007570E7" w:rsidRPr="370B6BFD">
        <w:rPr>
          <w:rFonts w:asciiTheme="minorHAnsi" w:hAnsiTheme="minorHAnsi"/>
        </w:rPr>
        <w:t xml:space="preserve"> </w:t>
      </w:r>
    </w:p>
    <w:p w14:paraId="7678CDD9" w14:textId="5C4B1D80" w:rsidR="00EE3CF0" w:rsidRPr="00E52436" w:rsidRDefault="00EE3CF0" w:rsidP="00443F7B">
      <w:pPr>
        <w:spacing w:line="240" w:lineRule="auto"/>
        <w:rPr>
          <w:rFonts w:asciiTheme="minorHAnsi" w:hAnsiTheme="minorHAnsi"/>
        </w:rPr>
      </w:pPr>
      <w:r w:rsidRPr="00E52436">
        <w:rPr>
          <w:rFonts w:asciiTheme="minorHAnsi" w:hAnsiTheme="minorHAnsi"/>
          <w:b/>
          <w:bCs/>
        </w:rPr>
        <w:t>Conclusion</w:t>
      </w:r>
    </w:p>
    <w:p w14:paraId="3A24BB57" w14:textId="64130258" w:rsidR="00BD4E48" w:rsidRDefault="00C67C02" w:rsidP="004578BE">
      <w:pPr>
        <w:rPr>
          <w:rFonts w:asciiTheme="minorHAnsi" w:hAnsiTheme="minorHAnsi"/>
        </w:rPr>
      </w:pPr>
      <w:r w:rsidRPr="00C67C02">
        <w:rPr>
          <w:rFonts w:asciiTheme="minorHAnsi" w:hAnsiTheme="minorHAnsi"/>
        </w:rPr>
        <w:t xml:space="preserve">The Corporate Bond </w:t>
      </w:r>
      <w:r w:rsidR="00DF1CCF">
        <w:rPr>
          <w:rFonts w:asciiTheme="minorHAnsi" w:hAnsiTheme="minorHAnsi"/>
        </w:rPr>
        <w:t xml:space="preserve">Reform </w:t>
      </w:r>
      <w:r w:rsidRPr="00C67C02">
        <w:rPr>
          <w:rFonts w:asciiTheme="minorHAnsi" w:hAnsiTheme="minorHAnsi"/>
        </w:rPr>
        <w:t>Working Group strongly believes that the targeted reforms outlined in this submission will facilitate the development of a vibrant, retail-accessible corporate bond market in Australia</w:t>
      </w:r>
      <w:r w:rsidR="00F93B43">
        <w:rPr>
          <w:rFonts w:asciiTheme="minorHAnsi" w:hAnsiTheme="minorHAnsi"/>
        </w:rPr>
        <w:t>.</w:t>
      </w:r>
    </w:p>
    <w:p w14:paraId="0616D588" w14:textId="13F3AB32" w:rsidR="003C5066" w:rsidRDefault="00BD4E48" w:rsidP="004578BE">
      <w:pPr>
        <w:rPr>
          <w:rFonts w:asciiTheme="minorHAnsi" w:hAnsiTheme="minorHAnsi"/>
        </w:rPr>
      </w:pPr>
      <w:r>
        <w:rPr>
          <w:rFonts w:asciiTheme="minorHAnsi" w:hAnsiTheme="minorHAnsi"/>
        </w:rPr>
        <w:t xml:space="preserve">There are no parties that would be aggrieved by a more robust retail corporate bond market and there are benefits for many. Corporates will benefit from deeper and more diverse sources of capital, individuals will benefit from increased investment opportunities, particularly retirees that may value the defensive characteristics of corporate bonds, and Australia will benefit from </w:t>
      </w:r>
      <w:r w:rsidRPr="00BD4E48">
        <w:rPr>
          <w:rFonts w:asciiTheme="minorHAnsi" w:hAnsiTheme="minorHAnsi"/>
        </w:rPr>
        <w:t>productivity and economic growth contributors</w:t>
      </w:r>
      <w:r>
        <w:rPr>
          <w:rFonts w:asciiTheme="minorHAnsi" w:hAnsiTheme="minorHAnsi"/>
        </w:rPr>
        <w:t>.</w:t>
      </w:r>
      <w:r w:rsidR="00696089">
        <w:rPr>
          <w:rFonts w:asciiTheme="minorHAnsi" w:hAnsiTheme="minorHAnsi"/>
        </w:rPr>
        <w:t xml:space="preserve"> </w:t>
      </w:r>
    </w:p>
    <w:p w14:paraId="76BE1B4F" w14:textId="560DA3FA" w:rsidR="00C67C02" w:rsidRDefault="00C67C02" w:rsidP="004578BE">
      <w:pPr>
        <w:rPr>
          <w:rFonts w:asciiTheme="minorHAnsi" w:hAnsiTheme="minorHAnsi"/>
        </w:rPr>
      </w:pPr>
      <w:r w:rsidRPr="00C67C02">
        <w:rPr>
          <w:rFonts w:asciiTheme="minorHAnsi" w:hAnsiTheme="minorHAnsi"/>
        </w:rPr>
        <w:t xml:space="preserve">We welcome the opportunity to </w:t>
      </w:r>
      <w:r w:rsidR="00AC5AC0">
        <w:rPr>
          <w:rFonts w:asciiTheme="minorHAnsi" w:hAnsiTheme="minorHAnsi"/>
        </w:rPr>
        <w:t>discuss</w:t>
      </w:r>
      <w:r w:rsidRPr="00C67C02">
        <w:rPr>
          <w:rFonts w:asciiTheme="minorHAnsi" w:hAnsiTheme="minorHAnsi"/>
        </w:rPr>
        <w:t xml:space="preserve"> these reforms and are available to provide further details. </w:t>
      </w:r>
    </w:p>
    <w:p w14:paraId="2F3978B8" w14:textId="762AAA9E" w:rsidR="00D703CC" w:rsidRDefault="00D703CC" w:rsidP="00C67C02">
      <w:pPr>
        <w:spacing w:after="0"/>
        <w:rPr>
          <w:rFonts w:asciiTheme="minorHAnsi" w:hAnsiTheme="minorHAnsi"/>
        </w:rPr>
      </w:pPr>
      <w:r w:rsidRPr="00D703CC">
        <w:rPr>
          <w:rFonts w:asciiTheme="minorHAnsi" w:hAnsiTheme="minorHAnsi"/>
        </w:rPr>
        <w:t>Yours faithfully</w:t>
      </w:r>
      <w:r w:rsidR="00C67C02">
        <w:rPr>
          <w:rFonts w:asciiTheme="minorHAnsi" w:hAnsiTheme="minorHAnsi"/>
        </w:rPr>
        <w:t>,</w:t>
      </w:r>
    </w:p>
    <w:p w14:paraId="7BA33B81" w14:textId="77777777" w:rsidR="00680D3D" w:rsidRDefault="00680D3D" w:rsidP="00C67C02">
      <w:pPr>
        <w:spacing w:after="0"/>
        <w:rPr>
          <w:rFonts w:asciiTheme="minorHAnsi" w:hAnsiTheme="minorHAnsi"/>
        </w:rPr>
      </w:pPr>
    </w:p>
    <w:p w14:paraId="5D1BF23C" w14:textId="77777777" w:rsidR="00680D3D" w:rsidRDefault="00680D3D" w:rsidP="00C67C02">
      <w:pPr>
        <w:spacing w:after="0"/>
        <w:rPr>
          <w:rFonts w:asciiTheme="minorHAnsi" w:hAnsiTheme="minorHAnsi"/>
        </w:rPr>
      </w:pPr>
    </w:p>
    <w:p w14:paraId="4AD8F09A" w14:textId="744C898A" w:rsidR="00D703CC" w:rsidRPr="00C67C02" w:rsidRDefault="00D703CC" w:rsidP="00D703CC">
      <w:pPr>
        <w:pStyle w:val="NormalSingle"/>
        <w:keepNext/>
        <w:rPr>
          <w:rFonts w:asciiTheme="minorHAnsi" w:eastAsiaTheme="minorHAnsi" w:hAnsiTheme="minorHAnsi" w:cstheme="minorBidi"/>
          <w:b/>
          <w:bCs/>
          <w:sz w:val="22"/>
          <w:szCs w:val="22"/>
          <w:lang w:eastAsia="en-US"/>
        </w:rPr>
      </w:pPr>
      <w:r w:rsidRPr="00C67C02">
        <w:rPr>
          <w:rFonts w:asciiTheme="minorHAnsi" w:eastAsiaTheme="minorHAnsi" w:hAnsiTheme="minorHAnsi" w:cstheme="minorBidi"/>
          <w:b/>
          <w:bCs/>
          <w:sz w:val="22"/>
          <w:szCs w:val="22"/>
          <w:lang w:eastAsia="en-US"/>
        </w:rPr>
        <w:t xml:space="preserve">The Corporate Bond </w:t>
      </w:r>
      <w:r w:rsidR="00BF345E">
        <w:rPr>
          <w:rFonts w:asciiTheme="minorHAnsi" w:eastAsiaTheme="minorHAnsi" w:hAnsiTheme="minorHAnsi" w:cstheme="minorBidi"/>
          <w:b/>
          <w:bCs/>
          <w:sz w:val="22"/>
          <w:szCs w:val="22"/>
          <w:lang w:eastAsia="en-US"/>
        </w:rPr>
        <w:t xml:space="preserve">Reform </w:t>
      </w:r>
      <w:r w:rsidRPr="00C67C02">
        <w:rPr>
          <w:rFonts w:asciiTheme="minorHAnsi" w:eastAsiaTheme="minorHAnsi" w:hAnsiTheme="minorHAnsi" w:cstheme="minorBidi"/>
          <w:b/>
          <w:bCs/>
          <w:sz w:val="22"/>
          <w:szCs w:val="22"/>
          <w:lang w:eastAsia="en-US"/>
        </w:rPr>
        <w:t>Working Group</w:t>
      </w:r>
    </w:p>
    <w:p w14:paraId="208F7F66" w14:textId="08D2026D" w:rsidR="00531B99" w:rsidRPr="007E3685" w:rsidRDefault="00557A41" w:rsidP="00646344">
      <w:pPr>
        <w:spacing w:line="300" w:lineRule="exact"/>
        <w:rPr>
          <w:rFonts w:asciiTheme="minorHAnsi" w:hAnsiTheme="minorHAnsi"/>
          <w:i/>
          <w:iCs/>
        </w:rPr>
      </w:pPr>
      <w:r>
        <w:rPr>
          <w:rFonts w:asciiTheme="minorHAnsi" w:hAnsiTheme="minorHAnsi"/>
          <w:i/>
          <w:iCs/>
        </w:rPr>
        <w:t>A</w:t>
      </w:r>
      <w:r w:rsidR="00B427C6">
        <w:rPr>
          <w:rFonts w:asciiTheme="minorHAnsi" w:hAnsiTheme="minorHAnsi"/>
          <w:i/>
          <w:iCs/>
        </w:rPr>
        <w:t>nnexure A</w:t>
      </w:r>
      <w:r w:rsidR="005C1F41" w:rsidRPr="007E3685">
        <w:rPr>
          <w:rFonts w:asciiTheme="minorHAnsi" w:hAnsiTheme="minorHAnsi"/>
          <w:i/>
          <w:iCs/>
        </w:rPr>
        <w:t xml:space="preserve">: Unleashing the power of Australia’s corporate bond market presentation </w:t>
      </w:r>
      <w:r w:rsidR="009D6BCA" w:rsidRPr="007E3685">
        <w:rPr>
          <w:rFonts w:asciiTheme="minorHAnsi" w:hAnsiTheme="minorHAnsi"/>
          <w:i/>
          <w:iCs/>
        </w:rPr>
        <w:br/>
      </w:r>
    </w:p>
    <w:sectPr w:rsidR="00531B99" w:rsidRPr="007E3685">
      <w:headerReference w:type="even" r:id="rId11"/>
      <w:head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493C" w14:textId="77777777" w:rsidR="005500A6" w:rsidRDefault="005500A6" w:rsidP="007E11D1">
      <w:pPr>
        <w:spacing w:after="0" w:line="240" w:lineRule="auto"/>
      </w:pPr>
      <w:r>
        <w:separator/>
      </w:r>
    </w:p>
  </w:endnote>
  <w:endnote w:type="continuationSeparator" w:id="0">
    <w:p w14:paraId="57870B29" w14:textId="77777777" w:rsidR="005500A6" w:rsidRDefault="005500A6" w:rsidP="007E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ober Regular">
    <w:altName w:val="Calibri"/>
    <w:panose1 w:val="00000000000000000000"/>
    <w:charset w:val="00"/>
    <w:family w:val="modern"/>
    <w:notTrueType/>
    <w:pitch w:val="variable"/>
    <w:sig w:usb0="A00002AF" w:usb1="5000207B" w:usb2="00000000" w:usb3="00000000" w:csb0="00000097"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0172F" w14:textId="77777777" w:rsidR="005500A6" w:rsidRDefault="005500A6" w:rsidP="007E11D1">
      <w:pPr>
        <w:spacing w:after="0" w:line="240" w:lineRule="auto"/>
      </w:pPr>
      <w:r>
        <w:separator/>
      </w:r>
    </w:p>
  </w:footnote>
  <w:footnote w:type="continuationSeparator" w:id="0">
    <w:p w14:paraId="7F78DB86" w14:textId="77777777" w:rsidR="005500A6" w:rsidRDefault="005500A6" w:rsidP="007E11D1">
      <w:pPr>
        <w:spacing w:after="0" w:line="240" w:lineRule="auto"/>
      </w:pPr>
      <w:r>
        <w:continuationSeparator/>
      </w:r>
    </w:p>
  </w:footnote>
  <w:footnote w:id="1">
    <w:p w14:paraId="5B392EF6" w14:textId="2B2A8144" w:rsidR="0069469B" w:rsidRPr="005A4674" w:rsidRDefault="0069469B">
      <w:pPr>
        <w:pStyle w:val="FootnoteText"/>
        <w:rPr>
          <w:rFonts w:ascii="Calibri" w:hAnsi="Calibri" w:cs="Calibri"/>
          <w:sz w:val="18"/>
          <w:szCs w:val="18"/>
        </w:rPr>
      </w:pPr>
      <w:r w:rsidRPr="005A4674">
        <w:rPr>
          <w:rStyle w:val="FootnoteReference"/>
          <w:rFonts w:ascii="Calibri" w:hAnsi="Calibri" w:cs="Calibri"/>
          <w:sz w:val="18"/>
          <w:szCs w:val="18"/>
        </w:rPr>
        <w:footnoteRef/>
      </w:r>
      <w:r w:rsidRPr="005A4674">
        <w:rPr>
          <w:rFonts w:ascii="Calibri" w:hAnsi="Calibri" w:cs="Calibri"/>
          <w:sz w:val="18"/>
          <w:szCs w:val="18"/>
        </w:rPr>
        <w:t xml:space="preserve"> </w:t>
      </w:r>
      <w:hyperlink r:id="rId1" w:history="1">
        <w:r w:rsidRPr="005A4674">
          <w:rPr>
            <w:rStyle w:val="Hyperlink"/>
            <w:rFonts w:ascii="Calibri" w:hAnsi="Calibri" w:cs="Calibri"/>
            <w:sz w:val="18"/>
            <w:szCs w:val="18"/>
          </w:rPr>
          <w:t xml:space="preserve">The state of the nation: Key challenges for Australia’s economy - UNSW </w:t>
        </w:r>
        <w:proofErr w:type="spellStart"/>
        <w:r w:rsidRPr="005A4674">
          <w:rPr>
            <w:rStyle w:val="Hyperlink"/>
            <w:rFonts w:ascii="Calibri" w:hAnsi="Calibri" w:cs="Calibri"/>
            <w:sz w:val="18"/>
            <w:szCs w:val="18"/>
          </w:rPr>
          <w:t>BusinessThink</w:t>
        </w:r>
        <w:proofErr w:type="spellEnd"/>
      </w:hyperlink>
    </w:p>
  </w:footnote>
  <w:footnote w:id="2">
    <w:p w14:paraId="254E51A1" w14:textId="77777777" w:rsidR="00A16B0B" w:rsidRPr="005A4674" w:rsidRDefault="00A16B0B" w:rsidP="00A16B0B">
      <w:pPr>
        <w:pStyle w:val="FootnoteText"/>
        <w:rPr>
          <w:rFonts w:ascii="Calibri" w:hAnsi="Calibri" w:cs="Calibri"/>
          <w:sz w:val="18"/>
          <w:szCs w:val="18"/>
        </w:rPr>
      </w:pPr>
      <w:r w:rsidRPr="005A4674">
        <w:rPr>
          <w:rStyle w:val="FootnoteReference"/>
          <w:rFonts w:ascii="Calibri" w:hAnsi="Calibri" w:cs="Calibri"/>
          <w:sz w:val="18"/>
          <w:szCs w:val="18"/>
        </w:rPr>
        <w:footnoteRef/>
      </w:r>
      <w:r w:rsidRPr="005A4674">
        <w:rPr>
          <w:rFonts w:ascii="Calibri" w:hAnsi="Calibri" w:cs="Calibri"/>
          <w:sz w:val="18"/>
          <w:szCs w:val="18"/>
        </w:rPr>
        <w:t xml:space="preserve"> </w:t>
      </w:r>
      <w:hyperlink r:id="rId2" w:history="1">
        <w:r w:rsidRPr="005A4674">
          <w:rPr>
            <w:rStyle w:val="Hyperlink"/>
            <w:rFonts w:ascii="Calibri" w:hAnsi="Calibri" w:cs="Calibri"/>
            <w:sz w:val="18"/>
            <w:szCs w:val="18"/>
          </w:rPr>
          <w:t>Statement by the Reserve Bank Board: Monetary Policy Decision - August 2024 | Media Releases | RBA</w:t>
        </w:r>
      </w:hyperlink>
    </w:p>
  </w:footnote>
  <w:footnote w:id="3">
    <w:p w14:paraId="3B470774" w14:textId="626ECE04" w:rsidR="000C19BF" w:rsidRDefault="000C19BF">
      <w:pPr>
        <w:pStyle w:val="FootnoteText"/>
      </w:pPr>
      <w:r>
        <w:rPr>
          <w:rStyle w:val="FootnoteReference"/>
        </w:rPr>
        <w:footnoteRef/>
      </w:r>
      <w:r>
        <w:t xml:space="preserve"> </w:t>
      </w:r>
      <w:hyperlink r:id="rId3" w:history="1">
        <w:r w:rsidRPr="00C54986">
          <w:rPr>
            <w:rStyle w:val="Hyperlink"/>
            <w:rFonts w:ascii="Calibri" w:hAnsi="Calibri" w:cs="Calibri"/>
            <w:sz w:val="18"/>
            <w:szCs w:val="18"/>
          </w:rPr>
          <w:t>2023 Intergenerational Report, Australian Treasury</w:t>
        </w:r>
      </w:hyperlink>
    </w:p>
  </w:footnote>
  <w:footnote w:id="4">
    <w:p w14:paraId="1F849C1E" w14:textId="77777777" w:rsidR="00B17B12" w:rsidRPr="005A4674" w:rsidRDefault="00B17B12" w:rsidP="00B17B12">
      <w:pPr>
        <w:pStyle w:val="FootnoteText"/>
        <w:rPr>
          <w:rFonts w:ascii="Calibri" w:hAnsi="Calibri" w:cs="Calibri"/>
          <w:sz w:val="18"/>
          <w:szCs w:val="18"/>
        </w:rPr>
      </w:pPr>
      <w:r w:rsidRPr="005A4674">
        <w:rPr>
          <w:rStyle w:val="FootnoteReference"/>
          <w:rFonts w:ascii="Calibri" w:hAnsi="Calibri" w:cs="Calibri"/>
          <w:sz w:val="18"/>
          <w:szCs w:val="18"/>
        </w:rPr>
        <w:footnoteRef/>
      </w:r>
      <w:r w:rsidRPr="005A4674">
        <w:rPr>
          <w:rFonts w:ascii="Calibri" w:hAnsi="Calibri" w:cs="Calibri"/>
          <w:sz w:val="18"/>
          <w:szCs w:val="18"/>
        </w:rPr>
        <w:t xml:space="preserve"> </w:t>
      </w:r>
      <w:r>
        <w:rPr>
          <w:rFonts w:ascii="Calibri" w:hAnsi="Calibri" w:cs="Calibri"/>
          <w:sz w:val="18"/>
          <w:szCs w:val="18"/>
        </w:rPr>
        <w:t>Including: Asia (</w:t>
      </w:r>
      <w:hyperlink r:id="rId4" w:history="1">
        <w:r w:rsidRPr="005A4674">
          <w:rPr>
            <w:rStyle w:val="Hyperlink"/>
            <w:rFonts w:ascii="Calibri" w:hAnsi="Calibri" w:cs="Calibri"/>
            <w:sz w:val="18"/>
            <w:szCs w:val="18"/>
          </w:rPr>
          <w:t>Corporate Bond Markets in Asia</w:t>
        </w:r>
        <w:r>
          <w:rPr>
            <w:rStyle w:val="Hyperlink"/>
            <w:rFonts w:ascii="Calibri" w:hAnsi="Calibri" w:cs="Calibri"/>
            <w:sz w:val="18"/>
            <w:szCs w:val="18"/>
          </w:rPr>
          <w:t>,</w:t>
        </w:r>
        <w:r w:rsidRPr="005A4674">
          <w:rPr>
            <w:rStyle w:val="Hyperlink"/>
            <w:rFonts w:ascii="Calibri" w:hAnsi="Calibri" w:cs="Calibri"/>
            <w:sz w:val="18"/>
            <w:szCs w:val="18"/>
          </w:rPr>
          <w:t xml:space="preserve"> OECD</w:t>
        </w:r>
      </w:hyperlink>
      <w:r w:rsidRPr="005A4674">
        <w:rPr>
          <w:rFonts w:ascii="Calibri" w:hAnsi="Calibri" w:cs="Calibri"/>
          <w:sz w:val="18"/>
          <w:szCs w:val="18"/>
        </w:rPr>
        <w:t xml:space="preserve"> 2024 Report, which commented on the reforms introduced in many Asian jurisdictions</w:t>
      </w:r>
      <w:r>
        <w:rPr>
          <w:rFonts w:ascii="Calibri" w:hAnsi="Calibri" w:cs="Calibri"/>
          <w:sz w:val="18"/>
          <w:szCs w:val="18"/>
        </w:rPr>
        <w:t xml:space="preserve"> </w:t>
      </w:r>
      <w:r w:rsidRPr="005A4674">
        <w:rPr>
          <w:rFonts w:ascii="Calibri" w:hAnsi="Calibri" w:cs="Calibri"/>
          <w:sz w:val="18"/>
          <w:szCs w:val="18"/>
        </w:rPr>
        <w:t>to develop corporate bond markets in recognition of the importance of well-functioning capital markets</w:t>
      </w:r>
      <w:r>
        <w:rPr>
          <w:rFonts w:ascii="Calibri" w:hAnsi="Calibri" w:cs="Calibri"/>
          <w:sz w:val="18"/>
          <w:szCs w:val="18"/>
        </w:rPr>
        <w:t>); Europe (</w:t>
      </w:r>
      <w:hyperlink r:id="rId5" w:history="1">
        <w:r w:rsidRPr="005A4674">
          <w:rPr>
            <w:rStyle w:val="Hyperlink"/>
            <w:rFonts w:ascii="Calibri" w:hAnsi="Calibri" w:cs="Calibri"/>
            <w:sz w:val="18"/>
            <w:szCs w:val="18"/>
          </w:rPr>
          <w:t>Europe's growing league of small corporate bond issuers: new players, different game dynamics</w:t>
        </w:r>
      </w:hyperlink>
      <w:r>
        <w:rPr>
          <w:rStyle w:val="Hyperlink"/>
          <w:rFonts w:ascii="Calibri" w:hAnsi="Calibri" w:cs="Calibri"/>
          <w:sz w:val="18"/>
          <w:szCs w:val="18"/>
        </w:rPr>
        <w:t>);</w:t>
      </w:r>
      <w:r w:rsidRPr="001D4376">
        <w:rPr>
          <w:rFonts w:ascii="Calibri" w:hAnsi="Calibri" w:cs="Calibri"/>
          <w:sz w:val="18"/>
          <w:szCs w:val="18"/>
        </w:rPr>
        <w:t xml:space="preserve"> United Kingdom </w:t>
      </w:r>
      <w:r>
        <w:rPr>
          <w:rStyle w:val="Hyperlink"/>
          <w:rFonts w:ascii="Calibri" w:hAnsi="Calibri" w:cs="Calibri"/>
          <w:sz w:val="18"/>
          <w:szCs w:val="18"/>
        </w:rPr>
        <w:t>(</w:t>
      </w:r>
      <w:hyperlink r:id="rId6" w:history="1">
        <w:r w:rsidRPr="007B748D">
          <w:rPr>
            <w:rStyle w:val="Hyperlink"/>
            <w:rFonts w:ascii="Calibri" w:hAnsi="Calibri" w:cs="Calibri"/>
            <w:sz w:val="18"/>
            <w:szCs w:val="18"/>
          </w:rPr>
          <w:t>Broader Access To The UK Bond Market Under The Microscope</w:t>
        </w:r>
      </w:hyperlink>
      <w:r>
        <w:rPr>
          <w:rStyle w:val="Hyperlink"/>
          <w:rFonts w:ascii="Calibri" w:hAnsi="Calibri" w:cs="Calibri"/>
          <w:sz w:val="18"/>
          <w:szCs w:val="18"/>
        </w:rPr>
        <w:t>)</w:t>
      </w:r>
      <w:r>
        <w:rPr>
          <w:rFonts w:ascii="Calibri" w:hAnsi="Calibri" w:cs="Calibri"/>
          <w:sz w:val="18"/>
          <w:szCs w:val="18"/>
        </w:rPr>
        <w:t>; Emerging Economies (T</w:t>
      </w:r>
      <w:r w:rsidRPr="005A4674">
        <w:rPr>
          <w:rFonts w:ascii="Calibri" w:hAnsi="Calibri" w:cs="Calibri"/>
          <w:sz w:val="18"/>
          <w:szCs w:val="18"/>
        </w:rPr>
        <w:t xml:space="preserve">here has been significant growth in bond issuance in emerging economies since the GFC largely attributable to accommodate monetary policies. See page 2 (2020) Growth of Global Corporate Debt main facts and Policy Challenges, World Bank Group, also available </w:t>
      </w:r>
      <w:hyperlink r:id="rId7" w:history="1">
        <w:r w:rsidRPr="005A4674">
          <w:rPr>
            <w:rStyle w:val="Hyperlink"/>
            <w:rFonts w:ascii="Calibri" w:hAnsi="Calibri" w:cs="Calibri"/>
            <w:sz w:val="18"/>
            <w:szCs w:val="18"/>
          </w:rPr>
          <w:t>here</w:t>
        </w:r>
      </w:hyperlink>
      <w:r>
        <w:rPr>
          <w:rStyle w:val="Hyperlink"/>
          <w:rFonts w:ascii="Calibri" w:hAnsi="Calibri" w:cs="Calibri"/>
          <w:sz w:val="18"/>
          <w:szCs w:val="18"/>
        </w:rPr>
        <w:t>)</w:t>
      </w:r>
      <w:r w:rsidRPr="001D4376">
        <w:rPr>
          <w:rStyle w:val="Hyperlink"/>
          <w:rFonts w:ascii="Calibri" w:hAnsi="Calibri" w:cs="Calibri"/>
          <w:color w:val="auto"/>
          <w:sz w:val="18"/>
          <w:szCs w:val="18"/>
          <w:u w:val="none"/>
        </w:rPr>
        <w:t>; and Australia (</w:t>
      </w:r>
      <w:r>
        <w:rPr>
          <w:rFonts w:ascii="Calibri" w:hAnsi="Calibri" w:cs="Calibri"/>
          <w:sz w:val="18"/>
          <w:szCs w:val="18"/>
        </w:rPr>
        <w:t xml:space="preserve">See </w:t>
      </w:r>
      <w:hyperlink r:id="rId8" w:history="1">
        <w:r w:rsidRPr="005A4674">
          <w:rPr>
            <w:rStyle w:val="Hyperlink"/>
            <w:rFonts w:ascii="Calibri" w:hAnsi="Calibri" w:cs="Calibri"/>
            <w:sz w:val="18"/>
            <w:szCs w:val="18"/>
          </w:rPr>
          <w:t>Securitisation: A government perspective</w:t>
        </w:r>
      </w:hyperlink>
      <w:r>
        <w:rPr>
          <w:rFonts w:ascii="Calibri" w:hAnsi="Calibri" w:cs="Calibri"/>
          <w:sz w:val="18"/>
          <w:szCs w:val="18"/>
        </w:rPr>
        <w:t xml:space="preserve"> Speech by Jim Murphy, Executive Director Markets Group the Treasury (2011) outlining that the lesson from the GFC was that access to diversified funding sources was important and why the securitisation industry has received Government support. See also </w:t>
      </w:r>
      <w:hyperlink r:id="rId9" w:history="1">
        <w:r>
          <w:rPr>
            <w:rStyle w:val="Hyperlink"/>
            <w:rFonts w:ascii="Calibri" w:hAnsi="Calibri" w:cs="Calibri"/>
            <w:sz w:val="18"/>
            <w:szCs w:val="18"/>
          </w:rPr>
          <w:t>'Australia as a Financial Services Centre', Statement by the Minister for Financial Services, Superannuation and Corporate Law</w:t>
        </w:r>
      </w:hyperlink>
      <w:r>
        <w:rPr>
          <w:rFonts w:ascii="Calibri" w:hAnsi="Calibri" w:cs="Calibri"/>
          <w:sz w:val="18"/>
          <w:szCs w:val="18"/>
        </w:rPr>
        <w:t>, 2010)</w:t>
      </w:r>
    </w:p>
  </w:footnote>
  <w:footnote w:id="5">
    <w:p w14:paraId="4FE463DC" w14:textId="207E52D4" w:rsidR="00A131FE" w:rsidRPr="00A2165D" w:rsidRDefault="00A131FE" w:rsidP="00A131FE">
      <w:pPr>
        <w:pStyle w:val="FootnoteText"/>
        <w:rPr>
          <w:rFonts w:ascii="Calibri" w:hAnsi="Calibri" w:cs="Calibri"/>
          <w:sz w:val="18"/>
          <w:szCs w:val="18"/>
        </w:rPr>
      </w:pPr>
      <w:r w:rsidRPr="005A4674">
        <w:rPr>
          <w:rStyle w:val="FootnoteReference"/>
          <w:rFonts w:ascii="Calibri" w:hAnsi="Calibri" w:cs="Calibri"/>
          <w:sz w:val="18"/>
          <w:szCs w:val="18"/>
        </w:rPr>
        <w:footnoteRef/>
      </w:r>
      <w:r w:rsidRPr="005A4674">
        <w:rPr>
          <w:rFonts w:ascii="Calibri" w:hAnsi="Calibri" w:cs="Calibri"/>
          <w:sz w:val="18"/>
          <w:szCs w:val="18"/>
        </w:rPr>
        <w:t xml:space="preserve"> </w:t>
      </w:r>
      <w:r w:rsidRPr="00A2165D">
        <w:rPr>
          <w:rFonts w:ascii="Calibri" w:hAnsi="Calibri" w:cs="Calibri"/>
          <w:sz w:val="18"/>
          <w:szCs w:val="18"/>
        </w:rPr>
        <w:t>Attila Becsi &amp; Gergely Bognar &amp; Mate Loga, 2021. "</w:t>
      </w:r>
      <w:hyperlink r:id="rId10" w:history="1">
        <w:r w:rsidRPr="00A2165D">
          <w:rPr>
            <w:rFonts w:ascii="Calibri" w:hAnsi="Calibri" w:cs="Calibri"/>
            <w:sz w:val="18"/>
            <w:szCs w:val="18"/>
          </w:rPr>
          <w:t>The Growing Importance of the Economic Role of the Corporate Bond Market</w:t>
        </w:r>
      </w:hyperlink>
      <w:r w:rsidRPr="00A2165D">
        <w:rPr>
          <w:rFonts w:ascii="Calibri" w:hAnsi="Calibri" w:cs="Calibri"/>
          <w:sz w:val="18"/>
          <w:szCs w:val="18"/>
        </w:rPr>
        <w:t>," </w:t>
      </w:r>
      <w:hyperlink r:id="rId11" w:history="1">
        <w:r w:rsidRPr="00A2165D">
          <w:rPr>
            <w:rFonts w:ascii="Calibri" w:hAnsi="Calibri" w:cs="Calibri"/>
            <w:sz w:val="18"/>
            <w:szCs w:val="18"/>
          </w:rPr>
          <w:t>Financial and Economic Review</w:t>
        </w:r>
      </w:hyperlink>
      <w:r w:rsidRPr="00A2165D">
        <w:rPr>
          <w:rFonts w:ascii="Calibri" w:hAnsi="Calibri" w:cs="Calibri"/>
          <w:sz w:val="18"/>
          <w:szCs w:val="18"/>
        </w:rPr>
        <w:t xml:space="preserve">, Magyar </w:t>
      </w:r>
      <w:proofErr w:type="spellStart"/>
      <w:r w:rsidRPr="00A2165D">
        <w:rPr>
          <w:rFonts w:ascii="Calibri" w:hAnsi="Calibri" w:cs="Calibri"/>
          <w:sz w:val="18"/>
          <w:szCs w:val="18"/>
        </w:rPr>
        <w:t>Nemzeti</w:t>
      </w:r>
      <w:proofErr w:type="spellEnd"/>
      <w:r w:rsidRPr="00A2165D">
        <w:rPr>
          <w:rFonts w:ascii="Calibri" w:hAnsi="Calibri" w:cs="Calibri"/>
          <w:sz w:val="18"/>
          <w:szCs w:val="18"/>
        </w:rPr>
        <w:t xml:space="preserve"> Bank (Central Bank of Hungary), vol. 20(4), pages 5-37</w:t>
      </w:r>
    </w:p>
  </w:footnote>
  <w:footnote w:id="6">
    <w:p w14:paraId="72666294" w14:textId="7E8DF796" w:rsidR="00B17B12" w:rsidRDefault="00B17B12">
      <w:pPr>
        <w:pStyle w:val="FootnoteText"/>
      </w:pPr>
      <w:r>
        <w:rPr>
          <w:rStyle w:val="FootnoteReference"/>
        </w:rPr>
        <w:footnoteRef/>
      </w:r>
      <w:r>
        <w:t xml:space="preserve"> </w:t>
      </w:r>
      <w:r w:rsidRPr="00B17B12">
        <w:rPr>
          <w:rFonts w:ascii="Calibri" w:hAnsi="Calibri" w:cs="Calibri"/>
          <w:sz w:val="18"/>
          <w:szCs w:val="18"/>
        </w:rPr>
        <w:t>ABS 5232.0, Australian National Accounts: Finance and Wealth (March 2024)</w:t>
      </w:r>
    </w:p>
  </w:footnote>
  <w:footnote w:id="7">
    <w:p w14:paraId="47EAD1F9" w14:textId="6F06024D" w:rsidR="00720903" w:rsidRDefault="00720903">
      <w:pPr>
        <w:pStyle w:val="FootnoteText"/>
      </w:pPr>
      <w:r>
        <w:rPr>
          <w:rStyle w:val="FootnoteReference"/>
        </w:rPr>
        <w:footnoteRef/>
      </w:r>
      <w:r w:rsidRPr="00720903">
        <w:rPr>
          <w:rFonts w:ascii="Calibri" w:hAnsi="Calibri" w:cs="Calibri"/>
          <w:sz w:val="18"/>
          <w:szCs w:val="18"/>
        </w:rPr>
        <w:t xml:space="preserve"> Such as Tabcorp</w:t>
      </w:r>
      <w:r w:rsidR="00EC1487">
        <w:rPr>
          <w:rFonts w:ascii="Calibri" w:hAnsi="Calibri" w:cs="Calibri"/>
          <w:sz w:val="18"/>
          <w:szCs w:val="18"/>
        </w:rPr>
        <w:t>’s</w:t>
      </w:r>
      <w:r w:rsidRPr="00720903">
        <w:rPr>
          <w:rFonts w:ascii="Calibri" w:hAnsi="Calibri" w:cs="Calibri"/>
          <w:sz w:val="18"/>
          <w:szCs w:val="18"/>
        </w:rPr>
        <w:t xml:space="preserve"> 2009</w:t>
      </w:r>
      <w:r w:rsidR="00EC1487">
        <w:rPr>
          <w:rFonts w:ascii="Calibri" w:hAnsi="Calibri" w:cs="Calibri"/>
          <w:sz w:val="18"/>
          <w:szCs w:val="18"/>
        </w:rPr>
        <w:t xml:space="preserve"> retail debt capital raising which w</w:t>
      </w:r>
      <w:r w:rsidR="00CF1F88">
        <w:rPr>
          <w:rFonts w:ascii="Calibri" w:hAnsi="Calibri" w:cs="Calibri"/>
          <w:sz w:val="18"/>
          <w:szCs w:val="18"/>
        </w:rPr>
        <w:t>as</w:t>
      </w:r>
      <w:r w:rsidR="00EC1487">
        <w:rPr>
          <w:rFonts w:ascii="Calibri" w:hAnsi="Calibri" w:cs="Calibri"/>
          <w:sz w:val="18"/>
          <w:szCs w:val="18"/>
        </w:rPr>
        <w:t xml:space="preserve"> </w:t>
      </w:r>
      <w:r w:rsidR="00EC1487" w:rsidRPr="00EC1487">
        <w:rPr>
          <w:rFonts w:ascii="Calibri" w:hAnsi="Calibri" w:cs="Calibri"/>
          <w:sz w:val="18"/>
          <w:szCs w:val="18"/>
        </w:rPr>
        <w:t xml:space="preserve">issued at the height of the global financial crisis when debt markets were </w:t>
      </w:r>
      <w:r w:rsidR="00EC1487">
        <w:rPr>
          <w:rFonts w:ascii="Calibri" w:hAnsi="Calibri" w:cs="Calibri"/>
          <w:sz w:val="18"/>
          <w:szCs w:val="18"/>
        </w:rPr>
        <w:t xml:space="preserve">difficult and </w:t>
      </w:r>
      <w:r w:rsidR="00EC1487" w:rsidRPr="00EC1487">
        <w:rPr>
          <w:rFonts w:ascii="Calibri" w:hAnsi="Calibri" w:cs="Calibri"/>
          <w:sz w:val="18"/>
          <w:szCs w:val="18"/>
        </w:rPr>
        <w:t>expensive to access</w:t>
      </w:r>
      <w:r w:rsidR="00EC1487">
        <w:rPr>
          <w:rFonts w:ascii="Calibri" w:hAnsi="Calibri" w:cs="Calibri"/>
          <w:sz w:val="18"/>
          <w:szCs w:val="18"/>
        </w:rPr>
        <w:t xml:space="preserve">  </w:t>
      </w:r>
    </w:p>
  </w:footnote>
  <w:footnote w:id="8">
    <w:p w14:paraId="54E65232" w14:textId="26A832D5" w:rsidR="006828E2" w:rsidRPr="00403859" w:rsidRDefault="006828E2">
      <w:pPr>
        <w:pStyle w:val="FootnoteText"/>
        <w:rPr>
          <w:rFonts w:ascii="Calibri" w:hAnsi="Calibri" w:cs="Calibri"/>
          <w:sz w:val="18"/>
          <w:szCs w:val="18"/>
        </w:rPr>
      </w:pPr>
      <w:r w:rsidRPr="00A2165D">
        <w:rPr>
          <w:rStyle w:val="FootnoteReference"/>
          <w:rFonts w:ascii="Calibri" w:hAnsi="Calibri" w:cs="Calibri"/>
          <w:sz w:val="18"/>
          <w:szCs w:val="18"/>
        </w:rPr>
        <w:footnoteRef/>
      </w:r>
      <w:r w:rsidRPr="00A2165D">
        <w:rPr>
          <w:rFonts w:ascii="Calibri" w:hAnsi="Calibri" w:cs="Calibri"/>
          <w:sz w:val="18"/>
          <w:szCs w:val="18"/>
        </w:rPr>
        <w:t xml:space="preserve"> The </w:t>
      </w:r>
      <w:hyperlink r:id="rId12" w:history="1">
        <w:r w:rsidRPr="00A2165D">
          <w:rPr>
            <w:rStyle w:val="Hyperlink"/>
            <w:rFonts w:ascii="Calibri" w:hAnsi="Calibri" w:cs="Calibri"/>
            <w:sz w:val="18"/>
            <w:szCs w:val="18"/>
          </w:rPr>
          <w:t>RBA Bulletin - March 2022</w:t>
        </w:r>
      </w:hyperlink>
      <w:r w:rsidRPr="00A2165D">
        <w:rPr>
          <w:rFonts w:ascii="Calibri" w:hAnsi="Calibri" w:cs="Calibri"/>
          <w:sz w:val="18"/>
          <w:szCs w:val="18"/>
        </w:rPr>
        <w:t xml:space="preserve"> – Australian Securities Markets through the Covid-19 Pandemic noted that banks accounted for 60% of all Australian non-government corporate bonds that were issued in Australia or international markets over the past five years</w:t>
      </w:r>
    </w:p>
  </w:footnote>
  <w:footnote w:id="9">
    <w:p w14:paraId="48ED71C0" w14:textId="0F8704D2" w:rsidR="009002C6" w:rsidRDefault="002322AD">
      <w:pPr>
        <w:pStyle w:val="FootnoteText"/>
      </w:pPr>
      <w:r>
        <w:rPr>
          <w:rStyle w:val="FootnoteReference"/>
        </w:rPr>
        <w:footnoteRef/>
      </w:r>
      <w:r>
        <w:t xml:space="preserve"> </w:t>
      </w:r>
      <w:r w:rsidRPr="00B45D50">
        <w:rPr>
          <w:rFonts w:ascii="Calibri" w:hAnsi="Calibri" w:cs="Calibri"/>
          <w:sz w:val="18"/>
          <w:szCs w:val="18"/>
        </w:rPr>
        <w:t xml:space="preserve">ASX internal analysis, </w:t>
      </w:r>
      <w:r w:rsidR="00C97446">
        <w:rPr>
          <w:rFonts w:ascii="Calibri" w:hAnsi="Calibri" w:cs="Calibri"/>
          <w:sz w:val="18"/>
          <w:szCs w:val="18"/>
        </w:rPr>
        <w:t>May</w:t>
      </w:r>
      <w:r w:rsidRPr="00B45D50">
        <w:rPr>
          <w:rFonts w:ascii="Calibri" w:hAnsi="Calibri" w:cs="Calibri"/>
          <w:sz w:val="18"/>
          <w:szCs w:val="18"/>
        </w:rPr>
        <w:t xml:space="preserve"> 202</w:t>
      </w:r>
      <w:r w:rsidR="00C97446">
        <w:rPr>
          <w:rFonts w:ascii="Calibri" w:hAnsi="Calibri" w:cs="Calibri"/>
          <w:sz w:val="18"/>
          <w:szCs w:val="18"/>
        </w:rPr>
        <w:t>6</w:t>
      </w:r>
    </w:p>
  </w:footnote>
  <w:footnote w:id="10">
    <w:p w14:paraId="7C0A4F3A" w14:textId="7803C8C8" w:rsidR="004270CF" w:rsidRDefault="004270CF">
      <w:pPr>
        <w:pStyle w:val="FootnoteText"/>
      </w:pPr>
      <w:r>
        <w:rPr>
          <w:rStyle w:val="FootnoteReference"/>
        </w:rPr>
        <w:footnoteRef/>
      </w:r>
      <w:r>
        <w:t xml:space="preserve"> </w:t>
      </w:r>
      <w:hyperlink r:id="rId13" w:anchor="tabs-core-0b137ddd18-item-65709bef0c-tab" w:history="1">
        <w:r w:rsidR="00430582" w:rsidRPr="00452C55">
          <w:rPr>
            <w:rStyle w:val="Hyperlink"/>
            <w:rFonts w:ascii="Calibri" w:hAnsi="Calibri" w:cs="Calibri"/>
            <w:sz w:val="18"/>
            <w:szCs w:val="18"/>
          </w:rPr>
          <w:t>ASX end-of-month report May 2026</w:t>
        </w:r>
      </w:hyperlink>
    </w:p>
  </w:footnote>
  <w:footnote w:id="11">
    <w:p w14:paraId="15E9EAB1" w14:textId="62D03C69" w:rsidR="002322AD" w:rsidRDefault="002322AD">
      <w:pPr>
        <w:pStyle w:val="FootnoteText"/>
      </w:pPr>
      <w:r>
        <w:rPr>
          <w:rStyle w:val="FootnoteReference"/>
        </w:rPr>
        <w:footnoteRef/>
      </w:r>
      <w:r>
        <w:t xml:space="preserve"> </w:t>
      </w:r>
      <w:r w:rsidRPr="003C29DD">
        <w:rPr>
          <w:rFonts w:ascii="Calibri" w:hAnsi="Calibri" w:cs="Calibri"/>
          <w:sz w:val="18"/>
          <w:szCs w:val="18"/>
        </w:rPr>
        <w:t>ASX internal analysis</w:t>
      </w:r>
      <w:r w:rsidRPr="00FD742B">
        <w:rPr>
          <w:rFonts w:ascii="Calibri" w:hAnsi="Calibri" w:cs="Calibri"/>
          <w:sz w:val="18"/>
          <w:szCs w:val="18"/>
        </w:rPr>
        <w:t xml:space="preserve">, </w:t>
      </w:r>
      <w:r w:rsidR="00B52793">
        <w:rPr>
          <w:rFonts w:ascii="Calibri" w:hAnsi="Calibri" w:cs="Calibri"/>
          <w:sz w:val="18"/>
          <w:szCs w:val="18"/>
        </w:rPr>
        <w:t>May</w:t>
      </w:r>
      <w:r w:rsidR="00B52793" w:rsidRPr="00FD742B">
        <w:rPr>
          <w:rFonts w:ascii="Calibri" w:hAnsi="Calibri" w:cs="Calibri"/>
          <w:sz w:val="18"/>
          <w:szCs w:val="18"/>
        </w:rPr>
        <w:t xml:space="preserve"> </w:t>
      </w:r>
      <w:r w:rsidRPr="00FD742B">
        <w:rPr>
          <w:rFonts w:ascii="Calibri" w:hAnsi="Calibri" w:cs="Calibri"/>
          <w:sz w:val="18"/>
          <w:szCs w:val="18"/>
        </w:rPr>
        <w:t>202</w:t>
      </w:r>
      <w:r w:rsidR="00B52793">
        <w:rPr>
          <w:rFonts w:ascii="Calibri" w:hAnsi="Calibri" w:cs="Calibri"/>
          <w:sz w:val="18"/>
          <w:szCs w:val="18"/>
        </w:rPr>
        <w:t>6</w:t>
      </w:r>
      <w:r>
        <w:t xml:space="preserve"> </w:t>
      </w:r>
    </w:p>
  </w:footnote>
  <w:footnote w:id="12">
    <w:p w14:paraId="5808E96D" w14:textId="62D68AE2" w:rsidR="00430582" w:rsidRDefault="00430582">
      <w:pPr>
        <w:pStyle w:val="FootnoteText"/>
      </w:pPr>
      <w:r>
        <w:rPr>
          <w:rStyle w:val="FootnoteReference"/>
        </w:rPr>
        <w:footnoteRef/>
      </w:r>
      <w:r>
        <w:t xml:space="preserve"> </w:t>
      </w:r>
      <w:hyperlink r:id="rId14" w:history="1">
        <w:r w:rsidRPr="00452C55">
          <w:rPr>
            <w:rStyle w:val="Hyperlink"/>
            <w:rFonts w:ascii="Calibri" w:hAnsi="Calibri" w:cs="Calibri"/>
            <w:sz w:val="18"/>
            <w:szCs w:val="18"/>
          </w:rPr>
          <w:t>ASX Hybrids: Monthly Update - May 2026</w:t>
        </w:r>
      </w:hyperlink>
    </w:p>
  </w:footnote>
  <w:footnote w:id="13">
    <w:p w14:paraId="543F562E" w14:textId="48F0CD0C" w:rsidR="005B058D" w:rsidRDefault="005B058D" w:rsidP="005B058D">
      <w:pPr>
        <w:pStyle w:val="FootnoteText"/>
      </w:pPr>
      <w:r>
        <w:rPr>
          <w:rStyle w:val="FootnoteReference"/>
        </w:rPr>
        <w:footnoteRef/>
      </w:r>
      <w:r>
        <w:t xml:space="preserve"> </w:t>
      </w:r>
      <w:r w:rsidRPr="00863184">
        <w:rPr>
          <w:rFonts w:ascii="Calibri" w:hAnsi="Calibri" w:cs="Calibri"/>
          <w:sz w:val="18"/>
          <w:szCs w:val="18"/>
        </w:rPr>
        <w:t>ASX</w:t>
      </w:r>
      <w:r w:rsidRPr="00FD742B">
        <w:rPr>
          <w:rFonts w:ascii="Calibri" w:hAnsi="Calibri" w:cs="Calibri"/>
          <w:sz w:val="18"/>
          <w:szCs w:val="18"/>
        </w:rPr>
        <w:t xml:space="preserve"> internal analysis, </w:t>
      </w:r>
      <w:r w:rsidR="00EB3309">
        <w:rPr>
          <w:rFonts w:ascii="Calibri" w:hAnsi="Calibri" w:cs="Calibri"/>
          <w:sz w:val="18"/>
          <w:szCs w:val="18"/>
        </w:rPr>
        <w:t>May</w:t>
      </w:r>
      <w:r w:rsidR="00EB3309" w:rsidRPr="00FD742B">
        <w:rPr>
          <w:rFonts w:ascii="Calibri" w:hAnsi="Calibri" w:cs="Calibri"/>
          <w:sz w:val="18"/>
          <w:szCs w:val="18"/>
        </w:rPr>
        <w:t xml:space="preserve"> </w:t>
      </w:r>
      <w:r w:rsidRPr="00FD742B">
        <w:rPr>
          <w:rFonts w:ascii="Calibri" w:hAnsi="Calibri" w:cs="Calibri"/>
          <w:sz w:val="18"/>
          <w:szCs w:val="18"/>
        </w:rPr>
        <w:t>202</w:t>
      </w:r>
      <w:r w:rsidR="00EB3309">
        <w:rPr>
          <w:rFonts w:ascii="Calibri" w:hAnsi="Calibri" w:cs="Calibri"/>
          <w:sz w:val="18"/>
          <w:szCs w:val="18"/>
        </w:rPr>
        <w:t>6</w:t>
      </w:r>
      <w:r>
        <w:t xml:space="preserve"> </w:t>
      </w:r>
    </w:p>
  </w:footnote>
  <w:footnote w:id="14">
    <w:p w14:paraId="65114809" w14:textId="68DC234F" w:rsidR="003237A7" w:rsidRDefault="003237A7">
      <w:pPr>
        <w:pStyle w:val="FootnoteText"/>
      </w:pPr>
      <w:r>
        <w:rPr>
          <w:rStyle w:val="FootnoteReference"/>
        </w:rPr>
        <w:footnoteRef/>
      </w:r>
      <w:r>
        <w:t xml:space="preserve"> </w:t>
      </w:r>
      <w:hyperlink r:id="rId15" w:history="1">
        <w:r w:rsidR="001E25B9" w:rsidRPr="00520592">
          <w:rPr>
            <w:rStyle w:val="Hyperlink"/>
            <w:rFonts w:ascii="Calibri" w:hAnsi="Calibri" w:cs="Calibri"/>
            <w:sz w:val="18"/>
            <w:szCs w:val="18"/>
          </w:rPr>
          <w:t xml:space="preserve">ASX, What the </w:t>
        </w:r>
        <w:r w:rsidR="008C7669" w:rsidRPr="008C7669">
          <w:rPr>
            <w:rStyle w:val="Hyperlink"/>
            <w:rFonts w:ascii="Calibri" w:hAnsi="Calibri" w:cs="Calibri"/>
            <w:sz w:val="18"/>
            <w:szCs w:val="18"/>
          </w:rPr>
          <w:t>phasing</w:t>
        </w:r>
        <w:r w:rsidR="001E25B9" w:rsidRPr="00520592">
          <w:rPr>
            <w:rStyle w:val="Hyperlink"/>
            <w:rFonts w:ascii="Calibri" w:hAnsi="Calibri" w:cs="Calibri"/>
            <w:sz w:val="18"/>
            <w:szCs w:val="18"/>
          </w:rPr>
          <w:t xml:space="preserve"> out of the bank hybrid market means (6 June 202</w:t>
        </w:r>
        <w:r w:rsidR="002C3287">
          <w:rPr>
            <w:rStyle w:val="Hyperlink"/>
            <w:rFonts w:ascii="Calibri" w:hAnsi="Calibri" w:cs="Calibri"/>
            <w:sz w:val="18"/>
            <w:szCs w:val="18"/>
          </w:rPr>
          <w:t>5</w:t>
        </w:r>
        <w:r w:rsidR="001E25B9" w:rsidRPr="00520592">
          <w:rPr>
            <w:rStyle w:val="Hyperlink"/>
            <w:rFonts w:ascii="Calibri" w:hAnsi="Calibri" w:cs="Calibri"/>
            <w:sz w:val="18"/>
            <w:szCs w:val="18"/>
          </w:rPr>
          <w:t>)</w:t>
        </w:r>
      </w:hyperlink>
      <w:r w:rsidR="001E25B9">
        <w:t xml:space="preserve"> </w:t>
      </w:r>
    </w:p>
  </w:footnote>
  <w:footnote w:id="15">
    <w:p w14:paraId="184DD427" w14:textId="1DB2D06D" w:rsidR="002322AD" w:rsidRDefault="002322AD">
      <w:pPr>
        <w:pStyle w:val="FootnoteText"/>
      </w:pPr>
      <w:r>
        <w:rPr>
          <w:rStyle w:val="FootnoteReference"/>
        </w:rPr>
        <w:footnoteRef/>
      </w:r>
      <w:r>
        <w:rPr>
          <w:rFonts w:ascii="Calibri" w:hAnsi="Calibri" w:cs="Calibri"/>
          <w:sz w:val="18"/>
          <w:szCs w:val="18"/>
        </w:rPr>
        <w:t xml:space="preserve"> </w:t>
      </w:r>
      <w:r w:rsidRPr="00FD742B">
        <w:rPr>
          <w:rFonts w:ascii="Calibri" w:hAnsi="Calibri" w:cs="Calibri"/>
          <w:sz w:val="18"/>
          <w:szCs w:val="18"/>
        </w:rPr>
        <w:t>Dr Shumi Akhtar, Submission 17, p. 5</w:t>
      </w:r>
    </w:p>
  </w:footnote>
  <w:footnote w:id="16">
    <w:p w14:paraId="603C6B68" w14:textId="6FF29E2A" w:rsidR="002322AD" w:rsidRDefault="002322AD">
      <w:pPr>
        <w:pStyle w:val="FootnoteText"/>
      </w:pPr>
      <w:r>
        <w:rPr>
          <w:rStyle w:val="FootnoteReference"/>
        </w:rPr>
        <w:footnoteRef/>
      </w:r>
      <w:r>
        <w:rPr>
          <w:rFonts w:ascii="Calibri" w:hAnsi="Calibri" w:cs="Calibri"/>
          <w:sz w:val="18"/>
          <w:szCs w:val="18"/>
        </w:rPr>
        <w:t xml:space="preserve"> </w:t>
      </w:r>
      <w:r w:rsidRPr="00FD742B">
        <w:rPr>
          <w:rFonts w:ascii="Calibri" w:hAnsi="Calibri" w:cs="Calibri"/>
          <w:sz w:val="18"/>
          <w:szCs w:val="18"/>
        </w:rPr>
        <w:t>The Development of the Australian Corporate Bond Market: A Way Forward (2021), page iii and page 38</w:t>
      </w:r>
    </w:p>
  </w:footnote>
  <w:footnote w:id="17">
    <w:p w14:paraId="3130FDFB" w14:textId="00224508" w:rsidR="002322AD" w:rsidRDefault="002322AD">
      <w:pPr>
        <w:pStyle w:val="FootnoteText"/>
      </w:pPr>
      <w:r>
        <w:rPr>
          <w:rStyle w:val="FootnoteReference"/>
        </w:rPr>
        <w:footnoteRef/>
      </w:r>
      <w:r>
        <w:t xml:space="preserve"> </w:t>
      </w:r>
      <w:r w:rsidRPr="00FD742B">
        <w:rPr>
          <w:rFonts w:ascii="Calibri" w:hAnsi="Calibri" w:cs="Calibri"/>
          <w:sz w:val="18"/>
          <w:szCs w:val="18"/>
        </w:rPr>
        <w:t xml:space="preserve">NZX Limited – Monthly Shareholder Metrics, </w:t>
      </w:r>
      <w:r w:rsidR="00E84701">
        <w:rPr>
          <w:rFonts w:ascii="Calibri" w:hAnsi="Calibri" w:cs="Calibri"/>
          <w:sz w:val="18"/>
          <w:szCs w:val="18"/>
        </w:rPr>
        <w:t>May 2026</w:t>
      </w:r>
    </w:p>
  </w:footnote>
  <w:footnote w:id="18">
    <w:p w14:paraId="02FC5BCA" w14:textId="49AAB6C8" w:rsidR="00BB459C" w:rsidRPr="004B464A" w:rsidRDefault="00BB459C">
      <w:pPr>
        <w:pStyle w:val="FootnoteText"/>
        <w:rPr>
          <w:rFonts w:ascii="Calibri" w:hAnsi="Calibri" w:cs="Calibri"/>
          <w:sz w:val="18"/>
          <w:szCs w:val="18"/>
        </w:rPr>
      </w:pPr>
      <w:r>
        <w:rPr>
          <w:rStyle w:val="FootnoteReference"/>
        </w:rPr>
        <w:footnoteRef/>
      </w:r>
      <w:r>
        <w:t xml:space="preserve"> </w:t>
      </w:r>
      <w:r>
        <w:rPr>
          <w:rFonts w:ascii="Calibri" w:hAnsi="Calibri" w:cs="Calibri"/>
          <w:sz w:val="18"/>
          <w:szCs w:val="18"/>
        </w:rPr>
        <w:t xml:space="preserve">Including the Gillard Government which facilitated the trading of Commonwealth Government Securities on exchange “as part of its broad agenda to foster a deep and liquid corporate bond market” to diversify and strengthen funding of Australia’s financial system (see </w:t>
      </w:r>
      <w:hyperlink r:id="rId16" w:history="1">
        <w:r>
          <w:rPr>
            <w:rStyle w:val="Hyperlink"/>
            <w:rFonts w:ascii="Calibri" w:hAnsi="Calibri" w:cs="Calibri"/>
            <w:sz w:val="18"/>
            <w:szCs w:val="18"/>
          </w:rPr>
          <w:t>Develop a deep and liquid corporate bond market (2011)</w:t>
        </w:r>
      </w:hyperlink>
      <w:r>
        <w:rPr>
          <w:rFonts w:ascii="Calibri" w:hAnsi="Calibri" w:cs="Calibri"/>
          <w:sz w:val="18"/>
          <w:szCs w:val="18"/>
        </w:rPr>
        <w:t xml:space="preserve">), as well as </w:t>
      </w:r>
      <w:r w:rsidRPr="004B464A">
        <w:rPr>
          <w:rFonts w:ascii="Calibri" w:hAnsi="Calibri" w:cs="Calibri"/>
          <w:sz w:val="18"/>
          <w:szCs w:val="18"/>
        </w:rPr>
        <w:t xml:space="preserve">a commitment by the Morrison Government for further reform in </w:t>
      </w:r>
      <w:r>
        <w:rPr>
          <w:rFonts w:ascii="Calibri" w:hAnsi="Calibri" w:cs="Calibri"/>
          <w:sz w:val="18"/>
          <w:szCs w:val="18"/>
        </w:rPr>
        <w:t xml:space="preserve">Recommendation 33 of the Government response to the Financial System Inquiry (available </w:t>
      </w:r>
      <w:hyperlink r:id="rId17" w:history="1">
        <w:r>
          <w:rPr>
            <w:rStyle w:val="Hyperlink"/>
            <w:rFonts w:ascii="Calibri" w:hAnsi="Calibri" w:cs="Calibri"/>
            <w:sz w:val="18"/>
            <w:szCs w:val="18"/>
          </w:rPr>
          <w:t>here</w:t>
        </w:r>
      </w:hyperlink>
      <w:r>
        <w:rPr>
          <w:rFonts w:ascii="Calibri" w:hAnsi="Calibri" w:cs="Calibri"/>
          <w:sz w:val="18"/>
          <w:szCs w:val="18"/>
        </w:rPr>
        <w:t>)</w:t>
      </w:r>
    </w:p>
  </w:footnote>
  <w:footnote w:id="19">
    <w:p w14:paraId="3E774311" w14:textId="77777777" w:rsidR="00115015" w:rsidRDefault="00115015" w:rsidP="00115015">
      <w:pPr>
        <w:pStyle w:val="FootnoteText"/>
      </w:pPr>
      <w:r>
        <w:rPr>
          <w:rStyle w:val="FootnoteReference"/>
        </w:rPr>
        <w:footnoteRef/>
      </w:r>
      <w:r>
        <w:t xml:space="preserve"> </w:t>
      </w:r>
      <w:r w:rsidRPr="00C52C94">
        <w:rPr>
          <w:rFonts w:ascii="Calibri" w:hAnsi="Calibri" w:cs="Calibri"/>
          <w:sz w:val="18"/>
          <w:szCs w:val="18"/>
        </w:rPr>
        <w:t xml:space="preserve">A Cleansing Notice “cleanses” the market, either by disclosing market sensitive information that previously had not been disclosed or by confirming that no such information exists. An existing cleansing notice regime </w:t>
      </w:r>
      <w:r>
        <w:rPr>
          <w:rFonts w:ascii="Calibri" w:hAnsi="Calibri" w:cs="Calibri"/>
          <w:sz w:val="18"/>
          <w:szCs w:val="18"/>
        </w:rPr>
        <w:t xml:space="preserve">exists for equity rights issues pursuant to </w:t>
      </w:r>
      <w:r w:rsidRPr="00C52C94">
        <w:rPr>
          <w:rFonts w:ascii="Calibri" w:hAnsi="Calibri" w:cs="Calibri"/>
          <w:sz w:val="18"/>
          <w:szCs w:val="18"/>
        </w:rPr>
        <w:t>section 708AA of the Corporations Act. This section could be adapted to allow for the offering of bonds by way of a cleansing notice. The regime should also incorporate some elements of section 713 (which provides for the ‘transaction-specific’ prospectus regime for issuers of continuously quoted securities) and ASIC Corporations (Regulatory Capital Securities) Instrument 2016/71.</w:t>
      </w:r>
      <w:r w:rsidRPr="00C52C94">
        <w:t xml:space="preserve">   </w:t>
      </w:r>
    </w:p>
  </w:footnote>
  <w:footnote w:id="20">
    <w:p w14:paraId="4D235918" w14:textId="7A323BBE" w:rsidR="0009515F" w:rsidRPr="00C75739" w:rsidRDefault="0009515F" w:rsidP="0009515F">
      <w:pPr>
        <w:pStyle w:val="FootnoteText"/>
        <w:rPr>
          <w:rFonts w:ascii="Calibri" w:hAnsi="Calibri" w:cs="Calibri"/>
          <w:sz w:val="18"/>
          <w:szCs w:val="18"/>
        </w:rPr>
      </w:pPr>
      <w:r w:rsidRPr="00C75739">
        <w:rPr>
          <w:rStyle w:val="FootnoteReference"/>
          <w:rFonts w:ascii="Calibri" w:hAnsi="Calibri" w:cs="Calibri"/>
          <w:sz w:val="18"/>
          <w:szCs w:val="18"/>
        </w:rPr>
        <w:footnoteRef/>
      </w:r>
      <w:r w:rsidRPr="00C75739">
        <w:rPr>
          <w:rFonts w:ascii="Calibri" w:hAnsi="Calibri" w:cs="Calibri"/>
          <w:sz w:val="18"/>
          <w:szCs w:val="18"/>
        </w:rPr>
        <w:t xml:space="preserve"> Pages 38-39 (2020) The Development of the Australian Corporate Bond Market: A Way Forward, House of Representatives Standing Committee on Tax and Revenue</w:t>
      </w:r>
    </w:p>
  </w:footnote>
  <w:footnote w:id="21">
    <w:p w14:paraId="5D563F09" w14:textId="3DBEF728" w:rsidR="00B427C6" w:rsidRDefault="00B427C6">
      <w:pPr>
        <w:pStyle w:val="FootnoteText"/>
      </w:pPr>
      <w:r>
        <w:rPr>
          <w:rStyle w:val="FootnoteReference"/>
        </w:rPr>
        <w:footnoteRef/>
      </w:r>
      <w:r>
        <w:t xml:space="preserve"> </w:t>
      </w:r>
      <w:r w:rsidR="00FD742B" w:rsidRPr="00FD742B">
        <w:rPr>
          <w:rFonts w:ascii="Calibri" w:hAnsi="Calibri" w:cs="Calibri"/>
          <w:sz w:val="18"/>
          <w:szCs w:val="18"/>
        </w:rPr>
        <w:t xml:space="preserve">NZX Limited – Monthly Shareholder Metrics, </w:t>
      </w:r>
      <w:r w:rsidR="00560121">
        <w:rPr>
          <w:rFonts w:ascii="Calibri" w:hAnsi="Calibri" w:cs="Calibri"/>
          <w:sz w:val="18"/>
          <w:szCs w:val="18"/>
        </w:rPr>
        <w:t>May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3A39" w14:textId="4B647BC3" w:rsidR="00AA73FF" w:rsidRDefault="00AA73FF">
    <w:pPr>
      <w:pStyle w:val="Header"/>
    </w:pPr>
    <w:r>
      <w:rPr>
        <w:noProof/>
      </w:rPr>
      <mc:AlternateContent>
        <mc:Choice Requires="wps">
          <w:drawing>
            <wp:anchor distT="0" distB="0" distL="0" distR="0" simplePos="0" relativeHeight="251659264" behindDoc="0" locked="0" layoutInCell="1" allowOverlap="1" wp14:anchorId="68ECB264" wp14:editId="378EB20C">
              <wp:simplePos x="635" y="635"/>
              <wp:positionH relativeFrom="page">
                <wp:align>center</wp:align>
              </wp:positionH>
              <wp:positionV relativeFrom="page">
                <wp:align>top</wp:align>
              </wp:positionV>
              <wp:extent cx="653415" cy="391160"/>
              <wp:effectExtent l="0" t="0" r="13335" b="8890"/>
              <wp:wrapNone/>
              <wp:docPr id="1461857808"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91160"/>
                      </a:xfrm>
                      <a:prstGeom prst="rect">
                        <a:avLst/>
                      </a:prstGeom>
                      <a:noFill/>
                      <a:ln>
                        <a:noFill/>
                      </a:ln>
                    </wps:spPr>
                    <wps:txbx>
                      <w:txbxContent>
                        <w:p w14:paraId="03B70AA3" w14:textId="201FD07B" w:rsidR="00AA73FF" w:rsidRPr="00AA73FF" w:rsidRDefault="00AA73FF" w:rsidP="00AA73FF">
                          <w:pPr>
                            <w:spacing w:after="0"/>
                            <w:rPr>
                              <w:rFonts w:ascii="Aptos" w:eastAsia="Aptos" w:hAnsi="Aptos" w:cs="Aptos"/>
                              <w:noProof/>
                              <w:color w:val="000000"/>
                              <w:sz w:val="24"/>
                              <w:szCs w:val="24"/>
                            </w:rPr>
                          </w:pPr>
                          <w:r w:rsidRPr="00AA73FF">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ECB264" id="_x0000_t202" coordsize="21600,21600" o:spt="202" path="m,l,21600r21600,l21600,xe">
              <v:stroke joinstyle="miter"/>
              <v:path gradientshapeok="t" o:connecttype="rect"/>
            </v:shapetype>
            <v:shape id="Text Box 2" o:spid="_x0000_s1026" type="#_x0000_t202" alt=" OFFICIAL" style="position:absolute;margin-left:0;margin-top:0;width:51.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" filled="f" stroked="f">
              <v:textbox style="mso-fit-shape-to-text:t" inset="0,15pt,0,0">
                <w:txbxContent>
                  <w:p w14:paraId="03B70AA3" w14:textId="201FD07B" w:rsidR="00AA73FF" w:rsidRPr="00AA73FF" w:rsidRDefault="00AA73FF" w:rsidP="00AA73FF">
                    <w:pPr>
                      <w:spacing w:after="0"/>
                      <w:rPr>
                        <w:rFonts w:ascii="Aptos" w:eastAsia="Aptos" w:hAnsi="Aptos" w:cs="Aptos"/>
                        <w:noProof/>
                        <w:color w:val="000000"/>
                        <w:sz w:val="24"/>
                        <w:szCs w:val="24"/>
                      </w:rPr>
                    </w:pPr>
                    <w:r w:rsidRPr="00AA73FF">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F208" w14:textId="5E9ED2D1" w:rsidR="00AA73FF" w:rsidRDefault="00AA73FF">
    <w:pPr>
      <w:pStyle w:val="Header"/>
    </w:pPr>
    <w:r>
      <w:rPr>
        <w:noProof/>
      </w:rPr>
      <mc:AlternateContent>
        <mc:Choice Requires="wps">
          <w:drawing>
            <wp:anchor distT="0" distB="0" distL="0" distR="0" simplePos="0" relativeHeight="251660288" behindDoc="0" locked="0" layoutInCell="1" allowOverlap="1" wp14:anchorId="0E0A77B7" wp14:editId="13B8DD70">
              <wp:simplePos x="635" y="635"/>
              <wp:positionH relativeFrom="page">
                <wp:align>center</wp:align>
              </wp:positionH>
              <wp:positionV relativeFrom="page">
                <wp:align>top</wp:align>
              </wp:positionV>
              <wp:extent cx="653415" cy="391160"/>
              <wp:effectExtent l="0" t="0" r="13335" b="8890"/>
              <wp:wrapNone/>
              <wp:docPr id="1649053232"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91160"/>
                      </a:xfrm>
                      <a:prstGeom prst="rect">
                        <a:avLst/>
                      </a:prstGeom>
                      <a:noFill/>
                      <a:ln>
                        <a:noFill/>
                      </a:ln>
                    </wps:spPr>
                    <wps:txbx>
                      <w:txbxContent>
                        <w:p w14:paraId="5EAECDB3" w14:textId="73162F74" w:rsidR="00AA73FF" w:rsidRPr="00AA73FF" w:rsidRDefault="00AA73FF" w:rsidP="00AA73FF">
                          <w:pPr>
                            <w:spacing w:after="0"/>
                            <w:rPr>
                              <w:rFonts w:ascii="Aptos" w:eastAsia="Aptos" w:hAnsi="Aptos" w:cs="Aptos"/>
                              <w:noProof/>
                              <w:color w:val="000000"/>
                              <w:sz w:val="24"/>
                              <w:szCs w:val="24"/>
                            </w:rPr>
                          </w:pPr>
                          <w:r w:rsidRPr="00AA73FF">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0A77B7" id="_x0000_t202" coordsize="21600,21600" o:spt="202" path="m,l,21600r21600,l21600,xe">
              <v:stroke joinstyle="miter"/>
              <v:path gradientshapeok="t" o:connecttype="rect"/>
            </v:shapetype>
            <v:shape id="Text Box 3" o:spid="_x0000_s1027" type="#_x0000_t202" alt=" OFFICIAL" style="position:absolute;margin-left:0;margin-top:0;width:51.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" filled="f" stroked="f">
              <v:textbox style="mso-fit-shape-to-text:t" inset="0,15pt,0,0">
                <w:txbxContent>
                  <w:p w14:paraId="5EAECDB3" w14:textId="73162F74" w:rsidR="00AA73FF" w:rsidRPr="00AA73FF" w:rsidRDefault="00AA73FF" w:rsidP="00AA73FF">
                    <w:pPr>
                      <w:spacing w:after="0"/>
                      <w:rPr>
                        <w:rFonts w:ascii="Aptos" w:eastAsia="Aptos" w:hAnsi="Aptos" w:cs="Aptos"/>
                        <w:noProof/>
                        <w:color w:val="000000"/>
                        <w:sz w:val="24"/>
                        <w:szCs w:val="24"/>
                      </w:rPr>
                    </w:pPr>
                    <w:r w:rsidRPr="00AA73FF">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94DD" w14:textId="0FD29F99" w:rsidR="00AA73FF" w:rsidRDefault="00AA73FF">
    <w:pPr>
      <w:pStyle w:val="Header"/>
    </w:pPr>
    <w:r>
      <w:rPr>
        <w:noProof/>
      </w:rPr>
      <mc:AlternateContent>
        <mc:Choice Requires="wps">
          <w:drawing>
            <wp:anchor distT="0" distB="0" distL="0" distR="0" simplePos="0" relativeHeight="251658240" behindDoc="0" locked="0" layoutInCell="1" allowOverlap="1" wp14:anchorId="1E415C0B" wp14:editId="1D79FEBD">
              <wp:simplePos x="635" y="635"/>
              <wp:positionH relativeFrom="page">
                <wp:align>center</wp:align>
              </wp:positionH>
              <wp:positionV relativeFrom="page">
                <wp:align>top</wp:align>
              </wp:positionV>
              <wp:extent cx="653415" cy="391160"/>
              <wp:effectExtent l="0" t="0" r="13335" b="8890"/>
              <wp:wrapNone/>
              <wp:docPr id="1599797516"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391160"/>
                      </a:xfrm>
                      <a:prstGeom prst="rect">
                        <a:avLst/>
                      </a:prstGeom>
                      <a:noFill/>
                      <a:ln>
                        <a:noFill/>
                      </a:ln>
                    </wps:spPr>
                    <wps:txbx>
                      <w:txbxContent>
                        <w:p w14:paraId="4F176232" w14:textId="4F1F0376" w:rsidR="00AA73FF" w:rsidRPr="00AA73FF" w:rsidRDefault="00AA73FF" w:rsidP="00AA73FF">
                          <w:pPr>
                            <w:spacing w:after="0"/>
                            <w:rPr>
                              <w:rFonts w:ascii="Aptos" w:eastAsia="Aptos" w:hAnsi="Aptos" w:cs="Aptos"/>
                              <w:noProof/>
                              <w:color w:val="000000"/>
                              <w:sz w:val="24"/>
                              <w:szCs w:val="24"/>
                            </w:rPr>
                          </w:pPr>
                          <w:r w:rsidRPr="00AA73FF">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415C0B" id="_x0000_t202" coordsize="21600,21600" o:spt="202" path="m,l,21600r21600,l21600,xe">
              <v:stroke joinstyle="miter"/>
              <v:path gradientshapeok="t" o:connecttype="rect"/>
            </v:shapetype>
            <v:shape id="Text Box 1" o:spid="_x0000_s1028" type="#_x0000_t202" alt=" OFFICIAL" style="position:absolute;margin-left:0;margin-top:0;width:51.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" filled="f" stroked="f">
              <v:textbox style="mso-fit-shape-to-text:t" inset="0,15pt,0,0">
                <w:txbxContent>
                  <w:p w14:paraId="4F176232" w14:textId="4F1F0376" w:rsidR="00AA73FF" w:rsidRPr="00AA73FF" w:rsidRDefault="00AA73FF" w:rsidP="00AA73FF">
                    <w:pPr>
                      <w:spacing w:after="0"/>
                      <w:rPr>
                        <w:rFonts w:ascii="Aptos" w:eastAsia="Aptos" w:hAnsi="Aptos" w:cs="Aptos"/>
                        <w:noProof/>
                        <w:color w:val="000000"/>
                        <w:sz w:val="24"/>
                        <w:szCs w:val="24"/>
                      </w:rPr>
                    </w:pPr>
                    <w:r w:rsidRPr="00AA73FF">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F38"/>
    <w:multiLevelType w:val="hybridMultilevel"/>
    <w:tmpl w:val="528C37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C61203"/>
    <w:multiLevelType w:val="hybridMultilevel"/>
    <w:tmpl w:val="6750E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2D448D"/>
    <w:multiLevelType w:val="hybridMultilevel"/>
    <w:tmpl w:val="69AC55CE"/>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5CA5F4B"/>
    <w:multiLevelType w:val="hybridMultilevel"/>
    <w:tmpl w:val="004470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2121E91"/>
    <w:multiLevelType w:val="hybridMultilevel"/>
    <w:tmpl w:val="7834046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BD927C2"/>
    <w:multiLevelType w:val="hybridMultilevel"/>
    <w:tmpl w:val="D7EC08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5763310"/>
    <w:multiLevelType w:val="multilevel"/>
    <w:tmpl w:val="57CEEA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80A2827"/>
    <w:multiLevelType w:val="hybridMultilevel"/>
    <w:tmpl w:val="205CE7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8F4032A"/>
    <w:multiLevelType w:val="hybridMultilevel"/>
    <w:tmpl w:val="30CA3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56293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976497">
    <w:abstractNumId w:val="7"/>
  </w:num>
  <w:num w:numId="3" w16cid:durableId="1226257003">
    <w:abstractNumId w:val="4"/>
  </w:num>
  <w:num w:numId="4" w16cid:durableId="129632754">
    <w:abstractNumId w:val="2"/>
  </w:num>
  <w:num w:numId="5" w16cid:durableId="1782531772">
    <w:abstractNumId w:val="5"/>
  </w:num>
  <w:num w:numId="6" w16cid:durableId="1226336289">
    <w:abstractNumId w:val="8"/>
  </w:num>
  <w:num w:numId="7" w16cid:durableId="1589846137">
    <w:abstractNumId w:val="0"/>
  </w:num>
  <w:num w:numId="8" w16cid:durableId="1092048552">
    <w:abstractNumId w:val="3"/>
  </w:num>
  <w:num w:numId="9" w16cid:durableId="1687444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CA"/>
    <w:rsid w:val="00017D93"/>
    <w:rsid w:val="000370D0"/>
    <w:rsid w:val="00055B58"/>
    <w:rsid w:val="00056F9E"/>
    <w:rsid w:val="000613D5"/>
    <w:rsid w:val="00062F1C"/>
    <w:rsid w:val="000631D4"/>
    <w:rsid w:val="000639F3"/>
    <w:rsid w:val="00064DC2"/>
    <w:rsid w:val="0006688A"/>
    <w:rsid w:val="000721DD"/>
    <w:rsid w:val="000778F2"/>
    <w:rsid w:val="00092761"/>
    <w:rsid w:val="00093428"/>
    <w:rsid w:val="00093DBA"/>
    <w:rsid w:val="0009515F"/>
    <w:rsid w:val="0009531D"/>
    <w:rsid w:val="00095D27"/>
    <w:rsid w:val="000A1773"/>
    <w:rsid w:val="000B753E"/>
    <w:rsid w:val="000C17FA"/>
    <w:rsid w:val="000C19BF"/>
    <w:rsid w:val="000D1EF6"/>
    <w:rsid w:val="000E622E"/>
    <w:rsid w:val="000E7E5F"/>
    <w:rsid w:val="00106D9D"/>
    <w:rsid w:val="00115015"/>
    <w:rsid w:val="00117089"/>
    <w:rsid w:val="00130321"/>
    <w:rsid w:val="00131C2A"/>
    <w:rsid w:val="0014176D"/>
    <w:rsid w:val="00155812"/>
    <w:rsid w:val="0015658F"/>
    <w:rsid w:val="00157713"/>
    <w:rsid w:val="00160D37"/>
    <w:rsid w:val="00164D21"/>
    <w:rsid w:val="001736C0"/>
    <w:rsid w:val="00173B40"/>
    <w:rsid w:val="00175825"/>
    <w:rsid w:val="00181BF0"/>
    <w:rsid w:val="0018268D"/>
    <w:rsid w:val="001839DC"/>
    <w:rsid w:val="00184130"/>
    <w:rsid w:val="001856B3"/>
    <w:rsid w:val="00186FE4"/>
    <w:rsid w:val="001A34A8"/>
    <w:rsid w:val="001A6251"/>
    <w:rsid w:val="001B466B"/>
    <w:rsid w:val="001C430F"/>
    <w:rsid w:val="001D0B35"/>
    <w:rsid w:val="001D0FFC"/>
    <w:rsid w:val="001D4376"/>
    <w:rsid w:val="001D791A"/>
    <w:rsid w:val="001D7DEF"/>
    <w:rsid w:val="001E2447"/>
    <w:rsid w:val="001E25B9"/>
    <w:rsid w:val="001E7F7A"/>
    <w:rsid w:val="001F161C"/>
    <w:rsid w:val="001F4D3B"/>
    <w:rsid w:val="002112B4"/>
    <w:rsid w:val="00213D21"/>
    <w:rsid w:val="00224EFD"/>
    <w:rsid w:val="002322AD"/>
    <w:rsid w:val="00232D77"/>
    <w:rsid w:val="00241F41"/>
    <w:rsid w:val="00252052"/>
    <w:rsid w:val="002526AC"/>
    <w:rsid w:val="0025306F"/>
    <w:rsid w:val="00260895"/>
    <w:rsid w:val="0026120E"/>
    <w:rsid w:val="0026390B"/>
    <w:rsid w:val="00266BFB"/>
    <w:rsid w:val="002738D3"/>
    <w:rsid w:val="00277286"/>
    <w:rsid w:val="00280440"/>
    <w:rsid w:val="002847F8"/>
    <w:rsid w:val="00287F7A"/>
    <w:rsid w:val="002936E7"/>
    <w:rsid w:val="00294137"/>
    <w:rsid w:val="002A4920"/>
    <w:rsid w:val="002A5FC6"/>
    <w:rsid w:val="002A64A4"/>
    <w:rsid w:val="002A6547"/>
    <w:rsid w:val="002A7D9C"/>
    <w:rsid w:val="002C2C3C"/>
    <w:rsid w:val="002C3287"/>
    <w:rsid w:val="002C58E5"/>
    <w:rsid w:val="002F3D6D"/>
    <w:rsid w:val="002F6ADA"/>
    <w:rsid w:val="002F706D"/>
    <w:rsid w:val="00300485"/>
    <w:rsid w:val="00304EA3"/>
    <w:rsid w:val="00312475"/>
    <w:rsid w:val="00321D10"/>
    <w:rsid w:val="003237A7"/>
    <w:rsid w:val="00324572"/>
    <w:rsid w:val="003246F1"/>
    <w:rsid w:val="00325219"/>
    <w:rsid w:val="003305BC"/>
    <w:rsid w:val="003436AC"/>
    <w:rsid w:val="00344B44"/>
    <w:rsid w:val="00345CD4"/>
    <w:rsid w:val="003564BF"/>
    <w:rsid w:val="00356D03"/>
    <w:rsid w:val="003631DA"/>
    <w:rsid w:val="00365DB6"/>
    <w:rsid w:val="0037098F"/>
    <w:rsid w:val="00371604"/>
    <w:rsid w:val="00372F2C"/>
    <w:rsid w:val="00374CDA"/>
    <w:rsid w:val="00381CD4"/>
    <w:rsid w:val="00387661"/>
    <w:rsid w:val="00387809"/>
    <w:rsid w:val="00391800"/>
    <w:rsid w:val="003918ED"/>
    <w:rsid w:val="003A4902"/>
    <w:rsid w:val="003A4E60"/>
    <w:rsid w:val="003B4A40"/>
    <w:rsid w:val="003B70CC"/>
    <w:rsid w:val="003B7C97"/>
    <w:rsid w:val="003C22C7"/>
    <w:rsid w:val="003C29DD"/>
    <w:rsid w:val="003C5066"/>
    <w:rsid w:val="003D6E07"/>
    <w:rsid w:val="003F0C65"/>
    <w:rsid w:val="003F1404"/>
    <w:rsid w:val="003F26E4"/>
    <w:rsid w:val="003F4D6C"/>
    <w:rsid w:val="003F66EB"/>
    <w:rsid w:val="00403859"/>
    <w:rsid w:val="004050AA"/>
    <w:rsid w:val="00405B5B"/>
    <w:rsid w:val="00410939"/>
    <w:rsid w:val="00421830"/>
    <w:rsid w:val="00426918"/>
    <w:rsid w:val="004270CF"/>
    <w:rsid w:val="00430582"/>
    <w:rsid w:val="00434582"/>
    <w:rsid w:val="00443F7B"/>
    <w:rsid w:val="00454732"/>
    <w:rsid w:val="004550F4"/>
    <w:rsid w:val="00456906"/>
    <w:rsid w:val="004575A8"/>
    <w:rsid w:val="004578BE"/>
    <w:rsid w:val="004603FE"/>
    <w:rsid w:val="00471E22"/>
    <w:rsid w:val="00475FCE"/>
    <w:rsid w:val="00477D46"/>
    <w:rsid w:val="004806AB"/>
    <w:rsid w:val="00483F68"/>
    <w:rsid w:val="004904ED"/>
    <w:rsid w:val="00493136"/>
    <w:rsid w:val="00495716"/>
    <w:rsid w:val="004A74A6"/>
    <w:rsid w:val="004B032A"/>
    <w:rsid w:val="004B464A"/>
    <w:rsid w:val="004C6B2E"/>
    <w:rsid w:val="004D111F"/>
    <w:rsid w:val="004D5770"/>
    <w:rsid w:val="004D5CFC"/>
    <w:rsid w:val="004E4246"/>
    <w:rsid w:val="004E7360"/>
    <w:rsid w:val="0050031B"/>
    <w:rsid w:val="00502E84"/>
    <w:rsid w:val="00514F33"/>
    <w:rsid w:val="00520592"/>
    <w:rsid w:val="00521982"/>
    <w:rsid w:val="00524B86"/>
    <w:rsid w:val="005254DE"/>
    <w:rsid w:val="00531B99"/>
    <w:rsid w:val="005500A6"/>
    <w:rsid w:val="00550EED"/>
    <w:rsid w:val="005542E2"/>
    <w:rsid w:val="00557A41"/>
    <w:rsid w:val="00560121"/>
    <w:rsid w:val="005612E3"/>
    <w:rsid w:val="0056666C"/>
    <w:rsid w:val="005761A0"/>
    <w:rsid w:val="00581A5B"/>
    <w:rsid w:val="005939D2"/>
    <w:rsid w:val="005A1650"/>
    <w:rsid w:val="005A2499"/>
    <w:rsid w:val="005A2CCE"/>
    <w:rsid w:val="005A3B1D"/>
    <w:rsid w:val="005A4674"/>
    <w:rsid w:val="005B058D"/>
    <w:rsid w:val="005B52E8"/>
    <w:rsid w:val="005C08C9"/>
    <w:rsid w:val="005C1F41"/>
    <w:rsid w:val="005C5F62"/>
    <w:rsid w:val="005E5826"/>
    <w:rsid w:val="005E6FC7"/>
    <w:rsid w:val="005F037B"/>
    <w:rsid w:val="005F2EA7"/>
    <w:rsid w:val="005F66F9"/>
    <w:rsid w:val="005F76F0"/>
    <w:rsid w:val="00602FA8"/>
    <w:rsid w:val="00605536"/>
    <w:rsid w:val="006125AF"/>
    <w:rsid w:val="00613008"/>
    <w:rsid w:val="006230FD"/>
    <w:rsid w:val="00625EE0"/>
    <w:rsid w:val="006441A1"/>
    <w:rsid w:val="00646344"/>
    <w:rsid w:val="00646BFE"/>
    <w:rsid w:val="00662FCD"/>
    <w:rsid w:val="00667A31"/>
    <w:rsid w:val="00667B1A"/>
    <w:rsid w:val="00670A35"/>
    <w:rsid w:val="00680C15"/>
    <w:rsid w:val="00680D3D"/>
    <w:rsid w:val="00681183"/>
    <w:rsid w:val="00681EAB"/>
    <w:rsid w:val="006828E2"/>
    <w:rsid w:val="0069469B"/>
    <w:rsid w:val="00696089"/>
    <w:rsid w:val="00697457"/>
    <w:rsid w:val="00697597"/>
    <w:rsid w:val="006A1C1E"/>
    <w:rsid w:val="006A338C"/>
    <w:rsid w:val="006A4635"/>
    <w:rsid w:val="006A5F2E"/>
    <w:rsid w:val="006A7F93"/>
    <w:rsid w:val="006B0A6E"/>
    <w:rsid w:val="006B37D2"/>
    <w:rsid w:val="006B3F71"/>
    <w:rsid w:val="006B7259"/>
    <w:rsid w:val="006C4B7F"/>
    <w:rsid w:val="006C5D28"/>
    <w:rsid w:val="006C64D2"/>
    <w:rsid w:val="006C68EC"/>
    <w:rsid w:val="006C7427"/>
    <w:rsid w:val="006F5FC4"/>
    <w:rsid w:val="006F6AB9"/>
    <w:rsid w:val="00700DE9"/>
    <w:rsid w:val="00702D59"/>
    <w:rsid w:val="0071162C"/>
    <w:rsid w:val="00720903"/>
    <w:rsid w:val="00722987"/>
    <w:rsid w:val="00724589"/>
    <w:rsid w:val="00724AB1"/>
    <w:rsid w:val="00725BB4"/>
    <w:rsid w:val="00732D6B"/>
    <w:rsid w:val="00744D34"/>
    <w:rsid w:val="00744DC6"/>
    <w:rsid w:val="00745CB2"/>
    <w:rsid w:val="00751F52"/>
    <w:rsid w:val="007570E7"/>
    <w:rsid w:val="00762F14"/>
    <w:rsid w:val="00772E7F"/>
    <w:rsid w:val="007838F2"/>
    <w:rsid w:val="00783B1D"/>
    <w:rsid w:val="007A2B0E"/>
    <w:rsid w:val="007B748D"/>
    <w:rsid w:val="007C0FBC"/>
    <w:rsid w:val="007C2782"/>
    <w:rsid w:val="007C33BF"/>
    <w:rsid w:val="007C70FC"/>
    <w:rsid w:val="007D02B9"/>
    <w:rsid w:val="007E11D1"/>
    <w:rsid w:val="007E3685"/>
    <w:rsid w:val="007F66B3"/>
    <w:rsid w:val="007F707B"/>
    <w:rsid w:val="008015D5"/>
    <w:rsid w:val="00804AEE"/>
    <w:rsid w:val="00806941"/>
    <w:rsid w:val="00814247"/>
    <w:rsid w:val="00843B45"/>
    <w:rsid w:val="008500C8"/>
    <w:rsid w:val="00850213"/>
    <w:rsid w:val="00851996"/>
    <w:rsid w:val="00856529"/>
    <w:rsid w:val="00863184"/>
    <w:rsid w:val="00866CB9"/>
    <w:rsid w:val="008768A7"/>
    <w:rsid w:val="00885E19"/>
    <w:rsid w:val="00891FD7"/>
    <w:rsid w:val="00892A2D"/>
    <w:rsid w:val="00895355"/>
    <w:rsid w:val="008A209B"/>
    <w:rsid w:val="008C7669"/>
    <w:rsid w:val="008D460B"/>
    <w:rsid w:val="008D7825"/>
    <w:rsid w:val="008D7A2C"/>
    <w:rsid w:val="008E25DD"/>
    <w:rsid w:val="008E710B"/>
    <w:rsid w:val="009002C6"/>
    <w:rsid w:val="0090550E"/>
    <w:rsid w:val="009058F0"/>
    <w:rsid w:val="00910DBA"/>
    <w:rsid w:val="00916FF2"/>
    <w:rsid w:val="00921F25"/>
    <w:rsid w:val="00931424"/>
    <w:rsid w:val="009315A9"/>
    <w:rsid w:val="00934C02"/>
    <w:rsid w:val="00950C98"/>
    <w:rsid w:val="00953F6D"/>
    <w:rsid w:val="009616F4"/>
    <w:rsid w:val="009624DB"/>
    <w:rsid w:val="009639CC"/>
    <w:rsid w:val="0096457F"/>
    <w:rsid w:val="00967B90"/>
    <w:rsid w:val="009741D6"/>
    <w:rsid w:val="0097426E"/>
    <w:rsid w:val="00984995"/>
    <w:rsid w:val="009864BA"/>
    <w:rsid w:val="00994361"/>
    <w:rsid w:val="009947D2"/>
    <w:rsid w:val="0099499F"/>
    <w:rsid w:val="009A1DAB"/>
    <w:rsid w:val="009A3AB7"/>
    <w:rsid w:val="009B1035"/>
    <w:rsid w:val="009B462A"/>
    <w:rsid w:val="009C6974"/>
    <w:rsid w:val="009D3FE4"/>
    <w:rsid w:val="009D4D17"/>
    <w:rsid w:val="009D4EB7"/>
    <w:rsid w:val="009D58D9"/>
    <w:rsid w:val="009D6BCA"/>
    <w:rsid w:val="009D6C4F"/>
    <w:rsid w:val="009F0CCC"/>
    <w:rsid w:val="00A026EB"/>
    <w:rsid w:val="00A0427E"/>
    <w:rsid w:val="00A05379"/>
    <w:rsid w:val="00A131FE"/>
    <w:rsid w:val="00A1687B"/>
    <w:rsid w:val="00A16B0B"/>
    <w:rsid w:val="00A2165D"/>
    <w:rsid w:val="00A217AC"/>
    <w:rsid w:val="00A22247"/>
    <w:rsid w:val="00A417E8"/>
    <w:rsid w:val="00A42F89"/>
    <w:rsid w:val="00A70840"/>
    <w:rsid w:val="00A7092C"/>
    <w:rsid w:val="00A74AA5"/>
    <w:rsid w:val="00A76B47"/>
    <w:rsid w:val="00A86565"/>
    <w:rsid w:val="00A8708F"/>
    <w:rsid w:val="00A92855"/>
    <w:rsid w:val="00AA586B"/>
    <w:rsid w:val="00AA73FF"/>
    <w:rsid w:val="00AB695D"/>
    <w:rsid w:val="00AB6B37"/>
    <w:rsid w:val="00AC5AC0"/>
    <w:rsid w:val="00AE43C8"/>
    <w:rsid w:val="00AF3960"/>
    <w:rsid w:val="00B04A24"/>
    <w:rsid w:val="00B14A2E"/>
    <w:rsid w:val="00B14C36"/>
    <w:rsid w:val="00B17B12"/>
    <w:rsid w:val="00B2605B"/>
    <w:rsid w:val="00B427C6"/>
    <w:rsid w:val="00B52793"/>
    <w:rsid w:val="00B57ED4"/>
    <w:rsid w:val="00B650A1"/>
    <w:rsid w:val="00B72045"/>
    <w:rsid w:val="00B72FAB"/>
    <w:rsid w:val="00B77F8E"/>
    <w:rsid w:val="00B845BA"/>
    <w:rsid w:val="00BA0E2A"/>
    <w:rsid w:val="00BA3955"/>
    <w:rsid w:val="00BA6276"/>
    <w:rsid w:val="00BA6B68"/>
    <w:rsid w:val="00BB39C0"/>
    <w:rsid w:val="00BB459C"/>
    <w:rsid w:val="00BD2001"/>
    <w:rsid w:val="00BD4E48"/>
    <w:rsid w:val="00BD6569"/>
    <w:rsid w:val="00BE61E8"/>
    <w:rsid w:val="00BE62A6"/>
    <w:rsid w:val="00BE76C0"/>
    <w:rsid w:val="00BF03A6"/>
    <w:rsid w:val="00BF1F39"/>
    <w:rsid w:val="00BF2A6F"/>
    <w:rsid w:val="00BF345E"/>
    <w:rsid w:val="00C06389"/>
    <w:rsid w:val="00C074CD"/>
    <w:rsid w:val="00C078D0"/>
    <w:rsid w:val="00C17A02"/>
    <w:rsid w:val="00C17FF2"/>
    <w:rsid w:val="00C20153"/>
    <w:rsid w:val="00C25C4C"/>
    <w:rsid w:val="00C52C94"/>
    <w:rsid w:val="00C54986"/>
    <w:rsid w:val="00C621A0"/>
    <w:rsid w:val="00C67C02"/>
    <w:rsid w:val="00C7221B"/>
    <w:rsid w:val="00C7284A"/>
    <w:rsid w:val="00C737DD"/>
    <w:rsid w:val="00C73D9B"/>
    <w:rsid w:val="00C75739"/>
    <w:rsid w:val="00C8453E"/>
    <w:rsid w:val="00C97446"/>
    <w:rsid w:val="00CA39FD"/>
    <w:rsid w:val="00CA3BE8"/>
    <w:rsid w:val="00CA5B6D"/>
    <w:rsid w:val="00CB5303"/>
    <w:rsid w:val="00CB5BCB"/>
    <w:rsid w:val="00CC3F5A"/>
    <w:rsid w:val="00CC4F75"/>
    <w:rsid w:val="00CC613A"/>
    <w:rsid w:val="00CD4879"/>
    <w:rsid w:val="00CD62B5"/>
    <w:rsid w:val="00CF1F17"/>
    <w:rsid w:val="00CF1F88"/>
    <w:rsid w:val="00D01835"/>
    <w:rsid w:val="00D02402"/>
    <w:rsid w:val="00D04579"/>
    <w:rsid w:val="00D04A8A"/>
    <w:rsid w:val="00D065DF"/>
    <w:rsid w:val="00D06F2C"/>
    <w:rsid w:val="00D16FE9"/>
    <w:rsid w:val="00D240AC"/>
    <w:rsid w:val="00D24B7A"/>
    <w:rsid w:val="00D309BE"/>
    <w:rsid w:val="00D309D5"/>
    <w:rsid w:val="00D3652F"/>
    <w:rsid w:val="00D4673E"/>
    <w:rsid w:val="00D467FC"/>
    <w:rsid w:val="00D51BB0"/>
    <w:rsid w:val="00D5218C"/>
    <w:rsid w:val="00D53319"/>
    <w:rsid w:val="00D65DFD"/>
    <w:rsid w:val="00D667D2"/>
    <w:rsid w:val="00D703CC"/>
    <w:rsid w:val="00D73D41"/>
    <w:rsid w:val="00D74339"/>
    <w:rsid w:val="00D75829"/>
    <w:rsid w:val="00D75AD1"/>
    <w:rsid w:val="00D90862"/>
    <w:rsid w:val="00DA3B14"/>
    <w:rsid w:val="00DB7D71"/>
    <w:rsid w:val="00DB7EBA"/>
    <w:rsid w:val="00DC1789"/>
    <w:rsid w:val="00DC6E32"/>
    <w:rsid w:val="00DC7AF7"/>
    <w:rsid w:val="00DD30F8"/>
    <w:rsid w:val="00DE0A0B"/>
    <w:rsid w:val="00DE1FA2"/>
    <w:rsid w:val="00DE5867"/>
    <w:rsid w:val="00DF1CCF"/>
    <w:rsid w:val="00DF7208"/>
    <w:rsid w:val="00DF75E0"/>
    <w:rsid w:val="00E07AFB"/>
    <w:rsid w:val="00E11FFD"/>
    <w:rsid w:val="00E12CF7"/>
    <w:rsid w:val="00E140B4"/>
    <w:rsid w:val="00E16E79"/>
    <w:rsid w:val="00E17993"/>
    <w:rsid w:val="00E27268"/>
    <w:rsid w:val="00E3578F"/>
    <w:rsid w:val="00E47DF8"/>
    <w:rsid w:val="00E509A4"/>
    <w:rsid w:val="00E52436"/>
    <w:rsid w:val="00E53615"/>
    <w:rsid w:val="00E66527"/>
    <w:rsid w:val="00E81376"/>
    <w:rsid w:val="00E84701"/>
    <w:rsid w:val="00E95C60"/>
    <w:rsid w:val="00EA14A1"/>
    <w:rsid w:val="00EA171C"/>
    <w:rsid w:val="00EA1909"/>
    <w:rsid w:val="00EA5F01"/>
    <w:rsid w:val="00EB3309"/>
    <w:rsid w:val="00EB6021"/>
    <w:rsid w:val="00EC1487"/>
    <w:rsid w:val="00EC3453"/>
    <w:rsid w:val="00EC7189"/>
    <w:rsid w:val="00ED20E3"/>
    <w:rsid w:val="00ED3B33"/>
    <w:rsid w:val="00EE3CF0"/>
    <w:rsid w:val="00F0393A"/>
    <w:rsid w:val="00F0471B"/>
    <w:rsid w:val="00F04E13"/>
    <w:rsid w:val="00F0600E"/>
    <w:rsid w:val="00F07D05"/>
    <w:rsid w:val="00F246A6"/>
    <w:rsid w:val="00F33973"/>
    <w:rsid w:val="00F414F8"/>
    <w:rsid w:val="00F42795"/>
    <w:rsid w:val="00F50510"/>
    <w:rsid w:val="00F63907"/>
    <w:rsid w:val="00F65112"/>
    <w:rsid w:val="00F65324"/>
    <w:rsid w:val="00F73BCA"/>
    <w:rsid w:val="00F81D9E"/>
    <w:rsid w:val="00F85F5C"/>
    <w:rsid w:val="00F93B43"/>
    <w:rsid w:val="00F9455F"/>
    <w:rsid w:val="00FA0798"/>
    <w:rsid w:val="00FA46A0"/>
    <w:rsid w:val="00FB6FD7"/>
    <w:rsid w:val="00FC0091"/>
    <w:rsid w:val="00FC489C"/>
    <w:rsid w:val="00FD742B"/>
    <w:rsid w:val="00FD766E"/>
    <w:rsid w:val="00FE1AFD"/>
    <w:rsid w:val="00FE7DEB"/>
    <w:rsid w:val="0E0C90ED"/>
    <w:rsid w:val="370B6BFD"/>
    <w:rsid w:val="3DD062A2"/>
    <w:rsid w:val="411CE88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BAD4A"/>
  <w15:chartTrackingRefBased/>
  <w15:docId w15:val="{014A182B-80CE-4EC3-A483-34BF89A9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lober Regular" w:eastAsiaTheme="minorHAnsi" w:hAnsi="Glober Regular"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BC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D6BC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D6BCA"/>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D6BC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D6BCA"/>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9D6B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D6B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D6B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D6B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BC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D6BC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D6BCA"/>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D6BCA"/>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9D6BCA"/>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9D6B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6B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6B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6B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6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B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B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6BCA"/>
    <w:pPr>
      <w:spacing w:before="160"/>
      <w:jc w:val="center"/>
    </w:pPr>
    <w:rPr>
      <w:i/>
      <w:iCs/>
      <w:color w:val="404040" w:themeColor="text1" w:themeTint="BF"/>
    </w:rPr>
  </w:style>
  <w:style w:type="character" w:customStyle="1" w:styleId="QuoteChar">
    <w:name w:val="Quote Char"/>
    <w:basedOn w:val="DefaultParagraphFont"/>
    <w:link w:val="Quote"/>
    <w:uiPriority w:val="29"/>
    <w:rsid w:val="009D6BCA"/>
    <w:rPr>
      <w:i/>
      <w:iCs/>
      <w:color w:val="404040" w:themeColor="text1" w:themeTint="BF"/>
    </w:rPr>
  </w:style>
  <w:style w:type="paragraph" w:styleId="ListParagraph">
    <w:name w:val="List Paragraph"/>
    <w:basedOn w:val="Normal"/>
    <w:uiPriority w:val="1"/>
    <w:qFormat/>
    <w:rsid w:val="009D6BCA"/>
    <w:pPr>
      <w:ind w:left="720"/>
      <w:contextualSpacing/>
    </w:pPr>
  </w:style>
  <w:style w:type="character" w:styleId="IntenseEmphasis">
    <w:name w:val="Intense Emphasis"/>
    <w:basedOn w:val="DefaultParagraphFont"/>
    <w:uiPriority w:val="21"/>
    <w:qFormat/>
    <w:rsid w:val="009D6BCA"/>
    <w:rPr>
      <w:i/>
      <w:iCs/>
      <w:color w:val="2E74B5" w:themeColor="accent1" w:themeShade="BF"/>
    </w:rPr>
  </w:style>
  <w:style w:type="paragraph" w:styleId="IntenseQuote">
    <w:name w:val="Intense Quote"/>
    <w:basedOn w:val="Normal"/>
    <w:next w:val="Normal"/>
    <w:link w:val="IntenseQuoteChar"/>
    <w:uiPriority w:val="30"/>
    <w:qFormat/>
    <w:rsid w:val="009D6BC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D6BCA"/>
    <w:rPr>
      <w:i/>
      <w:iCs/>
      <w:color w:val="2E74B5" w:themeColor="accent1" w:themeShade="BF"/>
    </w:rPr>
  </w:style>
  <w:style w:type="character" w:styleId="IntenseReference">
    <w:name w:val="Intense Reference"/>
    <w:basedOn w:val="DefaultParagraphFont"/>
    <w:uiPriority w:val="32"/>
    <w:qFormat/>
    <w:rsid w:val="009D6BCA"/>
    <w:rPr>
      <w:b/>
      <w:bCs/>
      <w:smallCaps/>
      <w:color w:val="2E74B5" w:themeColor="accent1" w:themeShade="BF"/>
      <w:spacing w:val="5"/>
    </w:rPr>
  </w:style>
  <w:style w:type="paragraph" w:styleId="FootnoteText">
    <w:name w:val="footnote text"/>
    <w:basedOn w:val="Normal"/>
    <w:link w:val="FootnoteTextChar"/>
    <w:unhideWhenUsed/>
    <w:qFormat/>
    <w:rsid w:val="007E11D1"/>
    <w:pPr>
      <w:spacing w:after="0" w:line="240" w:lineRule="auto"/>
    </w:pPr>
    <w:rPr>
      <w:sz w:val="20"/>
      <w:szCs w:val="20"/>
    </w:rPr>
  </w:style>
  <w:style w:type="character" w:customStyle="1" w:styleId="FootnoteTextChar">
    <w:name w:val="Footnote Text Char"/>
    <w:basedOn w:val="DefaultParagraphFont"/>
    <w:link w:val="FootnoteText"/>
    <w:rsid w:val="007E11D1"/>
    <w:rPr>
      <w:sz w:val="20"/>
      <w:szCs w:val="20"/>
    </w:rPr>
  </w:style>
  <w:style w:type="character" w:styleId="FootnoteReference">
    <w:name w:val="footnote reference"/>
    <w:basedOn w:val="DefaultParagraphFont"/>
    <w:semiHidden/>
    <w:unhideWhenUsed/>
    <w:rsid w:val="007E11D1"/>
    <w:rPr>
      <w:vertAlign w:val="superscript"/>
    </w:rPr>
  </w:style>
  <w:style w:type="character" w:styleId="Hyperlink">
    <w:name w:val="Hyperlink"/>
    <w:basedOn w:val="DefaultParagraphFont"/>
    <w:uiPriority w:val="99"/>
    <w:unhideWhenUsed/>
    <w:rsid w:val="00EE3CF0"/>
    <w:rPr>
      <w:color w:val="0000FF"/>
      <w:u w:val="single"/>
    </w:rPr>
  </w:style>
  <w:style w:type="paragraph" w:customStyle="1" w:styleId="NormalSingle">
    <w:name w:val="Normal Single"/>
    <w:basedOn w:val="Normal"/>
    <w:uiPriority w:val="1"/>
    <w:qFormat/>
    <w:rsid w:val="00D703CC"/>
    <w:pPr>
      <w:spacing w:after="0" w:line="270" w:lineRule="atLeast"/>
    </w:pPr>
    <w:rPr>
      <w:rFonts w:ascii="Arial" w:eastAsia="Times New Roman" w:hAnsi="Arial" w:cs="Times New Roman"/>
      <w:sz w:val="21"/>
      <w:szCs w:val="26"/>
      <w:lang w:eastAsia="en-AU"/>
    </w:rPr>
  </w:style>
  <w:style w:type="paragraph" w:styleId="Header">
    <w:name w:val="header"/>
    <w:basedOn w:val="Normal"/>
    <w:link w:val="HeaderChar"/>
    <w:uiPriority w:val="99"/>
    <w:unhideWhenUsed/>
    <w:rsid w:val="001A34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4A8"/>
  </w:style>
  <w:style w:type="paragraph" w:styleId="Footer">
    <w:name w:val="footer"/>
    <w:basedOn w:val="Normal"/>
    <w:link w:val="FooterChar"/>
    <w:uiPriority w:val="99"/>
    <w:unhideWhenUsed/>
    <w:rsid w:val="001A34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4A8"/>
  </w:style>
  <w:style w:type="character" w:styleId="CommentReference">
    <w:name w:val="annotation reference"/>
    <w:basedOn w:val="DefaultParagraphFont"/>
    <w:uiPriority w:val="99"/>
    <w:semiHidden/>
    <w:unhideWhenUsed/>
    <w:rsid w:val="00EA171C"/>
    <w:rPr>
      <w:sz w:val="16"/>
      <w:szCs w:val="16"/>
    </w:rPr>
  </w:style>
  <w:style w:type="paragraph" w:styleId="CommentText">
    <w:name w:val="annotation text"/>
    <w:basedOn w:val="Normal"/>
    <w:link w:val="CommentTextChar"/>
    <w:uiPriority w:val="99"/>
    <w:unhideWhenUsed/>
    <w:rsid w:val="00EA171C"/>
    <w:pPr>
      <w:spacing w:line="240" w:lineRule="auto"/>
    </w:pPr>
    <w:rPr>
      <w:sz w:val="20"/>
      <w:szCs w:val="20"/>
    </w:rPr>
  </w:style>
  <w:style w:type="character" w:customStyle="1" w:styleId="CommentTextChar">
    <w:name w:val="Comment Text Char"/>
    <w:basedOn w:val="DefaultParagraphFont"/>
    <w:link w:val="CommentText"/>
    <w:uiPriority w:val="99"/>
    <w:rsid w:val="00EA171C"/>
    <w:rPr>
      <w:sz w:val="20"/>
      <w:szCs w:val="20"/>
    </w:rPr>
  </w:style>
  <w:style w:type="paragraph" w:styleId="CommentSubject">
    <w:name w:val="annotation subject"/>
    <w:basedOn w:val="CommentText"/>
    <w:next w:val="CommentText"/>
    <w:link w:val="CommentSubjectChar"/>
    <w:uiPriority w:val="99"/>
    <w:semiHidden/>
    <w:unhideWhenUsed/>
    <w:rsid w:val="00EA171C"/>
    <w:rPr>
      <w:b/>
      <w:bCs/>
    </w:rPr>
  </w:style>
  <w:style w:type="character" w:customStyle="1" w:styleId="CommentSubjectChar">
    <w:name w:val="Comment Subject Char"/>
    <w:basedOn w:val="CommentTextChar"/>
    <w:link w:val="CommentSubject"/>
    <w:uiPriority w:val="99"/>
    <w:semiHidden/>
    <w:rsid w:val="00EA171C"/>
    <w:rPr>
      <w:b/>
      <w:bCs/>
      <w:sz w:val="20"/>
      <w:szCs w:val="20"/>
    </w:rPr>
  </w:style>
  <w:style w:type="paragraph" w:styleId="Revision">
    <w:name w:val="Revision"/>
    <w:hidden/>
    <w:uiPriority w:val="99"/>
    <w:semiHidden/>
    <w:rsid w:val="000E7E5F"/>
    <w:pPr>
      <w:spacing w:after="0" w:line="240" w:lineRule="auto"/>
    </w:pPr>
  </w:style>
  <w:style w:type="character" w:customStyle="1" w:styleId="UnresolvedMention1">
    <w:name w:val="Unresolved Mention1"/>
    <w:basedOn w:val="DefaultParagraphFont"/>
    <w:uiPriority w:val="99"/>
    <w:semiHidden/>
    <w:unhideWhenUsed/>
    <w:rsid w:val="00AF3960"/>
    <w:rPr>
      <w:color w:val="605E5C"/>
      <w:shd w:val="clear" w:color="auto" w:fill="E1DFDD"/>
    </w:rPr>
  </w:style>
  <w:style w:type="paragraph" w:styleId="BalloonText">
    <w:name w:val="Balloon Text"/>
    <w:basedOn w:val="Normal"/>
    <w:link w:val="BalloonTextChar"/>
    <w:uiPriority w:val="99"/>
    <w:semiHidden/>
    <w:unhideWhenUsed/>
    <w:rsid w:val="00CB53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303"/>
    <w:rPr>
      <w:rFonts w:ascii="Segoe UI" w:hAnsi="Segoe UI" w:cs="Segoe UI"/>
      <w:sz w:val="18"/>
      <w:szCs w:val="18"/>
    </w:rPr>
  </w:style>
  <w:style w:type="character" w:styleId="UnresolvedMention">
    <w:name w:val="Unresolved Mention"/>
    <w:basedOn w:val="DefaultParagraphFont"/>
    <w:uiPriority w:val="99"/>
    <w:semiHidden/>
    <w:unhideWhenUsed/>
    <w:rsid w:val="007B748D"/>
    <w:rPr>
      <w:color w:val="605E5C"/>
      <w:shd w:val="clear" w:color="auto" w:fill="E1DFDD"/>
    </w:rPr>
  </w:style>
  <w:style w:type="character" w:styleId="FollowedHyperlink">
    <w:name w:val="FollowedHyperlink"/>
    <w:basedOn w:val="DefaultParagraphFont"/>
    <w:uiPriority w:val="99"/>
    <w:semiHidden/>
    <w:unhideWhenUsed/>
    <w:rsid w:val="00DF75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4776">
      <w:bodyDiv w:val="1"/>
      <w:marLeft w:val="0"/>
      <w:marRight w:val="0"/>
      <w:marTop w:val="0"/>
      <w:marBottom w:val="0"/>
      <w:divBdr>
        <w:top w:val="none" w:sz="0" w:space="0" w:color="auto"/>
        <w:left w:val="none" w:sz="0" w:space="0" w:color="auto"/>
        <w:bottom w:val="none" w:sz="0" w:space="0" w:color="auto"/>
        <w:right w:val="none" w:sz="0" w:space="0" w:color="auto"/>
      </w:divBdr>
    </w:div>
    <w:div w:id="981883013">
      <w:bodyDiv w:val="1"/>
      <w:marLeft w:val="0"/>
      <w:marRight w:val="0"/>
      <w:marTop w:val="0"/>
      <w:marBottom w:val="0"/>
      <w:divBdr>
        <w:top w:val="none" w:sz="0" w:space="0" w:color="auto"/>
        <w:left w:val="none" w:sz="0" w:space="0" w:color="auto"/>
        <w:bottom w:val="none" w:sz="0" w:space="0" w:color="auto"/>
        <w:right w:val="none" w:sz="0" w:space="0" w:color="auto"/>
      </w:divBdr>
    </w:div>
    <w:div w:id="1053582840">
      <w:bodyDiv w:val="1"/>
      <w:marLeft w:val="0"/>
      <w:marRight w:val="0"/>
      <w:marTop w:val="0"/>
      <w:marBottom w:val="0"/>
      <w:divBdr>
        <w:top w:val="none" w:sz="0" w:space="0" w:color="auto"/>
        <w:left w:val="none" w:sz="0" w:space="0" w:color="auto"/>
        <w:bottom w:val="none" w:sz="0" w:space="0" w:color="auto"/>
        <w:right w:val="none" w:sz="0" w:space="0" w:color="auto"/>
      </w:divBdr>
    </w:div>
    <w:div w:id="1389844454">
      <w:bodyDiv w:val="1"/>
      <w:marLeft w:val="0"/>
      <w:marRight w:val="0"/>
      <w:marTop w:val="0"/>
      <w:marBottom w:val="0"/>
      <w:divBdr>
        <w:top w:val="none" w:sz="0" w:space="0" w:color="auto"/>
        <w:left w:val="none" w:sz="0" w:space="0" w:color="auto"/>
        <w:bottom w:val="none" w:sz="0" w:space="0" w:color="auto"/>
        <w:right w:val="none" w:sz="0" w:space="0" w:color="auto"/>
      </w:divBdr>
    </w:div>
    <w:div w:id="1430662406">
      <w:bodyDiv w:val="1"/>
      <w:marLeft w:val="0"/>
      <w:marRight w:val="0"/>
      <w:marTop w:val="0"/>
      <w:marBottom w:val="0"/>
      <w:divBdr>
        <w:top w:val="none" w:sz="0" w:space="0" w:color="auto"/>
        <w:left w:val="none" w:sz="0" w:space="0" w:color="auto"/>
        <w:bottom w:val="none" w:sz="0" w:space="0" w:color="auto"/>
        <w:right w:val="none" w:sz="0" w:space="0" w:color="auto"/>
      </w:divBdr>
    </w:div>
    <w:div w:id="2017464865">
      <w:bodyDiv w:val="1"/>
      <w:marLeft w:val="0"/>
      <w:marRight w:val="0"/>
      <w:marTop w:val="0"/>
      <w:marBottom w:val="0"/>
      <w:divBdr>
        <w:top w:val="none" w:sz="0" w:space="0" w:color="auto"/>
        <w:left w:val="none" w:sz="0" w:space="0" w:color="auto"/>
        <w:bottom w:val="none" w:sz="0" w:space="0" w:color="auto"/>
        <w:right w:val="none" w:sz="0" w:space="0" w:color="auto"/>
      </w:divBdr>
    </w:div>
    <w:div w:id="2082360915">
      <w:bodyDiv w:val="1"/>
      <w:marLeft w:val="0"/>
      <w:marRight w:val="0"/>
      <w:marTop w:val="0"/>
      <w:marBottom w:val="0"/>
      <w:divBdr>
        <w:top w:val="none" w:sz="0" w:space="0" w:color="auto"/>
        <w:left w:val="none" w:sz="0" w:space="0" w:color="auto"/>
        <w:bottom w:val="none" w:sz="0" w:space="0" w:color="auto"/>
        <w:right w:val="none" w:sz="0" w:space="0" w:color="auto"/>
      </w:divBdr>
    </w:div>
    <w:div w:id="209754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treasury.gov.au/speech/securitisation-a-government-perspective" TargetMode="External"/><Relationship Id="rId13" Type="http://schemas.openxmlformats.org/officeDocument/2006/relationships/hyperlink" Target="https://www.asx.com.au/about/market-statistics/historical-market-statistics" TargetMode="External"/><Relationship Id="rId3" Type="http://schemas.openxmlformats.org/officeDocument/2006/relationships/hyperlink" Target="https://treasury.gov.au/publication/2023-intergenerational-report" TargetMode="External"/><Relationship Id="rId7" Type="http://schemas.openxmlformats.org/officeDocument/2006/relationships/hyperlink" Target="https://documents1.worldbank.org/curated/en/570381599749598347/pdf/Growth-of-Global-Corporate-Debt-Main-Facts-and-Policy-Challenges.pdf" TargetMode="External"/><Relationship Id="rId12" Type="http://schemas.openxmlformats.org/officeDocument/2006/relationships/hyperlink" Target="https://www.rba.gov.au/publications/bulletin/2022/mar/australian-securities-markets-through-the-covid-19-pandemic.html" TargetMode="External"/><Relationship Id="rId17" Type="http://schemas.openxmlformats.org/officeDocument/2006/relationships/hyperlink" Target="https://treasury.gov.au/sites/default/files/2019-03/Government_response_to_FSI_2015.pdf" TargetMode="External"/><Relationship Id="rId2" Type="http://schemas.openxmlformats.org/officeDocument/2006/relationships/hyperlink" Target="https://www.rba.gov.au/media-releases/2024/mr-24-15.html" TargetMode="External"/><Relationship Id="rId16" Type="http://schemas.openxmlformats.org/officeDocument/2006/relationships/hyperlink" Target="https://treasury.gov.au/publication/competitive-and-sustainable-banking-system/stream-three/develop-a-deep-and-liquid-corporate-bond-market" TargetMode="External"/><Relationship Id="rId1" Type="http://schemas.openxmlformats.org/officeDocument/2006/relationships/hyperlink" Target="https://www.businessthink.unsw.edu.au/articles/australia-economic-outlook-inflation-growth-rba-strategy" TargetMode="External"/><Relationship Id="rId6" Type="http://schemas.openxmlformats.org/officeDocument/2006/relationships/hyperlink" Target="https://www.theglobaltreasurer.com/2024/06/19/broader-access-to-the-uk-bond-market-under-the-microscope/" TargetMode="External"/><Relationship Id="rId11" Type="http://schemas.openxmlformats.org/officeDocument/2006/relationships/hyperlink" Target="https://ideas.repec.org/s/mnb/finrev.html" TargetMode="External"/><Relationship Id="rId5" Type="http://schemas.openxmlformats.org/officeDocument/2006/relationships/hyperlink" Target="https://www.ecb.europa.eu/press/research-publications/resbull/2022/html/ecb.rb220615~b69a5f0ce5.en.pdf" TargetMode="External"/><Relationship Id="rId15" Type="http://schemas.openxmlformats.org/officeDocument/2006/relationships/hyperlink" Target="https://www.asx.com.au/blog/investor-update/2025/what-the-phasing-out-of-bank-hybrid-market-means" TargetMode="External"/><Relationship Id="rId10" Type="http://schemas.openxmlformats.org/officeDocument/2006/relationships/hyperlink" Target="https://ideas.repec.org/a/mnb/finrev/v20y2021i4p5-37..html" TargetMode="External"/><Relationship Id="rId4" Type="http://schemas.openxmlformats.org/officeDocument/2006/relationships/hyperlink" Target="https://www.oecd.org/en/publications/corporate-bond-markets-in-asia_96192f4a-en.html" TargetMode="External"/><Relationship Id="rId9" Type="http://schemas.openxmlformats.org/officeDocument/2006/relationships/hyperlink" Target="https://ministers.treasury.gov.au/ministers/chris-bowen-2009/speeches/australia-financial-services-centre-statement-minister" TargetMode="External"/><Relationship Id="rId14" Type="http://schemas.openxmlformats.org/officeDocument/2006/relationships/hyperlink" Target="https://www.asx.com.au/content/dam/asx/participants/cash-market/hybrids/market-update/2026/pdf/asx-hybrids-monthly-report-may-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8B5264E86D942B6F960C66631D3A5" ma:contentTypeVersion="13" ma:contentTypeDescription="Create a new document." ma:contentTypeScope="" ma:versionID="79ef4775e52a17ef4d2550fffb32c19e">
  <xsd:schema xmlns:xsd="http://www.w3.org/2001/XMLSchema" xmlns:xs="http://www.w3.org/2001/XMLSchema" xmlns:p="http://schemas.microsoft.com/office/2006/metadata/properties" xmlns:ns2="5ff63dbc-cfbd-4279-8802-fbe3eb1843ca" xmlns:ns3="092c6315-7fbc-4c66-b693-ef9eb3f5bfdc" targetNamespace="http://schemas.microsoft.com/office/2006/metadata/properties" ma:root="true" ma:fieldsID="7a93d4c55d24439a0177a7913439b7f5" ns2:_="" ns3:_="">
    <xsd:import namespace="5ff63dbc-cfbd-4279-8802-fbe3eb1843ca"/>
    <xsd:import namespace="092c6315-7fbc-4c66-b693-ef9eb3f5bfd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63dbc-cfbd-4279-8802-fbe3eb1843ca"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c28a9cb-3f6d-4395-bf00-bc0972fcb329}" ma:internalName="TaxCatchAll" ma:showField="CatchAllData" ma:web="5ff63dbc-cfbd-4279-8802-fbe3eb1843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c6315-7fbc-4c66-b693-ef9eb3f5bf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2c6315-7fbc-4c66-b693-ef9eb3f5bfdc">
      <Terms xmlns="http://schemas.microsoft.com/office/infopath/2007/PartnerControls"/>
    </lcf76f155ced4ddcb4097134ff3c332f>
    <TaxCatchAll xmlns="5ff63dbc-cfbd-4279-8802-fbe3eb1843ca">
      <Value>1</Value>
    </TaxCatchAll>
    <i0f84bba906045b4af568ee102a52dcb xmlns="5ff63dbc-cfbd-4279-8802-fbe3eb1843c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3B4D0EBF-9165-4AFB-B2B5-8A869EEAA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63dbc-cfbd-4279-8802-fbe3eb1843ca"/>
    <ds:schemaRef ds:uri="092c6315-7fbc-4c66-b693-ef9eb3f5b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3D594-D44D-413A-8B94-988D0D8CC775}">
  <ds:schemaRefs>
    <ds:schemaRef ds:uri="http://schemas.openxmlformats.org/officeDocument/2006/bibliography"/>
  </ds:schemaRefs>
</ds:datastoreItem>
</file>

<file path=customXml/itemProps3.xml><?xml version="1.0" encoding="utf-8"?>
<ds:datastoreItem xmlns:ds="http://schemas.openxmlformats.org/officeDocument/2006/customXml" ds:itemID="{05A07D63-BABD-4377-856E-B280AC899CF1}">
  <ds:schemaRefs>
    <ds:schemaRef ds:uri="http://schemas.microsoft.com/sharepoint/v3/contenttype/forms"/>
  </ds:schemaRefs>
</ds:datastoreItem>
</file>

<file path=customXml/itemProps4.xml><?xml version="1.0" encoding="utf-8"?>
<ds:datastoreItem xmlns:ds="http://schemas.openxmlformats.org/officeDocument/2006/customXml" ds:itemID="{4B41A280-4DC1-439D-8008-3E6391635584}">
  <ds:schemaRefs>
    <ds:schemaRef ds:uri="http://schemas.microsoft.com/office/2006/metadata/properties"/>
    <ds:schemaRef ds:uri="http://schemas.microsoft.com/office/infopath/2007/PartnerControls"/>
    <ds:schemaRef ds:uri="092c6315-7fbc-4c66-b693-ef9eb3f5bfdc"/>
    <ds:schemaRef ds:uri="5ff63dbc-cfbd-4279-8802-fbe3eb1843ca"/>
  </ds:schemaRefs>
</ds:datastoreItem>
</file>

<file path=docMetadata/LabelInfo.xml><?xml version="1.0" encoding="utf-8"?>
<clbl:labelList xmlns:clbl="http://schemas.microsoft.com/office/2020/mipLabelMetadata">
  <clbl:label id="{f5164520-656f-42e9-9782-bdf08e3108f0}" enabled="1" method="Privileged" siteId="{070c70e8-0d30-45bc-a508-96e7da4dd713}"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5</Pages>
  <Words>1908</Words>
  <Characters>11259</Characters>
  <Application>Microsoft Office Word</Application>
  <DocSecurity>0</DocSecurity>
  <Lines>173</Lines>
  <Paragraphs>54</Paragraphs>
  <ScaleCrop>false</ScaleCrop>
  <HeadingPairs>
    <vt:vector size="2" baseType="variant">
      <vt:variant>
        <vt:lpstr>Title</vt:lpstr>
      </vt:variant>
      <vt:variant>
        <vt:i4>1</vt:i4>
      </vt:variant>
    </vt:vector>
  </HeadingPairs>
  <TitlesOfParts>
    <vt:vector size="1" baseType="lpstr">
      <vt:lpstr>Submission 18 - The Corporate Bond Reform Working Group - Reducing barriers to business dynamism - Public inquiry</vt:lpstr>
    </vt:vector>
  </TitlesOfParts>
  <Company>The Corporate Bond Reform Working Group </Company>
  <LinksUpToDate>false</LinksUpToDate>
  <CharactersWithSpaces>13113</CharactersWithSpaces>
  <SharedDoc>false</SharedDoc>
  <HLinks>
    <vt:vector size="114" baseType="variant">
      <vt:variant>
        <vt:i4>262195</vt:i4>
      </vt:variant>
      <vt:variant>
        <vt:i4>3</vt:i4>
      </vt:variant>
      <vt:variant>
        <vt:i4>0</vt:i4>
      </vt:variant>
      <vt:variant>
        <vt:i4>5</vt:i4>
      </vt:variant>
      <vt:variant>
        <vt:lpwstr>mailto:moe.elrifai@asx.com.au</vt:lpwstr>
      </vt:variant>
      <vt:variant>
        <vt:lpwstr/>
      </vt:variant>
      <vt:variant>
        <vt:i4>3014750</vt:i4>
      </vt:variant>
      <vt:variant>
        <vt:i4>0</vt:i4>
      </vt:variant>
      <vt:variant>
        <vt:i4>0</vt:i4>
      </vt:variant>
      <vt:variant>
        <vt:i4>5</vt:i4>
      </vt:variant>
      <vt:variant>
        <vt:lpwstr>mailto:lmccoach@gtlaw.com.au</vt:lpwstr>
      </vt:variant>
      <vt:variant>
        <vt:lpwstr/>
      </vt:variant>
      <vt:variant>
        <vt:i4>1966090</vt:i4>
      </vt:variant>
      <vt:variant>
        <vt:i4>48</vt:i4>
      </vt:variant>
      <vt:variant>
        <vt:i4>0</vt:i4>
      </vt:variant>
      <vt:variant>
        <vt:i4>5</vt:i4>
      </vt:variant>
      <vt:variant>
        <vt:lpwstr>https://treasury.gov.au/sites/default/files/2019-03/Government_response_to_FSI_2015.pdf</vt:lpwstr>
      </vt:variant>
      <vt:variant>
        <vt:lpwstr/>
      </vt:variant>
      <vt:variant>
        <vt:i4>7667754</vt:i4>
      </vt:variant>
      <vt:variant>
        <vt:i4>45</vt:i4>
      </vt:variant>
      <vt:variant>
        <vt:i4>0</vt:i4>
      </vt:variant>
      <vt:variant>
        <vt:i4>5</vt:i4>
      </vt:variant>
      <vt:variant>
        <vt:lpwstr>https://treasury.gov.au/publication/competitive-and-sustainable-banking-system/stream-three/develop-a-deep-and-liquid-corporate-bond-market</vt:lpwstr>
      </vt:variant>
      <vt:variant>
        <vt:lpwstr/>
      </vt:variant>
      <vt:variant>
        <vt:i4>4915226</vt:i4>
      </vt:variant>
      <vt:variant>
        <vt:i4>42</vt:i4>
      </vt:variant>
      <vt:variant>
        <vt:i4>0</vt:i4>
      </vt:variant>
      <vt:variant>
        <vt:i4>5</vt:i4>
      </vt:variant>
      <vt:variant>
        <vt:lpwstr>https://www.asx.com.au/blog/investor-update/2025/what-the-phasing-out-of-bank-hybrid-market-means</vt:lpwstr>
      </vt:variant>
      <vt:variant>
        <vt:lpwstr/>
      </vt:variant>
      <vt:variant>
        <vt:i4>3604536</vt:i4>
      </vt:variant>
      <vt:variant>
        <vt:i4>39</vt:i4>
      </vt:variant>
      <vt:variant>
        <vt:i4>0</vt:i4>
      </vt:variant>
      <vt:variant>
        <vt:i4>5</vt:i4>
      </vt:variant>
      <vt:variant>
        <vt:lpwstr>https://www.asx.com.au/content/dam/asx/participants/cash-market/hybrids/market-update/2026/pdf/asx-hybrids-monthly-report-may-2026.pdf</vt:lpwstr>
      </vt:variant>
      <vt:variant>
        <vt:lpwstr/>
      </vt:variant>
      <vt:variant>
        <vt:i4>3407990</vt:i4>
      </vt:variant>
      <vt:variant>
        <vt:i4>36</vt:i4>
      </vt:variant>
      <vt:variant>
        <vt:i4>0</vt:i4>
      </vt:variant>
      <vt:variant>
        <vt:i4>5</vt:i4>
      </vt:variant>
      <vt:variant>
        <vt:lpwstr>https://www.asx.com.au/about/market-statistics/historical-market-statistics</vt:lpwstr>
      </vt:variant>
      <vt:variant>
        <vt:lpwstr>tabs-core-0b137ddd18-item-65709bef0c-tab</vt:lpwstr>
      </vt:variant>
      <vt:variant>
        <vt:i4>3407981</vt:i4>
      </vt:variant>
      <vt:variant>
        <vt:i4>33</vt:i4>
      </vt:variant>
      <vt:variant>
        <vt:i4>0</vt:i4>
      </vt:variant>
      <vt:variant>
        <vt:i4>5</vt:i4>
      </vt:variant>
      <vt:variant>
        <vt:lpwstr>https://www.rba.gov.au/publications/bulletin/2022/mar/australian-securities-markets-through-the-covid-19-pandemic.html</vt:lpwstr>
      </vt:variant>
      <vt:variant>
        <vt:lpwstr/>
      </vt:variant>
      <vt:variant>
        <vt:i4>5177373</vt:i4>
      </vt:variant>
      <vt:variant>
        <vt:i4>30</vt:i4>
      </vt:variant>
      <vt:variant>
        <vt:i4>0</vt:i4>
      </vt:variant>
      <vt:variant>
        <vt:i4>5</vt:i4>
      </vt:variant>
      <vt:variant>
        <vt:lpwstr>https://ideas.repec.org/s/mnb/finrev.html</vt:lpwstr>
      </vt:variant>
      <vt:variant>
        <vt:lpwstr/>
      </vt:variant>
      <vt:variant>
        <vt:i4>3735593</vt:i4>
      </vt:variant>
      <vt:variant>
        <vt:i4>27</vt:i4>
      </vt:variant>
      <vt:variant>
        <vt:i4>0</vt:i4>
      </vt:variant>
      <vt:variant>
        <vt:i4>5</vt:i4>
      </vt:variant>
      <vt:variant>
        <vt:lpwstr>https://ideas.repec.org/a/mnb/finrev/v20y2021i4p5-37..html</vt:lpwstr>
      </vt:variant>
      <vt:variant>
        <vt:lpwstr/>
      </vt:variant>
      <vt:variant>
        <vt:i4>1507417</vt:i4>
      </vt:variant>
      <vt:variant>
        <vt:i4>24</vt:i4>
      </vt:variant>
      <vt:variant>
        <vt:i4>0</vt:i4>
      </vt:variant>
      <vt:variant>
        <vt:i4>5</vt:i4>
      </vt:variant>
      <vt:variant>
        <vt:lpwstr>https://ministers.treasury.gov.au/ministers/chris-bowen-2009/speeches/australia-financial-services-centre-statement-minister</vt:lpwstr>
      </vt:variant>
      <vt:variant>
        <vt:lpwstr/>
      </vt:variant>
      <vt:variant>
        <vt:i4>3801147</vt:i4>
      </vt:variant>
      <vt:variant>
        <vt:i4>21</vt:i4>
      </vt:variant>
      <vt:variant>
        <vt:i4>0</vt:i4>
      </vt:variant>
      <vt:variant>
        <vt:i4>5</vt:i4>
      </vt:variant>
      <vt:variant>
        <vt:lpwstr>https://treasury.gov.au/speech/securitisation-a-government-perspective</vt:lpwstr>
      </vt:variant>
      <vt:variant>
        <vt:lpwstr/>
      </vt:variant>
      <vt:variant>
        <vt:i4>8257594</vt:i4>
      </vt:variant>
      <vt:variant>
        <vt:i4>18</vt:i4>
      </vt:variant>
      <vt:variant>
        <vt:i4>0</vt:i4>
      </vt:variant>
      <vt:variant>
        <vt:i4>5</vt:i4>
      </vt:variant>
      <vt:variant>
        <vt:lpwstr>https://documents1.worldbank.org/curated/en/570381599749598347/pdf/Growth-of-Global-Corporate-Debt-Main-Facts-and-Policy-Challenges.pdf</vt:lpwstr>
      </vt:variant>
      <vt:variant>
        <vt:lpwstr/>
      </vt:variant>
      <vt:variant>
        <vt:i4>720960</vt:i4>
      </vt:variant>
      <vt:variant>
        <vt:i4>15</vt:i4>
      </vt:variant>
      <vt:variant>
        <vt:i4>0</vt:i4>
      </vt:variant>
      <vt:variant>
        <vt:i4>5</vt:i4>
      </vt:variant>
      <vt:variant>
        <vt:lpwstr>https://www.theglobaltreasurer.com/2024/06/19/broader-access-to-the-uk-bond-market-under-the-microscope/</vt:lpwstr>
      </vt:variant>
      <vt:variant>
        <vt:lpwstr/>
      </vt:variant>
      <vt:variant>
        <vt:i4>2949246</vt:i4>
      </vt:variant>
      <vt:variant>
        <vt:i4>12</vt:i4>
      </vt:variant>
      <vt:variant>
        <vt:i4>0</vt:i4>
      </vt:variant>
      <vt:variant>
        <vt:i4>5</vt:i4>
      </vt:variant>
      <vt:variant>
        <vt:lpwstr>https://www.ecb.europa.eu/press/research-publications/resbull/2022/html/ecb.rb220615~b69a5f0ce5.en.pdf</vt:lpwstr>
      </vt:variant>
      <vt:variant>
        <vt:lpwstr/>
      </vt:variant>
      <vt:variant>
        <vt:i4>7536715</vt:i4>
      </vt:variant>
      <vt:variant>
        <vt:i4>9</vt:i4>
      </vt:variant>
      <vt:variant>
        <vt:i4>0</vt:i4>
      </vt:variant>
      <vt:variant>
        <vt:i4>5</vt:i4>
      </vt:variant>
      <vt:variant>
        <vt:lpwstr>https://www.oecd.org/en/publications/corporate-bond-markets-in-asia_96192f4a-en.html</vt:lpwstr>
      </vt:variant>
      <vt:variant>
        <vt:lpwstr/>
      </vt:variant>
      <vt:variant>
        <vt:i4>589911</vt:i4>
      </vt:variant>
      <vt:variant>
        <vt:i4>6</vt:i4>
      </vt:variant>
      <vt:variant>
        <vt:i4>0</vt:i4>
      </vt:variant>
      <vt:variant>
        <vt:i4>5</vt:i4>
      </vt:variant>
      <vt:variant>
        <vt:lpwstr>https://treasury.gov.au/publication/2023-intergenerational-report</vt:lpwstr>
      </vt:variant>
      <vt:variant>
        <vt:lpwstr/>
      </vt:variant>
      <vt:variant>
        <vt:i4>1704031</vt:i4>
      </vt:variant>
      <vt:variant>
        <vt:i4>3</vt:i4>
      </vt:variant>
      <vt:variant>
        <vt:i4>0</vt:i4>
      </vt:variant>
      <vt:variant>
        <vt:i4>5</vt:i4>
      </vt:variant>
      <vt:variant>
        <vt:lpwstr>https://www.rba.gov.au/media-releases/2024/mr-24-15.html</vt:lpwstr>
      </vt:variant>
      <vt:variant>
        <vt:lpwstr/>
      </vt:variant>
      <vt:variant>
        <vt:i4>6684718</vt:i4>
      </vt:variant>
      <vt:variant>
        <vt:i4>0</vt:i4>
      </vt:variant>
      <vt:variant>
        <vt:i4>0</vt:i4>
      </vt:variant>
      <vt:variant>
        <vt:i4>5</vt:i4>
      </vt:variant>
      <vt:variant>
        <vt:lpwstr>https://www.businessthink.unsw.edu.au/articles/australia-economic-outlook-inflation-growth-rba-strategy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18 - The Corporate Bond Reform Working Group - Reducing barriers to business dynamism - Public inquiry</dc:title>
  <dc:subject/>
  <dc:creator>The Corporate Bond Reform Working Group </dc:creator>
  <cp:keywords/>
  <dc:description/>
  <cp:lastModifiedBy>Chris Alston</cp:lastModifiedBy>
  <cp:revision>3</cp:revision>
  <cp:lastPrinted>2024-12-06T13:50:00Z</cp:lastPrinted>
  <dcterms:created xsi:type="dcterms:W3CDTF">2026-07-03T04:22:00Z</dcterms:created>
  <dcterms:modified xsi:type="dcterms:W3CDTF">2026-07-03T04:28:00Z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0x010100DFB8B5264E86D942B6F960C66631D3A5</vt:lpwstr>
  </property>
  <property fmtid="{D5CDD505-2E9C-101B-9397-08002B2CF9AE}" pid="3" name="MediaServiceImageTags">
    <vt:lpwstr/>
  </property>
  <property fmtid="{D5CDD505-2E9C-101B-9397-08002B2CF9AE}" pid="4" name="ClassificationContentMarkingHeaderShapeIds">
    <vt:lpwstr>5f5af90c,57222e10,624a8e30</vt:lpwstr>
  </property>
  <property fmtid="{D5CDD505-2E9C-101B-9397-08002B2CF9AE}" pid="5" name="ClassificationContentMarkingHeaderFontProps">
    <vt:lpwstr>#000000,12,Aptos</vt:lpwstr>
  </property>
  <property fmtid="{D5CDD505-2E9C-101B-9397-08002B2CF9AE}" pid="6" name="ClassificationContentMarkingHeaderText">
    <vt:lpwstr> OFFICIAL</vt:lpwstr>
  </property>
  <property fmtid="{D5CDD505-2E9C-101B-9397-08002B2CF9AE}" pid="7" name="MSIP_Label_f7467c1a-e0ed-413c-a72b-aac8e8e94f41_Enabled">
    <vt:lpwstr>true</vt:lpwstr>
  </property>
  <property fmtid="{D5CDD505-2E9C-101B-9397-08002B2CF9AE}" pid="8" name="MSIP_Label_f7467c1a-e0ed-413c-a72b-aac8e8e94f41_SetDate">
    <vt:lpwstr>2026-07-03T01:12:05Z</vt:lpwstr>
  </property>
  <property fmtid="{D5CDD505-2E9C-101B-9397-08002B2CF9AE}" pid="9" name="MSIP_Label_f7467c1a-e0ed-413c-a72b-aac8e8e94f41_Method">
    <vt:lpwstr>Privileged</vt:lpwstr>
  </property>
  <property fmtid="{D5CDD505-2E9C-101B-9397-08002B2CF9AE}" pid="10" name="MSIP_Label_f7467c1a-e0ed-413c-a72b-aac8e8e94f41_Name">
    <vt:lpwstr>OFFICIAL</vt:lpwstr>
  </property>
  <property fmtid="{D5CDD505-2E9C-101B-9397-08002B2CF9AE}" pid="11" name="MSIP_Label_f7467c1a-e0ed-413c-a72b-aac8e8e94f41_SiteId">
    <vt:lpwstr>29f9330b-c0fe-4244-830e-ba9f275d6c34</vt:lpwstr>
  </property>
  <property fmtid="{D5CDD505-2E9C-101B-9397-08002B2CF9AE}" pid="12" name="MSIP_Label_f7467c1a-e0ed-413c-a72b-aac8e8e94f41_ActionId">
    <vt:lpwstr>62836a3b-5525-4162-b7af-0a71e1d407c8</vt:lpwstr>
  </property>
  <property fmtid="{D5CDD505-2E9C-101B-9397-08002B2CF9AE}" pid="13" name="MSIP_Label_f7467c1a-e0ed-413c-a72b-aac8e8e94f41_ContentBits">
    <vt:lpwstr>1</vt:lpwstr>
  </property>
  <property fmtid="{D5CDD505-2E9C-101B-9397-08002B2CF9AE}" pid="14" name="MSIP_Label_f7467c1a-e0ed-413c-a72b-aac8e8e94f41_Tag">
    <vt:lpwstr>10, 0, 1, 1</vt:lpwstr>
  </property>
  <property fmtid="{D5CDD505-2E9C-101B-9397-08002B2CF9AE}" pid="15" name="RevIMBCS">
    <vt:lpwstr>1;#Unclassified|3955eeb1-2d18-4582-aeb2-00144ec3aaf5</vt:lpwstr>
  </property>
</Properties>
</file>