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E5EB" w14:textId="77777777" w:rsidR="00F20140" w:rsidRDefault="006A6AE8">
      <w:pPr>
        <w:pStyle w:val="Title"/>
      </w:pPr>
      <w:r>
        <w:t>Submission to the Productivity Commission’s Inquiry on Reducing Barriers to Business Dynamism</w:t>
      </w:r>
    </w:p>
    <w:p w14:paraId="03B219C3" w14:textId="6293135F" w:rsidR="001831B6" w:rsidRDefault="006A6AE8" w:rsidP="001831B6">
      <w:pPr>
        <w:pStyle w:val="Subtitle"/>
      </w:pPr>
      <w:r>
        <w:t>Response to the Call for Submissions</w:t>
      </w:r>
    </w:p>
    <w:p w14:paraId="23F21220" w14:textId="77777777" w:rsidR="001831B6" w:rsidRPr="001831B6" w:rsidRDefault="001831B6" w:rsidP="001831B6">
      <w:pPr>
        <w:pStyle w:val="BodyText1"/>
      </w:pPr>
    </w:p>
    <w:p w14:paraId="29C09A50" w14:textId="77777777" w:rsidR="001831B6" w:rsidRDefault="006A6AE8">
      <w:r>
        <w:t>Prepared by Scott Atkins and Harry Lawless</w:t>
      </w:r>
    </w:p>
    <w:p w14:paraId="223A64C9" w14:textId="77A5E4DF" w:rsidR="00F20140" w:rsidRDefault="006A6AE8">
      <w:r>
        <w:t>Norton Rose Fulbright</w:t>
      </w:r>
    </w:p>
    <w:p w14:paraId="67EAB8C1" w14:textId="77777777" w:rsidR="001831B6" w:rsidRDefault="001831B6"/>
    <w:p w14:paraId="35394597" w14:textId="18AE0B0D" w:rsidR="00F20140" w:rsidRDefault="006A6AE8">
      <w:r>
        <w:t>3 July 2026</w:t>
      </w:r>
    </w:p>
    <w:p w14:paraId="524793FE" w14:textId="77777777" w:rsidR="001831B6" w:rsidRDefault="001831B6"/>
    <w:p w14:paraId="49063237" w14:textId="77777777" w:rsidR="00BE0294" w:rsidRPr="00A02B5E" w:rsidRDefault="00BE0294" w:rsidP="00BE0294">
      <w:pPr>
        <w:pStyle w:val="Heading1"/>
        <w:rPr>
          <w:rFonts w:asciiTheme="majorHAnsi" w:hAnsiTheme="majorHAnsi"/>
        </w:rPr>
      </w:pPr>
      <w:r w:rsidRPr="00A02B5E">
        <w:rPr>
          <w:rFonts w:asciiTheme="majorHAnsi" w:hAnsiTheme="majorHAnsi"/>
        </w:rPr>
        <w:t>Introduction</w:t>
      </w:r>
    </w:p>
    <w:p w14:paraId="0DC1383B" w14:textId="77777777" w:rsidR="00BE0294" w:rsidRPr="00A02B5E" w:rsidRDefault="00BE0294" w:rsidP="00BE0294">
      <w:pPr>
        <w:rPr>
          <w:rFonts w:asciiTheme="majorHAnsi" w:hAnsiTheme="majorHAnsi"/>
        </w:rPr>
      </w:pPr>
    </w:p>
    <w:p w14:paraId="4896F784" w14:textId="56DDDE61" w:rsidR="00007635" w:rsidRDefault="00BE0294" w:rsidP="00B27D6D">
      <w:pPr>
        <w:spacing w:before="120" w:after="120"/>
        <w:rPr>
          <w:rFonts w:asciiTheme="majorHAnsi" w:hAnsiTheme="majorHAnsi"/>
        </w:rPr>
      </w:pPr>
      <w:r w:rsidRPr="00A02B5E">
        <w:rPr>
          <w:rFonts w:asciiTheme="majorHAnsi" w:hAnsiTheme="majorHAnsi"/>
        </w:rPr>
        <w:t>This submission</w:t>
      </w:r>
      <w:r w:rsidR="00A45B91" w:rsidRPr="00A02B5E">
        <w:rPr>
          <w:rFonts w:asciiTheme="majorHAnsi" w:hAnsiTheme="majorHAnsi"/>
        </w:rPr>
        <w:t xml:space="preserve"> is authored by Scott Atkins and Harry Lawless, </w:t>
      </w:r>
      <w:r w:rsidR="00B52298" w:rsidRPr="00A02B5E">
        <w:rPr>
          <w:rFonts w:asciiTheme="majorHAnsi" w:hAnsiTheme="majorHAnsi"/>
        </w:rPr>
        <w:t xml:space="preserve">solicitors </w:t>
      </w:r>
      <w:r w:rsidR="00007635">
        <w:rPr>
          <w:rFonts w:asciiTheme="majorHAnsi" w:hAnsiTheme="majorHAnsi"/>
        </w:rPr>
        <w:t>of</w:t>
      </w:r>
      <w:r w:rsidR="00007635" w:rsidRPr="00A02B5E">
        <w:rPr>
          <w:rFonts w:asciiTheme="majorHAnsi" w:hAnsiTheme="majorHAnsi"/>
        </w:rPr>
        <w:t xml:space="preserve"> </w:t>
      </w:r>
      <w:r w:rsidR="00A45B91" w:rsidRPr="00A02B5E">
        <w:rPr>
          <w:rFonts w:asciiTheme="majorHAnsi" w:hAnsiTheme="majorHAnsi"/>
        </w:rPr>
        <w:t>Norton Rose Fulbright</w:t>
      </w:r>
      <w:r w:rsidR="00007635">
        <w:rPr>
          <w:rFonts w:asciiTheme="majorHAnsi" w:hAnsiTheme="majorHAnsi"/>
        </w:rPr>
        <w:t>.</w:t>
      </w:r>
      <w:r w:rsidR="004C4ADB">
        <w:rPr>
          <w:rStyle w:val="FootnoteReference"/>
          <w:rFonts w:asciiTheme="majorHAnsi" w:hAnsiTheme="majorHAnsi"/>
        </w:rPr>
        <w:footnoteReference w:id="1"/>
      </w:r>
    </w:p>
    <w:p w14:paraId="62A252C0" w14:textId="77777777" w:rsidR="00007635" w:rsidRDefault="00D979E2" w:rsidP="00B27D6D">
      <w:pPr>
        <w:spacing w:before="120" w:after="120"/>
        <w:rPr>
          <w:rFonts w:asciiTheme="majorHAnsi" w:hAnsiTheme="majorHAnsi"/>
        </w:rPr>
      </w:pPr>
      <w:r w:rsidRPr="00A02B5E">
        <w:rPr>
          <w:rFonts w:asciiTheme="majorHAnsi" w:hAnsiTheme="majorHAnsi"/>
        </w:rPr>
        <w:t xml:space="preserve">We </w:t>
      </w:r>
      <w:r w:rsidR="0027556E" w:rsidRPr="00A02B5E">
        <w:rPr>
          <w:rFonts w:asciiTheme="majorHAnsi" w:hAnsiTheme="majorHAnsi"/>
        </w:rPr>
        <w:t>commend the Productivity Commission for undertaking this important</w:t>
      </w:r>
      <w:r w:rsidRPr="00A02B5E">
        <w:rPr>
          <w:rFonts w:asciiTheme="majorHAnsi" w:hAnsiTheme="majorHAnsi"/>
        </w:rPr>
        <w:t xml:space="preserve"> </w:t>
      </w:r>
      <w:r w:rsidR="0027556E" w:rsidRPr="00A02B5E">
        <w:rPr>
          <w:rFonts w:asciiTheme="majorHAnsi" w:hAnsiTheme="majorHAnsi"/>
        </w:rPr>
        <w:t xml:space="preserve">and timely </w:t>
      </w:r>
      <w:r w:rsidR="005D278D" w:rsidRPr="00A02B5E">
        <w:rPr>
          <w:rFonts w:asciiTheme="majorHAnsi" w:hAnsiTheme="majorHAnsi"/>
        </w:rPr>
        <w:t>inquiry into</w:t>
      </w:r>
      <w:r w:rsidR="00BC742C" w:rsidRPr="00A02B5E">
        <w:rPr>
          <w:rFonts w:asciiTheme="majorHAnsi" w:hAnsiTheme="majorHAnsi"/>
        </w:rPr>
        <w:t xml:space="preserve"> </w:t>
      </w:r>
      <w:r w:rsidR="00BD4BD0">
        <w:rPr>
          <w:rFonts w:asciiTheme="majorHAnsi" w:hAnsiTheme="majorHAnsi"/>
        </w:rPr>
        <w:t xml:space="preserve">reducing </w:t>
      </w:r>
      <w:r w:rsidR="005D278D" w:rsidRPr="00A02B5E">
        <w:rPr>
          <w:rFonts w:asciiTheme="majorHAnsi" w:hAnsiTheme="majorHAnsi"/>
        </w:rPr>
        <w:t>barriers to business dynamism in Australia</w:t>
      </w:r>
      <w:r w:rsidR="003173C2">
        <w:rPr>
          <w:rFonts w:asciiTheme="majorHAnsi" w:hAnsiTheme="majorHAnsi"/>
        </w:rPr>
        <w:t>.</w:t>
      </w:r>
    </w:p>
    <w:p w14:paraId="084D7AC0" w14:textId="77777777" w:rsidR="003B1410" w:rsidRPr="00A02B5E" w:rsidRDefault="003173C2" w:rsidP="00B27D6D">
      <w:pPr>
        <w:spacing w:before="120" w:after="120"/>
        <w:rPr>
          <w:rFonts w:asciiTheme="majorHAnsi" w:hAnsiTheme="majorHAnsi"/>
        </w:rPr>
      </w:pPr>
      <w:r>
        <w:rPr>
          <w:rFonts w:asciiTheme="majorHAnsi" w:hAnsiTheme="majorHAnsi"/>
        </w:rPr>
        <w:t xml:space="preserve">We also </w:t>
      </w:r>
      <w:r w:rsidR="00DD09AE">
        <w:rPr>
          <w:rFonts w:asciiTheme="majorHAnsi" w:hAnsiTheme="majorHAnsi"/>
        </w:rPr>
        <w:t xml:space="preserve">commend </w:t>
      </w:r>
      <w:r w:rsidR="00AB1897" w:rsidRPr="00A02B5E">
        <w:rPr>
          <w:rFonts w:asciiTheme="majorHAnsi" w:hAnsiTheme="majorHAnsi"/>
        </w:rPr>
        <w:t xml:space="preserve">Assistant </w:t>
      </w:r>
      <w:r w:rsidR="000567DE" w:rsidRPr="00A02B5E">
        <w:rPr>
          <w:rFonts w:asciiTheme="majorHAnsi" w:hAnsiTheme="majorHAnsi"/>
        </w:rPr>
        <w:t xml:space="preserve">Minister Leigh for </w:t>
      </w:r>
      <w:r w:rsidR="00711503" w:rsidRPr="00A02B5E">
        <w:rPr>
          <w:rFonts w:asciiTheme="majorHAnsi" w:hAnsiTheme="majorHAnsi"/>
        </w:rPr>
        <w:t xml:space="preserve">championing </w:t>
      </w:r>
      <w:r w:rsidR="009E289D" w:rsidRPr="00A02B5E">
        <w:rPr>
          <w:rFonts w:asciiTheme="majorHAnsi" w:hAnsiTheme="majorHAnsi"/>
        </w:rPr>
        <w:t>insolvency law</w:t>
      </w:r>
      <w:r w:rsidR="00FD0A62" w:rsidRPr="00A02B5E">
        <w:rPr>
          <w:rFonts w:asciiTheme="majorHAnsi" w:hAnsiTheme="majorHAnsi"/>
        </w:rPr>
        <w:t xml:space="preserve"> </w:t>
      </w:r>
      <w:r w:rsidR="001E4E89" w:rsidRPr="00A02B5E">
        <w:rPr>
          <w:rFonts w:asciiTheme="majorHAnsi" w:hAnsiTheme="majorHAnsi"/>
        </w:rPr>
        <w:t xml:space="preserve">as a locus </w:t>
      </w:r>
      <w:r w:rsidR="00E7439E" w:rsidRPr="00A02B5E">
        <w:rPr>
          <w:rFonts w:asciiTheme="majorHAnsi" w:hAnsiTheme="majorHAnsi"/>
        </w:rPr>
        <w:t>for</w:t>
      </w:r>
      <w:r w:rsidR="001E4E89" w:rsidRPr="00A02B5E">
        <w:rPr>
          <w:rFonts w:asciiTheme="majorHAnsi" w:hAnsiTheme="majorHAnsi"/>
        </w:rPr>
        <w:t xml:space="preserve"> productivity</w:t>
      </w:r>
      <w:r w:rsidR="000179B2" w:rsidRPr="00A02B5E">
        <w:rPr>
          <w:rFonts w:asciiTheme="majorHAnsi" w:hAnsiTheme="majorHAnsi"/>
        </w:rPr>
        <w:t>-</w:t>
      </w:r>
      <w:r w:rsidR="00E7439E" w:rsidRPr="00A02B5E">
        <w:rPr>
          <w:rFonts w:asciiTheme="majorHAnsi" w:hAnsiTheme="majorHAnsi"/>
        </w:rPr>
        <w:t>enhancing</w:t>
      </w:r>
      <w:r w:rsidR="001E4E89" w:rsidRPr="00A02B5E">
        <w:rPr>
          <w:rFonts w:asciiTheme="majorHAnsi" w:hAnsiTheme="majorHAnsi"/>
        </w:rPr>
        <w:t xml:space="preserve"> reform</w:t>
      </w:r>
      <w:r w:rsidR="00D25D2E" w:rsidRPr="00A02B5E">
        <w:rPr>
          <w:rFonts w:asciiTheme="majorHAnsi" w:hAnsiTheme="majorHAnsi"/>
        </w:rPr>
        <w:t>.</w:t>
      </w:r>
      <w:r w:rsidR="00665FEB">
        <w:rPr>
          <w:rStyle w:val="FootnoteReference"/>
          <w:rFonts w:asciiTheme="majorHAnsi" w:hAnsiTheme="majorHAnsi"/>
        </w:rPr>
        <w:footnoteReference w:id="2"/>
      </w:r>
      <w:r w:rsidR="00D25D2E" w:rsidRPr="00A02B5E">
        <w:rPr>
          <w:rFonts w:asciiTheme="majorHAnsi" w:hAnsiTheme="majorHAnsi"/>
        </w:rPr>
        <w:t xml:space="preserve"> </w:t>
      </w:r>
    </w:p>
    <w:p w14:paraId="1F6AD9EA" w14:textId="77777777" w:rsidR="00AE0BED" w:rsidRPr="00A02B5E" w:rsidRDefault="00AE0BED" w:rsidP="00B27D6D">
      <w:pPr>
        <w:spacing w:before="120" w:after="120"/>
        <w:rPr>
          <w:rFonts w:asciiTheme="majorHAnsi" w:hAnsiTheme="majorHAnsi"/>
        </w:rPr>
      </w:pPr>
      <w:r w:rsidRPr="00A02B5E">
        <w:rPr>
          <w:rFonts w:asciiTheme="majorHAnsi" w:hAnsiTheme="majorHAnsi"/>
        </w:rPr>
        <w:t xml:space="preserve">This submission engages with the following </w:t>
      </w:r>
      <w:r w:rsidR="00BB539B">
        <w:rPr>
          <w:rFonts w:asciiTheme="majorHAnsi" w:hAnsiTheme="majorHAnsi"/>
        </w:rPr>
        <w:t xml:space="preserve">parts </w:t>
      </w:r>
      <w:r w:rsidRPr="00A02B5E">
        <w:rPr>
          <w:rFonts w:asciiTheme="majorHAnsi" w:hAnsiTheme="majorHAnsi"/>
        </w:rPr>
        <w:t xml:space="preserve">of the Call for </w:t>
      </w:r>
      <w:r w:rsidR="003742BC">
        <w:rPr>
          <w:rFonts w:asciiTheme="majorHAnsi" w:hAnsiTheme="majorHAnsi"/>
        </w:rPr>
        <w:t>S</w:t>
      </w:r>
      <w:r w:rsidRPr="00A02B5E">
        <w:rPr>
          <w:rFonts w:asciiTheme="majorHAnsi" w:hAnsiTheme="majorHAnsi"/>
        </w:rPr>
        <w:t>ubmissions:</w:t>
      </w:r>
    </w:p>
    <w:p w14:paraId="6136A865" w14:textId="77777777" w:rsidR="00AE0BED" w:rsidRPr="00B27D6D" w:rsidRDefault="00AE0BED" w:rsidP="00B27D6D">
      <w:pPr>
        <w:pStyle w:val="ListParagraph"/>
        <w:numPr>
          <w:ilvl w:val="0"/>
          <w:numId w:val="48"/>
        </w:numPr>
        <w:spacing w:before="120" w:after="120"/>
        <w:rPr>
          <w:rFonts w:asciiTheme="majorHAnsi" w:hAnsiTheme="majorHAnsi"/>
          <w:sz w:val="16"/>
          <w:szCs w:val="16"/>
        </w:rPr>
      </w:pPr>
      <w:r w:rsidRPr="00A02B5E">
        <w:rPr>
          <w:rFonts w:asciiTheme="majorHAnsi" w:hAnsiTheme="majorHAnsi"/>
        </w:rPr>
        <w:t>The Principles and Objectives that underpin Australia’s insolvency frameworks and the extent to which they support outcomes for people and businesses, and enable economic growth</w:t>
      </w:r>
      <w:r w:rsidR="00205051">
        <w:rPr>
          <w:rFonts w:asciiTheme="majorHAnsi" w:hAnsiTheme="majorHAnsi"/>
        </w:rPr>
        <w:t xml:space="preserve"> </w:t>
      </w:r>
      <w:r w:rsidR="00D3158C">
        <w:rPr>
          <w:rFonts w:asciiTheme="majorHAnsi" w:hAnsiTheme="majorHAnsi"/>
        </w:rPr>
        <w:t xml:space="preserve">- </w:t>
      </w:r>
      <w:r w:rsidR="00205051">
        <w:rPr>
          <w:rFonts w:asciiTheme="majorHAnsi" w:hAnsiTheme="majorHAnsi"/>
        </w:rPr>
        <w:t>section 2 of this submission</w:t>
      </w:r>
      <w:r w:rsidRPr="00A02B5E">
        <w:rPr>
          <w:rFonts w:asciiTheme="majorHAnsi" w:hAnsiTheme="majorHAnsi"/>
        </w:rPr>
        <w:t>;</w:t>
      </w:r>
      <w:r w:rsidR="00B27D6D">
        <w:rPr>
          <w:rFonts w:asciiTheme="majorHAnsi" w:hAnsiTheme="majorHAnsi"/>
        </w:rPr>
        <w:br/>
      </w:r>
    </w:p>
    <w:p w14:paraId="08E701FD" w14:textId="77777777" w:rsidR="00796210" w:rsidRPr="00B27D6D" w:rsidRDefault="00796210" w:rsidP="00B27D6D">
      <w:pPr>
        <w:pStyle w:val="ListParagraph"/>
        <w:numPr>
          <w:ilvl w:val="0"/>
          <w:numId w:val="48"/>
        </w:numPr>
        <w:spacing w:before="120" w:after="120"/>
        <w:rPr>
          <w:rFonts w:asciiTheme="majorHAnsi" w:hAnsiTheme="majorHAnsi"/>
          <w:sz w:val="16"/>
          <w:szCs w:val="16"/>
        </w:rPr>
      </w:pPr>
      <w:r w:rsidRPr="00A02B5E">
        <w:rPr>
          <w:rFonts w:asciiTheme="majorHAnsi" w:hAnsiTheme="majorHAnsi"/>
        </w:rPr>
        <w:t>Whether further harmonising Australia’s corporate and personal insolvency frameworks would create a net benefit, particularly for small business owners</w:t>
      </w:r>
      <w:r w:rsidR="00205051">
        <w:rPr>
          <w:rFonts w:asciiTheme="majorHAnsi" w:hAnsiTheme="majorHAnsi"/>
        </w:rPr>
        <w:t xml:space="preserve"> </w:t>
      </w:r>
      <w:r w:rsidR="00D3158C">
        <w:rPr>
          <w:rFonts w:asciiTheme="majorHAnsi" w:hAnsiTheme="majorHAnsi"/>
        </w:rPr>
        <w:t xml:space="preserve">- </w:t>
      </w:r>
      <w:r w:rsidR="00205051">
        <w:rPr>
          <w:rFonts w:asciiTheme="majorHAnsi" w:hAnsiTheme="majorHAnsi"/>
        </w:rPr>
        <w:t>section 3 of this submission;</w:t>
      </w:r>
      <w:r w:rsidR="00B27D6D">
        <w:rPr>
          <w:rFonts w:asciiTheme="majorHAnsi" w:hAnsiTheme="majorHAnsi"/>
        </w:rPr>
        <w:br/>
      </w:r>
    </w:p>
    <w:p w14:paraId="2143EB7A" w14:textId="77777777" w:rsidR="00796210" w:rsidRPr="00B27D6D" w:rsidRDefault="00796210" w:rsidP="00B27D6D">
      <w:pPr>
        <w:pStyle w:val="ListParagraph"/>
        <w:numPr>
          <w:ilvl w:val="0"/>
          <w:numId w:val="48"/>
        </w:numPr>
        <w:spacing w:before="120" w:after="120"/>
        <w:rPr>
          <w:rFonts w:asciiTheme="majorHAnsi" w:hAnsiTheme="majorHAnsi"/>
          <w:sz w:val="16"/>
          <w:szCs w:val="16"/>
        </w:rPr>
      </w:pPr>
      <w:r w:rsidRPr="00A02B5E">
        <w:rPr>
          <w:rFonts w:asciiTheme="majorHAnsi" w:hAnsiTheme="majorHAnsi"/>
        </w:rPr>
        <w:t>How the various corporate and personal insolvency pathways can be improved</w:t>
      </w:r>
      <w:r w:rsidR="00205051">
        <w:rPr>
          <w:rFonts w:asciiTheme="majorHAnsi" w:hAnsiTheme="majorHAnsi"/>
        </w:rPr>
        <w:t xml:space="preserve"> </w:t>
      </w:r>
      <w:r w:rsidR="00D3158C">
        <w:rPr>
          <w:rFonts w:asciiTheme="majorHAnsi" w:hAnsiTheme="majorHAnsi"/>
        </w:rPr>
        <w:t xml:space="preserve">- </w:t>
      </w:r>
      <w:r w:rsidR="00205051">
        <w:rPr>
          <w:rFonts w:asciiTheme="majorHAnsi" w:hAnsiTheme="majorHAnsi"/>
        </w:rPr>
        <w:t xml:space="preserve">section 4 of this submission; </w:t>
      </w:r>
      <w:r w:rsidR="00B27D6D">
        <w:rPr>
          <w:rFonts w:asciiTheme="majorHAnsi" w:hAnsiTheme="majorHAnsi"/>
        </w:rPr>
        <w:br/>
      </w:r>
    </w:p>
    <w:p w14:paraId="45AD735F" w14:textId="77777777" w:rsidR="00AE0BED" w:rsidRPr="00A02B5E" w:rsidRDefault="00796210" w:rsidP="00B27D6D">
      <w:pPr>
        <w:pStyle w:val="ListParagraph"/>
        <w:numPr>
          <w:ilvl w:val="0"/>
          <w:numId w:val="48"/>
        </w:numPr>
        <w:spacing w:before="120" w:after="120"/>
        <w:rPr>
          <w:rFonts w:asciiTheme="majorHAnsi" w:hAnsiTheme="majorHAnsi"/>
        </w:rPr>
      </w:pPr>
      <w:r w:rsidRPr="00A02B5E">
        <w:rPr>
          <w:rFonts w:asciiTheme="majorHAnsi" w:hAnsiTheme="majorHAnsi"/>
        </w:rPr>
        <w:t xml:space="preserve">The operation of Schedules 1, 3 and 4 of the </w:t>
      </w:r>
      <w:r w:rsidRPr="00B27D6D">
        <w:rPr>
          <w:rFonts w:asciiTheme="majorHAnsi" w:hAnsiTheme="majorHAnsi"/>
          <w:i/>
          <w:iCs/>
        </w:rPr>
        <w:t xml:space="preserve">Treasury Laws Amendment (Combatting Illegal </w:t>
      </w:r>
      <w:proofErr w:type="spellStart"/>
      <w:r w:rsidRPr="00B27D6D">
        <w:rPr>
          <w:rFonts w:asciiTheme="majorHAnsi" w:hAnsiTheme="majorHAnsi"/>
          <w:i/>
          <w:iCs/>
        </w:rPr>
        <w:t>Phoenixing</w:t>
      </w:r>
      <w:proofErr w:type="spellEnd"/>
      <w:r w:rsidRPr="00B27D6D">
        <w:rPr>
          <w:rFonts w:asciiTheme="majorHAnsi" w:hAnsiTheme="majorHAnsi"/>
          <w:i/>
          <w:iCs/>
        </w:rPr>
        <w:t xml:space="preserve">) Act </w:t>
      </w:r>
      <w:r w:rsidRPr="00A02B5E">
        <w:rPr>
          <w:rFonts w:asciiTheme="majorHAnsi" w:hAnsiTheme="majorHAnsi"/>
        </w:rPr>
        <w:t>2020 (</w:t>
      </w:r>
      <w:proofErr w:type="spellStart"/>
      <w:r w:rsidRPr="00A02B5E">
        <w:rPr>
          <w:rFonts w:asciiTheme="majorHAnsi" w:hAnsiTheme="majorHAnsi"/>
        </w:rPr>
        <w:t>Cth</w:t>
      </w:r>
      <w:proofErr w:type="spellEnd"/>
      <w:r w:rsidRPr="00A02B5E">
        <w:rPr>
          <w:rFonts w:asciiTheme="majorHAnsi" w:hAnsiTheme="majorHAnsi"/>
        </w:rPr>
        <w:t>)</w:t>
      </w:r>
      <w:r w:rsidR="00205051">
        <w:rPr>
          <w:rFonts w:asciiTheme="majorHAnsi" w:hAnsiTheme="majorHAnsi"/>
        </w:rPr>
        <w:t xml:space="preserve"> </w:t>
      </w:r>
      <w:r w:rsidR="00D749E5">
        <w:rPr>
          <w:rFonts w:asciiTheme="majorHAnsi" w:hAnsiTheme="majorHAnsi"/>
        </w:rPr>
        <w:t xml:space="preserve">- </w:t>
      </w:r>
      <w:r w:rsidR="00205051">
        <w:rPr>
          <w:rFonts w:asciiTheme="majorHAnsi" w:hAnsiTheme="majorHAnsi"/>
        </w:rPr>
        <w:t xml:space="preserve">section 5 of this submission. </w:t>
      </w:r>
      <w:r w:rsidR="00AE0BED" w:rsidRPr="00A02B5E">
        <w:rPr>
          <w:rFonts w:asciiTheme="majorHAnsi" w:hAnsiTheme="majorHAnsi"/>
        </w:rPr>
        <w:t xml:space="preserve"> </w:t>
      </w:r>
    </w:p>
    <w:p w14:paraId="2A2FEB5D" w14:textId="77777777" w:rsidR="00007635" w:rsidRDefault="003B1410" w:rsidP="00B27D6D">
      <w:pPr>
        <w:pStyle w:val="BodyText2"/>
        <w:spacing w:before="120" w:after="120"/>
        <w:ind w:left="0"/>
        <w:rPr>
          <w:rFonts w:asciiTheme="majorHAnsi" w:hAnsiTheme="majorHAnsi" w:cs="Arial"/>
        </w:rPr>
      </w:pPr>
      <w:r w:rsidRPr="00A02B5E">
        <w:rPr>
          <w:rFonts w:asciiTheme="majorHAnsi" w:hAnsiTheme="majorHAnsi"/>
        </w:rPr>
        <w:t xml:space="preserve">As an initial observation, we wish to bring to the Productivity Commission’s attention the fundamental importance of effective, well-functioning restructuring and insolvency systems in contributing to </w:t>
      </w:r>
      <w:r w:rsidRPr="00A02B5E">
        <w:rPr>
          <w:rFonts w:asciiTheme="majorHAnsi" w:hAnsiTheme="majorHAnsi" w:cs="Arial"/>
        </w:rPr>
        <w:t xml:space="preserve">financial stability and long-term innovation, productivity and economic growth in Australia. </w:t>
      </w:r>
    </w:p>
    <w:p w14:paraId="0B651F30" w14:textId="77777777" w:rsidR="003B1410" w:rsidRPr="00A02B5E" w:rsidRDefault="00EA237B" w:rsidP="00B27D6D">
      <w:pPr>
        <w:pStyle w:val="BodyText2"/>
        <w:spacing w:before="120" w:after="120"/>
        <w:ind w:left="0"/>
        <w:rPr>
          <w:rFonts w:asciiTheme="majorHAnsi" w:hAnsiTheme="majorHAnsi" w:cs="Arial"/>
        </w:rPr>
      </w:pPr>
      <w:r>
        <w:rPr>
          <w:rFonts w:asciiTheme="majorHAnsi" w:hAnsiTheme="majorHAnsi" w:cs="Arial"/>
        </w:rPr>
        <w:t>Despite its economic importance</w:t>
      </w:r>
      <w:r w:rsidR="009547F1">
        <w:rPr>
          <w:rFonts w:asciiTheme="majorHAnsi" w:hAnsiTheme="majorHAnsi" w:cs="Arial"/>
        </w:rPr>
        <w:t>, Australia</w:t>
      </w:r>
      <w:r w:rsidR="00AC1C35">
        <w:rPr>
          <w:rFonts w:asciiTheme="majorHAnsi" w:hAnsiTheme="majorHAnsi" w:cs="Arial"/>
        </w:rPr>
        <w:t xml:space="preserve">’s </w:t>
      </w:r>
      <w:r w:rsidR="00B43A79">
        <w:rPr>
          <w:rFonts w:asciiTheme="majorHAnsi" w:hAnsiTheme="majorHAnsi" w:cs="Arial"/>
        </w:rPr>
        <w:t xml:space="preserve">last comprehensive review and reform effort for its </w:t>
      </w:r>
      <w:r w:rsidR="009547F1">
        <w:rPr>
          <w:rFonts w:asciiTheme="majorHAnsi" w:hAnsiTheme="majorHAnsi" w:cs="Arial"/>
        </w:rPr>
        <w:t xml:space="preserve">corporate insolvency law </w:t>
      </w:r>
      <w:r w:rsidR="00B43A79">
        <w:rPr>
          <w:rFonts w:asciiTheme="majorHAnsi" w:hAnsiTheme="majorHAnsi" w:cs="Arial"/>
        </w:rPr>
        <w:t xml:space="preserve">took place </w:t>
      </w:r>
      <w:r w:rsidR="003474AE">
        <w:rPr>
          <w:rFonts w:asciiTheme="majorHAnsi" w:hAnsiTheme="majorHAnsi" w:cs="Arial"/>
        </w:rPr>
        <w:t xml:space="preserve">in 1988, </w:t>
      </w:r>
      <w:r w:rsidR="00007635">
        <w:rPr>
          <w:rFonts w:asciiTheme="majorHAnsi" w:hAnsiTheme="majorHAnsi" w:cs="Arial"/>
        </w:rPr>
        <w:t xml:space="preserve">one </w:t>
      </w:r>
      <w:r w:rsidR="009547F1">
        <w:rPr>
          <w:rFonts w:asciiTheme="majorHAnsi" w:hAnsiTheme="majorHAnsi" w:cs="Arial"/>
        </w:rPr>
        <w:t>year before the internet arrived in Australia.</w:t>
      </w:r>
      <w:r w:rsidR="00E00673">
        <w:rPr>
          <w:rStyle w:val="FootnoteReference"/>
          <w:rFonts w:asciiTheme="majorHAnsi" w:hAnsiTheme="majorHAnsi" w:cs="Arial"/>
        </w:rPr>
        <w:footnoteReference w:id="3"/>
      </w:r>
    </w:p>
    <w:p w14:paraId="416A2418" w14:textId="77777777" w:rsidR="003B1410" w:rsidRPr="00A02B5E" w:rsidRDefault="003B1410" w:rsidP="00B27D6D">
      <w:pPr>
        <w:pStyle w:val="BodyText2"/>
        <w:spacing w:before="120" w:after="120"/>
        <w:ind w:left="0"/>
        <w:rPr>
          <w:rFonts w:asciiTheme="majorHAnsi" w:hAnsiTheme="majorHAnsi"/>
        </w:rPr>
      </w:pPr>
      <w:r w:rsidRPr="00A02B5E">
        <w:rPr>
          <w:rFonts w:asciiTheme="majorHAnsi" w:hAnsiTheme="majorHAnsi" w:cs="Arial"/>
        </w:rPr>
        <w:lastRenderedPageBreak/>
        <w:t>Effective restructuring and insolvency laws:</w:t>
      </w:r>
    </w:p>
    <w:p w14:paraId="1FF77447" w14:textId="77777777" w:rsidR="003B1410" w:rsidRPr="00A02B5E" w:rsidRDefault="003B1410" w:rsidP="00B27D6D">
      <w:pPr>
        <w:pStyle w:val="BodyText2"/>
        <w:numPr>
          <w:ilvl w:val="0"/>
          <w:numId w:val="43"/>
        </w:numPr>
        <w:spacing w:before="120" w:after="120"/>
        <w:rPr>
          <w:rFonts w:asciiTheme="majorHAnsi" w:hAnsiTheme="majorHAnsi" w:cs="Arial"/>
        </w:rPr>
      </w:pPr>
      <w:r w:rsidRPr="00A02B5E">
        <w:rPr>
          <w:rFonts w:asciiTheme="majorHAnsi" w:hAnsiTheme="majorHAnsi" w:cs="Arial"/>
        </w:rPr>
        <w:t xml:space="preserve">enhance creditor returns, provide a pathway out of systemic indebtedness, facilitate the quick exit of unproductive firms and free up scarce capital to be invested in dynamic new ventures in a rapidly changing economy; </w:t>
      </w:r>
    </w:p>
    <w:p w14:paraId="73348D2C" w14:textId="77777777" w:rsidR="003B1410" w:rsidRPr="00A02B5E" w:rsidRDefault="003B1410" w:rsidP="00B27D6D">
      <w:pPr>
        <w:pStyle w:val="BodyText2"/>
        <w:numPr>
          <w:ilvl w:val="0"/>
          <w:numId w:val="43"/>
        </w:numPr>
        <w:spacing w:before="120" w:after="120"/>
        <w:rPr>
          <w:rFonts w:asciiTheme="majorHAnsi" w:hAnsiTheme="majorHAnsi" w:cs="Arial"/>
        </w:rPr>
      </w:pPr>
      <w:r w:rsidRPr="00A02B5E">
        <w:rPr>
          <w:rFonts w:asciiTheme="majorHAnsi" w:hAnsiTheme="majorHAnsi" w:cs="Arial"/>
        </w:rPr>
        <w:t>preserve jobs and livelihoods and encourage an entrepreneurial culture where business failure is not stigmatised; and</w:t>
      </w:r>
    </w:p>
    <w:p w14:paraId="4218D8D4" w14:textId="70B89A41" w:rsidR="003B1410" w:rsidRPr="00A02B5E" w:rsidRDefault="003B1410" w:rsidP="00B27D6D">
      <w:pPr>
        <w:pStyle w:val="BodyText2"/>
        <w:numPr>
          <w:ilvl w:val="0"/>
          <w:numId w:val="43"/>
        </w:numPr>
        <w:spacing w:before="120" w:after="120"/>
        <w:rPr>
          <w:rFonts w:asciiTheme="majorHAnsi" w:hAnsiTheme="majorHAnsi" w:cs="Arial"/>
        </w:rPr>
      </w:pPr>
      <w:r>
        <w:rPr>
          <w:rFonts w:asciiTheme="majorHAnsi" w:hAnsiTheme="majorHAnsi" w:cs="Arial"/>
        </w:rPr>
        <w:t xml:space="preserve">result in lower risk premiums and capital costs (in the form of interest rates) for businesses and individuals and increase the supply of credit for enterprises, due to a greater level of assurance among creditors that their rights will be protected and competing claims will be coordinated in a coherent, orderly manner in the event a debtor encounters financial distress. This results in stronger capital flows and investment in the economy in the “good times” as well – leading to expansion, growth, jobs creation, housing supply, and long-term economic and community sustainability.  </w:t>
      </w:r>
    </w:p>
    <w:p w14:paraId="4E4322FE" w14:textId="77777777" w:rsidR="00007635" w:rsidRDefault="003B1410" w:rsidP="003B1410">
      <w:pPr>
        <w:pStyle w:val="BodyText2"/>
        <w:spacing w:before="120" w:after="120"/>
        <w:ind w:left="0"/>
        <w:rPr>
          <w:rFonts w:asciiTheme="majorHAnsi" w:hAnsiTheme="majorHAnsi" w:cs="Arial"/>
        </w:rPr>
      </w:pPr>
      <w:r w:rsidRPr="00A02B5E">
        <w:rPr>
          <w:rFonts w:asciiTheme="majorHAnsi" w:hAnsiTheme="majorHAnsi" w:cs="Arial"/>
        </w:rPr>
        <w:t>Recent empirical research compiled by the World Bank provides meaningful practical evidence of the substantial role that an efficient insolvency system plays in supporting entrepreneurial activity, job creation, productivity and economic growth.</w:t>
      </w:r>
      <w:r w:rsidR="006621E5">
        <w:rPr>
          <w:rStyle w:val="FootnoteReference"/>
          <w:rFonts w:asciiTheme="majorHAnsi" w:hAnsiTheme="majorHAnsi" w:cs="Arial"/>
        </w:rPr>
        <w:footnoteReference w:id="4"/>
      </w:r>
      <w:r w:rsidRPr="00A02B5E">
        <w:rPr>
          <w:rFonts w:asciiTheme="majorHAnsi" w:hAnsiTheme="majorHAnsi" w:cs="Arial"/>
        </w:rPr>
        <w:t xml:space="preserve"> </w:t>
      </w:r>
    </w:p>
    <w:p w14:paraId="00A24C49" w14:textId="77777777" w:rsidR="003B1410" w:rsidRPr="00A02B5E" w:rsidRDefault="003B1410" w:rsidP="003B1410">
      <w:pPr>
        <w:pStyle w:val="BodyText2"/>
        <w:spacing w:before="120" w:after="120"/>
        <w:ind w:left="0"/>
        <w:rPr>
          <w:rFonts w:asciiTheme="majorHAnsi" w:hAnsiTheme="majorHAnsi" w:cs="Arial"/>
        </w:rPr>
      </w:pPr>
      <w:r w:rsidRPr="00A02B5E">
        <w:rPr>
          <w:rFonts w:asciiTheme="majorHAnsi" w:hAnsiTheme="majorHAnsi" w:cs="Arial"/>
        </w:rPr>
        <w:t>According to the World Bank:</w:t>
      </w:r>
    </w:p>
    <w:p w14:paraId="6D55301C" w14:textId="77777777" w:rsidR="003B1410" w:rsidRPr="00A02B5E" w:rsidRDefault="003B1410" w:rsidP="003B1410">
      <w:pPr>
        <w:pStyle w:val="BodyText2"/>
        <w:numPr>
          <w:ilvl w:val="0"/>
          <w:numId w:val="44"/>
        </w:numPr>
        <w:spacing w:before="120" w:after="120"/>
        <w:ind w:left="709" w:hanging="283"/>
        <w:rPr>
          <w:rFonts w:asciiTheme="majorHAnsi" w:hAnsiTheme="majorHAnsi" w:cs="Arial"/>
        </w:rPr>
      </w:pPr>
      <w:r w:rsidRPr="00A02B5E">
        <w:rPr>
          <w:rFonts w:asciiTheme="majorHAnsi" w:hAnsiTheme="majorHAnsi" w:cs="Arial"/>
        </w:rPr>
        <w:t>reforms that reduce the time and costs of insolvency proceedings – such as simplified reorganisation – have increased the likelihood of preserving viable but financially distressed companies, and jobs that would otherwise be lost when a company fails;</w:t>
      </w:r>
    </w:p>
    <w:p w14:paraId="782386B9" w14:textId="77777777" w:rsidR="003B1410" w:rsidRPr="00A02B5E" w:rsidRDefault="003B1410" w:rsidP="003B1410">
      <w:pPr>
        <w:pStyle w:val="BodyText2"/>
        <w:numPr>
          <w:ilvl w:val="0"/>
          <w:numId w:val="44"/>
        </w:numPr>
        <w:spacing w:before="120" w:after="120"/>
        <w:ind w:left="709" w:hanging="283"/>
        <w:rPr>
          <w:rFonts w:asciiTheme="majorHAnsi" w:hAnsiTheme="majorHAnsi" w:cs="Arial"/>
        </w:rPr>
      </w:pPr>
      <w:r w:rsidRPr="00A02B5E">
        <w:rPr>
          <w:rFonts w:asciiTheme="majorHAnsi" w:hAnsiTheme="majorHAnsi" w:cs="Arial"/>
        </w:rPr>
        <w:t xml:space="preserve">reforms in personal insolvency laws that promote the discharge of debts and a fresh start for individual entrepreneurs have increased the average rate of self-employment </w:t>
      </w:r>
      <w:r w:rsidR="00B86F74">
        <w:rPr>
          <w:rFonts w:asciiTheme="majorHAnsi" w:hAnsiTheme="majorHAnsi" w:cs="Arial"/>
        </w:rPr>
        <w:t xml:space="preserve">by </w:t>
      </w:r>
      <w:r w:rsidRPr="00A02B5E">
        <w:rPr>
          <w:rFonts w:asciiTheme="majorHAnsi" w:hAnsiTheme="majorHAnsi" w:cs="Arial"/>
        </w:rPr>
        <w:t>around 3.8%; and</w:t>
      </w:r>
    </w:p>
    <w:p w14:paraId="05F469D0" w14:textId="77777777" w:rsidR="003B1410" w:rsidRPr="00A02B5E" w:rsidRDefault="003B1410" w:rsidP="003B1410">
      <w:pPr>
        <w:pStyle w:val="BodyText2"/>
        <w:numPr>
          <w:ilvl w:val="0"/>
          <w:numId w:val="44"/>
        </w:numPr>
        <w:spacing w:before="120" w:after="120"/>
        <w:ind w:left="709" w:hanging="283"/>
        <w:rPr>
          <w:rFonts w:asciiTheme="majorHAnsi" w:hAnsiTheme="majorHAnsi" w:cs="Arial"/>
        </w:rPr>
      </w:pPr>
      <w:r w:rsidRPr="00A02B5E">
        <w:rPr>
          <w:rFonts w:asciiTheme="majorHAnsi" w:hAnsiTheme="majorHAnsi" w:cs="Arial"/>
        </w:rPr>
        <w:t>evidence from Japan, South Korea and various OECD countries suggests that insolvency reforms which facilitate the exit of inefficient, non-viable companies can lead to productivity growth and encourage investment and new jobs.</w:t>
      </w:r>
      <w:r w:rsidRPr="00A02B5E">
        <w:rPr>
          <w:rStyle w:val="FootnoteReference"/>
          <w:rFonts w:asciiTheme="majorHAnsi" w:hAnsiTheme="majorHAnsi" w:cs="Arial"/>
        </w:rPr>
        <w:footnoteReference w:id="5"/>
      </w:r>
    </w:p>
    <w:p w14:paraId="52640175" w14:textId="77777777" w:rsidR="0016045A" w:rsidRPr="0016045A" w:rsidRDefault="0016045A" w:rsidP="0016045A">
      <w:pPr>
        <w:rPr>
          <w:rFonts w:asciiTheme="majorHAnsi" w:hAnsiTheme="majorHAnsi" w:cs="Arial"/>
        </w:rPr>
      </w:pPr>
      <w:r w:rsidRPr="0016045A">
        <w:rPr>
          <w:rFonts w:asciiTheme="majorHAnsi" w:hAnsiTheme="majorHAnsi" w:cs="Arial"/>
        </w:rPr>
        <w:t>The OECD has released various studies suggesting that inefficient insolvency systems are one of the primary barriers to productivity growth in OECD countries.  This arises because “inefficient firms increasingly linger – as opposed to exit – the market, which can consume scarce resources and crowd-out the growth of more innovative firms” and cause “the misallocation of labour, capital and skills”.</w:t>
      </w:r>
      <w:r w:rsidRPr="00A02B5E">
        <w:rPr>
          <w:rStyle w:val="FootnoteReference"/>
          <w:rFonts w:asciiTheme="majorHAnsi" w:hAnsiTheme="majorHAnsi" w:cs="Arial"/>
        </w:rPr>
        <w:footnoteReference w:id="6"/>
      </w:r>
      <w:r w:rsidRPr="0016045A">
        <w:rPr>
          <w:rFonts w:asciiTheme="majorHAnsi" w:hAnsiTheme="majorHAnsi" w:cs="Arial"/>
        </w:rPr>
        <w:t xml:space="preserve"> </w:t>
      </w:r>
    </w:p>
    <w:p w14:paraId="6198BF91" w14:textId="77777777" w:rsidR="0016045A" w:rsidRPr="0016045A" w:rsidRDefault="0016045A" w:rsidP="0016045A">
      <w:pPr>
        <w:pStyle w:val="ListParagraph"/>
        <w:ind w:left="1069"/>
        <w:rPr>
          <w:rFonts w:asciiTheme="majorHAnsi" w:hAnsiTheme="majorHAnsi" w:cs="Arial"/>
        </w:rPr>
      </w:pPr>
    </w:p>
    <w:p w14:paraId="3BFA0441" w14:textId="77777777" w:rsidR="0016045A" w:rsidRPr="0016045A" w:rsidRDefault="0016045A" w:rsidP="0016045A">
      <w:pPr>
        <w:rPr>
          <w:rFonts w:asciiTheme="majorHAnsi" w:hAnsiTheme="majorHAnsi" w:cs="Arial"/>
        </w:rPr>
      </w:pPr>
      <w:r w:rsidRPr="0016045A">
        <w:rPr>
          <w:rFonts w:asciiTheme="majorHAnsi" w:hAnsiTheme="majorHAnsi" w:cs="Arial"/>
        </w:rPr>
        <w:t>Similarly, a recent working paper published in the Asian Development Bank Economics Working Paper Series provides strong empirical support for the importance of insolvency reforms for economic productivity, using firm-level data from 22 economies over the period 2003 to 2024, finding that insolvency law reform generates productivity increases by reducing capital misallocation.</w:t>
      </w:r>
      <w:r>
        <w:rPr>
          <w:rStyle w:val="FootnoteReference"/>
          <w:rFonts w:asciiTheme="majorHAnsi" w:hAnsiTheme="majorHAnsi" w:cs="Arial"/>
        </w:rPr>
        <w:footnoteReference w:id="7"/>
      </w:r>
    </w:p>
    <w:p w14:paraId="70395FAF" w14:textId="77777777" w:rsidR="003B1410" w:rsidRPr="00B27D6D" w:rsidRDefault="003B1410" w:rsidP="00B27D6D">
      <w:pPr>
        <w:pStyle w:val="BodyText2"/>
        <w:spacing w:before="120" w:after="120"/>
        <w:ind w:left="0"/>
        <w:rPr>
          <w:rFonts w:asciiTheme="majorHAnsi" w:hAnsiTheme="majorHAnsi" w:cs="Arial"/>
        </w:rPr>
      </w:pPr>
      <w:r w:rsidRPr="00A02B5E">
        <w:rPr>
          <w:rFonts w:asciiTheme="majorHAnsi" w:hAnsiTheme="majorHAnsi"/>
        </w:rPr>
        <w:t xml:space="preserve">At a time when Australia’s economy is in deep distress, and businesses and consumers alike are facing sustained </w:t>
      </w:r>
      <w:r w:rsidRPr="00B27D6D">
        <w:rPr>
          <w:rFonts w:asciiTheme="majorHAnsi" w:hAnsiTheme="majorHAnsi" w:cs="Arial"/>
        </w:rPr>
        <w:t>cost of living pressures, economic uncertainty and increasing risks domestically and geopolitically, laws which promote efficient business exit and restructuring outcomes are of the utmost importance.</w:t>
      </w:r>
    </w:p>
    <w:p w14:paraId="6418B907" w14:textId="77777777" w:rsidR="003B1410" w:rsidRPr="00A02B5E" w:rsidRDefault="003B1410" w:rsidP="00B27D6D">
      <w:pPr>
        <w:pStyle w:val="BodyText2"/>
        <w:spacing w:before="120" w:after="120"/>
        <w:ind w:left="0"/>
        <w:rPr>
          <w:rFonts w:asciiTheme="majorHAnsi" w:hAnsiTheme="majorHAnsi" w:cs="Arial"/>
        </w:rPr>
      </w:pPr>
      <w:r w:rsidRPr="00B27D6D">
        <w:rPr>
          <w:rFonts w:asciiTheme="majorHAnsi" w:hAnsiTheme="majorHAnsi" w:cs="Arial"/>
        </w:rPr>
        <w:t xml:space="preserve">Yet, currently, Australia’s restructuring and insolvency laws operate as a barrier to business dynamism and productivity growth. In </w:t>
      </w:r>
      <w:r w:rsidR="00007635" w:rsidRPr="00B27D6D">
        <w:rPr>
          <w:rFonts w:asciiTheme="majorHAnsi" w:hAnsiTheme="majorHAnsi" w:cs="Arial"/>
        </w:rPr>
        <w:t>several</w:t>
      </w:r>
      <w:r w:rsidRPr="00B27D6D">
        <w:rPr>
          <w:rFonts w:asciiTheme="majorHAnsi" w:hAnsiTheme="majorHAnsi" w:cs="Arial"/>
        </w:rPr>
        <w:t xml:space="preserve"> ways, they </w:t>
      </w:r>
      <w:r w:rsidRPr="00A02B5E">
        <w:rPr>
          <w:rFonts w:asciiTheme="majorHAnsi" w:hAnsiTheme="majorHAnsi" w:cs="Arial"/>
        </w:rPr>
        <w:t xml:space="preserve">fail to meet the core objectives of a best practice insolvency system to allow unviable entities to enter a simple, cost-effective and quick liquidation </w:t>
      </w:r>
      <w:r w:rsidRPr="00A02B5E">
        <w:rPr>
          <w:rFonts w:asciiTheme="majorHAnsi" w:hAnsiTheme="majorHAnsi" w:cs="Arial"/>
        </w:rPr>
        <w:lastRenderedPageBreak/>
        <w:t>process, while giving viable entities the maximum chance possible to effectively restructure their affairs.</w:t>
      </w:r>
    </w:p>
    <w:p w14:paraId="237F3682" w14:textId="77777777" w:rsidR="003B1410" w:rsidRPr="00A02B5E" w:rsidRDefault="003B1410" w:rsidP="00B27D6D">
      <w:pPr>
        <w:pStyle w:val="BodyText2"/>
        <w:spacing w:before="120" w:after="120"/>
        <w:ind w:left="0"/>
        <w:rPr>
          <w:rFonts w:asciiTheme="majorHAnsi" w:hAnsiTheme="majorHAnsi" w:cs="Arial"/>
        </w:rPr>
      </w:pPr>
      <w:r w:rsidRPr="00A02B5E">
        <w:rPr>
          <w:rFonts w:asciiTheme="majorHAnsi" w:hAnsiTheme="majorHAnsi" w:cs="Arial"/>
        </w:rPr>
        <w:t xml:space="preserve">Some of the key weaknesses and limitations are addressed in </w:t>
      </w:r>
      <w:r w:rsidR="00A03E98">
        <w:rPr>
          <w:rFonts w:asciiTheme="majorHAnsi" w:hAnsiTheme="majorHAnsi" w:cs="Arial"/>
        </w:rPr>
        <w:t>more</w:t>
      </w:r>
      <w:r w:rsidRPr="00A02B5E">
        <w:rPr>
          <w:rFonts w:asciiTheme="majorHAnsi" w:hAnsiTheme="majorHAnsi" w:cs="Arial"/>
        </w:rPr>
        <w:t xml:space="preserve"> detail in the balance of this submission.</w:t>
      </w:r>
    </w:p>
    <w:p w14:paraId="625AE175" w14:textId="77777777" w:rsidR="00842AAE" w:rsidRPr="00A02B5E" w:rsidRDefault="009A7B59" w:rsidP="009A7B59">
      <w:pPr>
        <w:pStyle w:val="Heading1"/>
        <w:rPr>
          <w:rFonts w:asciiTheme="majorHAnsi" w:hAnsiTheme="majorHAnsi"/>
        </w:rPr>
      </w:pPr>
      <w:r w:rsidRPr="00A02B5E">
        <w:rPr>
          <w:rFonts w:asciiTheme="majorHAnsi" w:hAnsiTheme="majorHAnsi"/>
        </w:rPr>
        <w:t>The Principles and Objectives that underpin Australia’s insolvency frameworks and the extent to which they support outcomes for people and businesses, and enable economic growth</w:t>
      </w:r>
    </w:p>
    <w:p w14:paraId="5388233D" w14:textId="77777777" w:rsidR="000F072B" w:rsidRPr="00A02B5E" w:rsidRDefault="000F072B" w:rsidP="00E520E6">
      <w:pPr>
        <w:rPr>
          <w:rFonts w:asciiTheme="majorHAnsi" w:hAnsiTheme="majorHAnsi"/>
        </w:rPr>
      </w:pPr>
    </w:p>
    <w:p w14:paraId="28BCBDEB" w14:textId="77777777" w:rsidR="00EC5E42" w:rsidRPr="00A02B5E" w:rsidRDefault="00EC5E42" w:rsidP="00E520E6">
      <w:pPr>
        <w:rPr>
          <w:rFonts w:asciiTheme="majorHAnsi" w:hAnsiTheme="majorHAnsi"/>
          <w:b/>
          <w:bCs/>
          <w:u w:val="single"/>
        </w:rPr>
      </w:pPr>
      <w:r w:rsidRPr="00A02B5E">
        <w:rPr>
          <w:rFonts w:asciiTheme="majorHAnsi" w:hAnsiTheme="majorHAnsi"/>
          <w:b/>
          <w:bCs/>
          <w:u w:val="single"/>
        </w:rPr>
        <w:t>What are the principles</w:t>
      </w:r>
      <w:r w:rsidR="00EF485C">
        <w:rPr>
          <w:rFonts w:asciiTheme="majorHAnsi" w:hAnsiTheme="majorHAnsi"/>
          <w:b/>
          <w:bCs/>
          <w:u w:val="single"/>
        </w:rPr>
        <w:t xml:space="preserve"> and objectives</w:t>
      </w:r>
      <w:r w:rsidRPr="00A02B5E">
        <w:rPr>
          <w:rFonts w:asciiTheme="majorHAnsi" w:hAnsiTheme="majorHAnsi"/>
          <w:b/>
          <w:bCs/>
          <w:u w:val="single"/>
        </w:rPr>
        <w:t xml:space="preserve"> of Australia’s insolvency law? </w:t>
      </w:r>
      <w:r w:rsidRPr="00A02B5E">
        <w:rPr>
          <w:rFonts w:asciiTheme="majorHAnsi" w:hAnsiTheme="majorHAnsi"/>
          <w:b/>
          <w:bCs/>
          <w:u w:val="single"/>
        </w:rPr>
        <w:br/>
      </w:r>
    </w:p>
    <w:p w14:paraId="6BCEA348" w14:textId="77777777" w:rsidR="00CE3A0D" w:rsidRPr="00A02B5E" w:rsidRDefault="00154D45" w:rsidP="00E520E6">
      <w:pPr>
        <w:rPr>
          <w:rFonts w:asciiTheme="majorHAnsi" w:hAnsiTheme="majorHAnsi"/>
        </w:rPr>
      </w:pPr>
      <w:r w:rsidRPr="00A02B5E">
        <w:rPr>
          <w:rFonts w:asciiTheme="majorHAnsi" w:hAnsiTheme="majorHAnsi"/>
        </w:rPr>
        <w:t xml:space="preserve">A bystander to our legal system would be forgiven for not being able to </w:t>
      </w:r>
      <w:r w:rsidR="00F74314">
        <w:rPr>
          <w:rFonts w:asciiTheme="majorHAnsi" w:hAnsiTheme="majorHAnsi"/>
        </w:rPr>
        <w:t>answer this question</w:t>
      </w:r>
      <w:r w:rsidRPr="00A02B5E">
        <w:rPr>
          <w:rFonts w:asciiTheme="majorHAnsi" w:hAnsiTheme="majorHAnsi"/>
        </w:rPr>
        <w:t xml:space="preserve">. </w:t>
      </w:r>
      <w:r w:rsidR="007751E4" w:rsidRPr="00A02B5E">
        <w:rPr>
          <w:rFonts w:asciiTheme="majorHAnsi" w:hAnsiTheme="majorHAnsi"/>
        </w:rPr>
        <w:t xml:space="preserve">The </w:t>
      </w:r>
      <w:r w:rsidR="000F072B" w:rsidRPr="00A02B5E">
        <w:rPr>
          <w:rFonts w:asciiTheme="majorHAnsi" w:hAnsiTheme="majorHAnsi"/>
        </w:rPr>
        <w:t>principles and objectives underpinning</w:t>
      </w:r>
      <w:r w:rsidR="00007635">
        <w:rPr>
          <w:rFonts w:asciiTheme="majorHAnsi" w:hAnsiTheme="majorHAnsi"/>
        </w:rPr>
        <w:t xml:space="preserve"> the</w:t>
      </w:r>
      <w:r w:rsidR="000F072B" w:rsidRPr="00A02B5E">
        <w:rPr>
          <w:rFonts w:asciiTheme="majorHAnsi" w:hAnsiTheme="majorHAnsi"/>
        </w:rPr>
        <w:t xml:space="preserve"> Australia</w:t>
      </w:r>
      <w:r w:rsidR="00007635">
        <w:rPr>
          <w:rFonts w:asciiTheme="majorHAnsi" w:hAnsiTheme="majorHAnsi"/>
        </w:rPr>
        <w:t>n</w:t>
      </w:r>
      <w:r w:rsidR="000F072B" w:rsidRPr="00A02B5E">
        <w:rPr>
          <w:rFonts w:asciiTheme="majorHAnsi" w:hAnsiTheme="majorHAnsi"/>
        </w:rPr>
        <w:t xml:space="preserve"> corporate insolvency system are</w:t>
      </w:r>
      <w:r w:rsidR="00F85C2F" w:rsidRPr="00A02B5E">
        <w:rPr>
          <w:rFonts w:asciiTheme="majorHAnsi" w:hAnsiTheme="majorHAnsi"/>
        </w:rPr>
        <w:t xml:space="preserve"> </w:t>
      </w:r>
      <w:r w:rsidR="007056C3" w:rsidRPr="00A02B5E">
        <w:rPr>
          <w:rFonts w:asciiTheme="majorHAnsi" w:hAnsiTheme="majorHAnsi"/>
        </w:rPr>
        <w:t xml:space="preserve">articulated in the </w:t>
      </w:r>
      <w:r w:rsidR="007056C3" w:rsidRPr="00B27D6D">
        <w:rPr>
          <w:rFonts w:asciiTheme="majorHAnsi" w:hAnsiTheme="majorHAnsi"/>
          <w:i/>
          <w:iCs/>
        </w:rPr>
        <w:t>Corporations Act</w:t>
      </w:r>
      <w:r w:rsidR="007056C3" w:rsidRPr="00A02B5E">
        <w:rPr>
          <w:rFonts w:asciiTheme="majorHAnsi" w:hAnsiTheme="majorHAnsi"/>
        </w:rPr>
        <w:t xml:space="preserve"> in an </w:t>
      </w:r>
      <w:r w:rsidR="00AB226C" w:rsidRPr="00A02B5E">
        <w:rPr>
          <w:rFonts w:asciiTheme="majorHAnsi" w:hAnsiTheme="majorHAnsi"/>
        </w:rPr>
        <w:t>incomplete and piecemeal</w:t>
      </w:r>
      <w:r w:rsidR="007056C3" w:rsidRPr="00A02B5E">
        <w:rPr>
          <w:rFonts w:asciiTheme="majorHAnsi" w:hAnsiTheme="majorHAnsi"/>
        </w:rPr>
        <w:t xml:space="preserve"> manner</w:t>
      </w:r>
      <w:r w:rsidR="00AB226C" w:rsidRPr="00A02B5E">
        <w:rPr>
          <w:rFonts w:asciiTheme="majorHAnsi" w:hAnsiTheme="majorHAnsi"/>
        </w:rPr>
        <w:t xml:space="preserve">: </w:t>
      </w:r>
    </w:p>
    <w:p w14:paraId="715AE2DC" w14:textId="77777777" w:rsidR="00CE3A0D" w:rsidRPr="00A02B5E" w:rsidRDefault="00CE3A0D" w:rsidP="000F072B">
      <w:pPr>
        <w:pStyle w:val="ListParagraph"/>
        <w:rPr>
          <w:rFonts w:asciiTheme="majorHAnsi" w:hAnsiTheme="majorHAnsi"/>
        </w:rPr>
      </w:pPr>
    </w:p>
    <w:p w14:paraId="46BE0CBB" w14:textId="77777777" w:rsidR="00467A2D" w:rsidRPr="00A02B5E" w:rsidRDefault="00467A2D" w:rsidP="00467A2D">
      <w:pPr>
        <w:pStyle w:val="ListParagraph"/>
        <w:numPr>
          <w:ilvl w:val="0"/>
          <w:numId w:val="18"/>
        </w:numPr>
        <w:rPr>
          <w:rFonts w:asciiTheme="majorHAnsi" w:hAnsiTheme="majorHAnsi"/>
        </w:rPr>
      </w:pPr>
      <w:r w:rsidRPr="00A02B5E">
        <w:rPr>
          <w:rFonts w:asciiTheme="majorHAnsi" w:hAnsiTheme="majorHAnsi"/>
        </w:rPr>
        <w:t xml:space="preserve">There is no general statement of the objectives of the insolvency </w:t>
      </w:r>
      <w:proofErr w:type="gramStart"/>
      <w:r w:rsidRPr="00A02B5E">
        <w:rPr>
          <w:rFonts w:asciiTheme="majorHAnsi" w:hAnsiTheme="majorHAnsi"/>
        </w:rPr>
        <w:t>law as a whole</w:t>
      </w:r>
      <w:proofErr w:type="gramEnd"/>
      <w:r w:rsidRPr="00A02B5E">
        <w:rPr>
          <w:rFonts w:asciiTheme="majorHAnsi" w:hAnsiTheme="majorHAnsi"/>
        </w:rPr>
        <w:t xml:space="preserve">. </w:t>
      </w:r>
    </w:p>
    <w:p w14:paraId="03FB30B0" w14:textId="77777777" w:rsidR="00467A2D" w:rsidRPr="00A02B5E" w:rsidRDefault="00467A2D" w:rsidP="00467A2D">
      <w:pPr>
        <w:pStyle w:val="ListParagraph"/>
        <w:ind w:left="1080"/>
        <w:rPr>
          <w:rFonts w:asciiTheme="majorHAnsi" w:hAnsiTheme="majorHAnsi"/>
        </w:rPr>
      </w:pPr>
    </w:p>
    <w:p w14:paraId="56877FBE" w14:textId="77777777" w:rsidR="00CE3A0D" w:rsidRPr="00A02B5E" w:rsidRDefault="00CE3A0D" w:rsidP="00CE3A0D">
      <w:pPr>
        <w:pStyle w:val="ListParagraph"/>
        <w:numPr>
          <w:ilvl w:val="0"/>
          <w:numId w:val="18"/>
        </w:numPr>
        <w:rPr>
          <w:rFonts w:asciiTheme="majorHAnsi" w:hAnsiTheme="majorHAnsi"/>
        </w:rPr>
      </w:pPr>
      <w:r w:rsidRPr="00A02B5E">
        <w:rPr>
          <w:rFonts w:asciiTheme="majorHAnsi" w:hAnsiTheme="majorHAnsi"/>
        </w:rPr>
        <w:t xml:space="preserve">The objectives of the </w:t>
      </w:r>
      <w:r w:rsidR="00F221FD">
        <w:rPr>
          <w:rFonts w:asciiTheme="majorHAnsi" w:hAnsiTheme="majorHAnsi"/>
        </w:rPr>
        <w:t>v</w:t>
      </w:r>
      <w:r w:rsidR="00E92875" w:rsidRPr="00A02B5E">
        <w:rPr>
          <w:rFonts w:asciiTheme="majorHAnsi" w:hAnsiTheme="majorHAnsi"/>
        </w:rPr>
        <w:t xml:space="preserve">oluntary </w:t>
      </w:r>
      <w:r w:rsidR="00F221FD">
        <w:rPr>
          <w:rFonts w:asciiTheme="majorHAnsi" w:hAnsiTheme="majorHAnsi"/>
        </w:rPr>
        <w:t>a</w:t>
      </w:r>
      <w:r w:rsidR="00E92875" w:rsidRPr="00A02B5E">
        <w:rPr>
          <w:rFonts w:asciiTheme="majorHAnsi" w:hAnsiTheme="majorHAnsi"/>
        </w:rPr>
        <w:t xml:space="preserve">dministration </w:t>
      </w:r>
      <w:r w:rsidRPr="00A02B5E">
        <w:rPr>
          <w:rFonts w:asciiTheme="majorHAnsi" w:hAnsiTheme="majorHAnsi"/>
        </w:rPr>
        <w:t xml:space="preserve">framework are </w:t>
      </w:r>
      <w:r w:rsidR="00713819">
        <w:rPr>
          <w:rFonts w:asciiTheme="majorHAnsi" w:hAnsiTheme="majorHAnsi"/>
        </w:rPr>
        <w:t>described</w:t>
      </w:r>
      <w:r w:rsidRPr="00A02B5E">
        <w:rPr>
          <w:rFonts w:asciiTheme="majorHAnsi" w:hAnsiTheme="majorHAnsi"/>
        </w:rPr>
        <w:t xml:space="preserve"> as being to </w:t>
      </w:r>
      <w:r w:rsidR="00E92875" w:rsidRPr="00A02B5E">
        <w:rPr>
          <w:rFonts w:asciiTheme="majorHAnsi" w:hAnsiTheme="majorHAnsi"/>
        </w:rPr>
        <w:t>maximise the chances of the company or parts thereof continuing in existence, or, if that’s not possible, achieving an outcome with better results for creditors and members than an immediate winding up.</w:t>
      </w:r>
      <w:r w:rsidR="00E92875" w:rsidRPr="00A02B5E">
        <w:rPr>
          <w:rStyle w:val="FootnoteReference"/>
          <w:rFonts w:asciiTheme="majorHAnsi" w:hAnsiTheme="majorHAnsi"/>
        </w:rPr>
        <w:footnoteReference w:id="8"/>
      </w:r>
      <w:r w:rsidR="00E92875" w:rsidRPr="00A02B5E">
        <w:rPr>
          <w:rFonts w:asciiTheme="majorHAnsi" w:hAnsiTheme="majorHAnsi"/>
        </w:rPr>
        <w:t xml:space="preserve"> </w:t>
      </w:r>
      <w:r w:rsidR="00A24178" w:rsidRPr="00A02B5E">
        <w:rPr>
          <w:rFonts w:asciiTheme="majorHAnsi" w:hAnsiTheme="majorHAnsi"/>
        </w:rPr>
        <w:br/>
      </w:r>
    </w:p>
    <w:p w14:paraId="273C7185" w14:textId="77777777" w:rsidR="00673A4F" w:rsidRPr="00A02B5E" w:rsidRDefault="00C177DD" w:rsidP="00CE3A0D">
      <w:pPr>
        <w:pStyle w:val="ListParagraph"/>
        <w:numPr>
          <w:ilvl w:val="0"/>
          <w:numId w:val="18"/>
        </w:numPr>
        <w:rPr>
          <w:rFonts w:asciiTheme="majorHAnsi" w:hAnsiTheme="majorHAnsi"/>
        </w:rPr>
      </w:pPr>
      <w:r w:rsidRPr="00A02B5E">
        <w:rPr>
          <w:rFonts w:asciiTheme="majorHAnsi" w:hAnsiTheme="majorHAnsi"/>
        </w:rPr>
        <w:t xml:space="preserve">The objectives of the </w:t>
      </w:r>
      <w:r w:rsidR="009F2184">
        <w:rPr>
          <w:rFonts w:asciiTheme="majorHAnsi" w:hAnsiTheme="majorHAnsi"/>
        </w:rPr>
        <w:t>s</w:t>
      </w:r>
      <w:r w:rsidRPr="00A02B5E">
        <w:rPr>
          <w:rFonts w:asciiTheme="majorHAnsi" w:hAnsiTheme="majorHAnsi"/>
        </w:rPr>
        <w:t xml:space="preserve">mall </w:t>
      </w:r>
      <w:r w:rsidR="009F2184">
        <w:rPr>
          <w:rFonts w:asciiTheme="majorHAnsi" w:hAnsiTheme="majorHAnsi"/>
        </w:rPr>
        <w:t>b</w:t>
      </w:r>
      <w:r w:rsidRPr="00A02B5E">
        <w:rPr>
          <w:rFonts w:asciiTheme="majorHAnsi" w:hAnsiTheme="majorHAnsi"/>
        </w:rPr>
        <w:t xml:space="preserve">usiness </w:t>
      </w:r>
      <w:r w:rsidR="009F2184">
        <w:rPr>
          <w:rFonts w:asciiTheme="majorHAnsi" w:hAnsiTheme="majorHAnsi"/>
        </w:rPr>
        <w:t>r</w:t>
      </w:r>
      <w:r w:rsidRPr="00A02B5E">
        <w:rPr>
          <w:rFonts w:asciiTheme="majorHAnsi" w:hAnsiTheme="majorHAnsi"/>
        </w:rPr>
        <w:t>estructuring framework are</w:t>
      </w:r>
      <w:r w:rsidR="00556B2F">
        <w:rPr>
          <w:rFonts w:asciiTheme="majorHAnsi" w:hAnsiTheme="majorHAnsi"/>
        </w:rPr>
        <w:t xml:space="preserve"> described as being</w:t>
      </w:r>
      <w:r w:rsidRPr="00A02B5E">
        <w:rPr>
          <w:rFonts w:asciiTheme="majorHAnsi" w:hAnsiTheme="majorHAnsi"/>
        </w:rPr>
        <w:t xml:space="preserve"> to provide a restructuring framework to allow eligible companies to retain control of their business while developing a plan to restructure it with assistance of a </w:t>
      </w:r>
      <w:r w:rsidR="00CE3A0D" w:rsidRPr="00A02B5E">
        <w:rPr>
          <w:rFonts w:asciiTheme="majorHAnsi" w:hAnsiTheme="majorHAnsi"/>
        </w:rPr>
        <w:t>small</w:t>
      </w:r>
      <w:r w:rsidRPr="00A02B5E">
        <w:rPr>
          <w:rFonts w:asciiTheme="majorHAnsi" w:hAnsiTheme="majorHAnsi"/>
        </w:rPr>
        <w:t xml:space="preserve"> business practitioner, and to </w:t>
      </w:r>
      <w:proofErr w:type="gramStart"/>
      <w:r w:rsidRPr="00A02B5E">
        <w:rPr>
          <w:rFonts w:asciiTheme="majorHAnsi" w:hAnsiTheme="majorHAnsi"/>
        </w:rPr>
        <w:t>enter into</w:t>
      </w:r>
      <w:proofErr w:type="gramEnd"/>
      <w:r w:rsidRPr="00A02B5E">
        <w:rPr>
          <w:rFonts w:asciiTheme="majorHAnsi" w:hAnsiTheme="majorHAnsi"/>
        </w:rPr>
        <w:t xml:space="preserve"> a restructuring plan with creditors.</w:t>
      </w:r>
      <w:r w:rsidR="00CE3A0D" w:rsidRPr="00A02B5E">
        <w:rPr>
          <w:rStyle w:val="FootnoteReference"/>
          <w:rFonts w:asciiTheme="majorHAnsi" w:hAnsiTheme="majorHAnsi"/>
        </w:rPr>
        <w:footnoteReference w:id="9"/>
      </w:r>
      <w:r w:rsidRPr="00A02B5E">
        <w:rPr>
          <w:rFonts w:asciiTheme="majorHAnsi" w:hAnsiTheme="majorHAnsi"/>
        </w:rPr>
        <w:t xml:space="preserve"> </w:t>
      </w:r>
      <w:r w:rsidR="00673A4F" w:rsidRPr="00A02B5E">
        <w:rPr>
          <w:rFonts w:asciiTheme="majorHAnsi" w:hAnsiTheme="majorHAnsi"/>
        </w:rPr>
        <w:br/>
      </w:r>
    </w:p>
    <w:p w14:paraId="54DBB875" w14:textId="77777777" w:rsidR="00673A4F" w:rsidRPr="00A02B5E" w:rsidRDefault="00E92875" w:rsidP="00673A4F">
      <w:pPr>
        <w:pStyle w:val="ListParagraph"/>
        <w:numPr>
          <w:ilvl w:val="0"/>
          <w:numId w:val="18"/>
        </w:numPr>
        <w:rPr>
          <w:rFonts w:asciiTheme="majorHAnsi" w:hAnsiTheme="majorHAnsi"/>
        </w:rPr>
      </w:pPr>
      <w:r w:rsidRPr="00A02B5E">
        <w:rPr>
          <w:rFonts w:asciiTheme="majorHAnsi" w:hAnsiTheme="majorHAnsi"/>
        </w:rPr>
        <w:t>Liquidation</w:t>
      </w:r>
      <w:r w:rsidR="007C15F0" w:rsidRPr="00A02B5E">
        <w:rPr>
          <w:rFonts w:asciiTheme="majorHAnsi" w:hAnsiTheme="majorHAnsi"/>
        </w:rPr>
        <w:t>, schemes of arrangement and receivership</w:t>
      </w:r>
      <w:r w:rsidRPr="00A02B5E">
        <w:rPr>
          <w:rFonts w:asciiTheme="majorHAnsi" w:hAnsiTheme="majorHAnsi"/>
        </w:rPr>
        <w:t xml:space="preserve"> ha</w:t>
      </w:r>
      <w:r w:rsidR="007C15F0" w:rsidRPr="00A02B5E">
        <w:rPr>
          <w:rFonts w:asciiTheme="majorHAnsi" w:hAnsiTheme="majorHAnsi"/>
        </w:rPr>
        <w:t>ve</w:t>
      </w:r>
      <w:r w:rsidRPr="00A02B5E">
        <w:rPr>
          <w:rFonts w:asciiTheme="majorHAnsi" w:hAnsiTheme="majorHAnsi"/>
        </w:rPr>
        <w:t xml:space="preserve"> no </w:t>
      </w:r>
      <w:r w:rsidR="00673A4F" w:rsidRPr="00A02B5E">
        <w:rPr>
          <w:rFonts w:asciiTheme="majorHAnsi" w:hAnsiTheme="majorHAnsi"/>
        </w:rPr>
        <w:t>stated objectives</w:t>
      </w:r>
      <w:r w:rsidRPr="00A02B5E">
        <w:rPr>
          <w:rFonts w:asciiTheme="majorHAnsi" w:hAnsiTheme="majorHAnsi"/>
        </w:rPr>
        <w:t>.</w:t>
      </w:r>
      <w:r w:rsidR="001663B8" w:rsidRPr="00A02B5E">
        <w:rPr>
          <w:rFonts w:asciiTheme="majorHAnsi" w:hAnsiTheme="majorHAnsi"/>
        </w:rPr>
        <w:t xml:space="preserve"> </w:t>
      </w:r>
    </w:p>
    <w:p w14:paraId="0C4042BD" w14:textId="77777777" w:rsidR="00AB3C56" w:rsidRPr="00A02B5E" w:rsidRDefault="00AB3C56" w:rsidP="00AB3C56">
      <w:pPr>
        <w:pStyle w:val="ListParagraph"/>
        <w:ind w:left="1080"/>
        <w:rPr>
          <w:rFonts w:asciiTheme="majorHAnsi" w:hAnsiTheme="majorHAnsi"/>
        </w:rPr>
      </w:pPr>
    </w:p>
    <w:p w14:paraId="184D0529" w14:textId="285B859E" w:rsidR="00A66C3C" w:rsidRPr="00A02B5E" w:rsidRDefault="00E666AD" w:rsidP="00FB65B1">
      <w:pPr>
        <w:rPr>
          <w:rFonts w:asciiTheme="majorHAnsi" w:hAnsiTheme="majorHAnsi"/>
        </w:rPr>
      </w:pPr>
      <w:r w:rsidRPr="00A02B5E">
        <w:rPr>
          <w:rFonts w:asciiTheme="majorHAnsi" w:hAnsiTheme="majorHAnsi"/>
        </w:rPr>
        <w:t>The question of what ought to be the proper objectives of our insolvency system is too broad to answer in this submission.</w:t>
      </w:r>
      <w:r w:rsidR="006609AE">
        <w:rPr>
          <w:rFonts w:asciiTheme="majorHAnsi" w:hAnsiTheme="majorHAnsi"/>
        </w:rPr>
        <w:t xml:space="preserve"> </w:t>
      </w:r>
      <w:r w:rsidR="009800AC">
        <w:rPr>
          <w:rFonts w:asciiTheme="majorHAnsi" w:hAnsiTheme="majorHAnsi"/>
        </w:rPr>
        <w:t>It</w:t>
      </w:r>
      <w:r w:rsidR="006609AE">
        <w:rPr>
          <w:rFonts w:asciiTheme="majorHAnsi" w:hAnsiTheme="majorHAnsi"/>
        </w:rPr>
        <w:t xml:space="preserve"> </w:t>
      </w:r>
      <w:r w:rsidR="00844D01">
        <w:rPr>
          <w:rFonts w:asciiTheme="majorHAnsi" w:hAnsiTheme="majorHAnsi"/>
        </w:rPr>
        <w:t>was</w:t>
      </w:r>
      <w:r w:rsidR="006609AE">
        <w:rPr>
          <w:rFonts w:asciiTheme="majorHAnsi" w:hAnsiTheme="majorHAnsi"/>
        </w:rPr>
        <w:t xml:space="preserve"> considered in depth</w:t>
      </w:r>
      <w:r w:rsidR="00CC1613">
        <w:rPr>
          <w:rFonts w:asciiTheme="majorHAnsi" w:hAnsiTheme="majorHAnsi"/>
        </w:rPr>
        <w:t xml:space="preserve"> </w:t>
      </w:r>
      <w:r w:rsidR="00844D01">
        <w:rPr>
          <w:rFonts w:asciiTheme="majorHAnsi" w:hAnsiTheme="majorHAnsi"/>
        </w:rPr>
        <w:t xml:space="preserve">by </w:t>
      </w:r>
      <w:r>
        <w:rPr>
          <w:rFonts w:asciiTheme="majorHAnsi" w:hAnsiTheme="majorHAnsi"/>
        </w:rPr>
        <w:t xml:space="preserve">the Parliamentary Joint Committee on Corporations and Financial Services in its 2023 report on </w:t>
      </w:r>
      <w:r w:rsidR="00CC1613">
        <w:rPr>
          <w:rFonts w:asciiTheme="majorHAnsi" w:hAnsiTheme="majorHAnsi"/>
        </w:rPr>
        <w:t>Corporate</w:t>
      </w:r>
      <w:r>
        <w:rPr>
          <w:rFonts w:asciiTheme="majorHAnsi" w:hAnsiTheme="majorHAnsi"/>
        </w:rPr>
        <w:t xml:space="preserve"> Insolvency in Australia</w:t>
      </w:r>
      <w:r w:rsidR="00557602">
        <w:rPr>
          <w:rFonts w:asciiTheme="majorHAnsi" w:hAnsiTheme="majorHAnsi"/>
        </w:rPr>
        <w:t xml:space="preserve"> (</w:t>
      </w:r>
      <w:r w:rsidR="00557602">
        <w:rPr>
          <w:rFonts w:asciiTheme="majorHAnsi" w:hAnsiTheme="majorHAnsi"/>
          <w:b/>
          <w:bCs/>
        </w:rPr>
        <w:t>2023 insolvency review</w:t>
      </w:r>
      <w:r w:rsidR="00557602">
        <w:rPr>
          <w:rFonts w:asciiTheme="majorHAnsi" w:hAnsiTheme="majorHAnsi"/>
        </w:rPr>
        <w:t>)</w:t>
      </w:r>
      <w:r w:rsidR="00CC1613">
        <w:rPr>
          <w:rFonts w:asciiTheme="majorHAnsi" w:hAnsiTheme="majorHAnsi"/>
        </w:rPr>
        <w:t>.</w:t>
      </w:r>
      <w:r w:rsidR="00CC1613">
        <w:rPr>
          <w:rStyle w:val="FootnoteReference"/>
          <w:rFonts w:asciiTheme="majorHAnsi" w:hAnsiTheme="majorHAnsi"/>
        </w:rPr>
        <w:footnoteReference w:id="10"/>
      </w:r>
      <w:r w:rsidR="00CC1613">
        <w:rPr>
          <w:rFonts w:asciiTheme="majorHAnsi" w:hAnsiTheme="majorHAnsi"/>
        </w:rPr>
        <w:t xml:space="preserve"> </w:t>
      </w:r>
      <w:r w:rsidR="00E422B3" w:rsidRPr="00A02B5E">
        <w:rPr>
          <w:rFonts w:asciiTheme="majorHAnsi" w:hAnsiTheme="majorHAnsi"/>
        </w:rPr>
        <w:t xml:space="preserve">Noting the Productivity Commission’s focus on productivity, we confine ourselves in the </w:t>
      </w:r>
      <w:r w:rsidR="00B91470" w:rsidRPr="00A02B5E">
        <w:rPr>
          <w:rFonts w:asciiTheme="majorHAnsi" w:hAnsiTheme="majorHAnsi"/>
        </w:rPr>
        <w:t xml:space="preserve">following section </w:t>
      </w:r>
      <w:r w:rsidR="00E422B3" w:rsidRPr="00A02B5E">
        <w:rPr>
          <w:rFonts w:asciiTheme="majorHAnsi" w:hAnsiTheme="majorHAnsi"/>
        </w:rPr>
        <w:t xml:space="preserve">to some </w:t>
      </w:r>
      <w:r w:rsidR="00074D14" w:rsidRPr="00A02B5E">
        <w:rPr>
          <w:rFonts w:asciiTheme="majorHAnsi" w:hAnsiTheme="majorHAnsi"/>
        </w:rPr>
        <w:t>limited</w:t>
      </w:r>
      <w:r w:rsidR="00B91470" w:rsidRPr="00A02B5E">
        <w:rPr>
          <w:rFonts w:asciiTheme="majorHAnsi" w:hAnsiTheme="majorHAnsi"/>
        </w:rPr>
        <w:t xml:space="preserve"> suggestions </w:t>
      </w:r>
      <w:r w:rsidR="00E422B3" w:rsidRPr="00A02B5E">
        <w:rPr>
          <w:rFonts w:asciiTheme="majorHAnsi" w:hAnsiTheme="majorHAnsi"/>
        </w:rPr>
        <w:t xml:space="preserve">on that theme. </w:t>
      </w:r>
    </w:p>
    <w:p w14:paraId="5DCBA7B8" w14:textId="77777777" w:rsidR="000E139A" w:rsidRPr="00A02B5E" w:rsidRDefault="000E139A" w:rsidP="00FB65B1">
      <w:pPr>
        <w:rPr>
          <w:rFonts w:asciiTheme="majorHAnsi" w:hAnsiTheme="majorHAnsi"/>
        </w:rPr>
      </w:pPr>
    </w:p>
    <w:p w14:paraId="68EE3607" w14:textId="77777777" w:rsidR="0084618F" w:rsidRPr="00A02B5E" w:rsidRDefault="00D41B05" w:rsidP="00E50FA1">
      <w:pPr>
        <w:rPr>
          <w:rFonts w:asciiTheme="majorHAnsi" w:hAnsiTheme="majorHAnsi"/>
        </w:rPr>
      </w:pPr>
      <w:r w:rsidRPr="00A02B5E">
        <w:rPr>
          <w:rFonts w:asciiTheme="majorHAnsi" w:hAnsiTheme="majorHAnsi"/>
          <w:b/>
          <w:bCs/>
          <w:u w:val="single"/>
        </w:rPr>
        <w:t xml:space="preserve">Putting economics </w:t>
      </w:r>
      <w:r w:rsidR="006B2282">
        <w:rPr>
          <w:rFonts w:asciiTheme="majorHAnsi" w:hAnsiTheme="majorHAnsi"/>
          <w:b/>
          <w:bCs/>
          <w:u w:val="single"/>
        </w:rPr>
        <w:t xml:space="preserve">at </w:t>
      </w:r>
      <w:r w:rsidRPr="00A02B5E">
        <w:rPr>
          <w:rFonts w:asciiTheme="majorHAnsi" w:hAnsiTheme="majorHAnsi"/>
          <w:b/>
          <w:bCs/>
          <w:u w:val="single"/>
        </w:rPr>
        <w:t xml:space="preserve">the centre of </w:t>
      </w:r>
      <w:r w:rsidR="0033483C">
        <w:rPr>
          <w:rFonts w:asciiTheme="majorHAnsi" w:hAnsiTheme="majorHAnsi"/>
          <w:b/>
          <w:bCs/>
          <w:u w:val="single"/>
        </w:rPr>
        <w:t xml:space="preserve">insolvency </w:t>
      </w:r>
      <w:r w:rsidRPr="00A02B5E">
        <w:rPr>
          <w:rFonts w:asciiTheme="majorHAnsi" w:hAnsiTheme="majorHAnsi"/>
          <w:b/>
          <w:bCs/>
          <w:u w:val="single"/>
        </w:rPr>
        <w:t>law’s objectives</w:t>
      </w:r>
    </w:p>
    <w:p w14:paraId="159B91DF" w14:textId="77777777" w:rsidR="0084618F" w:rsidRPr="00A02B5E" w:rsidRDefault="0084618F" w:rsidP="00E50FA1">
      <w:pPr>
        <w:rPr>
          <w:rFonts w:asciiTheme="majorHAnsi" w:hAnsiTheme="majorHAnsi"/>
          <w:b/>
          <w:bCs/>
          <w:u w:val="single"/>
        </w:rPr>
      </w:pPr>
    </w:p>
    <w:p w14:paraId="0C37DE00" w14:textId="77777777" w:rsidR="007252BA" w:rsidRPr="00A02B5E" w:rsidRDefault="005E26DC" w:rsidP="00E50FA1">
      <w:pPr>
        <w:rPr>
          <w:rFonts w:asciiTheme="majorHAnsi" w:hAnsiTheme="majorHAnsi"/>
        </w:rPr>
      </w:pPr>
      <w:r w:rsidRPr="00A02B5E">
        <w:rPr>
          <w:rFonts w:asciiTheme="majorHAnsi" w:hAnsiTheme="majorHAnsi"/>
        </w:rPr>
        <w:t xml:space="preserve">Were a statement of the objectives of insolvency law to be written </w:t>
      </w:r>
      <w:proofErr w:type="gramStart"/>
      <w:r w:rsidRPr="00A02B5E">
        <w:rPr>
          <w:rFonts w:asciiTheme="majorHAnsi" w:hAnsiTheme="majorHAnsi"/>
        </w:rPr>
        <w:t>today,</w:t>
      </w:r>
      <w:proofErr w:type="gramEnd"/>
      <w:r w:rsidR="00504215" w:rsidRPr="00A02B5E">
        <w:rPr>
          <w:rFonts w:asciiTheme="majorHAnsi" w:hAnsiTheme="majorHAnsi"/>
        </w:rPr>
        <w:t xml:space="preserve"> </w:t>
      </w:r>
      <w:r w:rsidR="00007635" w:rsidRPr="00A02B5E">
        <w:rPr>
          <w:rFonts w:asciiTheme="majorHAnsi" w:hAnsiTheme="majorHAnsi"/>
        </w:rPr>
        <w:t>to</w:t>
      </w:r>
      <w:r w:rsidR="00504215" w:rsidRPr="00A02B5E">
        <w:rPr>
          <w:rFonts w:asciiTheme="majorHAnsi" w:hAnsiTheme="majorHAnsi"/>
        </w:rPr>
        <w:t xml:space="preserve"> reflect the economic ambition of recent legislative reforms</w:t>
      </w:r>
      <w:r w:rsidR="00007635">
        <w:rPr>
          <w:rFonts w:asciiTheme="majorHAnsi" w:hAnsiTheme="majorHAnsi"/>
        </w:rPr>
        <w:t>,</w:t>
      </w:r>
      <w:r w:rsidRPr="00A02B5E">
        <w:rPr>
          <w:rFonts w:asciiTheme="majorHAnsi" w:hAnsiTheme="majorHAnsi"/>
        </w:rPr>
        <w:t xml:space="preserve"> it would </w:t>
      </w:r>
      <w:r w:rsidR="00AC6DB9" w:rsidRPr="00A02B5E">
        <w:rPr>
          <w:rFonts w:asciiTheme="majorHAnsi" w:hAnsiTheme="majorHAnsi"/>
        </w:rPr>
        <w:t>need</w:t>
      </w:r>
      <w:r w:rsidRPr="00A02B5E">
        <w:rPr>
          <w:rFonts w:asciiTheme="majorHAnsi" w:hAnsiTheme="majorHAnsi"/>
        </w:rPr>
        <w:t xml:space="preserve"> to encompass two </w:t>
      </w:r>
      <w:r w:rsidR="008F5BB6" w:rsidRPr="00A02B5E">
        <w:rPr>
          <w:rFonts w:asciiTheme="majorHAnsi" w:hAnsiTheme="majorHAnsi"/>
        </w:rPr>
        <w:t xml:space="preserve">key </w:t>
      </w:r>
      <w:r w:rsidRPr="00A02B5E">
        <w:rPr>
          <w:rFonts w:asciiTheme="majorHAnsi" w:hAnsiTheme="majorHAnsi"/>
        </w:rPr>
        <w:t xml:space="preserve">structural changes to Australia’s insolvency law: </w:t>
      </w:r>
    </w:p>
    <w:p w14:paraId="564C4C23" w14:textId="77777777" w:rsidR="005E26DC" w:rsidRPr="00B27D6D" w:rsidRDefault="00007635" w:rsidP="00B27D6D">
      <w:pPr>
        <w:pStyle w:val="BodyText2"/>
        <w:numPr>
          <w:ilvl w:val="0"/>
          <w:numId w:val="44"/>
        </w:numPr>
        <w:spacing w:before="120" w:after="120"/>
        <w:ind w:left="709" w:hanging="283"/>
        <w:rPr>
          <w:rFonts w:asciiTheme="majorHAnsi" w:hAnsiTheme="majorHAnsi" w:cs="Arial"/>
        </w:rPr>
      </w:pPr>
      <w:r w:rsidRPr="00B27D6D">
        <w:rPr>
          <w:rFonts w:asciiTheme="majorHAnsi" w:hAnsiTheme="majorHAnsi" w:cs="Arial"/>
        </w:rPr>
        <w:t>first</w:t>
      </w:r>
      <w:r w:rsidR="005E26DC" w:rsidRPr="00B27D6D">
        <w:rPr>
          <w:rFonts w:asciiTheme="majorHAnsi" w:hAnsiTheme="majorHAnsi" w:cs="Arial"/>
        </w:rPr>
        <w:t xml:space="preserve">, the </w:t>
      </w:r>
      <w:r w:rsidR="00E2782D" w:rsidRPr="00B27D6D">
        <w:rPr>
          <w:rFonts w:asciiTheme="majorHAnsi" w:hAnsiTheme="majorHAnsi" w:cs="Arial"/>
        </w:rPr>
        <w:t xml:space="preserve">2017 </w:t>
      </w:r>
      <w:r w:rsidR="00BA4E95" w:rsidRPr="00B27D6D">
        <w:rPr>
          <w:rFonts w:asciiTheme="majorHAnsi" w:hAnsiTheme="majorHAnsi" w:cs="Arial"/>
        </w:rPr>
        <w:t xml:space="preserve">“safe harbour” reforms, which </w:t>
      </w:r>
      <w:r w:rsidR="004E5E1E" w:rsidRPr="00B27D6D">
        <w:rPr>
          <w:rFonts w:asciiTheme="majorHAnsi" w:hAnsiTheme="majorHAnsi" w:cs="Arial"/>
        </w:rPr>
        <w:t>sought</w:t>
      </w:r>
      <w:r w:rsidR="00590D03" w:rsidRPr="00B27D6D">
        <w:rPr>
          <w:rFonts w:asciiTheme="majorHAnsi" w:hAnsiTheme="majorHAnsi" w:cs="Arial"/>
        </w:rPr>
        <w:t xml:space="preserve"> to facilitate company rescue by giving directors the comfort </w:t>
      </w:r>
      <w:r w:rsidR="003A26F1" w:rsidRPr="00B27D6D">
        <w:rPr>
          <w:rFonts w:asciiTheme="majorHAnsi" w:hAnsiTheme="majorHAnsi" w:cs="Arial"/>
        </w:rPr>
        <w:t xml:space="preserve">(by providing them with a defence to insolvent trading offences) </w:t>
      </w:r>
      <w:r w:rsidR="00590D03" w:rsidRPr="00B27D6D">
        <w:rPr>
          <w:rFonts w:asciiTheme="majorHAnsi" w:hAnsiTheme="majorHAnsi" w:cs="Arial"/>
        </w:rPr>
        <w:t xml:space="preserve">to not </w:t>
      </w:r>
      <w:r w:rsidR="009344FC" w:rsidRPr="00B27D6D">
        <w:rPr>
          <w:rFonts w:asciiTheme="majorHAnsi" w:hAnsiTheme="majorHAnsi" w:cs="Arial"/>
        </w:rPr>
        <w:t xml:space="preserve">turn over their </w:t>
      </w:r>
      <w:r w:rsidR="00590D03" w:rsidRPr="00B27D6D">
        <w:rPr>
          <w:rFonts w:asciiTheme="majorHAnsi" w:hAnsiTheme="majorHAnsi" w:cs="Arial"/>
        </w:rPr>
        <w:t xml:space="preserve">financially distressed company </w:t>
      </w:r>
      <w:r w:rsidR="009344FC" w:rsidRPr="00B27D6D">
        <w:rPr>
          <w:rFonts w:asciiTheme="majorHAnsi" w:hAnsiTheme="majorHAnsi" w:cs="Arial"/>
        </w:rPr>
        <w:t xml:space="preserve">to </w:t>
      </w:r>
      <w:r w:rsidR="00224BC2" w:rsidRPr="00B27D6D">
        <w:rPr>
          <w:rFonts w:asciiTheme="majorHAnsi" w:hAnsiTheme="majorHAnsi" w:cs="Arial"/>
        </w:rPr>
        <w:t>administrat</w:t>
      </w:r>
      <w:r w:rsidR="009344FC" w:rsidRPr="00B27D6D">
        <w:rPr>
          <w:rFonts w:asciiTheme="majorHAnsi" w:hAnsiTheme="majorHAnsi" w:cs="Arial"/>
        </w:rPr>
        <w:t xml:space="preserve">ors </w:t>
      </w:r>
      <w:r w:rsidR="00A33258" w:rsidRPr="00B27D6D">
        <w:rPr>
          <w:rFonts w:asciiTheme="majorHAnsi" w:hAnsiTheme="majorHAnsi" w:cs="Arial"/>
        </w:rPr>
        <w:t xml:space="preserve">if there is a viable pathway for </w:t>
      </w:r>
      <w:r w:rsidR="009D0FE7" w:rsidRPr="00B27D6D">
        <w:rPr>
          <w:rFonts w:asciiTheme="majorHAnsi" w:hAnsiTheme="majorHAnsi" w:cs="Arial"/>
        </w:rPr>
        <w:t>turning the company’s financial position around</w:t>
      </w:r>
      <w:r w:rsidR="004D7EAA" w:rsidRPr="00B27D6D">
        <w:rPr>
          <w:rFonts w:asciiTheme="majorHAnsi" w:hAnsiTheme="majorHAnsi" w:cs="Arial"/>
        </w:rPr>
        <w:t>;</w:t>
      </w:r>
    </w:p>
    <w:p w14:paraId="4811C603" w14:textId="77777777" w:rsidR="009D0FE7" w:rsidRPr="00B27D6D" w:rsidRDefault="00007635" w:rsidP="00B27D6D">
      <w:pPr>
        <w:pStyle w:val="BodyText2"/>
        <w:numPr>
          <w:ilvl w:val="0"/>
          <w:numId w:val="44"/>
        </w:numPr>
        <w:spacing w:before="120" w:after="120"/>
        <w:ind w:left="709" w:hanging="283"/>
        <w:rPr>
          <w:rFonts w:asciiTheme="majorHAnsi" w:hAnsiTheme="majorHAnsi" w:cs="Arial"/>
        </w:rPr>
      </w:pPr>
      <w:r w:rsidRPr="00B27D6D">
        <w:rPr>
          <w:rFonts w:asciiTheme="majorHAnsi" w:hAnsiTheme="majorHAnsi" w:cs="Arial"/>
        </w:rPr>
        <w:t>second</w:t>
      </w:r>
      <w:r w:rsidR="00905254" w:rsidRPr="00B27D6D">
        <w:rPr>
          <w:rFonts w:asciiTheme="majorHAnsi" w:hAnsiTheme="majorHAnsi" w:cs="Arial"/>
        </w:rPr>
        <w:t xml:space="preserve">, </w:t>
      </w:r>
      <w:r w:rsidR="00E83092" w:rsidRPr="00B27D6D">
        <w:rPr>
          <w:rFonts w:asciiTheme="majorHAnsi" w:hAnsiTheme="majorHAnsi" w:cs="Arial"/>
        </w:rPr>
        <w:t xml:space="preserve">the </w:t>
      </w:r>
      <w:r w:rsidR="001F5A2E" w:rsidRPr="00B27D6D">
        <w:rPr>
          <w:rFonts w:asciiTheme="majorHAnsi" w:hAnsiTheme="majorHAnsi" w:cs="Arial"/>
        </w:rPr>
        <w:t xml:space="preserve">2021 </w:t>
      </w:r>
      <w:r w:rsidR="00E83092" w:rsidRPr="00B27D6D">
        <w:rPr>
          <w:rFonts w:asciiTheme="majorHAnsi" w:hAnsiTheme="majorHAnsi" w:cs="Arial"/>
        </w:rPr>
        <w:t xml:space="preserve">small business restructuring </w:t>
      </w:r>
      <w:r w:rsidR="00C7588F" w:rsidRPr="00B27D6D">
        <w:rPr>
          <w:rFonts w:asciiTheme="majorHAnsi" w:hAnsiTheme="majorHAnsi" w:cs="Arial"/>
        </w:rPr>
        <w:t>reforms</w:t>
      </w:r>
      <w:r w:rsidR="00E83092" w:rsidRPr="00B27D6D">
        <w:rPr>
          <w:rFonts w:asciiTheme="majorHAnsi" w:hAnsiTheme="majorHAnsi" w:cs="Arial"/>
        </w:rPr>
        <w:t>, which</w:t>
      </w:r>
      <w:r w:rsidR="000E06AC" w:rsidRPr="00B27D6D">
        <w:rPr>
          <w:rFonts w:asciiTheme="majorHAnsi" w:hAnsiTheme="majorHAnsi" w:cs="Arial"/>
        </w:rPr>
        <w:t>, among other things,</w:t>
      </w:r>
      <w:r w:rsidR="005530C0" w:rsidRPr="00B27D6D">
        <w:rPr>
          <w:rFonts w:asciiTheme="majorHAnsi" w:hAnsiTheme="majorHAnsi" w:cs="Arial"/>
        </w:rPr>
        <w:t xml:space="preserve"> </w:t>
      </w:r>
      <w:r w:rsidR="00E83092" w:rsidRPr="00B27D6D">
        <w:rPr>
          <w:rFonts w:asciiTheme="majorHAnsi" w:hAnsiTheme="majorHAnsi" w:cs="Arial"/>
        </w:rPr>
        <w:t>provide</w:t>
      </w:r>
      <w:r w:rsidR="0013064C" w:rsidRPr="00B27D6D">
        <w:rPr>
          <w:rFonts w:asciiTheme="majorHAnsi" w:hAnsiTheme="majorHAnsi" w:cs="Arial"/>
        </w:rPr>
        <w:t>d</w:t>
      </w:r>
      <w:r w:rsidR="00E83092" w:rsidRPr="00B27D6D">
        <w:rPr>
          <w:rFonts w:asciiTheme="majorHAnsi" w:hAnsiTheme="majorHAnsi" w:cs="Arial"/>
        </w:rPr>
        <w:t xml:space="preserve"> a</w:t>
      </w:r>
      <w:r w:rsidR="005530C0" w:rsidRPr="00B27D6D">
        <w:rPr>
          <w:rFonts w:asciiTheme="majorHAnsi" w:hAnsiTheme="majorHAnsi" w:cs="Arial"/>
        </w:rPr>
        <w:t xml:space="preserve">nother way </w:t>
      </w:r>
      <w:r w:rsidR="00E83092" w:rsidRPr="00B27D6D">
        <w:rPr>
          <w:rFonts w:asciiTheme="majorHAnsi" w:hAnsiTheme="majorHAnsi" w:cs="Arial"/>
        </w:rPr>
        <w:t xml:space="preserve">for </w:t>
      </w:r>
      <w:r w:rsidR="003901AA" w:rsidRPr="00B27D6D">
        <w:rPr>
          <w:rFonts w:asciiTheme="majorHAnsi" w:hAnsiTheme="majorHAnsi" w:cs="Arial"/>
        </w:rPr>
        <w:t xml:space="preserve">directors </w:t>
      </w:r>
      <w:r w:rsidR="00E83092" w:rsidRPr="00B27D6D">
        <w:rPr>
          <w:rFonts w:asciiTheme="majorHAnsi" w:hAnsiTheme="majorHAnsi" w:cs="Arial"/>
        </w:rPr>
        <w:t xml:space="preserve">to retain control of their </w:t>
      </w:r>
      <w:r w:rsidR="003901AA" w:rsidRPr="00B27D6D">
        <w:rPr>
          <w:rFonts w:asciiTheme="majorHAnsi" w:hAnsiTheme="majorHAnsi" w:cs="Arial"/>
        </w:rPr>
        <w:t xml:space="preserve">small </w:t>
      </w:r>
      <w:r w:rsidR="005530C0" w:rsidRPr="00B27D6D">
        <w:rPr>
          <w:rFonts w:asciiTheme="majorHAnsi" w:hAnsiTheme="majorHAnsi" w:cs="Arial"/>
        </w:rPr>
        <w:t xml:space="preserve">business while effecting a turnaround plan. </w:t>
      </w:r>
    </w:p>
    <w:p w14:paraId="6CE63F1F" w14:textId="77777777" w:rsidR="00B14589" w:rsidRPr="00A02B5E" w:rsidRDefault="009415CD" w:rsidP="00670897">
      <w:pPr>
        <w:rPr>
          <w:rFonts w:asciiTheme="majorHAnsi" w:hAnsiTheme="majorHAnsi"/>
        </w:rPr>
      </w:pPr>
      <w:r w:rsidRPr="00A02B5E">
        <w:rPr>
          <w:rFonts w:asciiTheme="majorHAnsi" w:hAnsiTheme="majorHAnsi"/>
        </w:rPr>
        <w:t xml:space="preserve">Both </w:t>
      </w:r>
      <w:r w:rsidR="002E0C3D" w:rsidRPr="00A02B5E">
        <w:rPr>
          <w:rFonts w:asciiTheme="majorHAnsi" w:hAnsiTheme="majorHAnsi"/>
        </w:rPr>
        <w:t xml:space="preserve">reforms were implemented with an eye to economic outcomes: </w:t>
      </w:r>
    </w:p>
    <w:p w14:paraId="581086E4" w14:textId="77777777" w:rsidR="00B14589" w:rsidRPr="00A02B5E" w:rsidRDefault="00B14589" w:rsidP="00670897">
      <w:pPr>
        <w:rPr>
          <w:rFonts w:asciiTheme="majorHAnsi" w:hAnsiTheme="majorHAnsi"/>
        </w:rPr>
      </w:pPr>
    </w:p>
    <w:p w14:paraId="0D13B1C5" w14:textId="77777777" w:rsidR="00B14589" w:rsidRPr="00A02B5E" w:rsidRDefault="00007635" w:rsidP="00B14589">
      <w:pPr>
        <w:pStyle w:val="ListParagraph"/>
        <w:numPr>
          <w:ilvl w:val="0"/>
          <w:numId w:val="29"/>
        </w:numPr>
        <w:rPr>
          <w:rFonts w:asciiTheme="majorHAnsi" w:hAnsiTheme="majorHAnsi"/>
        </w:rPr>
      </w:pPr>
      <w:r>
        <w:rPr>
          <w:rFonts w:asciiTheme="majorHAnsi" w:hAnsiTheme="majorHAnsi"/>
        </w:rPr>
        <w:lastRenderedPageBreak/>
        <w:t>t</w:t>
      </w:r>
      <w:r w:rsidRPr="00A02B5E">
        <w:rPr>
          <w:rFonts w:asciiTheme="majorHAnsi" w:hAnsiTheme="majorHAnsi"/>
        </w:rPr>
        <w:t xml:space="preserve">he </w:t>
      </w:r>
      <w:r w:rsidR="0076520E" w:rsidRPr="00A02B5E">
        <w:rPr>
          <w:rFonts w:asciiTheme="majorHAnsi" w:hAnsiTheme="majorHAnsi"/>
        </w:rPr>
        <w:t>safe harbour reforms were introduced to “</w:t>
      </w:r>
      <w:r w:rsidR="002C2426" w:rsidRPr="00A02B5E">
        <w:rPr>
          <w:rFonts w:asciiTheme="majorHAnsi" w:hAnsiTheme="majorHAnsi"/>
        </w:rPr>
        <w:t>drive cultural change among company directors by encouraging them to keep control of their company, engage early with possible insolvency and take reasonable risks to facilitate the company's recovery instead of simply placing the company prematurely into voluntary administration or liquidation</w:t>
      </w:r>
      <w:r w:rsidR="003E6152" w:rsidRPr="00A02B5E">
        <w:rPr>
          <w:rFonts w:asciiTheme="majorHAnsi" w:hAnsiTheme="majorHAnsi"/>
        </w:rPr>
        <w:t>.</w:t>
      </w:r>
      <w:r w:rsidR="0076520E" w:rsidRPr="00A02B5E">
        <w:rPr>
          <w:rFonts w:asciiTheme="majorHAnsi" w:hAnsiTheme="majorHAnsi"/>
        </w:rPr>
        <w:t>”</w:t>
      </w:r>
      <w:r w:rsidR="00A02176" w:rsidRPr="00A02B5E">
        <w:rPr>
          <w:rStyle w:val="FootnoteReference"/>
          <w:rFonts w:asciiTheme="majorHAnsi" w:hAnsiTheme="majorHAnsi"/>
        </w:rPr>
        <w:footnoteReference w:id="11"/>
      </w:r>
      <w:r w:rsidR="00B14589" w:rsidRPr="00A02B5E">
        <w:rPr>
          <w:rFonts w:asciiTheme="majorHAnsi" w:hAnsiTheme="majorHAnsi"/>
        </w:rPr>
        <w:t xml:space="preserve"> </w:t>
      </w:r>
      <w:r w:rsidR="00630663" w:rsidRPr="00A02B5E">
        <w:rPr>
          <w:rFonts w:asciiTheme="majorHAnsi" w:hAnsiTheme="majorHAnsi"/>
        </w:rPr>
        <w:br/>
      </w:r>
    </w:p>
    <w:p w14:paraId="47979D58" w14:textId="77777777" w:rsidR="008C336D" w:rsidRPr="00A02B5E" w:rsidRDefault="00007635" w:rsidP="00B14589">
      <w:pPr>
        <w:pStyle w:val="ListParagraph"/>
        <w:numPr>
          <w:ilvl w:val="0"/>
          <w:numId w:val="29"/>
        </w:numPr>
        <w:rPr>
          <w:rFonts w:asciiTheme="majorHAnsi" w:hAnsiTheme="majorHAnsi"/>
        </w:rPr>
      </w:pPr>
      <w:r>
        <w:rPr>
          <w:rFonts w:asciiTheme="majorHAnsi" w:hAnsiTheme="majorHAnsi"/>
        </w:rPr>
        <w:t>t</w:t>
      </w:r>
      <w:r w:rsidRPr="00A02B5E">
        <w:rPr>
          <w:rFonts w:asciiTheme="majorHAnsi" w:hAnsiTheme="majorHAnsi"/>
        </w:rPr>
        <w:t xml:space="preserve">he </w:t>
      </w:r>
      <w:r w:rsidR="00B14589" w:rsidRPr="00A02B5E">
        <w:rPr>
          <w:rFonts w:asciiTheme="majorHAnsi" w:hAnsiTheme="majorHAnsi"/>
        </w:rPr>
        <w:t>Small Business Restructuring reforms were introduced to “help more Australian small businesses restructure and increase their chance to survive the economic impact of the coronavirus.”</w:t>
      </w:r>
      <w:r w:rsidR="00691B62" w:rsidRPr="00A02B5E">
        <w:rPr>
          <w:rStyle w:val="FootnoteReference"/>
          <w:rFonts w:asciiTheme="majorHAnsi" w:hAnsiTheme="majorHAnsi"/>
        </w:rPr>
        <w:footnoteReference w:id="12"/>
      </w:r>
    </w:p>
    <w:p w14:paraId="1E7C1D73" w14:textId="77777777" w:rsidR="00435DE4" w:rsidRPr="00A02B5E" w:rsidRDefault="00435DE4" w:rsidP="00670897">
      <w:pPr>
        <w:rPr>
          <w:rFonts w:asciiTheme="majorHAnsi" w:hAnsiTheme="majorHAnsi"/>
        </w:rPr>
      </w:pPr>
    </w:p>
    <w:p w14:paraId="1A828E82" w14:textId="6692E99E" w:rsidR="00A05976" w:rsidRPr="00A02B5E" w:rsidRDefault="006E4CE1" w:rsidP="00FF4746">
      <w:pPr>
        <w:rPr>
          <w:rFonts w:asciiTheme="majorHAnsi" w:hAnsiTheme="majorHAnsi"/>
        </w:rPr>
      </w:pPr>
      <w:r w:rsidRPr="00A02B5E">
        <w:rPr>
          <w:rFonts w:asciiTheme="majorHAnsi" w:hAnsiTheme="majorHAnsi"/>
        </w:rPr>
        <w:t xml:space="preserve">The effect of both sets of reforms </w:t>
      </w:r>
      <w:r w:rsidR="00E83C3E" w:rsidRPr="00A02B5E">
        <w:rPr>
          <w:rFonts w:asciiTheme="majorHAnsi" w:hAnsiTheme="majorHAnsi"/>
        </w:rPr>
        <w:t>has been</w:t>
      </w:r>
      <w:r w:rsidRPr="00A02B5E">
        <w:rPr>
          <w:rFonts w:asciiTheme="majorHAnsi" w:hAnsiTheme="majorHAnsi"/>
        </w:rPr>
        <w:t xml:space="preserve"> to </w:t>
      </w:r>
      <w:r w:rsidR="00CA6BA4" w:rsidRPr="00A02B5E">
        <w:rPr>
          <w:rFonts w:asciiTheme="majorHAnsi" w:hAnsiTheme="majorHAnsi"/>
        </w:rPr>
        <w:t>delay</w:t>
      </w:r>
      <w:r w:rsidRPr="00A02B5E">
        <w:rPr>
          <w:rFonts w:asciiTheme="majorHAnsi" w:hAnsiTheme="majorHAnsi"/>
        </w:rPr>
        <w:t xml:space="preserve"> </w:t>
      </w:r>
      <w:r>
        <w:rPr>
          <w:rFonts w:asciiTheme="majorHAnsi" w:hAnsiTheme="majorHAnsi"/>
        </w:rPr>
        <w:t xml:space="preserve">(or at least, enable a company’s directors to decide to delay) </w:t>
      </w:r>
      <w:r w:rsidRPr="00A02B5E">
        <w:rPr>
          <w:rFonts w:asciiTheme="majorHAnsi" w:hAnsiTheme="majorHAnsi"/>
        </w:rPr>
        <w:t xml:space="preserve">the point at which a business leaves the hands of its directors and enters the hands of an </w:t>
      </w:r>
      <w:r w:rsidR="002C3772" w:rsidRPr="00A02B5E">
        <w:rPr>
          <w:rFonts w:asciiTheme="majorHAnsi" w:hAnsiTheme="majorHAnsi"/>
        </w:rPr>
        <w:t xml:space="preserve">independent </w:t>
      </w:r>
      <w:r w:rsidRPr="00A02B5E">
        <w:rPr>
          <w:rFonts w:asciiTheme="majorHAnsi" w:hAnsiTheme="majorHAnsi"/>
        </w:rPr>
        <w:t xml:space="preserve">administrator or liquidator. </w:t>
      </w:r>
      <w:r w:rsidR="00CD269B" w:rsidRPr="00A02B5E">
        <w:rPr>
          <w:rFonts w:asciiTheme="majorHAnsi" w:hAnsiTheme="majorHAnsi"/>
        </w:rPr>
        <w:t xml:space="preserve">In this way, both reforms </w:t>
      </w:r>
      <w:r w:rsidRPr="00A02B5E">
        <w:rPr>
          <w:rFonts w:asciiTheme="majorHAnsi" w:hAnsiTheme="majorHAnsi"/>
        </w:rPr>
        <w:t xml:space="preserve">represent small steps </w:t>
      </w:r>
      <w:r w:rsidR="00083645" w:rsidRPr="00A02B5E">
        <w:rPr>
          <w:rFonts w:asciiTheme="majorHAnsi" w:hAnsiTheme="majorHAnsi"/>
        </w:rPr>
        <w:t>away from the UK approach</w:t>
      </w:r>
      <w:r w:rsidR="00711066">
        <w:rPr>
          <w:rFonts w:asciiTheme="majorHAnsi" w:hAnsiTheme="majorHAnsi"/>
        </w:rPr>
        <w:t>,</w:t>
      </w:r>
      <w:r w:rsidR="00083645" w:rsidRPr="00A02B5E">
        <w:rPr>
          <w:rFonts w:asciiTheme="majorHAnsi" w:hAnsiTheme="majorHAnsi"/>
        </w:rPr>
        <w:t xml:space="preserve"> </w:t>
      </w:r>
      <w:r w:rsidR="00C25507" w:rsidRPr="00A02B5E">
        <w:rPr>
          <w:rFonts w:asciiTheme="majorHAnsi" w:hAnsiTheme="majorHAnsi"/>
        </w:rPr>
        <w:t xml:space="preserve">characterised by control of an insolvent </w:t>
      </w:r>
      <w:r w:rsidR="00711066">
        <w:rPr>
          <w:rFonts w:asciiTheme="majorHAnsi" w:hAnsiTheme="majorHAnsi"/>
        </w:rPr>
        <w:t>company</w:t>
      </w:r>
      <w:r w:rsidR="00C25507" w:rsidRPr="00A02B5E">
        <w:rPr>
          <w:rFonts w:asciiTheme="majorHAnsi" w:hAnsiTheme="majorHAnsi"/>
        </w:rPr>
        <w:t xml:space="preserve"> passing from </w:t>
      </w:r>
      <w:r w:rsidR="00AA0BFB">
        <w:rPr>
          <w:rFonts w:asciiTheme="majorHAnsi" w:hAnsiTheme="majorHAnsi"/>
        </w:rPr>
        <w:t>its</w:t>
      </w:r>
      <w:r w:rsidR="00C25507" w:rsidRPr="00A02B5E">
        <w:rPr>
          <w:rFonts w:asciiTheme="majorHAnsi" w:hAnsiTheme="majorHAnsi"/>
        </w:rPr>
        <w:t xml:space="preserve"> directors to an independent </w:t>
      </w:r>
      <w:r w:rsidR="009438D1">
        <w:rPr>
          <w:rFonts w:asciiTheme="majorHAnsi" w:hAnsiTheme="majorHAnsi"/>
        </w:rPr>
        <w:t>insolvency practitioner</w:t>
      </w:r>
      <w:r w:rsidR="00F0063C">
        <w:rPr>
          <w:rFonts w:asciiTheme="majorHAnsi" w:hAnsiTheme="majorHAnsi"/>
        </w:rPr>
        <w:t xml:space="preserve"> (sometimes called </w:t>
      </w:r>
      <w:r w:rsidR="002B21F7">
        <w:rPr>
          <w:rFonts w:asciiTheme="majorHAnsi" w:hAnsiTheme="majorHAnsi"/>
        </w:rPr>
        <w:t xml:space="preserve">the </w:t>
      </w:r>
      <w:r w:rsidR="00F0063C">
        <w:rPr>
          <w:rFonts w:asciiTheme="majorHAnsi" w:hAnsiTheme="majorHAnsi"/>
        </w:rPr>
        <w:t>“practitioner-led”</w:t>
      </w:r>
      <w:r w:rsidR="002B21F7">
        <w:rPr>
          <w:rFonts w:asciiTheme="majorHAnsi" w:hAnsiTheme="majorHAnsi"/>
        </w:rPr>
        <w:t xml:space="preserve"> model</w:t>
      </w:r>
      <w:r w:rsidR="000D2199">
        <w:rPr>
          <w:rFonts w:asciiTheme="majorHAnsi" w:hAnsiTheme="majorHAnsi"/>
        </w:rPr>
        <w:t xml:space="preserve"> of insolvency</w:t>
      </w:r>
      <w:r w:rsidR="00F0063C">
        <w:rPr>
          <w:rFonts w:asciiTheme="majorHAnsi" w:hAnsiTheme="majorHAnsi"/>
        </w:rPr>
        <w:t>)</w:t>
      </w:r>
      <w:r w:rsidR="00C25507" w:rsidRPr="00A02B5E">
        <w:rPr>
          <w:rFonts w:asciiTheme="majorHAnsi" w:hAnsiTheme="majorHAnsi"/>
        </w:rPr>
        <w:t xml:space="preserve">, </w:t>
      </w:r>
      <w:r w:rsidR="00083645" w:rsidRPr="00A02B5E">
        <w:rPr>
          <w:rFonts w:asciiTheme="majorHAnsi" w:hAnsiTheme="majorHAnsi"/>
        </w:rPr>
        <w:t xml:space="preserve">and </w:t>
      </w:r>
      <w:r w:rsidRPr="00A02B5E">
        <w:rPr>
          <w:rFonts w:asciiTheme="majorHAnsi" w:hAnsiTheme="majorHAnsi"/>
        </w:rPr>
        <w:t>towards the US “debtor-in-possession” model of insolvency</w:t>
      </w:r>
      <w:r w:rsidR="00077627" w:rsidRPr="00A02B5E">
        <w:rPr>
          <w:rFonts w:asciiTheme="majorHAnsi" w:hAnsiTheme="majorHAnsi"/>
        </w:rPr>
        <w:t>, wherein the directors retain control</w:t>
      </w:r>
      <w:r w:rsidR="00521A3C" w:rsidRPr="00A02B5E">
        <w:rPr>
          <w:rFonts w:asciiTheme="majorHAnsi" w:hAnsiTheme="majorHAnsi"/>
        </w:rPr>
        <w:t xml:space="preserve"> </w:t>
      </w:r>
      <w:r w:rsidR="00E913EE">
        <w:rPr>
          <w:rFonts w:asciiTheme="majorHAnsi" w:hAnsiTheme="majorHAnsi"/>
        </w:rPr>
        <w:t xml:space="preserve">of the business </w:t>
      </w:r>
      <w:r w:rsidR="00077627" w:rsidRPr="00A02B5E">
        <w:rPr>
          <w:rFonts w:asciiTheme="majorHAnsi" w:hAnsiTheme="majorHAnsi"/>
        </w:rPr>
        <w:t xml:space="preserve">during </w:t>
      </w:r>
      <w:r w:rsidR="00985C67">
        <w:rPr>
          <w:rFonts w:asciiTheme="majorHAnsi" w:hAnsiTheme="majorHAnsi"/>
        </w:rPr>
        <w:t>the</w:t>
      </w:r>
      <w:r w:rsidR="00077627" w:rsidRPr="00A02B5E">
        <w:rPr>
          <w:rFonts w:asciiTheme="majorHAnsi" w:hAnsiTheme="majorHAnsi"/>
        </w:rPr>
        <w:t xml:space="preserve"> restructuring process</w:t>
      </w:r>
      <w:r w:rsidRPr="00A02B5E">
        <w:rPr>
          <w:rFonts w:asciiTheme="majorHAnsi" w:hAnsiTheme="majorHAnsi"/>
        </w:rPr>
        <w:t>.</w:t>
      </w:r>
      <w:r w:rsidR="001D1E05" w:rsidRPr="00A02B5E">
        <w:rPr>
          <w:rFonts w:asciiTheme="majorHAnsi" w:hAnsiTheme="majorHAnsi"/>
        </w:rPr>
        <w:t xml:space="preserve"> </w:t>
      </w:r>
    </w:p>
    <w:p w14:paraId="1DA1E0E1" w14:textId="77777777" w:rsidR="006A1DC8" w:rsidRPr="00A02B5E" w:rsidRDefault="006A1DC8" w:rsidP="00FF4746">
      <w:pPr>
        <w:rPr>
          <w:rFonts w:asciiTheme="majorHAnsi" w:hAnsiTheme="majorHAnsi"/>
        </w:rPr>
      </w:pPr>
    </w:p>
    <w:p w14:paraId="663CCE6F" w14:textId="77777777" w:rsidR="00B27D6D" w:rsidRDefault="00FC538E" w:rsidP="00FF4746">
      <w:pPr>
        <w:rPr>
          <w:rFonts w:asciiTheme="majorHAnsi" w:hAnsiTheme="majorHAnsi"/>
        </w:rPr>
      </w:pPr>
      <w:r w:rsidRPr="00A02B5E">
        <w:rPr>
          <w:rFonts w:asciiTheme="majorHAnsi" w:hAnsiTheme="majorHAnsi"/>
        </w:rPr>
        <w:t xml:space="preserve">The </w:t>
      </w:r>
      <w:r w:rsidR="00196630" w:rsidRPr="00A02B5E">
        <w:rPr>
          <w:rFonts w:asciiTheme="majorHAnsi" w:hAnsiTheme="majorHAnsi"/>
        </w:rPr>
        <w:t xml:space="preserve">question of the </w:t>
      </w:r>
      <w:r w:rsidR="003D7431" w:rsidRPr="00A02B5E">
        <w:rPr>
          <w:rFonts w:asciiTheme="majorHAnsi" w:hAnsiTheme="majorHAnsi"/>
        </w:rPr>
        <w:t xml:space="preserve">respective </w:t>
      </w:r>
      <w:r w:rsidRPr="00A02B5E">
        <w:rPr>
          <w:rFonts w:asciiTheme="majorHAnsi" w:hAnsiTheme="majorHAnsi"/>
        </w:rPr>
        <w:t xml:space="preserve">merits of the </w:t>
      </w:r>
      <w:r w:rsidR="00974650" w:rsidRPr="00A02B5E">
        <w:rPr>
          <w:rFonts w:asciiTheme="majorHAnsi" w:hAnsiTheme="majorHAnsi"/>
        </w:rPr>
        <w:t xml:space="preserve">“debtor-in-possession” </w:t>
      </w:r>
      <w:r w:rsidR="003D7431" w:rsidRPr="00A02B5E">
        <w:rPr>
          <w:rFonts w:asciiTheme="majorHAnsi" w:hAnsiTheme="majorHAnsi"/>
        </w:rPr>
        <w:t xml:space="preserve">and </w:t>
      </w:r>
      <w:r w:rsidR="00974650" w:rsidRPr="00A02B5E">
        <w:rPr>
          <w:rFonts w:asciiTheme="majorHAnsi" w:hAnsiTheme="majorHAnsi"/>
        </w:rPr>
        <w:t xml:space="preserve">“practitioner-led” </w:t>
      </w:r>
      <w:r w:rsidR="001678BF" w:rsidRPr="00A02B5E">
        <w:rPr>
          <w:rFonts w:asciiTheme="majorHAnsi" w:hAnsiTheme="majorHAnsi"/>
        </w:rPr>
        <w:t xml:space="preserve">approaches </w:t>
      </w:r>
      <w:r w:rsidR="003D7431" w:rsidRPr="00A02B5E">
        <w:rPr>
          <w:rFonts w:asciiTheme="majorHAnsi" w:hAnsiTheme="majorHAnsi"/>
        </w:rPr>
        <w:t xml:space="preserve">to insolvency </w:t>
      </w:r>
      <w:r w:rsidR="00196630" w:rsidRPr="00A02B5E">
        <w:rPr>
          <w:rFonts w:asciiTheme="majorHAnsi" w:hAnsiTheme="majorHAnsi"/>
        </w:rPr>
        <w:t xml:space="preserve">is </w:t>
      </w:r>
      <w:r w:rsidRPr="00A02B5E">
        <w:rPr>
          <w:rFonts w:asciiTheme="majorHAnsi" w:hAnsiTheme="majorHAnsi"/>
        </w:rPr>
        <w:t xml:space="preserve">contested </w:t>
      </w:r>
      <w:r w:rsidR="00B2738A" w:rsidRPr="00A02B5E">
        <w:rPr>
          <w:rFonts w:asciiTheme="majorHAnsi" w:hAnsiTheme="majorHAnsi"/>
        </w:rPr>
        <w:t xml:space="preserve">and </w:t>
      </w:r>
      <w:r w:rsidRPr="00A02B5E">
        <w:rPr>
          <w:rFonts w:asciiTheme="majorHAnsi" w:hAnsiTheme="majorHAnsi"/>
        </w:rPr>
        <w:t xml:space="preserve">beyond the scope of this </w:t>
      </w:r>
      <w:r w:rsidR="00790B9F" w:rsidRPr="00A02B5E">
        <w:rPr>
          <w:rFonts w:asciiTheme="majorHAnsi" w:hAnsiTheme="majorHAnsi"/>
        </w:rPr>
        <w:t>submission</w:t>
      </w:r>
      <w:r w:rsidR="00824D82" w:rsidRPr="00A02B5E">
        <w:rPr>
          <w:rFonts w:asciiTheme="majorHAnsi" w:hAnsiTheme="majorHAnsi"/>
        </w:rPr>
        <w:t xml:space="preserve">. </w:t>
      </w:r>
      <w:r w:rsidR="00F54A40" w:rsidRPr="00A02B5E">
        <w:rPr>
          <w:rFonts w:asciiTheme="majorHAnsi" w:hAnsiTheme="majorHAnsi"/>
        </w:rPr>
        <w:t xml:space="preserve">It also goes to broader questions of how we view our </w:t>
      </w:r>
      <w:r w:rsidR="00E242F4" w:rsidRPr="00A02B5E">
        <w:rPr>
          <w:rFonts w:asciiTheme="majorHAnsi" w:hAnsiTheme="majorHAnsi"/>
        </w:rPr>
        <w:t xml:space="preserve">Australian </w:t>
      </w:r>
      <w:proofErr w:type="gramStart"/>
      <w:r w:rsidR="00F54A40" w:rsidRPr="00A02B5E">
        <w:rPr>
          <w:rFonts w:asciiTheme="majorHAnsi" w:hAnsiTheme="majorHAnsi"/>
        </w:rPr>
        <w:t>society</w:t>
      </w:r>
      <w:r w:rsidR="00B25F07" w:rsidRPr="00A02B5E">
        <w:rPr>
          <w:rFonts w:asciiTheme="majorHAnsi" w:hAnsiTheme="majorHAnsi"/>
        </w:rPr>
        <w:t xml:space="preserve">, </w:t>
      </w:r>
      <w:r w:rsidR="007A5560" w:rsidRPr="00A02B5E">
        <w:rPr>
          <w:rFonts w:asciiTheme="majorHAnsi" w:hAnsiTheme="majorHAnsi"/>
        </w:rPr>
        <w:t>and</w:t>
      </w:r>
      <w:proofErr w:type="gramEnd"/>
      <w:r w:rsidR="007A5560" w:rsidRPr="00A02B5E">
        <w:rPr>
          <w:rFonts w:asciiTheme="majorHAnsi" w:hAnsiTheme="majorHAnsi"/>
        </w:rPr>
        <w:t xml:space="preserve"> therefore cannot be considered in a vacuum</w:t>
      </w:r>
      <w:r w:rsidR="00F54A40" w:rsidRPr="00A02B5E">
        <w:rPr>
          <w:rFonts w:asciiTheme="majorHAnsi" w:hAnsiTheme="majorHAnsi"/>
        </w:rPr>
        <w:t xml:space="preserve">. </w:t>
      </w:r>
    </w:p>
    <w:p w14:paraId="45C86917" w14:textId="77777777" w:rsidR="00B27D6D" w:rsidRDefault="00B27D6D" w:rsidP="00FF4746">
      <w:pPr>
        <w:rPr>
          <w:rFonts w:asciiTheme="majorHAnsi" w:hAnsiTheme="majorHAnsi"/>
        </w:rPr>
      </w:pPr>
    </w:p>
    <w:p w14:paraId="34747F5B" w14:textId="77777777" w:rsidR="00F54A40" w:rsidRPr="00A02B5E" w:rsidRDefault="00B6028E" w:rsidP="00FF4746">
      <w:pPr>
        <w:rPr>
          <w:rFonts w:asciiTheme="majorHAnsi" w:hAnsiTheme="majorHAnsi"/>
        </w:rPr>
      </w:pPr>
      <w:r>
        <w:rPr>
          <w:rFonts w:asciiTheme="majorHAnsi" w:hAnsiTheme="majorHAnsi"/>
        </w:rPr>
        <w:t>The interconnectedness of the insolvency framework with broader structural factors</w:t>
      </w:r>
      <w:r w:rsidR="007A5560" w:rsidRPr="00A02B5E">
        <w:rPr>
          <w:rFonts w:asciiTheme="majorHAnsi" w:hAnsiTheme="majorHAnsi"/>
        </w:rPr>
        <w:t xml:space="preserve"> is helpfully articulated </w:t>
      </w:r>
      <w:r w:rsidR="00490A1C">
        <w:rPr>
          <w:rFonts w:asciiTheme="majorHAnsi" w:hAnsiTheme="majorHAnsi"/>
        </w:rPr>
        <w:t xml:space="preserve">in the US context </w:t>
      </w:r>
      <w:r w:rsidR="007A5560" w:rsidRPr="00A02B5E">
        <w:rPr>
          <w:rFonts w:asciiTheme="majorHAnsi" w:hAnsiTheme="majorHAnsi"/>
        </w:rPr>
        <w:t>in t</w:t>
      </w:r>
      <w:r w:rsidR="00F54A40" w:rsidRPr="00A02B5E">
        <w:rPr>
          <w:rFonts w:asciiTheme="majorHAnsi" w:hAnsiTheme="majorHAnsi"/>
        </w:rPr>
        <w:t xml:space="preserve">he following extract from Professor </w:t>
      </w:r>
      <w:r w:rsidR="00254CC4" w:rsidRPr="00A02B5E">
        <w:rPr>
          <w:rFonts w:asciiTheme="majorHAnsi" w:hAnsiTheme="majorHAnsi"/>
        </w:rPr>
        <w:t xml:space="preserve">Nathalie </w:t>
      </w:r>
      <w:r w:rsidR="00F54A40" w:rsidRPr="00A02B5E">
        <w:rPr>
          <w:rFonts w:asciiTheme="majorHAnsi" w:hAnsiTheme="majorHAnsi"/>
        </w:rPr>
        <w:t xml:space="preserve">Martin (as quoted in an excellent </w:t>
      </w:r>
      <w:r w:rsidR="00851B3C" w:rsidRPr="00A02B5E">
        <w:rPr>
          <w:rFonts w:asciiTheme="majorHAnsi" w:hAnsiTheme="majorHAnsi"/>
        </w:rPr>
        <w:t xml:space="preserve">2019 </w:t>
      </w:r>
      <w:r w:rsidR="00F54A40" w:rsidRPr="00A02B5E">
        <w:rPr>
          <w:rFonts w:asciiTheme="majorHAnsi" w:hAnsiTheme="majorHAnsi"/>
        </w:rPr>
        <w:t>paper charting the evolution of Australia’s insolvency law by High Court Justice Edelman</w:t>
      </w:r>
      <w:r w:rsidR="00851B3C" w:rsidRPr="00A02B5E">
        <w:rPr>
          <w:rFonts w:asciiTheme="majorHAnsi" w:hAnsiTheme="majorHAnsi"/>
        </w:rPr>
        <w:t xml:space="preserve"> and others</w:t>
      </w:r>
      <w:r w:rsidR="00F54A40" w:rsidRPr="00A02B5E">
        <w:rPr>
          <w:rFonts w:asciiTheme="majorHAnsi" w:hAnsiTheme="majorHAnsi"/>
        </w:rPr>
        <w:t xml:space="preserve">): </w:t>
      </w:r>
    </w:p>
    <w:p w14:paraId="7446A464" w14:textId="77777777" w:rsidR="00F54A40" w:rsidRPr="00A02B5E" w:rsidRDefault="00F54A40" w:rsidP="00FF4746">
      <w:pPr>
        <w:rPr>
          <w:rFonts w:asciiTheme="majorHAnsi" w:hAnsiTheme="majorHAnsi"/>
        </w:rPr>
      </w:pPr>
    </w:p>
    <w:p w14:paraId="551D8477" w14:textId="77777777" w:rsidR="006A1DC8" w:rsidRPr="00A02B5E" w:rsidRDefault="00F54A40" w:rsidP="00193340">
      <w:pPr>
        <w:ind w:left="720"/>
        <w:rPr>
          <w:rFonts w:asciiTheme="majorHAnsi" w:hAnsiTheme="majorHAnsi"/>
          <w:i/>
          <w:iCs/>
        </w:rPr>
      </w:pPr>
      <w:r w:rsidRPr="00A02B5E">
        <w:rPr>
          <w:rFonts w:asciiTheme="majorHAnsi" w:hAnsiTheme="majorHAnsi"/>
          <w:i/>
          <w:iCs/>
        </w:rPr>
        <w:t xml:space="preserve">“The current US bankruptcy system grew directly out of the United States’ unique capitalist system, which rewards entrepreneurialism as well as extensive consumer spending. It makes sense that a society in which dollars rule would have a forgiving personal bankruptcy system </w:t>
      </w:r>
      <w:proofErr w:type="gramStart"/>
      <w:r w:rsidRPr="00A02B5E">
        <w:rPr>
          <w:rFonts w:asciiTheme="majorHAnsi" w:hAnsiTheme="majorHAnsi"/>
          <w:i/>
          <w:iCs/>
        </w:rPr>
        <w:t>in order to</w:t>
      </w:r>
      <w:proofErr w:type="gramEnd"/>
      <w:r w:rsidRPr="00A02B5E">
        <w:rPr>
          <w:rFonts w:asciiTheme="majorHAnsi" w:hAnsiTheme="majorHAnsi"/>
          <w:i/>
          <w:iCs/>
        </w:rPr>
        <w:t xml:space="preserve"> keep consumer spending high, and an equally forgiving business reorganisation system to encourage risk taking and economic growth. Both systems are part of a larger scheme to keep economic players alive and active in the game of capitalism. US bankruptcy systems are among the country’s few social programs and they address many of society’s ills. Thus, they are broad and form an integral part of the social system from which they sprung.”</w:t>
      </w:r>
      <w:r w:rsidRPr="00A02B5E">
        <w:rPr>
          <w:rStyle w:val="FootnoteReference"/>
          <w:rFonts w:asciiTheme="majorHAnsi" w:hAnsiTheme="majorHAnsi"/>
          <w:i/>
          <w:iCs/>
        </w:rPr>
        <w:footnoteReference w:id="13"/>
      </w:r>
    </w:p>
    <w:p w14:paraId="686FB80C" w14:textId="77777777" w:rsidR="00A05976" w:rsidRPr="00A02B5E" w:rsidRDefault="00A05976" w:rsidP="00FF4746">
      <w:pPr>
        <w:rPr>
          <w:rFonts w:asciiTheme="majorHAnsi" w:hAnsiTheme="majorHAnsi"/>
        </w:rPr>
      </w:pPr>
    </w:p>
    <w:p w14:paraId="20F49700" w14:textId="5A58951C" w:rsidR="00E76BCF" w:rsidRPr="00A02B5E" w:rsidRDefault="00052B1F" w:rsidP="00FF4746">
      <w:pPr>
        <w:rPr>
          <w:rFonts w:asciiTheme="majorHAnsi" w:hAnsiTheme="majorHAnsi"/>
        </w:rPr>
      </w:pPr>
      <w:r>
        <w:rPr>
          <w:rFonts w:asciiTheme="majorHAnsi" w:hAnsiTheme="majorHAnsi"/>
        </w:rPr>
        <w:t xml:space="preserve">The above extract </w:t>
      </w:r>
      <w:r w:rsidR="00CA456D">
        <w:rPr>
          <w:rFonts w:asciiTheme="majorHAnsi" w:hAnsiTheme="majorHAnsi"/>
        </w:rPr>
        <w:t xml:space="preserve">is part of a larger piece of work </w:t>
      </w:r>
      <w:r>
        <w:rPr>
          <w:rFonts w:asciiTheme="majorHAnsi" w:hAnsiTheme="majorHAnsi"/>
        </w:rPr>
        <w:t>caution</w:t>
      </w:r>
      <w:r w:rsidR="00CA456D">
        <w:rPr>
          <w:rFonts w:asciiTheme="majorHAnsi" w:hAnsiTheme="majorHAnsi"/>
        </w:rPr>
        <w:t xml:space="preserve">ing </w:t>
      </w:r>
      <w:r>
        <w:rPr>
          <w:rFonts w:asciiTheme="majorHAnsi" w:hAnsiTheme="majorHAnsi"/>
        </w:rPr>
        <w:t xml:space="preserve">against </w:t>
      </w:r>
      <w:r w:rsidR="00B81BAE">
        <w:rPr>
          <w:rFonts w:asciiTheme="majorHAnsi" w:hAnsiTheme="majorHAnsi"/>
        </w:rPr>
        <w:t xml:space="preserve">exporting wholesale </w:t>
      </w:r>
      <w:r>
        <w:rPr>
          <w:rFonts w:asciiTheme="majorHAnsi" w:hAnsiTheme="majorHAnsi"/>
        </w:rPr>
        <w:t xml:space="preserve">the US debtor-in-possession model to societies that do not share </w:t>
      </w:r>
      <w:r w:rsidR="00B81BAE">
        <w:rPr>
          <w:rFonts w:asciiTheme="majorHAnsi" w:hAnsiTheme="majorHAnsi"/>
        </w:rPr>
        <w:t xml:space="preserve">the same societal / economic characteristics as the US. </w:t>
      </w:r>
      <w:r w:rsidR="003D37AE">
        <w:rPr>
          <w:rFonts w:asciiTheme="majorHAnsi" w:hAnsiTheme="majorHAnsi"/>
        </w:rPr>
        <w:t>Australia is</w:t>
      </w:r>
      <w:r w:rsidR="00970094">
        <w:rPr>
          <w:rFonts w:asciiTheme="majorHAnsi" w:hAnsiTheme="majorHAnsi"/>
        </w:rPr>
        <w:t>,</w:t>
      </w:r>
      <w:r w:rsidR="003D37AE">
        <w:rPr>
          <w:rFonts w:asciiTheme="majorHAnsi" w:hAnsiTheme="majorHAnsi"/>
        </w:rPr>
        <w:t xml:space="preserve"> of course</w:t>
      </w:r>
      <w:r w:rsidR="00970094">
        <w:rPr>
          <w:rFonts w:asciiTheme="majorHAnsi" w:hAnsiTheme="majorHAnsi"/>
        </w:rPr>
        <w:t>,</w:t>
      </w:r>
      <w:r w:rsidR="003D37AE">
        <w:rPr>
          <w:rFonts w:asciiTheme="majorHAnsi" w:hAnsiTheme="majorHAnsi"/>
        </w:rPr>
        <w:t xml:space="preserve"> a different society </w:t>
      </w:r>
      <w:r w:rsidR="002323F1">
        <w:rPr>
          <w:rFonts w:asciiTheme="majorHAnsi" w:hAnsiTheme="majorHAnsi"/>
        </w:rPr>
        <w:t>to</w:t>
      </w:r>
      <w:r w:rsidR="004165E0">
        <w:rPr>
          <w:rFonts w:asciiTheme="majorHAnsi" w:hAnsiTheme="majorHAnsi"/>
        </w:rPr>
        <w:t xml:space="preserve"> the US</w:t>
      </w:r>
      <w:r w:rsidR="002323F1">
        <w:rPr>
          <w:rFonts w:asciiTheme="majorHAnsi" w:hAnsiTheme="majorHAnsi"/>
        </w:rPr>
        <w:t xml:space="preserve"> with different approaches to, among other things, social programs. </w:t>
      </w:r>
      <w:r w:rsidR="00A05976" w:rsidRPr="00A02B5E">
        <w:rPr>
          <w:rFonts w:asciiTheme="majorHAnsi" w:hAnsiTheme="majorHAnsi"/>
        </w:rPr>
        <w:t xml:space="preserve">The </w:t>
      </w:r>
      <w:r w:rsidR="006A0778">
        <w:rPr>
          <w:rFonts w:asciiTheme="majorHAnsi" w:hAnsiTheme="majorHAnsi"/>
        </w:rPr>
        <w:t xml:space="preserve">safe harbour and small business restructuring reforms seem to reflect a </w:t>
      </w:r>
      <w:r w:rsidR="00970094">
        <w:rPr>
          <w:rFonts w:asciiTheme="majorHAnsi" w:hAnsiTheme="majorHAnsi"/>
        </w:rPr>
        <w:t xml:space="preserve">qualified and partial </w:t>
      </w:r>
      <w:r>
        <w:rPr>
          <w:rFonts w:asciiTheme="majorHAnsi" w:hAnsiTheme="majorHAnsi"/>
        </w:rPr>
        <w:t>movement towards the debtor-in-possession approach. This Productivity Commission inquiry seems an appropriate forum in which to consider holistically the merits and trade-offs involved</w:t>
      </w:r>
      <w:r w:rsidR="006A0778">
        <w:rPr>
          <w:rFonts w:asciiTheme="majorHAnsi" w:hAnsiTheme="majorHAnsi"/>
        </w:rPr>
        <w:t>.</w:t>
      </w:r>
    </w:p>
    <w:p w14:paraId="6251B164" w14:textId="1DABC26B" w:rsidR="001831B6" w:rsidRDefault="001831B6">
      <w:pPr>
        <w:rPr>
          <w:rFonts w:asciiTheme="majorHAnsi" w:hAnsiTheme="majorHAnsi"/>
        </w:rPr>
      </w:pPr>
      <w:r>
        <w:rPr>
          <w:rFonts w:asciiTheme="majorHAnsi" w:hAnsiTheme="majorHAnsi"/>
        </w:rPr>
        <w:br w:type="page"/>
      </w:r>
    </w:p>
    <w:p w14:paraId="730F33B9" w14:textId="77777777" w:rsidR="00D361E3" w:rsidRPr="00A02B5E" w:rsidRDefault="00D361E3" w:rsidP="00D361E3">
      <w:pPr>
        <w:rPr>
          <w:rFonts w:asciiTheme="majorHAnsi" w:hAnsiTheme="majorHAnsi"/>
          <w:b/>
          <w:bCs/>
          <w:u w:val="single"/>
        </w:rPr>
      </w:pPr>
      <w:r w:rsidRPr="00A02B5E">
        <w:rPr>
          <w:rFonts w:asciiTheme="majorHAnsi" w:hAnsiTheme="majorHAnsi"/>
          <w:b/>
          <w:bCs/>
          <w:u w:val="single"/>
        </w:rPr>
        <w:lastRenderedPageBreak/>
        <w:t xml:space="preserve">Should the law state its objectives? </w:t>
      </w:r>
      <w:r w:rsidRPr="00A02B5E">
        <w:rPr>
          <w:rFonts w:asciiTheme="majorHAnsi" w:hAnsiTheme="majorHAnsi"/>
          <w:b/>
          <w:bCs/>
          <w:u w:val="single"/>
        </w:rPr>
        <w:br/>
      </w:r>
    </w:p>
    <w:p w14:paraId="29403DB7" w14:textId="77777777" w:rsidR="00D361E3" w:rsidRPr="00A02B5E" w:rsidRDefault="00D361E3" w:rsidP="00D361E3">
      <w:pPr>
        <w:rPr>
          <w:rFonts w:asciiTheme="majorHAnsi" w:hAnsiTheme="majorHAnsi"/>
        </w:rPr>
      </w:pPr>
      <w:r w:rsidRPr="00A02B5E">
        <w:rPr>
          <w:rFonts w:asciiTheme="majorHAnsi" w:hAnsiTheme="majorHAnsi"/>
        </w:rPr>
        <w:t xml:space="preserve">The lack of an overarching statement of objectives in Australia’s corporate insolvency law is not unusual. A brief survey of the corporate insolvency laws in peer jurisdictions reveals that none utilise an overarching statement of objectives in the law itself: </w:t>
      </w:r>
      <w:r w:rsidRPr="00A02B5E">
        <w:rPr>
          <w:rFonts w:asciiTheme="majorHAnsi" w:hAnsiTheme="majorHAnsi"/>
        </w:rPr>
        <w:br/>
      </w:r>
    </w:p>
    <w:tbl>
      <w:tblPr>
        <w:tblStyle w:val="TableGrid"/>
        <w:tblW w:w="0" w:type="auto"/>
        <w:tblLook w:val="04A0" w:firstRow="1" w:lastRow="0" w:firstColumn="1" w:lastColumn="0" w:noHBand="0" w:noVBand="1"/>
      </w:tblPr>
      <w:tblGrid>
        <w:gridCol w:w="3001"/>
        <w:gridCol w:w="5187"/>
      </w:tblGrid>
      <w:tr w:rsidR="00D361E3" w:rsidRPr="00A02B5E" w14:paraId="50D6A83E" w14:textId="77777777" w:rsidTr="00C521E8">
        <w:tc>
          <w:tcPr>
            <w:tcW w:w="3001" w:type="dxa"/>
          </w:tcPr>
          <w:p w14:paraId="208C528D" w14:textId="77777777" w:rsidR="00D361E3" w:rsidRPr="00A02B5E" w:rsidRDefault="00D361E3" w:rsidP="00C521E8">
            <w:pPr>
              <w:rPr>
                <w:rFonts w:asciiTheme="majorHAnsi" w:hAnsiTheme="majorHAnsi"/>
                <w:b/>
                <w:bCs/>
              </w:rPr>
            </w:pPr>
            <w:r w:rsidRPr="00A02B5E">
              <w:rPr>
                <w:rFonts w:asciiTheme="majorHAnsi" w:hAnsiTheme="majorHAnsi"/>
                <w:b/>
                <w:bCs/>
              </w:rPr>
              <w:t>Country</w:t>
            </w:r>
          </w:p>
        </w:tc>
        <w:tc>
          <w:tcPr>
            <w:tcW w:w="5187" w:type="dxa"/>
          </w:tcPr>
          <w:p w14:paraId="4247A01F" w14:textId="77777777" w:rsidR="00D361E3" w:rsidRPr="00A02B5E" w:rsidRDefault="00D361E3" w:rsidP="00C521E8">
            <w:pPr>
              <w:rPr>
                <w:rFonts w:asciiTheme="majorHAnsi" w:hAnsiTheme="majorHAnsi"/>
                <w:b/>
                <w:bCs/>
              </w:rPr>
            </w:pPr>
            <w:r w:rsidRPr="00A02B5E">
              <w:rPr>
                <w:rFonts w:asciiTheme="majorHAnsi" w:hAnsiTheme="majorHAnsi"/>
                <w:b/>
                <w:bCs/>
              </w:rPr>
              <w:t>Does the corporate insolvency law state its objectives?</w:t>
            </w:r>
          </w:p>
        </w:tc>
      </w:tr>
      <w:tr w:rsidR="00D361E3" w:rsidRPr="00A02B5E" w14:paraId="0376DFD9" w14:textId="77777777" w:rsidTr="00C521E8">
        <w:tc>
          <w:tcPr>
            <w:tcW w:w="3001" w:type="dxa"/>
          </w:tcPr>
          <w:p w14:paraId="56012A57" w14:textId="77777777" w:rsidR="00D361E3" w:rsidRPr="00A02B5E" w:rsidRDefault="00D361E3" w:rsidP="00C521E8">
            <w:pPr>
              <w:rPr>
                <w:rFonts w:asciiTheme="majorHAnsi" w:hAnsiTheme="majorHAnsi"/>
              </w:rPr>
            </w:pPr>
            <w:r w:rsidRPr="00A02B5E">
              <w:rPr>
                <w:rFonts w:asciiTheme="majorHAnsi" w:hAnsiTheme="majorHAnsi"/>
              </w:rPr>
              <w:t>Singapore</w:t>
            </w:r>
          </w:p>
        </w:tc>
        <w:tc>
          <w:tcPr>
            <w:tcW w:w="5187" w:type="dxa"/>
          </w:tcPr>
          <w:p w14:paraId="05C220F4" w14:textId="77777777" w:rsidR="00D361E3" w:rsidRPr="00A02B5E" w:rsidRDefault="00D361E3" w:rsidP="00C521E8">
            <w:pPr>
              <w:rPr>
                <w:rFonts w:asciiTheme="majorHAnsi" w:hAnsiTheme="majorHAnsi"/>
              </w:rPr>
            </w:pPr>
            <w:r w:rsidRPr="00A02B5E">
              <w:rPr>
                <w:rFonts w:asciiTheme="majorHAnsi" w:hAnsiTheme="majorHAnsi"/>
              </w:rPr>
              <w:t>Piecemeal only</w:t>
            </w:r>
            <w:r w:rsidRPr="00A02B5E">
              <w:rPr>
                <w:rStyle w:val="FootnoteReference"/>
                <w:rFonts w:asciiTheme="majorHAnsi" w:hAnsiTheme="majorHAnsi"/>
              </w:rPr>
              <w:footnoteReference w:id="14"/>
            </w:r>
          </w:p>
        </w:tc>
      </w:tr>
      <w:tr w:rsidR="00D361E3" w:rsidRPr="00A02B5E" w14:paraId="7A7344A1" w14:textId="77777777" w:rsidTr="00C521E8">
        <w:tc>
          <w:tcPr>
            <w:tcW w:w="3001" w:type="dxa"/>
          </w:tcPr>
          <w:p w14:paraId="02764BF2" w14:textId="77777777" w:rsidR="00D361E3" w:rsidRPr="00A02B5E" w:rsidRDefault="00D361E3" w:rsidP="00C521E8">
            <w:pPr>
              <w:rPr>
                <w:rFonts w:asciiTheme="majorHAnsi" w:hAnsiTheme="majorHAnsi"/>
              </w:rPr>
            </w:pPr>
            <w:r w:rsidRPr="00A02B5E">
              <w:rPr>
                <w:rFonts w:asciiTheme="majorHAnsi" w:hAnsiTheme="majorHAnsi"/>
              </w:rPr>
              <w:t>New Zealand</w:t>
            </w:r>
          </w:p>
        </w:tc>
        <w:tc>
          <w:tcPr>
            <w:tcW w:w="5187" w:type="dxa"/>
          </w:tcPr>
          <w:p w14:paraId="0F4C3AAA" w14:textId="77777777" w:rsidR="00D361E3" w:rsidRPr="00A02B5E" w:rsidRDefault="00D361E3" w:rsidP="00C521E8">
            <w:pPr>
              <w:rPr>
                <w:rFonts w:asciiTheme="majorHAnsi" w:hAnsiTheme="majorHAnsi"/>
              </w:rPr>
            </w:pPr>
            <w:r w:rsidRPr="00A02B5E">
              <w:rPr>
                <w:rFonts w:asciiTheme="majorHAnsi" w:hAnsiTheme="majorHAnsi"/>
              </w:rPr>
              <w:t>No</w:t>
            </w:r>
            <w:r w:rsidRPr="00A02B5E">
              <w:rPr>
                <w:rStyle w:val="FootnoteReference"/>
                <w:rFonts w:asciiTheme="majorHAnsi" w:hAnsiTheme="majorHAnsi"/>
              </w:rPr>
              <w:footnoteReference w:id="15"/>
            </w:r>
          </w:p>
        </w:tc>
      </w:tr>
      <w:tr w:rsidR="00D361E3" w:rsidRPr="00A02B5E" w14:paraId="5E32C2AD" w14:textId="77777777" w:rsidTr="00C521E8">
        <w:tc>
          <w:tcPr>
            <w:tcW w:w="3001" w:type="dxa"/>
          </w:tcPr>
          <w:p w14:paraId="331CC029" w14:textId="77777777" w:rsidR="00D361E3" w:rsidRPr="00A02B5E" w:rsidRDefault="00D361E3" w:rsidP="00C521E8">
            <w:pPr>
              <w:rPr>
                <w:rFonts w:asciiTheme="majorHAnsi" w:hAnsiTheme="majorHAnsi"/>
              </w:rPr>
            </w:pPr>
            <w:r w:rsidRPr="00A02B5E">
              <w:rPr>
                <w:rFonts w:asciiTheme="majorHAnsi" w:hAnsiTheme="majorHAnsi"/>
              </w:rPr>
              <w:t>United Kingdom</w:t>
            </w:r>
          </w:p>
        </w:tc>
        <w:tc>
          <w:tcPr>
            <w:tcW w:w="5187" w:type="dxa"/>
          </w:tcPr>
          <w:p w14:paraId="7104BF7B" w14:textId="77777777" w:rsidR="00D361E3" w:rsidRPr="00A02B5E" w:rsidRDefault="00D361E3" w:rsidP="00C521E8">
            <w:pPr>
              <w:rPr>
                <w:rFonts w:asciiTheme="majorHAnsi" w:hAnsiTheme="majorHAnsi"/>
              </w:rPr>
            </w:pPr>
            <w:r w:rsidRPr="00A02B5E">
              <w:rPr>
                <w:rFonts w:asciiTheme="majorHAnsi" w:hAnsiTheme="majorHAnsi"/>
              </w:rPr>
              <w:t>Piecemeal only</w:t>
            </w:r>
            <w:r w:rsidRPr="00A02B5E">
              <w:rPr>
                <w:rStyle w:val="FootnoteReference"/>
                <w:rFonts w:asciiTheme="majorHAnsi" w:hAnsiTheme="majorHAnsi"/>
              </w:rPr>
              <w:footnoteReference w:id="16"/>
            </w:r>
          </w:p>
        </w:tc>
      </w:tr>
      <w:tr w:rsidR="00D361E3" w:rsidRPr="00A02B5E" w14:paraId="65BA13DF" w14:textId="77777777" w:rsidTr="00C521E8">
        <w:tc>
          <w:tcPr>
            <w:tcW w:w="3001" w:type="dxa"/>
          </w:tcPr>
          <w:p w14:paraId="5C633D63" w14:textId="77777777" w:rsidR="00D361E3" w:rsidRPr="00A02B5E" w:rsidRDefault="00D361E3" w:rsidP="00C521E8">
            <w:pPr>
              <w:rPr>
                <w:rFonts w:asciiTheme="majorHAnsi" w:hAnsiTheme="majorHAnsi"/>
              </w:rPr>
            </w:pPr>
            <w:r w:rsidRPr="00A02B5E">
              <w:rPr>
                <w:rFonts w:asciiTheme="majorHAnsi" w:hAnsiTheme="majorHAnsi"/>
              </w:rPr>
              <w:t>United States</w:t>
            </w:r>
          </w:p>
        </w:tc>
        <w:tc>
          <w:tcPr>
            <w:tcW w:w="5187" w:type="dxa"/>
          </w:tcPr>
          <w:p w14:paraId="6636F74C" w14:textId="77777777" w:rsidR="00D361E3" w:rsidRPr="00A02B5E" w:rsidRDefault="00D361E3" w:rsidP="00C521E8">
            <w:pPr>
              <w:rPr>
                <w:rFonts w:asciiTheme="majorHAnsi" w:hAnsiTheme="majorHAnsi"/>
              </w:rPr>
            </w:pPr>
            <w:r w:rsidRPr="00A02B5E">
              <w:rPr>
                <w:rFonts w:asciiTheme="majorHAnsi" w:hAnsiTheme="majorHAnsi"/>
              </w:rPr>
              <w:t>No</w:t>
            </w:r>
            <w:r w:rsidRPr="00A02B5E">
              <w:rPr>
                <w:rStyle w:val="FootnoteReference"/>
                <w:rFonts w:asciiTheme="majorHAnsi" w:hAnsiTheme="majorHAnsi"/>
              </w:rPr>
              <w:footnoteReference w:id="17"/>
            </w:r>
          </w:p>
        </w:tc>
      </w:tr>
      <w:tr w:rsidR="00D361E3" w:rsidRPr="00A02B5E" w14:paraId="7ECC980E" w14:textId="77777777" w:rsidTr="00C521E8">
        <w:tc>
          <w:tcPr>
            <w:tcW w:w="3001" w:type="dxa"/>
          </w:tcPr>
          <w:p w14:paraId="2E99361E" w14:textId="77777777" w:rsidR="00D361E3" w:rsidRPr="00A02B5E" w:rsidRDefault="00D361E3" w:rsidP="00C521E8">
            <w:pPr>
              <w:rPr>
                <w:rFonts w:asciiTheme="majorHAnsi" w:hAnsiTheme="majorHAnsi"/>
              </w:rPr>
            </w:pPr>
            <w:r w:rsidRPr="00A02B5E">
              <w:rPr>
                <w:rFonts w:asciiTheme="majorHAnsi" w:hAnsiTheme="majorHAnsi"/>
              </w:rPr>
              <w:t>Canada</w:t>
            </w:r>
          </w:p>
        </w:tc>
        <w:tc>
          <w:tcPr>
            <w:tcW w:w="5187" w:type="dxa"/>
          </w:tcPr>
          <w:p w14:paraId="46BDEA26" w14:textId="77777777" w:rsidR="00D361E3" w:rsidRPr="00A02B5E" w:rsidRDefault="00D361E3" w:rsidP="00C521E8">
            <w:pPr>
              <w:rPr>
                <w:rFonts w:asciiTheme="majorHAnsi" w:hAnsiTheme="majorHAnsi"/>
              </w:rPr>
            </w:pPr>
            <w:r w:rsidRPr="00A02B5E">
              <w:rPr>
                <w:rFonts w:asciiTheme="majorHAnsi" w:hAnsiTheme="majorHAnsi"/>
              </w:rPr>
              <w:t>Piecemeal only</w:t>
            </w:r>
            <w:r w:rsidRPr="00A02B5E">
              <w:rPr>
                <w:rStyle w:val="FootnoteReference"/>
                <w:rFonts w:asciiTheme="majorHAnsi" w:hAnsiTheme="majorHAnsi"/>
              </w:rPr>
              <w:footnoteReference w:id="18"/>
            </w:r>
          </w:p>
        </w:tc>
      </w:tr>
    </w:tbl>
    <w:p w14:paraId="09F252A4" w14:textId="77777777" w:rsidR="00D361E3" w:rsidRPr="00A02B5E" w:rsidRDefault="00D361E3" w:rsidP="00D361E3">
      <w:pPr>
        <w:rPr>
          <w:rFonts w:asciiTheme="majorHAnsi" w:hAnsiTheme="majorHAnsi"/>
        </w:rPr>
      </w:pPr>
    </w:p>
    <w:p w14:paraId="17699E7E" w14:textId="14096CCC" w:rsidR="001831B6" w:rsidRDefault="00D361E3">
      <w:pPr>
        <w:rPr>
          <w:rFonts w:asciiTheme="majorHAnsi" w:hAnsiTheme="majorHAnsi"/>
        </w:rPr>
      </w:pPr>
      <w:r w:rsidRPr="00A02B5E">
        <w:rPr>
          <w:rFonts w:asciiTheme="majorHAnsi" w:hAnsiTheme="majorHAnsi"/>
        </w:rPr>
        <w:t xml:space="preserve">Nonetheless, it would be appropriate for our corporate insolvency law to state its objectives on its face. </w:t>
      </w:r>
      <w:r w:rsidR="006B301D">
        <w:rPr>
          <w:rFonts w:asciiTheme="majorHAnsi" w:hAnsiTheme="majorHAnsi"/>
        </w:rPr>
        <w:t>This was ultimately the recommendation of the 2023 insolvency review.</w:t>
      </w:r>
      <w:r w:rsidR="006B301D">
        <w:rPr>
          <w:rStyle w:val="FootnoteReference"/>
          <w:rFonts w:asciiTheme="majorHAnsi" w:hAnsiTheme="majorHAnsi"/>
        </w:rPr>
        <w:footnoteReference w:id="19"/>
      </w:r>
      <w:r w:rsidR="006B301D">
        <w:rPr>
          <w:rFonts w:asciiTheme="majorHAnsi" w:hAnsiTheme="majorHAnsi"/>
        </w:rPr>
        <w:t xml:space="preserve"> </w:t>
      </w:r>
      <w:r w:rsidR="00404C29">
        <w:rPr>
          <w:rFonts w:asciiTheme="majorHAnsi" w:hAnsiTheme="majorHAnsi"/>
        </w:rPr>
        <w:t xml:space="preserve">A statement of objects </w:t>
      </w:r>
      <w:r w:rsidRPr="00A02B5E">
        <w:rPr>
          <w:rFonts w:asciiTheme="majorHAnsi" w:hAnsiTheme="majorHAnsi"/>
        </w:rPr>
        <w:t>would increase the predictability, and aid the interpretation of, our insolvency law, potentially with positive downstream impacts on creditor willingness to lend.</w:t>
      </w:r>
    </w:p>
    <w:p w14:paraId="677F2709" w14:textId="77777777" w:rsidR="001831B6" w:rsidRDefault="001831B6">
      <w:pPr>
        <w:rPr>
          <w:rFonts w:asciiTheme="majorHAnsi" w:hAnsiTheme="majorHAnsi"/>
        </w:rPr>
      </w:pPr>
    </w:p>
    <w:p w14:paraId="3059134E" w14:textId="49F21792" w:rsidR="00ED7D1C" w:rsidRPr="00172ED1" w:rsidRDefault="00D361E3">
      <w:pPr>
        <w:rPr>
          <w:rFonts w:asciiTheme="majorHAnsi" w:hAnsiTheme="majorHAnsi"/>
        </w:rPr>
      </w:pPr>
      <w:r w:rsidRPr="00A02B5E">
        <w:rPr>
          <w:rFonts w:asciiTheme="majorHAnsi" w:hAnsiTheme="majorHAnsi"/>
        </w:rPr>
        <w:t>Objects clauses are increasingly common in Commonwealth legislation. Objects clauses assist because “[i]n the interpretation of a provision of an Act, a construction that would promote the purpose or object underlying the Act (whether that purpose or object is expressly stated in the Act or not) shall be preferred to a construction that would not promote that purpose or object.”</w:t>
      </w:r>
      <w:r w:rsidRPr="00A02B5E">
        <w:rPr>
          <w:rStyle w:val="FootnoteReference"/>
          <w:rFonts w:asciiTheme="majorHAnsi" w:hAnsiTheme="majorHAnsi"/>
        </w:rPr>
        <w:footnoteReference w:id="20"/>
      </w:r>
      <w:r w:rsidRPr="00A02B5E">
        <w:rPr>
          <w:rFonts w:asciiTheme="majorHAnsi" w:hAnsiTheme="majorHAnsi"/>
        </w:rPr>
        <w:t xml:space="preserve"> Naturally, the fact that Australia’s corporate insolvency law </w:t>
      </w:r>
      <w:proofErr w:type="spellStart"/>
      <w:r w:rsidRPr="00A02B5E">
        <w:rPr>
          <w:rFonts w:asciiTheme="majorHAnsi" w:hAnsiTheme="majorHAnsi"/>
        </w:rPr>
        <w:t>sits</w:t>
      </w:r>
      <w:proofErr w:type="spellEnd"/>
      <w:r w:rsidRPr="00A02B5E">
        <w:rPr>
          <w:rFonts w:asciiTheme="majorHAnsi" w:hAnsiTheme="majorHAnsi"/>
        </w:rPr>
        <w:t xml:space="preserve"> within the Corporations Act, rather than in a standalone piece of legislation, would complicate the insertion of an objects clause. We say more about the prospect of standalone legislation in the following section.</w:t>
      </w:r>
    </w:p>
    <w:p w14:paraId="644653E0" w14:textId="77777777" w:rsidR="00C65B85" w:rsidRPr="00A02B5E" w:rsidRDefault="00C65B85" w:rsidP="00C65B85">
      <w:pPr>
        <w:pStyle w:val="Heading1"/>
        <w:rPr>
          <w:rFonts w:asciiTheme="majorHAnsi" w:hAnsiTheme="majorHAnsi"/>
        </w:rPr>
      </w:pPr>
      <w:r w:rsidRPr="00A02B5E">
        <w:rPr>
          <w:rFonts w:asciiTheme="majorHAnsi" w:hAnsiTheme="majorHAnsi"/>
        </w:rPr>
        <w:t>Whether further harmonising Australia’s corporate and personal insolvency frameworks would create a net benefit, particularly for small business owners</w:t>
      </w:r>
    </w:p>
    <w:p w14:paraId="790CAF95" w14:textId="77777777" w:rsidR="00C65B85" w:rsidRPr="00A02B5E" w:rsidRDefault="00C65B85" w:rsidP="00C65B85">
      <w:pPr>
        <w:rPr>
          <w:rFonts w:asciiTheme="majorHAnsi" w:hAnsiTheme="majorHAnsi"/>
        </w:rPr>
      </w:pPr>
    </w:p>
    <w:p w14:paraId="76B8E6F4" w14:textId="77777777" w:rsidR="00B336C7" w:rsidRPr="00A02B5E" w:rsidRDefault="00B336C7" w:rsidP="001B6158">
      <w:pPr>
        <w:rPr>
          <w:rFonts w:asciiTheme="majorHAnsi" w:hAnsiTheme="majorHAnsi"/>
          <w:b/>
          <w:bCs/>
          <w:u w:val="single"/>
        </w:rPr>
      </w:pPr>
      <w:r w:rsidRPr="00A02B5E">
        <w:rPr>
          <w:rFonts w:asciiTheme="majorHAnsi" w:hAnsiTheme="majorHAnsi"/>
          <w:b/>
          <w:bCs/>
          <w:u w:val="single"/>
        </w:rPr>
        <w:t xml:space="preserve">Procedural harmonisation </w:t>
      </w:r>
      <w:r w:rsidRPr="00A02B5E">
        <w:rPr>
          <w:rFonts w:asciiTheme="majorHAnsi" w:hAnsiTheme="majorHAnsi"/>
          <w:b/>
          <w:bCs/>
          <w:u w:val="single"/>
        </w:rPr>
        <w:br/>
      </w:r>
    </w:p>
    <w:p w14:paraId="2E811A59" w14:textId="77777777" w:rsidR="00B55905" w:rsidRPr="00A02B5E" w:rsidRDefault="00E21E01" w:rsidP="001B6158">
      <w:pPr>
        <w:rPr>
          <w:rFonts w:asciiTheme="majorHAnsi" w:hAnsiTheme="majorHAnsi"/>
        </w:rPr>
      </w:pPr>
      <w:r w:rsidRPr="00A02B5E">
        <w:rPr>
          <w:rFonts w:asciiTheme="majorHAnsi" w:hAnsiTheme="majorHAnsi"/>
        </w:rPr>
        <w:t xml:space="preserve">The Harmer </w:t>
      </w:r>
      <w:r w:rsidR="007A0A19">
        <w:rPr>
          <w:rFonts w:asciiTheme="majorHAnsi" w:hAnsiTheme="majorHAnsi"/>
        </w:rPr>
        <w:t>report</w:t>
      </w:r>
      <w:r w:rsidR="00401A09" w:rsidRPr="00A02B5E">
        <w:rPr>
          <w:rFonts w:asciiTheme="majorHAnsi" w:hAnsiTheme="majorHAnsi"/>
        </w:rPr>
        <w:t xml:space="preserve"> considered whether to harmonise Australia’s corporate and personal insolvency frameworks into one law. </w:t>
      </w:r>
      <w:r w:rsidR="00EB3A0E" w:rsidRPr="00A02B5E">
        <w:rPr>
          <w:rFonts w:asciiTheme="majorHAnsi" w:hAnsiTheme="majorHAnsi"/>
        </w:rPr>
        <w:t xml:space="preserve">It noted that submissions on the costs and benefits </w:t>
      </w:r>
      <w:r w:rsidR="00CC4E49">
        <w:rPr>
          <w:rFonts w:asciiTheme="majorHAnsi" w:hAnsiTheme="majorHAnsi"/>
        </w:rPr>
        <w:t xml:space="preserve">of doing so </w:t>
      </w:r>
      <w:r w:rsidR="00EB3A0E" w:rsidRPr="00A02B5E">
        <w:rPr>
          <w:rFonts w:asciiTheme="majorHAnsi" w:hAnsiTheme="majorHAnsi"/>
        </w:rPr>
        <w:t xml:space="preserve">were divided. </w:t>
      </w:r>
      <w:r w:rsidR="002534DA" w:rsidRPr="00A02B5E">
        <w:rPr>
          <w:rFonts w:asciiTheme="majorHAnsi" w:hAnsiTheme="majorHAnsi"/>
        </w:rPr>
        <w:t xml:space="preserve">It ultimately </w:t>
      </w:r>
      <w:r w:rsidR="00EB3A0E" w:rsidRPr="00A02B5E">
        <w:rPr>
          <w:rFonts w:asciiTheme="majorHAnsi" w:hAnsiTheme="majorHAnsi"/>
        </w:rPr>
        <w:t>concluded that the question of harmonisation was “not a major issue”</w:t>
      </w:r>
      <w:r>
        <w:rPr>
          <w:rFonts w:asciiTheme="majorHAnsi" w:hAnsiTheme="majorHAnsi"/>
        </w:rPr>
        <w:t xml:space="preserve"> and did not recommend</w:t>
      </w:r>
      <w:r w:rsidR="008C517E">
        <w:rPr>
          <w:rFonts w:asciiTheme="majorHAnsi" w:hAnsiTheme="majorHAnsi"/>
        </w:rPr>
        <w:t xml:space="preserve"> harmonisation</w:t>
      </w:r>
      <w:r w:rsidR="002534DA" w:rsidRPr="00A02B5E">
        <w:rPr>
          <w:rFonts w:asciiTheme="majorHAnsi" w:hAnsiTheme="majorHAnsi"/>
        </w:rPr>
        <w:t>.</w:t>
      </w:r>
      <w:r w:rsidR="00EB3A0E" w:rsidRPr="00A02B5E">
        <w:rPr>
          <w:rStyle w:val="FootnoteReference"/>
          <w:rFonts w:asciiTheme="majorHAnsi" w:hAnsiTheme="majorHAnsi"/>
        </w:rPr>
        <w:footnoteReference w:id="21"/>
      </w:r>
      <w:r w:rsidR="00EB3A0E" w:rsidRPr="00A02B5E">
        <w:rPr>
          <w:rFonts w:asciiTheme="majorHAnsi" w:hAnsiTheme="majorHAnsi"/>
        </w:rPr>
        <w:t xml:space="preserve"> </w:t>
      </w:r>
    </w:p>
    <w:p w14:paraId="29DC9DFA" w14:textId="3486215A" w:rsidR="00E21E01" w:rsidRPr="00A02B5E" w:rsidRDefault="00E21E01" w:rsidP="001B6158">
      <w:pPr>
        <w:rPr>
          <w:rFonts w:asciiTheme="majorHAnsi" w:hAnsiTheme="majorHAnsi"/>
        </w:rPr>
      </w:pPr>
    </w:p>
    <w:p w14:paraId="0FA54AE7" w14:textId="77777777" w:rsidR="00D23C99" w:rsidRPr="00A02B5E" w:rsidRDefault="00E21E01" w:rsidP="00826093">
      <w:pPr>
        <w:rPr>
          <w:rFonts w:asciiTheme="majorHAnsi" w:hAnsiTheme="majorHAnsi"/>
        </w:rPr>
      </w:pPr>
      <w:r w:rsidRPr="00A02B5E">
        <w:rPr>
          <w:rFonts w:asciiTheme="majorHAnsi" w:hAnsiTheme="majorHAnsi"/>
        </w:rPr>
        <w:t xml:space="preserve">Most </w:t>
      </w:r>
      <w:r w:rsidR="00AB690D" w:rsidRPr="00A02B5E">
        <w:rPr>
          <w:rFonts w:asciiTheme="majorHAnsi" w:hAnsiTheme="majorHAnsi"/>
        </w:rPr>
        <w:t xml:space="preserve">civil law countries have a bankruptcy system for </w:t>
      </w:r>
      <w:r w:rsidR="00177CDF">
        <w:rPr>
          <w:rFonts w:asciiTheme="majorHAnsi" w:hAnsiTheme="majorHAnsi"/>
        </w:rPr>
        <w:t>business</w:t>
      </w:r>
      <w:r w:rsidR="00AB690D" w:rsidRPr="00A02B5E">
        <w:rPr>
          <w:rFonts w:asciiTheme="majorHAnsi" w:hAnsiTheme="majorHAnsi"/>
        </w:rPr>
        <w:t xml:space="preserve"> and non-</w:t>
      </w:r>
      <w:r w:rsidR="00177CDF">
        <w:rPr>
          <w:rFonts w:asciiTheme="majorHAnsi" w:hAnsiTheme="majorHAnsi"/>
        </w:rPr>
        <w:t xml:space="preserve">business debts </w:t>
      </w:r>
      <w:r w:rsidR="00466272">
        <w:rPr>
          <w:rFonts w:asciiTheme="majorHAnsi" w:hAnsiTheme="majorHAnsi"/>
        </w:rPr>
        <w:t xml:space="preserve">that do not discriminate based on the </w:t>
      </w:r>
      <w:r w:rsidR="00AB690D" w:rsidRPr="00A02B5E">
        <w:rPr>
          <w:rFonts w:asciiTheme="majorHAnsi" w:hAnsiTheme="majorHAnsi"/>
        </w:rPr>
        <w:t>corporate form</w:t>
      </w:r>
      <w:r w:rsidR="00466272">
        <w:rPr>
          <w:rFonts w:asciiTheme="majorHAnsi" w:hAnsiTheme="majorHAnsi"/>
        </w:rPr>
        <w:t xml:space="preserve"> of the debtor</w:t>
      </w:r>
      <w:r w:rsidR="00AB690D" w:rsidRPr="00A02B5E">
        <w:rPr>
          <w:rFonts w:asciiTheme="majorHAnsi" w:hAnsiTheme="majorHAnsi"/>
        </w:rPr>
        <w:t>.</w:t>
      </w:r>
      <w:r w:rsidR="00352D61" w:rsidRPr="00A02B5E">
        <w:rPr>
          <w:rFonts w:asciiTheme="majorHAnsi" w:hAnsiTheme="majorHAnsi"/>
        </w:rPr>
        <w:t xml:space="preserve"> </w:t>
      </w:r>
      <w:r w:rsidR="00786958">
        <w:rPr>
          <w:rFonts w:asciiTheme="majorHAnsi" w:hAnsiTheme="majorHAnsi"/>
        </w:rPr>
        <w:t xml:space="preserve">Many </w:t>
      </w:r>
      <w:r w:rsidR="00AB690D" w:rsidRPr="00A02B5E">
        <w:rPr>
          <w:rFonts w:asciiTheme="majorHAnsi" w:hAnsiTheme="majorHAnsi"/>
        </w:rPr>
        <w:t xml:space="preserve">then have a separate law </w:t>
      </w:r>
      <w:r w:rsidR="0097003E" w:rsidRPr="00A02B5E">
        <w:rPr>
          <w:rFonts w:asciiTheme="majorHAnsi" w:hAnsiTheme="majorHAnsi"/>
        </w:rPr>
        <w:t xml:space="preserve">dealing with </w:t>
      </w:r>
      <w:r w:rsidR="00AB690D" w:rsidRPr="00A02B5E">
        <w:rPr>
          <w:rFonts w:asciiTheme="majorHAnsi" w:hAnsiTheme="majorHAnsi"/>
        </w:rPr>
        <w:t>the non-busines</w:t>
      </w:r>
      <w:r w:rsidR="00CD7470" w:rsidRPr="00A02B5E">
        <w:rPr>
          <w:rFonts w:asciiTheme="majorHAnsi" w:hAnsiTheme="majorHAnsi"/>
        </w:rPr>
        <w:t>s</w:t>
      </w:r>
      <w:r w:rsidR="00AB690D" w:rsidRPr="00A02B5E">
        <w:rPr>
          <w:rFonts w:asciiTheme="majorHAnsi" w:hAnsiTheme="majorHAnsi"/>
        </w:rPr>
        <w:t xml:space="preserve">-related debts of individuals. </w:t>
      </w:r>
      <w:r w:rsidR="007F1CB9" w:rsidRPr="00A02B5E">
        <w:rPr>
          <w:rFonts w:asciiTheme="majorHAnsi" w:hAnsiTheme="majorHAnsi"/>
        </w:rPr>
        <w:t xml:space="preserve">For example, in France, the </w:t>
      </w:r>
      <w:r w:rsidR="007F1CB9" w:rsidRPr="00A02B5E">
        <w:rPr>
          <w:rFonts w:asciiTheme="majorHAnsi" w:hAnsiTheme="majorHAnsi"/>
          <w:i/>
          <w:iCs/>
        </w:rPr>
        <w:t xml:space="preserve">Code de Commerce </w:t>
      </w:r>
      <w:r w:rsidR="007F1CB9" w:rsidRPr="00A02B5E">
        <w:rPr>
          <w:rFonts w:asciiTheme="majorHAnsi" w:hAnsiTheme="majorHAnsi"/>
        </w:rPr>
        <w:t xml:space="preserve">applies to companies and any person engaged in commercial activity, while </w:t>
      </w:r>
      <w:r w:rsidR="00F10578" w:rsidRPr="00A02B5E">
        <w:rPr>
          <w:rFonts w:asciiTheme="majorHAnsi" w:hAnsiTheme="majorHAnsi"/>
        </w:rPr>
        <w:t xml:space="preserve">purely </w:t>
      </w:r>
      <w:r w:rsidR="007F1CB9" w:rsidRPr="00A02B5E">
        <w:rPr>
          <w:rFonts w:asciiTheme="majorHAnsi" w:hAnsiTheme="majorHAnsi"/>
        </w:rPr>
        <w:t xml:space="preserve">consumer debts are dealt with under the </w:t>
      </w:r>
      <w:r w:rsidR="007F1CB9" w:rsidRPr="00A02B5E">
        <w:rPr>
          <w:rFonts w:asciiTheme="majorHAnsi" w:hAnsiTheme="majorHAnsi"/>
          <w:i/>
          <w:iCs/>
        </w:rPr>
        <w:t xml:space="preserve">Code de la </w:t>
      </w:r>
      <w:proofErr w:type="spellStart"/>
      <w:r w:rsidR="007F1CB9" w:rsidRPr="00A02B5E">
        <w:rPr>
          <w:rFonts w:asciiTheme="majorHAnsi" w:hAnsiTheme="majorHAnsi"/>
          <w:i/>
          <w:iCs/>
        </w:rPr>
        <w:t>Consom</w:t>
      </w:r>
      <w:r w:rsidR="003279E1" w:rsidRPr="00A02B5E">
        <w:rPr>
          <w:rFonts w:asciiTheme="majorHAnsi" w:hAnsiTheme="majorHAnsi"/>
          <w:i/>
          <w:iCs/>
        </w:rPr>
        <w:t>m</w:t>
      </w:r>
      <w:r w:rsidR="007F1CB9" w:rsidRPr="00A02B5E">
        <w:rPr>
          <w:rFonts w:asciiTheme="majorHAnsi" w:hAnsiTheme="majorHAnsi"/>
          <w:i/>
          <w:iCs/>
        </w:rPr>
        <w:t>ation</w:t>
      </w:r>
      <w:proofErr w:type="spellEnd"/>
      <w:r w:rsidR="007F1CB9" w:rsidRPr="00A02B5E">
        <w:rPr>
          <w:rFonts w:asciiTheme="majorHAnsi" w:hAnsiTheme="majorHAnsi"/>
          <w:i/>
          <w:iCs/>
        </w:rPr>
        <w:t xml:space="preserve">. </w:t>
      </w:r>
    </w:p>
    <w:p w14:paraId="5337338B" w14:textId="77777777" w:rsidR="00E11A6C" w:rsidRPr="00A02B5E" w:rsidRDefault="00E11A6C" w:rsidP="00826093">
      <w:pPr>
        <w:rPr>
          <w:rFonts w:asciiTheme="majorHAnsi" w:hAnsiTheme="majorHAnsi"/>
        </w:rPr>
      </w:pPr>
    </w:p>
    <w:p w14:paraId="07C13B1C" w14:textId="77777777" w:rsidR="007F5688" w:rsidRPr="00A02B5E" w:rsidRDefault="00E11A6C" w:rsidP="00972D6A">
      <w:pPr>
        <w:rPr>
          <w:rFonts w:asciiTheme="majorHAnsi" w:hAnsiTheme="majorHAnsi"/>
        </w:rPr>
      </w:pPr>
      <w:r w:rsidRPr="00A02B5E">
        <w:rPr>
          <w:rFonts w:asciiTheme="majorHAnsi" w:hAnsiTheme="majorHAnsi"/>
        </w:rPr>
        <w:t xml:space="preserve">Most </w:t>
      </w:r>
      <w:r w:rsidR="00B35EB3" w:rsidRPr="00A02B5E">
        <w:rPr>
          <w:rFonts w:asciiTheme="majorHAnsi" w:hAnsiTheme="majorHAnsi"/>
        </w:rPr>
        <w:t xml:space="preserve">common law countries (including Australia) inherited the United Kingdom’s historic approach of a bankruptcy law that deals with the insolvency of natural persons, and a </w:t>
      </w:r>
      <w:proofErr w:type="spellStart"/>
      <w:proofErr w:type="gramStart"/>
      <w:r w:rsidR="00B35EB3" w:rsidRPr="00A02B5E">
        <w:rPr>
          <w:rFonts w:asciiTheme="majorHAnsi" w:hAnsiTheme="majorHAnsi"/>
        </w:rPr>
        <w:t>companies</w:t>
      </w:r>
      <w:proofErr w:type="spellEnd"/>
      <w:proofErr w:type="gramEnd"/>
      <w:r w:rsidR="00B35EB3" w:rsidRPr="00A02B5E">
        <w:rPr>
          <w:rFonts w:asciiTheme="majorHAnsi" w:hAnsiTheme="majorHAnsi"/>
        </w:rPr>
        <w:t xml:space="preserve"> law that deals with, among other things, the insolvency of companies. </w:t>
      </w:r>
      <w:r w:rsidR="00BF577A" w:rsidRPr="00A02B5E">
        <w:rPr>
          <w:rFonts w:asciiTheme="majorHAnsi" w:hAnsiTheme="majorHAnsi"/>
        </w:rPr>
        <w:t xml:space="preserve">The United Kingdom switched in 1986 to the </w:t>
      </w:r>
      <w:r w:rsidR="00BF577A" w:rsidRPr="00A02B5E">
        <w:rPr>
          <w:rFonts w:asciiTheme="majorHAnsi" w:hAnsiTheme="majorHAnsi"/>
        </w:rPr>
        <w:lastRenderedPageBreak/>
        <w:t xml:space="preserve">harmonised approach of housing the laws on personal and corporate insolvency in a consolidated </w:t>
      </w:r>
      <w:r w:rsidR="00BF577A" w:rsidRPr="00A02B5E">
        <w:rPr>
          <w:rFonts w:asciiTheme="majorHAnsi" w:hAnsiTheme="majorHAnsi"/>
          <w:i/>
          <w:iCs/>
        </w:rPr>
        <w:t xml:space="preserve">Insolvency Act 1986. </w:t>
      </w:r>
      <w:r w:rsidR="00153B28" w:rsidRPr="00A02B5E">
        <w:rPr>
          <w:rFonts w:asciiTheme="majorHAnsi" w:hAnsiTheme="majorHAnsi"/>
        </w:rPr>
        <w:t>This approach has since been followed in countries including New Zealand</w:t>
      </w:r>
      <w:r w:rsidR="00153B28" w:rsidRPr="00A02B5E">
        <w:rPr>
          <w:rStyle w:val="FootnoteReference"/>
          <w:rFonts w:asciiTheme="majorHAnsi" w:hAnsiTheme="majorHAnsi"/>
        </w:rPr>
        <w:footnoteReference w:id="22"/>
      </w:r>
      <w:r w:rsidR="00CE0DB4" w:rsidRPr="00A02B5E">
        <w:rPr>
          <w:rFonts w:asciiTheme="majorHAnsi" w:hAnsiTheme="majorHAnsi"/>
        </w:rPr>
        <w:t xml:space="preserve"> </w:t>
      </w:r>
      <w:r w:rsidR="00237862" w:rsidRPr="00A02B5E">
        <w:rPr>
          <w:rFonts w:asciiTheme="majorHAnsi" w:hAnsiTheme="majorHAnsi"/>
        </w:rPr>
        <w:t xml:space="preserve">and </w:t>
      </w:r>
      <w:r w:rsidR="00865B58" w:rsidRPr="00A02B5E">
        <w:rPr>
          <w:rFonts w:asciiTheme="majorHAnsi" w:hAnsiTheme="majorHAnsi"/>
        </w:rPr>
        <w:t>Singapore</w:t>
      </w:r>
      <w:r w:rsidR="00237862" w:rsidRPr="00A02B5E">
        <w:rPr>
          <w:rFonts w:asciiTheme="majorHAnsi" w:hAnsiTheme="majorHAnsi"/>
        </w:rPr>
        <w:t>.</w:t>
      </w:r>
      <w:r w:rsidR="00865B58" w:rsidRPr="00A02B5E">
        <w:rPr>
          <w:rStyle w:val="FootnoteReference"/>
          <w:rFonts w:asciiTheme="majorHAnsi" w:hAnsiTheme="majorHAnsi"/>
        </w:rPr>
        <w:footnoteReference w:id="23"/>
      </w:r>
    </w:p>
    <w:p w14:paraId="1B054BF5" w14:textId="77777777" w:rsidR="00B336C7" w:rsidRPr="00A02B5E" w:rsidRDefault="00B336C7" w:rsidP="00972D6A">
      <w:pPr>
        <w:rPr>
          <w:rFonts w:asciiTheme="majorHAnsi" w:hAnsiTheme="majorHAnsi"/>
        </w:rPr>
      </w:pPr>
    </w:p>
    <w:p w14:paraId="353FC4FB" w14:textId="77777777" w:rsidR="000C3444" w:rsidRDefault="00F67370" w:rsidP="00DC646C">
      <w:pPr>
        <w:rPr>
          <w:rFonts w:asciiTheme="majorHAnsi" w:hAnsiTheme="majorHAnsi"/>
        </w:rPr>
      </w:pPr>
      <w:r w:rsidRPr="00A02B5E">
        <w:rPr>
          <w:rFonts w:asciiTheme="majorHAnsi" w:hAnsiTheme="majorHAnsi"/>
        </w:rPr>
        <w:t xml:space="preserve">Small businesspersons </w:t>
      </w:r>
      <w:r w:rsidR="00044469" w:rsidRPr="00A02B5E">
        <w:rPr>
          <w:rFonts w:asciiTheme="majorHAnsi" w:hAnsiTheme="majorHAnsi"/>
        </w:rPr>
        <w:t xml:space="preserve">operate at the margins </w:t>
      </w:r>
      <w:r w:rsidRPr="00A02B5E">
        <w:rPr>
          <w:rFonts w:asciiTheme="majorHAnsi" w:hAnsiTheme="majorHAnsi"/>
        </w:rPr>
        <w:t xml:space="preserve">between the personal and corporate insolvency </w:t>
      </w:r>
      <w:r w:rsidR="00C23B82" w:rsidRPr="00A02B5E">
        <w:rPr>
          <w:rFonts w:asciiTheme="majorHAnsi" w:hAnsiTheme="majorHAnsi"/>
        </w:rPr>
        <w:t>laws and have the most to benefit from a more harmonised approach to the law</w:t>
      </w:r>
      <w:r w:rsidR="00C31CA2" w:rsidRPr="00A02B5E">
        <w:rPr>
          <w:rFonts w:asciiTheme="majorHAnsi" w:hAnsiTheme="majorHAnsi"/>
        </w:rPr>
        <w:t>.</w:t>
      </w:r>
      <w:r w:rsidR="00831AA6" w:rsidRPr="00A02B5E">
        <w:rPr>
          <w:rFonts w:asciiTheme="majorHAnsi" w:hAnsiTheme="majorHAnsi"/>
        </w:rPr>
        <w:t xml:space="preserve"> The reality is that for many small businesses, personal and corporate affairs are</w:t>
      </w:r>
      <w:r w:rsidR="009563B9" w:rsidRPr="00A02B5E">
        <w:rPr>
          <w:rFonts w:asciiTheme="majorHAnsi" w:hAnsiTheme="majorHAnsi"/>
        </w:rPr>
        <w:t xml:space="preserve"> fundamentally</w:t>
      </w:r>
      <w:r w:rsidR="00831AA6" w:rsidRPr="00A02B5E">
        <w:rPr>
          <w:rFonts w:asciiTheme="majorHAnsi" w:hAnsiTheme="majorHAnsi"/>
        </w:rPr>
        <w:t xml:space="preserve"> intermingled</w:t>
      </w:r>
      <w:r w:rsidR="009875D8" w:rsidRPr="00A02B5E">
        <w:rPr>
          <w:rFonts w:asciiTheme="majorHAnsi" w:hAnsiTheme="majorHAnsi"/>
        </w:rPr>
        <w:t xml:space="preserve"> by way of </w:t>
      </w:r>
      <w:r w:rsidR="00831AA6" w:rsidRPr="00A02B5E">
        <w:rPr>
          <w:rFonts w:asciiTheme="majorHAnsi" w:hAnsiTheme="majorHAnsi"/>
        </w:rPr>
        <w:t xml:space="preserve">personal guarantees. </w:t>
      </w:r>
      <w:r w:rsidR="008B6E4E" w:rsidRPr="00A02B5E">
        <w:rPr>
          <w:rFonts w:asciiTheme="majorHAnsi" w:hAnsiTheme="majorHAnsi"/>
        </w:rPr>
        <w:t>T</w:t>
      </w:r>
      <w:r w:rsidR="00DF5A53" w:rsidRPr="00A02B5E">
        <w:rPr>
          <w:rFonts w:asciiTheme="majorHAnsi" w:hAnsiTheme="majorHAnsi"/>
        </w:rPr>
        <w:t xml:space="preserve">he affairs of sophisticated unincorporated sole traders may resemble those of </w:t>
      </w:r>
      <w:proofErr w:type="gramStart"/>
      <w:r w:rsidR="00DF5A53" w:rsidRPr="00A02B5E">
        <w:rPr>
          <w:rFonts w:asciiTheme="majorHAnsi" w:hAnsiTheme="majorHAnsi"/>
        </w:rPr>
        <w:t>corporations, but</w:t>
      </w:r>
      <w:proofErr w:type="gramEnd"/>
      <w:r w:rsidR="00DF5A53" w:rsidRPr="00A02B5E">
        <w:rPr>
          <w:rFonts w:asciiTheme="majorHAnsi" w:hAnsiTheme="majorHAnsi"/>
        </w:rPr>
        <w:t xml:space="preserve"> are dealt with under a law for natural persons. </w:t>
      </w:r>
      <w:r w:rsidR="00C04500" w:rsidRPr="00A02B5E">
        <w:rPr>
          <w:rFonts w:asciiTheme="majorHAnsi" w:hAnsiTheme="majorHAnsi"/>
        </w:rPr>
        <w:t xml:space="preserve">Having two separate laws and regulators for corporations and natural persons makes it more challenging to address these issues. </w:t>
      </w:r>
    </w:p>
    <w:p w14:paraId="6A7495E4" w14:textId="77777777" w:rsidR="002D613E" w:rsidRDefault="002D613E" w:rsidP="00DC646C">
      <w:pPr>
        <w:rPr>
          <w:rFonts w:asciiTheme="majorHAnsi" w:hAnsiTheme="majorHAnsi"/>
        </w:rPr>
      </w:pPr>
    </w:p>
    <w:p w14:paraId="15A73B53" w14:textId="77777777" w:rsidR="002D613E" w:rsidRDefault="002D613E" w:rsidP="00DC646C">
      <w:pPr>
        <w:rPr>
          <w:rFonts w:asciiTheme="majorHAnsi" w:hAnsiTheme="majorHAnsi"/>
        </w:rPr>
      </w:pPr>
      <w:r>
        <w:rPr>
          <w:rFonts w:asciiTheme="majorHAnsi" w:hAnsiTheme="majorHAnsi"/>
        </w:rPr>
        <w:t xml:space="preserve">It is worthwhile to revisit the benefits of a consolidated law </w:t>
      </w:r>
      <w:r w:rsidR="001C6E0D">
        <w:rPr>
          <w:rFonts w:asciiTheme="majorHAnsi" w:hAnsiTheme="majorHAnsi"/>
        </w:rPr>
        <w:t>sum</w:t>
      </w:r>
      <w:r w:rsidR="00FE0A33">
        <w:rPr>
          <w:rFonts w:asciiTheme="majorHAnsi" w:hAnsiTheme="majorHAnsi"/>
        </w:rPr>
        <w:t>m</w:t>
      </w:r>
      <w:r w:rsidR="001C6E0D">
        <w:rPr>
          <w:rFonts w:asciiTheme="majorHAnsi" w:hAnsiTheme="majorHAnsi"/>
        </w:rPr>
        <w:t xml:space="preserve">arised </w:t>
      </w:r>
      <w:r>
        <w:rPr>
          <w:rFonts w:asciiTheme="majorHAnsi" w:hAnsiTheme="majorHAnsi"/>
        </w:rPr>
        <w:t xml:space="preserve">in the Harmer report, </w:t>
      </w:r>
      <w:r w:rsidR="00A00542">
        <w:rPr>
          <w:rFonts w:asciiTheme="majorHAnsi" w:hAnsiTheme="majorHAnsi"/>
        </w:rPr>
        <w:t xml:space="preserve">which </w:t>
      </w:r>
      <w:r>
        <w:rPr>
          <w:rFonts w:asciiTheme="majorHAnsi" w:hAnsiTheme="majorHAnsi"/>
        </w:rPr>
        <w:t xml:space="preserve">are just as relevant today: </w:t>
      </w:r>
    </w:p>
    <w:p w14:paraId="4B9B9D6B" w14:textId="77777777" w:rsidR="002D613E" w:rsidRDefault="002D613E" w:rsidP="00DC646C">
      <w:pPr>
        <w:rPr>
          <w:rFonts w:asciiTheme="majorHAnsi" w:hAnsiTheme="majorHAnsi"/>
        </w:rPr>
      </w:pPr>
    </w:p>
    <w:p w14:paraId="2BF2E98A" w14:textId="77777777" w:rsidR="002D613E" w:rsidRDefault="00310BFE" w:rsidP="00310BFE">
      <w:pPr>
        <w:pStyle w:val="ListParagraph"/>
        <w:numPr>
          <w:ilvl w:val="0"/>
          <w:numId w:val="49"/>
        </w:numPr>
        <w:rPr>
          <w:rFonts w:asciiTheme="majorHAnsi" w:hAnsiTheme="majorHAnsi"/>
        </w:rPr>
      </w:pPr>
      <w:r w:rsidRPr="00310BFE">
        <w:rPr>
          <w:rFonts w:asciiTheme="majorHAnsi" w:hAnsiTheme="majorHAnsi"/>
        </w:rPr>
        <w:t>Many aspects of insolvency law affecting the individual and the corporation are, or should be, the same</w:t>
      </w:r>
      <w:r>
        <w:rPr>
          <w:rFonts w:asciiTheme="majorHAnsi" w:hAnsiTheme="majorHAnsi"/>
        </w:rPr>
        <w:t>;</w:t>
      </w:r>
      <w:r w:rsidR="00D91769">
        <w:rPr>
          <w:rFonts w:asciiTheme="majorHAnsi" w:hAnsiTheme="majorHAnsi"/>
        </w:rPr>
        <w:br/>
      </w:r>
    </w:p>
    <w:p w14:paraId="20F61A8B" w14:textId="77777777" w:rsidR="00310BFE" w:rsidRDefault="00310BFE" w:rsidP="00310BFE">
      <w:pPr>
        <w:pStyle w:val="ListParagraph"/>
        <w:numPr>
          <w:ilvl w:val="0"/>
          <w:numId w:val="49"/>
        </w:numPr>
        <w:rPr>
          <w:rFonts w:asciiTheme="majorHAnsi" w:hAnsiTheme="majorHAnsi"/>
        </w:rPr>
      </w:pPr>
      <w:r>
        <w:rPr>
          <w:rFonts w:asciiTheme="majorHAnsi" w:hAnsiTheme="majorHAnsi"/>
        </w:rPr>
        <w:t>W</w:t>
      </w:r>
      <w:r w:rsidRPr="00310BFE">
        <w:rPr>
          <w:rFonts w:asciiTheme="majorHAnsi" w:hAnsiTheme="majorHAnsi"/>
        </w:rPr>
        <w:t xml:space="preserve">ith a single statutory scheme, one </w:t>
      </w:r>
      <w:r>
        <w:rPr>
          <w:rFonts w:asciiTheme="majorHAnsi" w:hAnsiTheme="majorHAnsi"/>
        </w:rPr>
        <w:t>regulator</w:t>
      </w:r>
      <w:r>
        <w:rPr>
          <w:rStyle w:val="FootnoteReference"/>
          <w:rFonts w:asciiTheme="majorHAnsi" w:hAnsiTheme="majorHAnsi"/>
        </w:rPr>
        <w:footnoteReference w:id="24"/>
      </w:r>
      <w:r>
        <w:rPr>
          <w:rFonts w:asciiTheme="majorHAnsi" w:hAnsiTheme="majorHAnsi"/>
        </w:rPr>
        <w:t xml:space="preserve"> </w:t>
      </w:r>
      <w:r w:rsidRPr="00310BFE">
        <w:rPr>
          <w:rFonts w:asciiTheme="majorHAnsi" w:hAnsiTheme="majorHAnsi"/>
        </w:rPr>
        <w:t>would have effective control of policy in relation to insolvency and changes could be made expeditiously</w:t>
      </w:r>
      <w:r>
        <w:rPr>
          <w:rFonts w:asciiTheme="majorHAnsi" w:hAnsiTheme="majorHAnsi"/>
        </w:rPr>
        <w:t xml:space="preserve">; </w:t>
      </w:r>
      <w:r w:rsidRPr="00310BFE">
        <w:rPr>
          <w:rFonts w:asciiTheme="majorHAnsi" w:hAnsiTheme="majorHAnsi"/>
        </w:rPr>
        <w:t xml:space="preserve">and </w:t>
      </w:r>
      <w:r w:rsidR="00D91769">
        <w:rPr>
          <w:rFonts w:asciiTheme="majorHAnsi" w:hAnsiTheme="majorHAnsi"/>
        </w:rPr>
        <w:br/>
      </w:r>
    </w:p>
    <w:p w14:paraId="1C64FDF2" w14:textId="77777777" w:rsidR="00310BFE" w:rsidRDefault="00310BFE" w:rsidP="00310BFE">
      <w:pPr>
        <w:pStyle w:val="ListParagraph"/>
        <w:numPr>
          <w:ilvl w:val="0"/>
          <w:numId w:val="49"/>
        </w:numPr>
        <w:rPr>
          <w:rFonts w:asciiTheme="majorHAnsi" w:hAnsiTheme="majorHAnsi"/>
        </w:rPr>
      </w:pPr>
      <w:r>
        <w:rPr>
          <w:rFonts w:asciiTheme="majorHAnsi" w:hAnsiTheme="majorHAnsi"/>
        </w:rPr>
        <w:t>Greater efficiency and cost savings would be achieved by common procedures.</w:t>
      </w:r>
      <w:r w:rsidR="00FC3927">
        <w:rPr>
          <w:rStyle w:val="FootnoteReference"/>
          <w:rFonts w:asciiTheme="majorHAnsi" w:hAnsiTheme="majorHAnsi"/>
        </w:rPr>
        <w:footnoteReference w:id="25"/>
      </w:r>
      <w:r>
        <w:rPr>
          <w:rFonts w:asciiTheme="majorHAnsi" w:hAnsiTheme="majorHAnsi"/>
        </w:rPr>
        <w:t xml:space="preserve"> </w:t>
      </w:r>
    </w:p>
    <w:p w14:paraId="696EF046" w14:textId="77777777" w:rsidR="00D06D7A" w:rsidRDefault="00D06D7A" w:rsidP="00D06D7A">
      <w:pPr>
        <w:rPr>
          <w:rFonts w:asciiTheme="majorHAnsi" w:hAnsiTheme="majorHAnsi"/>
        </w:rPr>
      </w:pPr>
    </w:p>
    <w:p w14:paraId="60049295" w14:textId="77777777" w:rsidR="00D06D7A" w:rsidRPr="00D06D7A" w:rsidRDefault="00D06D7A" w:rsidP="00D06D7A">
      <w:pPr>
        <w:rPr>
          <w:rFonts w:asciiTheme="majorHAnsi" w:hAnsiTheme="majorHAnsi"/>
        </w:rPr>
      </w:pPr>
      <w:r>
        <w:rPr>
          <w:rFonts w:asciiTheme="majorHAnsi" w:hAnsiTheme="majorHAnsi"/>
        </w:rPr>
        <w:t xml:space="preserve">The Productivity Commission should consider recommendations for a consolidated personal and corporate insolvency law with </w:t>
      </w:r>
      <w:r w:rsidR="0099516A">
        <w:rPr>
          <w:rFonts w:asciiTheme="majorHAnsi" w:hAnsiTheme="majorHAnsi"/>
        </w:rPr>
        <w:t xml:space="preserve">a single </w:t>
      </w:r>
      <w:r>
        <w:rPr>
          <w:rFonts w:asciiTheme="majorHAnsi" w:hAnsiTheme="majorHAnsi"/>
        </w:rPr>
        <w:t xml:space="preserve">regulator. </w:t>
      </w:r>
    </w:p>
    <w:p w14:paraId="2A784036" w14:textId="77777777" w:rsidR="00B336C7" w:rsidRPr="00A02B5E" w:rsidRDefault="00B336C7" w:rsidP="00DC646C">
      <w:pPr>
        <w:rPr>
          <w:rFonts w:asciiTheme="majorHAnsi" w:hAnsiTheme="majorHAnsi"/>
        </w:rPr>
      </w:pPr>
    </w:p>
    <w:p w14:paraId="6244288A" w14:textId="77777777" w:rsidR="00B336C7" w:rsidRPr="00A02B5E" w:rsidRDefault="00B336C7" w:rsidP="00DC646C">
      <w:pPr>
        <w:rPr>
          <w:rFonts w:asciiTheme="majorHAnsi" w:hAnsiTheme="majorHAnsi"/>
          <w:b/>
          <w:bCs/>
          <w:u w:val="single"/>
        </w:rPr>
      </w:pPr>
      <w:r w:rsidRPr="00A02B5E">
        <w:rPr>
          <w:rFonts w:asciiTheme="majorHAnsi" w:hAnsiTheme="majorHAnsi"/>
          <w:b/>
          <w:bCs/>
          <w:u w:val="single"/>
        </w:rPr>
        <w:t>A pressing issue for substantive harmonisation – insolvent trading trusts</w:t>
      </w:r>
    </w:p>
    <w:p w14:paraId="6BD41690" w14:textId="77777777" w:rsidR="00B336C7" w:rsidRPr="00A02B5E" w:rsidRDefault="00B336C7" w:rsidP="00DC646C">
      <w:pPr>
        <w:rPr>
          <w:rFonts w:asciiTheme="majorHAnsi" w:hAnsiTheme="majorHAnsi"/>
        </w:rPr>
      </w:pPr>
    </w:p>
    <w:p w14:paraId="427289C0" w14:textId="549F0B0F" w:rsidR="00B336C7" w:rsidRPr="00A02B5E" w:rsidRDefault="00B336C7" w:rsidP="00B336C7">
      <w:pPr>
        <w:rPr>
          <w:rFonts w:asciiTheme="majorHAnsi" w:hAnsiTheme="majorHAnsi"/>
        </w:rPr>
      </w:pPr>
      <w:r>
        <w:rPr>
          <w:rFonts w:asciiTheme="majorHAnsi" w:hAnsiTheme="majorHAnsi"/>
        </w:rPr>
        <w:t>Redefining the treatment of insolvent trading trusts is of particular significance in the Australian insolvency industry and the broader business community, given the increased incidence of discretionary, fixed and unit trusts being used to conduct small and medium-sized enterprises in recent years, and the significant role that such trusts play in business activity in Australia.</w:t>
      </w:r>
      <w:r w:rsidR="00816607">
        <w:rPr>
          <w:rFonts w:asciiTheme="majorHAnsi" w:hAnsiTheme="majorHAnsi"/>
        </w:rPr>
        <w:t xml:space="preserve"> </w:t>
      </w:r>
    </w:p>
    <w:p w14:paraId="3F1B52E8" w14:textId="77777777" w:rsidR="00B336C7" w:rsidRPr="00A02B5E" w:rsidRDefault="00B336C7" w:rsidP="00B336C7">
      <w:pPr>
        <w:rPr>
          <w:rFonts w:asciiTheme="majorHAnsi" w:hAnsiTheme="majorHAnsi"/>
        </w:rPr>
      </w:pPr>
    </w:p>
    <w:p w14:paraId="1648650D" w14:textId="77777777" w:rsidR="00B336C7" w:rsidRPr="00A02B5E" w:rsidRDefault="00B336C7" w:rsidP="00B336C7">
      <w:pPr>
        <w:rPr>
          <w:rFonts w:asciiTheme="majorHAnsi" w:hAnsiTheme="majorHAnsi"/>
        </w:rPr>
      </w:pPr>
      <w:r w:rsidRPr="00A02B5E">
        <w:rPr>
          <w:rFonts w:asciiTheme="majorHAnsi" w:hAnsiTheme="majorHAnsi"/>
        </w:rPr>
        <w:t>We note that the Harmer Report originally recommended bespoke measures to deal with insolvent trading trusts in its final report in 1988. Yet, 38 years later, despite the expansion of trading trusts and their</w:t>
      </w:r>
      <w:r w:rsidR="00112A91">
        <w:rPr>
          <w:rFonts w:asciiTheme="majorHAnsi" w:hAnsiTheme="majorHAnsi"/>
        </w:rPr>
        <w:t xml:space="preserve"> prominence in</w:t>
      </w:r>
      <w:r w:rsidRPr="00A02B5E">
        <w:rPr>
          <w:rFonts w:asciiTheme="majorHAnsi" w:hAnsiTheme="majorHAnsi"/>
        </w:rPr>
        <w:t xml:space="preserve"> the Australian economy, nothing has changed. Without any legislative guidance, the courts have sought to fit trusts into an insolvency regime in Australia that is inept to deal with them.</w:t>
      </w:r>
    </w:p>
    <w:p w14:paraId="7259643C" w14:textId="77777777" w:rsidR="00B336C7" w:rsidRPr="00A02B5E" w:rsidRDefault="00B336C7" w:rsidP="00B336C7">
      <w:pPr>
        <w:rPr>
          <w:rFonts w:asciiTheme="majorHAnsi" w:hAnsiTheme="majorHAnsi"/>
        </w:rPr>
      </w:pPr>
    </w:p>
    <w:p w14:paraId="6A673AB2" w14:textId="77777777" w:rsidR="00B336C7" w:rsidRPr="00A02B5E" w:rsidRDefault="00B336C7" w:rsidP="00B336C7">
      <w:pPr>
        <w:rPr>
          <w:rFonts w:asciiTheme="majorHAnsi" w:hAnsiTheme="majorHAnsi"/>
        </w:rPr>
      </w:pPr>
      <w:r w:rsidRPr="00A02B5E">
        <w:rPr>
          <w:rFonts w:asciiTheme="majorHAnsi" w:hAnsiTheme="majorHAnsi"/>
        </w:rPr>
        <w:t xml:space="preserve">One possible solution was identified by the </w:t>
      </w:r>
      <w:r w:rsidRPr="00A02B5E">
        <w:rPr>
          <w:rFonts w:asciiTheme="majorHAnsi" w:hAnsiTheme="majorHAnsi" w:cs="Arial"/>
        </w:rPr>
        <w:t xml:space="preserve">Australian Restructuring, Insolvency and Turnaround Association </w:t>
      </w:r>
      <w:r w:rsidRPr="00D91769">
        <w:rPr>
          <w:rFonts w:asciiTheme="majorHAnsi" w:hAnsiTheme="majorHAnsi" w:cs="Arial"/>
        </w:rPr>
        <w:t>(</w:t>
      </w:r>
      <w:r w:rsidRPr="00A02B5E">
        <w:rPr>
          <w:rFonts w:asciiTheme="majorHAnsi" w:hAnsiTheme="majorHAnsi" w:cs="Arial"/>
          <w:b/>
          <w:bCs/>
        </w:rPr>
        <w:t>ARITA</w:t>
      </w:r>
      <w:r w:rsidRPr="00A02B5E">
        <w:rPr>
          <w:rFonts w:asciiTheme="majorHAnsi" w:hAnsiTheme="majorHAnsi"/>
        </w:rPr>
        <w:t xml:space="preserve">) in its December 2021 submission to the Commonwealth Treasury’s Consultation Paper, “Clarifying the Treatment of Trusts Under Insolvency Law”. </w:t>
      </w:r>
    </w:p>
    <w:p w14:paraId="1543A3E5" w14:textId="77777777" w:rsidR="00B336C7" w:rsidRPr="00A02B5E" w:rsidRDefault="00B336C7" w:rsidP="00B336C7">
      <w:pPr>
        <w:rPr>
          <w:rFonts w:asciiTheme="majorHAnsi" w:hAnsiTheme="majorHAnsi"/>
        </w:rPr>
      </w:pPr>
    </w:p>
    <w:p w14:paraId="5EF34AE0" w14:textId="16F1B037" w:rsidR="00B336C7" w:rsidRPr="00A02B5E" w:rsidRDefault="00B336C7" w:rsidP="00B336C7">
      <w:pPr>
        <w:rPr>
          <w:rFonts w:asciiTheme="majorHAnsi" w:hAnsiTheme="majorHAnsi"/>
        </w:rPr>
      </w:pPr>
      <w:r w:rsidRPr="00A02B5E">
        <w:rPr>
          <w:rFonts w:asciiTheme="majorHAnsi" w:hAnsiTheme="majorHAnsi"/>
        </w:rPr>
        <w:t xml:space="preserve">ARITA’s policy position is </w:t>
      </w:r>
      <w:proofErr w:type="gramStart"/>
      <w:r w:rsidRPr="00A02B5E">
        <w:rPr>
          <w:rFonts w:asciiTheme="majorHAnsi" w:hAnsiTheme="majorHAnsi"/>
        </w:rPr>
        <w:t>that,</w:t>
      </w:r>
      <w:proofErr w:type="gramEnd"/>
      <w:r w:rsidRPr="00A02B5E">
        <w:rPr>
          <w:rFonts w:asciiTheme="majorHAnsi" w:hAnsiTheme="majorHAnsi"/>
        </w:rPr>
        <w:t xml:space="preserve"> consistent with the recommendations of the Harmer Report, for the purpose of insolvency law, trusts (or, more pertinently, trust funds) should be treated as </w:t>
      </w:r>
      <w:r w:rsidRPr="00A02B5E">
        <w:rPr>
          <w:rFonts w:asciiTheme="majorHAnsi" w:hAnsiTheme="majorHAnsi"/>
          <w:i/>
          <w:iCs/>
        </w:rPr>
        <w:t>economic entities</w:t>
      </w:r>
      <w:r>
        <w:rPr>
          <w:rFonts w:asciiTheme="majorHAnsi" w:hAnsiTheme="majorHAnsi"/>
        </w:rPr>
        <w:t xml:space="preserve"> (but not legal entities). This would mean that the trust (or trust fund) should be explicitly recognised in the Corporations Act (for corporate trustees) and the Bankruptcy Act (for individual trustees) as being an economic entity that is separate and distinct from its trustee, with its own assets and liabilities, creditors and equity participants (i.e. beneficiaries) that will be different from the assets and liabilities, creditors and equity participants of any other trust the trustee controls, and of the trustee personally in its own right. The benefit would be that, if the trust fund was insolvent, its </w:t>
      </w:r>
      <w:r>
        <w:rPr>
          <w:rFonts w:asciiTheme="majorHAnsi" w:hAnsiTheme="majorHAnsi"/>
        </w:rPr>
        <w:lastRenderedPageBreak/>
        <w:t xml:space="preserve">creditors could be protected under the provisions of the Corporations Act and the Bankruptcy Act, even if the trustee remained technically solvent. </w:t>
      </w:r>
    </w:p>
    <w:p w14:paraId="368C668A" w14:textId="77777777" w:rsidR="00B01D5D" w:rsidRPr="00A02B5E" w:rsidRDefault="00B01D5D" w:rsidP="00B01D5D">
      <w:pPr>
        <w:pStyle w:val="Heading1"/>
        <w:rPr>
          <w:rFonts w:asciiTheme="majorHAnsi" w:hAnsiTheme="majorHAnsi"/>
        </w:rPr>
      </w:pPr>
      <w:r w:rsidRPr="00A02B5E">
        <w:rPr>
          <w:rFonts w:asciiTheme="majorHAnsi" w:hAnsiTheme="majorHAnsi"/>
        </w:rPr>
        <w:t>How the various corporate and personal insolvency pathways can be improved</w:t>
      </w:r>
    </w:p>
    <w:p w14:paraId="43469CF1" w14:textId="77777777" w:rsidR="00B01D5D" w:rsidRPr="00A02B5E" w:rsidRDefault="00B01D5D" w:rsidP="00B01D5D">
      <w:pPr>
        <w:rPr>
          <w:rFonts w:asciiTheme="majorHAnsi" w:hAnsiTheme="majorHAnsi"/>
        </w:rPr>
      </w:pPr>
    </w:p>
    <w:p w14:paraId="06FF971B" w14:textId="77777777" w:rsidR="00DB2851" w:rsidRPr="00A02B5E" w:rsidRDefault="00922A76" w:rsidP="000E3FF2">
      <w:pPr>
        <w:rPr>
          <w:rFonts w:asciiTheme="majorHAnsi" w:hAnsiTheme="majorHAnsi"/>
          <w:b/>
          <w:bCs/>
          <w:u w:val="single"/>
        </w:rPr>
      </w:pPr>
      <w:r w:rsidRPr="00A02B5E">
        <w:rPr>
          <w:rFonts w:asciiTheme="majorHAnsi" w:hAnsiTheme="majorHAnsi"/>
          <w:b/>
          <w:bCs/>
          <w:u w:val="single"/>
        </w:rPr>
        <w:t>Simplicity</w:t>
      </w:r>
      <w:r w:rsidRPr="00A02B5E">
        <w:rPr>
          <w:rFonts w:asciiTheme="majorHAnsi" w:hAnsiTheme="majorHAnsi"/>
          <w:b/>
          <w:bCs/>
          <w:u w:val="single"/>
        </w:rPr>
        <w:br/>
      </w:r>
    </w:p>
    <w:p w14:paraId="16549A36" w14:textId="74E4A376" w:rsidR="003A318F" w:rsidRPr="00A02B5E" w:rsidRDefault="00AC4C24" w:rsidP="003A4EA7">
      <w:pPr>
        <w:rPr>
          <w:rFonts w:asciiTheme="majorHAnsi" w:hAnsiTheme="majorHAnsi"/>
        </w:rPr>
      </w:pPr>
      <w:r w:rsidRPr="00A02B5E">
        <w:rPr>
          <w:rFonts w:asciiTheme="majorHAnsi" w:hAnsiTheme="majorHAnsi"/>
        </w:rPr>
        <w:t>Australia’s</w:t>
      </w:r>
      <w:r w:rsidR="00DF4850" w:rsidRPr="00A02B5E">
        <w:rPr>
          <w:rFonts w:asciiTheme="majorHAnsi" w:hAnsiTheme="majorHAnsi"/>
        </w:rPr>
        <w:t xml:space="preserve"> corporate</w:t>
      </w:r>
      <w:r w:rsidRPr="00A02B5E">
        <w:rPr>
          <w:rFonts w:asciiTheme="majorHAnsi" w:hAnsiTheme="majorHAnsi"/>
        </w:rPr>
        <w:t xml:space="preserve"> insolvency law </w:t>
      </w:r>
      <w:r w:rsidR="003E4CAB" w:rsidRPr="00A02B5E">
        <w:rPr>
          <w:rFonts w:asciiTheme="majorHAnsi" w:hAnsiTheme="majorHAnsi"/>
        </w:rPr>
        <w:t xml:space="preserve">could be simpler. </w:t>
      </w:r>
      <w:r w:rsidR="00341DAC" w:rsidRPr="00A02B5E">
        <w:rPr>
          <w:rFonts w:asciiTheme="majorHAnsi" w:hAnsiTheme="majorHAnsi"/>
        </w:rPr>
        <w:t>This point has been amply made by the Australian Law Reform Commission in its 2023 report ‘Confronting Complexity: Reforming Corporations and Financial Services Legislation’ and the</w:t>
      </w:r>
      <w:r w:rsidR="00D901A4">
        <w:rPr>
          <w:rFonts w:asciiTheme="majorHAnsi" w:hAnsiTheme="majorHAnsi"/>
        </w:rPr>
        <w:t xml:space="preserve"> 2023 insolvency review</w:t>
      </w:r>
      <w:r w:rsidR="009127A3">
        <w:rPr>
          <w:rFonts w:asciiTheme="majorHAnsi" w:hAnsiTheme="majorHAnsi"/>
        </w:rPr>
        <w:t xml:space="preserve">. That review </w:t>
      </w:r>
      <w:r w:rsidR="00D901A4">
        <w:rPr>
          <w:rFonts w:asciiTheme="majorHAnsi" w:hAnsiTheme="majorHAnsi"/>
        </w:rPr>
        <w:t xml:space="preserve">stated that </w:t>
      </w:r>
      <w:r w:rsidR="00536325">
        <w:rPr>
          <w:rFonts w:asciiTheme="majorHAnsi" w:hAnsiTheme="majorHAnsi"/>
        </w:rPr>
        <w:t xml:space="preserve">a </w:t>
      </w:r>
      <w:r w:rsidR="00870880">
        <w:rPr>
          <w:rFonts w:asciiTheme="majorHAnsi" w:hAnsiTheme="majorHAnsi"/>
        </w:rPr>
        <w:t>“</w:t>
      </w:r>
      <w:r w:rsidR="00D901A4">
        <w:rPr>
          <w:rFonts w:asciiTheme="majorHAnsi" w:hAnsiTheme="majorHAnsi"/>
        </w:rPr>
        <w:t>common theme in much of the evidence received was that the corporate insolvency legislative framework has become overly complex, adding cost and hindering access to insolvency processes.”</w:t>
      </w:r>
      <w:r w:rsidR="00D901A4">
        <w:rPr>
          <w:rStyle w:val="FootnoteReference"/>
          <w:rFonts w:asciiTheme="majorHAnsi" w:hAnsiTheme="majorHAnsi"/>
        </w:rPr>
        <w:footnoteReference w:id="26"/>
      </w:r>
    </w:p>
    <w:p w14:paraId="46ACD452" w14:textId="77777777" w:rsidR="00814CFD" w:rsidRPr="00A02B5E" w:rsidRDefault="00814CFD" w:rsidP="003A4EA7">
      <w:pPr>
        <w:rPr>
          <w:rFonts w:asciiTheme="majorHAnsi" w:hAnsiTheme="majorHAnsi"/>
        </w:rPr>
      </w:pPr>
    </w:p>
    <w:p w14:paraId="6F5A2B4C" w14:textId="77777777" w:rsidR="002961D3" w:rsidRPr="00A02B5E" w:rsidRDefault="00814CFD" w:rsidP="002961D3">
      <w:pPr>
        <w:rPr>
          <w:rFonts w:asciiTheme="majorHAnsi" w:hAnsiTheme="majorHAnsi"/>
        </w:rPr>
      </w:pPr>
      <w:r w:rsidRPr="00A02B5E">
        <w:rPr>
          <w:rFonts w:asciiTheme="majorHAnsi" w:hAnsiTheme="majorHAnsi"/>
        </w:rPr>
        <w:t>Part of the problem is piecemeal reform</w:t>
      </w:r>
      <w:r w:rsidR="00901998" w:rsidRPr="00A02B5E">
        <w:rPr>
          <w:rFonts w:asciiTheme="majorHAnsi" w:hAnsiTheme="majorHAnsi"/>
        </w:rPr>
        <w:t xml:space="preserve">, which has the effect that </w:t>
      </w:r>
      <w:r w:rsidR="009742B1">
        <w:rPr>
          <w:rFonts w:asciiTheme="majorHAnsi" w:hAnsiTheme="majorHAnsi"/>
        </w:rPr>
        <w:t xml:space="preserve">applicable </w:t>
      </w:r>
      <w:r w:rsidR="002C4FA6">
        <w:rPr>
          <w:rFonts w:asciiTheme="majorHAnsi" w:hAnsiTheme="majorHAnsi"/>
        </w:rPr>
        <w:t xml:space="preserve">law </w:t>
      </w:r>
      <w:r w:rsidR="00901998" w:rsidRPr="00A02B5E">
        <w:rPr>
          <w:rFonts w:asciiTheme="majorHAnsi" w:hAnsiTheme="majorHAnsi"/>
        </w:rPr>
        <w:t>is scattered across various parts of the Act</w:t>
      </w:r>
      <w:r w:rsidRPr="00A02B5E">
        <w:rPr>
          <w:rFonts w:asciiTheme="majorHAnsi" w:hAnsiTheme="majorHAnsi"/>
        </w:rPr>
        <w:t>.</w:t>
      </w:r>
      <w:r w:rsidR="00344B2D" w:rsidRPr="00A02B5E">
        <w:rPr>
          <w:rFonts w:asciiTheme="majorHAnsi" w:hAnsiTheme="majorHAnsi"/>
        </w:rPr>
        <w:t xml:space="preserve"> </w:t>
      </w:r>
      <w:r w:rsidR="00631963" w:rsidRPr="00A02B5E">
        <w:rPr>
          <w:rFonts w:asciiTheme="majorHAnsi" w:hAnsiTheme="majorHAnsi"/>
        </w:rPr>
        <w:t>Another part of the problem is that the insolvency law is tethered to the Corporations Act</w:t>
      </w:r>
      <w:r w:rsidR="00DB0273" w:rsidRPr="00A02B5E">
        <w:rPr>
          <w:rFonts w:asciiTheme="majorHAnsi" w:hAnsiTheme="majorHAnsi"/>
        </w:rPr>
        <w:t>, an enormously complex, seven-volume piece of legislation</w:t>
      </w:r>
      <w:r w:rsidR="00631963" w:rsidRPr="00A02B5E">
        <w:rPr>
          <w:rFonts w:asciiTheme="majorHAnsi" w:hAnsiTheme="majorHAnsi"/>
        </w:rPr>
        <w:t>.</w:t>
      </w:r>
      <w:r w:rsidR="00F25933" w:rsidRPr="00A02B5E">
        <w:rPr>
          <w:rFonts w:asciiTheme="majorHAnsi" w:hAnsiTheme="majorHAnsi"/>
        </w:rPr>
        <w:t xml:space="preserve"> </w:t>
      </w:r>
      <w:r w:rsidR="005A20A8" w:rsidRPr="00A02B5E">
        <w:rPr>
          <w:rFonts w:asciiTheme="majorHAnsi" w:hAnsiTheme="majorHAnsi"/>
        </w:rPr>
        <w:t xml:space="preserve">The structural aspects of the Corporations Act as a whole, </w:t>
      </w:r>
      <w:proofErr w:type="gramStart"/>
      <w:r w:rsidR="005A20A8" w:rsidRPr="00A02B5E">
        <w:rPr>
          <w:rFonts w:asciiTheme="majorHAnsi" w:hAnsiTheme="majorHAnsi"/>
        </w:rPr>
        <w:t>in particular defined</w:t>
      </w:r>
      <w:proofErr w:type="gramEnd"/>
      <w:r w:rsidR="005A20A8" w:rsidRPr="00A02B5E">
        <w:rPr>
          <w:rFonts w:asciiTheme="majorHAnsi" w:hAnsiTheme="majorHAnsi"/>
        </w:rPr>
        <w:t xml:space="preserve"> terms, imposes an inherent limit on simplification efforts. </w:t>
      </w:r>
      <w:r w:rsidR="00F25933" w:rsidRPr="00A02B5E">
        <w:rPr>
          <w:rFonts w:asciiTheme="majorHAnsi" w:hAnsiTheme="majorHAnsi"/>
        </w:rPr>
        <w:t xml:space="preserve">Moving to </w:t>
      </w:r>
      <w:r w:rsidR="00125433" w:rsidRPr="00A02B5E">
        <w:rPr>
          <w:rFonts w:asciiTheme="majorHAnsi" w:hAnsiTheme="majorHAnsi"/>
        </w:rPr>
        <w:t xml:space="preserve">a unified standalone law for corporate and personal insolvency </w:t>
      </w:r>
      <w:r w:rsidR="008632A9" w:rsidRPr="00A02B5E">
        <w:rPr>
          <w:rFonts w:asciiTheme="majorHAnsi" w:hAnsiTheme="majorHAnsi"/>
        </w:rPr>
        <w:t xml:space="preserve">(discussed in the preceding section) </w:t>
      </w:r>
      <w:r w:rsidR="00125433" w:rsidRPr="00A02B5E">
        <w:rPr>
          <w:rFonts w:asciiTheme="majorHAnsi" w:hAnsiTheme="majorHAnsi"/>
        </w:rPr>
        <w:t>would solve this problem.</w:t>
      </w:r>
    </w:p>
    <w:p w14:paraId="713BF6D2" w14:textId="77777777" w:rsidR="008F013A" w:rsidRPr="00A02B5E" w:rsidRDefault="008F013A" w:rsidP="002961D3">
      <w:pPr>
        <w:rPr>
          <w:rFonts w:asciiTheme="majorHAnsi" w:hAnsiTheme="majorHAnsi"/>
        </w:rPr>
      </w:pPr>
    </w:p>
    <w:p w14:paraId="2478CC01" w14:textId="77777777" w:rsidR="004134BA" w:rsidRDefault="00D06465">
      <w:pPr>
        <w:rPr>
          <w:rFonts w:asciiTheme="majorHAnsi" w:hAnsiTheme="majorHAnsi"/>
        </w:rPr>
      </w:pPr>
      <w:r w:rsidRPr="00A02B5E">
        <w:rPr>
          <w:rFonts w:asciiTheme="majorHAnsi" w:hAnsiTheme="majorHAnsi"/>
        </w:rPr>
        <w:t>A</w:t>
      </w:r>
      <w:r w:rsidR="006B235E">
        <w:rPr>
          <w:rFonts w:asciiTheme="majorHAnsi" w:hAnsiTheme="majorHAnsi"/>
        </w:rPr>
        <w:t xml:space="preserve">n </w:t>
      </w:r>
      <w:r w:rsidRPr="00A02B5E">
        <w:rPr>
          <w:rFonts w:asciiTheme="majorHAnsi" w:hAnsiTheme="majorHAnsi"/>
        </w:rPr>
        <w:t>example may assist</w:t>
      </w:r>
      <w:r w:rsidR="00AD62AF">
        <w:rPr>
          <w:rFonts w:asciiTheme="majorHAnsi" w:hAnsiTheme="majorHAnsi"/>
        </w:rPr>
        <w:t xml:space="preserve"> to </w:t>
      </w:r>
      <w:r w:rsidR="006B235E">
        <w:rPr>
          <w:rFonts w:asciiTheme="majorHAnsi" w:hAnsiTheme="majorHAnsi"/>
        </w:rPr>
        <w:t>illustrate the</w:t>
      </w:r>
      <w:r w:rsidR="00500D4F">
        <w:rPr>
          <w:rFonts w:asciiTheme="majorHAnsi" w:hAnsiTheme="majorHAnsi"/>
        </w:rPr>
        <w:t xml:space="preserve">se issues. </w:t>
      </w:r>
    </w:p>
    <w:p w14:paraId="493703A0" w14:textId="77777777" w:rsidR="004134BA" w:rsidRPr="00A02B5E" w:rsidRDefault="000C6330" w:rsidP="008A7B27">
      <w:pPr>
        <w:rPr>
          <w:rFonts w:asciiTheme="majorHAnsi" w:hAnsiTheme="majorHAnsi"/>
        </w:rPr>
      </w:pPr>
      <w:r w:rsidRPr="000C6330">
        <w:rPr>
          <w:rFonts w:asciiTheme="majorHAnsi" w:hAnsiTheme="majorHAnsi"/>
          <w:noProof/>
        </w:rPr>
        <w:lastRenderedPageBreak/>
        <mc:AlternateContent>
          <mc:Choice Requires="wps">
            <w:drawing>
              <wp:anchor distT="45720" distB="45720" distL="114300" distR="114300" simplePos="0" relativeHeight="251658240" behindDoc="0" locked="0" layoutInCell="1" allowOverlap="1" wp14:anchorId="04901F73" wp14:editId="281334A7">
                <wp:simplePos x="0" y="0"/>
                <wp:positionH relativeFrom="column">
                  <wp:posOffset>57150</wp:posOffset>
                </wp:positionH>
                <wp:positionV relativeFrom="paragraph">
                  <wp:posOffset>183515</wp:posOffset>
                </wp:positionV>
                <wp:extent cx="5493385" cy="6078220"/>
                <wp:effectExtent l="0" t="0" r="1206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6078220"/>
                        </a:xfrm>
                        <a:prstGeom prst="rect">
                          <a:avLst/>
                        </a:prstGeom>
                        <a:solidFill>
                          <a:srgbClr val="FFFFFF"/>
                        </a:solidFill>
                        <a:ln w="9525">
                          <a:solidFill>
                            <a:srgbClr val="000000"/>
                          </a:solidFill>
                          <a:miter lim="800000"/>
                          <a:headEnd/>
                          <a:tailEnd/>
                        </a:ln>
                      </wps:spPr>
                      <wps:txbx>
                        <w:txbxContent>
                          <w:p w14:paraId="2AD9A175" w14:textId="77777777" w:rsidR="00832D07" w:rsidRPr="00832D07" w:rsidRDefault="00832D07" w:rsidP="00832D07">
                            <w:pPr>
                              <w:jc w:val="center"/>
                              <w:rPr>
                                <w:rFonts w:asciiTheme="majorHAnsi" w:hAnsiTheme="majorHAnsi"/>
                                <w:b/>
                                <w:bCs/>
                              </w:rPr>
                            </w:pPr>
                            <w:r>
                              <w:rPr>
                                <w:rFonts w:asciiTheme="majorHAnsi" w:hAnsiTheme="majorHAnsi"/>
                                <w:b/>
                                <w:bCs/>
                              </w:rPr>
                              <w:t>“Simplified” restructuring</w:t>
                            </w:r>
                            <w:r w:rsidR="00FC2D91">
                              <w:rPr>
                                <w:rFonts w:asciiTheme="majorHAnsi" w:hAnsiTheme="majorHAnsi"/>
                                <w:b/>
                                <w:bCs/>
                              </w:rPr>
                              <w:t xml:space="preserve"> law</w:t>
                            </w:r>
                            <w:r w:rsidR="00545C92">
                              <w:rPr>
                                <w:rFonts w:asciiTheme="majorHAnsi" w:hAnsiTheme="majorHAnsi"/>
                                <w:b/>
                                <w:bCs/>
                              </w:rPr>
                              <w:br/>
                            </w:r>
                          </w:p>
                          <w:p w14:paraId="7A13D586" w14:textId="77777777" w:rsidR="005E1897" w:rsidRPr="00A02B5E" w:rsidRDefault="005E1897" w:rsidP="005E1897">
                            <w:pPr>
                              <w:rPr>
                                <w:rFonts w:asciiTheme="majorHAnsi" w:hAnsiTheme="majorHAnsi"/>
                              </w:rPr>
                            </w:pPr>
                            <w:r w:rsidRPr="00A02B5E">
                              <w:rPr>
                                <w:rFonts w:asciiTheme="majorHAnsi" w:hAnsiTheme="majorHAnsi"/>
                              </w:rPr>
                              <w:t xml:space="preserve">Imagine a diligent director seeking to identify whether his company is eligible for the small business restructuring process. This </w:t>
                            </w:r>
                            <w:r w:rsidR="00830767">
                              <w:rPr>
                                <w:rFonts w:asciiTheme="majorHAnsi" w:hAnsiTheme="majorHAnsi"/>
                              </w:rPr>
                              <w:t>is</w:t>
                            </w:r>
                            <w:r w:rsidRPr="00A02B5E">
                              <w:rPr>
                                <w:rFonts w:asciiTheme="majorHAnsi" w:hAnsiTheme="majorHAnsi"/>
                              </w:rPr>
                              <w:t xml:space="preserve"> a reform introduced </w:t>
                            </w:r>
                            <w:r w:rsidR="00722A0F">
                              <w:rPr>
                                <w:rFonts w:asciiTheme="majorHAnsi" w:hAnsiTheme="majorHAnsi"/>
                              </w:rPr>
                              <w:t xml:space="preserve">for </w:t>
                            </w:r>
                            <w:r w:rsidRPr="00A02B5E">
                              <w:rPr>
                                <w:rFonts w:asciiTheme="majorHAnsi" w:hAnsiTheme="majorHAnsi"/>
                              </w:rPr>
                              <w:t xml:space="preserve">the express </w:t>
                            </w:r>
                            <w:r w:rsidR="00722A0F">
                              <w:rPr>
                                <w:rFonts w:asciiTheme="majorHAnsi" w:hAnsiTheme="majorHAnsi"/>
                              </w:rPr>
                              <w:t xml:space="preserve">purpose </w:t>
                            </w:r>
                            <w:r w:rsidRPr="00A02B5E">
                              <w:rPr>
                                <w:rFonts w:asciiTheme="majorHAnsi" w:hAnsiTheme="majorHAnsi"/>
                              </w:rPr>
                              <w:t xml:space="preserve">of simplifying the law of insolvency as it pertains to small businesses. </w:t>
                            </w:r>
                          </w:p>
                          <w:p w14:paraId="65F37595" w14:textId="77777777" w:rsidR="005E1897" w:rsidRPr="00A02B5E" w:rsidRDefault="005E1897" w:rsidP="005E1897">
                            <w:pPr>
                              <w:rPr>
                                <w:rFonts w:asciiTheme="majorHAnsi" w:hAnsiTheme="majorHAnsi"/>
                              </w:rPr>
                            </w:pPr>
                          </w:p>
                          <w:p w14:paraId="47F2B15E" w14:textId="77777777" w:rsidR="005E1897" w:rsidRPr="00A02B5E" w:rsidRDefault="005E1897" w:rsidP="005E1897">
                            <w:pPr>
                              <w:rPr>
                                <w:rFonts w:asciiTheme="majorHAnsi" w:hAnsiTheme="majorHAnsi"/>
                              </w:rPr>
                            </w:pPr>
                            <w:r w:rsidRPr="00A02B5E">
                              <w:rPr>
                                <w:rFonts w:asciiTheme="majorHAnsi" w:hAnsiTheme="majorHAnsi"/>
                              </w:rPr>
                              <w:t xml:space="preserve">The director opens section 453C of the </w:t>
                            </w:r>
                            <w:r w:rsidRPr="00D91769">
                              <w:rPr>
                                <w:rFonts w:asciiTheme="majorHAnsi" w:hAnsiTheme="majorHAnsi"/>
                                <w:i/>
                                <w:iCs/>
                              </w:rPr>
                              <w:t>Corporations Act</w:t>
                            </w:r>
                            <w:r w:rsidRPr="00A02B5E">
                              <w:rPr>
                                <w:rFonts w:asciiTheme="majorHAnsi" w:hAnsiTheme="majorHAnsi"/>
                              </w:rPr>
                              <w:t xml:space="preserve"> which is headed “Eligibility criteria for restructuring”. He finds that section 453C does not in fact contain the criteria for eligibility (other than a negative test identifying certain categories of directors who are ineligible). Instead, section 453C refers him to “the regulations”. </w:t>
                            </w:r>
                          </w:p>
                          <w:p w14:paraId="448B2DA1" w14:textId="77777777" w:rsidR="005E1897" w:rsidRPr="00A02B5E" w:rsidRDefault="005E1897" w:rsidP="005E1897">
                            <w:pPr>
                              <w:rPr>
                                <w:rFonts w:asciiTheme="majorHAnsi" w:hAnsiTheme="majorHAnsi"/>
                              </w:rPr>
                            </w:pPr>
                          </w:p>
                          <w:p w14:paraId="2A624218" w14:textId="77777777" w:rsidR="005E1897" w:rsidRPr="00A02B5E" w:rsidRDefault="005E1897" w:rsidP="005E1897">
                            <w:pPr>
                              <w:rPr>
                                <w:rFonts w:asciiTheme="majorHAnsi" w:hAnsiTheme="majorHAnsi"/>
                                <w:i/>
                                <w:iCs/>
                              </w:rPr>
                            </w:pPr>
                            <w:r w:rsidRPr="00A02B5E">
                              <w:rPr>
                                <w:rFonts w:asciiTheme="majorHAnsi" w:hAnsiTheme="majorHAnsi"/>
                              </w:rPr>
                              <w:t xml:space="preserve">Eventually, perhaps with the aid of ChatGPT, the director figures out “the regulations” means the </w:t>
                            </w:r>
                            <w:r w:rsidRPr="00A02B5E">
                              <w:rPr>
                                <w:rFonts w:asciiTheme="majorHAnsi" w:hAnsiTheme="majorHAnsi"/>
                                <w:i/>
                                <w:iCs/>
                              </w:rPr>
                              <w:t xml:space="preserve">Corporations Regulations 2001. </w:t>
                            </w:r>
                          </w:p>
                          <w:p w14:paraId="168E6CEF" w14:textId="77777777" w:rsidR="005E1897" w:rsidRPr="00A02B5E" w:rsidRDefault="005E1897" w:rsidP="005E1897">
                            <w:pPr>
                              <w:rPr>
                                <w:rFonts w:asciiTheme="majorHAnsi" w:hAnsiTheme="majorHAnsi"/>
                                <w:i/>
                                <w:iCs/>
                              </w:rPr>
                            </w:pPr>
                          </w:p>
                          <w:p w14:paraId="70F5DAF9" w14:textId="77777777" w:rsidR="005E1897" w:rsidRPr="00A02B5E" w:rsidRDefault="005E1897" w:rsidP="005E1897">
                            <w:pPr>
                              <w:rPr>
                                <w:rFonts w:asciiTheme="majorHAnsi" w:hAnsiTheme="majorHAnsi"/>
                              </w:rPr>
                            </w:pPr>
                            <w:r w:rsidRPr="00A02B5E">
                              <w:rPr>
                                <w:rFonts w:asciiTheme="majorHAnsi" w:hAnsiTheme="majorHAnsi"/>
                              </w:rPr>
                              <w:t xml:space="preserve">He eventually finds r 5.3B.03, ‘Eligibility criteria for restructuring’. It tells him that “the test for eligibility is that on the day the restructuring begins the total liabilities of the company to pay any admissible debts and claims must not exceed $1 million.” </w:t>
                            </w:r>
                          </w:p>
                          <w:p w14:paraId="22DE6D9B" w14:textId="77777777" w:rsidR="005E1897" w:rsidRPr="00A02B5E" w:rsidRDefault="005E1897" w:rsidP="005E1897">
                            <w:pPr>
                              <w:rPr>
                                <w:rFonts w:asciiTheme="majorHAnsi" w:hAnsiTheme="majorHAnsi"/>
                              </w:rPr>
                            </w:pPr>
                          </w:p>
                          <w:p w14:paraId="4A1FA38E" w14:textId="77777777" w:rsidR="005E1897" w:rsidRPr="00A02B5E" w:rsidRDefault="005E1897" w:rsidP="005E1897">
                            <w:pPr>
                              <w:rPr>
                                <w:rFonts w:asciiTheme="majorHAnsi" w:hAnsiTheme="majorHAnsi"/>
                              </w:rPr>
                            </w:pPr>
                            <w:r w:rsidRPr="00A02B5E">
                              <w:rPr>
                                <w:rFonts w:asciiTheme="majorHAnsi" w:hAnsiTheme="majorHAnsi"/>
                              </w:rPr>
                              <w:t xml:space="preserve">But wait a minute, how do I know the day the restructuring begins? The director scans the rest of r 5.3B.03. It does not say. He flicks back to section 453C of the Corporations Act. That section talks about “the day on which a restructuring practitioner for the company is appointed”, but says nothing about when “the restructuring begins”. Are they one and the same, the director wonders. </w:t>
                            </w:r>
                          </w:p>
                          <w:p w14:paraId="3AD26D08" w14:textId="77777777" w:rsidR="005E1897" w:rsidRPr="00A02B5E" w:rsidRDefault="005E1897" w:rsidP="005E1897">
                            <w:pPr>
                              <w:rPr>
                                <w:rFonts w:asciiTheme="majorHAnsi" w:hAnsiTheme="majorHAnsi"/>
                              </w:rPr>
                            </w:pPr>
                          </w:p>
                          <w:p w14:paraId="35AD9BB5" w14:textId="77777777" w:rsidR="005E1897" w:rsidRPr="00A02B5E" w:rsidRDefault="005E1897" w:rsidP="005E1897">
                            <w:pPr>
                              <w:rPr>
                                <w:rFonts w:asciiTheme="majorHAnsi" w:hAnsiTheme="majorHAnsi"/>
                              </w:rPr>
                            </w:pPr>
                            <w:r w:rsidRPr="00A02B5E">
                              <w:rPr>
                                <w:rFonts w:asciiTheme="majorHAnsi" w:hAnsiTheme="majorHAnsi"/>
                              </w:rPr>
                              <w:t xml:space="preserve">“Ok, </w:t>
                            </w:r>
                            <w:r>
                              <w:rPr>
                                <w:rFonts w:asciiTheme="majorHAnsi" w:hAnsiTheme="majorHAnsi"/>
                              </w:rPr>
                              <w:t>leave that to one side</w:t>
                            </w:r>
                            <w:r w:rsidRPr="00A02B5E">
                              <w:rPr>
                                <w:rFonts w:asciiTheme="majorHAnsi" w:hAnsiTheme="majorHAnsi"/>
                              </w:rPr>
                              <w:t xml:space="preserve">”, the director thinks to himself. “I </w:t>
                            </w:r>
                            <w:r>
                              <w:rPr>
                                <w:rFonts w:asciiTheme="majorHAnsi" w:hAnsiTheme="majorHAnsi"/>
                              </w:rPr>
                              <w:t>suppose</w:t>
                            </w:r>
                            <w:r w:rsidRPr="00A02B5E">
                              <w:rPr>
                                <w:rFonts w:asciiTheme="majorHAnsi" w:hAnsiTheme="majorHAnsi"/>
                              </w:rPr>
                              <w:t xml:space="preserve"> what I really need to be sure of is how to calculate my ‘liabilities’ to make sure</w:t>
                            </w:r>
                            <w:r>
                              <w:rPr>
                                <w:rFonts w:asciiTheme="majorHAnsi" w:hAnsiTheme="majorHAnsi"/>
                              </w:rPr>
                              <w:t xml:space="preserve"> my business is</w:t>
                            </w:r>
                            <w:r w:rsidRPr="00A02B5E">
                              <w:rPr>
                                <w:rFonts w:asciiTheme="majorHAnsi" w:hAnsiTheme="majorHAnsi"/>
                              </w:rPr>
                              <w:t xml:space="preserve"> under the threshold”. He </w:t>
                            </w:r>
                            <w:r>
                              <w:rPr>
                                <w:rFonts w:asciiTheme="majorHAnsi" w:hAnsiTheme="majorHAnsi"/>
                              </w:rPr>
                              <w:t>flicks</w:t>
                            </w:r>
                            <w:r w:rsidRPr="00A02B5E">
                              <w:rPr>
                                <w:rFonts w:asciiTheme="majorHAnsi" w:hAnsiTheme="majorHAnsi"/>
                              </w:rPr>
                              <w:t xml:space="preserve"> to the dictionary at section 9</w:t>
                            </w:r>
                            <w:r>
                              <w:rPr>
                                <w:rFonts w:asciiTheme="majorHAnsi" w:hAnsiTheme="majorHAnsi"/>
                              </w:rPr>
                              <w:t xml:space="preserve"> of the Corporations Act</w:t>
                            </w:r>
                            <w:r w:rsidRPr="00A02B5E">
                              <w:rPr>
                                <w:rFonts w:asciiTheme="majorHAnsi" w:hAnsiTheme="majorHAnsi"/>
                              </w:rPr>
                              <w:t xml:space="preserve">. </w:t>
                            </w:r>
                            <w:r>
                              <w:rPr>
                                <w:rFonts w:asciiTheme="majorHAnsi" w:hAnsiTheme="majorHAnsi"/>
                              </w:rPr>
                              <w:t>It contains</w:t>
                            </w:r>
                            <w:r w:rsidRPr="00A02B5E">
                              <w:rPr>
                                <w:rFonts w:asciiTheme="majorHAnsi" w:hAnsiTheme="majorHAnsi"/>
                              </w:rPr>
                              <w:t xml:space="preserve"> more than a thousand definitions</w:t>
                            </w:r>
                            <w:r>
                              <w:rPr>
                                <w:rFonts w:asciiTheme="majorHAnsi" w:hAnsiTheme="majorHAnsi"/>
                              </w:rPr>
                              <w:t>,</w:t>
                            </w:r>
                            <w:r w:rsidRPr="00A02B5E">
                              <w:rPr>
                                <w:rFonts w:asciiTheme="majorHAnsi" w:hAnsiTheme="majorHAnsi"/>
                              </w:rPr>
                              <w:t xml:space="preserve"> so there must be something that can shed some light on a concept as important as “liabilities”. After flipping past about fifty pages of irrelevant definitions he finds the following: </w:t>
                            </w:r>
                          </w:p>
                          <w:p w14:paraId="603B3363" w14:textId="77777777" w:rsidR="005E1897" w:rsidRPr="00A02B5E" w:rsidRDefault="005E1897" w:rsidP="005E1897">
                            <w:pPr>
                              <w:ind w:left="720"/>
                              <w:rPr>
                                <w:rFonts w:asciiTheme="majorHAnsi" w:hAnsiTheme="majorHAnsi"/>
                                <w:i/>
                                <w:iCs/>
                              </w:rPr>
                            </w:pPr>
                            <w:r w:rsidRPr="00A02B5E">
                              <w:rPr>
                                <w:rFonts w:asciiTheme="majorHAnsi" w:hAnsiTheme="majorHAnsi"/>
                              </w:rPr>
                              <w:br/>
                            </w:r>
                            <w:r w:rsidRPr="00A02B5E">
                              <w:rPr>
                                <w:rFonts w:asciiTheme="majorHAnsi" w:hAnsiTheme="majorHAnsi"/>
                                <w:bCs/>
                                <w:i/>
                                <w:iCs/>
                              </w:rPr>
                              <w:t>liability</w:t>
                            </w:r>
                            <w:r w:rsidRPr="00A02B5E">
                              <w:rPr>
                                <w:rFonts w:asciiTheme="majorHAnsi" w:hAnsiTheme="majorHAnsi"/>
                                <w:i/>
                                <w:iCs/>
                              </w:rPr>
                              <w:t>:</w:t>
                            </w:r>
                            <w:r w:rsidRPr="00A02B5E">
                              <w:rPr>
                                <w:rFonts w:asciiTheme="majorHAnsi" w:hAnsiTheme="majorHAnsi"/>
                                <w:i/>
                                <w:iCs/>
                              </w:rPr>
                              <w:br/>
                            </w:r>
                          </w:p>
                          <w:p w14:paraId="5A2F457D" w14:textId="77777777" w:rsidR="005E1897" w:rsidRPr="00A02B5E" w:rsidRDefault="005E1897" w:rsidP="005E1897">
                            <w:pPr>
                              <w:ind w:left="720"/>
                              <w:rPr>
                                <w:rFonts w:asciiTheme="majorHAnsi" w:hAnsiTheme="majorHAnsi"/>
                                <w:i/>
                                <w:iCs/>
                              </w:rPr>
                            </w:pPr>
                            <w:r w:rsidRPr="00A02B5E">
                              <w:rPr>
                                <w:rFonts w:asciiTheme="majorHAnsi" w:hAnsiTheme="majorHAnsi"/>
                                <w:i/>
                                <w:iCs/>
                              </w:rPr>
                              <w:t> (a) </w:t>
                            </w:r>
                            <w:r w:rsidRPr="00A02B5E">
                              <w:rPr>
                                <w:rFonts w:asciiTheme="majorHAnsi" w:hAnsiTheme="majorHAnsi"/>
                                <w:b/>
                                <w:bCs/>
                                <w:i/>
                                <w:iCs/>
                              </w:rPr>
                              <w:t>liability</w:t>
                            </w:r>
                            <w:r w:rsidRPr="00A02B5E">
                              <w:rPr>
                                <w:rFonts w:asciiTheme="majorHAnsi" w:hAnsiTheme="majorHAnsi"/>
                                <w:i/>
                                <w:iCs/>
                              </w:rPr>
                              <w:t> (except in relation to a sub</w:t>
                            </w:r>
                            <w:r w:rsidRPr="00A02B5E">
                              <w:rPr>
                                <w:rFonts w:asciiTheme="majorHAnsi" w:hAnsiTheme="majorHAnsi"/>
                                <w:i/>
                                <w:iCs/>
                              </w:rPr>
                              <w:noBreakHyphen/>
                              <w:t>fund of a CCIV):</w:t>
                            </w:r>
                          </w:p>
                          <w:p w14:paraId="6289B528" w14:textId="77777777" w:rsidR="005E1897" w:rsidRPr="00A02B5E" w:rsidRDefault="005E1897" w:rsidP="005E1897">
                            <w:pPr>
                              <w:ind w:left="1440"/>
                              <w:rPr>
                                <w:rFonts w:asciiTheme="majorHAnsi" w:hAnsiTheme="majorHAnsi"/>
                                <w:i/>
                                <w:iCs/>
                              </w:rPr>
                            </w:pPr>
                            <w:r w:rsidRPr="00A02B5E">
                              <w:rPr>
                                <w:rFonts w:asciiTheme="majorHAnsi" w:hAnsiTheme="majorHAnsi"/>
                                <w:i/>
                                <w:iCs/>
                              </w:rPr>
                              <w:t> (i) includes a duty or obligation of any kind (whether arising under an instrument or otherwise, and whether actual, contingent or prospective); and</w:t>
                            </w:r>
                          </w:p>
                          <w:p w14:paraId="57F7BD2F" w14:textId="77777777" w:rsidR="005E1897" w:rsidRPr="00A02B5E" w:rsidRDefault="005E1897" w:rsidP="005E1897">
                            <w:pPr>
                              <w:ind w:left="1440"/>
                              <w:rPr>
                                <w:rFonts w:asciiTheme="majorHAnsi" w:hAnsiTheme="majorHAnsi"/>
                                <w:i/>
                                <w:iCs/>
                              </w:rPr>
                            </w:pPr>
                            <w:r w:rsidRPr="00A02B5E">
                              <w:rPr>
                                <w:rFonts w:asciiTheme="majorHAnsi" w:hAnsiTheme="majorHAnsi"/>
                                <w:i/>
                                <w:iCs/>
                              </w:rPr>
                              <w:t> (ii) in relation to a CCIV—has a meaning affected by section 1233A; and</w:t>
                            </w:r>
                          </w:p>
                          <w:p w14:paraId="5621A55D" w14:textId="77777777" w:rsidR="005E1897" w:rsidRPr="00A02B5E" w:rsidRDefault="005E1897" w:rsidP="005E1897">
                            <w:pPr>
                              <w:ind w:left="720"/>
                              <w:rPr>
                                <w:rFonts w:asciiTheme="majorHAnsi" w:hAnsiTheme="majorHAnsi"/>
                                <w:i/>
                                <w:iCs/>
                              </w:rPr>
                            </w:pPr>
                            <w:r w:rsidRPr="00A02B5E">
                              <w:rPr>
                                <w:rFonts w:asciiTheme="majorHAnsi" w:hAnsiTheme="majorHAnsi"/>
                                <w:i/>
                                <w:iCs/>
                              </w:rPr>
                              <w:t> (b) </w:t>
                            </w:r>
                            <w:r w:rsidRPr="00A02B5E">
                              <w:rPr>
                                <w:rFonts w:asciiTheme="majorHAnsi" w:hAnsiTheme="majorHAnsi"/>
                                <w:b/>
                                <w:bCs/>
                                <w:i/>
                                <w:iCs/>
                              </w:rPr>
                              <w:t>liabilities</w:t>
                            </w:r>
                            <w:r w:rsidRPr="00A02B5E">
                              <w:rPr>
                                <w:rFonts w:asciiTheme="majorHAnsi" w:hAnsiTheme="majorHAnsi"/>
                                <w:i/>
                                <w:iCs/>
                              </w:rPr>
                              <w:t>, in relation to a sub</w:t>
                            </w:r>
                            <w:r w:rsidRPr="00A02B5E">
                              <w:rPr>
                                <w:rFonts w:asciiTheme="majorHAnsi" w:hAnsiTheme="majorHAnsi"/>
                                <w:i/>
                                <w:iCs/>
                              </w:rPr>
                              <w:noBreakHyphen/>
                              <w:t>fund of a CCIV, has the meaning given by section 1233L.</w:t>
                            </w:r>
                          </w:p>
                          <w:p w14:paraId="63D1D333" w14:textId="77777777" w:rsidR="005E1897" w:rsidRPr="00A02B5E" w:rsidRDefault="005E1897" w:rsidP="005E1897">
                            <w:pPr>
                              <w:rPr>
                                <w:rFonts w:asciiTheme="majorHAnsi" w:hAnsiTheme="majorHAnsi"/>
                              </w:rPr>
                            </w:pPr>
                          </w:p>
                          <w:p w14:paraId="03A03362" w14:textId="77777777" w:rsidR="000C6330" w:rsidRPr="00E821CB" w:rsidRDefault="005E1897">
                            <w:pPr>
                              <w:rPr>
                                <w:rFonts w:asciiTheme="majorHAnsi" w:hAnsiTheme="majorHAnsi"/>
                              </w:rPr>
                            </w:pPr>
                            <w:r w:rsidRPr="00A02B5E">
                              <w:rPr>
                                <w:rFonts w:asciiTheme="majorHAnsi" w:hAnsiTheme="majorHAnsi"/>
                              </w:rPr>
                              <w:t xml:space="preserve">He slams closed his laptop in disgust, long before he was able to identify that </w:t>
                            </w:r>
                            <w:r w:rsidRPr="00A02B5E">
                              <w:rPr>
                                <w:rFonts w:asciiTheme="majorHAnsi" w:hAnsiTheme="majorHAnsi"/>
                                <w:u w:val="single"/>
                              </w:rPr>
                              <w:t>yet</w:t>
                            </w:r>
                            <w:r w:rsidRPr="00A02B5E">
                              <w:rPr>
                                <w:rFonts w:asciiTheme="majorHAnsi" w:hAnsiTheme="majorHAnsi"/>
                              </w:rPr>
                              <w:t xml:space="preserve"> another separate section</w:t>
                            </w:r>
                            <w:r>
                              <w:rPr>
                                <w:rFonts w:asciiTheme="majorHAnsi" w:hAnsiTheme="majorHAnsi"/>
                              </w:rPr>
                              <w:t xml:space="preserve">, r </w:t>
                            </w:r>
                            <w:r w:rsidRPr="000C6330">
                              <w:rPr>
                                <w:rFonts w:asciiTheme="majorHAnsi" w:hAnsiTheme="majorHAnsi"/>
                              </w:rPr>
                              <w:t>5.3B.01</w:t>
                            </w:r>
                            <w:r>
                              <w:rPr>
                                <w:rFonts w:asciiTheme="majorHAnsi" w:hAnsiTheme="majorHAnsi"/>
                              </w:rPr>
                              <w:t>,</w:t>
                            </w:r>
                            <w:r w:rsidRPr="00A02B5E">
                              <w:rPr>
                                <w:rFonts w:asciiTheme="majorHAnsi" w:hAnsiTheme="majorHAnsi"/>
                              </w:rPr>
                              <w:t xml:space="preserve"> carves out employee entitlements from the $1 million threshold.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01F73" id="_x0000_t202" coordsize="21600,21600" o:spt="202" path="m,l,21600r21600,l21600,xe">
                <v:stroke joinstyle="miter"/>
                <v:path gradientshapeok="t" o:connecttype="rect"/>
              </v:shapetype>
              <v:shape id="Text Box 2" o:spid="_x0000_s1026" type="#_x0000_t202" style="position:absolute;margin-left:4.5pt;margin-top:14.45pt;width:432.55pt;height:47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z8EwIAACAEAAAOAAAAZHJzL2Uyb0RvYy54bWysk99v2yAQx98n7X9AvC920qRNrDhVly7T&#10;pO6H1O0POGMco2GOAYmd/fU7SJpG3fYyjQcE3PHl7nPH8nboNNtL5xWako9HOWfSCKyV2Zb829fN&#10;mzlnPoCpQaORJT9Iz29Xr18te1vICbaoa+kYiRhf9LbkbQi2yDIvWtmBH6GVhowNug4Cbd02qx30&#10;pN7pbJLn11mPrrYOhfSeTu+PRr5K+k0jRfjcNF4GpktOsYU0uzRXcc5WSyi2DmyrxCkM+IcoOlCG&#10;Hj1L3UMAtnPqN6lOCYcemzAS2GXYNErIlANlM85fZPPYgpUpF4Lj7RmT/3+y4tP+0X5xLAxvcaAC&#10;piS8fUDx3TOD6xbMVt45h30roaaHxxFZ1ltfnK5G1L7wUaTqP2JNRYZdwCQ0NK6LVChPRupUgMMZ&#10;uhwCE3Q4my6uruYzzgTZrvOb+WSSypJB8XTdOh/eS+xYXJTcUVWTPOwffIjhQPHkEl/zqFW9UVqn&#10;jdtWa+3YHqgDNmmkDF64acP6ki9mk9mRwF8l8jT+JNGpQK2sVVfy+dkJisjtnalTowVQ+rimkLU5&#10;gYzsjhTDUA3kGIFWWB8IqcNjy9IXo0WL7idnPbVryf2PHTjJmf5gqCyL8XQa+zttprMbYsjcpaW6&#10;tIARJFXywNlxuQ7pT0RgBu+ofI1KYJ8jOcVKbZh4n75M7PPLffJ6/tirXwAAAP//AwBQSwMEFAAG&#10;AAgAAAAhADWoAVvfAAAACAEAAA8AAABkcnMvZG93bnJldi54bWxMj8FOwzAQRO9I/IO1SFwQdVKq&#10;1AlxKoQEglspCK5uvE0i7HWw3TT8PeYEx9lZzbypN7M1bEIfBkcS8kUGDKl1eqBOwtvrw7UAFqIi&#10;rYwjlPCNATbN+VmtKu1O9ILTLnYshVColIQ+xrHiPLQ9WhUWbkRK3sF5q2KSvuPaq1MKt4Yvs6zg&#10;Vg2UGno14n2P7efuaCWI1dP0EZ5vtu9tcTBlvFpPj19eysuL+e4WWMQ5/j3DL35ChyYx7d2RdGBG&#10;QpmWRAlLUQJLtlivcmD7dBdFDryp+f8BzQ8AAAD//wMAUEsBAi0AFAAGAAgAAAAhALaDOJL+AAAA&#10;4QEAABMAAAAAAAAAAAAAAAAAAAAAAFtDb250ZW50X1R5cGVzXS54bWxQSwECLQAUAAYACAAAACEA&#10;OP0h/9YAAACUAQAACwAAAAAAAAAAAAAAAAAvAQAAX3JlbHMvLnJlbHNQSwECLQAUAAYACAAAACEA&#10;QJes/BMCAAAgBAAADgAAAAAAAAAAAAAAAAAuAgAAZHJzL2Uyb0RvYy54bWxQSwECLQAUAAYACAAA&#10;ACEANagBW98AAAAIAQAADwAAAAAAAAAAAAAAAABtBAAAZHJzL2Rvd25yZXYueG1sUEsFBgAAAAAE&#10;AAQA8wAAAHkFAAAAAA==&#10;">
                <v:textbox>
                  <w:txbxContent>
                    <w:p w14:paraId="2AD9A175" w14:textId="77777777" w:rsidR="00832D07" w:rsidRPr="00832D07" w:rsidRDefault="00832D07" w:rsidP="00832D07">
                      <w:pPr>
                        <w:jc w:val="center"/>
                        <w:rPr>
                          <w:rFonts w:asciiTheme="majorHAnsi" w:hAnsiTheme="majorHAnsi"/>
                          <w:b/>
                          <w:bCs/>
                        </w:rPr>
                      </w:pPr>
                      <w:r>
                        <w:rPr>
                          <w:rFonts w:asciiTheme="majorHAnsi" w:hAnsiTheme="majorHAnsi"/>
                          <w:b/>
                          <w:bCs/>
                        </w:rPr>
                        <w:t>“Simplified” restructuring</w:t>
                      </w:r>
                      <w:r w:rsidR="00FC2D91">
                        <w:rPr>
                          <w:rFonts w:asciiTheme="majorHAnsi" w:hAnsiTheme="majorHAnsi"/>
                          <w:b/>
                          <w:bCs/>
                        </w:rPr>
                        <w:t xml:space="preserve"> law</w:t>
                      </w:r>
                      <w:r w:rsidR="00545C92">
                        <w:rPr>
                          <w:rFonts w:asciiTheme="majorHAnsi" w:hAnsiTheme="majorHAnsi"/>
                          <w:b/>
                          <w:bCs/>
                        </w:rPr>
                        <w:br/>
                      </w:r>
                    </w:p>
                    <w:p w14:paraId="7A13D586" w14:textId="77777777" w:rsidR="005E1897" w:rsidRPr="00A02B5E" w:rsidRDefault="005E1897" w:rsidP="005E1897">
                      <w:pPr>
                        <w:rPr>
                          <w:rFonts w:asciiTheme="majorHAnsi" w:hAnsiTheme="majorHAnsi"/>
                        </w:rPr>
                      </w:pPr>
                      <w:r w:rsidRPr="00A02B5E">
                        <w:rPr>
                          <w:rFonts w:asciiTheme="majorHAnsi" w:hAnsiTheme="majorHAnsi"/>
                        </w:rPr>
                        <w:t xml:space="preserve">Imagine a diligent director seeking to identify whether his company is eligible for the small business restructuring process. This </w:t>
                      </w:r>
                      <w:r w:rsidR="00830767">
                        <w:rPr>
                          <w:rFonts w:asciiTheme="majorHAnsi" w:hAnsiTheme="majorHAnsi"/>
                        </w:rPr>
                        <w:t>is</w:t>
                      </w:r>
                      <w:r w:rsidRPr="00A02B5E">
                        <w:rPr>
                          <w:rFonts w:asciiTheme="majorHAnsi" w:hAnsiTheme="majorHAnsi"/>
                        </w:rPr>
                        <w:t xml:space="preserve"> a reform introduced </w:t>
                      </w:r>
                      <w:r w:rsidR="00722A0F">
                        <w:rPr>
                          <w:rFonts w:asciiTheme="majorHAnsi" w:hAnsiTheme="majorHAnsi"/>
                        </w:rPr>
                        <w:t xml:space="preserve">for </w:t>
                      </w:r>
                      <w:r w:rsidRPr="00A02B5E">
                        <w:rPr>
                          <w:rFonts w:asciiTheme="majorHAnsi" w:hAnsiTheme="majorHAnsi"/>
                        </w:rPr>
                        <w:t xml:space="preserve">the express </w:t>
                      </w:r>
                      <w:r w:rsidR="00722A0F">
                        <w:rPr>
                          <w:rFonts w:asciiTheme="majorHAnsi" w:hAnsiTheme="majorHAnsi"/>
                        </w:rPr>
                        <w:t xml:space="preserve">purpose </w:t>
                      </w:r>
                      <w:r w:rsidRPr="00A02B5E">
                        <w:rPr>
                          <w:rFonts w:asciiTheme="majorHAnsi" w:hAnsiTheme="majorHAnsi"/>
                        </w:rPr>
                        <w:t xml:space="preserve">of simplifying the law of insolvency as it pertains to small businesses. </w:t>
                      </w:r>
                    </w:p>
                    <w:p w14:paraId="65F37595" w14:textId="77777777" w:rsidR="005E1897" w:rsidRPr="00A02B5E" w:rsidRDefault="005E1897" w:rsidP="005E1897">
                      <w:pPr>
                        <w:rPr>
                          <w:rFonts w:asciiTheme="majorHAnsi" w:hAnsiTheme="majorHAnsi"/>
                        </w:rPr>
                      </w:pPr>
                    </w:p>
                    <w:p w14:paraId="47F2B15E" w14:textId="77777777" w:rsidR="005E1897" w:rsidRPr="00A02B5E" w:rsidRDefault="005E1897" w:rsidP="005E1897">
                      <w:pPr>
                        <w:rPr>
                          <w:rFonts w:asciiTheme="majorHAnsi" w:hAnsiTheme="majorHAnsi"/>
                        </w:rPr>
                      </w:pPr>
                      <w:r w:rsidRPr="00A02B5E">
                        <w:rPr>
                          <w:rFonts w:asciiTheme="majorHAnsi" w:hAnsiTheme="majorHAnsi"/>
                        </w:rPr>
                        <w:t xml:space="preserve">The director opens section 453C of the </w:t>
                      </w:r>
                      <w:r w:rsidRPr="00D91769">
                        <w:rPr>
                          <w:rFonts w:asciiTheme="majorHAnsi" w:hAnsiTheme="majorHAnsi"/>
                          <w:i/>
                          <w:iCs/>
                        </w:rPr>
                        <w:t>Corporations Act</w:t>
                      </w:r>
                      <w:r w:rsidRPr="00A02B5E">
                        <w:rPr>
                          <w:rFonts w:asciiTheme="majorHAnsi" w:hAnsiTheme="majorHAnsi"/>
                        </w:rPr>
                        <w:t xml:space="preserve"> which is headed “Eligibility criteria for restructuring”. He finds that section 453C does not in fact contain the criteria for eligibility (other than a negative test identifying certain categories of directors who are ineligible). Instead, section 453C refers him to “the regulations”. </w:t>
                      </w:r>
                    </w:p>
                    <w:p w14:paraId="448B2DA1" w14:textId="77777777" w:rsidR="005E1897" w:rsidRPr="00A02B5E" w:rsidRDefault="005E1897" w:rsidP="005E1897">
                      <w:pPr>
                        <w:rPr>
                          <w:rFonts w:asciiTheme="majorHAnsi" w:hAnsiTheme="majorHAnsi"/>
                        </w:rPr>
                      </w:pPr>
                    </w:p>
                    <w:p w14:paraId="2A624218" w14:textId="77777777" w:rsidR="005E1897" w:rsidRPr="00A02B5E" w:rsidRDefault="005E1897" w:rsidP="005E1897">
                      <w:pPr>
                        <w:rPr>
                          <w:rFonts w:asciiTheme="majorHAnsi" w:hAnsiTheme="majorHAnsi"/>
                          <w:i/>
                          <w:iCs/>
                        </w:rPr>
                      </w:pPr>
                      <w:r w:rsidRPr="00A02B5E">
                        <w:rPr>
                          <w:rFonts w:asciiTheme="majorHAnsi" w:hAnsiTheme="majorHAnsi"/>
                        </w:rPr>
                        <w:t xml:space="preserve">Eventually, perhaps with the aid of ChatGPT, the director figures out “the regulations” means the </w:t>
                      </w:r>
                      <w:r w:rsidRPr="00A02B5E">
                        <w:rPr>
                          <w:rFonts w:asciiTheme="majorHAnsi" w:hAnsiTheme="majorHAnsi"/>
                          <w:i/>
                          <w:iCs/>
                        </w:rPr>
                        <w:t xml:space="preserve">Corporations Regulations 2001. </w:t>
                      </w:r>
                    </w:p>
                    <w:p w14:paraId="168E6CEF" w14:textId="77777777" w:rsidR="005E1897" w:rsidRPr="00A02B5E" w:rsidRDefault="005E1897" w:rsidP="005E1897">
                      <w:pPr>
                        <w:rPr>
                          <w:rFonts w:asciiTheme="majorHAnsi" w:hAnsiTheme="majorHAnsi"/>
                          <w:i/>
                          <w:iCs/>
                        </w:rPr>
                      </w:pPr>
                    </w:p>
                    <w:p w14:paraId="70F5DAF9" w14:textId="77777777" w:rsidR="005E1897" w:rsidRPr="00A02B5E" w:rsidRDefault="005E1897" w:rsidP="005E1897">
                      <w:pPr>
                        <w:rPr>
                          <w:rFonts w:asciiTheme="majorHAnsi" w:hAnsiTheme="majorHAnsi"/>
                        </w:rPr>
                      </w:pPr>
                      <w:r w:rsidRPr="00A02B5E">
                        <w:rPr>
                          <w:rFonts w:asciiTheme="majorHAnsi" w:hAnsiTheme="majorHAnsi"/>
                        </w:rPr>
                        <w:t xml:space="preserve">He eventually finds r 5.3B.03, ‘Eligibility criteria for restructuring’. It tells him that “the test for eligibility is that on the day the restructuring begins the total liabilities of the company to pay any admissible debts and claims must not exceed $1 million.” </w:t>
                      </w:r>
                    </w:p>
                    <w:p w14:paraId="22DE6D9B" w14:textId="77777777" w:rsidR="005E1897" w:rsidRPr="00A02B5E" w:rsidRDefault="005E1897" w:rsidP="005E1897">
                      <w:pPr>
                        <w:rPr>
                          <w:rFonts w:asciiTheme="majorHAnsi" w:hAnsiTheme="majorHAnsi"/>
                        </w:rPr>
                      </w:pPr>
                    </w:p>
                    <w:p w14:paraId="4A1FA38E" w14:textId="77777777" w:rsidR="005E1897" w:rsidRPr="00A02B5E" w:rsidRDefault="005E1897" w:rsidP="005E1897">
                      <w:pPr>
                        <w:rPr>
                          <w:rFonts w:asciiTheme="majorHAnsi" w:hAnsiTheme="majorHAnsi"/>
                        </w:rPr>
                      </w:pPr>
                      <w:r w:rsidRPr="00A02B5E">
                        <w:rPr>
                          <w:rFonts w:asciiTheme="majorHAnsi" w:hAnsiTheme="majorHAnsi"/>
                        </w:rPr>
                        <w:t xml:space="preserve">But wait a minute, how do I know the day the restructuring begins? The director scans the rest of r 5.3B.03. It does not say. He flicks back to section 453C of the Corporations Act. That section talks about “the day on which a restructuring practitioner for the company is appointed”, but says nothing about when “the restructuring begins”. Are they one and the same, the director wonders. </w:t>
                      </w:r>
                    </w:p>
                    <w:p w14:paraId="3AD26D08" w14:textId="77777777" w:rsidR="005E1897" w:rsidRPr="00A02B5E" w:rsidRDefault="005E1897" w:rsidP="005E1897">
                      <w:pPr>
                        <w:rPr>
                          <w:rFonts w:asciiTheme="majorHAnsi" w:hAnsiTheme="majorHAnsi"/>
                        </w:rPr>
                      </w:pPr>
                    </w:p>
                    <w:p w14:paraId="35AD9BB5" w14:textId="77777777" w:rsidR="005E1897" w:rsidRPr="00A02B5E" w:rsidRDefault="005E1897" w:rsidP="005E1897">
                      <w:pPr>
                        <w:rPr>
                          <w:rFonts w:asciiTheme="majorHAnsi" w:hAnsiTheme="majorHAnsi"/>
                        </w:rPr>
                      </w:pPr>
                      <w:r w:rsidRPr="00A02B5E">
                        <w:rPr>
                          <w:rFonts w:asciiTheme="majorHAnsi" w:hAnsiTheme="majorHAnsi"/>
                        </w:rPr>
                        <w:t xml:space="preserve">“Ok, </w:t>
                      </w:r>
                      <w:r>
                        <w:rPr>
                          <w:rFonts w:asciiTheme="majorHAnsi" w:hAnsiTheme="majorHAnsi"/>
                        </w:rPr>
                        <w:t>leave that to one side</w:t>
                      </w:r>
                      <w:r w:rsidRPr="00A02B5E">
                        <w:rPr>
                          <w:rFonts w:asciiTheme="majorHAnsi" w:hAnsiTheme="majorHAnsi"/>
                        </w:rPr>
                        <w:t xml:space="preserve">”, the director thinks to himself. “I </w:t>
                      </w:r>
                      <w:r>
                        <w:rPr>
                          <w:rFonts w:asciiTheme="majorHAnsi" w:hAnsiTheme="majorHAnsi"/>
                        </w:rPr>
                        <w:t>suppose</w:t>
                      </w:r>
                      <w:r w:rsidRPr="00A02B5E">
                        <w:rPr>
                          <w:rFonts w:asciiTheme="majorHAnsi" w:hAnsiTheme="majorHAnsi"/>
                        </w:rPr>
                        <w:t xml:space="preserve"> what I really need to be sure of is how to calculate my ‘liabilities’ to make sure</w:t>
                      </w:r>
                      <w:r>
                        <w:rPr>
                          <w:rFonts w:asciiTheme="majorHAnsi" w:hAnsiTheme="majorHAnsi"/>
                        </w:rPr>
                        <w:t xml:space="preserve"> my business is</w:t>
                      </w:r>
                      <w:r w:rsidRPr="00A02B5E">
                        <w:rPr>
                          <w:rFonts w:asciiTheme="majorHAnsi" w:hAnsiTheme="majorHAnsi"/>
                        </w:rPr>
                        <w:t xml:space="preserve"> under the threshold”. He </w:t>
                      </w:r>
                      <w:r>
                        <w:rPr>
                          <w:rFonts w:asciiTheme="majorHAnsi" w:hAnsiTheme="majorHAnsi"/>
                        </w:rPr>
                        <w:t>flicks</w:t>
                      </w:r>
                      <w:r w:rsidRPr="00A02B5E">
                        <w:rPr>
                          <w:rFonts w:asciiTheme="majorHAnsi" w:hAnsiTheme="majorHAnsi"/>
                        </w:rPr>
                        <w:t xml:space="preserve"> to the dictionary at section 9</w:t>
                      </w:r>
                      <w:r>
                        <w:rPr>
                          <w:rFonts w:asciiTheme="majorHAnsi" w:hAnsiTheme="majorHAnsi"/>
                        </w:rPr>
                        <w:t xml:space="preserve"> of the Corporations Act</w:t>
                      </w:r>
                      <w:r w:rsidRPr="00A02B5E">
                        <w:rPr>
                          <w:rFonts w:asciiTheme="majorHAnsi" w:hAnsiTheme="majorHAnsi"/>
                        </w:rPr>
                        <w:t xml:space="preserve">. </w:t>
                      </w:r>
                      <w:r>
                        <w:rPr>
                          <w:rFonts w:asciiTheme="majorHAnsi" w:hAnsiTheme="majorHAnsi"/>
                        </w:rPr>
                        <w:t>It contains</w:t>
                      </w:r>
                      <w:r w:rsidRPr="00A02B5E">
                        <w:rPr>
                          <w:rFonts w:asciiTheme="majorHAnsi" w:hAnsiTheme="majorHAnsi"/>
                        </w:rPr>
                        <w:t xml:space="preserve"> more than a thousand definitions</w:t>
                      </w:r>
                      <w:r>
                        <w:rPr>
                          <w:rFonts w:asciiTheme="majorHAnsi" w:hAnsiTheme="majorHAnsi"/>
                        </w:rPr>
                        <w:t>,</w:t>
                      </w:r>
                      <w:r w:rsidRPr="00A02B5E">
                        <w:rPr>
                          <w:rFonts w:asciiTheme="majorHAnsi" w:hAnsiTheme="majorHAnsi"/>
                        </w:rPr>
                        <w:t xml:space="preserve"> so there must be something that can shed some light on a concept as important as “liabilities”. After flipping past about fifty pages of irrelevant definitions he finds the following: </w:t>
                      </w:r>
                    </w:p>
                    <w:p w14:paraId="603B3363" w14:textId="77777777" w:rsidR="005E1897" w:rsidRPr="00A02B5E" w:rsidRDefault="005E1897" w:rsidP="005E1897">
                      <w:pPr>
                        <w:ind w:left="720"/>
                        <w:rPr>
                          <w:rFonts w:asciiTheme="majorHAnsi" w:hAnsiTheme="majorHAnsi"/>
                          <w:i/>
                          <w:iCs/>
                        </w:rPr>
                      </w:pPr>
                      <w:r w:rsidRPr="00A02B5E">
                        <w:rPr>
                          <w:rFonts w:asciiTheme="majorHAnsi" w:hAnsiTheme="majorHAnsi"/>
                        </w:rPr>
                        <w:br/>
                      </w:r>
                      <w:r w:rsidRPr="00A02B5E">
                        <w:rPr>
                          <w:rFonts w:asciiTheme="majorHAnsi" w:hAnsiTheme="majorHAnsi"/>
                          <w:bCs/>
                          <w:i/>
                          <w:iCs/>
                        </w:rPr>
                        <w:t>liability</w:t>
                      </w:r>
                      <w:r w:rsidRPr="00A02B5E">
                        <w:rPr>
                          <w:rFonts w:asciiTheme="majorHAnsi" w:hAnsiTheme="majorHAnsi"/>
                          <w:i/>
                          <w:iCs/>
                        </w:rPr>
                        <w:t>:</w:t>
                      </w:r>
                      <w:r w:rsidRPr="00A02B5E">
                        <w:rPr>
                          <w:rFonts w:asciiTheme="majorHAnsi" w:hAnsiTheme="majorHAnsi"/>
                          <w:i/>
                          <w:iCs/>
                        </w:rPr>
                        <w:br/>
                      </w:r>
                    </w:p>
                    <w:p w14:paraId="5A2F457D" w14:textId="77777777" w:rsidR="005E1897" w:rsidRPr="00A02B5E" w:rsidRDefault="005E1897" w:rsidP="005E1897">
                      <w:pPr>
                        <w:ind w:left="720"/>
                        <w:rPr>
                          <w:rFonts w:asciiTheme="majorHAnsi" w:hAnsiTheme="majorHAnsi"/>
                          <w:i/>
                          <w:iCs/>
                        </w:rPr>
                      </w:pPr>
                      <w:r w:rsidRPr="00A02B5E">
                        <w:rPr>
                          <w:rFonts w:asciiTheme="majorHAnsi" w:hAnsiTheme="majorHAnsi"/>
                          <w:i/>
                          <w:iCs/>
                        </w:rPr>
                        <w:t> (a) </w:t>
                      </w:r>
                      <w:r w:rsidRPr="00A02B5E">
                        <w:rPr>
                          <w:rFonts w:asciiTheme="majorHAnsi" w:hAnsiTheme="majorHAnsi"/>
                          <w:b/>
                          <w:bCs/>
                          <w:i/>
                          <w:iCs/>
                        </w:rPr>
                        <w:t>liability</w:t>
                      </w:r>
                      <w:r w:rsidRPr="00A02B5E">
                        <w:rPr>
                          <w:rFonts w:asciiTheme="majorHAnsi" w:hAnsiTheme="majorHAnsi"/>
                          <w:i/>
                          <w:iCs/>
                        </w:rPr>
                        <w:t> (except in relation to a sub</w:t>
                      </w:r>
                      <w:r w:rsidRPr="00A02B5E">
                        <w:rPr>
                          <w:rFonts w:asciiTheme="majorHAnsi" w:hAnsiTheme="majorHAnsi"/>
                          <w:i/>
                          <w:iCs/>
                        </w:rPr>
                        <w:noBreakHyphen/>
                        <w:t>fund of a CCIV):</w:t>
                      </w:r>
                    </w:p>
                    <w:p w14:paraId="6289B528" w14:textId="77777777" w:rsidR="005E1897" w:rsidRPr="00A02B5E" w:rsidRDefault="005E1897" w:rsidP="005E1897">
                      <w:pPr>
                        <w:ind w:left="1440"/>
                        <w:rPr>
                          <w:rFonts w:asciiTheme="majorHAnsi" w:hAnsiTheme="majorHAnsi"/>
                          <w:i/>
                          <w:iCs/>
                        </w:rPr>
                      </w:pPr>
                      <w:r w:rsidRPr="00A02B5E">
                        <w:rPr>
                          <w:rFonts w:asciiTheme="majorHAnsi" w:hAnsiTheme="majorHAnsi"/>
                          <w:i/>
                          <w:iCs/>
                        </w:rPr>
                        <w:t> (i) includes a duty or obligation of any kind (whether arising under an instrument or otherwise, and whether actual, contingent or prospective); and</w:t>
                      </w:r>
                    </w:p>
                    <w:p w14:paraId="57F7BD2F" w14:textId="77777777" w:rsidR="005E1897" w:rsidRPr="00A02B5E" w:rsidRDefault="005E1897" w:rsidP="005E1897">
                      <w:pPr>
                        <w:ind w:left="1440"/>
                        <w:rPr>
                          <w:rFonts w:asciiTheme="majorHAnsi" w:hAnsiTheme="majorHAnsi"/>
                          <w:i/>
                          <w:iCs/>
                        </w:rPr>
                      </w:pPr>
                      <w:r w:rsidRPr="00A02B5E">
                        <w:rPr>
                          <w:rFonts w:asciiTheme="majorHAnsi" w:hAnsiTheme="majorHAnsi"/>
                          <w:i/>
                          <w:iCs/>
                        </w:rPr>
                        <w:t> (ii) in relation to a CCIV—has a meaning affected by section 1233A; and</w:t>
                      </w:r>
                    </w:p>
                    <w:p w14:paraId="5621A55D" w14:textId="77777777" w:rsidR="005E1897" w:rsidRPr="00A02B5E" w:rsidRDefault="005E1897" w:rsidP="005E1897">
                      <w:pPr>
                        <w:ind w:left="720"/>
                        <w:rPr>
                          <w:rFonts w:asciiTheme="majorHAnsi" w:hAnsiTheme="majorHAnsi"/>
                          <w:i/>
                          <w:iCs/>
                        </w:rPr>
                      </w:pPr>
                      <w:r w:rsidRPr="00A02B5E">
                        <w:rPr>
                          <w:rFonts w:asciiTheme="majorHAnsi" w:hAnsiTheme="majorHAnsi"/>
                          <w:i/>
                          <w:iCs/>
                        </w:rPr>
                        <w:t> (b) </w:t>
                      </w:r>
                      <w:r w:rsidRPr="00A02B5E">
                        <w:rPr>
                          <w:rFonts w:asciiTheme="majorHAnsi" w:hAnsiTheme="majorHAnsi"/>
                          <w:b/>
                          <w:bCs/>
                          <w:i/>
                          <w:iCs/>
                        </w:rPr>
                        <w:t>liabilities</w:t>
                      </w:r>
                      <w:r w:rsidRPr="00A02B5E">
                        <w:rPr>
                          <w:rFonts w:asciiTheme="majorHAnsi" w:hAnsiTheme="majorHAnsi"/>
                          <w:i/>
                          <w:iCs/>
                        </w:rPr>
                        <w:t>, in relation to a sub</w:t>
                      </w:r>
                      <w:r w:rsidRPr="00A02B5E">
                        <w:rPr>
                          <w:rFonts w:asciiTheme="majorHAnsi" w:hAnsiTheme="majorHAnsi"/>
                          <w:i/>
                          <w:iCs/>
                        </w:rPr>
                        <w:noBreakHyphen/>
                        <w:t>fund of a CCIV, has the meaning given by section 1233L.</w:t>
                      </w:r>
                    </w:p>
                    <w:p w14:paraId="63D1D333" w14:textId="77777777" w:rsidR="005E1897" w:rsidRPr="00A02B5E" w:rsidRDefault="005E1897" w:rsidP="005E1897">
                      <w:pPr>
                        <w:rPr>
                          <w:rFonts w:asciiTheme="majorHAnsi" w:hAnsiTheme="majorHAnsi"/>
                        </w:rPr>
                      </w:pPr>
                    </w:p>
                    <w:p w14:paraId="03A03362" w14:textId="77777777" w:rsidR="000C6330" w:rsidRPr="00E821CB" w:rsidRDefault="005E1897">
                      <w:pPr>
                        <w:rPr>
                          <w:rFonts w:asciiTheme="majorHAnsi" w:hAnsiTheme="majorHAnsi"/>
                        </w:rPr>
                      </w:pPr>
                      <w:r w:rsidRPr="00A02B5E">
                        <w:rPr>
                          <w:rFonts w:asciiTheme="majorHAnsi" w:hAnsiTheme="majorHAnsi"/>
                        </w:rPr>
                        <w:t xml:space="preserve">He slams closed his laptop in disgust, long before he was able to identify that </w:t>
                      </w:r>
                      <w:r w:rsidRPr="00A02B5E">
                        <w:rPr>
                          <w:rFonts w:asciiTheme="majorHAnsi" w:hAnsiTheme="majorHAnsi"/>
                          <w:u w:val="single"/>
                        </w:rPr>
                        <w:t>yet</w:t>
                      </w:r>
                      <w:r w:rsidRPr="00A02B5E">
                        <w:rPr>
                          <w:rFonts w:asciiTheme="majorHAnsi" w:hAnsiTheme="majorHAnsi"/>
                        </w:rPr>
                        <w:t xml:space="preserve"> another separate section</w:t>
                      </w:r>
                      <w:r>
                        <w:rPr>
                          <w:rFonts w:asciiTheme="majorHAnsi" w:hAnsiTheme="majorHAnsi"/>
                        </w:rPr>
                        <w:t xml:space="preserve">, r </w:t>
                      </w:r>
                      <w:r w:rsidRPr="000C6330">
                        <w:rPr>
                          <w:rFonts w:asciiTheme="majorHAnsi" w:hAnsiTheme="majorHAnsi"/>
                        </w:rPr>
                        <w:t>5.3B.01</w:t>
                      </w:r>
                      <w:r>
                        <w:rPr>
                          <w:rFonts w:asciiTheme="majorHAnsi" w:hAnsiTheme="majorHAnsi"/>
                        </w:rPr>
                        <w:t>,</w:t>
                      </w:r>
                      <w:r w:rsidRPr="00A02B5E">
                        <w:rPr>
                          <w:rFonts w:asciiTheme="majorHAnsi" w:hAnsiTheme="majorHAnsi"/>
                        </w:rPr>
                        <w:t xml:space="preserve"> carves out employee entitlements from the $1 million threshold.</w:t>
                      </w:r>
                    </w:p>
                  </w:txbxContent>
                </v:textbox>
                <w10:wrap type="square"/>
              </v:shape>
            </w:pict>
          </mc:Fallback>
        </mc:AlternateContent>
      </w:r>
    </w:p>
    <w:p w14:paraId="5E92F2FB" w14:textId="77777777" w:rsidR="008A7B27" w:rsidRPr="00A02B5E" w:rsidRDefault="0024158C" w:rsidP="008A7B27">
      <w:pPr>
        <w:rPr>
          <w:rFonts w:asciiTheme="majorHAnsi" w:hAnsiTheme="majorHAnsi"/>
        </w:rPr>
      </w:pPr>
      <w:r w:rsidRPr="00A02B5E">
        <w:rPr>
          <w:rFonts w:asciiTheme="majorHAnsi" w:hAnsiTheme="majorHAnsi"/>
        </w:rPr>
        <w:t>On the question of form</w:t>
      </w:r>
      <w:r w:rsidR="00ED1A46" w:rsidRPr="00A02B5E">
        <w:rPr>
          <w:rFonts w:asciiTheme="majorHAnsi" w:hAnsiTheme="majorHAnsi"/>
        </w:rPr>
        <w:t xml:space="preserve">, we commend the New Zealand </w:t>
      </w:r>
      <w:r w:rsidR="00ED1A46" w:rsidRPr="00A02B5E">
        <w:rPr>
          <w:rFonts w:asciiTheme="majorHAnsi" w:hAnsiTheme="majorHAnsi"/>
          <w:i/>
          <w:iCs/>
        </w:rPr>
        <w:t xml:space="preserve">Insolvency Act 2006 </w:t>
      </w:r>
      <w:r w:rsidR="00ED1A46" w:rsidRPr="00A02B5E">
        <w:rPr>
          <w:rFonts w:asciiTheme="majorHAnsi" w:hAnsiTheme="majorHAnsi"/>
        </w:rPr>
        <w:t xml:space="preserve">as an exemplar </w:t>
      </w:r>
      <w:r w:rsidR="00A4477F" w:rsidRPr="00A02B5E">
        <w:rPr>
          <w:rFonts w:asciiTheme="majorHAnsi" w:hAnsiTheme="majorHAnsi"/>
        </w:rPr>
        <w:t>of</w:t>
      </w:r>
      <w:r w:rsidR="00ED1A46" w:rsidRPr="00A02B5E">
        <w:rPr>
          <w:rFonts w:asciiTheme="majorHAnsi" w:hAnsiTheme="majorHAnsi"/>
        </w:rPr>
        <w:t xml:space="preserve"> well-drafted legislation. </w:t>
      </w:r>
    </w:p>
    <w:p w14:paraId="46806990" w14:textId="77777777" w:rsidR="00631963" w:rsidRPr="00A02B5E" w:rsidRDefault="00631963" w:rsidP="003A4EA7">
      <w:pPr>
        <w:rPr>
          <w:rFonts w:asciiTheme="majorHAnsi" w:hAnsiTheme="majorHAnsi"/>
        </w:rPr>
      </w:pPr>
    </w:p>
    <w:p w14:paraId="475EA61C" w14:textId="77777777" w:rsidR="00922A76" w:rsidRPr="00A02B5E" w:rsidRDefault="00922A76" w:rsidP="00922A76">
      <w:pPr>
        <w:rPr>
          <w:rFonts w:asciiTheme="majorHAnsi" w:hAnsiTheme="majorHAnsi"/>
          <w:u w:val="single"/>
        </w:rPr>
      </w:pPr>
      <w:r w:rsidRPr="00A02B5E">
        <w:rPr>
          <w:rFonts w:asciiTheme="majorHAnsi" w:hAnsiTheme="majorHAnsi"/>
          <w:b/>
          <w:bCs/>
          <w:u w:val="single"/>
        </w:rPr>
        <w:t>Balancing corporate rescue and creative destruction</w:t>
      </w:r>
      <w:r w:rsidRPr="00A02B5E">
        <w:rPr>
          <w:rFonts w:asciiTheme="majorHAnsi" w:hAnsiTheme="majorHAnsi"/>
          <w:b/>
          <w:bCs/>
          <w:u w:val="single"/>
        </w:rPr>
        <w:br/>
      </w:r>
    </w:p>
    <w:p w14:paraId="15175020" w14:textId="77777777" w:rsidR="00E8018A" w:rsidRDefault="00FE32AF" w:rsidP="00922A76">
      <w:pPr>
        <w:rPr>
          <w:rFonts w:asciiTheme="majorHAnsi" w:hAnsiTheme="majorHAnsi"/>
        </w:rPr>
      </w:pPr>
      <w:r w:rsidRPr="00FE32AF">
        <w:rPr>
          <w:rFonts w:asciiTheme="majorHAnsi" w:hAnsiTheme="majorHAnsi"/>
        </w:rPr>
        <w:t xml:space="preserve">Before the rise of statutory rescue procedures, liquidation stood as the central </w:t>
      </w:r>
      <w:r w:rsidR="00E37FDE">
        <w:rPr>
          <w:rFonts w:asciiTheme="majorHAnsi" w:hAnsiTheme="majorHAnsi"/>
        </w:rPr>
        <w:t>-</w:t>
      </w:r>
      <w:r w:rsidRPr="00FE32AF">
        <w:rPr>
          <w:rFonts w:asciiTheme="majorHAnsi" w:hAnsiTheme="majorHAnsi"/>
        </w:rPr>
        <w:t xml:space="preserve"> and in many jurisdictions the only </w:t>
      </w:r>
      <w:r w:rsidR="00E37FDE">
        <w:rPr>
          <w:rFonts w:asciiTheme="majorHAnsi" w:hAnsiTheme="majorHAnsi"/>
        </w:rPr>
        <w:t>-</w:t>
      </w:r>
      <w:r w:rsidRPr="00FE32AF">
        <w:rPr>
          <w:rFonts w:asciiTheme="majorHAnsi" w:hAnsiTheme="majorHAnsi"/>
        </w:rPr>
        <w:t xml:space="preserve"> formal mechanism of corporate insolvency law.</w:t>
      </w:r>
      <w:r>
        <w:rPr>
          <w:rFonts w:asciiTheme="majorHAnsi" w:hAnsiTheme="majorHAnsi"/>
        </w:rPr>
        <w:t xml:space="preserve"> </w:t>
      </w:r>
      <w:r w:rsidR="00922A76" w:rsidRPr="00A02B5E">
        <w:rPr>
          <w:rFonts w:asciiTheme="majorHAnsi" w:hAnsiTheme="majorHAnsi"/>
        </w:rPr>
        <w:t xml:space="preserve">Liquidation </w:t>
      </w:r>
      <w:r w:rsidR="00EE3F51">
        <w:rPr>
          <w:rFonts w:asciiTheme="majorHAnsi" w:hAnsiTheme="majorHAnsi"/>
        </w:rPr>
        <w:t>involves the gathering and sale of the company’s assets, distribution of the proceeds to creditors</w:t>
      </w:r>
      <w:r w:rsidR="007D37FC">
        <w:rPr>
          <w:rFonts w:asciiTheme="majorHAnsi" w:hAnsiTheme="majorHAnsi"/>
        </w:rPr>
        <w:t xml:space="preserve">, and deregistration of the company. </w:t>
      </w:r>
      <w:r w:rsidR="00BC37B7">
        <w:rPr>
          <w:rFonts w:asciiTheme="majorHAnsi" w:hAnsiTheme="majorHAnsi"/>
        </w:rPr>
        <w:t xml:space="preserve">It is, in effect, </w:t>
      </w:r>
      <w:r w:rsidR="00F67B0F">
        <w:rPr>
          <w:rFonts w:asciiTheme="majorHAnsi" w:hAnsiTheme="majorHAnsi"/>
        </w:rPr>
        <w:t>a</w:t>
      </w:r>
      <w:r w:rsidR="00BC37B7">
        <w:rPr>
          <w:rFonts w:asciiTheme="majorHAnsi" w:hAnsiTheme="majorHAnsi"/>
        </w:rPr>
        <w:t xml:space="preserve"> mechanism to </w:t>
      </w:r>
      <w:r w:rsidR="00326D1C">
        <w:rPr>
          <w:rFonts w:asciiTheme="majorHAnsi" w:hAnsiTheme="majorHAnsi"/>
        </w:rPr>
        <w:t>manage</w:t>
      </w:r>
      <w:r w:rsidR="00A22A39">
        <w:rPr>
          <w:rFonts w:asciiTheme="majorHAnsi" w:hAnsiTheme="majorHAnsi"/>
        </w:rPr>
        <w:t xml:space="preserve">, formalise and finalise </w:t>
      </w:r>
      <w:r w:rsidR="00BC37B7">
        <w:rPr>
          <w:rFonts w:asciiTheme="majorHAnsi" w:hAnsiTheme="majorHAnsi"/>
        </w:rPr>
        <w:t xml:space="preserve">business failure. </w:t>
      </w:r>
      <w:r w:rsidR="00922A76" w:rsidRPr="00A02B5E">
        <w:rPr>
          <w:rFonts w:asciiTheme="majorHAnsi" w:hAnsiTheme="majorHAnsi"/>
        </w:rPr>
        <w:t xml:space="preserve">Business failure is essential for the creative destruction required in a market economy. </w:t>
      </w:r>
    </w:p>
    <w:p w14:paraId="3A6987D5" w14:textId="77777777" w:rsidR="00E8018A" w:rsidRDefault="00E8018A" w:rsidP="00922A76">
      <w:pPr>
        <w:rPr>
          <w:rFonts w:asciiTheme="majorHAnsi" w:hAnsiTheme="majorHAnsi"/>
        </w:rPr>
      </w:pPr>
    </w:p>
    <w:p w14:paraId="7D8CD6A9" w14:textId="77777777" w:rsidR="00EB5B47" w:rsidRDefault="00922A76" w:rsidP="00922A76">
      <w:pPr>
        <w:rPr>
          <w:rFonts w:asciiTheme="majorHAnsi" w:hAnsiTheme="majorHAnsi"/>
        </w:rPr>
      </w:pPr>
      <w:r w:rsidRPr="00A02B5E">
        <w:rPr>
          <w:rFonts w:asciiTheme="majorHAnsi" w:hAnsiTheme="majorHAnsi"/>
        </w:rPr>
        <w:t>A more modern approach internationally is to emphasise the importance of business rescue</w:t>
      </w:r>
      <w:r w:rsidR="00B52662">
        <w:rPr>
          <w:rFonts w:asciiTheme="majorHAnsi" w:hAnsiTheme="majorHAnsi"/>
        </w:rPr>
        <w:t xml:space="preserve"> (</w:t>
      </w:r>
      <w:r w:rsidR="00CF06BD">
        <w:rPr>
          <w:rFonts w:asciiTheme="majorHAnsi" w:hAnsiTheme="majorHAnsi"/>
        </w:rPr>
        <w:t xml:space="preserve">by which it is meant </w:t>
      </w:r>
      <w:r w:rsidR="005C2468">
        <w:rPr>
          <w:rFonts w:asciiTheme="majorHAnsi" w:hAnsiTheme="majorHAnsi"/>
        </w:rPr>
        <w:t xml:space="preserve">the business </w:t>
      </w:r>
      <w:r w:rsidR="008F260C">
        <w:rPr>
          <w:rFonts w:asciiTheme="majorHAnsi" w:hAnsiTheme="majorHAnsi"/>
        </w:rPr>
        <w:t xml:space="preserve">either </w:t>
      </w:r>
      <w:r w:rsidR="005C2468">
        <w:rPr>
          <w:rFonts w:asciiTheme="majorHAnsi" w:hAnsiTheme="majorHAnsi"/>
        </w:rPr>
        <w:t>continuing</w:t>
      </w:r>
      <w:r w:rsidR="007042B6">
        <w:rPr>
          <w:rFonts w:asciiTheme="majorHAnsi" w:hAnsiTheme="majorHAnsi"/>
        </w:rPr>
        <w:t xml:space="preserve"> after a restructure of its </w:t>
      </w:r>
      <w:proofErr w:type="gramStart"/>
      <w:r w:rsidR="007042B6">
        <w:rPr>
          <w:rFonts w:asciiTheme="majorHAnsi" w:hAnsiTheme="majorHAnsi"/>
        </w:rPr>
        <w:t>debts,</w:t>
      </w:r>
      <w:r w:rsidR="005C2468">
        <w:rPr>
          <w:rFonts w:asciiTheme="majorHAnsi" w:hAnsiTheme="majorHAnsi"/>
        </w:rPr>
        <w:t xml:space="preserve"> or</w:t>
      </w:r>
      <w:proofErr w:type="gramEnd"/>
      <w:r w:rsidR="005C2468">
        <w:rPr>
          <w:rFonts w:asciiTheme="majorHAnsi" w:hAnsiTheme="majorHAnsi"/>
        </w:rPr>
        <w:t xml:space="preserve"> being sold as a going concern)</w:t>
      </w:r>
      <w:r w:rsidRPr="00A02B5E">
        <w:rPr>
          <w:rFonts w:asciiTheme="majorHAnsi" w:hAnsiTheme="majorHAnsi"/>
        </w:rPr>
        <w:t>. The</w:t>
      </w:r>
      <w:r w:rsidR="00D15C66">
        <w:rPr>
          <w:rFonts w:asciiTheme="majorHAnsi" w:hAnsiTheme="majorHAnsi"/>
        </w:rPr>
        <w:t xml:space="preserve"> obvious</w:t>
      </w:r>
      <w:r w:rsidRPr="00A02B5E">
        <w:rPr>
          <w:rFonts w:asciiTheme="majorHAnsi" w:hAnsiTheme="majorHAnsi"/>
        </w:rPr>
        <w:t xml:space="preserve"> benefits of </w:t>
      </w:r>
      <w:r w:rsidR="00D15C66">
        <w:rPr>
          <w:rFonts w:asciiTheme="majorHAnsi" w:hAnsiTheme="majorHAnsi"/>
        </w:rPr>
        <w:t xml:space="preserve">rescuing a </w:t>
      </w:r>
      <w:r w:rsidRPr="00A02B5E">
        <w:rPr>
          <w:rFonts w:asciiTheme="majorHAnsi" w:hAnsiTheme="majorHAnsi"/>
        </w:rPr>
        <w:t xml:space="preserve">business include job preservation and preservation of economic value. </w:t>
      </w:r>
      <w:r w:rsidR="00E8018A">
        <w:rPr>
          <w:rFonts w:asciiTheme="majorHAnsi" w:hAnsiTheme="majorHAnsi"/>
        </w:rPr>
        <w:t xml:space="preserve">Australia’s voluntary administration procedure </w:t>
      </w:r>
      <w:r w:rsidR="009045FD">
        <w:rPr>
          <w:rFonts w:asciiTheme="majorHAnsi" w:hAnsiTheme="majorHAnsi"/>
        </w:rPr>
        <w:t xml:space="preserve">(and the Deed of Company </w:t>
      </w:r>
      <w:r w:rsidR="009045FD">
        <w:rPr>
          <w:rFonts w:asciiTheme="majorHAnsi" w:hAnsiTheme="majorHAnsi"/>
        </w:rPr>
        <w:lastRenderedPageBreak/>
        <w:t xml:space="preserve">Arrangement or “DOCA” that is a </w:t>
      </w:r>
      <w:proofErr w:type="gramStart"/>
      <w:r w:rsidR="009045FD">
        <w:rPr>
          <w:rFonts w:asciiTheme="majorHAnsi" w:hAnsiTheme="majorHAnsi"/>
        </w:rPr>
        <w:t>commonly-used</w:t>
      </w:r>
      <w:proofErr w:type="gramEnd"/>
      <w:r w:rsidR="009045FD">
        <w:rPr>
          <w:rFonts w:asciiTheme="majorHAnsi" w:hAnsiTheme="majorHAnsi"/>
        </w:rPr>
        <w:t xml:space="preserve"> outcome of voluntary administration) </w:t>
      </w:r>
      <w:r w:rsidR="00E8018A">
        <w:rPr>
          <w:rFonts w:asciiTheme="majorHAnsi" w:hAnsiTheme="majorHAnsi"/>
        </w:rPr>
        <w:t>is a mechanism for business rescue</w:t>
      </w:r>
      <w:r w:rsidR="00DD249F">
        <w:rPr>
          <w:rFonts w:asciiTheme="majorHAnsi" w:hAnsiTheme="majorHAnsi"/>
        </w:rPr>
        <w:t xml:space="preserve">. </w:t>
      </w:r>
    </w:p>
    <w:p w14:paraId="1F13FAE5" w14:textId="77777777" w:rsidR="00EB5B47" w:rsidRDefault="00EB5B47" w:rsidP="00922A76">
      <w:pPr>
        <w:rPr>
          <w:rFonts w:asciiTheme="majorHAnsi" w:hAnsiTheme="majorHAnsi"/>
        </w:rPr>
      </w:pPr>
    </w:p>
    <w:p w14:paraId="5C8CF370" w14:textId="65F260BF" w:rsidR="00922A76" w:rsidRPr="00A02B5E" w:rsidRDefault="00922A76" w:rsidP="00922A76">
      <w:pPr>
        <w:rPr>
          <w:rFonts w:asciiTheme="majorHAnsi" w:hAnsiTheme="majorHAnsi"/>
        </w:rPr>
      </w:pPr>
      <w:r w:rsidRPr="00A02B5E">
        <w:rPr>
          <w:rFonts w:asciiTheme="majorHAnsi" w:hAnsiTheme="majorHAnsi"/>
        </w:rPr>
        <w:t xml:space="preserve">As a matter of practice, a DOCA is ordinarily entered into if </w:t>
      </w:r>
      <w:r w:rsidR="00AB1721">
        <w:rPr>
          <w:rFonts w:asciiTheme="majorHAnsi" w:hAnsiTheme="majorHAnsi"/>
        </w:rPr>
        <w:t>a</w:t>
      </w:r>
      <w:r w:rsidRPr="00A02B5E">
        <w:rPr>
          <w:rFonts w:asciiTheme="majorHAnsi" w:hAnsiTheme="majorHAnsi"/>
        </w:rPr>
        <w:t xml:space="preserve"> requisite majority of creditors perceive that it would result in a better outcome for them than an immediate winding up. This is not a high bar</w:t>
      </w:r>
      <w:r w:rsidR="00E42194">
        <w:rPr>
          <w:rFonts w:asciiTheme="majorHAnsi" w:hAnsiTheme="majorHAnsi"/>
        </w:rPr>
        <w:t xml:space="preserve">, because </w:t>
      </w:r>
      <w:r>
        <w:rPr>
          <w:rFonts w:asciiTheme="majorHAnsi" w:hAnsiTheme="majorHAnsi"/>
        </w:rPr>
        <w:t xml:space="preserve">an immediate winding up is significantly value-destructive of a business. </w:t>
      </w:r>
    </w:p>
    <w:p w14:paraId="2663FE22" w14:textId="77777777" w:rsidR="00922A76" w:rsidRPr="00A02B5E" w:rsidRDefault="00922A76" w:rsidP="00922A76">
      <w:pPr>
        <w:rPr>
          <w:rFonts w:asciiTheme="majorHAnsi" w:hAnsiTheme="majorHAnsi"/>
        </w:rPr>
      </w:pPr>
    </w:p>
    <w:p w14:paraId="65192E26" w14:textId="77777777" w:rsidR="00922A76" w:rsidRPr="00A02B5E" w:rsidRDefault="00922A76" w:rsidP="00922A76">
      <w:pPr>
        <w:rPr>
          <w:rFonts w:asciiTheme="majorHAnsi" w:hAnsiTheme="majorHAnsi"/>
        </w:rPr>
      </w:pPr>
      <w:r w:rsidRPr="00A02B5E">
        <w:rPr>
          <w:rFonts w:asciiTheme="majorHAnsi" w:hAnsiTheme="majorHAnsi"/>
        </w:rPr>
        <w:t>What is notable is what is not considered in th</w:t>
      </w:r>
      <w:r w:rsidR="0059459A">
        <w:rPr>
          <w:rFonts w:asciiTheme="majorHAnsi" w:hAnsiTheme="majorHAnsi"/>
        </w:rPr>
        <w:t xml:space="preserve">at decision-making </w:t>
      </w:r>
      <w:r w:rsidRPr="00A02B5E">
        <w:rPr>
          <w:rFonts w:asciiTheme="majorHAnsi" w:hAnsiTheme="majorHAnsi"/>
        </w:rPr>
        <w:t xml:space="preserve">process:  </w:t>
      </w:r>
      <w:r w:rsidRPr="00A02B5E">
        <w:rPr>
          <w:rFonts w:asciiTheme="majorHAnsi" w:hAnsiTheme="majorHAnsi"/>
        </w:rPr>
        <w:br/>
      </w:r>
    </w:p>
    <w:p w14:paraId="120C52CE" w14:textId="77777777" w:rsidR="00922A76" w:rsidRPr="00A02B5E" w:rsidRDefault="00922A76" w:rsidP="00922A76">
      <w:pPr>
        <w:pStyle w:val="ListParagraph"/>
        <w:numPr>
          <w:ilvl w:val="0"/>
          <w:numId w:val="34"/>
        </w:numPr>
        <w:rPr>
          <w:rFonts w:asciiTheme="majorHAnsi" w:hAnsiTheme="majorHAnsi"/>
        </w:rPr>
      </w:pPr>
      <w:r w:rsidRPr="00A02B5E">
        <w:rPr>
          <w:rFonts w:asciiTheme="majorHAnsi" w:hAnsiTheme="majorHAnsi"/>
        </w:rPr>
        <w:t xml:space="preserve">Are the “rescued” employees and capital tied up in this business being deployed in an economically inefficient way? </w:t>
      </w:r>
      <w:r w:rsidRPr="00A02B5E">
        <w:rPr>
          <w:rFonts w:asciiTheme="majorHAnsi" w:hAnsiTheme="majorHAnsi"/>
          <w:i/>
          <w:iCs/>
        </w:rPr>
        <w:t>(the authors suggest the answer may be ‘</w:t>
      </w:r>
      <w:proofErr w:type="spellStart"/>
      <w:r w:rsidRPr="00A02B5E">
        <w:rPr>
          <w:rFonts w:asciiTheme="majorHAnsi" w:hAnsiTheme="majorHAnsi"/>
          <w:i/>
          <w:iCs/>
        </w:rPr>
        <w:t>yes’</w:t>
      </w:r>
      <w:proofErr w:type="spellEnd"/>
      <w:r w:rsidRPr="00A02B5E">
        <w:rPr>
          <w:rFonts w:asciiTheme="majorHAnsi" w:hAnsiTheme="majorHAnsi"/>
          <w:i/>
          <w:iCs/>
        </w:rPr>
        <w:t xml:space="preserve"> in some cases)</w:t>
      </w:r>
      <w:r w:rsidRPr="00A02B5E">
        <w:rPr>
          <w:rFonts w:asciiTheme="majorHAnsi" w:hAnsiTheme="majorHAnsi"/>
        </w:rPr>
        <w:br/>
      </w:r>
    </w:p>
    <w:p w14:paraId="7DD16AFF" w14:textId="77777777" w:rsidR="00922A76" w:rsidRPr="00A02B5E" w:rsidRDefault="00922A76" w:rsidP="00922A76">
      <w:pPr>
        <w:pStyle w:val="ListParagraph"/>
        <w:numPr>
          <w:ilvl w:val="0"/>
          <w:numId w:val="34"/>
        </w:numPr>
        <w:rPr>
          <w:rFonts w:asciiTheme="majorHAnsi" w:hAnsiTheme="majorHAnsi"/>
        </w:rPr>
      </w:pPr>
      <w:r w:rsidRPr="00A02B5E">
        <w:rPr>
          <w:rFonts w:asciiTheme="majorHAnsi" w:hAnsiTheme="majorHAnsi"/>
        </w:rPr>
        <w:t xml:space="preserve">Will this business rescue stifle innovation, by preserving an inefficient business at the expense of a new, more efficient competitor, or multiple such competitors? </w:t>
      </w:r>
      <w:r w:rsidRPr="00A02B5E">
        <w:rPr>
          <w:rFonts w:asciiTheme="majorHAnsi" w:hAnsiTheme="majorHAnsi"/>
          <w:i/>
          <w:iCs/>
        </w:rPr>
        <w:t>(the authors suggest the answer may be ‘</w:t>
      </w:r>
      <w:proofErr w:type="spellStart"/>
      <w:r w:rsidRPr="00A02B5E">
        <w:rPr>
          <w:rFonts w:asciiTheme="majorHAnsi" w:hAnsiTheme="majorHAnsi"/>
          <w:i/>
          <w:iCs/>
        </w:rPr>
        <w:t>yes’</w:t>
      </w:r>
      <w:proofErr w:type="spellEnd"/>
      <w:r w:rsidRPr="00A02B5E">
        <w:rPr>
          <w:rFonts w:asciiTheme="majorHAnsi" w:hAnsiTheme="majorHAnsi"/>
          <w:i/>
          <w:iCs/>
        </w:rPr>
        <w:t xml:space="preserve"> in some cases)</w:t>
      </w:r>
      <w:r w:rsidRPr="00A02B5E">
        <w:rPr>
          <w:rFonts w:asciiTheme="majorHAnsi" w:hAnsiTheme="majorHAnsi"/>
        </w:rPr>
        <w:t xml:space="preserve"> </w:t>
      </w:r>
      <w:r w:rsidRPr="00A02B5E">
        <w:rPr>
          <w:rFonts w:asciiTheme="majorHAnsi" w:hAnsiTheme="majorHAnsi"/>
        </w:rPr>
        <w:br/>
      </w:r>
    </w:p>
    <w:p w14:paraId="6602A162" w14:textId="77777777" w:rsidR="00922A76" w:rsidRPr="00A02B5E" w:rsidRDefault="00922A76" w:rsidP="00922A76">
      <w:pPr>
        <w:pStyle w:val="ListParagraph"/>
        <w:numPr>
          <w:ilvl w:val="0"/>
          <w:numId w:val="34"/>
        </w:numPr>
        <w:rPr>
          <w:rFonts w:asciiTheme="majorHAnsi" w:hAnsiTheme="majorHAnsi"/>
        </w:rPr>
      </w:pPr>
      <w:r w:rsidRPr="00A02B5E">
        <w:rPr>
          <w:rFonts w:asciiTheme="majorHAnsi" w:hAnsiTheme="majorHAnsi"/>
        </w:rPr>
        <w:t xml:space="preserve">Has rescuing this business by enforcing a compromise of its debts given it an advantage over its unindebted competitors, and if yes, what market behaviours does this incentivise? </w:t>
      </w:r>
      <w:r w:rsidRPr="00A02B5E">
        <w:rPr>
          <w:rFonts w:asciiTheme="majorHAnsi" w:hAnsiTheme="majorHAnsi"/>
          <w:i/>
          <w:iCs/>
        </w:rPr>
        <w:t>(the authors suggest the answer may be ‘</w:t>
      </w:r>
      <w:proofErr w:type="spellStart"/>
      <w:r w:rsidRPr="00A02B5E">
        <w:rPr>
          <w:rFonts w:asciiTheme="majorHAnsi" w:hAnsiTheme="majorHAnsi"/>
          <w:i/>
          <w:iCs/>
        </w:rPr>
        <w:t>yes’</w:t>
      </w:r>
      <w:proofErr w:type="spellEnd"/>
      <w:r w:rsidRPr="00A02B5E">
        <w:rPr>
          <w:rFonts w:asciiTheme="majorHAnsi" w:hAnsiTheme="majorHAnsi"/>
          <w:i/>
          <w:iCs/>
        </w:rPr>
        <w:t xml:space="preserve"> in some cases, and that business rescue may incentivise indebtedness)</w:t>
      </w:r>
      <w:r w:rsidR="00D61D1F">
        <w:rPr>
          <w:rStyle w:val="FootnoteReference"/>
          <w:rFonts w:asciiTheme="majorHAnsi" w:hAnsiTheme="majorHAnsi"/>
          <w:i/>
          <w:iCs/>
        </w:rPr>
        <w:footnoteReference w:id="27"/>
      </w:r>
    </w:p>
    <w:p w14:paraId="0DF62A69" w14:textId="77777777" w:rsidR="00922A76" w:rsidRPr="00A02B5E" w:rsidRDefault="00922A76" w:rsidP="00922A76">
      <w:pPr>
        <w:rPr>
          <w:rFonts w:asciiTheme="majorHAnsi" w:hAnsiTheme="majorHAnsi"/>
        </w:rPr>
      </w:pPr>
    </w:p>
    <w:p w14:paraId="37C5B0A6" w14:textId="18859432" w:rsidR="0009234F" w:rsidRPr="00A02B5E" w:rsidRDefault="009D2F91" w:rsidP="003A4EA7">
      <w:pPr>
        <w:rPr>
          <w:rFonts w:asciiTheme="majorHAnsi" w:hAnsiTheme="majorHAnsi"/>
        </w:rPr>
      </w:pPr>
      <w:r>
        <w:rPr>
          <w:rFonts w:asciiTheme="majorHAnsi" w:hAnsiTheme="majorHAnsi"/>
        </w:rPr>
        <w:t>T</w:t>
      </w:r>
      <w:r w:rsidRPr="00A02B5E">
        <w:rPr>
          <w:rFonts w:asciiTheme="majorHAnsi" w:hAnsiTheme="majorHAnsi"/>
        </w:rPr>
        <w:t xml:space="preserve">here is potentially a tension between business rescue and creative destruction. </w:t>
      </w:r>
      <w:r w:rsidR="000319F2">
        <w:rPr>
          <w:rFonts w:asciiTheme="majorHAnsi" w:hAnsiTheme="majorHAnsi"/>
        </w:rPr>
        <w:t xml:space="preserve">An effective insolvency system must </w:t>
      </w:r>
      <w:r w:rsidR="00557EDB">
        <w:rPr>
          <w:rFonts w:asciiTheme="majorHAnsi" w:hAnsiTheme="majorHAnsi"/>
        </w:rPr>
        <w:t xml:space="preserve">have </w:t>
      </w:r>
      <w:r w:rsidR="000319F2">
        <w:rPr>
          <w:rFonts w:asciiTheme="majorHAnsi" w:hAnsiTheme="majorHAnsi"/>
        </w:rPr>
        <w:t>procedures to facilitate both business rescue and business exit</w:t>
      </w:r>
      <w:r w:rsidR="00831926">
        <w:rPr>
          <w:rFonts w:asciiTheme="majorHAnsi" w:hAnsiTheme="majorHAnsi"/>
        </w:rPr>
        <w:t xml:space="preserve">, it is not a question of </w:t>
      </w:r>
      <w:r w:rsidR="004F208F">
        <w:rPr>
          <w:rFonts w:asciiTheme="majorHAnsi" w:hAnsiTheme="majorHAnsi"/>
        </w:rPr>
        <w:t>one or the other</w:t>
      </w:r>
      <w:r w:rsidR="000319F2">
        <w:rPr>
          <w:rFonts w:asciiTheme="majorHAnsi" w:hAnsiTheme="majorHAnsi"/>
        </w:rPr>
        <w:t xml:space="preserve">. </w:t>
      </w:r>
      <w:r w:rsidR="00BF285A">
        <w:rPr>
          <w:rFonts w:asciiTheme="majorHAnsi" w:hAnsiTheme="majorHAnsi"/>
        </w:rPr>
        <w:t>However, w</w:t>
      </w:r>
      <w:r w:rsidR="00921D3E">
        <w:rPr>
          <w:rFonts w:asciiTheme="majorHAnsi" w:hAnsiTheme="majorHAnsi"/>
        </w:rPr>
        <w:t xml:space="preserve">hat may need refinement is </w:t>
      </w:r>
      <w:r w:rsidR="000424A7">
        <w:rPr>
          <w:rFonts w:asciiTheme="majorHAnsi" w:hAnsiTheme="majorHAnsi"/>
        </w:rPr>
        <w:t xml:space="preserve">our method of sorting between, on the one hand, </w:t>
      </w:r>
      <w:r w:rsidR="00921D3E">
        <w:rPr>
          <w:rFonts w:asciiTheme="majorHAnsi" w:hAnsiTheme="majorHAnsi"/>
        </w:rPr>
        <w:t xml:space="preserve">business </w:t>
      </w:r>
      <w:r w:rsidR="000424A7">
        <w:rPr>
          <w:rFonts w:asciiTheme="majorHAnsi" w:hAnsiTheme="majorHAnsi"/>
        </w:rPr>
        <w:t xml:space="preserve">that ought </w:t>
      </w:r>
      <w:r w:rsidR="00D21577">
        <w:rPr>
          <w:rFonts w:asciiTheme="majorHAnsi" w:hAnsiTheme="majorHAnsi"/>
        </w:rPr>
        <w:t xml:space="preserve">to </w:t>
      </w:r>
      <w:r w:rsidR="00921D3E">
        <w:rPr>
          <w:rFonts w:asciiTheme="majorHAnsi" w:hAnsiTheme="majorHAnsi"/>
        </w:rPr>
        <w:t>be rescued</w:t>
      </w:r>
      <w:r w:rsidR="000424A7">
        <w:rPr>
          <w:rFonts w:asciiTheme="majorHAnsi" w:hAnsiTheme="majorHAnsi"/>
        </w:rPr>
        <w:t xml:space="preserve">, and on the other, </w:t>
      </w:r>
      <w:r w:rsidR="00921D3E">
        <w:rPr>
          <w:rFonts w:asciiTheme="majorHAnsi" w:hAnsiTheme="majorHAnsi"/>
        </w:rPr>
        <w:t xml:space="preserve">business that ought to exit the market. </w:t>
      </w:r>
      <w:r w:rsidR="00D92E87">
        <w:rPr>
          <w:rFonts w:asciiTheme="majorHAnsi" w:hAnsiTheme="majorHAnsi"/>
        </w:rPr>
        <w:t>In other words, t</w:t>
      </w:r>
      <w:r w:rsidR="00922A76" w:rsidRPr="005A3148">
        <w:rPr>
          <w:rFonts w:asciiTheme="majorHAnsi" w:hAnsiTheme="majorHAnsi"/>
        </w:rPr>
        <w:t xml:space="preserve">he Productivity Commission </w:t>
      </w:r>
      <w:r w:rsidR="00082CD9">
        <w:rPr>
          <w:rFonts w:asciiTheme="majorHAnsi" w:hAnsiTheme="majorHAnsi"/>
        </w:rPr>
        <w:t>may wish to consider whether</w:t>
      </w:r>
      <w:r w:rsidR="00904620">
        <w:rPr>
          <w:rFonts w:asciiTheme="majorHAnsi" w:hAnsiTheme="majorHAnsi"/>
        </w:rPr>
        <w:t xml:space="preserve">, from the perspective of </w:t>
      </w:r>
      <w:r w:rsidR="009A3AD6">
        <w:rPr>
          <w:rFonts w:asciiTheme="majorHAnsi" w:hAnsiTheme="majorHAnsi"/>
        </w:rPr>
        <w:t>economic outcomes</w:t>
      </w:r>
      <w:r w:rsidR="00904620">
        <w:rPr>
          <w:rFonts w:asciiTheme="majorHAnsi" w:hAnsiTheme="majorHAnsi"/>
        </w:rPr>
        <w:t>,</w:t>
      </w:r>
      <w:r w:rsidR="00082CD9">
        <w:rPr>
          <w:rFonts w:asciiTheme="majorHAnsi" w:hAnsiTheme="majorHAnsi"/>
        </w:rPr>
        <w:t xml:space="preserve"> the current law strikes the right </w:t>
      </w:r>
      <w:r w:rsidR="00922A76" w:rsidRPr="005A3148">
        <w:rPr>
          <w:rFonts w:asciiTheme="majorHAnsi" w:hAnsiTheme="majorHAnsi"/>
        </w:rPr>
        <w:t>balance between corporate rescue and creative destruction.</w:t>
      </w:r>
    </w:p>
    <w:p w14:paraId="3616941E" w14:textId="77777777" w:rsidR="000319F2" w:rsidRDefault="000319F2" w:rsidP="00516825">
      <w:pPr>
        <w:pStyle w:val="BodyText2"/>
        <w:spacing w:before="120" w:after="120"/>
        <w:ind w:left="0"/>
        <w:rPr>
          <w:rFonts w:asciiTheme="majorHAnsi" w:hAnsiTheme="majorHAnsi" w:cs="Arial"/>
          <w:b/>
          <w:iCs/>
          <w:u w:val="single"/>
        </w:rPr>
      </w:pPr>
    </w:p>
    <w:p w14:paraId="1B3D0523" w14:textId="77777777" w:rsidR="00516825" w:rsidRPr="00A02B5E" w:rsidRDefault="00516825" w:rsidP="00516825">
      <w:pPr>
        <w:pStyle w:val="BodyText2"/>
        <w:spacing w:before="120" w:after="120"/>
        <w:ind w:left="0"/>
        <w:rPr>
          <w:rFonts w:asciiTheme="majorHAnsi" w:hAnsiTheme="majorHAnsi" w:cs="Arial"/>
          <w:b/>
          <w:bCs/>
          <w:u w:val="single"/>
        </w:rPr>
      </w:pPr>
      <w:r w:rsidRPr="00A02B5E">
        <w:rPr>
          <w:rFonts w:asciiTheme="majorHAnsi" w:hAnsiTheme="majorHAnsi" w:cs="Arial"/>
          <w:b/>
          <w:bCs/>
          <w:u w:val="single"/>
        </w:rPr>
        <w:t>“Pre-packs”</w:t>
      </w:r>
    </w:p>
    <w:p w14:paraId="0EFAD913" w14:textId="77777777" w:rsidR="00516825" w:rsidRPr="00A02B5E" w:rsidRDefault="00FA43CC" w:rsidP="00516825">
      <w:pPr>
        <w:pStyle w:val="BodyText2"/>
        <w:spacing w:before="120" w:after="120"/>
        <w:ind w:left="0"/>
        <w:rPr>
          <w:rFonts w:asciiTheme="majorHAnsi" w:hAnsiTheme="majorHAnsi" w:cs="Arial"/>
        </w:rPr>
      </w:pPr>
      <w:r>
        <w:rPr>
          <w:rFonts w:asciiTheme="majorHAnsi" w:hAnsiTheme="majorHAnsi" w:cs="Arial"/>
        </w:rPr>
        <w:t>“P</w:t>
      </w:r>
      <w:r w:rsidR="00516825" w:rsidRPr="00A02B5E">
        <w:rPr>
          <w:rFonts w:asciiTheme="majorHAnsi" w:hAnsiTheme="majorHAnsi" w:cs="Arial"/>
        </w:rPr>
        <w:t>re-pack</w:t>
      </w:r>
      <w:r>
        <w:rPr>
          <w:rFonts w:asciiTheme="majorHAnsi" w:hAnsiTheme="majorHAnsi" w:cs="Arial"/>
        </w:rPr>
        <w:t>”</w:t>
      </w:r>
      <w:r w:rsidR="00516825" w:rsidRPr="00A02B5E">
        <w:rPr>
          <w:rFonts w:asciiTheme="majorHAnsi" w:hAnsiTheme="majorHAnsi" w:cs="Arial"/>
        </w:rPr>
        <w:t xml:space="preserve"> </w:t>
      </w:r>
      <w:r w:rsidR="0071601D">
        <w:rPr>
          <w:rFonts w:asciiTheme="majorHAnsi" w:hAnsiTheme="majorHAnsi" w:cs="Arial"/>
        </w:rPr>
        <w:t xml:space="preserve">is shorthand for a form of </w:t>
      </w:r>
      <w:r w:rsidR="00516825" w:rsidRPr="00A02B5E">
        <w:rPr>
          <w:rFonts w:asciiTheme="majorHAnsi" w:hAnsiTheme="majorHAnsi" w:cs="Arial"/>
        </w:rPr>
        <w:t xml:space="preserve">informal negotiation of the sale of the business of a financially distressed company with involvement from the company’s directors and an insolvency practitioner, followed by the appointment of that same practitioner as the company’s administrator and the implementation of the previously negotiated sale by the administrator. </w:t>
      </w:r>
    </w:p>
    <w:p w14:paraId="48665AB6" w14:textId="77777777" w:rsidR="00516825" w:rsidRPr="00A02B5E" w:rsidRDefault="00516825" w:rsidP="00516825">
      <w:pPr>
        <w:pStyle w:val="BodyText2"/>
        <w:spacing w:before="120" w:after="120"/>
        <w:ind w:left="0"/>
        <w:rPr>
          <w:rFonts w:asciiTheme="majorHAnsi" w:hAnsiTheme="majorHAnsi" w:cs="Arial"/>
        </w:rPr>
      </w:pPr>
      <w:r w:rsidRPr="00A02B5E">
        <w:rPr>
          <w:rFonts w:asciiTheme="majorHAnsi" w:hAnsiTheme="majorHAnsi" w:cs="Arial"/>
        </w:rPr>
        <w:t xml:space="preserve">A pre-pack (subject to fairness protections to prevent creditor abuse) </w:t>
      </w:r>
      <w:r w:rsidRPr="00A02B5E">
        <w:rPr>
          <w:rFonts w:asciiTheme="majorHAnsi" w:hAnsiTheme="majorHAnsi" w:cs="Arial"/>
          <w:bCs/>
        </w:rPr>
        <w:t>can improve efficiency and substantially lower the costs that would be incurred in a protracted administration process, while also cutting short the delay that risks secured creditors, landlords and major suppliers enforcing their rights during administration in a manner that renders a rescue attempt impossible. A successful going concern sale also ensures optimal investment of capital in value-creating, viable businesses in the interests of broader economic efficiency.</w:t>
      </w:r>
    </w:p>
    <w:p w14:paraId="19B2C36C" w14:textId="77777777" w:rsidR="00516825" w:rsidRPr="00A02B5E" w:rsidRDefault="00516825" w:rsidP="00516825">
      <w:pPr>
        <w:pStyle w:val="BodyText2"/>
        <w:spacing w:before="120" w:after="120"/>
        <w:ind w:left="0"/>
        <w:rPr>
          <w:rFonts w:asciiTheme="majorHAnsi" w:hAnsiTheme="majorHAnsi" w:cs="Arial"/>
          <w:bCs/>
        </w:rPr>
      </w:pPr>
      <w:r w:rsidRPr="00A02B5E">
        <w:rPr>
          <w:rFonts w:asciiTheme="majorHAnsi" w:hAnsiTheme="majorHAnsi" w:cs="Arial"/>
          <w:bCs/>
        </w:rPr>
        <w:t xml:space="preserve">As noted in INSOL International’s </w:t>
      </w:r>
      <w:r w:rsidRPr="00A02B5E">
        <w:rPr>
          <w:rFonts w:asciiTheme="majorHAnsi" w:hAnsiTheme="majorHAnsi" w:cs="Arial"/>
          <w:i/>
          <w:iCs/>
        </w:rPr>
        <w:t>Statement of Principles for a Global Approach to Multi-Creditor Workouts</w:t>
      </w:r>
      <w:r w:rsidRPr="00A02B5E">
        <w:rPr>
          <w:rFonts w:asciiTheme="majorHAnsi" w:hAnsiTheme="majorHAnsi" w:cs="Arial"/>
        </w:rPr>
        <w:t xml:space="preserve">, </w:t>
      </w:r>
      <w:r w:rsidRPr="00A02B5E">
        <w:rPr>
          <w:rFonts w:asciiTheme="majorHAnsi" w:hAnsiTheme="majorHAnsi" w:cs="Arial"/>
          <w:bCs/>
        </w:rPr>
        <w:t>there are often material advantages for both creditors and debtors in the expeditious implementation of informal or contract-based rescues or workouts, compared with the “unpredictable costs and uncertainties of a formal insolvency”.</w:t>
      </w:r>
      <w:r w:rsidRPr="00A02B5E">
        <w:rPr>
          <w:rStyle w:val="FootnoteReference"/>
          <w:rFonts w:asciiTheme="majorHAnsi" w:hAnsiTheme="majorHAnsi" w:cs="Arial"/>
          <w:bCs/>
        </w:rPr>
        <w:footnoteReference w:id="28"/>
      </w:r>
    </w:p>
    <w:p w14:paraId="79FFCEC3" w14:textId="53C7D4BC" w:rsidR="001831B6" w:rsidRDefault="00516825" w:rsidP="00516825">
      <w:pPr>
        <w:pStyle w:val="BodyText2"/>
        <w:spacing w:before="120" w:after="120"/>
        <w:ind w:left="0"/>
        <w:rPr>
          <w:rFonts w:asciiTheme="majorHAnsi" w:hAnsiTheme="majorHAnsi" w:cs="Arial"/>
          <w:bCs/>
        </w:rPr>
      </w:pPr>
      <w:r w:rsidRPr="00A02B5E">
        <w:rPr>
          <w:rFonts w:asciiTheme="majorHAnsi" w:hAnsiTheme="majorHAnsi" w:cs="Arial"/>
          <w:bCs/>
        </w:rPr>
        <w:t>Pre-packs are common in many countries, such as the United Kingdom, where they have been found to enhance the prospect of rescuing viable businesses, thereby preserving jobs, while avoiding the substantial cost of formal insolvency measures.</w:t>
      </w:r>
      <w:r w:rsidRPr="00A02B5E">
        <w:rPr>
          <w:rStyle w:val="FootnoteReference"/>
          <w:rFonts w:asciiTheme="majorHAnsi" w:hAnsiTheme="majorHAnsi" w:cs="Arial"/>
          <w:bCs/>
        </w:rPr>
        <w:footnoteReference w:id="29"/>
      </w:r>
    </w:p>
    <w:p w14:paraId="343912C1" w14:textId="77777777" w:rsidR="001831B6" w:rsidRDefault="001831B6">
      <w:pPr>
        <w:rPr>
          <w:rFonts w:asciiTheme="majorHAnsi" w:hAnsiTheme="majorHAnsi" w:cs="Arial"/>
          <w:bCs/>
        </w:rPr>
      </w:pPr>
      <w:r>
        <w:rPr>
          <w:rFonts w:asciiTheme="majorHAnsi" w:hAnsiTheme="majorHAnsi" w:cs="Arial"/>
          <w:bCs/>
        </w:rPr>
        <w:br w:type="page"/>
      </w:r>
    </w:p>
    <w:p w14:paraId="3C819F44" w14:textId="77777777" w:rsidR="00516825" w:rsidRPr="00A02B5E" w:rsidRDefault="00516825" w:rsidP="00516825">
      <w:pPr>
        <w:pStyle w:val="BodyText2"/>
        <w:spacing w:before="120" w:after="120"/>
        <w:ind w:left="0"/>
        <w:rPr>
          <w:rFonts w:asciiTheme="majorHAnsi" w:hAnsiTheme="majorHAnsi" w:cs="Arial"/>
          <w:bCs/>
        </w:rPr>
      </w:pPr>
    </w:p>
    <w:p w14:paraId="65AC0872" w14:textId="77777777" w:rsidR="00516825" w:rsidRPr="00A02B5E" w:rsidRDefault="00516825" w:rsidP="00516825">
      <w:pPr>
        <w:pStyle w:val="BodyText2"/>
        <w:spacing w:before="120" w:after="120"/>
        <w:ind w:left="0"/>
        <w:rPr>
          <w:rFonts w:asciiTheme="majorHAnsi" w:hAnsiTheme="majorHAnsi" w:cs="Arial"/>
          <w:bCs/>
        </w:rPr>
      </w:pPr>
      <w:r w:rsidRPr="00A02B5E">
        <w:rPr>
          <w:rFonts w:asciiTheme="majorHAnsi" w:hAnsiTheme="majorHAnsi" w:cs="Arial"/>
          <w:bCs/>
        </w:rPr>
        <w:t xml:space="preserve">In Australia, pre-packs </w:t>
      </w:r>
      <w:r w:rsidR="00866C7C">
        <w:rPr>
          <w:rFonts w:asciiTheme="majorHAnsi" w:hAnsiTheme="majorHAnsi" w:cs="Arial"/>
          <w:bCs/>
        </w:rPr>
        <w:t xml:space="preserve">are </w:t>
      </w:r>
      <w:r>
        <w:rPr>
          <w:rFonts w:asciiTheme="majorHAnsi" w:hAnsiTheme="majorHAnsi" w:cs="Arial"/>
          <w:bCs/>
        </w:rPr>
        <w:t>rare in practice. This is primarily due to strict independence requirements, with the traditional approach taken by the courts that administrators cannot have any actual or perceived conflict of interest, and any substantial involvement with a company and its directors prior to administration being unlikely to meet that standard.</w:t>
      </w:r>
    </w:p>
    <w:p w14:paraId="13CCF620" w14:textId="77777777" w:rsidR="00516825" w:rsidRPr="00A02B5E" w:rsidRDefault="00516825" w:rsidP="00516825">
      <w:pPr>
        <w:pStyle w:val="BodyText2"/>
        <w:spacing w:before="120" w:after="120"/>
        <w:ind w:left="0"/>
        <w:rPr>
          <w:rFonts w:asciiTheme="majorHAnsi" w:hAnsiTheme="majorHAnsi" w:cs="Arial"/>
          <w:bCs/>
        </w:rPr>
      </w:pPr>
      <w:r w:rsidRPr="00A02B5E">
        <w:rPr>
          <w:rFonts w:asciiTheme="majorHAnsi" w:hAnsiTheme="majorHAnsi" w:cs="Arial"/>
        </w:rPr>
        <w:t>A pre-positioned sale framework, based on a model proposed by ARITA under which an advisor involved in pre-positioning work could not be subsequently appointed as a company’s administrator and the sale negotiated would be subject to statutory review,</w:t>
      </w:r>
      <w:r w:rsidRPr="00A02B5E">
        <w:rPr>
          <w:rStyle w:val="FootnoteReference"/>
          <w:rFonts w:asciiTheme="majorHAnsi" w:hAnsiTheme="majorHAnsi" w:cs="Arial"/>
        </w:rPr>
        <w:footnoteReference w:id="30"/>
      </w:r>
      <w:r w:rsidRPr="00A02B5E">
        <w:rPr>
          <w:rFonts w:asciiTheme="majorHAnsi" w:hAnsiTheme="majorHAnsi" w:cs="Arial"/>
        </w:rPr>
        <w:t xml:space="preserve"> was endorsed by the Australian Productivity Commission in 2015,</w:t>
      </w:r>
      <w:r w:rsidRPr="00A02B5E">
        <w:rPr>
          <w:rStyle w:val="FootnoteReference"/>
          <w:rFonts w:asciiTheme="majorHAnsi" w:hAnsiTheme="majorHAnsi" w:cs="Arial"/>
        </w:rPr>
        <w:footnoteReference w:id="31"/>
      </w:r>
      <w:r w:rsidRPr="00A02B5E">
        <w:rPr>
          <w:rFonts w:asciiTheme="majorHAnsi" w:hAnsiTheme="majorHAnsi" w:cs="Arial"/>
        </w:rPr>
        <w:t xml:space="preserve"> but was not introduced by the Australian Government. </w:t>
      </w:r>
    </w:p>
    <w:p w14:paraId="390AF501" w14:textId="77777777" w:rsidR="00AC4C24" w:rsidRPr="00A02B5E" w:rsidRDefault="00516825" w:rsidP="002849B3">
      <w:pPr>
        <w:pStyle w:val="BodyText2"/>
        <w:spacing w:before="120" w:after="120"/>
        <w:ind w:left="0"/>
        <w:rPr>
          <w:rFonts w:asciiTheme="majorHAnsi" w:hAnsiTheme="majorHAnsi"/>
        </w:rPr>
      </w:pPr>
      <w:r w:rsidRPr="00A02B5E">
        <w:rPr>
          <w:rFonts w:asciiTheme="majorHAnsi" w:hAnsiTheme="majorHAnsi" w:cs="Arial"/>
        </w:rPr>
        <w:t xml:space="preserve">This is the model that has most industry support in Australia and should be re-explored </w:t>
      </w:r>
      <w:proofErr w:type="gramStart"/>
      <w:r w:rsidRPr="00A02B5E">
        <w:rPr>
          <w:rFonts w:asciiTheme="majorHAnsi" w:hAnsiTheme="majorHAnsi" w:cs="Arial"/>
        </w:rPr>
        <w:t>as a means to</w:t>
      </w:r>
      <w:proofErr w:type="gramEnd"/>
      <w:r w:rsidRPr="00A02B5E">
        <w:rPr>
          <w:rFonts w:asciiTheme="majorHAnsi" w:hAnsiTheme="majorHAnsi" w:cs="Arial"/>
        </w:rPr>
        <w:t xml:space="preserve"> enhance the prospect of rescuing a viable enterprise, preserving value for creditors and contributing to business dynamism in Australia</w:t>
      </w:r>
      <w:r w:rsidR="002849B3">
        <w:rPr>
          <w:rFonts w:asciiTheme="majorHAnsi" w:hAnsiTheme="majorHAnsi" w:cs="Arial"/>
        </w:rPr>
        <w:t>.</w:t>
      </w:r>
    </w:p>
    <w:p w14:paraId="7465F6DC" w14:textId="77777777" w:rsidR="00A0316E" w:rsidRPr="00A02B5E" w:rsidRDefault="000B2AA7" w:rsidP="007F587F">
      <w:pPr>
        <w:pStyle w:val="Heading1"/>
        <w:rPr>
          <w:rFonts w:asciiTheme="majorHAnsi" w:hAnsiTheme="majorHAnsi"/>
        </w:rPr>
      </w:pPr>
      <w:r w:rsidRPr="00A02B5E">
        <w:rPr>
          <w:rFonts w:asciiTheme="majorHAnsi" w:hAnsiTheme="majorHAnsi"/>
        </w:rPr>
        <w:t>T</w:t>
      </w:r>
      <w:r w:rsidR="00A0316E" w:rsidRPr="00A02B5E">
        <w:rPr>
          <w:rFonts w:asciiTheme="majorHAnsi" w:hAnsiTheme="majorHAnsi"/>
        </w:rPr>
        <w:t>he operation of Schedules 1, 3 and 4 of the Treasury Laws Amendment (Combatting Illegal</w:t>
      </w:r>
      <w:r w:rsidR="009E6F84" w:rsidRPr="00A02B5E">
        <w:rPr>
          <w:rFonts w:asciiTheme="majorHAnsi" w:hAnsiTheme="majorHAnsi"/>
        </w:rPr>
        <w:t xml:space="preserve"> </w:t>
      </w:r>
      <w:proofErr w:type="spellStart"/>
      <w:r w:rsidR="00A0316E" w:rsidRPr="00A02B5E">
        <w:rPr>
          <w:rFonts w:asciiTheme="majorHAnsi" w:hAnsiTheme="majorHAnsi"/>
        </w:rPr>
        <w:t>Phoenixing</w:t>
      </w:r>
      <w:proofErr w:type="spellEnd"/>
      <w:r w:rsidR="00A0316E" w:rsidRPr="00A02B5E">
        <w:rPr>
          <w:rFonts w:asciiTheme="majorHAnsi" w:hAnsiTheme="majorHAnsi"/>
        </w:rPr>
        <w:t>) Act 2020 (</w:t>
      </w:r>
      <w:proofErr w:type="spellStart"/>
      <w:r w:rsidR="00A0316E" w:rsidRPr="00A02B5E">
        <w:rPr>
          <w:rFonts w:asciiTheme="majorHAnsi" w:hAnsiTheme="majorHAnsi"/>
        </w:rPr>
        <w:t>Cth</w:t>
      </w:r>
      <w:proofErr w:type="spellEnd"/>
      <w:r w:rsidR="00A0316E" w:rsidRPr="00A02B5E">
        <w:rPr>
          <w:rFonts w:asciiTheme="majorHAnsi" w:hAnsiTheme="majorHAnsi"/>
        </w:rPr>
        <w:t>)</w:t>
      </w:r>
    </w:p>
    <w:p w14:paraId="06BC4B6A" w14:textId="77777777" w:rsidR="003027B9" w:rsidRPr="00A02B5E" w:rsidRDefault="004B6137" w:rsidP="00BC3B15">
      <w:pPr>
        <w:pStyle w:val="Heading2"/>
        <w:numPr>
          <w:ilvl w:val="1"/>
          <w:numId w:val="0"/>
        </w:numPr>
        <w:rPr>
          <w:rFonts w:asciiTheme="majorHAnsi" w:hAnsiTheme="majorHAnsi"/>
        </w:rPr>
      </w:pPr>
      <w:r w:rsidRPr="00A02B5E">
        <w:rPr>
          <w:rFonts w:asciiTheme="majorHAnsi" w:hAnsiTheme="majorHAnsi"/>
        </w:rPr>
        <w:t>The existing insolvency law contain</w:t>
      </w:r>
      <w:r w:rsidR="009B2477" w:rsidRPr="00A02B5E">
        <w:rPr>
          <w:rFonts w:asciiTheme="majorHAnsi" w:hAnsiTheme="majorHAnsi"/>
        </w:rPr>
        <w:t>s</w:t>
      </w:r>
      <w:r w:rsidRPr="00A02B5E">
        <w:rPr>
          <w:rFonts w:asciiTheme="majorHAnsi" w:hAnsiTheme="majorHAnsi"/>
        </w:rPr>
        <w:t xml:space="preserve"> various ‘voidable transactions’ </w:t>
      </w:r>
      <w:r w:rsidR="00BC3B15" w:rsidRPr="00A02B5E">
        <w:rPr>
          <w:rFonts w:asciiTheme="majorHAnsi" w:hAnsiTheme="majorHAnsi"/>
        </w:rPr>
        <w:t xml:space="preserve">provisions which </w:t>
      </w:r>
      <w:r w:rsidR="00AC18C3" w:rsidRPr="00A02B5E">
        <w:rPr>
          <w:rFonts w:asciiTheme="majorHAnsi" w:hAnsiTheme="majorHAnsi"/>
        </w:rPr>
        <w:t xml:space="preserve">enable a liquidator to seek court orders </w:t>
      </w:r>
      <w:r w:rsidR="00BC3B15" w:rsidRPr="00A02B5E">
        <w:rPr>
          <w:rFonts w:asciiTheme="majorHAnsi" w:hAnsiTheme="majorHAnsi"/>
        </w:rPr>
        <w:t>revers</w:t>
      </w:r>
      <w:r w:rsidR="00AC18C3" w:rsidRPr="00A02B5E">
        <w:rPr>
          <w:rFonts w:asciiTheme="majorHAnsi" w:hAnsiTheme="majorHAnsi"/>
        </w:rPr>
        <w:t xml:space="preserve">ing </w:t>
      </w:r>
      <w:r w:rsidR="00AF3311" w:rsidRPr="00A02B5E">
        <w:rPr>
          <w:rFonts w:asciiTheme="majorHAnsi" w:hAnsiTheme="majorHAnsi"/>
        </w:rPr>
        <w:t xml:space="preserve">certain </w:t>
      </w:r>
      <w:r w:rsidR="00BC3B15" w:rsidRPr="00A02B5E">
        <w:rPr>
          <w:rFonts w:asciiTheme="majorHAnsi" w:hAnsiTheme="majorHAnsi"/>
        </w:rPr>
        <w:t xml:space="preserve">transactions </w:t>
      </w:r>
      <w:r w:rsidR="00AF3311" w:rsidRPr="00A02B5E">
        <w:rPr>
          <w:rFonts w:asciiTheme="majorHAnsi" w:hAnsiTheme="majorHAnsi"/>
        </w:rPr>
        <w:t xml:space="preserve">that took place in or </w:t>
      </w:r>
      <w:r w:rsidR="00BC3B15" w:rsidRPr="00A02B5E">
        <w:rPr>
          <w:rFonts w:asciiTheme="majorHAnsi" w:hAnsiTheme="majorHAnsi"/>
        </w:rPr>
        <w:t>near insolvency</w:t>
      </w:r>
      <w:r w:rsidR="00B65345" w:rsidRPr="00A02B5E">
        <w:rPr>
          <w:rFonts w:asciiTheme="majorHAnsi" w:hAnsiTheme="majorHAnsi"/>
        </w:rPr>
        <w:t xml:space="preserve">. </w:t>
      </w:r>
      <w:r w:rsidR="000818B3" w:rsidRPr="00A02B5E">
        <w:rPr>
          <w:rFonts w:asciiTheme="majorHAnsi" w:hAnsiTheme="majorHAnsi"/>
        </w:rPr>
        <w:t>The form of the provisions is designed to cover a</w:t>
      </w:r>
      <w:r w:rsidR="00690E14" w:rsidRPr="00A02B5E">
        <w:rPr>
          <w:rFonts w:asciiTheme="majorHAnsi" w:hAnsiTheme="majorHAnsi"/>
        </w:rPr>
        <w:t xml:space="preserve"> range </w:t>
      </w:r>
      <w:r w:rsidR="000818B3" w:rsidRPr="00A02B5E">
        <w:rPr>
          <w:rFonts w:asciiTheme="majorHAnsi" w:hAnsiTheme="majorHAnsi"/>
        </w:rPr>
        <w:t xml:space="preserve">of conduct, </w:t>
      </w:r>
      <w:r w:rsidR="00690E14" w:rsidRPr="00A02B5E">
        <w:rPr>
          <w:rFonts w:asciiTheme="majorHAnsi" w:hAnsiTheme="majorHAnsi"/>
        </w:rPr>
        <w:t>from innocent but unfair preferen</w:t>
      </w:r>
      <w:r w:rsidR="00197F97" w:rsidRPr="00A02B5E">
        <w:rPr>
          <w:rFonts w:asciiTheme="majorHAnsi" w:hAnsiTheme="majorHAnsi"/>
        </w:rPr>
        <w:t>tial payments</w:t>
      </w:r>
      <w:r w:rsidR="003C64BE" w:rsidRPr="00A02B5E">
        <w:rPr>
          <w:rFonts w:asciiTheme="majorHAnsi" w:hAnsiTheme="majorHAnsi"/>
        </w:rPr>
        <w:t xml:space="preserve"> </w:t>
      </w:r>
      <w:r w:rsidR="00690E14" w:rsidRPr="00A02B5E">
        <w:rPr>
          <w:rFonts w:asciiTheme="majorHAnsi" w:hAnsiTheme="majorHAnsi"/>
        </w:rPr>
        <w:t xml:space="preserve">through to deliberate asset stripping. </w:t>
      </w:r>
    </w:p>
    <w:p w14:paraId="00A5CDCB" w14:textId="77777777" w:rsidR="00F85079" w:rsidRPr="00A02B5E" w:rsidRDefault="004B6137" w:rsidP="00BC3B15">
      <w:pPr>
        <w:pStyle w:val="Heading2"/>
        <w:numPr>
          <w:ilvl w:val="1"/>
          <w:numId w:val="0"/>
        </w:numPr>
        <w:rPr>
          <w:rFonts w:asciiTheme="majorHAnsi" w:hAnsiTheme="majorHAnsi"/>
        </w:rPr>
      </w:pPr>
      <w:r w:rsidRPr="00A02B5E">
        <w:rPr>
          <w:rFonts w:asciiTheme="majorHAnsi" w:hAnsiTheme="majorHAnsi"/>
        </w:rPr>
        <w:t xml:space="preserve">Schedule 1 of the </w:t>
      </w:r>
      <w:r w:rsidRPr="00A02B5E">
        <w:rPr>
          <w:rFonts w:asciiTheme="majorHAnsi" w:hAnsiTheme="majorHAnsi"/>
          <w:i/>
          <w:iCs/>
        </w:rPr>
        <w:t xml:space="preserve">Treasury Laws Amendment (Combatting Illegal </w:t>
      </w:r>
      <w:proofErr w:type="spellStart"/>
      <w:r w:rsidRPr="00A02B5E">
        <w:rPr>
          <w:rFonts w:asciiTheme="majorHAnsi" w:hAnsiTheme="majorHAnsi"/>
          <w:i/>
          <w:iCs/>
        </w:rPr>
        <w:t>Phoenixing</w:t>
      </w:r>
      <w:proofErr w:type="spellEnd"/>
      <w:r w:rsidRPr="00A02B5E">
        <w:rPr>
          <w:rFonts w:asciiTheme="majorHAnsi" w:hAnsiTheme="majorHAnsi"/>
          <w:i/>
          <w:iCs/>
        </w:rPr>
        <w:t>) Act 2020 (</w:t>
      </w:r>
      <w:proofErr w:type="spellStart"/>
      <w:r w:rsidRPr="00A02B5E">
        <w:rPr>
          <w:rFonts w:asciiTheme="majorHAnsi" w:hAnsiTheme="majorHAnsi"/>
          <w:i/>
          <w:iCs/>
        </w:rPr>
        <w:t>Cth</w:t>
      </w:r>
      <w:proofErr w:type="spellEnd"/>
      <w:r w:rsidRPr="00A02B5E">
        <w:rPr>
          <w:rFonts w:asciiTheme="majorHAnsi" w:hAnsiTheme="majorHAnsi"/>
          <w:i/>
          <w:iCs/>
        </w:rPr>
        <w:t xml:space="preserve">) </w:t>
      </w:r>
      <w:r w:rsidRPr="00A02B5E">
        <w:rPr>
          <w:rFonts w:asciiTheme="majorHAnsi" w:hAnsiTheme="majorHAnsi"/>
        </w:rPr>
        <w:t>introduced a new form of voidable transaction, the ‘creditor-defeating disposition’.</w:t>
      </w:r>
      <w:r w:rsidR="003027B9" w:rsidRPr="00A02B5E">
        <w:rPr>
          <w:rStyle w:val="FootnoteReference"/>
          <w:rFonts w:asciiTheme="majorHAnsi" w:hAnsiTheme="majorHAnsi"/>
        </w:rPr>
        <w:footnoteReference w:id="32"/>
      </w:r>
      <w:r w:rsidRPr="00A02B5E">
        <w:rPr>
          <w:rFonts w:asciiTheme="majorHAnsi" w:hAnsiTheme="majorHAnsi"/>
        </w:rPr>
        <w:t xml:space="preserve"> </w:t>
      </w:r>
      <w:r w:rsidR="00A400E7">
        <w:rPr>
          <w:rFonts w:asciiTheme="majorHAnsi" w:hAnsiTheme="majorHAnsi"/>
        </w:rPr>
        <w:t xml:space="preserve">The definition of a creditor-defeating disposition </w:t>
      </w:r>
      <w:r w:rsidR="002849B3">
        <w:rPr>
          <w:rFonts w:asciiTheme="majorHAnsi" w:hAnsiTheme="majorHAnsi"/>
        </w:rPr>
        <w:t>captures</w:t>
      </w:r>
      <w:r w:rsidR="00C42B57" w:rsidRPr="00A02B5E">
        <w:rPr>
          <w:rFonts w:asciiTheme="majorHAnsi" w:hAnsiTheme="majorHAnsi"/>
        </w:rPr>
        <w:t xml:space="preserve"> transactions </w:t>
      </w:r>
      <w:r w:rsidR="009C4D95" w:rsidRPr="00A02B5E">
        <w:rPr>
          <w:rFonts w:asciiTheme="majorHAnsi" w:hAnsiTheme="majorHAnsi"/>
        </w:rPr>
        <w:t xml:space="preserve">typically within a year </w:t>
      </w:r>
      <w:r w:rsidR="00B102CE">
        <w:rPr>
          <w:rFonts w:asciiTheme="majorHAnsi" w:hAnsiTheme="majorHAnsi"/>
        </w:rPr>
        <w:t xml:space="preserve">prior to </w:t>
      </w:r>
      <w:r w:rsidR="00520E78">
        <w:rPr>
          <w:rFonts w:asciiTheme="majorHAnsi" w:hAnsiTheme="majorHAnsi"/>
        </w:rPr>
        <w:t xml:space="preserve">a </w:t>
      </w:r>
      <w:r w:rsidR="009C4D95" w:rsidRPr="00A02B5E">
        <w:rPr>
          <w:rFonts w:asciiTheme="majorHAnsi" w:hAnsiTheme="majorHAnsi"/>
        </w:rPr>
        <w:t>winding up</w:t>
      </w:r>
      <w:r w:rsidR="00520E78">
        <w:rPr>
          <w:rFonts w:asciiTheme="majorHAnsi" w:hAnsiTheme="majorHAnsi"/>
        </w:rPr>
        <w:t xml:space="preserve"> application</w:t>
      </w:r>
      <w:r w:rsidR="009C4D95" w:rsidRPr="00A02B5E">
        <w:rPr>
          <w:rStyle w:val="FootnoteReference"/>
          <w:rFonts w:asciiTheme="majorHAnsi" w:hAnsiTheme="majorHAnsi"/>
        </w:rPr>
        <w:footnoteReference w:id="33"/>
      </w:r>
      <w:r w:rsidR="009C4D95" w:rsidRPr="00A02B5E">
        <w:rPr>
          <w:rFonts w:asciiTheme="majorHAnsi" w:hAnsiTheme="majorHAnsi"/>
        </w:rPr>
        <w:t xml:space="preserve"> </w:t>
      </w:r>
      <w:r w:rsidR="00C42B57" w:rsidRPr="00A02B5E">
        <w:rPr>
          <w:rFonts w:asciiTheme="majorHAnsi" w:hAnsiTheme="majorHAnsi"/>
        </w:rPr>
        <w:t>involving disposition of property of a company where the consideration payable is less than the lower of the market value or the best price reasonably obtainable, that prevents, hinders or delays property becoming available for creditors.</w:t>
      </w:r>
      <w:r w:rsidR="00AA33F8" w:rsidRPr="00A02B5E">
        <w:rPr>
          <w:rStyle w:val="FootnoteReference"/>
          <w:rFonts w:asciiTheme="majorHAnsi" w:hAnsiTheme="majorHAnsi"/>
        </w:rPr>
        <w:footnoteReference w:id="34"/>
      </w:r>
      <w:r w:rsidR="00C42B57" w:rsidRPr="00A02B5E">
        <w:rPr>
          <w:rFonts w:asciiTheme="majorHAnsi" w:hAnsiTheme="majorHAnsi"/>
        </w:rPr>
        <w:t xml:space="preserve"> </w:t>
      </w:r>
      <w:r w:rsidR="00603DEA" w:rsidRPr="00603DEA">
        <w:rPr>
          <w:rFonts w:asciiTheme="majorHAnsi" w:hAnsiTheme="majorHAnsi"/>
        </w:rPr>
        <w:t xml:space="preserve">The objective is to capture so-called "phoenix" companies – the situation where the controllers of an indebted company arrange for the transfer of its business assets to a new or related entity, place the indebted company into liquidation such that its creditors are left without recourse, and the same </w:t>
      </w:r>
      <w:r w:rsidR="00690426">
        <w:rPr>
          <w:rFonts w:asciiTheme="majorHAnsi" w:hAnsiTheme="majorHAnsi"/>
        </w:rPr>
        <w:t xml:space="preserve">or related </w:t>
      </w:r>
      <w:r w:rsidR="00D52516">
        <w:rPr>
          <w:rFonts w:asciiTheme="majorHAnsi" w:hAnsiTheme="majorHAnsi"/>
        </w:rPr>
        <w:t xml:space="preserve">controlling </w:t>
      </w:r>
      <w:r w:rsidR="00603DEA" w:rsidRPr="00603DEA">
        <w:rPr>
          <w:rFonts w:asciiTheme="majorHAnsi" w:hAnsiTheme="majorHAnsi"/>
        </w:rPr>
        <w:t>persons continue to carry on substantially the same business through the new entity, unencumbered by the debts of its predecessor, effectively "rising from the ashes" like a phoenix.</w:t>
      </w:r>
    </w:p>
    <w:p w14:paraId="73D4A5A2" w14:textId="669721D0" w:rsidR="00DD3358" w:rsidRPr="00A02B5E" w:rsidRDefault="004E5FBD" w:rsidP="00A17AC3">
      <w:pPr>
        <w:pStyle w:val="Heading2"/>
        <w:numPr>
          <w:ilvl w:val="1"/>
          <w:numId w:val="0"/>
        </w:numPr>
        <w:rPr>
          <w:rFonts w:asciiTheme="majorHAnsi" w:hAnsiTheme="majorHAnsi"/>
        </w:rPr>
      </w:pPr>
      <w:r w:rsidRPr="00A02B5E">
        <w:rPr>
          <w:rFonts w:asciiTheme="majorHAnsi" w:hAnsiTheme="majorHAnsi"/>
        </w:rPr>
        <w:t xml:space="preserve">One innovative aspect of the creditor-defeating disposition framework </w:t>
      </w:r>
      <w:r w:rsidR="00A17AC3" w:rsidRPr="00A02B5E">
        <w:rPr>
          <w:rFonts w:asciiTheme="majorHAnsi" w:hAnsiTheme="majorHAnsi"/>
        </w:rPr>
        <w:t xml:space="preserve">was </w:t>
      </w:r>
      <w:r w:rsidRPr="00A02B5E">
        <w:rPr>
          <w:rFonts w:asciiTheme="majorHAnsi" w:hAnsiTheme="majorHAnsi"/>
        </w:rPr>
        <w:t>that</w:t>
      </w:r>
      <w:r w:rsidR="00A17AC3" w:rsidRPr="00A02B5E">
        <w:rPr>
          <w:rFonts w:asciiTheme="majorHAnsi" w:hAnsiTheme="majorHAnsi"/>
        </w:rPr>
        <w:t>, unlike the other forms of voidable transaction, which require application for court orders, a liquidator can apply directly to ASIC for relief in respect of such a transaction.</w:t>
      </w:r>
      <w:r w:rsidR="00A17AC3" w:rsidRPr="00A02B5E">
        <w:rPr>
          <w:rStyle w:val="FootnoteReference"/>
          <w:rFonts w:asciiTheme="majorHAnsi" w:hAnsiTheme="majorHAnsi"/>
        </w:rPr>
        <w:footnoteReference w:id="35"/>
      </w:r>
      <w:r w:rsidR="00A17AC3" w:rsidRPr="00A02B5E">
        <w:rPr>
          <w:rFonts w:asciiTheme="majorHAnsi" w:hAnsiTheme="majorHAnsi"/>
        </w:rPr>
        <w:t xml:space="preserve"> ASIC can then make relevant remedial orders.</w:t>
      </w:r>
      <w:r w:rsidR="00A17AC3" w:rsidRPr="00A02B5E">
        <w:rPr>
          <w:rStyle w:val="FootnoteReference"/>
          <w:rFonts w:asciiTheme="majorHAnsi" w:hAnsiTheme="majorHAnsi"/>
        </w:rPr>
        <w:footnoteReference w:id="36"/>
      </w:r>
      <w:r w:rsidR="00F71DB3" w:rsidRPr="00A02B5E">
        <w:rPr>
          <w:rFonts w:asciiTheme="majorHAnsi" w:hAnsiTheme="majorHAnsi"/>
        </w:rPr>
        <w:t xml:space="preserve"> </w:t>
      </w:r>
      <w:r w:rsidR="00E90333" w:rsidRPr="00A02B5E">
        <w:rPr>
          <w:rFonts w:asciiTheme="majorHAnsi" w:hAnsiTheme="majorHAnsi"/>
        </w:rPr>
        <w:t>These can be appealed to court.</w:t>
      </w:r>
      <w:r w:rsidR="00E90333" w:rsidRPr="00A02B5E">
        <w:rPr>
          <w:rStyle w:val="FootnoteReference"/>
          <w:rFonts w:asciiTheme="majorHAnsi" w:hAnsiTheme="majorHAnsi"/>
        </w:rPr>
        <w:footnoteReference w:id="37"/>
      </w:r>
      <w:r w:rsidR="0039751C" w:rsidRPr="00A02B5E">
        <w:rPr>
          <w:rFonts w:asciiTheme="majorHAnsi" w:hAnsiTheme="majorHAnsi"/>
        </w:rPr>
        <w:t xml:space="preserve"> </w:t>
      </w:r>
      <w:r>
        <w:rPr>
          <w:rFonts w:asciiTheme="majorHAnsi" w:hAnsiTheme="majorHAnsi"/>
        </w:rPr>
        <w:t>In theory, this framework seems to promote cost savings by saving liquidators (and thereby, indirectly, creditors) the expense of court proceedings.</w:t>
      </w:r>
    </w:p>
    <w:p w14:paraId="3FE31D3B" w14:textId="77777777" w:rsidR="00DD3358" w:rsidRDefault="00035588" w:rsidP="00A17AC3">
      <w:pPr>
        <w:pStyle w:val="Heading2"/>
        <w:numPr>
          <w:ilvl w:val="1"/>
          <w:numId w:val="0"/>
        </w:numPr>
        <w:rPr>
          <w:rFonts w:asciiTheme="majorHAnsi" w:hAnsiTheme="majorHAnsi"/>
        </w:rPr>
      </w:pPr>
      <w:r w:rsidRPr="00A02B5E">
        <w:rPr>
          <w:rFonts w:asciiTheme="majorHAnsi" w:hAnsiTheme="majorHAnsi"/>
        </w:rPr>
        <w:t xml:space="preserve">An option for consideration might be to roll this framework </w:t>
      </w:r>
      <w:r w:rsidR="00DD3358" w:rsidRPr="00A02B5E">
        <w:rPr>
          <w:rFonts w:asciiTheme="majorHAnsi" w:hAnsiTheme="majorHAnsi"/>
        </w:rPr>
        <w:t xml:space="preserve">– an appealable regulatory decision in place of a requirement for a court application – </w:t>
      </w:r>
      <w:r w:rsidRPr="00A02B5E">
        <w:rPr>
          <w:rFonts w:asciiTheme="majorHAnsi" w:hAnsiTheme="majorHAnsi"/>
        </w:rPr>
        <w:t xml:space="preserve">out for all </w:t>
      </w:r>
      <w:r w:rsidR="00294291" w:rsidRPr="00A02B5E">
        <w:rPr>
          <w:rFonts w:asciiTheme="majorHAnsi" w:hAnsiTheme="majorHAnsi"/>
        </w:rPr>
        <w:t>voidable transaction</w:t>
      </w:r>
      <w:r w:rsidRPr="00A02B5E">
        <w:rPr>
          <w:rFonts w:asciiTheme="majorHAnsi" w:hAnsiTheme="majorHAnsi"/>
        </w:rPr>
        <w:t>s</w:t>
      </w:r>
      <w:r w:rsidR="003C624E" w:rsidRPr="00A02B5E">
        <w:rPr>
          <w:rFonts w:asciiTheme="majorHAnsi" w:hAnsiTheme="majorHAnsi"/>
        </w:rPr>
        <w:t>.</w:t>
      </w:r>
      <w:r w:rsidR="00FF6B3D" w:rsidRPr="00A02B5E">
        <w:rPr>
          <w:rFonts w:asciiTheme="majorHAnsi" w:hAnsiTheme="majorHAnsi"/>
        </w:rPr>
        <w:t xml:space="preserve"> </w:t>
      </w:r>
      <w:r w:rsidR="00B22F7E" w:rsidRPr="00A02B5E">
        <w:rPr>
          <w:rFonts w:asciiTheme="majorHAnsi" w:hAnsiTheme="majorHAnsi"/>
        </w:rPr>
        <w:t>Before that decision is made, however, i</w:t>
      </w:r>
      <w:r w:rsidR="00D2349A" w:rsidRPr="00A02B5E">
        <w:rPr>
          <w:rFonts w:asciiTheme="majorHAnsi" w:hAnsiTheme="majorHAnsi"/>
        </w:rPr>
        <w:t xml:space="preserve">t </w:t>
      </w:r>
      <w:r w:rsidR="00B22F7E" w:rsidRPr="00A02B5E">
        <w:rPr>
          <w:rFonts w:asciiTheme="majorHAnsi" w:hAnsiTheme="majorHAnsi"/>
        </w:rPr>
        <w:t xml:space="preserve">would be essential to have regard to </w:t>
      </w:r>
      <w:r w:rsidR="00D2349A" w:rsidRPr="00A02B5E">
        <w:rPr>
          <w:rFonts w:asciiTheme="majorHAnsi" w:hAnsiTheme="majorHAnsi"/>
        </w:rPr>
        <w:t>statistics</w:t>
      </w:r>
      <w:r w:rsidR="000C50B5" w:rsidRPr="00A02B5E">
        <w:rPr>
          <w:rFonts w:asciiTheme="majorHAnsi" w:hAnsiTheme="majorHAnsi"/>
        </w:rPr>
        <w:t xml:space="preserve"> and information</w:t>
      </w:r>
      <w:r w:rsidR="00D2349A" w:rsidRPr="00A02B5E">
        <w:rPr>
          <w:rFonts w:asciiTheme="majorHAnsi" w:hAnsiTheme="majorHAnsi"/>
        </w:rPr>
        <w:t xml:space="preserve"> </w:t>
      </w:r>
      <w:r w:rsidR="00B22F7E" w:rsidRPr="00A02B5E">
        <w:rPr>
          <w:rFonts w:asciiTheme="majorHAnsi" w:hAnsiTheme="majorHAnsi"/>
        </w:rPr>
        <w:t xml:space="preserve">(which are presently, to our knowledge, not published by ASIC) </w:t>
      </w:r>
      <w:r w:rsidR="00D2349A" w:rsidRPr="00A02B5E">
        <w:rPr>
          <w:rFonts w:asciiTheme="majorHAnsi" w:hAnsiTheme="majorHAnsi"/>
        </w:rPr>
        <w:t>about the use of such orders to understand whether and to what extent this framework is being used in practice</w:t>
      </w:r>
      <w:r w:rsidR="00E90333" w:rsidRPr="00A02B5E">
        <w:rPr>
          <w:rFonts w:asciiTheme="majorHAnsi" w:hAnsiTheme="majorHAnsi"/>
        </w:rPr>
        <w:t xml:space="preserve">. </w:t>
      </w:r>
      <w:r w:rsidR="000145A2" w:rsidRPr="00A02B5E">
        <w:rPr>
          <w:rFonts w:asciiTheme="majorHAnsi" w:hAnsiTheme="majorHAnsi"/>
        </w:rPr>
        <w:t>It would be important that the law does not unfairly place the initial financial burden of a court application on the party seeking to defend a voidable transaction</w:t>
      </w:r>
      <w:r w:rsidR="00BF50C9" w:rsidRPr="00A02B5E">
        <w:rPr>
          <w:rFonts w:asciiTheme="majorHAnsi" w:hAnsiTheme="majorHAnsi"/>
        </w:rPr>
        <w:t>.</w:t>
      </w:r>
    </w:p>
    <w:p w14:paraId="06E53CAD" w14:textId="77777777" w:rsidR="00E1702B" w:rsidRPr="0037605F" w:rsidRDefault="00B13FD6" w:rsidP="00E63A76">
      <w:pPr>
        <w:pStyle w:val="BodyText2"/>
        <w:ind w:left="0"/>
        <w:rPr>
          <w:rFonts w:asciiTheme="majorHAnsi" w:hAnsiTheme="majorHAnsi"/>
        </w:rPr>
      </w:pPr>
      <w:r w:rsidRPr="00B13FD6">
        <w:rPr>
          <w:rFonts w:asciiTheme="majorHAnsi" w:hAnsiTheme="majorHAnsi"/>
        </w:rPr>
        <w:lastRenderedPageBreak/>
        <w:t xml:space="preserve">As to </w:t>
      </w:r>
      <w:r>
        <w:rPr>
          <w:rFonts w:asciiTheme="majorHAnsi" w:hAnsiTheme="majorHAnsi"/>
        </w:rPr>
        <w:t>the operation of the anti-phoenix</w:t>
      </w:r>
      <w:r w:rsidR="00E3214D">
        <w:rPr>
          <w:rFonts w:asciiTheme="majorHAnsi" w:hAnsiTheme="majorHAnsi"/>
        </w:rPr>
        <w:t xml:space="preserve"> </w:t>
      </w:r>
      <w:r>
        <w:rPr>
          <w:rFonts w:asciiTheme="majorHAnsi" w:hAnsiTheme="majorHAnsi"/>
        </w:rPr>
        <w:t xml:space="preserve">reforms, </w:t>
      </w:r>
      <w:r w:rsidR="00B4141C">
        <w:rPr>
          <w:rFonts w:asciiTheme="majorHAnsi" w:hAnsiTheme="majorHAnsi"/>
        </w:rPr>
        <w:t xml:space="preserve">the key </w:t>
      </w:r>
      <w:r w:rsidR="00B47180">
        <w:rPr>
          <w:rFonts w:asciiTheme="majorHAnsi" w:hAnsiTheme="majorHAnsi"/>
        </w:rPr>
        <w:t>problem</w:t>
      </w:r>
      <w:r w:rsidR="00711923">
        <w:rPr>
          <w:rFonts w:asciiTheme="majorHAnsi" w:hAnsiTheme="majorHAnsi"/>
        </w:rPr>
        <w:t xml:space="preserve"> we observe</w:t>
      </w:r>
      <w:r w:rsidR="00B47180">
        <w:rPr>
          <w:rFonts w:asciiTheme="majorHAnsi" w:hAnsiTheme="majorHAnsi"/>
        </w:rPr>
        <w:t xml:space="preserve"> in practice is </w:t>
      </w:r>
      <w:r w:rsidR="00C35681">
        <w:rPr>
          <w:rFonts w:asciiTheme="majorHAnsi" w:hAnsiTheme="majorHAnsi"/>
        </w:rPr>
        <w:t xml:space="preserve">a </w:t>
      </w:r>
      <w:r w:rsidR="00B47180">
        <w:rPr>
          <w:rFonts w:asciiTheme="majorHAnsi" w:hAnsiTheme="majorHAnsi"/>
        </w:rPr>
        <w:t xml:space="preserve">funding gap. </w:t>
      </w:r>
      <w:r w:rsidR="006C615E">
        <w:rPr>
          <w:rFonts w:asciiTheme="majorHAnsi" w:hAnsiTheme="majorHAnsi"/>
        </w:rPr>
        <w:t>A</w:t>
      </w:r>
      <w:r w:rsidR="00AD4835">
        <w:rPr>
          <w:rFonts w:asciiTheme="majorHAnsi" w:hAnsiTheme="majorHAnsi"/>
        </w:rPr>
        <w:t xml:space="preserve"> company </w:t>
      </w:r>
      <w:r w:rsidR="00B47180">
        <w:rPr>
          <w:rFonts w:asciiTheme="majorHAnsi" w:hAnsiTheme="majorHAnsi"/>
        </w:rPr>
        <w:t xml:space="preserve">that </w:t>
      </w:r>
      <w:r w:rsidR="00AD4835">
        <w:rPr>
          <w:rFonts w:asciiTheme="majorHAnsi" w:hAnsiTheme="majorHAnsi"/>
        </w:rPr>
        <w:t xml:space="preserve">has had its </w:t>
      </w:r>
      <w:r w:rsidR="007F5E0A">
        <w:rPr>
          <w:rFonts w:asciiTheme="majorHAnsi" w:hAnsiTheme="majorHAnsi"/>
        </w:rPr>
        <w:t xml:space="preserve">assets </w:t>
      </w:r>
      <w:r w:rsidR="00AD4835">
        <w:rPr>
          <w:rFonts w:asciiTheme="majorHAnsi" w:hAnsiTheme="majorHAnsi"/>
        </w:rPr>
        <w:t>stripped in a phoenix transaction would</w:t>
      </w:r>
      <w:r w:rsidR="00563719">
        <w:rPr>
          <w:rFonts w:asciiTheme="majorHAnsi" w:hAnsiTheme="majorHAnsi"/>
        </w:rPr>
        <w:t>,</w:t>
      </w:r>
      <w:r w:rsidR="00AD4835">
        <w:rPr>
          <w:rFonts w:asciiTheme="majorHAnsi" w:hAnsiTheme="majorHAnsi"/>
        </w:rPr>
        <w:t xml:space="preserve"> by definition</w:t>
      </w:r>
      <w:r w:rsidR="00563719">
        <w:rPr>
          <w:rFonts w:asciiTheme="majorHAnsi" w:hAnsiTheme="majorHAnsi"/>
        </w:rPr>
        <w:t>,</w:t>
      </w:r>
      <w:r w:rsidR="00AD4835">
        <w:rPr>
          <w:rFonts w:asciiTheme="majorHAnsi" w:hAnsiTheme="majorHAnsi"/>
        </w:rPr>
        <w:t xml:space="preserve"> lack assets available to a liquidator to fund investigations of the affairs of the company. Therefore</w:t>
      </w:r>
      <w:r w:rsidR="00EB1DF4">
        <w:rPr>
          <w:rFonts w:asciiTheme="majorHAnsi" w:hAnsiTheme="majorHAnsi"/>
        </w:rPr>
        <w:t xml:space="preserve">, </w:t>
      </w:r>
      <w:r w:rsidR="00AD4835">
        <w:rPr>
          <w:rFonts w:asciiTheme="majorHAnsi" w:hAnsiTheme="majorHAnsi"/>
        </w:rPr>
        <w:t>unless a creditor is willing to contribute funds to the liquidator the situation may arise where</w:t>
      </w:r>
      <w:r w:rsidR="006E1657">
        <w:rPr>
          <w:rFonts w:asciiTheme="majorHAnsi" w:hAnsiTheme="majorHAnsi"/>
        </w:rPr>
        <w:t xml:space="preserve"> a liquidator is not willing or </w:t>
      </w:r>
      <w:r w:rsidR="00AD4835">
        <w:rPr>
          <w:rFonts w:asciiTheme="majorHAnsi" w:hAnsiTheme="majorHAnsi"/>
        </w:rPr>
        <w:t xml:space="preserve">able to perform the investigations necessary to prepare an application to court. </w:t>
      </w:r>
      <w:r w:rsidR="000D29DE">
        <w:rPr>
          <w:rFonts w:asciiTheme="majorHAnsi" w:hAnsiTheme="majorHAnsi"/>
        </w:rPr>
        <w:t xml:space="preserve">The Productivity Commission may wish to consider </w:t>
      </w:r>
      <w:r w:rsidR="00EB1DF4">
        <w:rPr>
          <w:rFonts w:asciiTheme="majorHAnsi" w:hAnsiTheme="majorHAnsi"/>
        </w:rPr>
        <w:t>seeking</w:t>
      </w:r>
      <w:r w:rsidR="000D29DE">
        <w:rPr>
          <w:rFonts w:asciiTheme="majorHAnsi" w:hAnsiTheme="majorHAnsi"/>
        </w:rPr>
        <w:t xml:space="preserve"> data </w:t>
      </w:r>
      <w:r w:rsidR="00493F1A">
        <w:rPr>
          <w:rFonts w:asciiTheme="majorHAnsi" w:hAnsiTheme="majorHAnsi"/>
        </w:rPr>
        <w:t xml:space="preserve">from practitioners or ASIC </w:t>
      </w:r>
      <w:r w:rsidR="000D29DE">
        <w:rPr>
          <w:rFonts w:asciiTheme="majorHAnsi" w:hAnsiTheme="majorHAnsi"/>
        </w:rPr>
        <w:t>to corroborate this observation</w:t>
      </w:r>
      <w:r w:rsidR="00BC4673">
        <w:rPr>
          <w:rFonts w:asciiTheme="majorHAnsi" w:hAnsiTheme="majorHAnsi"/>
        </w:rPr>
        <w:t xml:space="preserve"> </w:t>
      </w:r>
      <w:r w:rsidR="007648BC">
        <w:rPr>
          <w:rFonts w:asciiTheme="majorHAnsi" w:hAnsiTheme="majorHAnsi"/>
        </w:rPr>
        <w:t xml:space="preserve">to </w:t>
      </w:r>
      <w:r w:rsidR="00BC4673">
        <w:rPr>
          <w:rFonts w:asciiTheme="majorHAnsi" w:hAnsiTheme="majorHAnsi"/>
        </w:rPr>
        <w:t>inform any consequent reform</w:t>
      </w:r>
      <w:r w:rsidR="007648BC">
        <w:rPr>
          <w:rFonts w:asciiTheme="majorHAnsi" w:hAnsiTheme="majorHAnsi"/>
        </w:rPr>
        <w:t xml:space="preserve"> recommendations. </w:t>
      </w:r>
    </w:p>
    <w:p w14:paraId="23555CF7" w14:textId="77777777" w:rsidR="00BE0294" w:rsidRPr="00A02B5E" w:rsidRDefault="00F96757" w:rsidP="007F587F">
      <w:pPr>
        <w:pStyle w:val="Heading1"/>
        <w:rPr>
          <w:rFonts w:asciiTheme="majorHAnsi" w:hAnsiTheme="majorHAnsi"/>
        </w:rPr>
      </w:pPr>
      <w:r w:rsidRPr="00A02B5E">
        <w:rPr>
          <w:rFonts w:asciiTheme="majorHAnsi" w:hAnsiTheme="majorHAnsi"/>
        </w:rPr>
        <w:t>W</w:t>
      </w:r>
      <w:r w:rsidR="00A0316E" w:rsidRPr="00A02B5E">
        <w:rPr>
          <w:rFonts w:asciiTheme="majorHAnsi" w:hAnsiTheme="majorHAnsi"/>
        </w:rPr>
        <w:t>hether the prohibition of insolvent trading and the safe harbour provisions appropriately balance integrity and rehabilitation of viable businesses</w:t>
      </w:r>
      <w:r w:rsidR="00EC13C3" w:rsidRPr="00A02B5E">
        <w:rPr>
          <w:rFonts w:asciiTheme="majorHAnsi" w:hAnsiTheme="majorHAnsi"/>
        </w:rPr>
        <w:br/>
      </w:r>
    </w:p>
    <w:p w14:paraId="1CDC3857" w14:textId="77777777" w:rsidR="0095170A" w:rsidRPr="00A02B5E" w:rsidRDefault="002E3591" w:rsidP="006B53D6">
      <w:pPr>
        <w:pStyle w:val="BodyText2"/>
        <w:spacing w:before="120" w:after="120"/>
        <w:ind w:left="0"/>
        <w:rPr>
          <w:rFonts w:asciiTheme="majorHAnsi" w:hAnsiTheme="majorHAnsi" w:cs="Arial"/>
        </w:rPr>
      </w:pPr>
      <w:r w:rsidRPr="00A02B5E">
        <w:rPr>
          <w:rFonts w:asciiTheme="majorHAnsi" w:hAnsiTheme="majorHAnsi" w:cs="Arial"/>
        </w:rPr>
        <w:t>Directors have a positive duty to prevent the company from incurring debts while it is insolvent or where there are reasonable grounds for suspecting insolvency.</w:t>
      </w:r>
      <w:r w:rsidRPr="00A02B5E">
        <w:rPr>
          <w:rStyle w:val="FootnoteReference"/>
          <w:rFonts w:asciiTheme="majorHAnsi" w:hAnsiTheme="majorHAnsi" w:cs="Arial"/>
        </w:rPr>
        <w:footnoteReference w:id="38"/>
      </w:r>
      <w:r w:rsidRPr="00A02B5E">
        <w:rPr>
          <w:rFonts w:asciiTheme="majorHAnsi" w:hAnsiTheme="majorHAnsi" w:cs="Arial"/>
        </w:rPr>
        <w:t xml:space="preserve">  </w:t>
      </w:r>
      <w:r w:rsidR="00BB390C" w:rsidRPr="00A02B5E">
        <w:rPr>
          <w:rFonts w:asciiTheme="majorHAnsi" w:hAnsiTheme="majorHAnsi" w:cs="Arial"/>
        </w:rPr>
        <w:t xml:space="preserve">The director </w:t>
      </w:r>
      <w:r w:rsidRPr="00A02B5E">
        <w:rPr>
          <w:rFonts w:asciiTheme="majorHAnsi" w:hAnsiTheme="majorHAnsi" w:cs="Arial"/>
        </w:rPr>
        <w:t xml:space="preserve">need not actually know the company </w:t>
      </w:r>
      <w:r w:rsidR="00BB390C" w:rsidRPr="00A02B5E">
        <w:rPr>
          <w:rFonts w:asciiTheme="majorHAnsi" w:hAnsiTheme="majorHAnsi" w:cs="Arial"/>
        </w:rPr>
        <w:t xml:space="preserve">was </w:t>
      </w:r>
      <w:r w:rsidRPr="00A02B5E">
        <w:rPr>
          <w:rFonts w:asciiTheme="majorHAnsi" w:hAnsiTheme="majorHAnsi" w:cs="Arial"/>
        </w:rPr>
        <w:t xml:space="preserve">insolvent </w:t>
      </w:r>
      <w:r w:rsidR="00BB390C" w:rsidRPr="00A02B5E">
        <w:rPr>
          <w:rFonts w:asciiTheme="majorHAnsi" w:hAnsiTheme="majorHAnsi" w:cs="Arial"/>
        </w:rPr>
        <w:t xml:space="preserve">so long as </w:t>
      </w:r>
      <w:r w:rsidRPr="00A02B5E">
        <w:rPr>
          <w:rFonts w:asciiTheme="majorHAnsi" w:hAnsiTheme="majorHAnsi" w:cs="Arial"/>
        </w:rPr>
        <w:t>there were reasonable grounds to suspect it was. Where the duty is breached, the director may be personally liable to compensate creditors for the amount of debts incurred during insolvency</w:t>
      </w:r>
      <w:r w:rsidR="0033202A" w:rsidRPr="00A02B5E">
        <w:rPr>
          <w:rFonts w:asciiTheme="majorHAnsi" w:hAnsiTheme="majorHAnsi" w:cs="Arial"/>
        </w:rPr>
        <w:t>,</w:t>
      </w:r>
      <w:r w:rsidR="00BB390C" w:rsidRPr="00A02B5E">
        <w:rPr>
          <w:rStyle w:val="FootnoteReference"/>
          <w:rFonts w:asciiTheme="majorHAnsi" w:hAnsiTheme="majorHAnsi" w:cs="Arial"/>
        </w:rPr>
        <w:footnoteReference w:id="39"/>
      </w:r>
      <w:r w:rsidRPr="00A02B5E">
        <w:rPr>
          <w:rFonts w:asciiTheme="majorHAnsi" w:hAnsiTheme="majorHAnsi" w:cs="Arial"/>
        </w:rPr>
        <w:t xml:space="preserve"> face civil penalties</w:t>
      </w:r>
      <w:r w:rsidR="0033202A" w:rsidRPr="00A02B5E">
        <w:rPr>
          <w:rFonts w:asciiTheme="majorHAnsi" w:hAnsiTheme="majorHAnsi" w:cs="Arial"/>
        </w:rPr>
        <w:t>,</w:t>
      </w:r>
      <w:r w:rsidR="0033202A" w:rsidRPr="00A02B5E">
        <w:rPr>
          <w:rStyle w:val="FootnoteReference"/>
          <w:rFonts w:asciiTheme="majorHAnsi" w:hAnsiTheme="majorHAnsi" w:cs="Arial"/>
        </w:rPr>
        <w:footnoteReference w:id="40"/>
      </w:r>
      <w:r w:rsidR="005117DF" w:rsidRPr="00A02B5E">
        <w:rPr>
          <w:rFonts w:asciiTheme="majorHAnsi" w:hAnsiTheme="majorHAnsi" w:cs="Arial"/>
        </w:rPr>
        <w:t xml:space="preserve"> </w:t>
      </w:r>
      <w:r w:rsidR="0033202A" w:rsidRPr="00A02B5E">
        <w:rPr>
          <w:rFonts w:asciiTheme="majorHAnsi" w:hAnsiTheme="majorHAnsi" w:cs="Arial"/>
        </w:rPr>
        <w:t>or if there is an element of dishonesty, criminal liability including imprisonment.</w:t>
      </w:r>
      <w:r w:rsidR="0033202A" w:rsidRPr="00A02B5E">
        <w:rPr>
          <w:rStyle w:val="FootnoteReference"/>
          <w:rFonts w:asciiTheme="majorHAnsi" w:hAnsiTheme="majorHAnsi" w:cs="Arial"/>
        </w:rPr>
        <w:footnoteReference w:id="41"/>
      </w:r>
      <w:r w:rsidRPr="00A02B5E">
        <w:rPr>
          <w:rFonts w:asciiTheme="majorHAnsi" w:hAnsiTheme="majorHAnsi" w:cs="Arial"/>
        </w:rPr>
        <w:t xml:space="preserve"> </w:t>
      </w:r>
      <w:r w:rsidR="00B7704F" w:rsidRPr="00A02B5E">
        <w:rPr>
          <w:rFonts w:asciiTheme="majorHAnsi" w:hAnsiTheme="majorHAnsi" w:cs="Arial"/>
        </w:rPr>
        <w:t>There are statutory defences to the insolvent trading provisions</w:t>
      </w:r>
      <w:r w:rsidR="00727E27" w:rsidRPr="00A02B5E">
        <w:rPr>
          <w:rFonts w:asciiTheme="majorHAnsi" w:hAnsiTheme="majorHAnsi" w:cs="Arial"/>
        </w:rPr>
        <w:t>.</w:t>
      </w:r>
      <w:r w:rsidR="00727E27" w:rsidRPr="00A02B5E">
        <w:rPr>
          <w:rStyle w:val="FootnoteReference"/>
          <w:rFonts w:asciiTheme="majorHAnsi" w:hAnsiTheme="majorHAnsi" w:cs="Arial"/>
        </w:rPr>
        <w:footnoteReference w:id="42"/>
      </w:r>
      <w:r w:rsidR="00115DFF" w:rsidRPr="00A02B5E">
        <w:rPr>
          <w:rFonts w:asciiTheme="majorHAnsi" w:hAnsiTheme="majorHAnsi" w:cs="Arial"/>
        </w:rPr>
        <w:t xml:space="preserve"> </w:t>
      </w:r>
      <w:r w:rsidR="00F52535" w:rsidRPr="00A02B5E">
        <w:rPr>
          <w:rFonts w:asciiTheme="majorHAnsi" w:hAnsiTheme="majorHAnsi" w:cs="Arial"/>
        </w:rPr>
        <w:t>Harris and Keays observe that while these appear broad, the courts have interpreted them restrictively.</w:t>
      </w:r>
      <w:r w:rsidR="00F52535" w:rsidRPr="00A02B5E">
        <w:rPr>
          <w:rStyle w:val="FootnoteReference"/>
          <w:rFonts w:asciiTheme="majorHAnsi" w:hAnsiTheme="majorHAnsi" w:cs="Arial"/>
        </w:rPr>
        <w:footnoteReference w:id="43"/>
      </w:r>
      <w:r w:rsidR="00F52535" w:rsidRPr="00A02B5E">
        <w:rPr>
          <w:rFonts w:asciiTheme="majorHAnsi" w:hAnsiTheme="majorHAnsi" w:cs="Arial"/>
        </w:rPr>
        <w:t xml:space="preserve"> This has likely contributed to the reputation for the regime’s harshness. </w:t>
      </w:r>
    </w:p>
    <w:p w14:paraId="476A1575" w14:textId="77777777" w:rsidR="004F2ECD" w:rsidRPr="00A02B5E" w:rsidRDefault="006B53D6" w:rsidP="006B53D6">
      <w:pPr>
        <w:pStyle w:val="BodyText2"/>
        <w:spacing w:before="120" w:after="120"/>
        <w:ind w:left="0"/>
        <w:rPr>
          <w:rFonts w:asciiTheme="majorHAnsi" w:hAnsiTheme="majorHAnsi" w:cs="Arial"/>
        </w:rPr>
      </w:pPr>
      <w:r w:rsidRPr="00A02B5E">
        <w:rPr>
          <w:rFonts w:asciiTheme="majorHAnsi" w:hAnsiTheme="majorHAnsi" w:cs="Arial"/>
        </w:rPr>
        <w:t>By way of comparison</w:t>
      </w:r>
      <w:r w:rsidR="004F2ECD" w:rsidRPr="00A02B5E">
        <w:rPr>
          <w:rFonts w:asciiTheme="majorHAnsi" w:hAnsiTheme="majorHAnsi" w:cs="Arial"/>
        </w:rPr>
        <w:t xml:space="preserve">: </w:t>
      </w:r>
    </w:p>
    <w:p w14:paraId="4BC5F7A7" w14:textId="77777777" w:rsidR="004F2ECD" w:rsidRPr="00A02B5E" w:rsidRDefault="004F2ECD" w:rsidP="004F2ECD">
      <w:pPr>
        <w:pStyle w:val="BodyText2"/>
        <w:numPr>
          <w:ilvl w:val="0"/>
          <w:numId w:val="46"/>
        </w:numPr>
        <w:spacing w:before="120" w:after="120"/>
        <w:rPr>
          <w:rFonts w:asciiTheme="majorHAnsi" w:hAnsiTheme="majorHAnsi" w:cs="Arial"/>
        </w:rPr>
      </w:pPr>
      <w:r w:rsidRPr="00A02B5E">
        <w:rPr>
          <w:rFonts w:asciiTheme="majorHAnsi" w:hAnsiTheme="majorHAnsi" w:cs="Arial"/>
        </w:rPr>
        <w:t>I</w:t>
      </w:r>
      <w:r w:rsidR="006B53D6" w:rsidRPr="00A02B5E">
        <w:rPr>
          <w:rFonts w:asciiTheme="majorHAnsi" w:hAnsiTheme="majorHAnsi" w:cs="Arial"/>
        </w:rPr>
        <w:t xml:space="preserve">n the United Kingdom, there is liability for “wrongful trading”, requiring that a director must know or ought to </w:t>
      </w:r>
      <w:r w:rsidR="00B24F64" w:rsidRPr="00A02B5E">
        <w:rPr>
          <w:rFonts w:asciiTheme="majorHAnsi" w:hAnsiTheme="majorHAnsi" w:cs="Arial"/>
        </w:rPr>
        <w:t xml:space="preserve">have concluded that </w:t>
      </w:r>
      <w:r w:rsidR="006B53D6" w:rsidRPr="00A02B5E">
        <w:rPr>
          <w:rFonts w:asciiTheme="majorHAnsi" w:hAnsiTheme="majorHAnsi" w:cs="Arial"/>
        </w:rPr>
        <w:t>there was no reasonable prospect the company would avoid going into insolven</w:t>
      </w:r>
      <w:r w:rsidR="001A79C7" w:rsidRPr="00A02B5E">
        <w:rPr>
          <w:rFonts w:asciiTheme="majorHAnsi" w:hAnsiTheme="majorHAnsi" w:cs="Arial"/>
        </w:rPr>
        <w:t>cy</w:t>
      </w:r>
      <w:r w:rsidR="00B24F64" w:rsidRPr="00A02B5E">
        <w:rPr>
          <w:rFonts w:asciiTheme="majorHAnsi" w:hAnsiTheme="majorHAnsi" w:cs="Arial"/>
        </w:rPr>
        <w:t>, and thereafter failed to take every step to minimise the potential loss to creditors</w:t>
      </w:r>
      <w:r w:rsidR="006B53D6" w:rsidRPr="00A02B5E">
        <w:rPr>
          <w:rFonts w:asciiTheme="majorHAnsi" w:hAnsiTheme="majorHAnsi" w:cs="Arial"/>
        </w:rPr>
        <w:t>.</w:t>
      </w:r>
      <w:r w:rsidR="00690860" w:rsidRPr="00A02B5E">
        <w:rPr>
          <w:rStyle w:val="FootnoteReference"/>
          <w:rFonts w:asciiTheme="majorHAnsi" w:hAnsiTheme="majorHAnsi" w:cs="Arial"/>
        </w:rPr>
        <w:footnoteReference w:id="44"/>
      </w:r>
      <w:r w:rsidR="006B53D6" w:rsidRPr="00A02B5E">
        <w:rPr>
          <w:rFonts w:asciiTheme="majorHAnsi" w:hAnsiTheme="majorHAnsi" w:cs="Arial"/>
        </w:rPr>
        <w:t xml:space="preserve"> </w:t>
      </w:r>
    </w:p>
    <w:p w14:paraId="04BAACD2" w14:textId="77777777" w:rsidR="004F2ECD" w:rsidRPr="00A02B5E" w:rsidRDefault="006B53D6" w:rsidP="004F2ECD">
      <w:pPr>
        <w:pStyle w:val="BodyText2"/>
        <w:numPr>
          <w:ilvl w:val="0"/>
          <w:numId w:val="46"/>
        </w:numPr>
        <w:spacing w:before="120" w:after="120"/>
        <w:rPr>
          <w:rFonts w:asciiTheme="majorHAnsi" w:hAnsiTheme="majorHAnsi" w:cs="Arial"/>
        </w:rPr>
      </w:pPr>
      <w:r w:rsidRPr="00A02B5E">
        <w:rPr>
          <w:rFonts w:asciiTheme="majorHAnsi" w:hAnsiTheme="majorHAnsi" w:cs="Arial"/>
        </w:rPr>
        <w:t xml:space="preserve">In New Zealand, there is only liability for “reckless trading”, and </w:t>
      </w:r>
      <w:r w:rsidR="00421B69" w:rsidRPr="00A02B5E">
        <w:rPr>
          <w:rFonts w:asciiTheme="majorHAnsi" w:hAnsiTheme="majorHAnsi" w:cs="Arial"/>
        </w:rPr>
        <w:t>incurring obligations without reasonable grounds to believe they can be performed</w:t>
      </w:r>
      <w:r w:rsidRPr="00A02B5E">
        <w:rPr>
          <w:rFonts w:asciiTheme="majorHAnsi" w:hAnsiTheme="majorHAnsi" w:cs="Arial"/>
        </w:rPr>
        <w:t>.</w:t>
      </w:r>
      <w:r w:rsidR="00421B69" w:rsidRPr="00A02B5E">
        <w:rPr>
          <w:rStyle w:val="FootnoteReference"/>
          <w:rFonts w:asciiTheme="majorHAnsi" w:hAnsiTheme="majorHAnsi" w:cs="Arial"/>
        </w:rPr>
        <w:footnoteReference w:id="45"/>
      </w:r>
      <w:r w:rsidRPr="00A02B5E">
        <w:rPr>
          <w:rFonts w:asciiTheme="majorHAnsi" w:hAnsiTheme="majorHAnsi" w:cs="Arial"/>
        </w:rPr>
        <w:t xml:space="preserve"> </w:t>
      </w:r>
    </w:p>
    <w:p w14:paraId="08849E07" w14:textId="77777777" w:rsidR="006B53D6" w:rsidRPr="00A02B5E" w:rsidRDefault="006B53D6" w:rsidP="004F2ECD">
      <w:pPr>
        <w:pStyle w:val="BodyText2"/>
        <w:numPr>
          <w:ilvl w:val="0"/>
          <w:numId w:val="46"/>
        </w:numPr>
        <w:spacing w:before="120" w:after="120"/>
        <w:rPr>
          <w:rFonts w:asciiTheme="majorHAnsi" w:hAnsiTheme="majorHAnsi" w:cs="Arial"/>
        </w:rPr>
      </w:pPr>
      <w:r w:rsidRPr="00A02B5E">
        <w:rPr>
          <w:rFonts w:asciiTheme="majorHAnsi" w:hAnsiTheme="majorHAnsi" w:cs="Arial"/>
        </w:rPr>
        <w:t xml:space="preserve">In the United States and Canada, there is no </w:t>
      </w:r>
      <w:r w:rsidR="004310A6" w:rsidRPr="00A02B5E">
        <w:rPr>
          <w:rFonts w:asciiTheme="majorHAnsi" w:hAnsiTheme="majorHAnsi" w:cs="Arial"/>
        </w:rPr>
        <w:t xml:space="preserve">statutory </w:t>
      </w:r>
      <w:r w:rsidRPr="00A02B5E">
        <w:rPr>
          <w:rFonts w:asciiTheme="majorHAnsi" w:hAnsiTheme="majorHAnsi" w:cs="Arial"/>
        </w:rPr>
        <w:t xml:space="preserve">equivalent of </w:t>
      </w:r>
      <w:r w:rsidR="004310A6" w:rsidRPr="00A02B5E">
        <w:rPr>
          <w:rFonts w:asciiTheme="majorHAnsi" w:hAnsiTheme="majorHAnsi" w:cs="Arial"/>
        </w:rPr>
        <w:t xml:space="preserve">the </w:t>
      </w:r>
      <w:r w:rsidRPr="00A02B5E">
        <w:rPr>
          <w:rFonts w:asciiTheme="majorHAnsi" w:hAnsiTheme="majorHAnsi" w:cs="Arial"/>
        </w:rPr>
        <w:t xml:space="preserve">insolvent trading </w:t>
      </w:r>
      <w:r w:rsidR="004310A6" w:rsidRPr="00A02B5E">
        <w:rPr>
          <w:rFonts w:asciiTheme="majorHAnsi" w:hAnsiTheme="majorHAnsi" w:cs="Arial"/>
        </w:rPr>
        <w:t>offences at all</w:t>
      </w:r>
      <w:r w:rsidRPr="00A02B5E">
        <w:rPr>
          <w:rFonts w:asciiTheme="majorHAnsi" w:hAnsiTheme="majorHAnsi" w:cs="Arial"/>
        </w:rPr>
        <w:t>.</w:t>
      </w:r>
    </w:p>
    <w:p w14:paraId="62AF2CAF" w14:textId="77777777" w:rsidR="006B53D6" w:rsidRPr="00A02B5E" w:rsidRDefault="006B53D6" w:rsidP="006B53D6">
      <w:pPr>
        <w:pStyle w:val="BodyText2"/>
        <w:spacing w:before="120" w:after="120"/>
        <w:ind w:left="0"/>
        <w:rPr>
          <w:rFonts w:asciiTheme="majorHAnsi" w:hAnsiTheme="majorHAnsi" w:cs="Arial"/>
        </w:rPr>
      </w:pPr>
      <w:r w:rsidRPr="00A02B5E">
        <w:rPr>
          <w:rFonts w:asciiTheme="majorHAnsi" w:hAnsiTheme="majorHAnsi" w:cs="Arial"/>
        </w:rPr>
        <w:t xml:space="preserve">A safe harbour from insolvent trading, which provides protection from liability for directors who incur a debt while pursuing an alternative for the business reasonably likely to achieve a “better outcome” for the company than immediate liquidation or administration, was introduced in section 588GA of the Corporations Act in September 2017. </w:t>
      </w:r>
      <w:r w:rsidR="007A0319" w:rsidRPr="00A02B5E">
        <w:rPr>
          <w:rFonts w:asciiTheme="majorHAnsi" w:hAnsiTheme="majorHAnsi" w:cs="Arial"/>
        </w:rPr>
        <w:t xml:space="preserve">The safe harbour protections were introduced because of a perception that </w:t>
      </w:r>
      <w:r w:rsidR="00051E30" w:rsidRPr="00A02B5E">
        <w:rPr>
          <w:rFonts w:asciiTheme="majorHAnsi" w:hAnsiTheme="majorHAnsi" w:cs="Arial"/>
        </w:rPr>
        <w:t xml:space="preserve">the existing </w:t>
      </w:r>
      <w:r w:rsidR="007A0319" w:rsidRPr="00A02B5E">
        <w:rPr>
          <w:rFonts w:asciiTheme="majorHAnsi" w:hAnsiTheme="majorHAnsi" w:cs="Arial"/>
        </w:rPr>
        <w:t>insolvent trading provisions were stifling risk-taking.</w:t>
      </w:r>
    </w:p>
    <w:p w14:paraId="755233FA" w14:textId="474D3C7F" w:rsidR="006B53D6" w:rsidRPr="00A02B5E" w:rsidRDefault="006B53D6" w:rsidP="006B53D6">
      <w:pPr>
        <w:pStyle w:val="BodyText2"/>
        <w:spacing w:before="120" w:after="120"/>
        <w:ind w:left="0"/>
        <w:rPr>
          <w:rFonts w:asciiTheme="majorHAnsi" w:hAnsiTheme="majorHAnsi" w:cs="Arial"/>
        </w:rPr>
      </w:pPr>
      <w:r>
        <w:rPr>
          <w:rFonts w:asciiTheme="majorHAnsi" w:hAnsiTheme="majorHAnsi" w:cs="Arial"/>
        </w:rPr>
        <w:t>The safe harbour was the subject of a statutory review from August to November 2021. The Final Report of the review noted the safe harbour is complex and confusing for directors, with scope for reforms to simplify the provisions so they can be “readily understood and applied” in practice.</w:t>
      </w:r>
      <w:r w:rsidRPr="00A02B5E">
        <w:rPr>
          <w:rStyle w:val="FootnoteReference"/>
          <w:rFonts w:asciiTheme="majorHAnsi" w:hAnsiTheme="majorHAnsi" w:cs="Arial"/>
        </w:rPr>
        <w:footnoteReference w:id="46"/>
      </w:r>
      <w:r>
        <w:rPr>
          <w:rFonts w:asciiTheme="majorHAnsi" w:hAnsiTheme="majorHAnsi" w:cs="Arial"/>
        </w:rPr>
        <w:t xml:space="preserve"> The Final Report also questioned whether Australia’s insolvent trading laws continue to remain “fit for purpose” and “aligned with community expectations”, and indicated they have not kept pace with domestic and international capital markets and our economy.  </w:t>
      </w:r>
    </w:p>
    <w:p w14:paraId="6DA0E811" w14:textId="7916ADD3" w:rsidR="009329D8" w:rsidRPr="00A02B5E" w:rsidRDefault="003C699A" w:rsidP="00711EBC">
      <w:pPr>
        <w:rPr>
          <w:rFonts w:asciiTheme="majorHAnsi" w:hAnsiTheme="majorHAnsi"/>
        </w:rPr>
      </w:pPr>
      <w:r>
        <w:rPr>
          <w:rFonts w:asciiTheme="majorHAnsi" w:hAnsiTheme="majorHAnsi"/>
        </w:rPr>
        <w:t>I</w:t>
      </w:r>
      <w:r w:rsidR="003864B2" w:rsidRPr="00A02B5E">
        <w:rPr>
          <w:rFonts w:asciiTheme="majorHAnsi" w:hAnsiTheme="majorHAnsi"/>
        </w:rPr>
        <w:t xml:space="preserve">t is too early to say whether the safe harbour provisions have </w:t>
      </w:r>
      <w:r w:rsidR="00982D8B" w:rsidRPr="00A02B5E">
        <w:rPr>
          <w:rFonts w:asciiTheme="majorHAnsi" w:hAnsiTheme="majorHAnsi"/>
        </w:rPr>
        <w:t xml:space="preserve">solved the problem of stifled risk-taking or </w:t>
      </w:r>
      <w:r w:rsidR="003864B2" w:rsidRPr="00A02B5E">
        <w:rPr>
          <w:rFonts w:asciiTheme="majorHAnsi" w:hAnsiTheme="majorHAnsi"/>
        </w:rPr>
        <w:t xml:space="preserve">indeed swung the pendulum too far the other way. </w:t>
      </w:r>
      <w:r w:rsidR="00617F15" w:rsidRPr="00A02B5E">
        <w:rPr>
          <w:rFonts w:asciiTheme="majorHAnsi" w:hAnsiTheme="majorHAnsi"/>
        </w:rPr>
        <w:t>Currently</w:t>
      </w:r>
      <w:r w:rsidR="00F45396">
        <w:rPr>
          <w:rFonts w:asciiTheme="majorHAnsi" w:hAnsiTheme="majorHAnsi"/>
        </w:rPr>
        <w:t xml:space="preserve"> (as reflected in the statutory review described in the preceding paragraph) </w:t>
      </w:r>
      <w:r w:rsidR="00617F15" w:rsidRPr="00A02B5E">
        <w:rPr>
          <w:rFonts w:asciiTheme="majorHAnsi" w:hAnsiTheme="majorHAnsi"/>
        </w:rPr>
        <w:t>t</w:t>
      </w:r>
      <w:r w:rsidR="00953B58" w:rsidRPr="00A02B5E">
        <w:rPr>
          <w:rFonts w:asciiTheme="majorHAnsi" w:hAnsiTheme="majorHAnsi"/>
        </w:rPr>
        <w:t xml:space="preserve">here </w:t>
      </w:r>
      <w:r w:rsidR="00F45396">
        <w:rPr>
          <w:rFonts w:asciiTheme="majorHAnsi" w:hAnsiTheme="majorHAnsi"/>
        </w:rPr>
        <w:t xml:space="preserve">remains </w:t>
      </w:r>
      <w:r w:rsidR="00953B58" w:rsidRPr="00A02B5E">
        <w:rPr>
          <w:rFonts w:asciiTheme="majorHAnsi" w:hAnsiTheme="majorHAnsi"/>
        </w:rPr>
        <w:t xml:space="preserve">too much uncertainty in the nature and scope of </w:t>
      </w:r>
      <w:r w:rsidR="00953B58" w:rsidRPr="00A02B5E">
        <w:rPr>
          <w:rFonts w:asciiTheme="majorHAnsi" w:hAnsiTheme="majorHAnsi"/>
        </w:rPr>
        <w:lastRenderedPageBreak/>
        <w:t>safe harbour</w:t>
      </w:r>
      <w:r w:rsidR="00711EBC" w:rsidRPr="00A02B5E">
        <w:rPr>
          <w:rFonts w:asciiTheme="majorHAnsi" w:hAnsiTheme="majorHAnsi"/>
        </w:rPr>
        <w:t xml:space="preserve">. </w:t>
      </w:r>
      <w:r w:rsidR="00953B58" w:rsidRPr="00A02B5E">
        <w:rPr>
          <w:rFonts w:asciiTheme="majorHAnsi" w:hAnsiTheme="majorHAnsi"/>
        </w:rPr>
        <w:t>There have been too few cases</w:t>
      </w:r>
      <w:r w:rsidR="00B230F4" w:rsidRPr="00A02B5E">
        <w:rPr>
          <w:rFonts w:asciiTheme="majorHAnsi" w:hAnsiTheme="majorHAnsi"/>
        </w:rPr>
        <w:t xml:space="preserve"> </w:t>
      </w:r>
      <w:r w:rsidR="00953B58" w:rsidRPr="00A02B5E">
        <w:rPr>
          <w:rFonts w:asciiTheme="majorHAnsi" w:hAnsiTheme="majorHAnsi"/>
        </w:rPr>
        <w:t>clarifying the meaning and scope of safe harbour</w:t>
      </w:r>
      <w:r w:rsidR="003C6211" w:rsidRPr="00A02B5E">
        <w:rPr>
          <w:rFonts w:asciiTheme="majorHAnsi" w:hAnsiTheme="majorHAnsi"/>
        </w:rPr>
        <w:t xml:space="preserve">. </w:t>
      </w:r>
      <w:r>
        <w:rPr>
          <w:rFonts w:asciiTheme="majorHAnsi" w:hAnsiTheme="majorHAnsi"/>
        </w:rPr>
        <w:t xml:space="preserve">There was one case in 2020 – </w:t>
      </w:r>
      <w:r w:rsidR="00ED79B6" w:rsidRPr="00A02B5E">
        <w:rPr>
          <w:rFonts w:asciiTheme="majorHAnsi" w:hAnsiTheme="majorHAnsi"/>
          <w:i/>
          <w:iCs/>
        </w:rPr>
        <w:t xml:space="preserve">Re </w:t>
      </w:r>
      <w:proofErr w:type="spellStart"/>
      <w:r w:rsidR="00ED79B6" w:rsidRPr="00A02B5E">
        <w:rPr>
          <w:rFonts w:asciiTheme="majorHAnsi" w:hAnsiTheme="majorHAnsi"/>
          <w:i/>
          <w:iCs/>
        </w:rPr>
        <w:t>Balmz</w:t>
      </w:r>
      <w:proofErr w:type="spellEnd"/>
      <w:r w:rsidR="00ED79B6" w:rsidRPr="00A02B5E">
        <w:rPr>
          <w:rFonts w:asciiTheme="majorHAnsi" w:hAnsiTheme="majorHAnsi"/>
          <w:i/>
          <w:iCs/>
        </w:rPr>
        <w:t xml:space="preserve"> Pty Ltd (in </w:t>
      </w:r>
      <w:proofErr w:type="spellStart"/>
      <w:r w:rsidR="00ED79B6" w:rsidRPr="00A02B5E">
        <w:rPr>
          <w:rFonts w:asciiTheme="majorHAnsi" w:hAnsiTheme="majorHAnsi"/>
          <w:i/>
          <w:iCs/>
        </w:rPr>
        <w:t>liq</w:t>
      </w:r>
      <w:proofErr w:type="spellEnd"/>
      <w:r w:rsidR="00ED79B6" w:rsidRPr="00A02B5E">
        <w:rPr>
          <w:rFonts w:asciiTheme="majorHAnsi" w:hAnsiTheme="majorHAnsi"/>
          <w:i/>
          <w:iCs/>
        </w:rPr>
        <w:t xml:space="preserve">) </w:t>
      </w:r>
      <w:r w:rsidR="00ED79B6" w:rsidRPr="00A02B5E">
        <w:rPr>
          <w:rFonts w:asciiTheme="majorHAnsi" w:hAnsiTheme="majorHAnsi"/>
        </w:rPr>
        <w:t>[2020] VSC 652</w:t>
      </w:r>
      <w:r w:rsidR="00EF67AF" w:rsidRPr="00A02B5E">
        <w:rPr>
          <w:rFonts w:asciiTheme="majorHAnsi" w:hAnsiTheme="majorHAnsi"/>
        </w:rPr>
        <w:t xml:space="preserve">, in which safe harbour was held not to apply. </w:t>
      </w:r>
      <w:r w:rsidR="00E67F41" w:rsidRPr="00A02B5E">
        <w:rPr>
          <w:rFonts w:asciiTheme="majorHAnsi" w:hAnsiTheme="majorHAnsi"/>
        </w:rPr>
        <w:t xml:space="preserve">A decision from this year – </w:t>
      </w:r>
      <w:r w:rsidR="00E67F41" w:rsidRPr="00A02B5E">
        <w:rPr>
          <w:rFonts w:asciiTheme="majorHAnsi" w:hAnsiTheme="majorHAnsi"/>
          <w:i/>
          <w:iCs/>
        </w:rPr>
        <w:t xml:space="preserve">Octet Finance Pty Ltd v Macgregor </w:t>
      </w:r>
      <w:r w:rsidR="00E67F41" w:rsidRPr="00A02B5E">
        <w:rPr>
          <w:rFonts w:asciiTheme="majorHAnsi" w:hAnsiTheme="majorHAnsi"/>
        </w:rPr>
        <w:t>[2026] NSWSC 103</w:t>
      </w:r>
      <w:r w:rsidR="008057E1" w:rsidRPr="00A02B5E">
        <w:rPr>
          <w:rFonts w:asciiTheme="majorHAnsi" w:hAnsiTheme="majorHAnsi"/>
        </w:rPr>
        <w:t xml:space="preserve"> </w:t>
      </w:r>
      <w:r w:rsidR="00E67F41" w:rsidRPr="00A02B5E">
        <w:rPr>
          <w:rFonts w:asciiTheme="majorHAnsi" w:hAnsiTheme="majorHAnsi"/>
        </w:rPr>
        <w:t xml:space="preserve">- considered safe harbour in passing only. </w:t>
      </w:r>
      <w:r w:rsidR="005F13FE" w:rsidRPr="00A02B5E">
        <w:rPr>
          <w:rFonts w:asciiTheme="majorHAnsi" w:hAnsiTheme="majorHAnsi"/>
        </w:rPr>
        <w:t>That is</w:t>
      </w:r>
      <w:r w:rsidR="00B66034" w:rsidRPr="00A02B5E">
        <w:rPr>
          <w:rFonts w:asciiTheme="majorHAnsi" w:hAnsiTheme="majorHAnsi"/>
        </w:rPr>
        <w:t xml:space="preserve">, to our knowledge, </w:t>
      </w:r>
      <w:r w:rsidR="005F13FE" w:rsidRPr="00A02B5E">
        <w:rPr>
          <w:rFonts w:asciiTheme="majorHAnsi" w:hAnsiTheme="majorHAnsi"/>
        </w:rPr>
        <w:t xml:space="preserve">the sum of it. </w:t>
      </w:r>
      <w:r w:rsidR="009329D8" w:rsidRPr="00A02B5E">
        <w:rPr>
          <w:rFonts w:asciiTheme="majorHAnsi" w:hAnsiTheme="majorHAnsi"/>
        </w:rPr>
        <w:t>ASIC issued regulatory guidance in December 2024 which provides some assistance as to the approach ASIC will take to safe harbour.</w:t>
      </w:r>
      <w:r w:rsidR="009329D8" w:rsidRPr="00A02B5E">
        <w:rPr>
          <w:rStyle w:val="FootnoteReference"/>
          <w:rFonts w:asciiTheme="majorHAnsi" w:hAnsiTheme="majorHAnsi"/>
        </w:rPr>
        <w:footnoteReference w:id="47"/>
      </w:r>
      <w:r w:rsidR="009329D8" w:rsidRPr="00A02B5E">
        <w:rPr>
          <w:rFonts w:asciiTheme="majorHAnsi" w:hAnsiTheme="majorHAnsi"/>
        </w:rPr>
        <w:t xml:space="preserve"> However, it is ultimately the courts that will</w:t>
      </w:r>
      <w:r w:rsidR="00F27026" w:rsidRPr="00A02B5E">
        <w:rPr>
          <w:rFonts w:asciiTheme="majorHAnsi" w:hAnsiTheme="majorHAnsi"/>
        </w:rPr>
        <w:t xml:space="preserve"> determine the proper interpretation of the </w:t>
      </w:r>
      <w:r w:rsidR="009329D8" w:rsidRPr="00A02B5E">
        <w:rPr>
          <w:rFonts w:asciiTheme="majorHAnsi" w:hAnsiTheme="majorHAnsi"/>
        </w:rPr>
        <w:t>safe harbour provisions.</w:t>
      </w:r>
    </w:p>
    <w:p w14:paraId="50F3C3E5" w14:textId="77777777" w:rsidR="002B5412" w:rsidRPr="00A02B5E" w:rsidRDefault="002B5412" w:rsidP="002B5412">
      <w:pPr>
        <w:rPr>
          <w:rFonts w:asciiTheme="majorHAnsi" w:hAnsiTheme="majorHAnsi"/>
        </w:rPr>
      </w:pPr>
    </w:p>
    <w:p w14:paraId="32AEFB70" w14:textId="77777777" w:rsidR="00BD5DC9" w:rsidRPr="00A02B5E" w:rsidRDefault="003864B2" w:rsidP="00BA23B1">
      <w:pPr>
        <w:rPr>
          <w:rFonts w:asciiTheme="majorHAnsi" w:hAnsiTheme="majorHAnsi"/>
        </w:rPr>
      </w:pPr>
      <w:r w:rsidRPr="00A02B5E">
        <w:rPr>
          <w:rFonts w:asciiTheme="majorHAnsi" w:hAnsiTheme="majorHAnsi"/>
        </w:rPr>
        <w:t xml:space="preserve">The </w:t>
      </w:r>
      <w:r w:rsidR="00EC2FAC" w:rsidRPr="00A02B5E">
        <w:rPr>
          <w:rFonts w:asciiTheme="majorHAnsi" w:hAnsiTheme="majorHAnsi"/>
        </w:rPr>
        <w:t>present</w:t>
      </w:r>
      <w:r w:rsidR="0017690B">
        <w:rPr>
          <w:rFonts w:asciiTheme="majorHAnsi" w:hAnsiTheme="majorHAnsi"/>
        </w:rPr>
        <w:t xml:space="preserve"> </w:t>
      </w:r>
      <w:proofErr w:type="gramStart"/>
      <w:r w:rsidRPr="00A02B5E">
        <w:rPr>
          <w:rFonts w:asciiTheme="majorHAnsi" w:hAnsiTheme="majorHAnsi"/>
        </w:rPr>
        <w:t>state of affairs</w:t>
      </w:r>
      <w:proofErr w:type="gramEnd"/>
      <w:r w:rsidRPr="00A02B5E">
        <w:rPr>
          <w:rFonts w:asciiTheme="majorHAnsi" w:hAnsiTheme="majorHAnsi"/>
        </w:rPr>
        <w:t xml:space="preserve"> is that </w:t>
      </w:r>
      <w:r w:rsidR="00684317" w:rsidRPr="00A02B5E">
        <w:rPr>
          <w:rFonts w:asciiTheme="majorHAnsi" w:hAnsiTheme="majorHAnsi"/>
        </w:rPr>
        <w:t xml:space="preserve">there will be </w:t>
      </w:r>
      <w:r w:rsidRPr="00A02B5E">
        <w:rPr>
          <w:rFonts w:asciiTheme="majorHAnsi" w:hAnsiTheme="majorHAnsi"/>
        </w:rPr>
        <w:t xml:space="preserve">directors </w:t>
      </w:r>
      <w:r w:rsidR="00684317" w:rsidRPr="00A02B5E">
        <w:rPr>
          <w:rFonts w:asciiTheme="majorHAnsi" w:hAnsiTheme="majorHAnsi"/>
        </w:rPr>
        <w:t xml:space="preserve">operating today </w:t>
      </w:r>
      <w:r w:rsidR="005B2FDC" w:rsidRPr="00A02B5E">
        <w:rPr>
          <w:rFonts w:asciiTheme="majorHAnsi" w:hAnsiTheme="majorHAnsi"/>
        </w:rPr>
        <w:t>who</w:t>
      </w:r>
      <w:r w:rsidR="00684317" w:rsidRPr="00A02B5E">
        <w:rPr>
          <w:rFonts w:asciiTheme="majorHAnsi" w:hAnsiTheme="majorHAnsi"/>
        </w:rPr>
        <w:t xml:space="preserve"> </w:t>
      </w:r>
      <w:r w:rsidRPr="00A02B5E">
        <w:rPr>
          <w:rFonts w:asciiTheme="majorHAnsi" w:hAnsiTheme="majorHAnsi"/>
        </w:rPr>
        <w:t xml:space="preserve">have engaged what they consider to be a </w:t>
      </w:r>
      <w:r w:rsidR="00105EF0" w:rsidRPr="00A02B5E">
        <w:rPr>
          <w:rFonts w:asciiTheme="majorHAnsi" w:hAnsiTheme="majorHAnsi"/>
        </w:rPr>
        <w:t xml:space="preserve">protective </w:t>
      </w:r>
      <w:r w:rsidRPr="00A02B5E">
        <w:rPr>
          <w:rFonts w:asciiTheme="majorHAnsi" w:hAnsiTheme="majorHAnsi"/>
        </w:rPr>
        <w:t>safe harbour process that may ultimately be determined to be, by a court, inadequate</w:t>
      </w:r>
      <w:r w:rsidR="00A0579A" w:rsidRPr="00A02B5E">
        <w:rPr>
          <w:rFonts w:asciiTheme="majorHAnsi" w:hAnsiTheme="majorHAnsi"/>
        </w:rPr>
        <w:t>,</w:t>
      </w:r>
      <w:r w:rsidR="00E36175" w:rsidRPr="00A02B5E">
        <w:rPr>
          <w:rFonts w:asciiTheme="majorHAnsi" w:hAnsiTheme="majorHAnsi"/>
        </w:rPr>
        <w:t xml:space="preserve"> with the result that those directors are exposed </w:t>
      </w:r>
      <w:r w:rsidR="00A0579A" w:rsidRPr="00A02B5E">
        <w:rPr>
          <w:rFonts w:asciiTheme="majorHAnsi" w:hAnsiTheme="majorHAnsi"/>
        </w:rPr>
        <w:t>to personal liability</w:t>
      </w:r>
      <w:r w:rsidRPr="00A02B5E">
        <w:rPr>
          <w:rFonts w:asciiTheme="majorHAnsi" w:hAnsiTheme="majorHAnsi"/>
        </w:rPr>
        <w:t xml:space="preserve">. </w:t>
      </w:r>
      <w:r w:rsidR="00377297" w:rsidRPr="00A02B5E">
        <w:rPr>
          <w:rFonts w:asciiTheme="majorHAnsi" w:hAnsiTheme="majorHAnsi"/>
        </w:rPr>
        <w:t>The uncertainty</w:t>
      </w:r>
      <w:r w:rsidR="00C04CBB" w:rsidRPr="00A02B5E">
        <w:rPr>
          <w:rFonts w:asciiTheme="majorHAnsi" w:hAnsiTheme="majorHAnsi"/>
        </w:rPr>
        <w:t>,</w:t>
      </w:r>
      <w:r w:rsidR="00E87078" w:rsidRPr="00A02B5E">
        <w:rPr>
          <w:rFonts w:asciiTheme="majorHAnsi" w:hAnsiTheme="majorHAnsi"/>
        </w:rPr>
        <w:t xml:space="preserve"> if allowed to continue for too much longer, </w:t>
      </w:r>
      <w:r w:rsidR="00EA0676" w:rsidRPr="00A02B5E">
        <w:rPr>
          <w:rFonts w:asciiTheme="majorHAnsi" w:hAnsiTheme="majorHAnsi"/>
        </w:rPr>
        <w:t xml:space="preserve">could </w:t>
      </w:r>
      <w:r w:rsidR="00E87078" w:rsidRPr="00A02B5E">
        <w:rPr>
          <w:rFonts w:asciiTheme="majorHAnsi" w:hAnsiTheme="majorHAnsi"/>
        </w:rPr>
        <w:t xml:space="preserve">lead to a </w:t>
      </w:r>
      <w:r w:rsidR="00EC211C" w:rsidRPr="00A02B5E">
        <w:rPr>
          <w:rFonts w:asciiTheme="majorHAnsi" w:hAnsiTheme="majorHAnsi"/>
        </w:rPr>
        <w:t>reversion to the overly</w:t>
      </w:r>
      <w:r w:rsidR="003903F4" w:rsidRPr="00A02B5E">
        <w:rPr>
          <w:rFonts w:asciiTheme="majorHAnsi" w:hAnsiTheme="majorHAnsi"/>
        </w:rPr>
        <w:t xml:space="preserve"> </w:t>
      </w:r>
      <w:r w:rsidR="00EC211C" w:rsidRPr="00A02B5E">
        <w:rPr>
          <w:rFonts w:asciiTheme="majorHAnsi" w:hAnsiTheme="majorHAnsi"/>
        </w:rPr>
        <w:t xml:space="preserve">conservative director decision-making that the safe harbour reforms were originally intended to correct. </w:t>
      </w:r>
    </w:p>
    <w:p w14:paraId="7DF0C9F5" w14:textId="77777777" w:rsidR="00A86A1E" w:rsidRPr="00A02B5E" w:rsidRDefault="00A86A1E" w:rsidP="00BA23B1">
      <w:pPr>
        <w:rPr>
          <w:rFonts w:asciiTheme="majorHAnsi" w:hAnsiTheme="majorHAnsi"/>
        </w:rPr>
      </w:pPr>
    </w:p>
    <w:p w14:paraId="1980A6C8" w14:textId="7A0DE461" w:rsidR="0045220F" w:rsidRPr="00A02B5E" w:rsidRDefault="007D78E1" w:rsidP="00BA23B1">
      <w:pPr>
        <w:rPr>
          <w:rFonts w:asciiTheme="majorHAnsi" w:hAnsiTheme="majorHAnsi"/>
        </w:rPr>
      </w:pPr>
      <w:r w:rsidRPr="00A02B5E">
        <w:rPr>
          <w:rFonts w:asciiTheme="majorHAnsi" w:hAnsiTheme="majorHAnsi"/>
        </w:rPr>
        <w:t xml:space="preserve">A </w:t>
      </w:r>
      <w:r w:rsidR="00A86A1E" w:rsidRPr="00A02B5E">
        <w:rPr>
          <w:rFonts w:asciiTheme="majorHAnsi" w:hAnsiTheme="majorHAnsi"/>
        </w:rPr>
        <w:t xml:space="preserve">solution may </w:t>
      </w:r>
      <w:r w:rsidRPr="00A02B5E">
        <w:rPr>
          <w:rFonts w:asciiTheme="majorHAnsi" w:hAnsiTheme="majorHAnsi"/>
        </w:rPr>
        <w:t xml:space="preserve">lie </w:t>
      </w:r>
      <w:r w:rsidR="00A86A1E" w:rsidRPr="00A02B5E">
        <w:rPr>
          <w:rFonts w:asciiTheme="majorHAnsi" w:hAnsiTheme="majorHAnsi"/>
        </w:rPr>
        <w:t>in a comprehensive review of the insolvent trading provisions</w:t>
      </w:r>
      <w:r w:rsidR="002B58E1" w:rsidRPr="00A02B5E">
        <w:rPr>
          <w:rFonts w:asciiTheme="majorHAnsi" w:hAnsiTheme="majorHAnsi"/>
        </w:rPr>
        <w:t>, the original statutory defences and the newer safe harbour provisions</w:t>
      </w:r>
      <w:r w:rsidR="002367D7" w:rsidRPr="00A02B5E">
        <w:rPr>
          <w:rFonts w:asciiTheme="majorHAnsi" w:hAnsiTheme="majorHAnsi"/>
        </w:rPr>
        <w:t>, so that the question of how to strike the proper balance between integrity and appropriate, economically beneficial directorial risk-taking</w:t>
      </w:r>
      <w:r w:rsidR="00867BE6" w:rsidRPr="00A02B5E">
        <w:rPr>
          <w:rFonts w:asciiTheme="majorHAnsi" w:hAnsiTheme="majorHAnsi"/>
        </w:rPr>
        <w:t>, can be properly weighed.</w:t>
      </w:r>
    </w:p>
    <w:p w14:paraId="778AF3FC" w14:textId="77777777" w:rsidR="00CF72C7" w:rsidRDefault="00CF72C7">
      <w:pPr>
        <w:rPr>
          <w:rFonts w:asciiTheme="majorHAnsi" w:hAnsiTheme="majorHAnsi"/>
        </w:rPr>
      </w:pPr>
      <w:r>
        <w:rPr>
          <w:rFonts w:asciiTheme="majorHAnsi" w:hAnsiTheme="majorHAnsi"/>
        </w:rPr>
        <w:br w:type="page"/>
      </w:r>
    </w:p>
    <w:p w14:paraId="28BF06A1" w14:textId="77777777" w:rsidR="0089038A" w:rsidRPr="00D91769" w:rsidRDefault="0089038A" w:rsidP="0089038A">
      <w:pPr>
        <w:pStyle w:val="BodyText2"/>
        <w:jc w:val="center"/>
        <w:rPr>
          <w:rFonts w:asciiTheme="majorHAnsi" w:hAnsiTheme="majorHAnsi"/>
          <w:b/>
          <w:bCs/>
        </w:rPr>
      </w:pPr>
      <w:r w:rsidRPr="00D91769">
        <w:rPr>
          <w:rFonts w:asciiTheme="majorHAnsi" w:hAnsiTheme="majorHAnsi"/>
          <w:b/>
          <w:bCs/>
        </w:rPr>
        <w:lastRenderedPageBreak/>
        <w:t xml:space="preserve">About the </w:t>
      </w:r>
      <w:r w:rsidR="00976F23" w:rsidRPr="00D91769">
        <w:rPr>
          <w:rFonts w:asciiTheme="majorHAnsi" w:hAnsiTheme="majorHAnsi"/>
          <w:b/>
          <w:bCs/>
        </w:rPr>
        <w:t>A</w:t>
      </w:r>
      <w:r w:rsidRPr="00D91769">
        <w:rPr>
          <w:rFonts w:asciiTheme="majorHAnsi" w:hAnsiTheme="majorHAnsi"/>
          <w:b/>
          <w:bCs/>
        </w:rPr>
        <w:t>uthors</w:t>
      </w:r>
    </w:p>
    <w:p w14:paraId="436E2089" w14:textId="77777777" w:rsidR="00031C40" w:rsidRPr="00D91769" w:rsidRDefault="00031C40" w:rsidP="00031C40">
      <w:pPr>
        <w:pStyle w:val="BodyText2"/>
        <w:rPr>
          <w:rFonts w:asciiTheme="majorHAnsi" w:hAnsiTheme="majorHAnsi"/>
        </w:rPr>
      </w:pPr>
      <w:r w:rsidRPr="00D91769">
        <w:rPr>
          <w:rFonts w:asciiTheme="majorHAnsi" w:hAnsiTheme="majorHAnsi"/>
          <w:b/>
          <w:bCs/>
        </w:rPr>
        <w:t>Scott Atkins</w:t>
      </w:r>
      <w:r w:rsidRPr="00D91769">
        <w:rPr>
          <w:rFonts w:asciiTheme="majorHAnsi" w:hAnsiTheme="majorHAnsi"/>
        </w:rPr>
        <w:t xml:space="preserve"> is the Global Head of Restructuring, and Head of the Australian Risk Advisory practice</w:t>
      </w:r>
      <w:r w:rsidR="00616129" w:rsidRPr="00D91769">
        <w:rPr>
          <w:rFonts w:asciiTheme="majorHAnsi" w:hAnsiTheme="majorHAnsi"/>
        </w:rPr>
        <w:t xml:space="preserve"> at Norton Rose Fulbright</w:t>
      </w:r>
      <w:r w:rsidRPr="00D91769">
        <w:rPr>
          <w:rFonts w:asciiTheme="majorHAnsi" w:hAnsiTheme="majorHAnsi"/>
        </w:rPr>
        <w:t>. He is the immediate past Global Chair and Australian Chair.</w:t>
      </w:r>
    </w:p>
    <w:p w14:paraId="72E2FDA2" w14:textId="77777777" w:rsidR="00031C40" w:rsidRPr="00D91769" w:rsidRDefault="00031C40" w:rsidP="00031C40">
      <w:pPr>
        <w:pStyle w:val="BodyText2"/>
        <w:rPr>
          <w:rFonts w:asciiTheme="majorHAnsi" w:hAnsiTheme="majorHAnsi"/>
        </w:rPr>
      </w:pPr>
      <w:r w:rsidRPr="00D91769">
        <w:rPr>
          <w:rFonts w:asciiTheme="majorHAnsi" w:hAnsiTheme="majorHAnsi"/>
        </w:rPr>
        <w:t>In recognition of his contribution to the development of restructuring and insolvency systems globally, and his standing in the market, Scott was inducted as a Fellow of the American College of Bankruptcy in 2025 and subsequently, appointed as Honorary Professor of the University of Sydney</w:t>
      </w:r>
      <w:r w:rsidR="00D91769" w:rsidRPr="00D91769">
        <w:rPr>
          <w:rFonts w:asciiTheme="majorHAnsi" w:hAnsiTheme="majorHAnsi"/>
        </w:rPr>
        <w:t>,</w:t>
      </w:r>
      <w:r w:rsidRPr="00D91769">
        <w:rPr>
          <w:rFonts w:asciiTheme="majorHAnsi" w:hAnsiTheme="majorHAnsi"/>
        </w:rPr>
        <w:t xml:space="preserve"> School of Law. </w:t>
      </w:r>
    </w:p>
    <w:p w14:paraId="09293634" w14:textId="77777777" w:rsidR="00031C40" w:rsidRPr="00D91769" w:rsidRDefault="00031C40" w:rsidP="00031C40">
      <w:pPr>
        <w:pStyle w:val="BodyText2"/>
        <w:rPr>
          <w:rFonts w:asciiTheme="majorHAnsi" w:hAnsiTheme="majorHAnsi"/>
        </w:rPr>
      </w:pPr>
      <w:r w:rsidRPr="00D91769">
        <w:rPr>
          <w:rFonts w:asciiTheme="majorHAnsi" w:hAnsiTheme="majorHAnsi"/>
        </w:rPr>
        <w:t xml:space="preserve">Scott is Past President </w:t>
      </w:r>
      <w:r w:rsidR="00D91769" w:rsidRPr="00D91769">
        <w:rPr>
          <w:rFonts w:asciiTheme="majorHAnsi" w:hAnsiTheme="majorHAnsi"/>
        </w:rPr>
        <w:t xml:space="preserve">(2021-2024) </w:t>
      </w:r>
      <w:r w:rsidRPr="00D91769">
        <w:rPr>
          <w:rFonts w:asciiTheme="majorHAnsi" w:hAnsiTheme="majorHAnsi"/>
        </w:rPr>
        <w:t xml:space="preserve">and </w:t>
      </w:r>
      <w:r w:rsidR="00D91769" w:rsidRPr="00D91769">
        <w:rPr>
          <w:rFonts w:asciiTheme="majorHAnsi" w:hAnsiTheme="majorHAnsi"/>
        </w:rPr>
        <w:t xml:space="preserve">a </w:t>
      </w:r>
      <w:r w:rsidRPr="00D91769">
        <w:rPr>
          <w:rFonts w:asciiTheme="majorHAnsi" w:hAnsiTheme="majorHAnsi"/>
        </w:rPr>
        <w:t>Fellow of INSOL International, and a Life Member and Fellow of the Australian Restructuring Insolvency and Turnaround Association. He served as ARITA’s President from 2019 to 2021. He is an active member of both the International Insolvency Institute and The World Bank’s Insolvency and Creditor / Debtor Initiative.</w:t>
      </w:r>
    </w:p>
    <w:p w14:paraId="0D11103B" w14:textId="77777777" w:rsidR="00031C40" w:rsidRPr="00D91769" w:rsidRDefault="00031C40" w:rsidP="00031C40">
      <w:pPr>
        <w:pStyle w:val="BodyText2"/>
        <w:rPr>
          <w:rFonts w:asciiTheme="majorHAnsi" w:hAnsiTheme="majorHAnsi"/>
        </w:rPr>
      </w:pPr>
      <w:r w:rsidRPr="00D91769">
        <w:rPr>
          <w:rFonts w:asciiTheme="majorHAnsi" w:hAnsiTheme="majorHAnsi"/>
        </w:rPr>
        <w:t>Scott is Australia’s Delegate on appointment by the Attorney-General to the United Nations Commission on International Trade Law’s Working Group V (Insolvency). Currently, Scott is leading a successful proposal from the Australian delegation on the preparation of a revised Guide to Enactment for the UNCITRAL Model Law on Cross-Border Insolvency.</w:t>
      </w:r>
    </w:p>
    <w:p w14:paraId="62A868C5" w14:textId="77777777" w:rsidR="00031C40" w:rsidRPr="00D91769" w:rsidRDefault="00031C40" w:rsidP="00D91769">
      <w:pPr>
        <w:pStyle w:val="BodyText2"/>
        <w:rPr>
          <w:rFonts w:asciiTheme="majorHAnsi" w:hAnsiTheme="majorHAnsi"/>
        </w:rPr>
      </w:pPr>
      <w:r w:rsidRPr="00D91769">
        <w:rPr>
          <w:rFonts w:asciiTheme="majorHAnsi" w:hAnsiTheme="majorHAnsi"/>
        </w:rPr>
        <w:t>Recognised as an Eminent Practitioner in restructuring and insolvency by Chambers &amp; Partners, Scott has deep industry knowledge and experience, developed over three decades in practice.</w:t>
      </w:r>
      <w:r w:rsidR="00D91769" w:rsidRPr="00D91769">
        <w:rPr>
          <w:rFonts w:asciiTheme="majorHAnsi" w:hAnsiTheme="majorHAnsi"/>
        </w:rPr>
        <w:t xml:space="preserve"> </w:t>
      </w:r>
      <w:r w:rsidRPr="00D91769">
        <w:rPr>
          <w:rFonts w:asciiTheme="majorHAnsi" w:hAnsiTheme="majorHAnsi"/>
        </w:rPr>
        <w:t>Scott acts on leading cross-border restructuring and insolvency mandates, debt restructuring, insolvency, bank resolution, special situations and distressed investment matters both in Australia and abroad. Scott has an extensive cross-border insolvency practice and has been involved in precedent-setting recognition and relief matters which have shaped the interpretation and application of the Model Law on Cross-Border Insolvency, and the development of cross-border judicial communication and coordination protocols.</w:t>
      </w:r>
    </w:p>
    <w:p w14:paraId="71C83663" w14:textId="77777777" w:rsidR="00031C40" w:rsidRPr="00D91769" w:rsidRDefault="00031C40" w:rsidP="00031C40">
      <w:pPr>
        <w:pStyle w:val="BodyText2"/>
        <w:rPr>
          <w:rFonts w:asciiTheme="majorHAnsi" w:hAnsiTheme="majorHAnsi"/>
        </w:rPr>
      </w:pPr>
      <w:r w:rsidRPr="00D91769">
        <w:rPr>
          <w:rFonts w:asciiTheme="majorHAnsi" w:hAnsiTheme="majorHAnsi"/>
        </w:rPr>
        <w:t xml:space="preserve">Scott has also made an enduring contribution to global insolvency reform, having led several major reconstruction and capacity building initiatives in emerging markets, including Myanmar, Armenia, Bhutan, Tajikistan, Kyrgyzstan, Brunei, Nauru and Indonesia. In these countries, Scott has helped to design and implement new insolvency laws and frameworks and devised institutional measures that have seen the introduction of more flexible restructuring alternatives, improvements in the efficiency of liquidation processes and greater uptake of insolvency mediation and out-of-court workouts. </w:t>
      </w:r>
    </w:p>
    <w:p w14:paraId="28DB7897" w14:textId="77777777" w:rsidR="00031C40" w:rsidRPr="00D91769" w:rsidRDefault="00031C40" w:rsidP="00031C40">
      <w:pPr>
        <w:pStyle w:val="BodyText2"/>
        <w:rPr>
          <w:rFonts w:asciiTheme="majorHAnsi" w:hAnsiTheme="majorHAnsi"/>
        </w:rPr>
      </w:pPr>
      <w:r w:rsidRPr="00D91769">
        <w:rPr>
          <w:rFonts w:asciiTheme="majorHAnsi" w:hAnsiTheme="majorHAnsi"/>
        </w:rPr>
        <w:t>Scott’s work in Myanmar led to the passage of the country’s first ever Insolvency Law in 2020, which included a simplified insolvency process for micro and small enterprises. This has since served as a best-practice comparator internationally and has shaped similar insolvency laws in other countries.</w:t>
      </w:r>
    </w:p>
    <w:p w14:paraId="06ADFFD1" w14:textId="77777777" w:rsidR="00031C40" w:rsidRPr="00D91769" w:rsidRDefault="00031C40" w:rsidP="00031C40">
      <w:pPr>
        <w:pStyle w:val="BodyText2"/>
        <w:rPr>
          <w:rFonts w:asciiTheme="majorHAnsi" w:hAnsiTheme="majorHAnsi"/>
        </w:rPr>
      </w:pPr>
      <w:r w:rsidRPr="00D91769">
        <w:rPr>
          <w:rFonts w:asciiTheme="majorHAnsi" w:hAnsiTheme="majorHAnsi"/>
        </w:rPr>
        <w:t>Scott serves on the International Advisory Council of the Singapore Global Restructuring Initiative and is an Advisory Board Member of the Asia Society in Australia.</w:t>
      </w:r>
    </w:p>
    <w:p w14:paraId="5C3BA8ED" w14:textId="77777777" w:rsidR="00031C40" w:rsidRPr="00D91769" w:rsidRDefault="00031C40" w:rsidP="00031C40">
      <w:pPr>
        <w:pStyle w:val="BodyText2"/>
        <w:pBdr>
          <w:bottom w:val="single" w:sz="6" w:space="1" w:color="auto"/>
        </w:pBdr>
        <w:rPr>
          <w:rFonts w:asciiTheme="majorHAnsi" w:hAnsiTheme="majorHAnsi"/>
        </w:rPr>
      </w:pPr>
      <w:r w:rsidRPr="00D91769">
        <w:rPr>
          <w:rFonts w:asciiTheme="majorHAnsi" w:hAnsiTheme="majorHAnsi"/>
        </w:rPr>
        <w:t>Scott is a widely published author, and is also a sought-after speaker for conferences, seminars, keynote addresses and industry events both in Australia and internationally.</w:t>
      </w:r>
    </w:p>
    <w:p w14:paraId="77CC682E" w14:textId="77777777" w:rsidR="002F1056" w:rsidRPr="00D91769" w:rsidRDefault="002F1056" w:rsidP="00031C40">
      <w:pPr>
        <w:pStyle w:val="BodyText2"/>
        <w:pBdr>
          <w:bottom w:val="single" w:sz="6" w:space="1" w:color="auto"/>
        </w:pBdr>
        <w:rPr>
          <w:rFonts w:asciiTheme="majorHAnsi" w:hAnsiTheme="majorHAnsi"/>
        </w:rPr>
      </w:pPr>
    </w:p>
    <w:p w14:paraId="77C5B5FA" w14:textId="77777777" w:rsidR="00BE0294" w:rsidRPr="00D91769" w:rsidRDefault="00CF72C7" w:rsidP="00031C40">
      <w:pPr>
        <w:pStyle w:val="BodyText2"/>
        <w:rPr>
          <w:rFonts w:asciiTheme="majorHAnsi" w:hAnsiTheme="majorHAnsi"/>
        </w:rPr>
      </w:pPr>
      <w:r w:rsidRPr="00D91769">
        <w:rPr>
          <w:rFonts w:asciiTheme="majorHAnsi" w:hAnsiTheme="majorHAnsi"/>
          <w:b/>
          <w:bCs/>
        </w:rPr>
        <w:t>Harry</w:t>
      </w:r>
      <w:r w:rsidRPr="00D91769">
        <w:rPr>
          <w:rFonts w:asciiTheme="majorHAnsi" w:hAnsiTheme="majorHAnsi"/>
        </w:rPr>
        <w:t xml:space="preserve"> </w:t>
      </w:r>
      <w:r w:rsidR="00031C40" w:rsidRPr="00D91769">
        <w:rPr>
          <w:rFonts w:asciiTheme="majorHAnsi" w:hAnsiTheme="majorHAnsi"/>
          <w:b/>
          <w:bCs/>
        </w:rPr>
        <w:t>Lawless</w:t>
      </w:r>
      <w:r w:rsidR="00031C40" w:rsidRPr="00D91769">
        <w:rPr>
          <w:rFonts w:asciiTheme="majorHAnsi" w:hAnsiTheme="majorHAnsi"/>
        </w:rPr>
        <w:t xml:space="preserve"> </w:t>
      </w:r>
      <w:r w:rsidRPr="00D91769">
        <w:rPr>
          <w:rFonts w:asciiTheme="majorHAnsi" w:hAnsiTheme="majorHAnsi"/>
        </w:rPr>
        <w:t xml:space="preserve">is a Senior Associate at </w:t>
      </w:r>
      <w:r w:rsidR="00152DAF" w:rsidRPr="00D91769">
        <w:rPr>
          <w:rFonts w:asciiTheme="majorHAnsi" w:hAnsiTheme="majorHAnsi"/>
        </w:rPr>
        <w:t>Norton Rose Fulbright</w:t>
      </w:r>
      <w:r w:rsidRPr="00D91769">
        <w:rPr>
          <w:rFonts w:asciiTheme="majorHAnsi" w:hAnsiTheme="majorHAnsi"/>
        </w:rPr>
        <w:t xml:space="preserve"> specialising in corporate insolvency law. He spent four years working with the World Bank’s Insolvency and Debt Resolution Team, advising on insolvency law reform in over twenty countries primarily in the Asia-Pacific and Africa. He is a</w:t>
      </w:r>
      <w:r w:rsidR="006B52F1" w:rsidRPr="00D91769">
        <w:rPr>
          <w:rFonts w:asciiTheme="majorHAnsi" w:hAnsiTheme="majorHAnsi"/>
        </w:rPr>
        <w:t>lso</w:t>
      </w:r>
      <w:r w:rsidR="00847693" w:rsidRPr="00D91769">
        <w:rPr>
          <w:rFonts w:asciiTheme="majorHAnsi" w:hAnsiTheme="majorHAnsi"/>
        </w:rPr>
        <w:t xml:space="preserve"> a</w:t>
      </w:r>
      <w:r w:rsidRPr="00D91769">
        <w:rPr>
          <w:rFonts w:asciiTheme="majorHAnsi" w:hAnsiTheme="majorHAnsi"/>
        </w:rPr>
        <w:t xml:space="preserve"> lecturer on corporate insolvency law at the University of Sydney</w:t>
      </w:r>
      <w:r w:rsidR="00FF3EE0" w:rsidRPr="00D91769">
        <w:rPr>
          <w:rFonts w:asciiTheme="majorHAnsi" w:hAnsiTheme="majorHAnsi"/>
        </w:rPr>
        <w:t xml:space="preserve"> and is admitted to the New York Bar. </w:t>
      </w:r>
    </w:p>
    <w:p w14:paraId="76E32F07" w14:textId="77777777" w:rsidR="002F1056" w:rsidRPr="00D91769" w:rsidRDefault="002F1056" w:rsidP="00031C40">
      <w:pPr>
        <w:pStyle w:val="BodyText2"/>
        <w:rPr>
          <w:rFonts w:asciiTheme="majorHAnsi" w:hAnsiTheme="majorHAnsi"/>
        </w:rPr>
      </w:pPr>
    </w:p>
    <w:sectPr w:rsidR="002F1056" w:rsidRPr="00D91769">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134" w:left="1701" w:header="68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E8FC" w14:textId="77777777" w:rsidR="00F3395F" w:rsidRDefault="00F3395F">
      <w:r>
        <w:separator/>
      </w:r>
    </w:p>
  </w:endnote>
  <w:endnote w:type="continuationSeparator" w:id="0">
    <w:p w14:paraId="6E34F7AC" w14:textId="77777777" w:rsidR="00F3395F" w:rsidRDefault="00F3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14C2" w14:textId="77777777" w:rsidR="006E2F09" w:rsidRDefault="006E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4F5F" w14:textId="77777777" w:rsidR="006E2F09" w:rsidRDefault="006E2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1447" w14:textId="77777777" w:rsidR="006E2F09" w:rsidRDefault="006E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384A" w14:textId="77777777" w:rsidR="00F3395F" w:rsidRDefault="00F3395F">
      <w:r>
        <w:separator/>
      </w:r>
    </w:p>
  </w:footnote>
  <w:footnote w:type="continuationSeparator" w:id="0">
    <w:p w14:paraId="580760F9" w14:textId="77777777" w:rsidR="00F3395F" w:rsidRDefault="00F3395F">
      <w:r>
        <w:continuationSeparator/>
      </w:r>
    </w:p>
  </w:footnote>
  <w:footnote w:id="1">
    <w:p w14:paraId="01E57E65" w14:textId="77777777" w:rsidR="004C4ADB" w:rsidRPr="0016045A" w:rsidRDefault="004C4ADB" w:rsidP="004C4ADB">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C81551" w:rsidRPr="0016045A">
        <w:rPr>
          <w:rFonts w:asciiTheme="majorHAnsi" w:hAnsiTheme="majorHAnsi"/>
          <w:sz w:val="16"/>
          <w:szCs w:val="16"/>
        </w:rPr>
        <w:t xml:space="preserve">Author details are annexed. </w:t>
      </w:r>
      <w:r w:rsidRPr="0016045A">
        <w:rPr>
          <w:rFonts w:asciiTheme="majorHAnsi" w:hAnsiTheme="majorHAnsi"/>
          <w:sz w:val="16"/>
          <w:szCs w:val="16"/>
        </w:rPr>
        <w:t xml:space="preserve">This submission contains the personal views of the </w:t>
      </w:r>
      <w:proofErr w:type="gramStart"/>
      <w:r w:rsidRPr="0016045A">
        <w:rPr>
          <w:rFonts w:asciiTheme="majorHAnsi" w:hAnsiTheme="majorHAnsi"/>
          <w:sz w:val="16"/>
          <w:szCs w:val="16"/>
        </w:rPr>
        <w:t>authors</w:t>
      </w:r>
      <w:proofErr w:type="gramEnd"/>
      <w:r w:rsidRPr="0016045A">
        <w:rPr>
          <w:rFonts w:asciiTheme="majorHAnsi" w:hAnsiTheme="majorHAnsi"/>
          <w:sz w:val="16"/>
          <w:szCs w:val="16"/>
        </w:rPr>
        <w:t xml:space="preserve"> and </w:t>
      </w:r>
      <w:r w:rsidR="00007635" w:rsidRPr="0016045A">
        <w:rPr>
          <w:rFonts w:asciiTheme="majorHAnsi" w:hAnsiTheme="majorHAnsi"/>
          <w:sz w:val="16"/>
          <w:szCs w:val="16"/>
        </w:rPr>
        <w:t xml:space="preserve">they </w:t>
      </w:r>
      <w:r w:rsidRPr="0016045A">
        <w:rPr>
          <w:rFonts w:asciiTheme="majorHAnsi" w:hAnsiTheme="majorHAnsi"/>
          <w:sz w:val="16"/>
          <w:szCs w:val="16"/>
        </w:rPr>
        <w:t xml:space="preserve">do not necessarily reflect the views and opinions of Norton Rose Fulbright. </w:t>
      </w:r>
    </w:p>
  </w:footnote>
  <w:footnote w:id="2">
    <w:p w14:paraId="5C2E9965" w14:textId="77777777" w:rsidR="00665FEB" w:rsidRPr="0016045A" w:rsidRDefault="00665FEB">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Hon Dr Andrew Leigh MP, ‘</w:t>
      </w:r>
      <w:r w:rsidR="00E97046" w:rsidRPr="0016045A">
        <w:rPr>
          <w:rFonts w:asciiTheme="majorHAnsi" w:hAnsiTheme="majorHAnsi"/>
          <w:sz w:val="16"/>
          <w:szCs w:val="16"/>
        </w:rPr>
        <w:t>Credit</w:t>
      </w:r>
      <w:r w:rsidRPr="0016045A">
        <w:rPr>
          <w:rFonts w:asciiTheme="majorHAnsi" w:hAnsiTheme="majorHAnsi"/>
          <w:sz w:val="16"/>
          <w:szCs w:val="16"/>
        </w:rPr>
        <w:t xml:space="preserve"> where it’s due: insolvency, trust and economic dynamism’ (Address to the Australian Restructuring Insolvency and Turnaround Association National Conference, 19 June 2026). Available at: </w:t>
      </w:r>
      <w:hyperlink r:id="rId1" w:history="1">
        <w:r w:rsidRPr="0016045A">
          <w:rPr>
            <w:rStyle w:val="Hyperlink"/>
            <w:rFonts w:asciiTheme="majorHAnsi" w:hAnsiTheme="majorHAnsi"/>
            <w:sz w:val="16"/>
            <w:szCs w:val="16"/>
          </w:rPr>
          <w:t>https://ministers.treasury.gov.au/ministers/andrew-leigh-2025/speeches/address-australian-restructuring-insolvency-and-turnaround</w:t>
        </w:r>
      </w:hyperlink>
      <w:r w:rsidRPr="0016045A">
        <w:rPr>
          <w:rFonts w:asciiTheme="majorHAnsi" w:hAnsiTheme="majorHAnsi"/>
          <w:sz w:val="16"/>
          <w:szCs w:val="16"/>
        </w:rPr>
        <w:t xml:space="preserve">  </w:t>
      </w:r>
    </w:p>
  </w:footnote>
  <w:footnote w:id="3">
    <w:p w14:paraId="02BF9416" w14:textId="77777777" w:rsidR="00E00673" w:rsidRPr="0016045A" w:rsidRDefault="00E0067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D91C13" w:rsidRPr="0016045A">
        <w:rPr>
          <w:rFonts w:asciiTheme="majorHAnsi" w:hAnsiTheme="majorHAnsi"/>
          <w:sz w:val="16"/>
          <w:szCs w:val="16"/>
        </w:rPr>
        <w:t xml:space="preserve">The ‘Harmer Report’ which is referred to </w:t>
      </w:r>
      <w:r w:rsidR="00D51688" w:rsidRPr="0016045A">
        <w:rPr>
          <w:rFonts w:asciiTheme="majorHAnsi" w:hAnsiTheme="majorHAnsi"/>
          <w:sz w:val="16"/>
          <w:szCs w:val="16"/>
        </w:rPr>
        <w:t>throughout</w:t>
      </w:r>
      <w:r w:rsidR="00D91C13" w:rsidRPr="0016045A">
        <w:rPr>
          <w:rFonts w:asciiTheme="majorHAnsi" w:hAnsiTheme="majorHAnsi"/>
          <w:sz w:val="16"/>
          <w:szCs w:val="16"/>
        </w:rPr>
        <w:t xml:space="preserve"> this </w:t>
      </w:r>
      <w:proofErr w:type="gramStart"/>
      <w:r w:rsidR="00D91C13" w:rsidRPr="0016045A">
        <w:rPr>
          <w:rFonts w:asciiTheme="majorHAnsi" w:hAnsiTheme="majorHAnsi"/>
          <w:sz w:val="16"/>
          <w:szCs w:val="16"/>
        </w:rPr>
        <w:t>submission</w:t>
      </w:r>
      <w:proofErr w:type="gramEnd"/>
      <w:r w:rsidR="00D91C13" w:rsidRPr="0016045A">
        <w:rPr>
          <w:rFonts w:asciiTheme="majorHAnsi" w:hAnsiTheme="majorHAnsi"/>
          <w:sz w:val="16"/>
          <w:szCs w:val="16"/>
        </w:rPr>
        <w:t xml:space="preserve"> </w:t>
      </w:r>
      <w:r w:rsidR="00D51688" w:rsidRPr="0016045A">
        <w:rPr>
          <w:rFonts w:asciiTheme="majorHAnsi" w:hAnsiTheme="majorHAnsi"/>
          <w:sz w:val="16"/>
          <w:szCs w:val="16"/>
        </w:rPr>
        <w:t xml:space="preserve">and which was the genesis of our modern national corporate insolvency law contained in the Corporations Act 2001, </w:t>
      </w:r>
      <w:r w:rsidR="00D91C13" w:rsidRPr="0016045A">
        <w:rPr>
          <w:rFonts w:asciiTheme="majorHAnsi" w:hAnsiTheme="majorHAnsi"/>
          <w:sz w:val="16"/>
          <w:szCs w:val="16"/>
        </w:rPr>
        <w:t xml:space="preserve">was authored in 1988. </w:t>
      </w:r>
      <w:r w:rsidR="000320A9" w:rsidRPr="0016045A">
        <w:rPr>
          <w:rFonts w:asciiTheme="majorHAnsi" w:hAnsiTheme="majorHAnsi"/>
          <w:sz w:val="16"/>
          <w:szCs w:val="16"/>
        </w:rPr>
        <w:t xml:space="preserve">There have been various piecemeal reviews and reforms since then. </w:t>
      </w:r>
      <w:r w:rsidR="00D91C13" w:rsidRPr="0016045A">
        <w:rPr>
          <w:rFonts w:asciiTheme="majorHAnsi" w:hAnsiTheme="majorHAnsi"/>
          <w:sz w:val="16"/>
          <w:szCs w:val="16"/>
        </w:rPr>
        <w:t>Australian universities first gained access to the internet in 1989.</w:t>
      </w:r>
      <w:r w:rsidR="00D51688" w:rsidRPr="0016045A">
        <w:rPr>
          <w:rFonts w:asciiTheme="majorHAnsi" w:hAnsiTheme="majorHAnsi"/>
          <w:sz w:val="16"/>
          <w:szCs w:val="16"/>
        </w:rPr>
        <w:t xml:space="preserve"> </w:t>
      </w:r>
      <w:r w:rsidR="00C06F62" w:rsidRPr="0016045A">
        <w:rPr>
          <w:rFonts w:asciiTheme="majorHAnsi" w:hAnsiTheme="majorHAnsi"/>
          <w:sz w:val="16"/>
          <w:szCs w:val="16"/>
        </w:rPr>
        <w:t>The Harmer Report</w:t>
      </w:r>
      <w:r w:rsidR="002378CC" w:rsidRPr="0016045A">
        <w:rPr>
          <w:rFonts w:asciiTheme="majorHAnsi" w:hAnsiTheme="majorHAnsi"/>
          <w:sz w:val="16"/>
          <w:szCs w:val="16"/>
        </w:rPr>
        <w:t xml:space="preserve">: </w:t>
      </w:r>
      <w:r w:rsidR="00D51688" w:rsidRPr="0016045A">
        <w:rPr>
          <w:rFonts w:asciiTheme="majorHAnsi" w:hAnsiTheme="majorHAnsi"/>
          <w:sz w:val="16"/>
          <w:szCs w:val="16"/>
        </w:rPr>
        <w:t xml:space="preserve">Australian Law Reform Commission, ‘General Insolvency Inquiry’, Report No. 45 (1988), available at: </w:t>
      </w:r>
      <w:hyperlink r:id="rId2" w:history="1">
        <w:r w:rsidR="00D51688" w:rsidRPr="0016045A">
          <w:rPr>
            <w:rStyle w:val="Hyperlink"/>
            <w:rFonts w:asciiTheme="majorHAnsi" w:hAnsiTheme="majorHAnsi"/>
            <w:sz w:val="16"/>
            <w:szCs w:val="16"/>
          </w:rPr>
          <w:t>https://www.austlii.edu.au/au/other/lawreform/ALRC/1988/45.pdf?__cf_chl_f_tk=BYXv1isoIhSwVRQtp3h1NR8yKoLN9IqSX62nhnVHh6Y-1782789072-1.0.1.1-ncw_IDKWYamIH10CsHYyQuIiNGD4i2uX.tbhhfM861o</w:t>
        </w:r>
      </w:hyperlink>
    </w:p>
  </w:footnote>
  <w:footnote w:id="4">
    <w:p w14:paraId="0AA0B2B0" w14:textId="77777777" w:rsidR="006621E5" w:rsidRPr="0016045A" w:rsidRDefault="006621E5">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See, for example: World Bank, World Development Report 2022 (chapter 3)</w:t>
      </w:r>
      <w:r w:rsidR="00472D40" w:rsidRPr="0016045A">
        <w:rPr>
          <w:rFonts w:asciiTheme="majorHAnsi" w:hAnsiTheme="majorHAnsi"/>
          <w:sz w:val="16"/>
          <w:szCs w:val="16"/>
        </w:rPr>
        <w:t xml:space="preserve">, available at: </w:t>
      </w:r>
      <w:hyperlink r:id="rId3" w:history="1">
        <w:r w:rsidR="00110996" w:rsidRPr="0016045A">
          <w:rPr>
            <w:rStyle w:val="Hyperlink"/>
            <w:rFonts w:asciiTheme="majorHAnsi" w:hAnsiTheme="majorHAnsi"/>
            <w:sz w:val="16"/>
            <w:szCs w:val="16"/>
          </w:rPr>
          <w:t>https://www.worldbank.org/en/publication/wdr2022</w:t>
        </w:r>
      </w:hyperlink>
      <w:r w:rsidR="00110996" w:rsidRPr="0016045A">
        <w:rPr>
          <w:rFonts w:asciiTheme="majorHAnsi" w:hAnsiTheme="majorHAnsi"/>
          <w:sz w:val="16"/>
          <w:szCs w:val="16"/>
        </w:rPr>
        <w:t xml:space="preserve"> </w:t>
      </w:r>
    </w:p>
  </w:footnote>
  <w:footnote w:id="5">
    <w:p w14:paraId="51F3C13C" w14:textId="77777777" w:rsidR="003B1410" w:rsidRPr="0016045A" w:rsidRDefault="003B1410" w:rsidP="003B1410">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World Bank, Andres F Martinez, Aurelio Gurrea-Martinez and Harish Natarajan, “The Crucial Role of Insolvency Law in Job Creation and Preservation”, 1 July 2025, available at: https://blogs.worldbank.org/en/psd/the-crucial-role-of-insolvency-law-in-job-creation-and-preservat</w:t>
      </w:r>
    </w:p>
  </w:footnote>
  <w:footnote w:id="6">
    <w:p w14:paraId="0181FEA5" w14:textId="77777777" w:rsidR="0016045A" w:rsidRPr="0016045A" w:rsidRDefault="0016045A" w:rsidP="0016045A">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Pr="0016045A">
        <w:rPr>
          <w:rFonts w:asciiTheme="majorHAnsi" w:hAnsiTheme="majorHAnsi" w:cs="Arial"/>
          <w:sz w:val="16"/>
          <w:szCs w:val="16"/>
        </w:rPr>
        <w:t xml:space="preserve">OECD, Muge Adalet McGowan and Dan Andrews, “Insolvency Regimes and Productivity Growth: A Framework for Analysis”, OECD Economics Department Working Papers No 1309, July 2016, available at: </w:t>
      </w:r>
      <w:hyperlink r:id="rId4" w:history="1">
        <w:r w:rsidRPr="0016045A">
          <w:rPr>
            <w:rStyle w:val="Hyperlink"/>
            <w:rFonts w:asciiTheme="majorHAnsi" w:hAnsiTheme="majorHAnsi" w:cs="Arial"/>
            <w:sz w:val="16"/>
            <w:szCs w:val="16"/>
          </w:rPr>
          <w:t>https://www.oecd.org/en/publications/insolvency-regimes-and-productivity-growth_5jlv2jqhxgq6-en.html</w:t>
        </w:r>
      </w:hyperlink>
      <w:r w:rsidRPr="0016045A">
        <w:rPr>
          <w:rFonts w:asciiTheme="majorHAnsi" w:hAnsiTheme="majorHAnsi" w:cs="Arial"/>
          <w:sz w:val="16"/>
          <w:szCs w:val="16"/>
        </w:rPr>
        <w:t>.</w:t>
      </w:r>
    </w:p>
  </w:footnote>
  <w:footnote w:id="7">
    <w:p w14:paraId="7312A8ED" w14:textId="77777777" w:rsidR="0016045A" w:rsidRPr="0016045A" w:rsidRDefault="0016045A" w:rsidP="0016045A">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Asian Development Bank, ‘Zombies, Insolvency Reform and Misallocation of Capital’ (June 2026). Available at: https://www.adb.org/sites/default/files/publication/1149926/ewp-849-zombies-insolvency-reform-misallocation.pdf</w:t>
      </w:r>
    </w:p>
  </w:footnote>
  <w:footnote w:id="8">
    <w:p w14:paraId="009ABBD0" w14:textId="77777777" w:rsidR="00E92875" w:rsidRPr="0016045A" w:rsidRDefault="00E92875">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C20D00" w:rsidRPr="0016045A">
        <w:rPr>
          <w:rFonts w:asciiTheme="majorHAnsi" w:hAnsiTheme="majorHAnsi"/>
          <w:sz w:val="16"/>
          <w:szCs w:val="16"/>
        </w:rPr>
        <w:t xml:space="preserve">This is a slightly </w:t>
      </w:r>
      <w:r w:rsidR="00AE45A7" w:rsidRPr="0016045A">
        <w:rPr>
          <w:rFonts w:asciiTheme="majorHAnsi" w:hAnsiTheme="majorHAnsi"/>
          <w:sz w:val="16"/>
          <w:szCs w:val="16"/>
        </w:rPr>
        <w:t>abridged</w:t>
      </w:r>
      <w:r w:rsidR="00C20D00" w:rsidRPr="0016045A">
        <w:rPr>
          <w:rFonts w:asciiTheme="majorHAnsi" w:hAnsiTheme="majorHAnsi"/>
          <w:sz w:val="16"/>
          <w:szCs w:val="16"/>
        </w:rPr>
        <w:t xml:space="preserve"> version of the full statement of objects. </w:t>
      </w:r>
      <w:r w:rsidRPr="0016045A">
        <w:rPr>
          <w:rFonts w:asciiTheme="majorHAnsi" w:hAnsiTheme="majorHAnsi"/>
          <w:sz w:val="16"/>
          <w:szCs w:val="16"/>
        </w:rPr>
        <w:t xml:space="preserve">Corporations Act s 435A. </w:t>
      </w:r>
    </w:p>
  </w:footnote>
  <w:footnote w:id="9">
    <w:p w14:paraId="4B23D442" w14:textId="77777777" w:rsidR="00CE3A0D" w:rsidRPr="0016045A" w:rsidRDefault="00CE3A0D">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792E9A" w:rsidRPr="0016045A">
        <w:rPr>
          <w:rFonts w:asciiTheme="majorHAnsi" w:hAnsiTheme="majorHAnsi"/>
          <w:sz w:val="16"/>
          <w:szCs w:val="16"/>
        </w:rPr>
        <w:t xml:space="preserve">This is a slightly abridged version of the full statement of objects. </w:t>
      </w:r>
      <w:r w:rsidRPr="0016045A">
        <w:rPr>
          <w:rFonts w:asciiTheme="majorHAnsi" w:hAnsiTheme="majorHAnsi"/>
          <w:sz w:val="16"/>
          <w:szCs w:val="16"/>
        </w:rPr>
        <w:t xml:space="preserve">Corporations Act s 452A. </w:t>
      </w:r>
      <w:r w:rsidRPr="0016045A">
        <w:rPr>
          <w:rFonts w:asciiTheme="majorHAnsi" w:hAnsiTheme="majorHAnsi"/>
          <w:sz w:val="16"/>
          <w:szCs w:val="16"/>
        </w:rPr>
        <w:tab/>
      </w:r>
    </w:p>
  </w:footnote>
  <w:footnote w:id="10">
    <w:p w14:paraId="3892BC93" w14:textId="77777777" w:rsidR="00CC1613" w:rsidRPr="0016045A" w:rsidRDefault="00CC161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Parliamentary Joint Committee on Corporations and Financial Services, ‘Corporate Insolvency in Australia’ (2023), pp. 27-35. Available at: </w:t>
      </w:r>
      <w:hyperlink r:id="rId5" w:history="1">
        <w:r w:rsidRPr="0016045A">
          <w:rPr>
            <w:rStyle w:val="Hyperlink"/>
            <w:rFonts w:asciiTheme="majorHAnsi" w:hAnsiTheme="majorHAnsi"/>
            <w:sz w:val="16"/>
            <w:szCs w:val="16"/>
          </w:rPr>
          <w:t>https://www.aph.gov.au/Parliamentary_Business/Committees/Joint/Corporations_and_Financial_Services/CorporateInsolvency/Report</w:t>
        </w:r>
      </w:hyperlink>
      <w:r w:rsidRPr="0016045A">
        <w:rPr>
          <w:rFonts w:asciiTheme="majorHAnsi" w:hAnsiTheme="majorHAnsi"/>
          <w:sz w:val="16"/>
          <w:szCs w:val="16"/>
        </w:rPr>
        <w:t xml:space="preserve"> </w:t>
      </w:r>
    </w:p>
  </w:footnote>
  <w:footnote w:id="11">
    <w:p w14:paraId="7059151D" w14:textId="77777777" w:rsidR="00A02176" w:rsidRPr="0016045A" w:rsidRDefault="00A02176" w:rsidP="005C2E76">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Minister’s second reading speech</w:t>
      </w:r>
      <w:r w:rsidR="005C2E76" w:rsidRPr="0016045A">
        <w:rPr>
          <w:rFonts w:asciiTheme="majorHAnsi" w:hAnsiTheme="majorHAnsi"/>
          <w:sz w:val="16"/>
          <w:szCs w:val="16"/>
        </w:rPr>
        <w:t>, Treasury Laws Amendment (2017 Enterprise Incentives No. 2) Bill 2017, Thursday, 1 June 2017, p 6011</w:t>
      </w:r>
      <w:r w:rsidR="0025694B" w:rsidRPr="0016045A">
        <w:rPr>
          <w:rFonts w:asciiTheme="majorHAnsi" w:hAnsiTheme="majorHAnsi"/>
          <w:sz w:val="16"/>
          <w:szCs w:val="16"/>
        </w:rPr>
        <w:t>.</w:t>
      </w:r>
    </w:p>
  </w:footnote>
  <w:footnote w:id="12">
    <w:p w14:paraId="248BDED7" w14:textId="77777777" w:rsidR="00691B62" w:rsidRPr="0016045A" w:rsidRDefault="00691B62">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Minister’s second reading speech, Corporations Amendment (Corporate Insolvency Reforms) Bill 2020, 12 November 2020, p 9631. </w:t>
      </w:r>
    </w:p>
  </w:footnote>
  <w:footnote w:id="13">
    <w:p w14:paraId="24F0A7C3" w14:textId="77777777" w:rsidR="00F54A40" w:rsidRPr="0016045A" w:rsidRDefault="00F54A40">
      <w:pPr>
        <w:pStyle w:val="FootnoteText"/>
        <w:rPr>
          <w:rFonts w:asciiTheme="majorHAnsi" w:hAnsiTheme="majorHAnsi"/>
          <w:i/>
          <w:iCs/>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AC1990" w:rsidRPr="0016045A">
        <w:rPr>
          <w:rFonts w:asciiTheme="majorHAnsi" w:hAnsiTheme="majorHAnsi"/>
          <w:sz w:val="16"/>
          <w:szCs w:val="16"/>
        </w:rPr>
        <w:t xml:space="preserve">Nathalie Martin, “The Role of History and Culture in Developing Bankruptcy and Insolvency Systems: The Perils of Legal Transplantation” (2005), cited in Edelman, Meehan and Cheung, ‘The evolution of bankruptcy and insolvency laws and the case of the deed of company arrangement’ </w:t>
      </w:r>
      <w:r w:rsidR="00173C6B" w:rsidRPr="0016045A">
        <w:rPr>
          <w:rFonts w:asciiTheme="majorHAnsi" w:hAnsiTheme="majorHAnsi"/>
          <w:sz w:val="16"/>
          <w:szCs w:val="16"/>
        </w:rPr>
        <w:t xml:space="preserve">(2019). Available at: </w:t>
      </w:r>
      <w:hyperlink r:id="rId6" w:history="1">
        <w:r w:rsidR="00173C6B" w:rsidRPr="0016045A">
          <w:rPr>
            <w:rStyle w:val="Hyperlink"/>
            <w:rFonts w:asciiTheme="majorHAnsi" w:hAnsiTheme="majorHAnsi"/>
            <w:sz w:val="16"/>
            <w:szCs w:val="16"/>
          </w:rPr>
          <w:t>https://www.hcourt.gov.au/sites/default/files/assets/publications/speeches/current-justices/edelmanj/EdelmanJ14Jan2019.pdf</w:t>
        </w:r>
      </w:hyperlink>
      <w:r w:rsidR="00173C6B" w:rsidRPr="0016045A">
        <w:rPr>
          <w:rFonts w:asciiTheme="majorHAnsi" w:hAnsiTheme="majorHAnsi"/>
          <w:sz w:val="16"/>
          <w:szCs w:val="16"/>
        </w:rPr>
        <w:t xml:space="preserve"> </w:t>
      </w:r>
    </w:p>
  </w:footnote>
  <w:footnote w:id="14">
    <w:p w14:paraId="3F60AC85"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For example, s 89 of the </w:t>
      </w:r>
      <w:r w:rsidRPr="0016045A">
        <w:rPr>
          <w:rFonts w:asciiTheme="majorHAnsi" w:hAnsiTheme="majorHAnsi"/>
          <w:i/>
          <w:iCs/>
          <w:sz w:val="16"/>
          <w:szCs w:val="16"/>
        </w:rPr>
        <w:t>Insolvency, Restructuring and Dissolution Act 2018</w:t>
      </w:r>
      <w:r w:rsidR="0025694B" w:rsidRPr="0016045A">
        <w:rPr>
          <w:rFonts w:asciiTheme="majorHAnsi" w:hAnsiTheme="majorHAnsi"/>
          <w:i/>
          <w:iCs/>
          <w:sz w:val="16"/>
          <w:szCs w:val="16"/>
        </w:rPr>
        <w:t>.</w:t>
      </w:r>
    </w:p>
  </w:footnote>
  <w:footnote w:id="15">
    <w:p w14:paraId="7AC74B7F"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Pr="0016045A">
        <w:rPr>
          <w:rFonts w:asciiTheme="majorHAnsi" w:hAnsiTheme="majorHAnsi"/>
          <w:i/>
          <w:iCs/>
          <w:sz w:val="16"/>
          <w:szCs w:val="16"/>
        </w:rPr>
        <w:t xml:space="preserve">Insolvency Act 2006. </w:t>
      </w:r>
    </w:p>
  </w:footnote>
  <w:footnote w:id="16">
    <w:p w14:paraId="4AA83787"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For example, s 3 of Schedule B1 of the </w:t>
      </w:r>
      <w:r w:rsidRPr="0016045A">
        <w:rPr>
          <w:rFonts w:asciiTheme="majorHAnsi" w:hAnsiTheme="majorHAnsi"/>
          <w:i/>
          <w:iCs/>
          <w:sz w:val="16"/>
          <w:szCs w:val="16"/>
        </w:rPr>
        <w:t xml:space="preserve">Insolvency Act 1986. </w:t>
      </w:r>
      <w:r w:rsidRPr="0016045A">
        <w:rPr>
          <w:rFonts w:asciiTheme="majorHAnsi" w:hAnsiTheme="majorHAnsi"/>
          <w:sz w:val="16"/>
          <w:szCs w:val="16"/>
        </w:rPr>
        <w:t xml:space="preserve"> </w:t>
      </w:r>
    </w:p>
  </w:footnote>
  <w:footnote w:id="17">
    <w:p w14:paraId="32672191"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US Bankruptcy Code (11 USC § 362). </w:t>
      </w:r>
    </w:p>
  </w:footnote>
  <w:footnote w:id="18">
    <w:p w14:paraId="397F8441"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Bankruptcy and Insolvency Act 1985, s 267.  </w:t>
      </w:r>
    </w:p>
  </w:footnote>
  <w:footnote w:id="19">
    <w:p w14:paraId="6C017D83" w14:textId="77777777" w:rsidR="006B301D" w:rsidRPr="0016045A" w:rsidRDefault="006B301D">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Parliamentary Joint Committee on Corporations and Financial Services, ‘Corporate Insolvency in Australia’ (2023), p. 35. Available at: </w:t>
      </w:r>
      <w:hyperlink r:id="rId7" w:history="1">
        <w:r w:rsidRPr="0016045A">
          <w:rPr>
            <w:rStyle w:val="Hyperlink"/>
            <w:rFonts w:asciiTheme="majorHAnsi" w:hAnsiTheme="majorHAnsi"/>
            <w:sz w:val="16"/>
            <w:szCs w:val="16"/>
          </w:rPr>
          <w:t>https://www.aph.gov.au/Parliamentary_Business/Committees/Joint/Corporations_and_Financial_Services/CorporateInsolvency/Report</w:t>
        </w:r>
      </w:hyperlink>
    </w:p>
  </w:footnote>
  <w:footnote w:id="20">
    <w:p w14:paraId="10390ADF" w14:textId="77777777" w:rsidR="00D361E3" w:rsidRPr="0016045A" w:rsidRDefault="00D361E3" w:rsidP="00D361E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Acts Interpretation Act 1901 (</w:t>
      </w:r>
      <w:proofErr w:type="spellStart"/>
      <w:r w:rsidRPr="0016045A">
        <w:rPr>
          <w:rFonts w:asciiTheme="majorHAnsi" w:hAnsiTheme="majorHAnsi"/>
          <w:sz w:val="16"/>
          <w:szCs w:val="16"/>
        </w:rPr>
        <w:t>Cth</w:t>
      </w:r>
      <w:proofErr w:type="spellEnd"/>
      <w:r w:rsidRPr="0016045A">
        <w:rPr>
          <w:rFonts w:asciiTheme="majorHAnsi" w:hAnsiTheme="majorHAnsi"/>
          <w:sz w:val="16"/>
          <w:szCs w:val="16"/>
        </w:rPr>
        <w:t xml:space="preserve">) s 15AA. </w:t>
      </w:r>
    </w:p>
  </w:footnote>
  <w:footnote w:id="21">
    <w:p w14:paraId="7762BF49" w14:textId="619D54F9" w:rsidR="00EB3A0E" w:rsidRPr="0016045A" w:rsidRDefault="00EB3A0E">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535D97" w:rsidRPr="0016045A">
        <w:rPr>
          <w:rFonts w:asciiTheme="majorHAnsi" w:hAnsiTheme="majorHAnsi"/>
          <w:sz w:val="16"/>
          <w:szCs w:val="16"/>
        </w:rPr>
        <w:t>Australian Law Reform Commission, ‘General Insolvency Inquiry’, Report No. 45 (1988)</w:t>
      </w:r>
      <w:r w:rsidR="00535D97">
        <w:rPr>
          <w:rFonts w:asciiTheme="majorHAnsi" w:hAnsiTheme="majorHAnsi"/>
          <w:sz w:val="16"/>
          <w:szCs w:val="16"/>
        </w:rPr>
        <w:t xml:space="preserve">, </w:t>
      </w:r>
      <w:r w:rsidR="00C60C8F">
        <w:rPr>
          <w:rFonts w:asciiTheme="majorHAnsi" w:hAnsiTheme="majorHAnsi"/>
          <w:sz w:val="16"/>
          <w:szCs w:val="16"/>
        </w:rPr>
        <w:t>p</w:t>
      </w:r>
      <w:r w:rsidRPr="0016045A">
        <w:rPr>
          <w:rFonts w:asciiTheme="majorHAnsi" w:hAnsiTheme="majorHAnsi"/>
          <w:sz w:val="16"/>
          <w:szCs w:val="16"/>
        </w:rPr>
        <w:t xml:space="preserve"> 31. </w:t>
      </w:r>
    </w:p>
  </w:footnote>
  <w:footnote w:id="22">
    <w:p w14:paraId="22514F27" w14:textId="249384C5" w:rsidR="00153B28" w:rsidRPr="0016045A" w:rsidRDefault="00153B28">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Pr="0016045A">
        <w:rPr>
          <w:rFonts w:asciiTheme="majorHAnsi" w:hAnsiTheme="majorHAnsi"/>
          <w:i/>
          <w:iCs/>
          <w:sz w:val="16"/>
          <w:szCs w:val="16"/>
        </w:rPr>
        <w:t>Insolvency Act 2006</w:t>
      </w:r>
      <w:r w:rsidR="004D2779">
        <w:rPr>
          <w:rFonts w:asciiTheme="majorHAnsi" w:hAnsiTheme="majorHAnsi"/>
          <w:i/>
          <w:iCs/>
          <w:sz w:val="16"/>
          <w:szCs w:val="16"/>
        </w:rPr>
        <w:t xml:space="preserve"> </w:t>
      </w:r>
      <w:r w:rsidR="004D2779">
        <w:rPr>
          <w:rFonts w:asciiTheme="majorHAnsi" w:hAnsiTheme="majorHAnsi"/>
          <w:sz w:val="16"/>
          <w:szCs w:val="16"/>
        </w:rPr>
        <w:t>(NZ)</w:t>
      </w:r>
      <w:r w:rsidRPr="0016045A">
        <w:rPr>
          <w:rFonts w:asciiTheme="majorHAnsi" w:hAnsiTheme="majorHAnsi"/>
          <w:i/>
          <w:iCs/>
          <w:sz w:val="16"/>
          <w:szCs w:val="16"/>
        </w:rPr>
        <w:t xml:space="preserve">. </w:t>
      </w:r>
    </w:p>
  </w:footnote>
  <w:footnote w:id="23">
    <w:p w14:paraId="245659EB" w14:textId="23FC899C" w:rsidR="00865B58" w:rsidRPr="0016045A" w:rsidRDefault="00865B58">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Pr="0016045A">
        <w:rPr>
          <w:rFonts w:asciiTheme="majorHAnsi" w:hAnsiTheme="majorHAnsi"/>
          <w:i/>
          <w:iCs/>
          <w:sz w:val="16"/>
          <w:szCs w:val="16"/>
        </w:rPr>
        <w:t>Insolvency, Restructuring and Dissolution Act 2018</w:t>
      </w:r>
      <w:r w:rsidR="004D2779">
        <w:rPr>
          <w:rFonts w:asciiTheme="majorHAnsi" w:hAnsiTheme="majorHAnsi"/>
          <w:i/>
          <w:iCs/>
          <w:sz w:val="16"/>
          <w:szCs w:val="16"/>
        </w:rPr>
        <w:t xml:space="preserve"> </w:t>
      </w:r>
      <w:r w:rsidR="004D2779">
        <w:rPr>
          <w:rFonts w:asciiTheme="majorHAnsi" w:hAnsiTheme="majorHAnsi"/>
          <w:sz w:val="16"/>
          <w:szCs w:val="16"/>
        </w:rPr>
        <w:t>(Singapore)</w:t>
      </w:r>
      <w:r w:rsidRPr="0016045A">
        <w:rPr>
          <w:rFonts w:asciiTheme="majorHAnsi" w:hAnsiTheme="majorHAnsi"/>
          <w:i/>
          <w:iCs/>
          <w:sz w:val="16"/>
          <w:szCs w:val="16"/>
        </w:rPr>
        <w:t xml:space="preserve">. </w:t>
      </w:r>
    </w:p>
  </w:footnote>
  <w:footnote w:id="24">
    <w:p w14:paraId="1FC4628A" w14:textId="77777777" w:rsidR="00310BFE" w:rsidRPr="0016045A" w:rsidRDefault="00310BFE">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The Harmer Report used the word “government” since one of the issues at the time was how to divide the regulation between state and federal governments. Today, with those debates settled, the benefit would be from having one rather than two regulators.  </w:t>
      </w:r>
    </w:p>
  </w:footnote>
  <w:footnote w:id="25">
    <w:p w14:paraId="4C051DA0" w14:textId="77777777" w:rsidR="00FC3927" w:rsidRPr="0016045A" w:rsidRDefault="00FC3927">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B37E17" w:rsidRPr="0016045A">
        <w:rPr>
          <w:rFonts w:asciiTheme="majorHAnsi" w:hAnsiTheme="majorHAnsi"/>
          <w:sz w:val="16"/>
          <w:szCs w:val="16"/>
        </w:rPr>
        <w:t xml:space="preserve">Australian Law Reform Commission, ‘General Insolvency Inquiry’, Report No. 45 (1988) at p 13, available at: </w:t>
      </w:r>
      <w:hyperlink r:id="rId8" w:history="1">
        <w:r w:rsidR="00B37E17" w:rsidRPr="0016045A">
          <w:rPr>
            <w:rStyle w:val="Hyperlink"/>
            <w:rFonts w:asciiTheme="majorHAnsi" w:hAnsiTheme="majorHAnsi"/>
            <w:sz w:val="16"/>
            <w:szCs w:val="16"/>
          </w:rPr>
          <w:t>https://www.austlii.edu.au/au/other/lawreform/ALRC/1988/45.pdf?__cf_chl_f_tk=BYXv1isoIhSwVRQtp3h1NR8yKoLN9IqSX62nhnVHh6Y-1782789072-1.0.1.1-ncw_IDKWYamIH10CsHYyQuIiNGD4i2uX.tbhhfM861o</w:t>
        </w:r>
      </w:hyperlink>
      <w:r w:rsidRPr="0016045A">
        <w:rPr>
          <w:rFonts w:asciiTheme="majorHAnsi" w:hAnsiTheme="majorHAnsi"/>
          <w:sz w:val="16"/>
          <w:szCs w:val="16"/>
        </w:rPr>
        <w:t xml:space="preserve"> </w:t>
      </w:r>
    </w:p>
  </w:footnote>
  <w:footnote w:id="26">
    <w:p w14:paraId="7B4E66A0" w14:textId="77777777" w:rsidR="00D901A4" w:rsidRPr="0016045A" w:rsidRDefault="00D901A4" w:rsidP="00D901A4">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Parliamentary Joint Committee on Corporations and Financial Services, ‘Corporate Insolvency in Australia’ (2023), p. 35. Available at: </w:t>
      </w:r>
      <w:hyperlink r:id="rId9" w:history="1">
        <w:r w:rsidRPr="0016045A">
          <w:rPr>
            <w:rStyle w:val="Hyperlink"/>
            <w:rFonts w:asciiTheme="majorHAnsi" w:hAnsiTheme="majorHAnsi"/>
            <w:sz w:val="16"/>
            <w:szCs w:val="16"/>
          </w:rPr>
          <w:t>https://www.aph.gov.au/Parliamentary_Business/Committees/Joint/Corporations_and_Financial_Services/CorporateInsolvency/Report</w:t>
        </w:r>
      </w:hyperlink>
      <w:r w:rsidRPr="0016045A">
        <w:rPr>
          <w:rFonts w:asciiTheme="majorHAnsi" w:hAnsiTheme="majorHAnsi"/>
          <w:sz w:val="16"/>
          <w:szCs w:val="16"/>
        </w:rPr>
        <w:t xml:space="preserve"> </w:t>
      </w:r>
    </w:p>
  </w:footnote>
  <w:footnote w:id="27">
    <w:p w14:paraId="09C410B9" w14:textId="77777777" w:rsidR="00D61D1F" w:rsidRPr="0016045A" w:rsidRDefault="00D61D1F">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E736E8" w:rsidRPr="0016045A">
        <w:rPr>
          <w:rFonts w:asciiTheme="majorHAnsi" w:hAnsiTheme="majorHAnsi"/>
          <w:sz w:val="16"/>
          <w:szCs w:val="16"/>
        </w:rPr>
        <w:t xml:space="preserve">This </w:t>
      </w:r>
      <w:r w:rsidR="00FB53CF" w:rsidRPr="0016045A">
        <w:rPr>
          <w:rFonts w:asciiTheme="majorHAnsi" w:hAnsiTheme="majorHAnsi"/>
          <w:sz w:val="16"/>
          <w:szCs w:val="16"/>
        </w:rPr>
        <w:t>point</w:t>
      </w:r>
      <w:r w:rsidRPr="0016045A">
        <w:rPr>
          <w:rFonts w:asciiTheme="majorHAnsi" w:hAnsiTheme="majorHAnsi"/>
          <w:sz w:val="16"/>
          <w:szCs w:val="16"/>
        </w:rPr>
        <w:t xml:space="preserve"> has been persuasively made in similar terms by Michael Murray: see </w:t>
      </w:r>
      <w:r w:rsidR="00E736E8" w:rsidRPr="0016045A">
        <w:rPr>
          <w:rFonts w:asciiTheme="majorHAnsi" w:hAnsiTheme="majorHAnsi"/>
          <w:sz w:val="16"/>
          <w:szCs w:val="16"/>
        </w:rPr>
        <w:t>Michael Murray, ‘The interaction of insolvency law and market competition’ (2025) 23(9&amp;10) INSLB 75.</w:t>
      </w:r>
    </w:p>
  </w:footnote>
  <w:footnote w:id="28">
    <w:p w14:paraId="41C241C7" w14:textId="77777777" w:rsidR="00516825" w:rsidRPr="0016045A" w:rsidRDefault="00516825" w:rsidP="00516825">
      <w:pPr>
        <w:pStyle w:val="FootnoteText"/>
        <w:rPr>
          <w:rFonts w:asciiTheme="majorHAnsi" w:hAnsiTheme="majorHAnsi" w:cs="Arial"/>
          <w:sz w:val="16"/>
          <w:szCs w:val="16"/>
        </w:rPr>
      </w:pPr>
      <w:r w:rsidRPr="0016045A">
        <w:rPr>
          <w:rStyle w:val="FootnoteReference"/>
          <w:rFonts w:asciiTheme="majorHAnsi" w:hAnsiTheme="majorHAnsi" w:cs="Arial"/>
          <w:sz w:val="16"/>
          <w:szCs w:val="16"/>
        </w:rPr>
        <w:footnoteRef/>
      </w:r>
      <w:r w:rsidRPr="0016045A">
        <w:rPr>
          <w:rFonts w:asciiTheme="majorHAnsi" w:hAnsiTheme="majorHAnsi" w:cs="Arial"/>
          <w:sz w:val="16"/>
          <w:szCs w:val="16"/>
        </w:rPr>
        <w:t xml:space="preserve"> INSOL International, “Statement of Principles for a Global Approach to Multi-Creditor Workouts”, Second Edition, April 2017, available at: </w:t>
      </w:r>
      <w:hyperlink r:id="rId10" w:history="1">
        <w:r w:rsidRPr="0016045A">
          <w:rPr>
            <w:rStyle w:val="Hyperlink"/>
            <w:rFonts w:asciiTheme="majorHAnsi" w:hAnsiTheme="majorHAnsi" w:cs="Arial"/>
            <w:sz w:val="16"/>
            <w:szCs w:val="16"/>
          </w:rPr>
          <w:t>https://www.insol.org/focus-groups/financiers-group/technical-projects</w:t>
        </w:r>
      </w:hyperlink>
      <w:r w:rsidRPr="0016045A">
        <w:rPr>
          <w:rFonts w:asciiTheme="majorHAnsi" w:hAnsiTheme="majorHAnsi" w:cs="Arial"/>
          <w:sz w:val="16"/>
          <w:szCs w:val="16"/>
        </w:rPr>
        <w:t xml:space="preserve">. </w:t>
      </w:r>
    </w:p>
  </w:footnote>
  <w:footnote w:id="29">
    <w:p w14:paraId="54624E73" w14:textId="77777777" w:rsidR="00516825" w:rsidRPr="0016045A" w:rsidRDefault="00516825" w:rsidP="00516825">
      <w:pPr>
        <w:pStyle w:val="FootnoteText"/>
        <w:rPr>
          <w:rFonts w:asciiTheme="majorHAnsi" w:hAnsiTheme="majorHAnsi" w:cs="Arial"/>
          <w:sz w:val="16"/>
          <w:szCs w:val="16"/>
        </w:rPr>
      </w:pPr>
      <w:r w:rsidRPr="0016045A">
        <w:rPr>
          <w:rStyle w:val="FootnoteReference"/>
          <w:rFonts w:asciiTheme="majorHAnsi" w:hAnsiTheme="majorHAnsi" w:cs="Arial"/>
          <w:sz w:val="16"/>
          <w:szCs w:val="16"/>
        </w:rPr>
        <w:footnoteRef/>
      </w:r>
      <w:r w:rsidRPr="0016045A">
        <w:rPr>
          <w:rFonts w:asciiTheme="majorHAnsi" w:hAnsiTheme="majorHAnsi" w:cs="Arial"/>
          <w:sz w:val="16"/>
          <w:szCs w:val="16"/>
        </w:rPr>
        <w:t xml:space="preserve"> Graham Review into the Pre-Pack Administration, Insolvency Service, 16 June 2014, available at: </w:t>
      </w:r>
      <w:hyperlink r:id="rId11" w:history="1">
        <w:r w:rsidRPr="0016045A">
          <w:rPr>
            <w:rStyle w:val="Hyperlink"/>
            <w:rFonts w:asciiTheme="majorHAnsi" w:hAnsiTheme="majorHAnsi" w:cs="Arial"/>
            <w:sz w:val="16"/>
            <w:szCs w:val="16"/>
          </w:rPr>
          <w:t>https://www.gov.uk/government/publications/graham-review-into-pre-pack-administration</w:t>
        </w:r>
      </w:hyperlink>
      <w:r w:rsidRPr="0016045A">
        <w:rPr>
          <w:rFonts w:asciiTheme="majorHAnsi" w:hAnsiTheme="majorHAnsi" w:cs="Arial"/>
          <w:sz w:val="16"/>
          <w:szCs w:val="16"/>
        </w:rPr>
        <w:t xml:space="preserve">. </w:t>
      </w:r>
    </w:p>
  </w:footnote>
  <w:footnote w:id="30">
    <w:p w14:paraId="5A6885D7" w14:textId="77777777" w:rsidR="00516825" w:rsidRPr="0016045A" w:rsidRDefault="00516825" w:rsidP="00516825">
      <w:pPr>
        <w:pStyle w:val="FootnoteText"/>
        <w:rPr>
          <w:rFonts w:asciiTheme="majorHAnsi" w:hAnsiTheme="majorHAnsi" w:cs="Arial"/>
          <w:sz w:val="16"/>
          <w:szCs w:val="16"/>
        </w:rPr>
      </w:pPr>
      <w:r w:rsidRPr="0016045A">
        <w:rPr>
          <w:rStyle w:val="FootnoteReference"/>
          <w:rFonts w:asciiTheme="majorHAnsi" w:hAnsiTheme="majorHAnsi" w:cs="Arial"/>
          <w:sz w:val="16"/>
          <w:szCs w:val="16"/>
        </w:rPr>
        <w:footnoteRef/>
      </w:r>
      <w:r w:rsidRPr="0016045A">
        <w:rPr>
          <w:rFonts w:asciiTheme="majorHAnsi" w:hAnsiTheme="majorHAnsi" w:cs="Arial"/>
          <w:sz w:val="16"/>
          <w:szCs w:val="16"/>
        </w:rPr>
        <w:t xml:space="preserve"> ARITA, Policy Positions, February 2015, Policy 15-11 (Pre-Positioned Sales), available at: </w:t>
      </w:r>
      <w:hyperlink r:id="rId12" w:history="1">
        <w:r w:rsidRPr="0016045A">
          <w:rPr>
            <w:rStyle w:val="Hyperlink"/>
            <w:rFonts w:asciiTheme="majorHAnsi" w:hAnsiTheme="majorHAnsi" w:cs="Arial"/>
            <w:sz w:val="16"/>
            <w:szCs w:val="16"/>
          </w:rPr>
          <w:t>https://arita.com.au/common/Uploaded%20files/Technical/arita-policies-position-paper-february-2015-v1-0.pdf</w:t>
        </w:r>
      </w:hyperlink>
      <w:r w:rsidRPr="0016045A">
        <w:rPr>
          <w:rFonts w:asciiTheme="majorHAnsi" w:hAnsiTheme="majorHAnsi" w:cs="Arial"/>
          <w:sz w:val="16"/>
          <w:szCs w:val="16"/>
        </w:rPr>
        <w:t xml:space="preserve">. </w:t>
      </w:r>
    </w:p>
  </w:footnote>
  <w:footnote w:id="31">
    <w:p w14:paraId="76E370CE" w14:textId="77777777" w:rsidR="00516825" w:rsidRPr="0016045A" w:rsidRDefault="00516825" w:rsidP="00516825">
      <w:pPr>
        <w:pStyle w:val="FootnoteText"/>
        <w:rPr>
          <w:rFonts w:asciiTheme="majorHAnsi" w:hAnsiTheme="majorHAnsi" w:cs="Arial"/>
          <w:sz w:val="16"/>
          <w:szCs w:val="16"/>
        </w:rPr>
      </w:pPr>
      <w:r w:rsidRPr="0016045A">
        <w:rPr>
          <w:rStyle w:val="FootnoteReference"/>
          <w:rFonts w:asciiTheme="majorHAnsi" w:hAnsiTheme="majorHAnsi" w:cs="Arial"/>
          <w:sz w:val="16"/>
          <w:szCs w:val="16"/>
        </w:rPr>
        <w:footnoteRef/>
      </w:r>
      <w:r w:rsidRPr="0016045A">
        <w:rPr>
          <w:rFonts w:asciiTheme="majorHAnsi" w:hAnsiTheme="majorHAnsi" w:cs="Arial"/>
          <w:sz w:val="16"/>
          <w:szCs w:val="16"/>
        </w:rPr>
        <w:t xml:space="preserve"> Australian Government, Productivity Commission, Business Set-Up, Transfer and Closure, Final Report, 7 December 2015, 37, available at: </w:t>
      </w:r>
      <w:hyperlink r:id="rId13" w:anchor="report" w:history="1">
        <w:r w:rsidRPr="0016045A">
          <w:rPr>
            <w:rStyle w:val="Hyperlink"/>
            <w:rFonts w:asciiTheme="majorHAnsi" w:hAnsiTheme="majorHAnsi" w:cs="Arial"/>
            <w:sz w:val="16"/>
            <w:szCs w:val="16"/>
          </w:rPr>
          <w:t>https://www.pc.gov.au/inquiries/completed/business#report</w:t>
        </w:r>
      </w:hyperlink>
      <w:r w:rsidRPr="0016045A">
        <w:rPr>
          <w:rFonts w:asciiTheme="majorHAnsi" w:hAnsiTheme="majorHAnsi" w:cs="Arial"/>
          <w:sz w:val="16"/>
          <w:szCs w:val="16"/>
        </w:rPr>
        <w:t xml:space="preserve">. </w:t>
      </w:r>
    </w:p>
  </w:footnote>
  <w:footnote w:id="32">
    <w:p w14:paraId="0E6B77AA" w14:textId="77777777" w:rsidR="003027B9" w:rsidRPr="0016045A" w:rsidRDefault="003027B9">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w:t>
      </w:r>
      <w:r w:rsidR="00AA33F8" w:rsidRPr="0016045A">
        <w:rPr>
          <w:rFonts w:asciiTheme="majorHAnsi" w:hAnsiTheme="majorHAnsi"/>
          <w:sz w:val="16"/>
          <w:szCs w:val="16"/>
        </w:rPr>
        <w:t>c</w:t>
      </w:r>
      <w:r w:rsidRPr="0016045A">
        <w:rPr>
          <w:rFonts w:asciiTheme="majorHAnsi" w:hAnsiTheme="majorHAnsi"/>
          <w:sz w:val="16"/>
          <w:szCs w:val="16"/>
        </w:rPr>
        <w:t xml:space="preserve">t s 588FDB. </w:t>
      </w:r>
    </w:p>
  </w:footnote>
  <w:footnote w:id="33">
    <w:p w14:paraId="4BDA6CBB" w14:textId="77777777" w:rsidR="009C4D95" w:rsidRPr="0016045A" w:rsidRDefault="009C4D95">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There are various timing rules, this is just the simplest example: Corporations Act s 588FE(6</w:t>
      </w:r>
      <w:proofErr w:type="gramStart"/>
      <w:r w:rsidRPr="0016045A">
        <w:rPr>
          <w:rFonts w:asciiTheme="majorHAnsi" w:hAnsiTheme="majorHAnsi"/>
          <w:sz w:val="16"/>
          <w:szCs w:val="16"/>
        </w:rPr>
        <w:t>B)(</w:t>
      </w:r>
      <w:proofErr w:type="gramEnd"/>
      <w:r w:rsidRPr="0016045A">
        <w:rPr>
          <w:rFonts w:asciiTheme="majorHAnsi" w:hAnsiTheme="majorHAnsi"/>
          <w:sz w:val="16"/>
          <w:szCs w:val="16"/>
        </w:rPr>
        <w:t xml:space="preserve">b)(i)-(iii). </w:t>
      </w:r>
    </w:p>
  </w:footnote>
  <w:footnote w:id="34">
    <w:p w14:paraId="158A0FB6" w14:textId="77777777" w:rsidR="00AA33F8" w:rsidRPr="0016045A" w:rsidRDefault="00AA33F8">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588FDB. </w:t>
      </w:r>
    </w:p>
  </w:footnote>
  <w:footnote w:id="35">
    <w:p w14:paraId="6C89816C" w14:textId="77777777" w:rsidR="00A17AC3" w:rsidRPr="0016045A" w:rsidRDefault="00A17AC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588FGAA. </w:t>
      </w:r>
    </w:p>
  </w:footnote>
  <w:footnote w:id="36">
    <w:p w14:paraId="7236F0EF" w14:textId="77777777" w:rsidR="00A17AC3" w:rsidRPr="0016045A" w:rsidRDefault="00A17AC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See ASIC’s information guide for such orders here: https://www.asic.gov.au/for-finance-professionals/registered-liquidators/your-ongoing-obligations-as-a-registered-liquidator/asic-orders-about-creditor-defeating-dispositions/</w:t>
      </w:r>
    </w:p>
  </w:footnote>
  <w:footnote w:id="37">
    <w:p w14:paraId="40C605D2" w14:textId="77777777" w:rsidR="00E90333" w:rsidRPr="0016045A" w:rsidRDefault="00E90333">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588FGAE. </w:t>
      </w:r>
    </w:p>
  </w:footnote>
  <w:footnote w:id="38">
    <w:p w14:paraId="07DA3304" w14:textId="77777777" w:rsidR="002E3591" w:rsidRPr="0016045A" w:rsidRDefault="002E3591">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588G. </w:t>
      </w:r>
    </w:p>
  </w:footnote>
  <w:footnote w:id="39">
    <w:p w14:paraId="58E3DF3E" w14:textId="77777777" w:rsidR="00BB390C" w:rsidRPr="0016045A" w:rsidRDefault="00BB390C">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588M. </w:t>
      </w:r>
    </w:p>
  </w:footnote>
  <w:footnote w:id="40">
    <w:p w14:paraId="38F82F9B" w14:textId="0BA2857E" w:rsidR="0033202A" w:rsidRPr="0016045A" w:rsidRDefault="0033202A">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1317E</w:t>
      </w:r>
      <w:r w:rsidR="00433C71">
        <w:rPr>
          <w:rFonts w:asciiTheme="majorHAnsi" w:hAnsiTheme="majorHAnsi"/>
          <w:sz w:val="16"/>
          <w:szCs w:val="16"/>
        </w:rPr>
        <w:t>.</w:t>
      </w:r>
    </w:p>
  </w:footnote>
  <w:footnote w:id="41">
    <w:p w14:paraId="24471E3C" w14:textId="77777777" w:rsidR="0033202A" w:rsidRPr="0016045A" w:rsidRDefault="0033202A">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w:t>
      </w:r>
      <w:proofErr w:type="gramStart"/>
      <w:r w:rsidRPr="0016045A">
        <w:rPr>
          <w:rFonts w:asciiTheme="majorHAnsi" w:hAnsiTheme="majorHAnsi"/>
          <w:sz w:val="16"/>
          <w:szCs w:val="16"/>
        </w:rPr>
        <w:t>G(</w:t>
      </w:r>
      <w:proofErr w:type="gramEnd"/>
      <w:r w:rsidRPr="0016045A">
        <w:rPr>
          <w:rFonts w:asciiTheme="majorHAnsi" w:hAnsiTheme="majorHAnsi"/>
          <w:sz w:val="16"/>
          <w:szCs w:val="16"/>
        </w:rPr>
        <w:t xml:space="preserve">3). </w:t>
      </w:r>
    </w:p>
  </w:footnote>
  <w:footnote w:id="42">
    <w:p w14:paraId="575F9DDD" w14:textId="77777777" w:rsidR="00727E27" w:rsidRPr="0016045A" w:rsidRDefault="00727E27">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Corporations Act s 588H. </w:t>
      </w:r>
    </w:p>
  </w:footnote>
  <w:footnote w:id="43">
    <w:p w14:paraId="0A381EB9" w14:textId="77777777" w:rsidR="00F52535" w:rsidRPr="0016045A" w:rsidRDefault="00F52535">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Michael Murray, Jason Harris, ‘Keay’s Insolvency’ Eleventh Edition, p 695. </w:t>
      </w:r>
    </w:p>
  </w:footnote>
  <w:footnote w:id="44">
    <w:p w14:paraId="25FF6737" w14:textId="77777777" w:rsidR="00690860" w:rsidRPr="0016045A" w:rsidRDefault="00690860">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w:t>
      </w:r>
      <w:r w:rsidR="00FA0D59" w:rsidRPr="0016045A">
        <w:rPr>
          <w:rFonts w:asciiTheme="majorHAnsi" w:hAnsiTheme="majorHAnsi"/>
          <w:sz w:val="16"/>
          <w:szCs w:val="16"/>
        </w:rPr>
        <w:t xml:space="preserve">Insolvency Act 1986 (UK), s 214. </w:t>
      </w:r>
    </w:p>
  </w:footnote>
  <w:footnote w:id="45">
    <w:p w14:paraId="522771CF" w14:textId="77777777" w:rsidR="00421B69" w:rsidRPr="0016045A" w:rsidRDefault="00421B69">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Companies Act 1993</w:t>
      </w:r>
      <w:r w:rsidR="00DC74D1" w:rsidRPr="0016045A">
        <w:rPr>
          <w:rFonts w:asciiTheme="majorHAnsi" w:hAnsiTheme="majorHAnsi"/>
          <w:sz w:val="16"/>
          <w:szCs w:val="16"/>
        </w:rPr>
        <w:t xml:space="preserve"> (NZ)</w:t>
      </w:r>
      <w:r w:rsidRPr="0016045A">
        <w:rPr>
          <w:rFonts w:asciiTheme="majorHAnsi" w:hAnsiTheme="majorHAnsi"/>
          <w:sz w:val="16"/>
          <w:szCs w:val="16"/>
        </w:rPr>
        <w:t xml:space="preserve">, sections 135 and 136. </w:t>
      </w:r>
    </w:p>
  </w:footnote>
  <w:footnote w:id="46">
    <w:p w14:paraId="4E460151" w14:textId="77777777" w:rsidR="006B53D6" w:rsidRPr="0016045A" w:rsidRDefault="006B53D6" w:rsidP="006B53D6">
      <w:pPr>
        <w:pStyle w:val="FootnoteText"/>
        <w:rPr>
          <w:rFonts w:asciiTheme="majorHAnsi" w:hAnsiTheme="majorHAnsi" w:cs="Arial"/>
          <w:sz w:val="16"/>
          <w:szCs w:val="16"/>
        </w:rPr>
      </w:pPr>
      <w:r w:rsidRPr="0016045A">
        <w:rPr>
          <w:rStyle w:val="FootnoteReference"/>
          <w:rFonts w:asciiTheme="majorHAnsi" w:hAnsiTheme="majorHAnsi" w:cs="Arial"/>
          <w:sz w:val="16"/>
          <w:szCs w:val="16"/>
        </w:rPr>
        <w:footnoteRef/>
      </w:r>
      <w:r w:rsidRPr="0016045A">
        <w:rPr>
          <w:rFonts w:asciiTheme="majorHAnsi" w:hAnsiTheme="majorHAnsi" w:cs="Arial"/>
          <w:sz w:val="16"/>
          <w:szCs w:val="16"/>
        </w:rPr>
        <w:t xml:space="preserve"> Review of the Insolvent Trading Safe Harbour, Final Report, November 2021, available at: </w:t>
      </w:r>
      <w:hyperlink r:id="rId14" w:history="1">
        <w:r w:rsidRPr="0016045A">
          <w:rPr>
            <w:rStyle w:val="Hyperlink"/>
            <w:rFonts w:asciiTheme="majorHAnsi" w:hAnsiTheme="majorHAnsi" w:cs="Arial"/>
            <w:sz w:val="16"/>
            <w:szCs w:val="16"/>
          </w:rPr>
          <w:t>https://treasury.gov.au/publication/p2022-p258663-final-report</w:t>
        </w:r>
      </w:hyperlink>
      <w:r w:rsidRPr="0016045A">
        <w:rPr>
          <w:rFonts w:asciiTheme="majorHAnsi" w:hAnsiTheme="majorHAnsi" w:cs="Arial"/>
          <w:sz w:val="16"/>
          <w:szCs w:val="16"/>
        </w:rPr>
        <w:t xml:space="preserve">. </w:t>
      </w:r>
    </w:p>
  </w:footnote>
  <w:footnote w:id="47">
    <w:p w14:paraId="6EAD6893" w14:textId="77777777" w:rsidR="009329D8" w:rsidRPr="0016045A" w:rsidRDefault="009329D8" w:rsidP="009329D8">
      <w:pPr>
        <w:pStyle w:val="FootnoteText"/>
        <w:rPr>
          <w:rFonts w:asciiTheme="majorHAnsi" w:hAnsiTheme="majorHAnsi"/>
          <w:sz w:val="16"/>
          <w:szCs w:val="16"/>
        </w:rPr>
      </w:pPr>
      <w:r w:rsidRPr="0016045A">
        <w:rPr>
          <w:rStyle w:val="FootnoteReference"/>
          <w:rFonts w:asciiTheme="majorHAnsi" w:hAnsiTheme="majorHAnsi"/>
          <w:sz w:val="16"/>
          <w:szCs w:val="16"/>
        </w:rPr>
        <w:footnoteRef/>
      </w:r>
      <w:r w:rsidRPr="0016045A">
        <w:rPr>
          <w:rFonts w:asciiTheme="majorHAnsi" w:hAnsiTheme="majorHAnsi"/>
          <w:sz w:val="16"/>
          <w:szCs w:val="16"/>
        </w:rPr>
        <w:t xml:space="preserve"> Australian Securities and Investments Commission, Duty to prevent insolvent trading: Guide for directors, Regulatory Guide 217, December 2024, pp. 23-39.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EFB1" w14:textId="4ADBB8C3" w:rsidR="006E2F09" w:rsidRDefault="006E2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808A" w14:textId="43270446" w:rsidR="006E2F09" w:rsidRDefault="006E2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73F" w14:textId="4B9F8E68" w:rsidR="006E2F09" w:rsidRDefault="006E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E2"/>
    <w:multiLevelType w:val="hybridMultilevel"/>
    <w:tmpl w:val="EDB28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1E397B"/>
    <w:multiLevelType w:val="hybridMultilevel"/>
    <w:tmpl w:val="E608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45817"/>
    <w:multiLevelType w:val="hybridMultilevel"/>
    <w:tmpl w:val="4DAC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4"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5" w15:restartNumberingAfterBreak="0">
    <w:nsid w:val="073A5B0F"/>
    <w:multiLevelType w:val="multilevel"/>
    <w:tmpl w:val="B8367014"/>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08F13197"/>
    <w:multiLevelType w:val="hybridMultilevel"/>
    <w:tmpl w:val="4E14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8" w15:restartNumberingAfterBreak="0">
    <w:nsid w:val="168F16B6"/>
    <w:multiLevelType w:val="hybridMultilevel"/>
    <w:tmpl w:val="E17A8318"/>
    <w:lvl w:ilvl="0" w:tplc="0C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85820DF"/>
    <w:multiLevelType w:val="hybridMultilevel"/>
    <w:tmpl w:val="59EA0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5F1179"/>
    <w:multiLevelType w:val="hybridMultilevel"/>
    <w:tmpl w:val="0DAE3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20785CB9"/>
    <w:multiLevelType w:val="hybridMultilevel"/>
    <w:tmpl w:val="FBEAF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C25C36"/>
    <w:multiLevelType w:val="hybridMultilevel"/>
    <w:tmpl w:val="BF26A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415B7"/>
    <w:multiLevelType w:val="hybridMultilevel"/>
    <w:tmpl w:val="C54EBD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0F3A27"/>
    <w:multiLevelType w:val="hybridMultilevel"/>
    <w:tmpl w:val="60FE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8" w15:restartNumberingAfterBreak="0">
    <w:nsid w:val="27715DB2"/>
    <w:multiLevelType w:val="hybridMultilevel"/>
    <w:tmpl w:val="98C2B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B24B44"/>
    <w:multiLevelType w:val="hybridMultilevel"/>
    <w:tmpl w:val="6ABC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ED7E7C"/>
    <w:multiLevelType w:val="hybridMultilevel"/>
    <w:tmpl w:val="622EE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F0163EA"/>
    <w:multiLevelType w:val="hybridMultilevel"/>
    <w:tmpl w:val="B53C5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4F3307"/>
    <w:multiLevelType w:val="hybridMultilevel"/>
    <w:tmpl w:val="AE86E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942735"/>
    <w:multiLevelType w:val="hybridMultilevel"/>
    <w:tmpl w:val="AD6E0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2B45B04"/>
    <w:multiLevelType w:val="hybridMultilevel"/>
    <w:tmpl w:val="0462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01C3209"/>
    <w:multiLevelType w:val="hybridMultilevel"/>
    <w:tmpl w:val="60A29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12001"/>
    <w:multiLevelType w:val="hybridMultilevel"/>
    <w:tmpl w:val="E17AC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9845A7"/>
    <w:multiLevelType w:val="hybridMultilevel"/>
    <w:tmpl w:val="D49C1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52048A"/>
    <w:multiLevelType w:val="hybridMultilevel"/>
    <w:tmpl w:val="8D3016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C73BCD"/>
    <w:multiLevelType w:val="hybridMultilevel"/>
    <w:tmpl w:val="E60C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99"/>
    <w:multiLevelType w:val="hybridMultilevel"/>
    <w:tmpl w:val="E4DED1B2"/>
    <w:lvl w:ilvl="0" w:tplc="0C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F8F461F"/>
    <w:multiLevelType w:val="hybridMultilevel"/>
    <w:tmpl w:val="8E3ACC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37"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E34ED3"/>
    <w:multiLevelType w:val="hybridMultilevel"/>
    <w:tmpl w:val="5CF6D59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9" w15:restartNumberingAfterBreak="0">
    <w:nsid w:val="6B097A94"/>
    <w:multiLevelType w:val="hybridMultilevel"/>
    <w:tmpl w:val="4628DF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8F2E07"/>
    <w:multiLevelType w:val="hybridMultilevel"/>
    <w:tmpl w:val="E544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033CC2"/>
    <w:multiLevelType w:val="hybridMultilevel"/>
    <w:tmpl w:val="1E9A4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FB56F6"/>
    <w:multiLevelType w:val="hybridMultilevel"/>
    <w:tmpl w:val="A5EAB6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00A7C40"/>
    <w:multiLevelType w:val="hybridMultilevel"/>
    <w:tmpl w:val="9CAAB0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CC1A39"/>
    <w:multiLevelType w:val="hybridMultilevel"/>
    <w:tmpl w:val="5834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F17B3E"/>
    <w:multiLevelType w:val="hybridMultilevel"/>
    <w:tmpl w:val="9178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406E97"/>
    <w:multiLevelType w:val="hybridMultilevel"/>
    <w:tmpl w:val="D0144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6B66E6"/>
    <w:multiLevelType w:val="hybridMultilevel"/>
    <w:tmpl w:val="B6489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642140"/>
    <w:multiLevelType w:val="hybridMultilevel"/>
    <w:tmpl w:val="BE962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1274712">
    <w:abstractNumId w:val="35"/>
  </w:num>
  <w:num w:numId="2" w16cid:durableId="2041321267">
    <w:abstractNumId w:val="7"/>
  </w:num>
  <w:num w:numId="3" w16cid:durableId="1877813507">
    <w:abstractNumId w:val="27"/>
  </w:num>
  <w:num w:numId="4" w16cid:durableId="1842618266">
    <w:abstractNumId w:val="37"/>
  </w:num>
  <w:num w:numId="5" w16cid:durableId="660239288">
    <w:abstractNumId w:val="17"/>
  </w:num>
  <w:num w:numId="6" w16cid:durableId="479427810">
    <w:abstractNumId w:val="4"/>
  </w:num>
  <w:num w:numId="7" w16cid:durableId="78871351">
    <w:abstractNumId w:val="3"/>
  </w:num>
  <w:num w:numId="8" w16cid:durableId="175535504">
    <w:abstractNumId w:val="5"/>
  </w:num>
  <w:num w:numId="9" w16cid:durableId="2026050635">
    <w:abstractNumId w:val="21"/>
  </w:num>
  <w:num w:numId="10" w16cid:durableId="1538196522">
    <w:abstractNumId w:val="36"/>
  </w:num>
  <w:num w:numId="11" w16cid:durableId="861475598">
    <w:abstractNumId w:val="12"/>
  </w:num>
  <w:num w:numId="12" w16cid:durableId="947662420">
    <w:abstractNumId w:val="25"/>
  </w:num>
  <w:num w:numId="13" w16cid:durableId="449588820">
    <w:abstractNumId w:val="11"/>
  </w:num>
  <w:num w:numId="14" w16cid:durableId="866528472">
    <w:abstractNumId w:val="26"/>
  </w:num>
  <w:num w:numId="15" w16cid:durableId="2061128272">
    <w:abstractNumId w:val="40"/>
  </w:num>
  <w:num w:numId="16" w16cid:durableId="26295357">
    <w:abstractNumId w:val="41"/>
  </w:num>
  <w:num w:numId="17" w16cid:durableId="144053071">
    <w:abstractNumId w:val="30"/>
  </w:num>
  <w:num w:numId="18" w16cid:durableId="898636326">
    <w:abstractNumId w:val="34"/>
  </w:num>
  <w:num w:numId="19" w16cid:durableId="430054754">
    <w:abstractNumId w:val="39"/>
  </w:num>
  <w:num w:numId="20" w16cid:durableId="1690764120">
    <w:abstractNumId w:val="47"/>
  </w:num>
  <w:num w:numId="21" w16cid:durableId="1712145017">
    <w:abstractNumId w:val="45"/>
  </w:num>
  <w:num w:numId="22" w16cid:durableId="677465294">
    <w:abstractNumId w:val="48"/>
  </w:num>
  <w:num w:numId="23" w16cid:durableId="1509444404">
    <w:abstractNumId w:val="19"/>
  </w:num>
  <w:num w:numId="24" w16cid:durableId="968366079">
    <w:abstractNumId w:val="43"/>
  </w:num>
  <w:num w:numId="25" w16cid:durableId="1313950123">
    <w:abstractNumId w:val="2"/>
  </w:num>
  <w:num w:numId="26" w16cid:durableId="181750284">
    <w:abstractNumId w:val="18"/>
  </w:num>
  <w:num w:numId="27" w16cid:durableId="1588687866">
    <w:abstractNumId w:val="10"/>
  </w:num>
  <w:num w:numId="28" w16cid:durableId="589238114">
    <w:abstractNumId w:val="42"/>
  </w:num>
  <w:num w:numId="29" w16cid:durableId="1316687395">
    <w:abstractNumId w:val="24"/>
  </w:num>
  <w:num w:numId="30" w16cid:durableId="1059749388">
    <w:abstractNumId w:val="16"/>
  </w:num>
  <w:num w:numId="31" w16cid:durableId="1195458256">
    <w:abstractNumId w:val="9"/>
  </w:num>
  <w:num w:numId="32" w16cid:durableId="130826593">
    <w:abstractNumId w:val="28"/>
  </w:num>
  <w:num w:numId="33" w16cid:durableId="2027704624">
    <w:abstractNumId w:val="0"/>
  </w:num>
  <w:num w:numId="34" w16cid:durableId="1237471465">
    <w:abstractNumId w:val="32"/>
  </w:num>
  <w:num w:numId="35" w16cid:durableId="914901191">
    <w:abstractNumId w:val="38"/>
  </w:num>
  <w:num w:numId="36" w16cid:durableId="41760092">
    <w:abstractNumId w:val="20"/>
  </w:num>
  <w:num w:numId="37" w16cid:durableId="1511796064">
    <w:abstractNumId w:val="44"/>
  </w:num>
  <w:num w:numId="38" w16cid:durableId="1066798133">
    <w:abstractNumId w:val="31"/>
  </w:num>
  <w:num w:numId="39" w16cid:durableId="885875034">
    <w:abstractNumId w:val="22"/>
  </w:num>
  <w:num w:numId="40" w16cid:durableId="291177752">
    <w:abstractNumId w:val="29"/>
  </w:num>
  <w:num w:numId="41" w16cid:durableId="491408653">
    <w:abstractNumId w:val="46"/>
  </w:num>
  <w:num w:numId="42" w16cid:durableId="1533415337">
    <w:abstractNumId w:val="6"/>
  </w:num>
  <w:num w:numId="43" w16cid:durableId="23796283">
    <w:abstractNumId w:val="13"/>
  </w:num>
  <w:num w:numId="44" w16cid:durableId="81488948">
    <w:abstractNumId w:val="8"/>
  </w:num>
  <w:num w:numId="45" w16cid:durableId="1271084509">
    <w:abstractNumId w:val="33"/>
  </w:num>
  <w:num w:numId="46" w16cid:durableId="2000576549">
    <w:abstractNumId w:val="1"/>
  </w:num>
  <w:num w:numId="47" w16cid:durableId="794059844">
    <w:abstractNumId w:val="14"/>
  </w:num>
  <w:num w:numId="48" w16cid:durableId="439374788">
    <w:abstractNumId w:val="15"/>
  </w:num>
  <w:num w:numId="49" w16cid:durableId="187545700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AE"/>
    <w:rsid w:val="000026C9"/>
    <w:rsid w:val="000040AF"/>
    <w:rsid w:val="0000426A"/>
    <w:rsid w:val="00004626"/>
    <w:rsid w:val="00007635"/>
    <w:rsid w:val="00007B74"/>
    <w:rsid w:val="00010EA1"/>
    <w:rsid w:val="0001225D"/>
    <w:rsid w:val="000123F1"/>
    <w:rsid w:val="00012C40"/>
    <w:rsid w:val="000144B6"/>
    <w:rsid w:val="000145A2"/>
    <w:rsid w:val="000151FB"/>
    <w:rsid w:val="0001521D"/>
    <w:rsid w:val="00015648"/>
    <w:rsid w:val="00015956"/>
    <w:rsid w:val="00015B53"/>
    <w:rsid w:val="00015BBC"/>
    <w:rsid w:val="000162DA"/>
    <w:rsid w:val="000179B2"/>
    <w:rsid w:val="00017B4C"/>
    <w:rsid w:val="0002169C"/>
    <w:rsid w:val="0002369A"/>
    <w:rsid w:val="00024305"/>
    <w:rsid w:val="0002586D"/>
    <w:rsid w:val="00025AB0"/>
    <w:rsid w:val="00027FC3"/>
    <w:rsid w:val="00030B77"/>
    <w:rsid w:val="000319F2"/>
    <w:rsid w:val="00031C40"/>
    <w:rsid w:val="000320A9"/>
    <w:rsid w:val="000332F1"/>
    <w:rsid w:val="00034526"/>
    <w:rsid w:val="00034BC9"/>
    <w:rsid w:val="0003502B"/>
    <w:rsid w:val="00035588"/>
    <w:rsid w:val="000424A7"/>
    <w:rsid w:val="0004282A"/>
    <w:rsid w:val="00043182"/>
    <w:rsid w:val="000441B0"/>
    <w:rsid w:val="00044469"/>
    <w:rsid w:val="00045D70"/>
    <w:rsid w:val="00050F96"/>
    <w:rsid w:val="00051E30"/>
    <w:rsid w:val="00052B1F"/>
    <w:rsid w:val="00053B91"/>
    <w:rsid w:val="000567DE"/>
    <w:rsid w:val="000577C2"/>
    <w:rsid w:val="00060391"/>
    <w:rsid w:val="00061437"/>
    <w:rsid w:val="00061C62"/>
    <w:rsid w:val="00061C96"/>
    <w:rsid w:val="00061DF2"/>
    <w:rsid w:val="00062657"/>
    <w:rsid w:val="000646C7"/>
    <w:rsid w:val="000658D5"/>
    <w:rsid w:val="000659B5"/>
    <w:rsid w:val="00065CC2"/>
    <w:rsid w:val="0007251A"/>
    <w:rsid w:val="00074D14"/>
    <w:rsid w:val="00075225"/>
    <w:rsid w:val="00075343"/>
    <w:rsid w:val="0007626F"/>
    <w:rsid w:val="0007687A"/>
    <w:rsid w:val="00076B97"/>
    <w:rsid w:val="00077627"/>
    <w:rsid w:val="000815B6"/>
    <w:rsid w:val="000818B3"/>
    <w:rsid w:val="0008240B"/>
    <w:rsid w:val="00082CD9"/>
    <w:rsid w:val="00082D29"/>
    <w:rsid w:val="00083323"/>
    <w:rsid w:val="00083645"/>
    <w:rsid w:val="000853C5"/>
    <w:rsid w:val="00086D2C"/>
    <w:rsid w:val="00090587"/>
    <w:rsid w:val="000914FA"/>
    <w:rsid w:val="000916FA"/>
    <w:rsid w:val="00091AB4"/>
    <w:rsid w:val="0009234F"/>
    <w:rsid w:val="00094F0F"/>
    <w:rsid w:val="000959DE"/>
    <w:rsid w:val="00096050"/>
    <w:rsid w:val="000979CD"/>
    <w:rsid w:val="00097DF4"/>
    <w:rsid w:val="000A0B51"/>
    <w:rsid w:val="000A17B7"/>
    <w:rsid w:val="000A2F09"/>
    <w:rsid w:val="000A31A7"/>
    <w:rsid w:val="000A5DF7"/>
    <w:rsid w:val="000B11E6"/>
    <w:rsid w:val="000B2AA7"/>
    <w:rsid w:val="000B381C"/>
    <w:rsid w:val="000B5644"/>
    <w:rsid w:val="000B75EF"/>
    <w:rsid w:val="000C25A1"/>
    <w:rsid w:val="000C29F1"/>
    <w:rsid w:val="000C3444"/>
    <w:rsid w:val="000C50B5"/>
    <w:rsid w:val="000C6330"/>
    <w:rsid w:val="000C6582"/>
    <w:rsid w:val="000C7CE6"/>
    <w:rsid w:val="000D07A1"/>
    <w:rsid w:val="000D2199"/>
    <w:rsid w:val="000D29DE"/>
    <w:rsid w:val="000D2CA5"/>
    <w:rsid w:val="000D2CFC"/>
    <w:rsid w:val="000D698C"/>
    <w:rsid w:val="000D6D2D"/>
    <w:rsid w:val="000D6DAE"/>
    <w:rsid w:val="000D73CD"/>
    <w:rsid w:val="000D7956"/>
    <w:rsid w:val="000D7F47"/>
    <w:rsid w:val="000E06AC"/>
    <w:rsid w:val="000E139A"/>
    <w:rsid w:val="000E25ED"/>
    <w:rsid w:val="000E3FF2"/>
    <w:rsid w:val="000E49CB"/>
    <w:rsid w:val="000E5281"/>
    <w:rsid w:val="000E5353"/>
    <w:rsid w:val="000F072B"/>
    <w:rsid w:val="000F0956"/>
    <w:rsid w:val="000F1CFF"/>
    <w:rsid w:val="000F25A9"/>
    <w:rsid w:val="000F43A8"/>
    <w:rsid w:val="0010159D"/>
    <w:rsid w:val="0010265F"/>
    <w:rsid w:val="00102ECA"/>
    <w:rsid w:val="00103AD5"/>
    <w:rsid w:val="00105EF0"/>
    <w:rsid w:val="0010782C"/>
    <w:rsid w:val="00110595"/>
    <w:rsid w:val="00110996"/>
    <w:rsid w:val="00112636"/>
    <w:rsid w:val="00112A91"/>
    <w:rsid w:val="001130F5"/>
    <w:rsid w:val="001144A9"/>
    <w:rsid w:val="00115AF4"/>
    <w:rsid w:val="00115DFF"/>
    <w:rsid w:val="00116D19"/>
    <w:rsid w:val="0011719F"/>
    <w:rsid w:val="001214AF"/>
    <w:rsid w:val="001232D6"/>
    <w:rsid w:val="00123877"/>
    <w:rsid w:val="00125433"/>
    <w:rsid w:val="00125696"/>
    <w:rsid w:val="00125A67"/>
    <w:rsid w:val="00126535"/>
    <w:rsid w:val="0013064C"/>
    <w:rsid w:val="0013139E"/>
    <w:rsid w:val="00132053"/>
    <w:rsid w:val="00132DB9"/>
    <w:rsid w:val="00133B4E"/>
    <w:rsid w:val="001345D5"/>
    <w:rsid w:val="00134C0F"/>
    <w:rsid w:val="001352F5"/>
    <w:rsid w:val="00135F52"/>
    <w:rsid w:val="00135F7D"/>
    <w:rsid w:val="00136E32"/>
    <w:rsid w:val="001409D5"/>
    <w:rsid w:val="0014125C"/>
    <w:rsid w:val="001412BC"/>
    <w:rsid w:val="0014221E"/>
    <w:rsid w:val="001447D8"/>
    <w:rsid w:val="00144EC8"/>
    <w:rsid w:val="00145D71"/>
    <w:rsid w:val="001460D6"/>
    <w:rsid w:val="00146109"/>
    <w:rsid w:val="00146857"/>
    <w:rsid w:val="00147479"/>
    <w:rsid w:val="001479FF"/>
    <w:rsid w:val="00150FC9"/>
    <w:rsid w:val="001526EB"/>
    <w:rsid w:val="00152DAF"/>
    <w:rsid w:val="00153B28"/>
    <w:rsid w:val="00154C6E"/>
    <w:rsid w:val="00154D45"/>
    <w:rsid w:val="00156868"/>
    <w:rsid w:val="001573D0"/>
    <w:rsid w:val="0016045A"/>
    <w:rsid w:val="00160EFC"/>
    <w:rsid w:val="00165006"/>
    <w:rsid w:val="001658A9"/>
    <w:rsid w:val="00166228"/>
    <w:rsid w:val="001663B8"/>
    <w:rsid w:val="001667B4"/>
    <w:rsid w:val="00166BD6"/>
    <w:rsid w:val="00166FE0"/>
    <w:rsid w:val="0016778E"/>
    <w:rsid w:val="001678BF"/>
    <w:rsid w:val="00167DA9"/>
    <w:rsid w:val="00172ED1"/>
    <w:rsid w:val="00173C6B"/>
    <w:rsid w:val="00173EAA"/>
    <w:rsid w:val="00174799"/>
    <w:rsid w:val="00175469"/>
    <w:rsid w:val="00175BA2"/>
    <w:rsid w:val="00176709"/>
    <w:rsid w:val="00176804"/>
    <w:rsid w:val="0017690B"/>
    <w:rsid w:val="00176B37"/>
    <w:rsid w:val="0017770C"/>
    <w:rsid w:val="00177CDF"/>
    <w:rsid w:val="00180C4C"/>
    <w:rsid w:val="00182D36"/>
    <w:rsid w:val="00182FE1"/>
    <w:rsid w:val="00183028"/>
    <w:rsid w:val="001831B6"/>
    <w:rsid w:val="00183394"/>
    <w:rsid w:val="001840CE"/>
    <w:rsid w:val="00185140"/>
    <w:rsid w:val="00186248"/>
    <w:rsid w:val="001869B5"/>
    <w:rsid w:val="0018773E"/>
    <w:rsid w:val="001900AC"/>
    <w:rsid w:val="0019083C"/>
    <w:rsid w:val="00190C09"/>
    <w:rsid w:val="00191DE7"/>
    <w:rsid w:val="0019223C"/>
    <w:rsid w:val="00193340"/>
    <w:rsid w:val="0019503C"/>
    <w:rsid w:val="00195300"/>
    <w:rsid w:val="00195888"/>
    <w:rsid w:val="00196630"/>
    <w:rsid w:val="00196A47"/>
    <w:rsid w:val="00196DA4"/>
    <w:rsid w:val="00197B51"/>
    <w:rsid w:val="00197F97"/>
    <w:rsid w:val="001A137F"/>
    <w:rsid w:val="001A154D"/>
    <w:rsid w:val="001A26F7"/>
    <w:rsid w:val="001A5050"/>
    <w:rsid w:val="001A62C0"/>
    <w:rsid w:val="001A69CD"/>
    <w:rsid w:val="001A73C9"/>
    <w:rsid w:val="001A79C7"/>
    <w:rsid w:val="001A7C59"/>
    <w:rsid w:val="001B23F0"/>
    <w:rsid w:val="001B3D16"/>
    <w:rsid w:val="001B499E"/>
    <w:rsid w:val="001B6158"/>
    <w:rsid w:val="001B72D4"/>
    <w:rsid w:val="001C0593"/>
    <w:rsid w:val="001C0B97"/>
    <w:rsid w:val="001C2FD0"/>
    <w:rsid w:val="001C3109"/>
    <w:rsid w:val="001C4188"/>
    <w:rsid w:val="001C5264"/>
    <w:rsid w:val="001C608E"/>
    <w:rsid w:val="001C6E0D"/>
    <w:rsid w:val="001C7456"/>
    <w:rsid w:val="001C7E24"/>
    <w:rsid w:val="001D0F84"/>
    <w:rsid w:val="001D1CF6"/>
    <w:rsid w:val="001D1E05"/>
    <w:rsid w:val="001D1EC9"/>
    <w:rsid w:val="001D6A1D"/>
    <w:rsid w:val="001D7894"/>
    <w:rsid w:val="001E25F9"/>
    <w:rsid w:val="001E4E89"/>
    <w:rsid w:val="001F3055"/>
    <w:rsid w:val="001F3585"/>
    <w:rsid w:val="001F3BBB"/>
    <w:rsid w:val="001F5A2E"/>
    <w:rsid w:val="001F6407"/>
    <w:rsid w:val="001F738E"/>
    <w:rsid w:val="00203F38"/>
    <w:rsid w:val="00203FDA"/>
    <w:rsid w:val="002049AD"/>
    <w:rsid w:val="00204A8E"/>
    <w:rsid w:val="00204C2B"/>
    <w:rsid w:val="00205051"/>
    <w:rsid w:val="00206822"/>
    <w:rsid w:val="00206BAA"/>
    <w:rsid w:val="00207076"/>
    <w:rsid w:val="00207439"/>
    <w:rsid w:val="00210717"/>
    <w:rsid w:val="002121C4"/>
    <w:rsid w:val="002121F0"/>
    <w:rsid w:val="00213D38"/>
    <w:rsid w:val="002163FD"/>
    <w:rsid w:val="002208EA"/>
    <w:rsid w:val="00224BC2"/>
    <w:rsid w:val="002256F7"/>
    <w:rsid w:val="002260F0"/>
    <w:rsid w:val="002323F1"/>
    <w:rsid w:val="00232F4E"/>
    <w:rsid w:val="00232F77"/>
    <w:rsid w:val="00233737"/>
    <w:rsid w:val="002344FF"/>
    <w:rsid w:val="00234674"/>
    <w:rsid w:val="00234EE8"/>
    <w:rsid w:val="002367D7"/>
    <w:rsid w:val="00236A2E"/>
    <w:rsid w:val="00237862"/>
    <w:rsid w:val="002378CC"/>
    <w:rsid w:val="00237F23"/>
    <w:rsid w:val="0024158C"/>
    <w:rsid w:val="00243237"/>
    <w:rsid w:val="00243440"/>
    <w:rsid w:val="0024671B"/>
    <w:rsid w:val="00250806"/>
    <w:rsid w:val="002515B1"/>
    <w:rsid w:val="00251E32"/>
    <w:rsid w:val="002534DA"/>
    <w:rsid w:val="002535A3"/>
    <w:rsid w:val="0025378C"/>
    <w:rsid w:val="00254CC4"/>
    <w:rsid w:val="00254ECF"/>
    <w:rsid w:val="00254EF0"/>
    <w:rsid w:val="002556F2"/>
    <w:rsid w:val="0025677A"/>
    <w:rsid w:val="0025694B"/>
    <w:rsid w:val="00256FA0"/>
    <w:rsid w:val="00257481"/>
    <w:rsid w:val="002646FC"/>
    <w:rsid w:val="0026479F"/>
    <w:rsid w:val="0026488F"/>
    <w:rsid w:val="00265BD9"/>
    <w:rsid w:val="0026618B"/>
    <w:rsid w:val="00270578"/>
    <w:rsid w:val="0027393F"/>
    <w:rsid w:val="002749E9"/>
    <w:rsid w:val="0027556E"/>
    <w:rsid w:val="00277A54"/>
    <w:rsid w:val="00277D61"/>
    <w:rsid w:val="0028174F"/>
    <w:rsid w:val="002849B3"/>
    <w:rsid w:val="00286DAF"/>
    <w:rsid w:val="002878DC"/>
    <w:rsid w:val="002905D4"/>
    <w:rsid w:val="00290816"/>
    <w:rsid w:val="00291044"/>
    <w:rsid w:val="002925F9"/>
    <w:rsid w:val="00293EE1"/>
    <w:rsid w:val="00294228"/>
    <w:rsid w:val="00294291"/>
    <w:rsid w:val="00294FD8"/>
    <w:rsid w:val="00295CD0"/>
    <w:rsid w:val="002961D3"/>
    <w:rsid w:val="00296F0D"/>
    <w:rsid w:val="002978E6"/>
    <w:rsid w:val="002A08B4"/>
    <w:rsid w:val="002A1DD4"/>
    <w:rsid w:val="002A23AE"/>
    <w:rsid w:val="002A26B9"/>
    <w:rsid w:val="002A2AF0"/>
    <w:rsid w:val="002A35F2"/>
    <w:rsid w:val="002A5BBB"/>
    <w:rsid w:val="002B1558"/>
    <w:rsid w:val="002B21F7"/>
    <w:rsid w:val="002B2421"/>
    <w:rsid w:val="002B2CCF"/>
    <w:rsid w:val="002B372F"/>
    <w:rsid w:val="002B3788"/>
    <w:rsid w:val="002B5412"/>
    <w:rsid w:val="002B58E1"/>
    <w:rsid w:val="002B74A8"/>
    <w:rsid w:val="002C0084"/>
    <w:rsid w:val="002C17FD"/>
    <w:rsid w:val="002C200D"/>
    <w:rsid w:val="002C2426"/>
    <w:rsid w:val="002C2527"/>
    <w:rsid w:val="002C2669"/>
    <w:rsid w:val="002C30E9"/>
    <w:rsid w:val="002C3772"/>
    <w:rsid w:val="002C3E2A"/>
    <w:rsid w:val="002C3F72"/>
    <w:rsid w:val="002C4518"/>
    <w:rsid w:val="002C4FA6"/>
    <w:rsid w:val="002C526C"/>
    <w:rsid w:val="002C683D"/>
    <w:rsid w:val="002C6862"/>
    <w:rsid w:val="002C6D8B"/>
    <w:rsid w:val="002D032F"/>
    <w:rsid w:val="002D19E6"/>
    <w:rsid w:val="002D26A6"/>
    <w:rsid w:val="002D275E"/>
    <w:rsid w:val="002D4494"/>
    <w:rsid w:val="002D4619"/>
    <w:rsid w:val="002D4A4D"/>
    <w:rsid w:val="002D5A4B"/>
    <w:rsid w:val="002D613E"/>
    <w:rsid w:val="002D6617"/>
    <w:rsid w:val="002E0BA5"/>
    <w:rsid w:val="002E0C3D"/>
    <w:rsid w:val="002E10D9"/>
    <w:rsid w:val="002E2FB6"/>
    <w:rsid w:val="002E3591"/>
    <w:rsid w:val="002E4A4B"/>
    <w:rsid w:val="002E5F5A"/>
    <w:rsid w:val="002E603A"/>
    <w:rsid w:val="002E7EBE"/>
    <w:rsid w:val="002F0546"/>
    <w:rsid w:val="002F0634"/>
    <w:rsid w:val="002F0DAD"/>
    <w:rsid w:val="002F1056"/>
    <w:rsid w:val="002F211C"/>
    <w:rsid w:val="002F30B0"/>
    <w:rsid w:val="002F3219"/>
    <w:rsid w:val="002F5858"/>
    <w:rsid w:val="002F7011"/>
    <w:rsid w:val="0030138E"/>
    <w:rsid w:val="00301517"/>
    <w:rsid w:val="0030171D"/>
    <w:rsid w:val="003027B9"/>
    <w:rsid w:val="00302A50"/>
    <w:rsid w:val="00304FA4"/>
    <w:rsid w:val="00305B4D"/>
    <w:rsid w:val="00307163"/>
    <w:rsid w:val="00307207"/>
    <w:rsid w:val="00310273"/>
    <w:rsid w:val="00310BFE"/>
    <w:rsid w:val="00313921"/>
    <w:rsid w:val="00315468"/>
    <w:rsid w:val="003173C2"/>
    <w:rsid w:val="00317F71"/>
    <w:rsid w:val="00321251"/>
    <w:rsid w:val="003230E1"/>
    <w:rsid w:val="00323172"/>
    <w:rsid w:val="003232CC"/>
    <w:rsid w:val="00324115"/>
    <w:rsid w:val="00324558"/>
    <w:rsid w:val="003257D3"/>
    <w:rsid w:val="00325F20"/>
    <w:rsid w:val="0032615B"/>
    <w:rsid w:val="00326C1E"/>
    <w:rsid w:val="00326D1C"/>
    <w:rsid w:val="00326E66"/>
    <w:rsid w:val="003274E2"/>
    <w:rsid w:val="003279E1"/>
    <w:rsid w:val="00330969"/>
    <w:rsid w:val="0033202A"/>
    <w:rsid w:val="00332244"/>
    <w:rsid w:val="00332778"/>
    <w:rsid w:val="00334679"/>
    <w:rsid w:val="0033483C"/>
    <w:rsid w:val="00337B56"/>
    <w:rsid w:val="00337FCD"/>
    <w:rsid w:val="00340607"/>
    <w:rsid w:val="003416E5"/>
    <w:rsid w:val="00341DAC"/>
    <w:rsid w:val="00344022"/>
    <w:rsid w:val="00344957"/>
    <w:rsid w:val="00344B2D"/>
    <w:rsid w:val="00346066"/>
    <w:rsid w:val="003474AE"/>
    <w:rsid w:val="00347FB4"/>
    <w:rsid w:val="00352D61"/>
    <w:rsid w:val="003544E3"/>
    <w:rsid w:val="003548F6"/>
    <w:rsid w:val="00354C77"/>
    <w:rsid w:val="003561CB"/>
    <w:rsid w:val="00357DA6"/>
    <w:rsid w:val="00361508"/>
    <w:rsid w:val="00361E94"/>
    <w:rsid w:val="00361F41"/>
    <w:rsid w:val="003645A4"/>
    <w:rsid w:val="003703C4"/>
    <w:rsid w:val="00370AFF"/>
    <w:rsid w:val="003710BA"/>
    <w:rsid w:val="003722FF"/>
    <w:rsid w:val="00372356"/>
    <w:rsid w:val="00372FD6"/>
    <w:rsid w:val="003735F5"/>
    <w:rsid w:val="0037366A"/>
    <w:rsid w:val="003742BC"/>
    <w:rsid w:val="003743A6"/>
    <w:rsid w:val="00374A02"/>
    <w:rsid w:val="0037605F"/>
    <w:rsid w:val="00377297"/>
    <w:rsid w:val="00377ED7"/>
    <w:rsid w:val="00381A77"/>
    <w:rsid w:val="00382A97"/>
    <w:rsid w:val="003846B6"/>
    <w:rsid w:val="00385424"/>
    <w:rsid w:val="00385839"/>
    <w:rsid w:val="003864B2"/>
    <w:rsid w:val="00387432"/>
    <w:rsid w:val="0039017A"/>
    <w:rsid w:val="003901AA"/>
    <w:rsid w:val="003903F4"/>
    <w:rsid w:val="003907BE"/>
    <w:rsid w:val="003940FB"/>
    <w:rsid w:val="00394858"/>
    <w:rsid w:val="003958E3"/>
    <w:rsid w:val="00397462"/>
    <w:rsid w:val="0039751C"/>
    <w:rsid w:val="00397FD8"/>
    <w:rsid w:val="003A16C6"/>
    <w:rsid w:val="003A1DA5"/>
    <w:rsid w:val="003A26F1"/>
    <w:rsid w:val="003A2C53"/>
    <w:rsid w:val="003A318F"/>
    <w:rsid w:val="003A33D2"/>
    <w:rsid w:val="003A4514"/>
    <w:rsid w:val="003A47B9"/>
    <w:rsid w:val="003A4EA7"/>
    <w:rsid w:val="003B08EE"/>
    <w:rsid w:val="003B1410"/>
    <w:rsid w:val="003B2652"/>
    <w:rsid w:val="003B3464"/>
    <w:rsid w:val="003B3CC2"/>
    <w:rsid w:val="003B3E7F"/>
    <w:rsid w:val="003B468C"/>
    <w:rsid w:val="003C1C79"/>
    <w:rsid w:val="003C212E"/>
    <w:rsid w:val="003C4072"/>
    <w:rsid w:val="003C6211"/>
    <w:rsid w:val="003C624E"/>
    <w:rsid w:val="003C64BE"/>
    <w:rsid w:val="003C674C"/>
    <w:rsid w:val="003C699A"/>
    <w:rsid w:val="003C73BD"/>
    <w:rsid w:val="003C7948"/>
    <w:rsid w:val="003D37AE"/>
    <w:rsid w:val="003D504C"/>
    <w:rsid w:val="003D5B32"/>
    <w:rsid w:val="003D6E1A"/>
    <w:rsid w:val="003D7431"/>
    <w:rsid w:val="003D757E"/>
    <w:rsid w:val="003D7925"/>
    <w:rsid w:val="003E0DCD"/>
    <w:rsid w:val="003E2804"/>
    <w:rsid w:val="003E4CAB"/>
    <w:rsid w:val="003E6152"/>
    <w:rsid w:val="003E73E0"/>
    <w:rsid w:val="003F059B"/>
    <w:rsid w:val="003F0856"/>
    <w:rsid w:val="003F440E"/>
    <w:rsid w:val="003F46A4"/>
    <w:rsid w:val="003F4C2A"/>
    <w:rsid w:val="003F5850"/>
    <w:rsid w:val="003F7D3E"/>
    <w:rsid w:val="004006CC"/>
    <w:rsid w:val="00401A09"/>
    <w:rsid w:val="004029C1"/>
    <w:rsid w:val="00403A7D"/>
    <w:rsid w:val="00404C29"/>
    <w:rsid w:val="0040593C"/>
    <w:rsid w:val="00407C97"/>
    <w:rsid w:val="004105F6"/>
    <w:rsid w:val="00411762"/>
    <w:rsid w:val="004134BA"/>
    <w:rsid w:val="00413AD8"/>
    <w:rsid w:val="00415C8B"/>
    <w:rsid w:val="004165E0"/>
    <w:rsid w:val="00417979"/>
    <w:rsid w:val="00420304"/>
    <w:rsid w:val="004205C2"/>
    <w:rsid w:val="00421B69"/>
    <w:rsid w:val="0042273C"/>
    <w:rsid w:val="00422C23"/>
    <w:rsid w:val="0042354D"/>
    <w:rsid w:val="00423C99"/>
    <w:rsid w:val="0042438A"/>
    <w:rsid w:val="004252D7"/>
    <w:rsid w:val="00426284"/>
    <w:rsid w:val="004273E2"/>
    <w:rsid w:val="00427E72"/>
    <w:rsid w:val="004310A6"/>
    <w:rsid w:val="0043270D"/>
    <w:rsid w:val="00433C71"/>
    <w:rsid w:val="004341FC"/>
    <w:rsid w:val="00435DE4"/>
    <w:rsid w:val="00435F15"/>
    <w:rsid w:val="0044132C"/>
    <w:rsid w:val="00442611"/>
    <w:rsid w:val="004450CB"/>
    <w:rsid w:val="0044551E"/>
    <w:rsid w:val="00451523"/>
    <w:rsid w:val="004515D3"/>
    <w:rsid w:val="0045220F"/>
    <w:rsid w:val="00453015"/>
    <w:rsid w:val="00453A29"/>
    <w:rsid w:val="00454D64"/>
    <w:rsid w:val="00462226"/>
    <w:rsid w:val="00463493"/>
    <w:rsid w:val="004635CF"/>
    <w:rsid w:val="00463614"/>
    <w:rsid w:val="00463CF1"/>
    <w:rsid w:val="0046437F"/>
    <w:rsid w:val="00466052"/>
    <w:rsid w:val="00466272"/>
    <w:rsid w:val="00467066"/>
    <w:rsid w:val="00467A2D"/>
    <w:rsid w:val="004707F3"/>
    <w:rsid w:val="00470C1D"/>
    <w:rsid w:val="00471012"/>
    <w:rsid w:val="00472D40"/>
    <w:rsid w:val="00472EB9"/>
    <w:rsid w:val="00473008"/>
    <w:rsid w:val="0047539A"/>
    <w:rsid w:val="00475F09"/>
    <w:rsid w:val="00481055"/>
    <w:rsid w:val="00481263"/>
    <w:rsid w:val="0048180E"/>
    <w:rsid w:val="004822BB"/>
    <w:rsid w:val="004837AD"/>
    <w:rsid w:val="004849AE"/>
    <w:rsid w:val="0048677F"/>
    <w:rsid w:val="0048696E"/>
    <w:rsid w:val="00490A1C"/>
    <w:rsid w:val="004933E1"/>
    <w:rsid w:val="00493E4B"/>
    <w:rsid w:val="00493F1A"/>
    <w:rsid w:val="00494A34"/>
    <w:rsid w:val="00494AC6"/>
    <w:rsid w:val="004962E5"/>
    <w:rsid w:val="00497CFE"/>
    <w:rsid w:val="004A180D"/>
    <w:rsid w:val="004A2B33"/>
    <w:rsid w:val="004A647D"/>
    <w:rsid w:val="004A675B"/>
    <w:rsid w:val="004B0618"/>
    <w:rsid w:val="004B1459"/>
    <w:rsid w:val="004B382D"/>
    <w:rsid w:val="004B5146"/>
    <w:rsid w:val="004B521B"/>
    <w:rsid w:val="004B6137"/>
    <w:rsid w:val="004B635A"/>
    <w:rsid w:val="004B7D02"/>
    <w:rsid w:val="004C1227"/>
    <w:rsid w:val="004C47C7"/>
    <w:rsid w:val="004C4ADB"/>
    <w:rsid w:val="004C65E9"/>
    <w:rsid w:val="004D1646"/>
    <w:rsid w:val="004D2779"/>
    <w:rsid w:val="004D2C88"/>
    <w:rsid w:val="004D49EE"/>
    <w:rsid w:val="004D7EAA"/>
    <w:rsid w:val="004E1B67"/>
    <w:rsid w:val="004E54A5"/>
    <w:rsid w:val="004E5CCC"/>
    <w:rsid w:val="004E5E1E"/>
    <w:rsid w:val="004E5FBD"/>
    <w:rsid w:val="004E6BDD"/>
    <w:rsid w:val="004E6C50"/>
    <w:rsid w:val="004E7A4F"/>
    <w:rsid w:val="004F0247"/>
    <w:rsid w:val="004F0769"/>
    <w:rsid w:val="004F149B"/>
    <w:rsid w:val="004F208F"/>
    <w:rsid w:val="004F2ECD"/>
    <w:rsid w:val="004F3355"/>
    <w:rsid w:val="004F44C2"/>
    <w:rsid w:val="004F55AB"/>
    <w:rsid w:val="004F582F"/>
    <w:rsid w:val="004F5CE9"/>
    <w:rsid w:val="004F60B1"/>
    <w:rsid w:val="004F610C"/>
    <w:rsid w:val="004F7674"/>
    <w:rsid w:val="00500D4F"/>
    <w:rsid w:val="00502659"/>
    <w:rsid w:val="00503B85"/>
    <w:rsid w:val="00504215"/>
    <w:rsid w:val="0050468E"/>
    <w:rsid w:val="005047B3"/>
    <w:rsid w:val="0050728C"/>
    <w:rsid w:val="00510B7F"/>
    <w:rsid w:val="00510BC9"/>
    <w:rsid w:val="005114D6"/>
    <w:rsid w:val="005117DF"/>
    <w:rsid w:val="0051391D"/>
    <w:rsid w:val="00513D12"/>
    <w:rsid w:val="00513EBC"/>
    <w:rsid w:val="005165BD"/>
    <w:rsid w:val="00516825"/>
    <w:rsid w:val="00520331"/>
    <w:rsid w:val="00520898"/>
    <w:rsid w:val="00520E78"/>
    <w:rsid w:val="0052129C"/>
    <w:rsid w:val="00521660"/>
    <w:rsid w:val="00521A3C"/>
    <w:rsid w:val="00522B30"/>
    <w:rsid w:val="00523048"/>
    <w:rsid w:val="00526344"/>
    <w:rsid w:val="0052752D"/>
    <w:rsid w:val="005301EF"/>
    <w:rsid w:val="00533EEF"/>
    <w:rsid w:val="00534967"/>
    <w:rsid w:val="0053568B"/>
    <w:rsid w:val="00535A95"/>
    <w:rsid w:val="00535D97"/>
    <w:rsid w:val="00536325"/>
    <w:rsid w:val="005369A6"/>
    <w:rsid w:val="00536DF6"/>
    <w:rsid w:val="005400B0"/>
    <w:rsid w:val="00540879"/>
    <w:rsid w:val="00541995"/>
    <w:rsid w:val="0054263F"/>
    <w:rsid w:val="00543458"/>
    <w:rsid w:val="00543497"/>
    <w:rsid w:val="00543498"/>
    <w:rsid w:val="00544D5F"/>
    <w:rsid w:val="00545C92"/>
    <w:rsid w:val="005470C4"/>
    <w:rsid w:val="00551658"/>
    <w:rsid w:val="005530C0"/>
    <w:rsid w:val="00553867"/>
    <w:rsid w:val="00554592"/>
    <w:rsid w:val="00555A5C"/>
    <w:rsid w:val="0055687B"/>
    <w:rsid w:val="00556B2F"/>
    <w:rsid w:val="00557399"/>
    <w:rsid w:val="00557602"/>
    <w:rsid w:val="00557B6C"/>
    <w:rsid w:val="00557EDB"/>
    <w:rsid w:val="00560979"/>
    <w:rsid w:val="00561ABF"/>
    <w:rsid w:val="00562CB1"/>
    <w:rsid w:val="00563719"/>
    <w:rsid w:val="005639A5"/>
    <w:rsid w:val="00563AE7"/>
    <w:rsid w:val="005645FB"/>
    <w:rsid w:val="005649B6"/>
    <w:rsid w:val="005671C8"/>
    <w:rsid w:val="00567833"/>
    <w:rsid w:val="0057341F"/>
    <w:rsid w:val="00573539"/>
    <w:rsid w:val="00574CAF"/>
    <w:rsid w:val="00574FB9"/>
    <w:rsid w:val="005752DB"/>
    <w:rsid w:val="00577031"/>
    <w:rsid w:val="00581383"/>
    <w:rsid w:val="0058159D"/>
    <w:rsid w:val="00582888"/>
    <w:rsid w:val="00582AB0"/>
    <w:rsid w:val="00583B5B"/>
    <w:rsid w:val="00583EB5"/>
    <w:rsid w:val="005840F7"/>
    <w:rsid w:val="00585570"/>
    <w:rsid w:val="005862BD"/>
    <w:rsid w:val="005876F0"/>
    <w:rsid w:val="00587E7C"/>
    <w:rsid w:val="00590BCC"/>
    <w:rsid w:val="00590D03"/>
    <w:rsid w:val="005919FD"/>
    <w:rsid w:val="005921DE"/>
    <w:rsid w:val="00594530"/>
    <w:rsid w:val="0059459A"/>
    <w:rsid w:val="00597894"/>
    <w:rsid w:val="005A0B98"/>
    <w:rsid w:val="005A13CB"/>
    <w:rsid w:val="005A20A8"/>
    <w:rsid w:val="005A2CC9"/>
    <w:rsid w:val="005A2DC5"/>
    <w:rsid w:val="005A3148"/>
    <w:rsid w:val="005A3314"/>
    <w:rsid w:val="005A3B47"/>
    <w:rsid w:val="005A4026"/>
    <w:rsid w:val="005A6018"/>
    <w:rsid w:val="005B0571"/>
    <w:rsid w:val="005B1D03"/>
    <w:rsid w:val="005B2068"/>
    <w:rsid w:val="005B2FDC"/>
    <w:rsid w:val="005B4471"/>
    <w:rsid w:val="005B7157"/>
    <w:rsid w:val="005C0315"/>
    <w:rsid w:val="005C1826"/>
    <w:rsid w:val="005C2468"/>
    <w:rsid w:val="005C2739"/>
    <w:rsid w:val="005C29A5"/>
    <w:rsid w:val="005C2E76"/>
    <w:rsid w:val="005C3890"/>
    <w:rsid w:val="005C4629"/>
    <w:rsid w:val="005C4769"/>
    <w:rsid w:val="005C4A2F"/>
    <w:rsid w:val="005C6A57"/>
    <w:rsid w:val="005C7E7F"/>
    <w:rsid w:val="005D0C7F"/>
    <w:rsid w:val="005D11DE"/>
    <w:rsid w:val="005D18A6"/>
    <w:rsid w:val="005D205E"/>
    <w:rsid w:val="005D2514"/>
    <w:rsid w:val="005D278D"/>
    <w:rsid w:val="005D2900"/>
    <w:rsid w:val="005D2BD5"/>
    <w:rsid w:val="005D3D5B"/>
    <w:rsid w:val="005D575C"/>
    <w:rsid w:val="005E0758"/>
    <w:rsid w:val="005E089D"/>
    <w:rsid w:val="005E0C74"/>
    <w:rsid w:val="005E1897"/>
    <w:rsid w:val="005E23FC"/>
    <w:rsid w:val="005E26DC"/>
    <w:rsid w:val="005E7238"/>
    <w:rsid w:val="005F0363"/>
    <w:rsid w:val="005F1066"/>
    <w:rsid w:val="005F13FE"/>
    <w:rsid w:val="005F1535"/>
    <w:rsid w:val="005F1CD5"/>
    <w:rsid w:val="005F28D0"/>
    <w:rsid w:val="005F2A9C"/>
    <w:rsid w:val="005F2D9F"/>
    <w:rsid w:val="005F5D31"/>
    <w:rsid w:val="005F64D3"/>
    <w:rsid w:val="005F7A8B"/>
    <w:rsid w:val="006012EB"/>
    <w:rsid w:val="006020E0"/>
    <w:rsid w:val="0060273B"/>
    <w:rsid w:val="006033D3"/>
    <w:rsid w:val="00603DEA"/>
    <w:rsid w:val="00604A09"/>
    <w:rsid w:val="00604A40"/>
    <w:rsid w:val="006059F2"/>
    <w:rsid w:val="00606416"/>
    <w:rsid w:val="006075D0"/>
    <w:rsid w:val="006100EE"/>
    <w:rsid w:val="00611DC8"/>
    <w:rsid w:val="00612593"/>
    <w:rsid w:val="006132B4"/>
    <w:rsid w:val="006136E0"/>
    <w:rsid w:val="00616129"/>
    <w:rsid w:val="00616FF3"/>
    <w:rsid w:val="00617283"/>
    <w:rsid w:val="00617F15"/>
    <w:rsid w:val="00620892"/>
    <w:rsid w:val="00620F31"/>
    <w:rsid w:val="00622CE5"/>
    <w:rsid w:val="0062429D"/>
    <w:rsid w:val="00624AAF"/>
    <w:rsid w:val="00627266"/>
    <w:rsid w:val="00627BFC"/>
    <w:rsid w:val="00630162"/>
    <w:rsid w:val="00630663"/>
    <w:rsid w:val="00630941"/>
    <w:rsid w:val="00630C71"/>
    <w:rsid w:val="00631963"/>
    <w:rsid w:val="006328BD"/>
    <w:rsid w:val="00633943"/>
    <w:rsid w:val="00634549"/>
    <w:rsid w:val="00637783"/>
    <w:rsid w:val="00641254"/>
    <w:rsid w:val="00642CD0"/>
    <w:rsid w:val="00644A42"/>
    <w:rsid w:val="00645C18"/>
    <w:rsid w:val="00646B0E"/>
    <w:rsid w:val="006472AF"/>
    <w:rsid w:val="00651C6B"/>
    <w:rsid w:val="00652A86"/>
    <w:rsid w:val="00652EA9"/>
    <w:rsid w:val="006547E9"/>
    <w:rsid w:val="00656A63"/>
    <w:rsid w:val="00657035"/>
    <w:rsid w:val="006609AE"/>
    <w:rsid w:val="00660AE3"/>
    <w:rsid w:val="00660E37"/>
    <w:rsid w:val="00661067"/>
    <w:rsid w:val="00661EEC"/>
    <w:rsid w:val="006621E5"/>
    <w:rsid w:val="0066228B"/>
    <w:rsid w:val="0066345A"/>
    <w:rsid w:val="00665ABD"/>
    <w:rsid w:val="00665FEB"/>
    <w:rsid w:val="0066696E"/>
    <w:rsid w:val="00667A8A"/>
    <w:rsid w:val="00670340"/>
    <w:rsid w:val="00670897"/>
    <w:rsid w:val="00670A42"/>
    <w:rsid w:val="00671D2A"/>
    <w:rsid w:val="00673760"/>
    <w:rsid w:val="00673A4F"/>
    <w:rsid w:val="00675816"/>
    <w:rsid w:val="00675AFA"/>
    <w:rsid w:val="00675F9D"/>
    <w:rsid w:val="00677D87"/>
    <w:rsid w:val="0068070D"/>
    <w:rsid w:val="00681067"/>
    <w:rsid w:val="00682084"/>
    <w:rsid w:val="006834F5"/>
    <w:rsid w:val="00684317"/>
    <w:rsid w:val="006867B2"/>
    <w:rsid w:val="0068757E"/>
    <w:rsid w:val="00687841"/>
    <w:rsid w:val="00690426"/>
    <w:rsid w:val="00690860"/>
    <w:rsid w:val="00690E14"/>
    <w:rsid w:val="00691B62"/>
    <w:rsid w:val="0069204D"/>
    <w:rsid w:val="0069226F"/>
    <w:rsid w:val="006923C6"/>
    <w:rsid w:val="0069621E"/>
    <w:rsid w:val="00696A0F"/>
    <w:rsid w:val="00696C15"/>
    <w:rsid w:val="00697270"/>
    <w:rsid w:val="00697E04"/>
    <w:rsid w:val="006A0778"/>
    <w:rsid w:val="006A1DC8"/>
    <w:rsid w:val="006A41B9"/>
    <w:rsid w:val="006A6AE8"/>
    <w:rsid w:val="006B0648"/>
    <w:rsid w:val="006B0A34"/>
    <w:rsid w:val="006B11B2"/>
    <w:rsid w:val="006B2282"/>
    <w:rsid w:val="006B235E"/>
    <w:rsid w:val="006B301D"/>
    <w:rsid w:val="006B4C5A"/>
    <w:rsid w:val="006B52F1"/>
    <w:rsid w:val="006B53D6"/>
    <w:rsid w:val="006B72B0"/>
    <w:rsid w:val="006C18F3"/>
    <w:rsid w:val="006C22AE"/>
    <w:rsid w:val="006C41DE"/>
    <w:rsid w:val="006C42B3"/>
    <w:rsid w:val="006C511F"/>
    <w:rsid w:val="006C5AF3"/>
    <w:rsid w:val="006C615E"/>
    <w:rsid w:val="006C66AF"/>
    <w:rsid w:val="006D0389"/>
    <w:rsid w:val="006D0AD6"/>
    <w:rsid w:val="006D17F9"/>
    <w:rsid w:val="006D24E7"/>
    <w:rsid w:val="006D2F23"/>
    <w:rsid w:val="006D3887"/>
    <w:rsid w:val="006D474A"/>
    <w:rsid w:val="006D61FE"/>
    <w:rsid w:val="006D660A"/>
    <w:rsid w:val="006E09D8"/>
    <w:rsid w:val="006E1120"/>
    <w:rsid w:val="006E1657"/>
    <w:rsid w:val="006E2F09"/>
    <w:rsid w:val="006E404B"/>
    <w:rsid w:val="006E4233"/>
    <w:rsid w:val="006E4CE1"/>
    <w:rsid w:val="006E5ABE"/>
    <w:rsid w:val="006E6096"/>
    <w:rsid w:val="006E6505"/>
    <w:rsid w:val="006E78DB"/>
    <w:rsid w:val="006F19A2"/>
    <w:rsid w:val="006F2101"/>
    <w:rsid w:val="006F3358"/>
    <w:rsid w:val="006F460E"/>
    <w:rsid w:val="006F5804"/>
    <w:rsid w:val="006F5AE1"/>
    <w:rsid w:val="006F5EDC"/>
    <w:rsid w:val="006F72A7"/>
    <w:rsid w:val="00700506"/>
    <w:rsid w:val="00700D8A"/>
    <w:rsid w:val="007034DB"/>
    <w:rsid w:val="00703E84"/>
    <w:rsid w:val="007042B6"/>
    <w:rsid w:val="007056C3"/>
    <w:rsid w:val="00705925"/>
    <w:rsid w:val="00706B7A"/>
    <w:rsid w:val="00706E1E"/>
    <w:rsid w:val="00707A95"/>
    <w:rsid w:val="00707D96"/>
    <w:rsid w:val="00710213"/>
    <w:rsid w:val="00710BEC"/>
    <w:rsid w:val="00711066"/>
    <w:rsid w:val="00711503"/>
    <w:rsid w:val="00711923"/>
    <w:rsid w:val="00711EBC"/>
    <w:rsid w:val="00712224"/>
    <w:rsid w:val="00713378"/>
    <w:rsid w:val="00713819"/>
    <w:rsid w:val="00715599"/>
    <w:rsid w:val="0071601D"/>
    <w:rsid w:val="007175ED"/>
    <w:rsid w:val="0072100B"/>
    <w:rsid w:val="007221B8"/>
    <w:rsid w:val="00722A0F"/>
    <w:rsid w:val="00723DA9"/>
    <w:rsid w:val="00724E93"/>
    <w:rsid w:val="007250EC"/>
    <w:rsid w:val="007252BA"/>
    <w:rsid w:val="00725B02"/>
    <w:rsid w:val="00725FF8"/>
    <w:rsid w:val="00727E27"/>
    <w:rsid w:val="00730F08"/>
    <w:rsid w:val="00731D34"/>
    <w:rsid w:val="00732CAF"/>
    <w:rsid w:val="00733349"/>
    <w:rsid w:val="0073368E"/>
    <w:rsid w:val="00733E63"/>
    <w:rsid w:val="00736A5B"/>
    <w:rsid w:val="0074029F"/>
    <w:rsid w:val="0074033B"/>
    <w:rsid w:val="00740C6A"/>
    <w:rsid w:val="00741FA6"/>
    <w:rsid w:val="00745A6F"/>
    <w:rsid w:val="00746E4B"/>
    <w:rsid w:val="00746FE2"/>
    <w:rsid w:val="007475FA"/>
    <w:rsid w:val="00747712"/>
    <w:rsid w:val="00747ECD"/>
    <w:rsid w:val="00751A2E"/>
    <w:rsid w:val="0075511E"/>
    <w:rsid w:val="00756BC1"/>
    <w:rsid w:val="00762171"/>
    <w:rsid w:val="007648BC"/>
    <w:rsid w:val="00765175"/>
    <w:rsid w:val="0076520E"/>
    <w:rsid w:val="00765568"/>
    <w:rsid w:val="00766D32"/>
    <w:rsid w:val="00774A60"/>
    <w:rsid w:val="00774AE0"/>
    <w:rsid w:val="007751E4"/>
    <w:rsid w:val="00775B89"/>
    <w:rsid w:val="007800FA"/>
    <w:rsid w:val="00783ADD"/>
    <w:rsid w:val="00783DF4"/>
    <w:rsid w:val="007842E7"/>
    <w:rsid w:val="00785999"/>
    <w:rsid w:val="00785F5C"/>
    <w:rsid w:val="0078668C"/>
    <w:rsid w:val="00786958"/>
    <w:rsid w:val="00786DA2"/>
    <w:rsid w:val="0079022D"/>
    <w:rsid w:val="0079070E"/>
    <w:rsid w:val="00790B9F"/>
    <w:rsid w:val="007928CC"/>
    <w:rsid w:val="00792E9A"/>
    <w:rsid w:val="007938A2"/>
    <w:rsid w:val="00793C5A"/>
    <w:rsid w:val="00795D97"/>
    <w:rsid w:val="00796210"/>
    <w:rsid w:val="007A0319"/>
    <w:rsid w:val="007A0792"/>
    <w:rsid w:val="007A0A19"/>
    <w:rsid w:val="007A22C6"/>
    <w:rsid w:val="007A3459"/>
    <w:rsid w:val="007A3FA6"/>
    <w:rsid w:val="007A5560"/>
    <w:rsid w:val="007A5861"/>
    <w:rsid w:val="007A5A27"/>
    <w:rsid w:val="007A6B32"/>
    <w:rsid w:val="007A7264"/>
    <w:rsid w:val="007B09A1"/>
    <w:rsid w:val="007B0C52"/>
    <w:rsid w:val="007B37B3"/>
    <w:rsid w:val="007B47D7"/>
    <w:rsid w:val="007B54A4"/>
    <w:rsid w:val="007B5560"/>
    <w:rsid w:val="007B66C1"/>
    <w:rsid w:val="007B6C2B"/>
    <w:rsid w:val="007B6E2F"/>
    <w:rsid w:val="007C15F0"/>
    <w:rsid w:val="007C1D76"/>
    <w:rsid w:val="007C7B73"/>
    <w:rsid w:val="007D37FC"/>
    <w:rsid w:val="007D524E"/>
    <w:rsid w:val="007D52C0"/>
    <w:rsid w:val="007D5418"/>
    <w:rsid w:val="007D5BC3"/>
    <w:rsid w:val="007D78E1"/>
    <w:rsid w:val="007E1680"/>
    <w:rsid w:val="007E1C2D"/>
    <w:rsid w:val="007E1C48"/>
    <w:rsid w:val="007E2DF9"/>
    <w:rsid w:val="007E43E0"/>
    <w:rsid w:val="007E470D"/>
    <w:rsid w:val="007E4860"/>
    <w:rsid w:val="007E68E2"/>
    <w:rsid w:val="007E6A85"/>
    <w:rsid w:val="007E731F"/>
    <w:rsid w:val="007F1CB9"/>
    <w:rsid w:val="007F3715"/>
    <w:rsid w:val="007F4657"/>
    <w:rsid w:val="007F537A"/>
    <w:rsid w:val="007F5688"/>
    <w:rsid w:val="007F587F"/>
    <w:rsid w:val="007F5E0A"/>
    <w:rsid w:val="007F7341"/>
    <w:rsid w:val="00800992"/>
    <w:rsid w:val="008023B3"/>
    <w:rsid w:val="00802722"/>
    <w:rsid w:val="0080404E"/>
    <w:rsid w:val="008057E1"/>
    <w:rsid w:val="00806208"/>
    <w:rsid w:val="00806D89"/>
    <w:rsid w:val="00807CB8"/>
    <w:rsid w:val="00811E7A"/>
    <w:rsid w:val="00812EF2"/>
    <w:rsid w:val="00814997"/>
    <w:rsid w:val="00814CFD"/>
    <w:rsid w:val="00814F21"/>
    <w:rsid w:val="00816607"/>
    <w:rsid w:val="008210B0"/>
    <w:rsid w:val="00823000"/>
    <w:rsid w:val="008234AD"/>
    <w:rsid w:val="0082443B"/>
    <w:rsid w:val="00824D82"/>
    <w:rsid w:val="00826093"/>
    <w:rsid w:val="008263DC"/>
    <w:rsid w:val="008270F4"/>
    <w:rsid w:val="00827709"/>
    <w:rsid w:val="008301C1"/>
    <w:rsid w:val="00830767"/>
    <w:rsid w:val="008312B8"/>
    <w:rsid w:val="00831926"/>
    <w:rsid w:val="00831AA6"/>
    <w:rsid w:val="0083262E"/>
    <w:rsid w:val="00832D07"/>
    <w:rsid w:val="008333B6"/>
    <w:rsid w:val="00836FF6"/>
    <w:rsid w:val="0084112C"/>
    <w:rsid w:val="00842AAE"/>
    <w:rsid w:val="00844D01"/>
    <w:rsid w:val="0084618F"/>
    <w:rsid w:val="00847693"/>
    <w:rsid w:val="00850741"/>
    <w:rsid w:val="00850954"/>
    <w:rsid w:val="00851301"/>
    <w:rsid w:val="00851923"/>
    <w:rsid w:val="00851B3C"/>
    <w:rsid w:val="00852996"/>
    <w:rsid w:val="008529BC"/>
    <w:rsid w:val="00854E5F"/>
    <w:rsid w:val="00856D0A"/>
    <w:rsid w:val="008572D7"/>
    <w:rsid w:val="008609CA"/>
    <w:rsid w:val="00860EA8"/>
    <w:rsid w:val="008631A8"/>
    <w:rsid w:val="0086322C"/>
    <w:rsid w:val="008632A9"/>
    <w:rsid w:val="00863C89"/>
    <w:rsid w:val="00865225"/>
    <w:rsid w:val="00865B58"/>
    <w:rsid w:val="008665E3"/>
    <w:rsid w:val="00866C7C"/>
    <w:rsid w:val="00867221"/>
    <w:rsid w:val="00867BE6"/>
    <w:rsid w:val="00870880"/>
    <w:rsid w:val="00871780"/>
    <w:rsid w:val="00872F21"/>
    <w:rsid w:val="00873183"/>
    <w:rsid w:val="008742FD"/>
    <w:rsid w:val="0087513F"/>
    <w:rsid w:val="00876269"/>
    <w:rsid w:val="008764DB"/>
    <w:rsid w:val="00876770"/>
    <w:rsid w:val="00876BBC"/>
    <w:rsid w:val="008775F2"/>
    <w:rsid w:val="00877D67"/>
    <w:rsid w:val="00881CC4"/>
    <w:rsid w:val="00883FE5"/>
    <w:rsid w:val="008865DF"/>
    <w:rsid w:val="0088762B"/>
    <w:rsid w:val="0089038A"/>
    <w:rsid w:val="00891132"/>
    <w:rsid w:val="008912B4"/>
    <w:rsid w:val="00893C25"/>
    <w:rsid w:val="00893F32"/>
    <w:rsid w:val="0089579C"/>
    <w:rsid w:val="00896BA4"/>
    <w:rsid w:val="008975EA"/>
    <w:rsid w:val="008A0330"/>
    <w:rsid w:val="008A0965"/>
    <w:rsid w:val="008A14B0"/>
    <w:rsid w:val="008A285A"/>
    <w:rsid w:val="008A4871"/>
    <w:rsid w:val="008A5F1E"/>
    <w:rsid w:val="008A6D92"/>
    <w:rsid w:val="008A778A"/>
    <w:rsid w:val="008A7B27"/>
    <w:rsid w:val="008B174A"/>
    <w:rsid w:val="008B2BAA"/>
    <w:rsid w:val="008B3009"/>
    <w:rsid w:val="008B5CCA"/>
    <w:rsid w:val="008B5D88"/>
    <w:rsid w:val="008B6E4E"/>
    <w:rsid w:val="008C1375"/>
    <w:rsid w:val="008C19F6"/>
    <w:rsid w:val="008C1FFA"/>
    <w:rsid w:val="008C23E8"/>
    <w:rsid w:val="008C2B5C"/>
    <w:rsid w:val="008C336D"/>
    <w:rsid w:val="008C5155"/>
    <w:rsid w:val="008C517E"/>
    <w:rsid w:val="008C52B7"/>
    <w:rsid w:val="008C560E"/>
    <w:rsid w:val="008C5ADA"/>
    <w:rsid w:val="008C78A8"/>
    <w:rsid w:val="008C7B60"/>
    <w:rsid w:val="008D00C8"/>
    <w:rsid w:val="008D1295"/>
    <w:rsid w:val="008D35C0"/>
    <w:rsid w:val="008E05D9"/>
    <w:rsid w:val="008E4AC2"/>
    <w:rsid w:val="008E5017"/>
    <w:rsid w:val="008E52D5"/>
    <w:rsid w:val="008E5A73"/>
    <w:rsid w:val="008E74DE"/>
    <w:rsid w:val="008E7933"/>
    <w:rsid w:val="008E7E89"/>
    <w:rsid w:val="008F013A"/>
    <w:rsid w:val="008F04FB"/>
    <w:rsid w:val="008F260C"/>
    <w:rsid w:val="008F4169"/>
    <w:rsid w:val="008F5BB6"/>
    <w:rsid w:val="008F740B"/>
    <w:rsid w:val="00901998"/>
    <w:rsid w:val="009045FD"/>
    <w:rsid w:val="00904620"/>
    <w:rsid w:val="00905254"/>
    <w:rsid w:val="00905B95"/>
    <w:rsid w:val="00906440"/>
    <w:rsid w:val="00906DF6"/>
    <w:rsid w:val="009127A3"/>
    <w:rsid w:val="00913FC9"/>
    <w:rsid w:val="009144F1"/>
    <w:rsid w:val="00914DA4"/>
    <w:rsid w:val="009150E0"/>
    <w:rsid w:val="009171A7"/>
    <w:rsid w:val="00917EDA"/>
    <w:rsid w:val="00920BAD"/>
    <w:rsid w:val="00921D3E"/>
    <w:rsid w:val="00922A76"/>
    <w:rsid w:val="00925249"/>
    <w:rsid w:val="00925DB1"/>
    <w:rsid w:val="00927CFC"/>
    <w:rsid w:val="00930661"/>
    <w:rsid w:val="00931BF9"/>
    <w:rsid w:val="009329D8"/>
    <w:rsid w:val="00933383"/>
    <w:rsid w:val="009344FC"/>
    <w:rsid w:val="009345CE"/>
    <w:rsid w:val="009346CD"/>
    <w:rsid w:val="0093534C"/>
    <w:rsid w:val="00936A6E"/>
    <w:rsid w:val="009402D1"/>
    <w:rsid w:val="00940F7A"/>
    <w:rsid w:val="009415CD"/>
    <w:rsid w:val="00942FAA"/>
    <w:rsid w:val="009438D1"/>
    <w:rsid w:val="00944D65"/>
    <w:rsid w:val="0094633B"/>
    <w:rsid w:val="009469C2"/>
    <w:rsid w:val="009469E7"/>
    <w:rsid w:val="00950EB9"/>
    <w:rsid w:val="0095170A"/>
    <w:rsid w:val="009525A6"/>
    <w:rsid w:val="00952D06"/>
    <w:rsid w:val="00952D7C"/>
    <w:rsid w:val="009531D5"/>
    <w:rsid w:val="00953778"/>
    <w:rsid w:val="00953B58"/>
    <w:rsid w:val="009545CC"/>
    <w:rsid w:val="009547F1"/>
    <w:rsid w:val="00954C61"/>
    <w:rsid w:val="009563B9"/>
    <w:rsid w:val="00956825"/>
    <w:rsid w:val="009573A1"/>
    <w:rsid w:val="00961E96"/>
    <w:rsid w:val="009630A7"/>
    <w:rsid w:val="009657C1"/>
    <w:rsid w:val="009657CF"/>
    <w:rsid w:val="00965D85"/>
    <w:rsid w:val="00967D4E"/>
    <w:rsid w:val="0097003E"/>
    <w:rsid w:val="00970051"/>
    <w:rsid w:val="00970094"/>
    <w:rsid w:val="00970C54"/>
    <w:rsid w:val="00972D6A"/>
    <w:rsid w:val="00973257"/>
    <w:rsid w:val="009742B1"/>
    <w:rsid w:val="00974650"/>
    <w:rsid w:val="00974AB0"/>
    <w:rsid w:val="00974C2E"/>
    <w:rsid w:val="00976F23"/>
    <w:rsid w:val="009800AC"/>
    <w:rsid w:val="009809D0"/>
    <w:rsid w:val="00981C66"/>
    <w:rsid w:val="00982D8B"/>
    <w:rsid w:val="0098318C"/>
    <w:rsid w:val="00983B7E"/>
    <w:rsid w:val="009854AF"/>
    <w:rsid w:val="00985B25"/>
    <w:rsid w:val="00985BA9"/>
    <w:rsid w:val="00985C67"/>
    <w:rsid w:val="00986E28"/>
    <w:rsid w:val="009875D8"/>
    <w:rsid w:val="00987661"/>
    <w:rsid w:val="00987EB6"/>
    <w:rsid w:val="00990128"/>
    <w:rsid w:val="0099240C"/>
    <w:rsid w:val="00992884"/>
    <w:rsid w:val="009942AE"/>
    <w:rsid w:val="00994B7E"/>
    <w:rsid w:val="0099516A"/>
    <w:rsid w:val="00996034"/>
    <w:rsid w:val="00996800"/>
    <w:rsid w:val="00997A93"/>
    <w:rsid w:val="009A0E83"/>
    <w:rsid w:val="009A1D1D"/>
    <w:rsid w:val="009A25DF"/>
    <w:rsid w:val="009A2DA4"/>
    <w:rsid w:val="009A3AD6"/>
    <w:rsid w:val="009A468B"/>
    <w:rsid w:val="009A5362"/>
    <w:rsid w:val="009A5F34"/>
    <w:rsid w:val="009A65DF"/>
    <w:rsid w:val="009A6F6B"/>
    <w:rsid w:val="009A7B59"/>
    <w:rsid w:val="009B0065"/>
    <w:rsid w:val="009B06C2"/>
    <w:rsid w:val="009B2477"/>
    <w:rsid w:val="009B25E5"/>
    <w:rsid w:val="009B5EF0"/>
    <w:rsid w:val="009B6659"/>
    <w:rsid w:val="009B7EC6"/>
    <w:rsid w:val="009C03B8"/>
    <w:rsid w:val="009C082C"/>
    <w:rsid w:val="009C200E"/>
    <w:rsid w:val="009C200F"/>
    <w:rsid w:val="009C29F0"/>
    <w:rsid w:val="009C4D95"/>
    <w:rsid w:val="009C6911"/>
    <w:rsid w:val="009C7CC1"/>
    <w:rsid w:val="009D070C"/>
    <w:rsid w:val="009D0834"/>
    <w:rsid w:val="009D0FE7"/>
    <w:rsid w:val="009D1C88"/>
    <w:rsid w:val="009D2DB4"/>
    <w:rsid w:val="009D2F91"/>
    <w:rsid w:val="009D3E7D"/>
    <w:rsid w:val="009D4E6F"/>
    <w:rsid w:val="009D5499"/>
    <w:rsid w:val="009D5681"/>
    <w:rsid w:val="009D585A"/>
    <w:rsid w:val="009D624D"/>
    <w:rsid w:val="009D6796"/>
    <w:rsid w:val="009E289D"/>
    <w:rsid w:val="009E3203"/>
    <w:rsid w:val="009E4BC8"/>
    <w:rsid w:val="009E58DA"/>
    <w:rsid w:val="009E6F84"/>
    <w:rsid w:val="009E7BA4"/>
    <w:rsid w:val="009F0FEA"/>
    <w:rsid w:val="009F2184"/>
    <w:rsid w:val="009F2271"/>
    <w:rsid w:val="009F2660"/>
    <w:rsid w:val="009F33AA"/>
    <w:rsid w:val="009F4E86"/>
    <w:rsid w:val="009F5C1C"/>
    <w:rsid w:val="009F72B1"/>
    <w:rsid w:val="00A00046"/>
    <w:rsid w:val="00A00542"/>
    <w:rsid w:val="00A00B2A"/>
    <w:rsid w:val="00A02176"/>
    <w:rsid w:val="00A026FC"/>
    <w:rsid w:val="00A02B5E"/>
    <w:rsid w:val="00A03020"/>
    <w:rsid w:val="00A0316E"/>
    <w:rsid w:val="00A03E98"/>
    <w:rsid w:val="00A04010"/>
    <w:rsid w:val="00A04B00"/>
    <w:rsid w:val="00A0579A"/>
    <w:rsid w:val="00A05976"/>
    <w:rsid w:val="00A100B4"/>
    <w:rsid w:val="00A10F5C"/>
    <w:rsid w:val="00A11724"/>
    <w:rsid w:val="00A119D0"/>
    <w:rsid w:val="00A11DC6"/>
    <w:rsid w:val="00A12754"/>
    <w:rsid w:val="00A13B6E"/>
    <w:rsid w:val="00A14318"/>
    <w:rsid w:val="00A1488D"/>
    <w:rsid w:val="00A14B7F"/>
    <w:rsid w:val="00A154F0"/>
    <w:rsid w:val="00A15EEB"/>
    <w:rsid w:val="00A1637A"/>
    <w:rsid w:val="00A16E78"/>
    <w:rsid w:val="00A17AC3"/>
    <w:rsid w:val="00A200F9"/>
    <w:rsid w:val="00A2040B"/>
    <w:rsid w:val="00A206C2"/>
    <w:rsid w:val="00A2223E"/>
    <w:rsid w:val="00A22681"/>
    <w:rsid w:val="00A22A39"/>
    <w:rsid w:val="00A22F1F"/>
    <w:rsid w:val="00A24178"/>
    <w:rsid w:val="00A25EC0"/>
    <w:rsid w:val="00A272CB"/>
    <w:rsid w:val="00A2737A"/>
    <w:rsid w:val="00A276C8"/>
    <w:rsid w:val="00A31BB5"/>
    <w:rsid w:val="00A31FD4"/>
    <w:rsid w:val="00A3297D"/>
    <w:rsid w:val="00A32DB1"/>
    <w:rsid w:val="00A33258"/>
    <w:rsid w:val="00A33861"/>
    <w:rsid w:val="00A36153"/>
    <w:rsid w:val="00A36963"/>
    <w:rsid w:val="00A371A1"/>
    <w:rsid w:val="00A400E7"/>
    <w:rsid w:val="00A40564"/>
    <w:rsid w:val="00A413CC"/>
    <w:rsid w:val="00A41E08"/>
    <w:rsid w:val="00A41FED"/>
    <w:rsid w:val="00A42219"/>
    <w:rsid w:val="00A4272C"/>
    <w:rsid w:val="00A4477F"/>
    <w:rsid w:val="00A44B0E"/>
    <w:rsid w:val="00A45B91"/>
    <w:rsid w:val="00A45D68"/>
    <w:rsid w:val="00A46574"/>
    <w:rsid w:val="00A46FE0"/>
    <w:rsid w:val="00A47661"/>
    <w:rsid w:val="00A47EB5"/>
    <w:rsid w:val="00A54C27"/>
    <w:rsid w:val="00A550A8"/>
    <w:rsid w:val="00A5583E"/>
    <w:rsid w:val="00A55BCA"/>
    <w:rsid w:val="00A60B08"/>
    <w:rsid w:val="00A62466"/>
    <w:rsid w:val="00A635C7"/>
    <w:rsid w:val="00A65000"/>
    <w:rsid w:val="00A655EB"/>
    <w:rsid w:val="00A665C5"/>
    <w:rsid w:val="00A66C3C"/>
    <w:rsid w:val="00A67844"/>
    <w:rsid w:val="00A7020D"/>
    <w:rsid w:val="00A727DC"/>
    <w:rsid w:val="00A72C3C"/>
    <w:rsid w:val="00A72E81"/>
    <w:rsid w:val="00A736D7"/>
    <w:rsid w:val="00A7383B"/>
    <w:rsid w:val="00A75805"/>
    <w:rsid w:val="00A75EB4"/>
    <w:rsid w:val="00A762D0"/>
    <w:rsid w:val="00A769D8"/>
    <w:rsid w:val="00A80BE6"/>
    <w:rsid w:val="00A82E68"/>
    <w:rsid w:val="00A837DE"/>
    <w:rsid w:val="00A85508"/>
    <w:rsid w:val="00A85B77"/>
    <w:rsid w:val="00A86A1E"/>
    <w:rsid w:val="00A86FE0"/>
    <w:rsid w:val="00A87111"/>
    <w:rsid w:val="00A90642"/>
    <w:rsid w:val="00A9292C"/>
    <w:rsid w:val="00A92AC0"/>
    <w:rsid w:val="00A931AB"/>
    <w:rsid w:val="00A93A2B"/>
    <w:rsid w:val="00AA0147"/>
    <w:rsid w:val="00AA0308"/>
    <w:rsid w:val="00AA0A9F"/>
    <w:rsid w:val="00AA0BFB"/>
    <w:rsid w:val="00AA192D"/>
    <w:rsid w:val="00AA2B09"/>
    <w:rsid w:val="00AA33F8"/>
    <w:rsid w:val="00AA3654"/>
    <w:rsid w:val="00AA3E0C"/>
    <w:rsid w:val="00AA6E13"/>
    <w:rsid w:val="00AA7530"/>
    <w:rsid w:val="00AB04F0"/>
    <w:rsid w:val="00AB0D97"/>
    <w:rsid w:val="00AB1364"/>
    <w:rsid w:val="00AB1721"/>
    <w:rsid w:val="00AB1897"/>
    <w:rsid w:val="00AB1FAB"/>
    <w:rsid w:val="00AB226C"/>
    <w:rsid w:val="00AB3C56"/>
    <w:rsid w:val="00AB51A2"/>
    <w:rsid w:val="00AB5348"/>
    <w:rsid w:val="00AB690D"/>
    <w:rsid w:val="00AB6946"/>
    <w:rsid w:val="00AC0068"/>
    <w:rsid w:val="00AC12C3"/>
    <w:rsid w:val="00AC18C3"/>
    <w:rsid w:val="00AC1990"/>
    <w:rsid w:val="00AC1C35"/>
    <w:rsid w:val="00AC2CE8"/>
    <w:rsid w:val="00AC3628"/>
    <w:rsid w:val="00AC3635"/>
    <w:rsid w:val="00AC4819"/>
    <w:rsid w:val="00AC4C24"/>
    <w:rsid w:val="00AC59FB"/>
    <w:rsid w:val="00AC6CBF"/>
    <w:rsid w:val="00AC6DB9"/>
    <w:rsid w:val="00AC797E"/>
    <w:rsid w:val="00AC7E6B"/>
    <w:rsid w:val="00AD0209"/>
    <w:rsid w:val="00AD16ED"/>
    <w:rsid w:val="00AD1F0C"/>
    <w:rsid w:val="00AD2D64"/>
    <w:rsid w:val="00AD4835"/>
    <w:rsid w:val="00AD6276"/>
    <w:rsid w:val="00AD62AF"/>
    <w:rsid w:val="00AD6ED8"/>
    <w:rsid w:val="00AD7A53"/>
    <w:rsid w:val="00AE05D0"/>
    <w:rsid w:val="00AE0BED"/>
    <w:rsid w:val="00AE0C75"/>
    <w:rsid w:val="00AE1751"/>
    <w:rsid w:val="00AE45A7"/>
    <w:rsid w:val="00AE4AC1"/>
    <w:rsid w:val="00AE5BAD"/>
    <w:rsid w:val="00AE7E2F"/>
    <w:rsid w:val="00AF03E7"/>
    <w:rsid w:val="00AF07C0"/>
    <w:rsid w:val="00AF1945"/>
    <w:rsid w:val="00AF3311"/>
    <w:rsid w:val="00AF420B"/>
    <w:rsid w:val="00AF7F5E"/>
    <w:rsid w:val="00B01B95"/>
    <w:rsid w:val="00B01D5D"/>
    <w:rsid w:val="00B01E58"/>
    <w:rsid w:val="00B0240D"/>
    <w:rsid w:val="00B03FE5"/>
    <w:rsid w:val="00B04155"/>
    <w:rsid w:val="00B0509A"/>
    <w:rsid w:val="00B05221"/>
    <w:rsid w:val="00B06538"/>
    <w:rsid w:val="00B102CE"/>
    <w:rsid w:val="00B114C4"/>
    <w:rsid w:val="00B12940"/>
    <w:rsid w:val="00B12D4B"/>
    <w:rsid w:val="00B13FD6"/>
    <w:rsid w:val="00B14468"/>
    <w:rsid w:val="00B14580"/>
    <w:rsid w:val="00B14589"/>
    <w:rsid w:val="00B167BB"/>
    <w:rsid w:val="00B216AE"/>
    <w:rsid w:val="00B221AF"/>
    <w:rsid w:val="00B22F1B"/>
    <w:rsid w:val="00B22F7E"/>
    <w:rsid w:val="00B230F4"/>
    <w:rsid w:val="00B24F64"/>
    <w:rsid w:val="00B25F07"/>
    <w:rsid w:val="00B2738A"/>
    <w:rsid w:val="00B27D6D"/>
    <w:rsid w:val="00B30857"/>
    <w:rsid w:val="00B31179"/>
    <w:rsid w:val="00B3134A"/>
    <w:rsid w:val="00B33129"/>
    <w:rsid w:val="00B336C7"/>
    <w:rsid w:val="00B35EB3"/>
    <w:rsid w:val="00B37261"/>
    <w:rsid w:val="00B3798C"/>
    <w:rsid w:val="00B37BD9"/>
    <w:rsid w:val="00B37E17"/>
    <w:rsid w:val="00B40CA4"/>
    <w:rsid w:val="00B4141C"/>
    <w:rsid w:val="00B414A5"/>
    <w:rsid w:val="00B417DE"/>
    <w:rsid w:val="00B41CBE"/>
    <w:rsid w:val="00B42F09"/>
    <w:rsid w:val="00B43A79"/>
    <w:rsid w:val="00B43BFD"/>
    <w:rsid w:val="00B43DD9"/>
    <w:rsid w:val="00B47180"/>
    <w:rsid w:val="00B4793E"/>
    <w:rsid w:val="00B47EF4"/>
    <w:rsid w:val="00B5010C"/>
    <w:rsid w:val="00B51A29"/>
    <w:rsid w:val="00B52298"/>
    <w:rsid w:val="00B52662"/>
    <w:rsid w:val="00B52B2C"/>
    <w:rsid w:val="00B534C3"/>
    <w:rsid w:val="00B54D11"/>
    <w:rsid w:val="00B55007"/>
    <w:rsid w:val="00B55417"/>
    <w:rsid w:val="00B55905"/>
    <w:rsid w:val="00B55F12"/>
    <w:rsid w:val="00B56DF7"/>
    <w:rsid w:val="00B57010"/>
    <w:rsid w:val="00B6028E"/>
    <w:rsid w:val="00B625A4"/>
    <w:rsid w:val="00B62810"/>
    <w:rsid w:val="00B6297C"/>
    <w:rsid w:val="00B63342"/>
    <w:rsid w:val="00B6402B"/>
    <w:rsid w:val="00B64BDB"/>
    <w:rsid w:val="00B65345"/>
    <w:rsid w:val="00B66034"/>
    <w:rsid w:val="00B666BA"/>
    <w:rsid w:val="00B67352"/>
    <w:rsid w:val="00B67CD0"/>
    <w:rsid w:val="00B7006D"/>
    <w:rsid w:val="00B70D6C"/>
    <w:rsid w:val="00B7214E"/>
    <w:rsid w:val="00B72A51"/>
    <w:rsid w:val="00B7402A"/>
    <w:rsid w:val="00B74786"/>
    <w:rsid w:val="00B7512C"/>
    <w:rsid w:val="00B76E4C"/>
    <w:rsid w:val="00B7704F"/>
    <w:rsid w:val="00B77F52"/>
    <w:rsid w:val="00B8103C"/>
    <w:rsid w:val="00B81BAE"/>
    <w:rsid w:val="00B821B5"/>
    <w:rsid w:val="00B83118"/>
    <w:rsid w:val="00B86C06"/>
    <w:rsid w:val="00B86F74"/>
    <w:rsid w:val="00B87E18"/>
    <w:rsid w:val="00B91103"/>
    <w:rsid w:val="00B91470"/>
    <w:rsid w:val="00B915D4"/>
    <w:rsid w:val="00B91730"/>
    <w:rsid w:val="00B9337F"/>
    <w:rsid w:val="00B950D0"/>
    <w:rsid w:val="00B96C79"/>
    <w:rsid w:val="00B97D88"/>
    <w:rsid w:val="00BA0906"/>
    <w:rsid w:val="00BA23B1"/>
    <w:rsid w:val="00BA3B77"/>
    <w:rsid w:val="00BA4B98"/>
    <w:rsid w:val="00BA4E95"/>
    <w:rsid w:val="00BA53FF"/>
    <w:rsid w:val="00BA6736"/>
    <w:rsid w:val="00BA6DE8"/>
    <w:rsid w:val="00BB1541"/>
    <w:rsid w:val="00BB1D48"/>
    <w:rsid w:val="00BB390C"/>
    <w:rsid w:val="00BB45A6"/>
    <w:rsid w:val="00BB539B"/>
    <w:rsid w:val="00BB59D0"/>
    <w:rsid w:val="00BB5BEA"/>
    <w:rsid w:val="00BB6D44"/>
    <w:rsid w:val="00BB73AE"/>
    <w:rsid w:val="00BC208D"/>
    <w:rsid w:val="00BC2A76"/>
    <w:rsid w:val="00BC37B7"/>
    <w:rsid w:val="00BC3A0D"/>
    <w:rsid w:val="00BC3B15"/>
    <w:rsid w:val="00BC4238"/>
    <w:rsid w:val="00BC45A5"/>
    <w:rsid w:val="00BC4673"/>
    <w:rsid w:val="00BC4831"/>
    <w:rsid w:val="00BC4E7A"/>
    <w:rsid w:val="00BC4EAE"/>
    <w:rsid w:val="00BC57B8"/>
    <w:rsid w:val="00BC65A4"/>
    <w:rsid w:val="00BC67D0"/>
    <w:rsid w:val="00BC742C"/>
    <w:rsid w:val="00BD12CF"/>
    <w:rsid w:val="00BD2291"/>
    <w:rsid w:val="00BD2789"/>
    <w:rsid w:val="00BD2AAE"/>
    <w:rsid w:val="00BD39E9"/>
    <w:rsid w:val="00BD498E"/>
    <w:rsid w:val="00BD4BD0"/>
    <w:rsid w:val="00BD5DC9"/>
    <w:rsid w:val="00BD6929"/>
    <w:rsid w:val="00BD7453"/>
    <w:rsid w:val="00BE0294"/>
    <w:rsid w:val="00BE0703"/>
    <w:rsid w:val="00BE1020"/>
    <w:rsid w:val="00BE2C5B"/>
    <w:rsid w:val="00BE33E3"/>
    <w:rsid w:val="00BE52F8"/>
    <w:rsid w:val="00BE718B"/>
    <w:rsid w:val="00BF08B9"/>
    <w:rsid w:val="00BF133D"/>
    <w:rsid w:val="00BF1D61"/>
    <w:rsid w:val="00BF2599"/>
    <w:rsid w:val="00BF285A"/>
    <w:rsid w:val="00BF3609"/>
    <w:rsid w:val="00BF3A93"/>
    <w:rsid w:val="00BF3DFC"/>
    <w:rsid w:val="00BF4482"/>
    <w:rsid w:val="00BF50C9"/>
    <w:rsid w:val="00BF5604"/>
    <w:rsid w:val="00BF577A"/>
    <w:rsid w:val="00BF6284"/>
    <w:rsid w:val="00BF6EEC"/>
    <w:rsid w:val="00C04073"/>
    <w:rsid w:val="00C04500"/>
    <w:rsid w:val="00C04CBB"/>
    <w:rsid w:val="00C05C06"/>
    <w:rsid w:val="00C05F60"/>
    <w:rsid w:val="00C06F62"/>
    <w:rsid w:val="00C076D0"/>
    <w:rsid w:val="00C10472"/>
    <w:rsid w:val="00C115B0"/>
    <w:rsid w:val="00C11A18"/>
    <w:rsid w:val="00C15E17"/>
    <w:rsid w:val="00C177DD"/>
    <w:rsid w:val="00C2007C"/>
    <w:rsid w:val="00C2046B"/>
    <w:rsid w:val="00C20D00"/>
    <w:rsid w:val="00C20E93"/>
    <w:rsid w:val="00C21BAE"/>
    <w:rsid w:val="00C23B82"/>
    <w:rsid w:val="00C23FFA"/>
    <w:rsid w:val="00C24243"/>
    <w:rsid w:val="00C2428C"/>
    <w:rsid w:val="00C25507"/>
    <w:rsid w:val="00C274DA"/>
    <w:rsid w:val="00C27CAB"/>
    <w:rsid w:val="00C309C7"/>
    <w:rsid w:val="00C31CA2"/>
    <w:rsid w:val="00C324C6"/>
    <w:rsid w:val="00C3390B"/>
    <w:rsid w:val="00C35165"/>
    <w:rsid w:val="00C35267"/>
    <w:rsid w:val="00C35681"/>
    <w:rsid w:val="00C35F69"/>
    <w:rsid w:val="00C36C2D"/>
    <w:rsid w:val="00C372A1"/>
    <w:rsid w:val="00C377D6"/>
    <w:rsid w:val="00C4045A"/>
    <w:rsid w:val="00C40C7B"/>
    <w:rsid w:val="00C40CA3"/>
    <w:rsid w:val="00C40EFF"/>
    <w:rsid w:val="00C413F9"/>
    <w:rsid w:val="00C414AE"/>
    <w:rsid w:val="00C42B57"/>
    <w:rsid w:val="00C42FD2"/>
    <w:rsid w:val="00C4328D"/>
    <w:rsid w:val="00C46644"/>
    <w:rsid w:val="00C46CC1"/>
    <w:rsid w:val="00C47695"/>
    <w:rsid w:val="00C47967"/>
    <w:rsid w:val="00C47AFC"/>
    <w:rsid w:val="00C51B8D"/>
    <w:rsid w:val="00C524A4"/>
    <w:rsid w:val="00C53443"/>
    <w:rsid w:val="00C554D2"/>
    <w:rsid w:val="00C558C0"/>
    <w:rsid w:val="00C55C14"/>
    <w:rsid w:val="00C57850"/>
    <w:rsid w:val="00C57B7B"/>
    <w:rsid w:val="00C608B0"/>
    <w:rsid w:val="00C60A73"/>
    <w:rsid w:val="00C60C8F"/>
    <w:rsid w:val="00C61985"/>
    <w:rsid w:val="00C65B85"/>
    <w:rsid w:val="00C65E53"/>
    <w:rsid w:val="00C666FF"/>
    <w:rsid w:val="00C7014E"/>
    <w:rsid w:val="00C716DE"/>
    <w:rsid w:val="00C723FA"/>
    <w:rsid w:val="00C72933"/>
    <w:rsid w:val="00C73C78"/>
    <w:rsid w:val="00C7588F"/>
    <w:rsid w:val="00C75FE1"/>
    <w:rsid w:val="00C813E7"/>
    <w:rsid w:val="00C81551"/>
    <w:rsid w:val="00C83C1A"/>
    <w:rsid w:val="00C83FD6"/>
    <w:rsid w:val="00C8429E"/>
    <w:rsid w:val="00C84B1F"/>
    <w:rsid w:val="00C84C1D"/>
    <w:rsid w:val="00C85E84"/>
    <w:rsid w:val="00C86134"/>
    <w:rsid w:val="00C9019B"/>
    <w:rsid w:val="00C940E6"/>
    <w:rsid w:val="00C9491E"/>
    <w:rsid w:val="00C965CA"/>
    <w:rsid w:val="00CA0304"/>
    <w:rsid w:val="00CA0307"/>
    <w:rsid w:val="00CA0C8C"/>
    <w:rsid w:val="00CA1271"/>
    <w:rsid w:val="00CA2667"/>
    <w:rsid w:val="00CA456D"/>
    <w:rsid w:val="00CA6BA4"/>
    <w:rsid w:val="00CA7AD4"/>
    <w:rsid w:val="00CB16CF"/>
    <w:rsid w:val="00CB1B5D"/>
    <w:rsid w:val="00CB3332"/>
    <w:rsid w:val="00CB451C"/>
    <w:rsid w:val="00CB4D58"/>
    <w:rsid w:val="00CB50A1"/>
    <w:rsid w:val="00CB754C"/>
    <w:rsid w:val="00CB793F"/>
    <w:rsid w:val="00CC0EF7"/>
    <w:rsid w:val="00CC1613"/>
    <w:rsid w:val="00CC35CE"/>
    <w:rsid w:val="00CC4618"/>
    <w:rsid w:val="00CC4959"/>
    <w:rsid w:val="00CC4A1D"/>
    <w:rsid w:val="00CC4E49"/>
    <w:rsid w:val="00CC68A7"/>
    <w:rsid w:val="00CD269B"/>
    <w:rsid w:val="00CD3297"/>
    <w:rsid w:val="00CD4A84"/>
    <w:rsid w:val="00CD563F"/>
    <w:rsid w:val="00CD634B"/>
    <w:rsid w:val="00CD691B"/>
    <w:rsid w:val="00CD6E75"/>
    <w:rsid w:val="00CD71D1"/>
    <w:rsid w:val="00CD7470"/>
    <w:rsid w:val="00CE0DB4"/>
    <w:rsid w:val="00CE22FC"/>
    <w:rsid w:val="00CE2DFB"/>
    <w:rsid w:val="00CE3A0D"/>
    <w:rsid w:val="00CF06BD"/>
    <w:rsid w:val="00CF285B"/>
    <w:rsid w:val="00CF2C76"/>
    <w:rsid w:val="00CF340B"/>
    <w:rsid w:val="00CF5ADD"/>
    <w:rsid w:val="00CF71CC"/>
    <w:rsid w:val="00CF72C7"/>
    <w:rsid w:val="00CF734E"/>
    <w:rsid w:val="00CF7594"/>
    <w:rsid w:val="00CF77C2"/>
    <w:rsid w:val="00D0306C"/>
    <w:rsid w:val="00D0505F"/>
    <w:rsid w:val="00D05645"/>
    <w:rsid w:val="00D05AB6"/>
    <w:rsid w:val="00D06465"/>
    <w:rsid w:val="00D06D7A"/>
    <w:rsid w:val="00D073AF"/>
    <w:rsid w:val="00D10705"/>
    <w:rsid w:val="00D11BFF"/>
    <w:rsid w:val="00D125D6"/>
    <w:rsid w:val="00D13BCC"/>
    <w:rsid w:val="00D155F9"/>
    <w:rsid w:val="00D15C66"/>
    <w:rsid w:val="00D1639B"/>
    <w:rsid w:val="00D174C5"/>
    <w:rsid w:val="00D21577"/>
    <w:rsid w:val="00D223E9"/>
    <w:rsid w:val="00D229B8"/>
    <w:rsid w:val="00D22C07"/>
    <w:rsid w:val="00D2349A"/>
    <w:rsid w:val="00D23C99"/>
    <w:rsid w:val="00D24945"/>
    <w:rsid w:val="00D24ACF"/>
    <w:rsid w:val="00D25D2E"/>
    <w:rsid w:val="00D25D98"/>
    <w:rsid w:val="00D274DF"/>
    <w:rsid w:val="00D279FC"/>
    <w:rsid w:val="00D3027B"/>
    <w:rsid w:val="00D3158C"/>
    <w:rsid w:val="00D31C32"/>
    <w:rsid w:val="00D31EF2"/>
    <w:rsid w:val="00D3290D"/>
    <w:rsid w:val="00D32B1B"/>
    <w:rsid w:val="00D32FDA"/>
    <w:rsid w:val="00D33300"/>
    <w:rsid w:val="00D3336B"/>
    <w:rsid w:val="00D33946"/>
    <w:rsid w:val="00D3465D"/>
    <w:rsid w:val="00D356D7"/>
    <w:rsid w:val="00D35A64"/>
    <w:rsid w:val="00D360AC"/>
    <w:rsid w:val="00D361E3"/>
    <w:rsid w:val="00D36387"/>
    <w:rsid w:val="00D37F10"/>
    <w:rsid w:val="00D408EE"/>
    <w:rsid w:val="00D413C5"/>
    <w:rsid w:val="00D41B05"/>
    <w:rsid w:val="00D4228A"/>
    <w:rsid w:val="00D43789"/>
    <w:rsid w:val="00D4651C"/>
    <w:rsid w:val="00D47B08"/>
    <w:rsid w:val="00D505F1"/>
    <w:rsid w:val="00D51688"/>
    <w:rsid w:val="00D519D0"/>
    <w:rsid w:val="00D52516"/>
    <w:rsid w:val="00D544DF"/>
    <w:rsid w:val="00D548FC"/>
    <w:rsid w:val="00D54CDC"/>
    <w:rsid w:val="00D56FDB"/>
    <w:rsid w:val="00D57AA4"/>
    <w:rsid w:val="00D57AE0"/>
    <w:rsid w:val="00D60446"/>
    <w:rsid w:val="00D61D1F"/>
    <w:rsid w:val="00D61EA3"/>
    <w:rsid w:val="00D6239B"/>
    <w:rsid w:val="00D6276A"/>
    <w:rsid w:val="00D646EE"/>
    <w:rsid w:val="00D64B6D"/>
    <w:rsid w:val="00D65E80"/>
    <w:rsid w:val="00D672A7"/>
    <w:rsid w:val="00D70664"/>
    <w:rsid w:val="00D7185E"/>
    <w:rsid w:val="00D73672"/>
    <w:rsid w:val="00D749E5"/>
    <w:rsid w:val="00D76F2A"/>
    <w:rsid w:val="00D77E26"/>
    <w:rsid w:val="00D80001"/>
    <w:rsid w:val="00D82433"/>
    <w:rsid w:val="00D845D7"/>
    <w:rsid w:val="00D84DC0"/>
    <w:rsid w:val="00D86112"/>
    <w:rsid w:val="00D9011C"/>
    <w:rsid w:val="00D901A4"/>
    <w:rsid w:val="00D91769"/>
    <w:rsid w:val="00D9197D"/>
    <w:rsid w:val="00D91C13"/>
    <w:rsid w:val="00D91D52"/>
    <w:rsid w:val="00D9273C"/>
    <w:rsid w:val="00D92E87"/>
    <w:rsid w:val="00D97000"/>
    <w:rsid w:val="00D97813"/>
    <w:rsid w:val="00D979E2"/>
    <w:rsid w:val="00D97DA4"/>
    <w:rsid w:val="00DA004C"/>
    <w:rsid w:val="00DA1112"/>
    <w:rsid w:val="00DA2996"/>
    <w:rsid w:val="00DA3839"/>
    <w:rsid w:val="00DA4F5E"/>
    <w:rsid w:val="00DA6116"/>
    <w:rsid w:val="00DA67B2"/>
    <w:rsid w:val="00DB022B"/>
    <w:rsid w:val="00DB0273"/>
    <w:rsid w:val="00DB12EA"/>
    <w:rsid w:val="00DB2851"/>
    <w:rsid w:val="00DC059B"/>
    <w:rsid w:val="00DC08E8"/>
    <w:rsid w:val="00DC3BC9"/>
    <w:rsid w:val="00DC48A3"/>
    <w:rsid w:val="00DC5DE0"/>
    <w:rsid w:val="00DC646C"/>
    <w:rsid w:val="00DC6AE4"/>
    <w:rsid w:val="00DC72A0"/>
    <w:rsid w:val="00DC74C6"/>
    <w:rsid w:val="00DC74D1"/>
    <w:rsid w:val="00DC7C0D"/>
    <w:rsid w:val="00DD09AE"/>
    <w:rsid w:val="00DD19AC"/>
    <w:rsid w:val="00DD249F"/>
    <w:rsid w:val="00DD3358"/>
    <w:rsid w:val="00DD53C6"/>
    <w:rsid w:val="00DD5505"/>
    <w:rsid w:val="00DD7111"/>
    <w:rsid w:val="00DD7574"/>
    <w:rsid w:val="00DD7700"/>
    <w:rsid w:val="00DE0221"/>
    <w:rsid w:val="00DE0D0D"/>
    <w:rsid w:val="00DE1044"/>
    <w:rsid w:val="00DE1CA3"/>
    <w:rsid w:val="00DE4693"/>
    <w:rsid w:val="00DE476C"/>
    <w:rsid w:val="00DE5AB6"/>
    <w:rsid w:val="00DE6726"/>
    <w:rsid w:val="00DE6EB4"/>
    <w:rsid w:val="00DF0F19"/>
    <w:rsid w:val="00DF124B"/>
    <w:rsid w:val="00DF1F95"/>
    <w:rsid w:val="00DF2716"/>
    <w:rsid w:val="00DF4850"/>
    <w:rsid w:val="00DF5320"/>
    <w:rsid w:val="00DF5A53"/>
    <w:rsid w:val="00DF76B8"/>
    <w:rsid w:val="00DF7D8B"/>
    <w:rsid w:val="00E00673"/>
    <w:rsid w:val="00E0389D"/>
    <w:rsid w:val="00E050AC"/>
    <w:rsid w:val="00E0719F"/>
    <w:rsid w:val="00E0778E"/>
    <w:rsid w:val="00E1190F"/>
    <w:rsid w:val="00E11A6C"/>
    <w:rsid w:val="00E11AB3"/>
    <w:rsid w:val="00E1202B"/>
    <w:rsid w:val="00E13B86"/>
    <w:rsid w:val="00E14948"/>
    <w:rsid w:val="00E15BDD"/>
    <w:rsid w:val="00E16ACD"/>
    <w:rsid w:val="00E16EDE"/>
    <w:rsid w:val="00E1702B"/>
    <w:rsid w:val="00E208D9"/>
    <w:rsid w:val="00E20D90"/>
    <w:rsid w:val="00E20DC4"/>
    <w:rsid w:val="00E212E1"/>
    <w:rsid w:val="00E212E6"/>
    <w:rsid w:val="00E21576"/>
    <w:rsid w:val="00E21E01"/>
    <w:rsid w:val="00E2230B"/>
    <w:rsid w:val="00E22906"/>
    <w:rsid w:val="00E22F42"/>
    <w:rsid w:val="00E242F4"/>
    <w:rsid w:val="00E24E09"/>
    <w:rsid w:val="00E25052"/>
    <w:rsid w:val="00E2555B"/>
    <w:rsid w:val="00E25754"/>
    <w:rsid w:val="00E27515"/>
    <w:rsid w:val="00E2766A"/>
    <w:rsid w:val="00E2782D"/>
    <w:rsid w:val="00E3214D"/>
    <w:rsid w:val="00E3217D"/>
    <w:rsid w:val="00E3260F"/>
    <w:rsid w:val="00E34767"/>
    <w:rsid w:val="00E34EC2"/>
    <w:rsid w:val="00E36175"/>
    <w:rsid w:val="00E366EA"/>
    <w:rsid w:val="00E36A5B"/>
    <w:rsid w:val="00E37579"/>
    <w:rsid w:val="00E37EB4"/>
    <w:rsid w:val="00E37FDE"/>
    <w:rsid w:val="00E41B33"/>
    <w:rsid w:val="00E42194"/>
    <w:rsid w:val="00E422B3"/>
    <w:rsid w:val="00E42F7E"/>
    <w:rsid w:val="00E43241"/>
    <w:rsid w:val="00E50063"/>
    <w:rsid w:val="00E50FA1"/>
    <w:rsid w:val="00E520E6"/>
    <w:rsid w:val="00E53273"/>
    <w:rsid w:val="00E53AD4"/>
    <w:rsid w:val="00E53D3A"/>
    <w:rsid w:val="00E54679"/>
    <w:rsid w:val="00E55048"/>
    <w:rsid w:val="00E55CFF"/>
    <w:rsid w:val="00E5617E"/>
    <w:rsid w:val="00E562AD"/>
    <w:rsid w:val="00E5636C"/>
    <w:rsid w:val="00E56B2E"/>
    <w:rsid w:val="00E61BF4"/>
    <w:rsid w:val="00E6210F"/>
    <w:rsid w:val="00E62B66"/>
    <w:rsid w:val="00E6399E"/>
    <w:rsid w:val="00E63A76"/>
    <w:rsid w:val="00E63C76"/>
    <w:rsid w:val="00E640E4"/>
    <w:rsid w:val="00E64978"/>
    <w:rsid w:val="00E666AD"/>
    <w:rsid w:val="00E67F41"/>
    <w:rsid w:val="00E72703"/>
    <w:rsid w:val="00E72C73"/>
    <w:rsid w:val="00E7323D"/>
    <w:rsid w:val="00E736E8"/>
    <w:rsid w:val="00E7439E"/>
    <w:rsid w:val="00E745D5"/>
    <w:rsid w:val="00E75EC7"/>
    <w:rsid w:val="00E76432"/>
    <w:rsid w:val="00E764CB"/>
    <w:rsid w:val="00E76BCF"/>
    <w:rsid w:val="00E77BDE"/>
    <w:rsid w:val="00E77EDC"/>
    <w:rsid w:val="00E8018A"/>
    <w:rsid w:val="00E80E35"/>
    <w:rsid w:val="00E821CB"/>
    <w:rsid w:val="00E821F7"/>
    <w:rsid w:val="00E823A6"/>
    <w:rsid w:val="00E8302C"/>
    <w:rsid w:val="00E83092"/>
    <w:rsid w:val="00E83C3E"/>
    <w:rsid w:val="00E844C1"/>
    <w:rsid w:val="00E86385"/>
    <w:rsid w:val="00E87078"/>
    <w:rsid w:val="00E879DA"/>
    <w:rsid w:val="00E90333"/>
    <w:rsid w:val="00E913EE"/>
    <w:rsid w:val="00E92875"/>
    <w:rsid w:val="00E94891"/>
    <w:rsid w:val="00E9519F"/>
    <w:rsid w:val="00E9537F"/>
    <w:rsid w:val="00E95392"/>
    <w:rsid w:val="00E95E98"/>
    <w:rsid w:val="00E96151"/>
    <w:rsid w:val="00E96B93"/>
    <w:rsid w:val="00E97046"/>
    <w:rsid w:val="00E97EFF"/>
    <w:rsid w:val="00EA0047"/>
    <w:rsid w:val="00EA0676"/>
    <w:rsid w:val="00EA0C60"/>
    <w:rsid w:val="00EA237B"/>
    <w:rsid w:val="00EA3F02"/>
    <w:rsid w:val="00EA7538"/>
    <w:rsid w:val="00EA79F9"/>
    <w:rsid w:val="00EB0683"/>
    <w:rsid w:val="00EB1163"/>
    <w:rsid w:val="00EB1DF4"/>
    <w:rsid w:val="00EB2CF0"/>
    <w:rsid w:val="00EB2D25"/>
    <w:rsid w:val="00EB39EE"/>
    <w:rsid w:val="00EB3A0E"/>
    <w:rsid w:val="00EB5B47"/>
    <w:rsid w:val="00EB6B13"/>
    <w:rsid w:val="00EC13C3"/>
    <w:rsid w:val="00EC1495"/>
    <w:rsid w:val="00EC211C"/>
    <w:rsid w:val="00EC2FAC"/>
    <w:rsid w:val="00EC3AB7"/>
    <w:rsid w:val="00EC42C5"/>
    <w:rsid w:val="00EC54F6"/>
    <w:rsid w:val="00EC5E42"/>
    <w:rsid w:val="00EC6716"/>
    <w:rsid w:val="00EC75B2"/>
    <w:rsid w:val="00EC7845"/>
    <w:rsid w:val="00EC7E2C"/>
    <w:rsid w:val="00ED14EC"/>
    <w:rsid w:val="00ED1993"/>
    <w:rsid w:val="00ED1A46"/>
    <w:rsid w:val="00ED34B0"/>
    <w:rsid w:val="00ED4355"/>
    <w:rsid w:val="00ED72ED"/>
    <w:rsid w:val="00ED79B6"/>
    <w:rsid w:val="00ED7A30"/>
    <w:rsid w:val="00ED7BDD"/>
    <w:rsid w:val="00ED7D1C"/>
    <w:rsid w:val="00EE1FFF"/>
    <w:rsid w:val="00EE2A70"/>
    <w:rsid w:val="00EE3F51"/>
    <w:rsid w:val="00EE5834"/>
    <w:rsid w:val="00EE64B5"/>
    <w:rsid w:val="00EE7F1D"/>
    <w:rsid w:val="00EF0519"/>
    <w:rsid w:val="00EF1494"/>
    <w:rsid w:val="00EF2CC6"/>
    <w:rsid w:val="00EF3DF7"/>
    <w:rsid w:val="00EF485C"/>
    <w:rsid w:val="00EF492A"/>
    <w:rsid w:val="00EF604D"/>
    <w:rsid w:val="00EF67AF"/>
    <w:rsid w:val="00EF7F5D"/>
    <w:rsid w:val="00F00352"/>
    <w:rsid w:val="00F00373"/>
    <w:rsid w:val="00F0063C"/>
    <w:rsid w:val="00F014F9"/>
    <w:rsid w:val="00F033F2"/>
    <w:rsid w:val="00F03A8D"/>
    <w:rsid w:val="00F0560F"/>
    <w:rsid w:val="00F05CAC"/>
    <w:rsid w:val="00F07DE9"/>
    <w:rsid w:val="00F10578"/>
    <w:rsid w:val="00F13D81"/>
    <w:rsid w:val="00F14E21"/>
    <w:rsid w:val="00F16996"/>
    <w:rsid w:val="00F176F0"/>
    <w:rsid w:val="00F20140"/>
    <w:rsid w:val="00F2059F"/>
    <w:rsid w:val="00F221FD"/>
    <w:rsid w:val="00F22ED7"/>
    <w:rsid w:val="00F25295"/>
    <w:rsid w:val="00F25933"/>
    <w:rsid w:val="00F25E0A"/>
    <w:rsid w:val="00F26BE6"/>
    <w:rsid w:val="00F27026"/>
    <w:rsid w:val="00F27B80"/>
    <w:rsid w:val="00F27BC8"/>
    <w:rsid w:val="00F31704"/>
    <w:rsid w:val="00F31C20"/>
    <w:rsid w:val="00F3395F"/>
    <w:rsid w:val="00F345C9"/>
    <w:rsid w:val="00F3546E"/>
    <w:rsid w:val="00F35694"/>
    <w:rsid w:val="00F403E5"/>
    <w:rsid w:val="00F40B6D"/>
    <w:rsid w:val="00F40CAA"/>
    <w:rsid w:val="00F418E8"/>
    <w:rsid w:val="00F41C3C"/>
    <w:rsid w:val="00F423DC"/>
    <w:rsid w:val="00F4436E"/>
    <w:rsid w:val="00F44F41"/>
    <w:rsid w:val="00F45396"/>
    <w:rsid w:val="00F50CC0"/>
    <w:rsid w:val="00F51C84"/>
    <w:rsid w:val="00F52535"/>
    <w:rsid w:val="00F549D2"/>
    <w:rsid w:val="00F54A40"/>
    <w:rsid w:val="00F5565B"/>
    <w:rsid w:val="00F55DAE"/>
    <w:rsid w:val="00F56F9C"/>
    <w:rsid w:val="00F617DA"/>
    <w:rsid w:val="00F61EC3"/>
    <w:rsid w:val="00F620EE"/>
    <w:rsid w:val="00F62405"/>
    <w:rsid w:val="00F633B4"/>
    <w:rsid w:val="00F63446"/>
    <w:rsid w:val="00F63F2A"/>
    <w:rsid w:val="00F642FB"/>
    <w:rsid w:val="00F66B08"/>
    <w:rsid w:val="00F67370"/>
    <w:rsid w:val="00F67B0F"/>
    <w:rsid w:val="00F713F1"/>
    <w:rsid w:val="00F717D5"/>
    <w:rsid w:val="00F71DB3"/>
    <w:rsid w:val="00F71EF2"/>
    <w:rsid w:val="00F71F89"/>
    <w:rsid w:val="00F73FAA"/>
    <w:rsid w:val="00F74314"/>
    <w:rsid w:val="00F7495D"/>
    <w:rsid w:val="00F74C59"/>
    <w:rsid w:val="00F83EDF"/>
    <w:rsid w:val="00F85079"/>
    <w:rsid w:val="00F85C2F"/>
    <w:rsid w:val="00F86065"/>
    <w:rsid w:val="00F86899"/>
    <w:rsid w:val="00F87CBE"/>
    <w:rsid w:val="00F90CBB"/>
    <w:rsid w:val="00F920BB"/>
    <w:rsid w:val="00F93F63"/>
    <w:rsid w:val="00F954EC"/>
    <w:rsid w:val="00F95BD1"/>
    <w:rsid w:val="00F96757"/>
    <w:rsid w:val="00F9778D"/>
    <w:rsid w:val="00FA044B"/>
    <w:rsid w:val="00FA0D59"/>
    <w:rsid w:val="00FA14C1"/>
    <w:rsid w:val="00FA3956"/>
    <w:rsid w:val="00FA43CC"/>
    <w:rsid w:val="00FA454D"/>
    <w:rsid w:val="00FA4C50"/>
    <w:rsid w:val="00FA6CA6"/>
    <w:rsid w:val="00FA6D17"/>
    <w:rsid w:val="00FB3D3C"/>
    <w:rsid w:val="00FB523A"/>
    <w:rsid w:val="00FB53CF"/>
    <w:rsid w:val="00FB65B1"/>
    <w:rsid w:val="00FB7626"/>
    <w:rsid w:val="00FC0045"/>
    <w:rsid w:val="00FC0716"/>
    <w:rsid w:val="00FC11C4"/>
    <w:rsid w:val="00FC2973"/>
    <w:rsid w:val="00FC2D91"/>
    <w:rsid w:val="00FC3927"/>
    <w:rsid w:val="00FC41A7"/>
    <w:rsid w:val="00FC46F3"/>
    <w:rsid w:val="00FC538E"/>
    <w:rsid w:val="00FC5BBB"/>
    <w:rsid w:val="00FC644C"/>
    <w:rsid w:val="00FC70C9"/>
    <w:rsid w:val="00FC7EBC"/>
    <w:rsid w:val="00FD0A62"/>
    <w:rsid w:val="00FD1E2B"/>
    <w:rsid w:val="00FD404B"/>
    <w:rsid w:val="00FD68D8"/>
    <w:rsid w:val="00FD7AC9"/>
    <w:rsid w:val="00FD7DED"/>
    <w:rsid w:val="00FE0A33"/>
    <w:rsid w:val="00FE32AF"/>
    <w:rsid w:val="00FE3FF3"/>
    <w:rsid w:val="00FE779F"/>
    <w:rsid w:val="00FF040C"/>
    <w:rsid w:val="00FF0517"/>
    <w:rsid w:val="00FF1F21"/>
    <w:rsid w:val="00FF2D61"/>
    <w:rsid w:val="00FF3AC7"/>
    <w:rsid w:val="00FF3EE0"/>
    <w:rsid w:val="00FF4746"/>
    <w:rsid w:val="00FF6B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16B4F"/>
  <w15:docId w15:val="{470FFFA2-B01D-41A7-9858-07F71D81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59"/>
    <w:rPr>
      <w:rFonts w:ascii="Arial" w:hAnsi="Arial"/>
      <w:lang w:val="en-AU"/>
    </w:rPr>
  </w:style>
  <w:style w:type="paragraph" w:styleId="Heading1">
    <w:name w:val="heading 1"/>
    <w:basedOn w:val="Normal"/>
    <w:next w:val="Heading2"/>
    <w:qFormat/>
    <w:rsid w:val="009A7B59"/>
    <w:pPr>
      <w:keepNext/>
      <w:numPr>
        <w:numId w:val="8"/>
      </w:numPr>
      <w:spacing w:before="360"/>
      <w:outlineLvl w:val="0"/>
    </w:pPr>
    <w:rPr>
      <w:b/>
      <w:sz w:val="24"/>
    </w:rPr>
  </w:style>
  <w:style w:type="paragraph" w:styleId="Heading2">
    <w:name w:val="heading 2"/>
    <w:basedOn w:val="Normal"/>
    <w:next w:val="BodyText2"/>
    <w:qFormat/>
    <w:rsid w:val="009A7B59"/>
    <w:pPr>
      <w:numPr>
        <w:ilvl w:val="1"/>
        <w:numId w:val="8"/>
      </w:numPr>
      <w:spacing w:before="240"/>
      <w:outlineLvl w:val="1"/>
    </w:pPr>
  </w:style>
  <w:style w:type="paragraph" w:styleId="Heading3">
    <w:name w:val="heading 3"/>
    <w:basedOn w:val="Normal"/>
    <w:qFormat/>
    <w:rsid w:val="009A7B59"/>
    <w:pPr>
      <w:numPr>
        <w:ilvl w:val="2"/>
        <w:numId w:val="8"/>
      </w:numPr>
      <w:spacing w:before="240"/>
      <w:outlineLvl w:val="2"/>
    </w:pPr>
  </w:style>
  <w:style w:type="paragraph" w:styleId="Heading4">
    <w:name w:val="heading 4"/>
    <w:basedOn w:val="Normal"/>
    <w:qFormat/>
    <w:rsid w:val="009A7B59"/>
    <w:pPr>
      <w:numPr>
        <w:ilvl w:val="3"/>
        <w:numId w:val="8"/>
      </w:numPr>
      <w:spacing w:before="240"/>
      <w:outlineLvl w:val="3"/>
    </w:pPr>
  </w:style>
  <w:style w:type="paragraph" w:styleId="Heading5">
    <w:name w:val="heading 5"/>
    <w:basedOn w:val="Normal"/>
    <w:qFormat/>
    <w:rsid w:val="009A7B59"/>
    <w:pPr>
      <w:numPr>
        <w:ilvl w:val="4"/>
        <w:numId w:val="8"/>
      </w:numPr>
      <w:spacing w:before="240"/>
      <w:outlineLvl w:val="4"/>
    </w:pPr>
  </w:style>
  <w:style w:type="paragraph" w:styleId="Heading6">
    <w:name w:val="heading 6"/>
    <w:basedOn w:val="Normal"/>
    <w:qFormat/>
    <w:rsid w:val="009A7B59"/>
    <w:pPr>
      <w:numPr>
        <w:ilvl w:val="5"/>
        <w:numId w:val="8"/>
      </w:numPr>
      <w:spacing w:before="240"/>
      <w:outlineLvl w:val="5"/>
    </w:pPr>
  </w:style>
  <w:style w:type="paragraph" w:styleId="Heading7">
    <w:name w:val="heading 7"/>
    <w:basedOn w:val="Normal"/>
    <w:next w:val="Normal"/>
    <w:qFormat/>
    <w:rsid w:val="009A7B59"/>
    <w:pPr>
      <w:outlineLvl w:val="6"/>
    </w:pPr>
  </w:style>
  <w:style w:type="paragraph" w:styleId="Heading8">
    <w:name w:val="heading 8"/>
    <w:basedOn w:val="Normal"/>
    <w:next w:val="Normal"/>
    <w:qFormat/>
    <w:rsid w:val="009A7B59"/>
    <w:pPr>
      <w:outlineLvl w:val="7"/>
    </w:pPr>
  </w:style>
  <w:style w:type="paragraph" w:styleId="Heading9">
    <w:name w:val="heading 9"/>
    <w:basedOn w:val="Normal"/>
    <w:next w:val="Normal"/>
    <w:qFormat/>
    <w:rsid w:val="009A7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9A7B59"/>
    <w:pPr>
      <w:numPr>
        <w:numId w:val="1"/>
      </w:numPr>
      <w:tabs>
        <w:tab w:val="num" w:pos="360"/>
      </w:tabs>
      <w:spacing w:before="240"/>
      <w:ind w:left="0" w:firstLine="0"/>
      <w:outlineLvl w:val="0"/>
    </w:pPr>
    <w:rPr>
      <w:b/>
      <w:sz w:val="24"/>
    </w:rPr>
  </w:style>
  <w:style w:type="paragraph" w:customStyle="1" w:styleId="AText">
    <w:name w:val="AText"/>
    <w:basedOn w:val="Normal"/>
    <w:rsid w:val="009A7B59"/>
    <w:pPr>
      <w:keepLines/>
    </w:pPr>
  </w:style>
  <w:style w:type="paragraph" w:customStyle="1" w:styleId="AuthorPageDate1">
    <w:name w:val="Author  Page #  Date1"/>
    <w:rsid w:val="009A7B59"/>
    <w:rPr>
      <w:sz w:val="24"/>
      <w:szCs w:val="24"/>
      <w:lang w:val="en-AU"/>
    </w:rPr>
  </w:style>
  <w:style w:type="paragraph" w:styleId="BodyText">
    <w:name w:val="Body Text"/>
    <w:basedOn w:val="Normal"/>
    <w:link w:val="BodyTextChar"/>
    <w:rsid w:val="009A7B59"/>
    <w:pPr>
      <w:tabs>
        <w:tab w:val="left" w:pos="1701"/>
      </w:tabs>
    </w:pPr>
  </w:style>
  <w:style w:type="paragraph" w:customStyle="1" w:styleId="BodyText1">
    <w:name w:val="Body Text 1"/>
    <w:basedOn w:val="Normal"/>
    <w:rsid w:val="009A7B59"/>
    <w:pPr>
      <w:spacing w:before="240"/>
    </w:pPr>
  </w:style>
  <w:style w:type="paragraph" w:styleId="BodyText2">
    <w:name w:val="Body Text 2"/>
    <w:basedOn w:val="Normal"/>
    <w:link w:val="BodyText2Char"/>
    <w:rsid w:val="009A7B59"/>
    <w:pPr>
      <w:spacing w:before="240"/>
      <w:ind w:left="709"/>
    </w:pPr>
  </w:style>
  <w:style w:type="paragraph" w:styleId="BodyText3">
    <w:name w:val="Body Text 3"/>
    <w:basedOn w:val="Normal"/>
    <w:rsid w:val="009A7B59"/>
    <w:pPr>
      <w:spacing w:before="240"/>
      <w:ind w:left="1418"/>
    </w:pPr>
  </w:style>
  <w:style w:type="paragraph" w:customStyle="1" w:styleId="BodyText4">
    <w:name w:val="Body Text 4"/>
    <w:basedOn w:val="Normal"/>
    <w:rsid w:val="009A7B59"/>
    <w:pPr>
      <w:spacing w:before="240"/>
      <w:ind w:left="2126"/>
    </w:pPr>
  </w:style>
  <w:style w:type="paragraph" w:customStyle="1" w:styleId="BodyText5">
    <w:name w:val="Body Text 5"/>
    <w:basedOn w:val="Normal"/>
    <w:rsid w:val="009A7B59"/>
    <w:pPr>
      <w:spacing w:before="240"/>
      <w:ind w:left="2835"/>
    </w:pPr>
  </w:style>
  <w:style w:type="paragraph" w:customStyle="1" w:styleId="BodyText6">
    <w:name w:val="Body Text 6"/>
    <w:basedOn w:val="Normal"/>
    <w:rsid w:val="009A7B59"/>
    <w:pPr>
      <w:spacing w:before="240"/>
      <w:ind w:left="3544"/>
    </w:pPr>
  </w:style>
  <w:style w:type="paragraph" w:styleId="Caption">
    <w:name w:val="caption"/>
    <w:basedOn w:val="Normal"/>
    <w:next w:val="Normal"/>
    <w:rsid w:val="009A7B59"/>
    <w:pPr>
      <w:spacing w:before="120" w:after="120"/>
    </w:pPr>
    <w:rPr>
      <w:b/>
    </w:rPr>
  </w:style>
  <w:style w:type="paragraph" w:customStyle="1" w:styleId="CommentBox">
    <w:name w:val="Comment Box"/>
    <w:basedOn w:val="Normal"/>
    <w:rsid w:val="009A7B59"/>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sid w:val="009A7B59"/>
    <w:rPr>
      <w:sz w:val="16"/>
    </w:rPr>
  </w:style>
  <w:style w:type="paragraph" w:customStyle="1" w:styleId="Disclaimer">
    <w:name w:val="Disclaimer"/>
    <w:basedOn w:val="Footer"/>
    <w:rsid w:val="009A7B59"/>
    <w:pPr>
      <w:jc w:val="center"/>
    </w:pPr>
    <w:rPr>
      <w:rFonts w:ascii="Times New Roman" w:hAnsi="Times New Roman"/>
      <w:b/>
      <w:i/>
      <w:sz w:val="18"/>
    </w:rPr>
  </w:style>
  <w:style w:type="paragraph" w:customStyle="1" w:styleId="Fax">
    <w:name w:val="Fax"/>
    <w:basedOn w:val="Normal"/>
    <w:rsid w:val="009A7B59"/>
    <w:pPr>
      <w:tabs>
        <w:tab w:val="left" w:pos="2694"/>
      </w:tabs>
      <w:spacing w:line="360" w:lineRule="auto"/>
      <w:ind w:left="2693" w:hanging="2693"/>
    </w:pPr>
    <w:rPr>
      <w:b/>
    </w:rPr>
  </w:style>
  <w:style w:type="paragraph" w:customStyle="1" w:styleId="FaxHeader">
    <w:name w:val="FaxHeader"/>
    <w:basedOn w:val="Normal"/>
    <w:rsid w:val="009A7B59"/>
    <w:pPr>
      <w:tabs>
        <w:tab w:val="left" w:pos="2693"/>
      </w:tabs>
      <w:ind w:left="2693" w:hanging="2693"/>
    </w:pPr>
  </w:style>
  <w:style w:type="paragraph" w:styleId="Header">
    <w:name w:val="header"/>
    <w:basedOn w:val="Normal"/>
    <w:rsid w:val="009A7B59"/>
  </w:style>
  <w:style w:type="character" w:styleId="Hyperlink">
    <w:name w:val="Hyperlink"/>
    <w:basedOn w:val="DefaultParagraphFont"/>
    <w:rsid w:val="009A7B59"/>
    <w:rPr>
      <w:color w:val="0000FF"/>
      <w:u w:val="single"/>
    </w:rPr>
  </w:style>
  <w:style w:type="paragraph" w:customStyle="1" w:styleId="Item">
    <w:name w:val="Item"/>
    <w:next w:val="BodyText3"/>
    <w:rsid w:val="009A7B59"/>
    <w:pPr>
      <w:keepNext/>
      <w:numPr>
        <w:numId w:val="9"/>
      </w:numPr>
      <w:spacing w:before="240"/>
    </w:pPr>
    <w:rPr>
      <w:rFonts w:ascii="Arial" w:hAnsi="Arial"/>
      <w:b/>
      <w:lang w:val="en-AU"/>
    </w:rPr>
  </w:style>
  <w:style w:type="character" w:styleId="PageNumber">
    <w:name w:val="page number"/>
    <w:basedOn w:val="DefaultParagraphFont"/>
    <w:rsid w:val="009A7B59"/>
    <w:rPr>
      <w:sz w:val="20"/>
    </w:rPr>
  </w:style>
  <w:style w:type="paragraph" w:customStyle="1" w:styleId="Recital">
    <w:name w:val="Recital"/>
    <w:basedOn w:val="Normal"/>
    <w:rsid w:val="009A7B59"/>
    <w:pPr>
      <w:numPr>
        <w:numId w:val="11"/>
      </w:numPr>
      <w:spacing w:before="240"/>
    </w:pPr>
  </w:style>
  <w:style w:type="paragraph" w:customStyle="1" w:styleId="Schedule">
    <w:name w:val="Schedule"/>
    <w:basedOn w:val="Normal"/>
    <w:next w:val="BodyText1"/>
    <w:rsid w:val="009A7B59"/>
    <w:pPr>
      <w:keepNext/>
      <w:numPr>
        <w:numId w:val="12"/>
      </w:numPr>
      <w:spacing w:before="480"/>
      <w:outlineLvl w:val="0"/>
    </w:pPr>
    <w:rPr>
      <w:b/>
      <w:sz w:val="24"/>
    </w:rPr>
  </w:style>
  <w:style w:type="paragraph" w:styleId="Subtitle">
    <w:name w:val="Subtitle"/>
    <w:basedOn w:val="Normal"/>
    <w:next w:val="BodyText1"/>
    <w:qFormat/>
    <w:rsid w:val="009A7B59"/>
    <w:pPr>
      <w:keepNext/>
      <w:spacing w:before="480"/>
    </w:pPr>
    <w:rPr>
      <w:b/>
      <w:sz w:val="24"/>
    </w:rPr>
  </w:style>
  <w:style w:type="paragraph" w:customStyle="1" w:styleId="TableText">
    <w:name w:val="Table Text"/>
    <w:basedOn w:val="Normal"/>
    <w:rsid w:val="009A7B59"/>
    <w:pPr>
      <w:spacing w:before="60" w:after="60"/>
    </w:pPr>
  </w:style>
  <w:style w:type="paragraph" w:styleId="Title">
    <w:name w:val="Title"/>
    <w:basedOn w:val="Normal"/>
    <w:next w:val="Normal"/>
    <w:qFormat/>
    <w:rsid w:val="009A7B59"/>
    <w:pPr>
      <w:spacing w:after="360"/>
    </w:pPr>
    <w:rPr>
      <w:b/>
      <w:sz w:val="40"/>
    </w:rPr>
  </w:style>
  <w:style w:type="paragraph" w:styleId="TOC1">
    <w:name w:val="toc 1"/>
    <w:basedOn w:val="Normal"/>
    <w:next w:val="Normal"/>
    <w:semiHidden/>
    <w:rsid w:val="009A7B59"/>
    <w:pPr>
      <w:tabs>
        <w:tab w:val="right" w:leader="dot" w:pos="8789"/>
      </w:tabs>
      <w:spacing w:before="60" w:after="60"/>
      <w:ind w:left="709" w:right="425" w:hanging="709"/>
      <w:outlineLvl w:val="0"/>
    </w:pPr>
  </w:style>
  <w:style w:type="paragraph" w:styleId="TOC2">
    <w:name w:val="toc 2"/>
    <w:basedOn w:val="Normal"/>
    <w:next w:val="Normal"/>
    <w:semiHidden/>
    <w:rsid w:val="009A7B59"/>
    <w:pPr>
      <w:tabs>
        <w:tab w:val="right" w:leader="dot" w:pos="8789"/>
      </w:tabs>
      <w:spacing w:before="60" w:after="60"/>
      <w:ind w:left="1418" w:right="425" w:hanging="709"/>
      <w:outlineLvl w:val="0"/>
    </w:pPr>
  </w:style>
  <w:style w:type="paragraph" w:styleId="TOC3">
    <w:name w:val="toc 3"/>
    <w:basedOn w:val="Normal"/>
    <w:next w:val="Normal"/>
    <w:semiHidden/>
    <w:rsid w:val="009A7B59"/>
    <w:pPr>
      <w:tabs>
        <w:tab w:val="right" w:pos="7938"/>
      </w:tabs>
      <w:spacing w:before="60" w:after="60"/>
      <w:ind w:left="442"/>
    </w:pPr>
  </w:style>
  <w:style w:type="paragraph" w:styleId="TOC4">
    <w:name w:val="toc 4"/>
    <w:basedOn w:val="Normal"/>
    <w:next w:val="Normal"/>
    <w:semiHidden/>
    <w:rsid w:val="009A7B59"/>
    <w:pPr>
      <w:tabs>
        <w:tab w:val="right" w:leader="dot" w:pos="8789"/>
      </w:tabs>
      <w:spacing w:before="60" w:after="60"/>
      <w:ind w:left="709" w:right="425" w:hanging="709"/>
    </w:pPr>
  </w:style>
  <w:style w:type="paragraph" w:styleId="TOC5">
    <w:name w:val="toc 5"/>
    <w:basedOn w:val="Normal"/>
    <w:next w:val="Normal"/>
    <w:semiHidden/>
    <w:rsid w:val="009A7B59"/>
    <w:pPr>
      <w:tabs>
        <w:tab w:val="right" w:leader="dot" w:pos="8789"/>
      </w:tabs>
      <w:spacing w:before="60" w:after="60"/>
      <w:ind w:left="709" w:right="425" w:hanging="709"/>
    </w:pPr>
  </w:style>
  <w:style w:type="paragraph" w:styleId="TOC6">
    <w:name w:val="toc 6"/>
    <w:basedOn w:val="Normal"/>
    <w:next w:val="Normal"/>
    <w:semiHidden/>
    <w:rsid w:val="009A7B59"/>
    <w:pPr>
      <w:tabs>
        <w:tab w:val="right" w:leader="dot" w:pos="8789"/>
      </w:tabs>
      <w:spacing w:before="60" w:after="60"/>
      <w:ind w:left="709" w:right="425" w:hanging="709"/>
    </w:pPr>
  </w:style>
  <w:style w:type="paragraph" w:styleId="TOC7">
    <w:name w:val="toc 7"/>
    <w:basedOn w:val="Normal"/>
    <w:next w:val="Normal"/>
    <w:semiHidden/>
    <w:rsid w:val="009A7B59"/>
    <w:pPr>
      <w:tabs>
        <w:tab w:val="right" w:pos="8789"/>
      </w:tabs>
      <w:spacing w:before="60" w:after="60"/>
      <w:ind w:left="709" w:right="425" w:hanging="709"/>
    </w:pPr>
  </w:style>
  <w:style w:type="paragraph" w:styleId="TOC8">
    <w:name w:val="toc 8"/>
    <w:basedOn w:val="Normal"/>
    <w:next w:val="Normal"/>
    <w:semiHidden/>
    <w:rsid w:val="009A7B59"/>
    <w:pPr>
      <w:tabs>
        <w:tab w:val="right" w:leader="dot" w:pos="8789"/>
      </w:tabs>
      <w:spacing w:before="60" w:after="60"/>
      <w:ind w:left="709" w:right="425" w:hanging="709"/>
      <w:outlineLvl w:val="0"/>
    </w:pPr>
  </w:style>
  <w:style w:type="paragraph" w:styleId="TOC9">
    <w:name w:val="toc 9"/>
    <w:basedOn w:val="Normal"/>
    <w:next w:val="Normal"/>
    <w:semiHidden/>
    <w:rsid w:val="009A7B59"/>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9A7B59"/>
    <w:rPr>
      <w:rFonts w:ascii="Arial" w:hAnsi="Arial"/>
      <w:lang w:val="en-AU"/>
    </w:rPr>
  </w:style>
  <w:style w:type="paragraph" w:styleId="FootnoteText">
    <w:name w:val="footnote text"/>
    <w:basedOn w:val="Normal"/>
    <w:link w:val="FootnoteTextChar"/>
    <w:uiPriority w:val="99"/>
    <w:rsid w:val="009A7B59"/>
    <w:rPr>
      <w:sz w:val="18"/>
    </w:rPr>
  </w:style>
  <w:style w:type="character" w:customStyle="1" w:styleId="FootnoteTextChar">
    <w:name w:val="Footnote Text Char"/>
    <w:basedOn w:val="DefaultParagraphFont"/>
    <w:link w:val="FootnoteText"/>
    <w:uiPriority w:val="99"/>
    <w:rsid w:val="009A7B59"/>
    <w:rPr>
      <w:rFonts w:ascii="Arial" w:hAnsi="Arial"/>
      <w:sz w:val="18"/>
      <w:lang w:val="en-AU"/>
    </w:rPr>
  </w:style>
  <w:style w:type="paragraph" w:customStyle="1" w:styleId="NRFABullet1">
    <w:name w:val="NRFA Bullet 1"/>
    <w:basedOn w:val="BodyText2"/>
    <w:qFormat/>
    <w:rsid w:val="009A7B59"/>
    <w:pPr>
      <w:numPr>
        <w:numId w:val="10"/>
      </w:numPr>
      <w:tabs>
        <w:tab w:val="left" w:pos="709"/>
      </w:tabs>
      <w:outlineLvl w:val="0"/>
    </w:pPr>
  </w:style>
  <w:style w:type="paragraph" w:customStyle="1" w:styleId="NRFABullet2">
    <w:name w:val="NRFA Bullet 2"/>
    <w:basedOn w:val="NRFABullet1"/>
    <w:qFormat/>
    <w:rsid w:val="009A7B59"/>
    <w:pPr>
      <w:numPr>
        <w:ilvl w:val="1"/>
      </w:numPr>
      <w:outlineLvl w:val="1"/>
    </w:pPr>
  </w:style>
  <w:style w:type="table" w:customStyle="1" w:styleId="NRFATable">
    <w:name w:val="NRFA Table"/>
    <w:basedOn w:val="TableNormal"/>
    <w:rsid w:val="009A7B59"/>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9A7B59"/>
    <w:pPr>
      <w:keepNext/>
      <w:widowControl w:val="0"/>
      <w:numPr>
        <w:numId w:val="13"/>
      </w:numPr>
      <w:spacing w:before="240"/>
      <w:outlineLvl w:val="0"/>
    </w:pPr>
    <w:rPr>
      <w:b/>
    </w:rPr>
  </w:style>
  <w:style w:type="paragraph" w:customStyle="1" w:styleId="ScheduleNumbering2">
    <w:name w:val="Schedule Numbering 2"/>
    <w:basedOn w:val="Normal"/>
    <w:rsid w:val="009A7B59"/>
    <w:pPr>
      <w:numPr>
        <w:ilvl w:val="1"/>
        <w:numId w:val="13"/>
      </w:numPr>
      <w:spacing w:before="240"/>
      <w:outlineLvl w:val="1"/>
    </w:pPr>
  </w:style>
  <w:style w:type="paragraph" w:customStyle="1" w:styleId="ScheduleNumbering3">
    <w:name w:val="Schedule Numbering 3"/>
    <w:basedOn w:val="Normal"/>
    <w:rsid w:val="009A7B59"/>
    <w:pPr>
      <w:numPr>
        <w:ilvl w:val="2"/>
        <w:numId w:val="13"/>
      </w:numPr>
      <w:spacing w:before="240"/>
      <w:outlineLvl w:val="2"/>
    </w:pPr>
  </w:style>
  <w:style w:type="paragraph" w:customStyle="1" w:styleId="ScheduleNumbering4">
    <w:name w:val="Schedule Numbering 4"/>
    <w:basedOn w:val="Normal"/>
    <w:rsid w:val="009A7B59"/>
    <w:pPr>
      <w:numPr>
        <w:ilvl w:val="3"/>
        <w:numId w:val="13"/>
      </w:numPr>
      <w:spacing w:before="240"/>
      <w:outlineLvl w:val="3"/>
    </w:pPr>
  </w:style>
  <w:style w:type="paragraph" w:customStyle="1" w:styleId="ScheduleNumbering5">
    <w:name w:val="Schedule Numbering 5"/>
    <w:basedOn w:val="Normal"/>
    <w:rsid w:val="009A7B59"/>
    <w:pPr>
      <w:numPr>
        <w:ilvl w:val="4"/>
        <w:numId w:val="13"/>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rsid w:val="009A7B59"/>
    <w:pPr>
      <w:keepNext/>
      <w:numPr>
        <w:numId w:val="3"/>
      </w:numPr>
      <w:spacing w:before="360"/>
    </w:pPr>
    <w:rPr>
      <w:b/>
      <w:sz w:val="24"/>
    </w:rPr>
  </w:style>
  <w:style w:type="paragraph" w:customStyle="1" w:styleId="BilingualHeading2">
    <w:name w:val="Bilingual Heading 2"/>
    <w:basedOn w:val="Normal"/>
    <w:next w:val="BodyText2"/>
    <w:unhideWhenUsed/>
    <w:rsid w:val="009A7B59"/>
    <w:pPr>
      <w:numPr>
        <w:ilvl w:val="1"/>
        <w:numId w:val="3"/>
      </w:numPr>
      <w:spacing w:before="240"/>
    </w:pPr>
  </w:style>
  <w:style w:type="paragraph" w:customStyle="1" w:styleId="BilingualHeading3">
    <w:name w:val="Bilingual Heading 3"/>
    <w:basedOn w:val="Normal"/>
    <w:unhideWhenUsed/>
    <w:rsid w:val="009A7B59"/>
    <w:pPr>
      <w:numPr>
        <w:ilvl w:val="2"/>
        <w:numId w:val="3"/>
      </w:numPr>
      <w:spacing w:before="240"/>
    </w:pPr>
  </w:style>
  <w:style w:type="paragraph" w:customStyle="1" w:styleId="BilingualHeading4">
    <w:name w:val="Bilingual Heading 4"/>
    <w:basedOn w:val="Normal"/>
    <w:unhideWhenUsed/>
    <w:rsid w:val="009A7B59"/>
    <w:pPr>
      <w:numPr>
        <w:ilvl w:val="3"/>
        <w:numId w:val="3"/>
      </w:numPr>
      <w:spacing w:before="240"/>
    </w:pPr>
  </w:style>
  <w:style w:type="paragraph" w:customStyle="1" w:styleId="BilingualHeading5">
    <w:name w:val="Bilingual Heading 5"/>
    <w:basedOn w:val="Normal"/>
    <w:unhideWhenUsed/>
    <w:rsid w:val="009A7B59"/>
    <w:pPr>
      <w:numPr>
        <w:ilvl w:val="4"/>
        <w:numId w:val="3"/>
      </w:numPr>
      <w:spacing w:before="240"/>
    </w:pPr>
  </w:style>
  <w:style w:type="paragraph" w:customStyle="1" w:styleId="BilingualHeading6">
    <w:name w:val="Bilingual Heading 6"/>
    <w:basedOn w:val="Normal"/>
    <w:unhideWhenUsed/>
    <w:rsid w:val="009A7B59"/>
    <w:pPr>
      <w:numPr>
        <w:ilvl w:val="5"/>
        <w:numId w:val="3"/>
      </w:numPr>
      <w:spacing w:before="240"/>
    </w:pPr>
  </w:style>
  <w:style w:type="table" w:customStyle="1" w:styleId="BilingualTable">
    <w:name w:val="Bilingual Table"/>
    <w:basedOn w:val="TableNormal"/>
    <w:uiPriority w:val="99"/>
    <w:rsid w:val="009A7B59"/>
    <w:rPr>
      <w:rFonts w:ascii="Arial" w:hAnsi="Arial"/>
    </w:rPr>
    <w:tblPr/>
  </w:style>
  <w:style w:type="paragraph" w:customStyle="1" w:styleId="BilingualAnnexure">
    <w:name w:val="Bilingual Annexure"/>
    <w:basedOn w:val="Normal"/>
    <w:next w:val="BodyText1"/>
    <w:rsid w:val="009A7B59"/>
    <w:pPr>
      <w:numPr>
        <w:numId w:val="2"/>
      </w:numPr>
      <w:spacing w:before="240"/>
      <w:outlineLvl w:val="0"/>
    </w:pPr>
    <w:rPr>
      <w:b/>
      <w:sz w:val="24"/>
    </w:rPr>
  </w:style>
  <w:style w:type="table" w:styleId="TableGrid">
    <w:name w:val="Table Grid"/>
    <w:basedOn w:val="TableNormal"/>
    <w:rsid w:val="009A7B5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9A7B59"/>
    <w:pPr>
      <w:keepNext/>
      <w:numPr>
        <w:numId w:val="4"/>
      </w:numPr>
      <w:spacing w:before="240"/>
    </w:pPr>
    <w:rPr>
      <w:rFonts w:ascii="Arial" w:hAnsi="Arial"/>
      <w:b/>
      <w:lang w:val="en-AU"/>
    </w:rPr>
  </w:style>
  <w:style w:type="paragraph" w:customStyle="1" w:styleId="BilingualRecital">
    <w:name w:val="Bilingual Recital"/>
    <w:basedOn w:val="Normal"/>
    <w:rsid w:val="009A7B59"/>
    <w:pPr>
      <w:numPr>
        <w:numId w:val="5"/>
      </w:numPr>
      <w:spacing w:before="240"/>
    </w:pPr>
  </w:style>
  <w:style w:type="paragraph" w:customStyle="1" w:styleId="BilingualSchedule">
    <w:name w:val="Bilingual Schedule"/>
    <w:basedOn w:val="Normal"/>
    <w:next w:val="BodyText1"/>
    <w:rsid w:val="009A7B59"/>
    <w:pPr>
      <w:keepNext/>
      <w:numPr>
        <w:numId w:val="6"/>
      </w:numPr>
      <w:spacing w:before="480"/>
      <w:outlineLvl w:val="0"/>
    </w:pPr>
    <w:rPr>
      <w:b/>
      <w:sz w:val="24"/>
    </w:rPr>
  </w:style>
  <w:style w:type="paragraph" w:customStyle="1" w:styleId="BilingualScheduleNumbering1">
    <w:name w:val="Bilingual Schedule Numbering 1"/>
    <w:basedOn w:val="Normal"/>
    <w:next w:val="Normal"/>
    <w:rsid w:val="009A7B59"/>
    <w:pPr>
      <w:keepNext/>
      <w:widowControl w:val="0"/>
      <w:numPr>
        <w:numId w:val="7"/>
      </w:numPr>
      <w:spacing w:before="240"/>
      <w:outlineLvl w:val="0"/>
    </w:pPr>
    <w:rPr>
      <w:b/>
    </w:rPr>
  </w:style>
  <w:style w:type="paragraph" w:customStyle="1" w:styleId="BilingualScheduleNumbering2">
    <w:name w:val="Bilingual Schedule Numbering 2"/>
    <w:basedOn w:val="Normal"/>
    <w:rsid w:val="009A7B59"/>
    <w:pPr>
      <w:numPr>
        <w:ilvl w:val="1"/>
        <w:numId w:val="7"/>
      </w:numPr>
      <w:spacing w:before="240"/>
      <w:outlineLvl w:val="1"/>
    </w:pPr>
  </w:style>
  <w:style w:type="paragraph" w:customStyle="1" w:styleId="BilingualScheduleNumbering3">
    <w:name w:val="Bilingual Schedule Numbering 3"/>
    <w:basedOn w:val="Normal"/>
    <w:rsid w:val="009A7B59"/>
    <w:pPr>
      <w:numPr>
        <w:ilvl w:val="2"/>
        <w:numId w:val="7"/>
      </w:numPr>
      <w:spacing w:before="240"/>
      <w:outlineLvl w:val="2"/>
    </w:pPr>
  </w:style>
  <w:style w:type="paragraph" w:customStyle="1" w:styleId="BilingualScheduleNumbering4">
    <w:name w:val="Bilingual Schedule Numbering 4"/>
    <w:basedOn w:val="Normal"/>
    <w:rsid w:val="009A7B59"/>
    <w:pPr>
      <w:numPr>
        <w:ilvl w:val="3"/>
        <w:numId w:val="7"/>
      </w:numPr>
      <w:spacing w:before="240"/>
      <w:outlineLvl w:val="3"/>
    </w:pPr>
  </w:style>
  <w:style w:type="paragraph" w:customStyle="1" w:styleId="BilingualScheduleNumbering5">
    <w:name w:val="Bilingual Schedule Numbering 5"/>
    <w:basedOn w:val="Normal"/>
    <w:rsid w:val="009A7B59"/>
    <w:pPr>
      <w:numPr>
        <w:ilvl w:val="4"/>
        <w:numId w:val="7"/>
      </w:numPr>
      <w:spacing w:before="240"/>
      <w:outlineLvl w:val="4"/>
    </w:pPr>
  </w:style>
  <w:style w:type="paragraph" w:styleId="ListParagraph">
    <w:name w:val="List Paragraph"/>
    <w:basedOn w:val="Normal"/>
    <w:uiPriority w:val="34"/>
    <w:qFormat/>
    <w:rsid w:val="00BE0294"/>
    <w:pPr>
      <w:ind w:left="720"/>
      <w:contextualSpacing/>
    </w:pPr>
  </w:style>
  <w:style w:type="paragraph" w:customStyle="1" w:styleId="Default">
    <w:name w:val="Default"/>
    <w:rsid w:val="00B01D5D"/>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rsid w:val="000F072B"/>
    <w:rPr>
      <w:rFonts w:ascii="Times New Roman" w:hAnsi="Times New Roman"/>
      <w:sz w:val="24"/>
      <w:szCs w:val="24"/>
    </w:rPr>
  </w:style>
  <w:style w:type="character" w:styleId="FootnoteReference">
    <w:name w:val="footnote reference"/>
    <w:basedOn w:val="DefaultParagraphFont"/>
    <w:uiPriority w:val="99"/>
    <w:rsid w:val="00E92875"/>
    <w:rPr>
      <w:vertAlign w:val="superscript"/>
    </w:rPr>
  </w:style>
  <w:style w:type="character" w:customStyle="1" w:styleId="BodyText2Char">
    <w:name w:val="Body Text 2 Char"/>
    <w:basedOn w:val="DefaultParagraphFont"/>
    <w:link w:val="BodyText2"/>
    <w:rsid w:val="0027393F"/>
    <w:rPr>
      <w:rFonts w:ascii="Arial" w:hAnsi="Arial"/>
      <w:lang w:val="en-AU"/>
    </w:rPr>
  </w:style>
  <w:style w:type="paragraph" w:styleId="EndnoteText">
    <w:name w:val="endnote text"/>
    <w:basedOn w:val="Normal"/>
    <w:link w:val="EndnoteTextChar"/>
    <w:rsid w:val="00BB390C"/>
  </w:style>
  <w:style w:type="character" w:customStyle="1" w:styleId="EndnoteTextChar">
    <w:name w:val="Endnote Text Char"/>
    <w:basedOn w:val="DefaultParagraphFont"/>
    <w:link w:val="EndnoteText"/>
    <w:rsid w:val="00BB390C"/>
    <w:rPr>
      <w:rFonts w:ascii="Arial" w:hAnsi="Arial"/>
      <w:lang w:val="en-AU"/>
    </w:rPr>
  </w:style>
  <w:style w:type="character" w:styleId="EndnoteReference">
    <w:name w:val="endnote reference"/>
    <w:basedOn w:val="DefaultParagraphFont"/>
    <w:rsid w:val="00BB390C"/>
    <w:rPr>
      <w:vertAlign w:val="superscript"/>
    </w:rPr>
  </w:style>
  <w:style w:type="character" w:styleId="UnresolvedMention">
    <w:name w:val="Unresolved Mention"/>
    <w:basedOn w:val="DefaultParagraphFont"/>
    <w:uiPriority w:val="99"/>
    <w:semiHidden/>
    <w:unhideWhenUsed/>
    <w:rsid w:val="00173C6B"/>
    <w:rPr>
      <w:color w:val="605E5C"/>
      <w:shd w:val="clear" w:color="auto" w:fill="E1DFDD"/>
    </w:rPr>
  </w:style>
  <w:style w:type="paragraph" w:styleId="Revision">
    <w:name w:val="Revision"/>
    <w:hidden/>
    <w:uiPriority w:val="99"/>
    <w:semiHidden/>
    <w:rsid w:val="00007635"/>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austlii.edu.au/au/other/lawreform/ALRC/1988/45.pdf?__cf_chl_f_tk=BYXv1isoIhSwVRQtp3h1NR8yKoLN9IqSX62nhnVHh6Y-1782789072-1.0.1.1-ncw_IDKWYamIH10CsHYyQuIiNGD4i2uX.tbhhfM861o" TargetMode="External"/><Relationship Id="rId13" Type="http://schemas.openxmlformats.org/officeDocument/2006/relationships/hyperlink" Target="https://www.pc.gov.au/inquiries/completed/business" TargetMode="External"/><Relationship Id="rId3" Type="http://schemas.openxmlformats.org/officeDocument/2006/relationships/hyperlink" Target="https://www.worldbank.org/en/publication/wdr2022" TargetMode="External"/><Relationship Id="rId7" Type="http://schemas.openxmlformats.org/officeDocument/2006/relationships/hyperlink" Target="https://www.aph.gov.au/Parliamentary_Business/Committees/Joint/Corporations_and_Financial_Services/CorporateInsolvency/Report" TargetMode="External"/><Relationship Id="rId12" Type="http://schemas.openxmlformats.org/officeDocument/2006/relationships/hyperlink" Target="https://arita.com.au/common/Uploaded%20files/Technical/arita-policies-position-paper-february-2015-v1-0.pdf" TargetMode="External"/><Relationship Id="rId2" Type="http://schemas.openxmlformats.org/officeDocument/2006/relationships/hyperlink" Target="https://www.austlii.edu.au/au/other/lawreform/ALRC/1988/45.pdf?__cf_chl_f_tk=BYXv1isoIhSwVRQtp3h1NR8yKoLN9IqSX62nhnVHh6Y-1782789072-1.0.1.1-ncw_IDKWYamIH10CsHYyQuIiNGD4i2uX.tbhhfM861o" TargetMode="External"/><Relationship Id="rId1" Type="http://schemas.openxmlformats.org/officeDocument/2006/relationships/hyperlink" Target="https://ministers.treasury.gov.au/ministers/andrew-leigh-2025/speeches/address-australian-restructuring-insolvency-and-turnaround" TargetMode="External"/><Relationship Id="rId6" Type="http://schemas.openxmlformats.org/officeDocument/2006/relationships/hyperlink" Target="https://www.hcourt.gov.au/sites/default/files/assets/publications/speeches/current-justices/edelmanj/EdelmanJ14Jan2019.pdf" TargetMode="External"/><Relationship Id="rId11" Type="http://schemas.openxmlformats.org/officeDocument/2006/relationships/hyperlink" Target="https://www.gov.uk/government/publications/graham-review-into-pre-pack-administration" TargetMode="External"/><Relationship Id="rId5" Type="http://schemas.openxmlformats.org/officeDocument/2006/relationships/hyperlink" Target="https://www.aph.gov.au/Parliamentary_Business/Committees/Joint/Corporations_and_Financial_Services/CorporateInsolvency/Report" TargetMode="External"/><Relationship Id="rId10" Type="http://schemas.openxmlformats.org/officeDocument/2006/relationships/hyperlink" Target="https://www.insol.org/focus-groups/financiers-group/technical-projects" TargetMode="External"/><Relationship Id="rId4" Type="http://schemas.openxmlformats.org/officeDocument/2006/relationships/hyperlink" Target="https://www.oecd.org/en/publications/insolvency-regimes-and-productivity-growth_5jlv2jqhxgq6-en.html" TargetMode="External"/><Relationship Id="rId9" Type="http://schemas.openxmlformats.org/officeDocument/2006/relationships/hyperlink" Target="https://www.aph.gov.au/Parliamentary_Business/Committees/Joint/Corporations_and_Financial_Services/CorporateInsolvency/Report" TargetMode="External"/><Relationship Id="rId14" Type="http://schemas.openxmlformats.org/officeDocument/2006/relationships/hyperlink" Target="https://treasury.gov.au/publication/p2022-p258663-final-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y.lawless\AppData\Roaming\Microsoft\Office\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 A P A C ! 3 1 6 7 2 9 5 3 2 . 1 < / d o c u m e n t i d >  
     < s e n d e r i d > H A R R Y . L A W L E S S < / s e n d e r i d >  
     < s e n d e r e m a i l > H A R R Y . L A W L E S S @ N O R T O N R O S E F U L B R I G H T . C O M < / s e n d e r e m a i l >  
     < l a s t m o d i f i e d > 2 0 2 6 - 0 7 - 0 3 T 1 5 : 4 4 : 0 0 . 0 0 0 0 0 0 0 + 1 0 : 0 0 < / l a s t m o d i f i e d >  
     < d a t a b a s e > A P A C < / d a t a b a s e >  
 < / 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653f60d732d28af36a4256627d32a8b6">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5762542a8869a8fd44adcab66f81dded"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lcf76f155ced4ddcb4097134ff3c332f xmlns="092c6315-7fbc-4c66-b693-ef9eb3f5bf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D4070-75C7-4300-A508-23260A9EC2DF}">
  <ds:schemaRefs>
    <ds:schemaRef ds:uri="http://www.imanage.com/work/xmlschema"/>
  </ds:schemaRefs>
</ds:datastoreItem>
</file>

<file path=customXml/itemProps2.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3.xml><?xml version="1.0" encoding="utf-8"?>
<ds:datastoreItem xmlns:ds="http://schemas.openxmlformats.org/officeDocument/2006/customXml" ds:itemID="{9FE9C541-B9E4-4DE4-9BFF-EC50E97A95EC}">
  <ds:schemaRefs>
    <ds:schemaRef ds:uri="http://schemas.openxmlformats.org/officeDocument/2006/bibliography"/>
  </ds:schemaRefs>
</ds:datastoreItem>
</file>

<file path=customXml/itemProps4.xml><?xml version="1.0" encoding="utf-8"?>
<ds:datastoreItem xmlns:ds="http://schemas.openxmlformats.org/officeDocument/2006/customXml" ds:itemID="{6A3BA9F1-9E72-451A-AE3F-4FB5F72D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EA8F5-917A-4440-AB41-6F42C82C539D}">
  <ds:schemaRefs>
    <ds:schemaRef ds:uri="http://schemas.microsoft.com/sharepoint/v3/contenttype/forms"/>
  </ds:schemaRefs>
</ds:datastoreItem>
</file>

<file path=customXml/itemProps6.xml><?xml version="1.0" encoding="utf-8"?>
<ds:datastoreItem xmlns:ds="http://schemas.openxmlformats.org/officeDocument/2006/customXml" ds:itemID="{C9F571A4-73D5-4961-BE6A-D2539BA737AF}">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docProps/app.xml><?xml version="1.0" encoding="utf-8"?>
<Properties xmlns="http://schemas.openxmlformats.org/officeDocument/2006/extended-properties" xmlns:vt="http://schemas.openxmlformats.org/officeDocument/2006/docPropsVTypes">
  <Template>Doc.dotm</Template>
  <TotalTime>2</TotalTime>
  <Pages>13</Pages>
  <Words>5274</Words>
  <Characters>29851</Characters>
  <Application>Microsoft Office Word</Application>
  <DocSecurity>0</DocSecurity>
  <Lines>505</Lines>
  <Paragraphs>156</Paragraphs>
  <ScaleCrop>false</ScaleCrop>
  <HeadingPairs>
    <vt:vector size="2" baseType="variant">
      <vt:variant>
        <vt:lpstr>Title</vt:lpstr>
      </vt:variant>
      <vt:variant>
        <vt:i4>1</vt:i4>
      </vt:variant>
    </vt:vector>
  </HeadingPairs>
  <TitlesOfParts>
    <vt:vector size="1" baseType="lpstr">
      <vt:lpstr>Submission 33 - Scott Atkins and Harry Lawless - Reducing barriers to business dynamism - Public inquiry</vt:lpstr>
    </vt:vector>
  </TitlesOfParts>
  <Manager>4000207/316729532_1</Manager>
  <Company>Scott Atkins and Harry Lawless</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Scott Atkins and Harry Lawless - Reducing barriers to business dynamism - Public inquiry</dc:title>
  <dc:subject>4000207</dc:subject>
  <dc:creator>Scott Atkins and Harry Lawless</dc:creator>
  <dc:description/>
  <cp:lastModifiedBy>Chris Alston</cp:lastModifiedBy>
  <cp:revision>5</cp:revision>
  <dcterms:created xsi:type="dcterms:W3CDTF">2026-07-06T05:52:00Z</dcterms:created>
  <dcterms:modified xsi:type="dcterms:W3CDTF">2026-07-06T06:56:00Z</dcterms:modified>
  <cp:category>316729532_1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ShowGUI">
    <vt:lpwstr>-1</vt:lpwstr>
  </property>
  <property fmtid="{D5CDD505-2E9C-101B-9397-08002B2CF9AE}" pid="4" name="DocumentCreationDate">
    <vt:lpwstr>7/3/2026</vt:lpwstr>
  </property>
  <property fmtid="{D5CDD505-2E9C-101B-9397-08002B2CF9AE}" pid="5" name="DocumentNumber">
    <vt:lpwstr>316729532</vt:lpwstr>
  </property>
  <property fmtid="{D5CDD505-2E9C-101B-9397-08002B2CF9AE}" pid="6" name="DocumentVersion">
    <vt:lpwstr>1</vt:lpwstr>
  </property>
  <property fmtid="{D5CDD505-2E9C-101B-9397-08002B2CF9AE}" pid="7" name="DocumentDatabase">
    <vt:lpwstr>APAC</vt:lpwstr>
  </property>
  <property fmtid="{D5CDD505-2E9C-101B-9397-08002B2CF9AE}" pid="8" name="DocumentOperator">
    <vt:lpwstr>HARRY.LAWLESS</vt:lpwstr>
  </property>
  <property fmtid="{D5CDD505-2E9C-101B-9397-08002B2CF9AE}" pid="9" name="DocumentAuthor">
    <vt:lpwstr>Harry Lawless</vt:lpwstr>
  </property>
  <property fmtid="{D5CDD505-2E9C-101B-9397-08002B2CF9AE}" pid="10" name="ClientCode">
    <vt:lpwstr>1048054</vt:lpwstr>
  </property>
  <property fmtid="{D5CDD505-2E9C-101B-9397-08002B2CF9AE}" pid="11" name="MatterNumber">
    <vt:lpwstr>4000207</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productivity_commission_inquiry_3[final]</vt:lpwstr>
  </property>
  <property fmtid="{D5CDD505-2E9C-101B-9397-08002B2CF9AE}" pid="15" name="hydoccc7e46e702a37dc3">
    <vt:lpwstr>019f266d-0282-75aa-8167-0dd508aaa226</vt:lpwstr>
  </property>
  <property fmtid="{D5CDD505-2E9C-101B-9397-08002B2CF9AE}" pid="16" name="ContentTypeId">
    <vt:lpwstr>0x010100DFB8B5264E86D942B6F960C66631D3A5</vt:lpwstr>
  </property>
  <property fmtid="{D5CDD505-2E9C-101B-9397-08002B2CF9AE}" pid="17" name="RevIMBCS">
    <vt:lpwstr>1;#Unclassified|3955eeb1-2d18-4582-aeb2-00144ec3aaf5</vt:lpwstr>
  </property>
  <property fmtid="{D5CDD505-2E9C-101B-9397-08002B2CF9AE}" pid="18" name="MSIP_Label_c1f2b1ce-4212-46db-a901-dd8453f57141_Enabled">
    <vt:lpwstr>true</vt:lpwstr>
  </property>
  <property fmtid="{D5CDD505-2E9C-101B-9397-08002B2CF9AE}" pid="19" name="MSIP_Label_c1f2b1ce-4212-46db-a901-dd8453f57141_SetDate">
    <vt:lpwstr>2026-07-06T05:54:07Z</vt:lpwstr>
  </property>
  <property fmtid="{D5CDD505-2E9C-101B-9397-08002B2CF9AE}" pid="20" name="MSIP_Label_c1f2b1ce-4212-46db-a901-dd8453f57141_Method">
    <vt:lpwstr>Privileged</vt:lpwstr>
  </property>
  <property fmtid="{D5CDD505-2E9C-101B-9397-08002B2CF9AE}" pid="21" name="MSIP_Label_c1f2b1ce-4212-46db-a901-dd8453f57141_Name">
    <vt:lpwstr>Publish</vt:lpwstr>
  </property>
  <property fmtid="{D5CDD505-2E9C-101B-9397-08002B2CF9AE}" pid="22" name="MSIP_Label_c1f2b1ce-4212-46db-a901-dd8453f57141_SiteId">
    <vt:lpwstr>29f9330b-c0fe-4244-830e-ba9f275d6c34</vt:lpwstr>
  </property>
  <property fmtid="{D5CDD505-2E9C-101B-9397-08002B2CF9AE}" pid="23" name="MSIP_Label_c1f2b1ce-4212-46db-a901-dd8453f57141_ActionId">
    <vt:lpwstr>f8db39dd-d8ca-403f-b121-3577d2c79b30</vt:lpwstr>
  </property>
  <property fmtid="{D5CDD505-2E9C-101B-9397-08002B2CF9AE}" pid="24" name="MSIP_Label_c1f2b1ce-4212-46db-a901-dd8453f57141_ContentBits">
    <vt:lpwstr>0</vt:lpwstr>
  </property>
  <property fmtid="{D5CDD505-2E9C-101B-9397-08002B2CF9AE}" pid="25" name="MSIP_Label_c1f2b1ce-4212-46db-a901-dd8453f57141_Tag">
    <vt:lpwstr>10, 0, 1, 1</vt:lpwstr>
  </property>
</Properties>
</file>