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CB27" w14:textId="77777777" w:rsidR="00C0330C" w:rsidRDefault="00C0330C" w:rsidP="00610457"/>
    <w:p w14:paraId="45B4B706" w14:textId="77777777" w:rsidR="00C0330C" w:rsidRDefault="00C0330C" w:rsidP="00C0330C">
      <w:pPr>
        <w:pStyle w:val="Heading2"/>
        <w:jc w:val="center"/>
      </w:pPr>
      <w:r>
        <w:t>Submission to National Water Reform 2026 Interim Update 1</w:t>
      </w:r>
    </w:p>
    <w:p w14:paraId="2E057402" w14:textId="5ABF84B3" w:rsidR="00303596" w:rsidRPr="00303596" w:rsidRDefault="00303596" w:rsidP="00303596">
      <w:pPr>
        <w:pStyle w:val="Heading3"/>
        <w:spacing w:before="0"/>
        <w:jc w:val="center"/>
      </w:pPr>
      <w:r>
        <w:t>Ian Fisher BEng (Hons), PhD, CPEng</w:t>
      </w:r>
    </w:p>
    <w:p w14:paraId="05F10D3F" w14:textId="4A639343" w:rsidR="009925E9" w:rsidRPr="009925E9" w:rsidRDefault="009925E9" w:rsidP="009925E9">
      <w:r>
        <w:t xml:space="preserve">This submission contends that the safety of drinking water in Australia needs to be clearly defined, from which the requirements for its monitoring and measurement clearly follow for any jurisdiction. Suitable ways to report on drinking water safety for different purposes are also proposed. </w:t>
      </w:r>
      <w:r w:rsidR="00B623CD">
        <w:t>The (safety) benefit to cost ratio is suggested as a criterion for prioritizing improvements to drinking water safety.</w:t>
      </w:r>
    </w:p>
    <w:p w14:paraId="01837BBA" w14:textId="50D3067E" w:rsidR="00B95AE8" w:rsidRPr="00B95AE8" w:rsidRDefault="00B95AE8" w:rsidP="00B95AE8">
      <w:pPr>
        <w:pStyle w:val="Heading2"/>
      </w:pPr>
      <w:r>
        <w:t>What is meant by “safe” drinking water?</w:t>
      </w:r>
    </w:p>
    <w:p w14:paraId="63738CD4" w14:textId="57D00BAF" w:rsidR="00CB48B9" w:rsidRDefault="00574D3C" w:rsidP="00610457">
      <w:r>
        <w:t>It has become common globally to aspire to provide access to “safe” drinking water</w:t>
      </w:r>
      <w:r w:rsidR="0054346D">
        <w:t xml:space="preserve"> without adequately defining what is meant by that term</w:t>
      </w:r>
      <w:r>
        <w:t xml:space="preserve">. </w:t>
      </w:r>
      <w:r w:rsidR="00CB48B9">
        <w:t>Interim Update 1 of the National Water Reform 2026 Inquiry</w:t>
      </w:r>
      <w:r w:rsidR="0054346D">
        <w:t xml:space="preserve"> </w:t>
      </w:r>
      <w:r w:rsidR="00D30279">
        <w:t xml:space="preserve">(“the Update”) </w:t>
      </w:r>
      <w:r w:rsidR="0054346D">
        <w:t>is a case in point. On</w:t>
      </w:r>
      <w:r w:rsidR="00CB48B9">
        <w:t xml:space="preserve"> p17</w:t>
      </w:r>
      <w:r w:rsidR="0054346D">
        <w:t>, it</w:t>
      </w:r>
      <w:r w:rsidR="00CB48B9">
        <w:t xml:space="preserve"> states:</w:t>
      </w:r>
    </w:p>
    <w:p w14:paraId="3A312A3A" w14:textId="67526330" w:rsidR="00610457" w:rsidRPr="00610457" w:rsidRDefault="00CB48B9" w:rsidP="00610457">
      <w:r>
        <w:t>“</w:t>
      </w:r>
      <w:r w:rsidR="00610457" w:rsidRPr="00610457">
        <w:t>Participants in this inquiry have noted ongoing concerns around the quality</w:t>
      </w:r>
      <w:r w:rsidR="00610457" w:rsidRPr="00610457">
        <w:noBreakHyphen/>
        <w:t>of</w:t>
      </w:r>
      <w:r w:rsidR="00610457" w:rsidRPr="00610457">
        <w:noBreakHyphen/>
        <w:t>service outcomes in regional and remote communities.</w:t>
      </w:r>
      <w:r w:rsidR="00610457" w:rsidRPr="00610457">
        <w:rPr>
          <w:vertAlign w:val="superscript"/>
        </w:rPr>
        <w:footnoteReference w:id="1"/>
      </w:r>
      <w:r w:rsidR="00610457" w:rsidRPr="00610457">
        <w:t xml:space="preserve"> The high priority of addressing these concerns aligns with Outcome 1A of Objective 1 of the draft NWA:</w:t>
      </w:r>
    </w:p>
    <w:p w14:paraId="0B2DB3D0" w14:textId="3888B306" w:rsidR="00610457" w:rsidRDefault="00610457" w:rsidP="00610457">
      <w:r w:rsidRPr="00610457">
        <w:t>Water services provide Australians, including regional and remote communities, with reliable access to clean, safe, accessible and affordable water for drinking and sanitation (DCCEEW 2024, p. 3).</w:t>
      </w:r>
      <w:r w:rsidR="00CB48B9">
        <w:t>”</w:t>
      </w:r>
    </w:p>
    <w:p w14:paraId="74B520D9" w14:textId="469A813C" w:rsidR="00CB48B9" w:rsidRDefault="009E5633" w:rsidP="00610457">
      <w:r>
        <w:t xml:space="preserve">Again, on </w:t>
      </w:r>
      <w:r w:rsidR="00CB48B9">
        <w:t xml:space="preserve">p22, </w:t>
      </w:r>
      <w:r w:rsidR="00BD4E7F">
        <w:t xml:space="preserve">the </w:t>
      </w:r>
      <w:r w:rsidR="00CB48B9">
        <w:t>Update states:</w:t>
      </w:r>
    </w:p>
    <w:p w14:paraId="762BC799" w14:textId="13F07577" w:rsidR="00CB48B9" w:rsidRDefault="00CB48B9" w:rsidP="00610457">
      <w:r>
        <w:t>“</w:t>
      </w:r>
      <w:r w:rsidRPr="00CB48B9">
        <w:t xml:space="preserve">At a minimum, the PC has previously indicated that a BLOS </w:t>
      </w:r>
      <w:r>
        <w:t>[B</w:t>
      </w:r>
      <w:r w:rsidR="00916F17">
        <w:t>asic</w:t>
      </w:r>
      <w:r>
        <w:t xml:space="preserve"> Level of Service]</w:t>
      </w:r>
      <w:r w:rsidR="00916F17">
        <w:t xml:space="preserve"> </w:t>
      </w:r>
      <w:r w:rsidRPr="00CB48B9">
        <w:t>should include measures for safe and reliable drinking water (PC 2021b, p. 24).</w:t>
      </w:r>
      <w:r>
        <w:t>”</w:t>
      </w:r>
    </w:p>
    <w:p w14:paraId="32600EFF" w14:textId="49831F4B" w:rsidR="00801481" w:rsidRDefault="00735863" w:rsidP="00610457">
      <w:r>
        <w:t>However, it goes no further in specifying criteria by which drinking water can be judged safe</w:t>
      </w:r>
      <w:r w:rsidR="005B6F6C">
        <w:t xml:space="preserve"> to consume</w:t>
      </w:r>
      <w:r>
        <w:t>.</w:t>
      </w:r>
      <w:r w:rsidR="005B6F6C">
        <w:t xml:space="preserve"> It can perhaps be inferred from the Update’s excellent overview of reporting on water quality (Section 4 p27ff) that compliance with the Australian Drinking Water Guidelines</w:t>
      </w:r>
      <w:r w:rsidR="00801481">
        <w:t xml:space="preserve"> – ADWG </w:t>
      </w:r>
      <w:r w:rsidR="005B6F6C">
        <w:t>(</w:t>
      </w:r>
      <w:r w:rsidR="00BD4E7F">
        <w:t xml:space="preserve">NHMRC </w:t>
      </w:r>
      <w:r w:rsidR="005B6F6C">
        <w:t>2011) should be used as such criteria</w:t>
      </w:r>
      <w:r w:rsidR="00801481">
        <w:t>. Many water providers claim such compliance</w:t>
      </w:r>
      <w:r w:rsidR="00CE59AE">
        <w:t xml:space="preserve"> (or report their exceedance)</w:t>
      </w:r>
      <w:r w:rsidR="00801481">
        <w:t xml:space="preserve"> in their annual reports</w:t>
      </w:r>
      <w:r w:rsidR="00A41AB1">
        <w:t>.</w:t>
      </w:r>
    </w:p>
    <w:p w14:paraId="574E6B64" w14:textId="13AC9782" w:rsidR="00947FA5" w:rsidRDefault="00801481" w:rsidP="00D30279">
      <w:r>
        <w:t>The problem with this definition of safety is that the ADWG includes guidelines that should not be exceeded for over two hundred individual microbiological, chemical and radiological substances.</w:t>
      </w:r>
      <w:r w:rsidR="00016092">
        <w:t xml:space="preserve"> </w:t>
      </w:r>
      <w:r w:rsidR="00152F52">
        <w:t xml:space="preserve">However, the advice within </w:t>
      </w:r>
      <w:r w:rsidR="00764D73">
        <w:t>NHMRC</w:t>
      </w:r>
      <w:r w:rsidR="00152F52">
        <w:t xml:space="preserve"> (2011) clearly distinguishes between health-based and aesthetic Guidelines. This submission contends that only health-based Guidelines should </w:t>
      </w:r>
      <w:r w:rsidR="00947FA5">
        <w:t xml:space="preserve">initially </w:t>
      </w:r>
      <w:r w:rsidR="00152F52">
        <w:t xml:space="preserve">be used as criteria for judging </w:t>
      </w:r>
      <w:r w:rsidR="008C50C4">
        <w:t xml:space="preserve">safety of </w:t>
      </w:r>
      <w:r w:rsidR="00152F52">
        <w:t xml:space="preserve">drinking water. The unpalatability due to exceedances of aesthetic </w:t>
      </w:r>
      <w:r w:rsidR="00152F52">
        <w:lastRenderedPageBreak/>
        <w:t xml:space="preserve">guidelines may be of concern but should be regarded as </w:t>
      </w:r>
      <w:r w:rsidR="00E0194E">
        <w:t xml:space="preserve">of </w:t>
      </w:r>
      <w:r w:rsidR="00152F52">
        <w:t>lower priority for improvement.</w:t>
      </w:r>
      <w:r w:rsidR="00016092">
        <w:t xml:space="preserve"> </w:t>
      </w:r>
    </w:p>
    <w:p w14:paraId="3A316137" w14:textId="44D222BE" w:rsidR="00D30279" w:rsidRPr="00D30279" w:rsidRDefault="00947FA5" w:rsidP="00D30279">
      <w:pPr>
        <w:rPr>
          <w:b/>
        </w:rPr>
      </w:pPr>
      <w:r>
        <w:t xml:space="preserve">This definition of safety would establish </w:t>
      </w:r>
      <w:r w:rsidR="00D9512D">
        <w:t xml:space="preserve">consistency of objectives between health and drinking water, as </w:t>
      </w:r>
      <w:r w:rsidR="00DA2389">
        <w:t xml:space="preserve">in </w:t>
      </w:r>
      <w:r w:rsidR="00764D73">
        <w:rPr>
          <w:bCs/>
        </w:rPr>
        <w:t>t</w:t>
      </w:r>
      <w:r w:rsidR="008C50C4" w:rsidRPr="00DA2389">
        <w:rPr>
          <w:bCs/>
        </w:rPr>
        <w:t>he Update’s Information Request 5</w:t>
      </w:r>
      <w:r w:rsidRPr="00DA2389">
        <w:rPr>
          <w:bCs/>
        </w:rPr>
        <w:t>:</w:t>
      </w:r>
      <w:r w:rsidR="008C50C4" w:rsidRPr="00DA2389">
        <w:rPr>
          <w:bCs/>
        </w:rPr>
        <w:t xml:space="preserve"> </w:t>
      </w:r>
      <w:r w:rsidR="00D30279" w:rsidRPr="00DA2389">
        <w:rPr>
          <w:bCs/>
        </w:rPr>
        <w:t>Basic level of services (BLOS)</w:t>
      </w:r>
      <w:r w:rsidR="00DA2389">
        <w:rPr>
          <w:bCs/>
        </w:rPr>
        <w:t>:</w:t>
      </w:r>
      <w:r w:rsidRPr="00DA2389">
        <w:rPr>
          <w:bCs/>
        </w:rPr>
        <w:t xml:space="preserve"> </w:t>
      </w:r>
    </w:p>
    <w:p w14:paraId="15012C3A" w14:textId="4C9233CE" w:rsidR="00D30279" w:rsidRDefault="00764D73" w:rsidP="00DA2389">
      <w:r>
        <w:t>“</w:t>
      </w:r>
      <w:proofErr w:type="gramStart"/>
      <w:r w:rsidR="00D30279" w:rsidRPr="00D30279">
        <w:t>governments</w:t>
      </w:r>
      <w:proofErr w:type="gramEnd"/>
      <w:r w:rsidR="00D30279" w:rsidRPr="00D30279">
        <w:t xml:space="preserve"> </w:t>
      </w:r>
      <w:r w:rsidR="00947FA5">
        <w:t xml:space="preserve">should </w:t>
      </w:r>
      <w:r w:rsidR="00D30279" w:rsidRPr="00D30279">
        <w:t>address key barriers to establishing a BLOS, including coordination or consistency of objectives between health, water, infrastructure, housing, energy and/or central agencies</w:t>
      </w:r>
      <w:r>
        <w:t>”</w:t>
      </w:r>
    </w:p>
    <w:p w14:paraId="6A22B477" w14:textId="0A8FBE65" w:rsidR="004C3FDF" w:rsidRPr="00D30279" w:rsidRDefault="004C3FDF" w:rsidP="004C3FDF">
      <w:pPr>
        <w:pStyle w:val="Heading2"/>
      </w:pPr>
      <w:r>
        <w:t>How should safety of drinking water be reported?</w:t>
      </w:r>
    </w:p>
    <w:p w14:paraId="7F96E0B3" w14:textId="35EF9320" w:rsidR="00D30279" w:rsidRPr="00D30279" w:rsidRDefault="009D61F5" w:rsidP="00170CCC">
      <w:r>
        <w:t xml:space="preserve">The same Request </w:t>
      </w:r>
      <w:r w:rsidR="00E841F4">
        <w:t xml:space="preserve">was also interested in barriers to </w:t>
      </w:r>
      <w:r w:rsidR="00D30279" w:rsidRPr="00D30279">
        <w:t>collection, collation and transparent reporting of accurate data on service outcomes</w:t>
      </w:r>
      <w:r w:rsidR="00E841F4">
        <w:t>. It further requested information on</w:t>
      </w:r>
      <w:r w:rsidR="00E841F4" w:rsidRPr="00E841F4">
        <w:t xml:space="preserve"> </w:t>
      </w:r>
      <w:r w:rsidR="00E841F4">
        <w:t xml:space="preserve">what </w:t>
      </w:r>
      <w:r w:rsidR="00E841F4" w:rsidRPr="00D30279">
        <w:t>service outcomes should be included in the definition of a national or jurisdictional BLOS</w:t>
      </w:r>
      <w:r w:rsidR="00BB4DDE">
        <w:t xml:space="preserve"> and w</w:t>
      </w:r>
      <w:r w:rsidR="00D30279" w:rsidRPr="00D30279">
        <w:t>hich existing indicators and data sources could be used to measure those service outcomes (for example, from the urban National Performance Report)</w:t>
      </w:r>
      <w:r w:rsidR="00BB4DDE">
        <w:t>.</w:t>
      </w:r>
    </w:p>
    <w:p w14:paraId="39620B5E" w14:textId="2AB6E56E" w:rsidR="00DC259D" w:rsidRDefault="00BB4DDE" w:rsidP="00610457">
      <w:r>
        <w:t xml:space="preserve">The Update suggested that the </w:t>
      </w:r>
      <w:r w:rsidR="009D7EA5">
        <w:t xml:space="preserve">indicators in the </w:t>
      </w:r>
      <w:r>
        <w:t xml:space="preserve">NPR could be used as appropriate indicators of service outcomes nationally and jurisdictionally (p24). In relation to drinking water safety, these are inadequate. </w:t>
      </w:r>
      <w:r w:rsidR="00A41AB1">
        <w:t>Even the large</w:t>
      </w:r>
      <w:r>
        <w:t>r</w:t>
      </w:r>
      <w:r w:rsidR="00A41AB1">
        <w:t xml:space="preserve"> water providers </w:t>
      </w:r>
      <w:r>
        <w:t>(&gt;10</w:t>
      </w:r>
      <w:r w:rsidR="009D7EA5">
        <w:t>,</w:t>
      </w:r>
      <w:r>
        <w:t xml:space="preserve">000 connections) </w:t>
      </w:r>
      <w:r w:rsidR="00A41AB1">
        <w:t>report their water’s</w:t>
      </w:r>
      <w:r w:rsidR="00CE59AE">
        <w:t xml:space="preserve"> compliance</w:t>
      </w:r>
      <w:r w:rsidR="00A41AB1">
        <w:t xml:space="preserve"> </w:t>
      </w:r>
      <w:r w:rsidR="00CE59AE">
        <w:t xml:space="preserve">with </w:t>
      </w:r>
      <w:r w:rsidR="00A41AB1">
        <w:t>the Guidelines</w:t>
      </w:r>
      <w:r w:rsidR="00CE59AE">
        <w:t xml:space="preserve"> for only a small fraction of the total number of </w:t>
      </w:r>
      <w:r w:rsidR="00152F52">
        <w:t xml:space="preserve">health-based </w:t>
      </w:r>
      <w:r w:rsidR="00CE59AE">
        <w:t xml:space="preserve">Guidelines. </w:t>
      </w:r>
      <w:r w:rsidR="006D64D7">
        <w:t xml:space="preserve">Consequently, it is misleading for </w:t>
      </w:r>
      <w:r>
        <w:t xml:space="preserve">these </w:t>
      </w:r>
      <w:r w:rsidR="006D64D7">
        <w:t xml:space="preserve">water providers to say that they comply with </w:t>
      </w:r>
      <w:r w:rsidR="008F2EEC">
        <w:t>NHMRC</w:t>
      </w:r>
      <w:r w:rsidR="006D64D7">
        <w:t xml:space="preserve"> (2011) without stating the substances which they have monitored and compared with their respective Guidelines.</w:t>
      </w:r>
      <w:r w:rsidR="000C48F4">
        <w:t xml:space="preserve"> As noted by </w:t>
      </w:r>
      <w:r w:rsidR="008F2EEC">
        <w:t>t</w:t>
      </w:r>
      <w:r>
        <w:t xml:space="preserve">he </w:t>
      </w:r>
      <w:r w:rsidR="000C48F4">
        <w:t>Update (p28), this is a particular limitation of the NPR</w:t>
      </w:r>
      <w:r w:rsidR="009F6709">
        <w:t xml:space="preserve">, which uses a single indicator </w:t>
      </w:r>
      <w:r w:rsidR="00221D97">
        <w:t xml:space="preserve">(H4) </w:t>
      </w:r>
      <w:r w:rsidR="009F6709">
        <w:t xml:space="preserve">of </w:t>
      </w:r>
      <w:r>
        <w:t xml:space="preserve">full </w:t>
      </w:r>
      <w:r w:rsidR="000C48F4">
        <w:t xml:space="preserve">compliance with </w:t>
      </w:r>
      <w:r w:rsidR="008F2EEC">
        <w:t>NHMRC</w:t>
      </w:r>
      <w:r w:rsidR="000C48F4">
        <w:t xml:space="preserve"> (2011) </w:t>
      </w:r>
      <w:r w:rsidR="00794546">
        <w:t>for all monitored health-based chemical/ radiological substances</w:t>
      </w:r>
      <w:r w:rsidR="009F6709">
        <w:t xml:space="preserve">, </w:t>
      </w:r>
      <w:r w:rsidR="000C48F4">
        <w:t xml:space="preserve">reported </w:t>
      </w:r>
      <w:r>
        <w:t>as a proportion of population served by</w:t>
      </w:r>
      <w:r w:rsidR="00513F23">
        <w:t xml:space="preserve"> each </w:t>
      </w:r>
      <w:r>
        <w:t xml:space="preserve">larger </w:t>
      </w:r>
      <w:r w:rsidR="00513F23">
        <w:t>provider</w:t>
      </w:r>
      <w:r w:rsidR="000C48F4">
        <w:t>.</w:t>
      </w:r>
      <w:r w:rsidR="000267E8">
        <w:t xml:space="preserve"> </w:t>
      </w:r>
      <w:r w:rsidR="00DA2623">
        <w:t xml:space="preserve">At the least, the number of substances monitored should be included to show how comprehensive the health-based monitoring is. </w:t>
      </w:r>
      <w:r w:rsidR="009F6709">
        <w:t xml:space="preserve">A separate indicator </w:t>
      </w:r>
      <w:r w:rsidR="00221D97">
        <w:t xml:space="preserve">(H3) </w:t>
      </w:r>
      <w:r w:rsidR="009F6709">
        <w:t xml:space="preserve">for compliance with the </w:t>
      </w:r>
      <w:r w:rsidR="009F6709" w:rsidRPr="009F6709">
        <w:rPr>
          <w:i/>
          <w:iCs/>
        </w:rPr>
        <w:t>E. coli</w:t>
      </w:r>
      <w:r w:rsidR="009F6709">
        <w:t xml:space="preserve"> Guideline is also similarly reported, in keeping with the NHMRC (2011) advice that microbial pathogens constitute the greatest immediate (acute) risk to health from drinking water supplies. </w:t>
      </w:r>
    </w:p>
    <w:p w14:paraId="79C3F215" w14:textId="3BCBAFFC" w:rsidR="00735863" w:rsidRDefault="00090880" w:rsidP="00610457">
      <w:r>
        <w:t xml:space="preserve">It should be emphasised that water providers of less that 10,000 connections are not required to provide any information on compliance with NHMRC (2011) Guidelines. For the first time, they were required to report for 2024-25, whether they </w:t>
      </w:r>
      <w:r w:rsidR="008F69E8">
        <w:t>use “</w:t>
      </w:r>
      <w:r>
        <w:t xml:space="preserve">water quality </w:t>
      </w:r>
      <w:r w:rsidR="008F69E8">
        <w:t xml:space="preserve">risk </w:t>
      </w:r>
      <w:r>
        <w:t xml:space="preserve">management </w:t>
      </w:r>
      <w:r w:rsidR="008F69E8">
        <w:t xml:space="preserve">guidelines” (indicator H1) </w:t>
      </w:r>
      <w:r>
        <w:t>but</w:t>
      </w:r>
      <w:r w:rsidR="008F69E8">
        <w:t xml:space="preserve"> no indicator of specific compliance was required</w:t>
      </w:r>
      <w:r>
        <w:t xml:space="preserve">. </w:t>
      </w:r>
      <w:r w:rsidR="00CB576E">
        <w:t xml:space="preserve">Although </w:t>
      </w:r>
      <w:r w:rsidR="005407D3">
        <w:t xml:space="preserve">only partially </w:t>
      </w:r>
      <w:r w:rsidR="00CB576E">
        <w:t>adequate to judge safety, t</w:t>
      </w:r>
      <w:r w:rsidR="000267E8">
        <w:t>he data</w:t>
      </w:r>
      <w:r w:rsidR="00CB576E">
        <w:t xml:space="preserve"> </w:t>
      </w:r>
      <w:r w:rsidR="008F69E8">
        <w:t xml:space="preserve">required from larger providers </w:t>
      </w:r>
      <w:r w:rsidR="00CB576E">
        <w:t>should also be</w:t>
      </w:r>
      <w:r w:rsidR="000267E8">
        <w:t xml:space="preserve"> required from smaller</w:t>
      </w:r>
      <w:r w:rsidR="008F69E8">
        <w:t xml:space="preserve"> ones</w:t>
      </w:r>
      <w:r w:rsidR="000267E8">
        <w:t>.</w:t>
      </w:r>
    </w:p>
    <w:p w14:paraId="2BA5A7AE" w14:textId="0E3EF0D7" w:rsidR="005D584F" w:rsidRDefault="00591A95" w:rsidP="00610457">
      <w:r>
        <w:t xml:space="preserve">Even when the criteria for safety are restricted to compliance with the health-based Guidelines, there are more than one hundred substances to be considered, which is </w:t>
      </w:r>
      <w:r>
        <w:lastRenderedPageBreak/>
        <w:t>clearly unrealistic</w:t>
      </w:r>
      <w:r w:rsidR="0081254E">
        <w:t xml:space="preserve"> for any water provider to monitor</w:t>
      </w:r>
      <w:r>
        <w:t xml:space="preserve">. </w:t>
      </w:r>
      <w:r w:rsidR="006D64D7">
        <w:t>The Framework of</w:t>
      </w:r>
      <w:r w:rsidR="00CD3FA6">
        <w:t xml:space="preserve"> NHMRC</w:t>
      </w:r>
      <w:r w:rsidR="006D64D7">
        <w:t xml:space="preserve"> (2011) resolves this issue by requiring a hazard</w:t>
      </w:r>
      <w:r>
        <w:t xml:space="preserve"> identification</w:t>
      </w:r>
      <w:r w:rsidR="006D64D7">
        <w:t xml:space="preserve"> and risk assessment </w:t>
      </w:r>
      <w:r>
        <w:t xml:space="preserve">(section 3.2.3) </w:t>
      </w:r>
      <w:r w:rsidR="006D64D7">
        <w:t xml:space="preserve">to identify those substances that </w:t>
      </w:r>
      <w:r>
        <w:t xml:space="preserve">pose a significant risk to human health. Presumably these substances </w:t>
      </w:r>
      <w:r w:rsidR="00835C93">
        <w:t>sh</w:t>
      </w:r>
      <w:r>
        <w:t>ould then be included in a monitoring program and</w:t>
      </w:r>
      <w:r w:rsidR="00426B90">
        <w:t xml:space="preserve"> any </w:t>
      </w:r>
      <w:r>
        <w:t>exceedances of their respective Guidelines reported annually.</w:t>
      </w:r>
      <w:r w:rsidR="00426B90">
        <w:t xml:space="preserve"> The hazard identification and assessment should be published as a justification of the restriction of substances </w:t>
      </w:r>
      <w:r w:rsidR="00CB5778">
        <w:t xml:space="preserve">to be </w:t>
      </w:r>
      <w:r w:rsidR="00426B90">
        <w:t>monitored and to establish public confidence that all likely significant risks have been considered.</w:t>
      </w:r>
      <w:r w:rsidR="00122312">
        <w:t xml:space="preserve"> Perhaps undertaking a biennial review of this assessment should be an indicator for the NPR, in addition to </w:t>
      </w:r>
      <w:r w:rsidR="006E7662">
        <w:t xml:space="preserve">the ill-defined </w:t>
      </w:r>
      <w:r w:rsidR="00122312">
        <w:t>H1</w:t>
      </w:r>
      <w:r w:rsidR="00D941A3">
        <w:t>, the only water safety</w:t>
      </w:r>
      <w:r w:rsidR="00122312">
        <w:t xml:space="preserve"> </w:t>
      </w:r>
      <w:r w:rsidR="00D941A3">
        <w:t>indicator</w:t>
      </w:r>
      <w:r w:rsidR="00926A89">
        <w:t xml:space="preserve"> introduced for</w:t>
      </w:r>
      <w:r w:rsidR="00D941A3">
        <w:t xml:space="preserve"> smaller providers</w:t>
      </w:r>
      <w:r w:rsidR="006E7662">
        <w:t xml:space="preserve"> in</w:t>
      </w:r>
      <w:r w:rsidR="00926A89">
        <w:t xml:space="preserve"> the 2024-25 Report</w:t>
      </w:r>
      <w:r w:rsidR="00122312">
        <w:t>.</w:t>
      </w:r>
      <w:r w:rsidR="006E7662">
        <w:t xml:space="preserve"> </w:t>
      </w:r>
    </w:p>
    <w:p w14:paraId="27AC08D6" w14:textId="6B6C4807" w:rsidR="005D584F" w:rsidRDefault="006E7662" w:rsidP="00610457">
      <w:r>
        <w:t xml:space="preserve">In the year of a review, performance </w:t>
      </w:r>
      <w:r w:rsidR="00264C87">
        <w:t>from</w:t>
      </w:r>
      <w:r>
        <w:t xml:space="preserve"> the old monitoring program could be reported. </w:t>
      </w:r>
      <w:r w:rsidR="005D584F">
        <w:t>If any health-based substances are found to comply with their respective</w:t>
      </w:r>
      <w:r w:rsidR="00CD3FA6">
        <w:t xml:space="preserve"> Guidelines</w:t>
      </w:r>
      <w:r w:rsidR="005D584F">
        <w:t xml:space="preserve"> for the previous four years, then they could be dropped from the monitoring program. Any substances newly identified as of significant health risk would be added to the program. The only exception would be monitoring for </w:t>
      </w:r>
      <w:r w:rsidR="005D584F" w:rsidRPr="00817E18">
        <w:rPr>
          <w:i/>
          <w:iCs/>
        </w:rPr>
        <w:t>E. coli</w:t>
      </w:r>
      <w:r w:rsidR="005D584F">
        <w:t>, which is an acute rather than a chronic health risk</w:t>
      </w:r>
      <w:r w:rsidR="00817E18">
        <w:t xml:space="preserve"> indicator</w:t>
      </w:r>
      <w:r w:rsidR="005D584F">
        <w:t xml:space="preserve">, so that it </w:t>
      </w:r>
      <w:r w:rsidR="00817E18">
        <w:t xml:space="preserve">should </w:t>
      </w:r>
      <w:r w:rsidR="005D584F">
        <w:t>always be monitored and reported.</w:t>
      </w:r>
    </w:p>
    <w:p w14:paraId="75853532" w14:textId="503EC134" w:rsidR="00CB48B9" w:rsidRDefault="008A1820" w:rsidP="00610457">
      <w:r>
        <w:t xml:space="preserve">The inevitable outcome of each water provider conducting such an analysis is that the resulting monitoring programs would include a range of substances </w:t>
      </w:r>
      <w:r w:rsidR="003D46A3">
        <w:t xml:space="preserve">with health-based Guidelines </w:t>
      </w:r>
      <w:r>
        <w:t xml:space="preserve">which differed from program to program. </w:t>
      </w:r>
      <w:r w:rsidR="001F7E27">
        <w:t xml:space="preserve">This is in direct conflict with the notion of a nationally </w:t>
      </w:r>
      <w:r w:rsidR="00B50A85">
        <w:t xml:space="preserve">(or even jurisdictionally) </w:t>
      </w:r>
      <w:r w:rsidR="001F7E27">
        <w:t xml:space="preserve">consistent set of substances that are monitored and reported for </w:t>
      </w:r>
      <w:r w:rsidR="00A83A4F">
        <w:t xml:space="preserve">the purpose of </w:t>
      </w:r>
      <w:r w:rsidR="001F7E27">
        <w:t>judging</w:t>
      </w:r>
      <w:r w:rsidR="002B59F5">
        <w:t xml:space="preserve"> the safety of any drinking water</w:t>
      </w:r>
      <w:r w:rsidR="001F7E27">
        <w:t>.</w:t>
      </w:r>
      <w:r w:rsidR="00C44ACC">
        <w:t xml:space="preserve"> </w:t>
      </w:r>
      <w:r w:rsidR="00817E18">
        <w:t xml:space="preserve">One </w:t>
      </w:r>
      <w:r w:rsidR="00C44ACC">
        <w:t xml:space="preserve">exception is the </w:t>
      </w:r>
      <w:r w:rsidR="00D50D17">
        <w:t xml:space="preserve">monitoring and reporting of </w:t>
      </w:r>
      <w:r w:rsidR="00D50D17" w:rsidRPr="00DF2822">
        <w:rPr>
          <w:i/>
          <w:iCs/>
        </w:rPr>
        <w:t>E. coli</w:t>
      </w:r>
      <w:r w:rsidR="00D50D17">
        <w:t xml:space="preserve"> because it is the single parameter recommended by the</w:t>
      </w:r>
      <w:r w:rsidR="008E4E98">
        <w:t xml:space="preserve"> NHMRC</w:t>
      </w:r>
      <w:r w:rsidR="00D50D17">
        <w:t xml:space="preserve"> (2011) advice for characterising acute risk to consumers due to enteric pathogens.</w:t>
      </w:r>
      <w:r w:rsidR="00DF2822">
        <w:t xml:space="preserve"> As noted in </w:t>
      </w:r>
      <w:r w:rsidR="00CD3FA6">
        <w:t xml:space="preserve">the </w:t>
      </w:r>
      <w:r w:rsidR="00DF2822">
        <w:t>Update (p28), this is already required for the large water providers in the urban NPR, but is not yet required for</w:t>
      </w:r>
      <w:r w:rsidR="005D584F">
        <w:t xml:space="preserve"> smaller ones</w:t>
      </w:r>
      <w:r w:rsidR="00DF2822">
        <w:t>.</w:t>
      </w:r>
    </w:p>
    <w:p w14:paraId="3B3C4C5F" w14:textId="3F94616B" w:rsidR="00F961A3" w:rsidRDefault="00F961A3" w:rsidP="00610457">
      <w:r>
        <w:t xml:space="preserve">This submission contends that </w:t>
      </w:r>
      <w:r w:rsidR="0046390E">
        <w:t xml:space="preserve">annual </w:t>
      </w:r>
      <w:r>
        <w:t xml:space="preserve">assessment of </w:t>
      </w:r>
      <w:r w:rsidR="0046390E">
        <w:t xml:space="preserve">exceedances of </w:t>
      </w:r>
      <w:r>
        <w:t>disinfection by-products (</w:t>
      </w:r>
      <w:r w:rsidR="00D56371">
        <w:t xml:space="preserve">DBPs – </w:t>
      </w:r>
      <w:r>
        <w:t xml:space="preserve">trihalomethanes and haloacetic acids for chlorinated supplies) should also be </w:t>
      </w:r>
      <w:r w:rsidR="0046390E">
        <w:t>mandatory because they are a result of achieving adequate disinfection</w:t>
      </w:r>
      <w:r w:rsidR="00264C87">
        <w:t xml:space="preserve"> </w:t>
      </w:r>
      <w:r w:rsidR="00154F77">
        <w:t xml:space="preserve">in the distribution system (i.e. </w:t>
      </w:r>
      <w:r w:rsidR="00264C87">
        <w:t>meet</w:t>
      </w:r>
      <w:r w:rsidR="00154F77">
        <w:t>ing</w:t>
      </w:r>
      <w:r w:rsidR="00264C87">
        <w:t xml:space="preserve"> the </w:t>
      </w:r>
      <w:r w:rsidR="00264C87" w:rsidRPr="00264C87">
        <w:rPr>
          <w:i/>
          <w:iCs/>
        </w:rPr>
        <w:t>E. coli</w:t>
      </w:r>
      <w:r w:rsidR="00264C87">
        <w:t xml:space="preserve"> Guideline</w:t>
      </w:r>
      <w:r w:rsidR="00154F77">
        <w:t>)</w:t>
      </w:r>
      <w:r w:rsidR="00264C87">
        <w:t>.</w:t>
      </w:r>
      <w:r w:rsidR="002F35A2">
        <w:t xml:space="preserve"> Achieving compliance with their Guidelines should be given higher priority than other “background” chemical substances because they are due to chemicals introduced by water utilities. This is particularly necessary in Australia because the</w:t>
      </w:r>
      <w:r w:rsidR="00AB67C2">
        <w:t xml:space="preserve"> </w:t>
      </w:r>
      <w:r w:rsidR="002F35A2">
        <w:t xml:space="preserve">Guidelines </w:t>
      </w:r>
      <w:r w:rsidR="00AB67C2">
        <w:t xml:space="preserve">for trihalomethanes </w:t>
      </w:r>
      <w:r w:rsidR="002F35A2">
        <w:t>are</w:t>
      </w:r>
      <w:r w:rsidR="00AB67C2">
        <w:t xml:space="preserve"> currently more than</w:t>
      </w:r>
      <w:r w:rsidR="002F35A2">
        <w:t xml:space="preserve"> twice as high as those set </w:t>
      </w:r>
      <w:r w:rsidR="00850E49">
        <w:t>in</w:t>
      </w:r>
      <w:r w:rsidR="002F35A2">
        <w:t xml:space="preserve"> other comparable jurisdictions (US, </w:t>
      </w:r>
      <w:r w:rsidR="00AB67C2">
        <w:t xml:space="preserve">EU, Canada and WHO). </w:t>
      </w:r>
      <w:r w:rsidR="002F35A2">
        <w:t xml:space="preserve"> </w:t>
      </w:r>
      <w:r w:rsidR="00AB67C2">
        <w:t xml:space="preserve">They </w:t>
      </w:r>
      <w:r w:rsidR="002F35A2">
        <w:t>have not been revised since 1996 when they were first included in the ADWG</w:t>
      </w:r>
      <w:r w:rsidR="00AB67C2">
        <w:t>, yet there have been numerous epidemiological and animal studies</w:t>
      </w:r>
      <w:r w:rsidR="002F35A2">
        <w:t xml:space="preserve"> </w:t>
      </w:r>
      <w:r w:rsidR="00AB67C2">
        <w:t xml:space="preserve">since that support setting </w:t>
      </w:r>
      <w:r w:rsidR="00DB7600">
        <w:t xml:space="preserve">a much lower </w:t>
      </w:r>
      <w:r w:rsidR="00AB67C2">
        <w:t xml:space="preserve">Guideline. </w:t>
      </w:r>
    </w:p>
    <w:p w14:paraId="09661E8A" w14:textId="085CEE27" w:rsidR="00E712B0" w:rsidRDefault="003D46A3" w:rsidP="00610457">
      <w:r>
        <w:t xml:space="preserve">Instead of </w:t>
      </w:r>
      <w:r w:rsidR="00910FFB">
        <w:t xml:space="preserve">creating </w:t>
      </w:r>
      <w:r>
        <w:t>nationally or jurisdictionally consistent set</w:t>
      </w:r>
      <w:r w:rsidR="00E63627">
        <w:t>s</w:t>
      </w:r>
      <w:r>
        <w:t xml:space="preserve"> of </w:t>
      </w:r>
      <w:r w:rsidR="00E63627">
        <w:t xml:space="preserve">health-based parameters to be monitored, a consistent means of evaluating safety </w:t>
      </w:r>
      <w:r w:rsidR="009E076F">
        <w:t>of water supplied to</w:t>
      </w:r>
      <w:r w:rsidR="00C15A55">
        <w:t xml:space="preserve"> consumer</w:t>
      </w:r>
      <w:r w:rsidR="008D5014">
        <w:t>s</w:t>
      </w:r>
      <w:r w:rsidR="00C15A55">
        <w:t xml:space="preserve"> </w:t>
      </w:r>
      <w:r w:rsidR="00E63627">
        <w:t xml:space="preserve">is needed, based on the combination of </w:t>
      </w:r>
      <w:r w:rsidR="00640C04">
        <w:t xml:space="preserve">Guideline exceedances of </w:t>
      </w:r>
      <w:r w:rsidR="00E63627">
        <w:t xml:space="preserve">any </w:t>
      </w:r>
      <w:r w:rsidR="00E63627">
        <w:lastRenderedPageBreak/>
        <w:t xml:space="preserve">set of health-based parameters. </w:t>
      </w:r>
      <w:r w:rsidR="00E712B0">
        <w:t>The simplest of these are already included in the NPR for larger water providers (H3 and H4 described above</w:t>
      </w:r>
      <w:r w:rsidR="008D5014">
        <w:t>), but they need to be required for all water supplies to provide a basis for ongoing assessment of improvement in achieving safety in particular communities</w:t>
      </w:r>
      <w:r w:rsidR="004615FF">
        <w:t xml:space="preserve"> and</w:t>
      </w:r>
      <w:r w:rsidR="008D5014">
        <w:t xml:space="preserve"> jurisdictions</w:t>
      </w:r>
      <w:r w:rsidR="004615FF">
        <w:t>,</w:t>
      </w:r>
      <w:r w:rsidR="008D5014">
        <w:t xml:space="preserve"> or nationally. </w:t>
      </w:r>
    </w:p>
    <w:p w14:paraId="7D5660F6" w14:textId="4B383413" w:rsidR="008D5014" w:rsidRDefault="00B71553" w:rsidP="00610457">
      <w:r>
        <w:t xml:space="preserve">A particularly pressing need for such assessments is the lack of an indicator for Target 9b, regarding essential services, in the Annual Reports for the National Agreement on Closing the Gap, which are based on the Productivity Commission’s annual dashboard update. This is the only one of eighteen socio-economic outcomes that does not have such an indicator half way through the life of the Agreement. </w:t>
      </w:r>
      <w:r w:rsidR="008D5014">
        <w:t>This submission contends that</w:t>
      </w:r>
      <w:r>
        <w:t xml:space="preserve"> it is unhelpful</w:t>
      </w:r>
      <w:r w:rsidR="000D7DB1">
        <w:t>, perhaps misleading,</w:t>
      </w:r>
      <w:r>
        <w:t xml:space="preserve"> to attempt to roll provision of all essential services into a single indicator.</w:t>
      </w:r>
      <w:r w:rsidR="008D5014">
        <w:t xml:space="preserve"> </w:t>
      </w:r>
      <w:r w:rsidR="000D7DB1">
        <w:t xml:space="preserve">Instead, </w:t>
      </w:r>
      <w:r w:rsidR="00BE2BFD">
        <w:t xml:space="preserve">Fisher et al. (2025) </w:t>
      </w:r>
      <w:r w:rsidR="00CD3FA6">
        <w:t xml:space="preserve">– Attachment </w:t>
      </w:r>
      <w:r w:rsidR="0062326A">
        <w:t>1</w:t>
      </w:r>
      <w:r w:rsidR="00CD3FA6">
        <w:t xml:space="preserve"> – </w:t>
      </w:r>
      <w:r w:rsidR="00BE2BFD">
        <w:t xml:space="preserve">suggested </w:t>
      </w:r>
      <w:r w:rsidR="00CD3FA6">
        <w:t xml:space="preserve">that </w:t>
      </w:r>
      <w:r w:rsidR="000D7DB1">
        <w:t xml:space="preserve">a combination of H3 and H4 should be adopted immediately as </w:t>
      </w:r>
      <w:r w:rsidR="00CD3FA6">
        <w:t>the drinking water safety</w:t>
      </w:r>
      <w:r w:rsidR="000D7DB1">
        <w:t xml:space="preserve"> indicator for Target 9b</w:t>
      </w:r>
      <w:r w:rsidR="00BE2BFD">
        <w:t>. This could be updated</w:t>
      </w:r>
      <w:r w:rsidR="000D7DB1">
        <w:t xml:space="preserve"> </w:t>
      </w:r>
      <w:r w:rsidR="00BE2BFD">
        <w:t xml:space="preserve">annually </w:t>
      </w:r>
      <w:r w:rsidR="000D7DB1">
        <w:t xml:space="preserve">using data </w:t>
      </w:r>
      <w:r w:rsidR="00CD3FA6">
        <w:t xml:space="preserve">similar to that </w:t>
      </w:r>
      <w:r w:rsidR="000D7DB1">
        <w:t xml:space="preserve">recently released publicly as the Australian Drinking Water Record </w:t>
      </w:r>
      <w:r w:rsidR="004A5F86">
        <w:t>(Water Justice Hub 2026)</w:t>
      </w:r>
      <w:r w:rsidR="000D7DB1">
        <w:t xml:space="preserve">. </w:t>
      </w:r>
      <w:r w:rsidR="00BE2BFD">
        <w:t xml:space="preserve">However, this </w:t>
      </w:r>
      <w:r w:rsidR="007606FA">
        <w:t xml:space="preserve">Record </w:t>
      </w:r>
      <w:r w:rsidR="00BE2BFD">
        <w:t xml:space="preserve">currently does not include data from NSW and QLD, preventing </w:t>
      </w:r>
      <w:r w:rsidR="002D3D76">
        <w:t xml:space="preserve">a </w:t>
      </w:r>
      <w:r w:rsidR="00BE2BFD">
        <w:t>fully national</w:t>
      </w:r>
      <w:r w:rsidR="00B9423A">
        <w:t xml:space="preserve"> analysis of drinking water safety</w:t>
      </w:r>
      <w:r w:rsidR="00BE2BFD">
        <w:t xml:space="preserve"> to be</w:t>
      </w:r>
      <w:r w:rsidR="00B9423A">
        <w:t xml:space="preserve"> made</w:t>
      </w:r>
      <w:r w:rsidR="00BE2BFD">
        <w:t xml:space="preserve">. </w:t>
      </w:r>
    </w:p>
    <w:p w14:paraId="7FF274FB" w14:textId="32256D57" w:rsidR="002D3D76" w:rsidRDefault="002D3D76" w:rsidP="00610457">
      <w:r>
        <w:t xml:space="preserve">It is unlikely to improve for NSW as the view of the NSW government is that local water utilities own drinking water quality data that they have collected and have no obligation to make it public (NSW DCCEEW correspondence </w:t>
      </w:r>
      <w:r w:rsidR="00A20719">
        <w:t xml:space="preserve">MF23/2928 16 Jan </w:t>
      </w:r>
      <w:r>
        <w:t>202</w:t>
      </w:r>
      <w:r w:rsidR="00A20719">
        <w:t>4</w:t>
      </w:r>
      <w:r>
        <w:t xml:space="preserve">). </w:t>
      </w:r>
      <w:r w:rsidR="00B9423A">
        <w:t>As well as being inconsistent with most other jurisdictions</w:t>
      </w:r>
      <w:r w:rsidR="00190342">
        <w:t>, this seems to conflict with the requirements of national consumer law which requires services to be of acceptable quality and fit-for-purpose. How can consumers decide whether their drinking water meets either of these criteria unless they have access to the list of substances that are monitored and the latest measured values of each</w:t>
      </w:r>
      <w:r w:rsidR="00F31EA2">
        <w:t xml:space="preserve"> (annual maximum or 95</w:t>
      </w:r>
      <w:r w:rsidR="00F31EA2" w:rsidRPr="003E1860">
        <w:rPr>
          <w:vertAlign w:val="superscript"/>
        </w:rPr>
        <w:t>th</w:t>
      </w:r>
      <w:r w:rsidR="00F31EA2">
        <w:t xml:space="preserve"> percentile)</w:t>
      </w:r>
      <w:r w:rsidR="00D749FD">
        <w:t>?</w:t>
      </w:r>
    </w:p>
    <w:p w14:paraId="281C9EFA" w14:textId="14D307A6" w:rsidR="002D3D76" w:rsidRDefault="002D3D76" w:rsidP="002D3D76">
      <w:pPr>
        <w:pStyle w:val="Heading2"/>
      </w:pPr>
      <w:r>
        <w:t>What criteria are needed for prioritizing improvements to safety</w:t>
      </w:r>
      <w:r w:rsidR="004C3FDF">
        <w:t>?</w:t>
      </w:r>
    </w:p>
    <w:p w14:paraId="3F19917A" w14:textId="11C1B53F" w:rsidR="00BB2C09" w:rsidRPr="00BB2C09" w:rsidRDefault="00BB2C09" w:rsidP="00BB2C09">
      <w:r>
        <w:t xml:space="preserve">The Update was also seeking information </w:t>
      </w:r>
      <w:r w:rsidRPr="00D30279">
        <w:t>establishing the variable and incremental costs of efficiently meeting a BLOS</w:t>
      </w:r>
      <w:r>
        <w:t>.</w:t>
      </w:r>
    </w:p>
    <w:p w14:paraId="3B2C5A9D" w14:textId="4C5D99A5" w:rsidR="003D46A3" w:rsidRPr="00610457" w:rsidRDefault="00CD3FA6" w:rsidP="00610457">
      <w:r>
        <w:t>I</w:t>
      </w:r>
      <w:r w:rsidR="00E836F4">
        <w:t xml:space="preserve">nformation on the </w:t>
      </w:r>
      <w:r w:rsidR="002959AF">
        <w:t xml:space="preserve">combined </w:t>
      </w:r>
      <w:r w:rsidR="00E836F4">
        <w:t>severity of the failure</w:t>
      </w:r>
      <w:r w:rsidR="002959AF">
        <w:t xml:space="preserve"> to comply with </w:t>
      </w:r>
      <w:r w:rsidR="00A84FEB">
        <w:t xml:space="preserve">one or more </w:t>
      </w:r>
      <w:r w:rsidR="002959AF">
        <w:t xml:space="preserve">health-based </w:t>
      </w:r>
      <w:r w:rsidR="00E836F4">
        <w:t>Guideline</w:t>
      </w:r>
      <w:r w:rsidR="00A84FEB">
        <w:t>s</w:t>
      </w:r>
      <w:r w:rsidR="002959AF">
        <w:t xml:space="preserve"> is needed if improvements to safety are to be prioritized</w:t>
      </w:r>
      <w:r w:rsidR="00E836F4">
        <w:t xml:space="preserve">. </w:t>
      </w:r>
      <w:r w:rsidR="007F56E0">
        <w:t xml:space="preserve">Indicators H3 and H4 of the NPR do not provide any such information. </w:t>
      </w:r>
      <w:r w:rsidR="009E076F">
        <w:t>Fisher</w:t>
      </w:r>
      <w:r w:rsidR="00423B82">
        <w:t xml:space="preserve"> et al.</w:t>
      </w:r>
      <w:r w:rsidR="009E076F">
        <w:t xml:space="preserve"> (202</w:t>
      </w:r>
      <w:r w:rsidR="00423B82">
        <w:t>5</w:t>
      </w:r>
      <w:r w:rsidR="009E076F">
        <w:t>) proposed a</w:t>
      </w:r>
      <w:r w:rsidR="00DE405F">
        <w:t xml:space="preserve"> method </w:t>
      </w:r>
      <w:r w:rsidR="007F56E0">
        <w:t>to account for the combine</w:t>
      </w:r>
      <w:r>
        <w:t>d</w:t>
      </w:r>
      <w:r w:rsidR="007F56E0">
        <w:t xml:space="preserve"> severity of exceedances </w:t>
      </w:r>
      <w:r w:rsidR="009E076F">
        <w:t>based on the concept of a</w:t>
      </w:r>
      <w:r w:rsidR="00690E51">
        <w:t xml:space="preserve"> (chronic) </w:t>
      </w:r>
      <w:r w:rsidR="009E076F">
        <w:t>“health risk index” (HRI)</w:t>
      </w:r>
      <w:r w:rsidR="007F56E0">
        <w:t>. The HRI</w:t>
      </w:r>
      <w:r w:rsidR="006E1D14">
        <w:t xml:space="preserve"> is the number of times that the measured concentration of a substance exceeds its respective Guideline value.</w:t>
      </w:r>
      <w:r w:rsidR="00AD3242">
        <w:t xml:space="preserve"> As the HRI for each substance is zero un</w:t>
      </w:r>
      <w:r w:rsidR="00C15A55">
        <w:t>less</w:t>
      </w:r>
      <w:r w:rsidR="00AD3242">
        <w:t xml:space="preserve"> the Guideline is exceeded, HRIs for any number of substances can be combined by simple addition to obtain an appropriate measure of combined health risk </w:t>
      </w:r>
      <w:r w:rsidR="00423B82">
        <w:t xml:space="preserve">to an individual </w:t>
      </w:r>
      <w:r w:rsidR="00AD3242">
        <w:t>from consuming that water.</w:t>
      </w:r>
      <w:r w:rsidR="00F91FC7">
        <w:t xml:space="preserve"> </w:t>
      </w:r>
      <w:r w:rsidR="00690E51">
        <w:t>A separate “acute HRI”</w:t>
      </w:r>
      <w:r w:rsidR="002959AF">
        <w:t xml:space="preserve"> was</w:t>
      </w:r>
      <w:r w:rsidR="00690E51">
        <w:t xml:space="preserve"> defined and calculated for the case of </w:t>
      </w:r>
      <w:r w:rsidR="00690E51" w:rsidRPr="002959AF">
        <w:rPr>
          <w:i/>
          <w:iCs/>
        </w:rPr>
        <w:t>E. coli</w:t>
      </w:r>
      <w:r w:rsidR="00690E51">
        <w:t xml:space="preserve"> because it is measured as </w:t>
      </w:r>
      <w:r w:rsidR="00690E51">
        <w:lastRenderedPageBreak/>
        <w:t xml:space="preserve">presence/absence rather than concentration. </w:t>
      </w:r>
      <w:r w:rsidR="00F91FC7">
        <w:t>The precise mathematical definition</w:t>
      </w:r>
      <w:r w:rsidR="001059EB">
        <w:t>s of these HRIs</w:t>
      </w:r>
      <w:r w:rsidR="00F91FC7">
        <w:t xml:space="preserve"> </w:t>
      </w:r>
      <w:r w:rsidR="001059EB">
        <w:t>are</w:t>
      </w:r>
      <w:r w:rsidR="00F91FC7">
        <w:t xml:space="preserve"> detailed in the paper (Attachment </w:t>
      </w:r>
      <w:r w:rsidR="00720B47">
        <w:t>1</w:t>
      </w:r>
      <w:r w:rsidR="00F91FC7">
        <w:t xml:space="preserve">). </w:t>
      </w:r>
    </w:p>
    <w:p w14:paraId="1FEFD7CA" w14:textId="0B238B13" w:rsidR="000D7F01" w:rsidRDefault="002B1939">
      <w:r>
        <w:t>A community HRI can then be derived by weighting the combined HRI for an individual by the population receiving water of differing quality within that community. Then the combined community HRIs provide an appropriate basis for comparing safety across different communities/supplies. This type of population weighting is already used in the NPR</w:t>
      </w:r>
      <w:r w:rsidR="00733188">
        <w:t xml:space="preserve"> indicators H3 and H4</w:t>
      </w:r>
      <w:r>
        <w:t xml:space="preserve">. Similar population weighting across a State/Territory jurisdiction or nationally provides a consistent basis for comparing </w:t>
      </w:r>
      <w:r w:rsidR="001E125C">
        <w:t>levels of safety across jurisdictions and nations. Again, the precise mathematical definitions of the HRIs at different community/jurisdictional/national levels are given in Fisher et al. (202</w:t>
      </w:r>
      <w:r w:rsidR="00733188">
        <w:t>5</w:t>
      </w:r>
      <w:r w:rsidR="001E125C">
        <w:t>).</w:t>
      </w:r>
    </w:p>
    <w:p w14:paraId="53A23821" w14:textId="468126EE" w:rsidR="00B253A0" w:rsidRDefault="00B253A0">
      <w:r>
        <w:t xml:space="preserve">These HRIs were calculated nationally </w:t>
      </w:r>
      <w:r w:rsidR="00A96513">
        <w:t xml:space="preserve">(WA, SA, QLD and NT) </w:t>
      </w:r>
      <w:r>
        <w:t>from the earlier version of the Australian Drinking Water Record (Wyrwoll et al. 2022)</w:t>
      </w:r>
      <w:r w:rsidRPr="00B253A0">
        <w:t xml:space="preserve"> </w:t>
      </w:r>
      <w:r>
        <w:t>for drinking water supplied to remote Aboriginal communities (Fisher et al. 2025).</w:t>
      </w:r>
      <w:r w:rsidR="00A96513">
        <w:t xml:space="preserve"> </w:t>
      </w:r>
      <w:r w:rsidR="00352ACB">
        <w:t>Water supplies were ranked according to combined community</w:t>
      </w:r>
      <w:r>
        <w:t xml:space="preserve"> </w:t>
      </w:r>
      <w:r w:rsidR="00352ACB">
        <w:t xml:space="preserve">HRI values for </w:t>
      </w:r>
      <w:r w:rsidR="00352ACB" w:rsidRPr="00352ACB">
        <w:rPr>
          <w:i/>
          <w:iCs/>
        </w:rPr>
        <w:t>E. Coli</w:t>
      </w:r>
      <w:r w:rsidR="00352ACB">
        <w:t xml:space="preserve"> (Group A) and other health-based substances (Group B) separately. Following the NHMRC (2011) advice that enteric pathogens</w:t>
      </w:r>
      <w:r>
        <w:t xml:space="preserve"> </w:t>
      </w:r>
      <w:r w:rsidR="00352ACB">
        <w:t xml:space="preserve">are the greatest safety risk, it was proposed that Group A supplies should be remediated first, followed by those in Group B, according to their rank. </w:t>
      </w:r>
    </w:p>
    <w:p w14:paraId="40548829" w14:textId="246ED1B8" w:rsidR="00352ACB" w:rsidRDefault="00352ACB">
      <w:r>
        <w:t>That proposal assumes that improving safety must be prioritized regardless of cost. In a world of limited financial resources, the (economic) benefit-cost ratio has been used widely to prioritize many types of projects. Fisher et al. (2024</w:t>
      </w:r>
      <w:r w:rsidR="0021470E">
        <w:t xml:space="preserve"> – Attachment </w:t>
      </w:r>
      <w:r w:rsidR="00E45B35">
        <w:t>2</w:t>
      </w:r>
      <w:r>
        <w:t>) proposed a similar ratio</w:t>
      </w:r>
      <w:r w:rsidR="006170BF">
        <w:t xml:space="preserve"> for prioritizing improvements to safety, with the measurement of benefits in terms of the decrease in HRIs due to the net present value of the costs involved.</w:t>
      </w:r>
      <w:r w:rsidR="00E9692E">
        <w:t xml:space="preserve"> This prioritization would lead to the greatest improvement in safety </w:t>
      </w:r>
      <w:r w:rsidR="00C443C6">
        <w:t xml:space="preserve">nationally </w:t>
      </w:r>
      <w:r w:rsidR="00E9692E">
        <w:t>for the limited financial resources available.</w:t>
      </w:r>
    </w:p>
    <w:p w14:paraId="0559A385" w14:textId="40F21A72" w:rsidR="00CA7ADF" w:rsidRDefault="00CA7ADF" w:rsidP="00CA7ADF">
      <w:pPr>
        <w:pStyle w:val="Heading2"/>
      </w:pPr>
      <w:r>
        <w:t>About the Author</w:t>
      </w:r>
    </w:p>
    <w:p w14:paraId="43B50B42" w14:textId="77777777" w:rsidR="00521DF9" w:rsidRDefault="00CA7ADF" w:rsidP="00CA7ADF">
      <w:r>
        <w:t xml:space="preserve">Dr Ian Fisher </w:t>
      </w:r>
      <w:r w:rsidR="00A752C5">
        <w:t xml:space="preserve">was Principal Scientist – Drinking Water for Sydney Water Corporation (SWC) for over 15 years, initially with responsibility for its drinking water quality surveillance. This included designing and implementing SWC’s first trace contaminant monitoring program. He was subsequently foundation Coordinator </w:t>
      </w:r>
      <w:r w:rsidR="0087734E">
        <w:t>for</w:t>
      </w:r>
      <w:r w:rsidR="00A752C5">
        <w:t xml:space="preserve"> the distribution system research program of the national CRC for Water Quality and Treatment</w:t>
      </w:r>
      <w:r>
        <w:t xml:space="preserve">, </w:t>
      </w:r>
      <w:r w:rsidR="0087734E">
        <w:t xml:space="preserve">within which he led the development, validation and publication of mathematical models of chlorine reactions in bulk water and with pipe walls. </w:t>
      </w:r>
    </w:p>
    <w:p w14:paraId="03B930D4" w14:textId="7CACC868" w:rsidR="00CA7ADF" w:rsidRPr="00CA7ADF" w:rsidRDefault="00521DF9" w:rsidP="00CA7ADF">
      <w:r>
        <w:t xml:space="preserve">Ian has also been a Professor of Engineering (Research) at CDU and an Adjunct Professor at WSU. </w:t>
      </w:r>
      <w:r w:rsidR="0087734E">
        <w:t xml:space="preserve">He is </w:t>
      </w:r>
      <w:r>
        <w:t xml:space="preserve">currently </w:t>
      </w:r>
      <w:r w:rsidR="0087734E">
        <w:t xml:space="preserve">Director of Watervale Systems, </w:t>
      </w:r>
      <w:r w:rsidR="00CA7ADF">
        <w:t xml:space="preserve">a small company that </w:t>
      </w:r>
      <w:r w:rsidR="0087734E">
        <w:t>has continued th</w:t>
      </w:r>
      <w:r>
        <w:t>e</w:t>
      </w:r>
      <w:r w:rsidR="0087734E">
        <w:t xml:space="preserve"> modelling </w:t>
      </w:r>
      <w:r>
        <w:t>development</w:t>
      </w:r>
      <w:r w:rsidR="0087734E">
        <w:t xml:space="preserve"> and now </w:t>
      </w:r>
      <w:r w:rsidR="00CA7ADF">
        <w:t xml:space="preserve">provides consulting services </w:t>
      </w:r>
      <w:r w:rsidR="00A752C5">
        <w:t>to water utilities to achieve chlorine residuals in distribution systems sufficient to control  microbiological agents, while keeping disinfection by-products below regulated limits.</w:t>
      </w:r>
    </w:p>
    <w:p w14:paraId="20A8A874" w14:textId="768DF602" w:rsidR="00D749FD" w:rsidRDefault="00D749FD" w:rsidP="004055EE">
      <w:pPr>
        <w:pStyle w:val="Heading3"/>
      </w:pPr>
      <w:r>
        <w:lastRenderedPageBreak/>
        <w:t>References</w:t>
      </w:r>
    </w:p>
    <w:p w14:paraId="554A6AD4" w14:textId="64EE126C" w:rsidR="00D749FD" w:rsidRDefault="00D749FD">
      <w:r>
        <w:t>Fisher</w:t>
      </w:r>
      <w:r w:rsidR="00655138">
        <w:t>, I.,</w:t>
      </w:r>
      <w:r>
        <w:t xml:space="preserve"> </w:t>
      </w:r>
      <w:r w:rsidR="00655138">
        <w:t xml:space="preserve">Kastl, G., and Sathasivan, A. </w:t>
      </w:r>
      <w:r>
        <w:t>(2024)</w:t>
      </w:r>
      <w:r w:rsidR="00655138">
        <w:t>. A</w:t>
      </w:r>
      <w:r w:rsidR="00655138" w:rsidRPr="00655138">
        <w:t xml:space="preserve"> national strategy to achieve safe drinking water in regional and remote communities</w:t>
      </w:r>
      <w:r w:rsidR="00655138">
        <w:t xml:space="preserve">. Voices from the Bush Conference, </w:t>
      </w:r>
      <w:proofErr w:type="spellStart"/>
      <w:r w:rsidR="00655138">
        <w:t>Mparntwe</w:t>
      </w:r>
      <w:proofErr w:type="spellEnd"/>
      <w:r w:rsidR="00DE4DF3">
        <w:t xml:space="preserve"> (</w:t>
      </w:r>
      <w:r w:rsidR="00655138">
        <w:t>Alice Springs</w:t>
      </w:r>
      <w:r w:rsidR="00DE4DF3">
        <w:t>)</w:t>
      </w:r>
      <w:r w:rsidR="00655138">
        <w:t>, 10-11 Sep 2024.</w:t>
      </w:r>
    </w:p>
    <w:p w14:paraId="79D2D533" w14:textId="16C8D0EE" w:rsidR="00D749FD" w:rsidRDefault="00D749FD">
      <w:r>
        <w:t>Fisher</w:t>
      </w:r>
      <w:r w:rsidR="0093440D">
        <w:t>, I., Kastl, G., and Sathasivan, A.</w:t>
      </w:r>
      <w:r>
        <w:t xml:space="preserve"> (2025)</w:t>
      </w:r>
      <w:r w:rsidR="0093440D">
        <w:t xml:space="preserve"> M</w:t>
      </w:r>
      <w:r w:rsidR="0093440D" w:rsidRPr="0093440D">
        <w:t>easuring progress to achieve safe drinking water for first nations people</w:t>
      </w:r>
      <w:r w:rsidR="0093440D">
        <w:t>.</w:t>
      </w:r>
      <w:r w:rsidR="00976B11">
        <w:t xml:space="preserve"> Water e-Journal </w:t>
      </w:r>
      <w:r w:rsidR="00976B11" w:rsidRPr="00976B11">
        <w:t>11</w:t>
      </w:r>
      <w:r w:rsidR="00976B11">
        <w:t>(</w:t>
      </w:r>
      <w:r w:rsidR="00976B11" w:rsidRPr="00976B11">
        <w:t>2</w:t>
      </w:r>
      <w:r w:rsidR="00976B11">
        <w:t>)</w:t>
      </w:r>
      <w:r w:rsidR="00FB6261">
        <w:t>, 005.</w:t>
      </w:r>
      <w:r w:rsidR="00976B11" w:rsidRPr="00976B11">
        <w:t xml:space="preserve"> doi.org/10.21139/wej.2025.005</w:t>
      </w:r>
      <w:r w:rsidR="00655138">
        <w:t>.</w:t>
      </w:r>
    </w:p>
    <w:p w14:paraId="3FC1EF6C" w14:textId="2C7E6AF2" w:rsidR="00D63DC4" w:rsidRDefault="00D63DC4">
      <w:r w:rsidRPr="00D63DC4">
        <w:t xml:space="preserve">National Health and Medical Research Council (NHMRC) </w:t>
      </w:r>
      <w:r>
        <w:t xml:space="preserve">(2011 updated </w:t>
      </w:r>
      <w:r w:rsidRPr="00D63DC4">
        <w:t>202</w:t>
      </w:r>
      <w:r>
        <w:t>5)</w:t>
      </w:r>
      <w:r w:rsidRPr="00D63DC4">
        <w:t xml:space="preserve">. Australian Drinking Water Guidelines 6 version </w:t>
      </w:r>
      <w:r>
        <w:t>4.0</w:t>
      </w:r>
      <w:r w:rsidRPr="00D63DC4">
        <w:t>. https://www.nhmrc.gov. au/about-us/publications/</w:t>
      </w:r>
      <w:proofErr w:type="spellStart"/>
      <w:r w:rsidRPr="00D63DC4">
        <w:t>australian</w:t>
      </w:r>
      <w:proofErr w:type="spellEnd"/>
      <w:r w:rsidRPr="00D63DC4">
        <w:t>-drinking water-guidelines</w:t>
      </w:r>
      <w:r w:rsidR="0000016F">
        <w:t>.</w:t>
      </w:r>
    </w:p>
    <w:p w14:paraId="6F7DC081" w14:textId="7A9B75AA" w:rsidR="00733188" w:rsidRDefault="006A13B9">
      <w:r w:rsidRPr="006A13B9">
        <w:t xml:space="preserve">Wyrwoll, P., Manero, A., Taylor, K., Rose, E., and Grafton, R. </w:t>
      </w:r>
      <w:r w:rsidR="000F144B">
        <w:t>(</w:t>
      </w:r>
      <w:r w:rsidRPr="006A13B9">
        <w:t>2022</w:t>
      </w:r>
      <w:r w:rsidR="000F144B">
        <w:t>)</w:t>
      </w:r>
      <w:r w:rsidRPr="006A13B9">
        <w:t xml:space="preserve">. Measuring the gaps in drinking water quality and policy across regional and remote Australia. </w:t>
      </w:r>
      <w:proofErr w:type="spellStart"/>
      <w:r w:rsidRPr="006A13B9">
        <w:t>npj</w:t>
      </w:r>
      <w:proofErr w:type="spellEnd"/>
      <w:r w:rsidRPr="006A13B9">
        <w:t xml:space="preserve"> Clean Water (2022) 5:32 ; https://doi. org/10.1038/s41545-022-00174-1</w:t>
      </w:r>
      <w:r>
        <w:t>.</w:t>
      </w:r>
    </w:p>
    <w:p w14:paraId="09E9DB69" w14:textId="77777777" w:rsidR="00F4312A" w:rsidRDefault="00F4312A"/>
    <w:sectPr w:rsidR="00F431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205D" w14:textId="77777777" w:rsidR="00F9126E" w:rsidRDefault="00F9126E" w:rsidP="00610457">
      <w:pPr>
        <w:spacing w:after="0" w:line="240" w:lineRule="auto"/>
      </w:pPr>
      <w:r>
        <w:separator/>
      </w:r>
    </w:p>
  </w:endnote>
  <w:endnote w:type="continuationSeparator" w:id="0">
    <w:p w14:paraId="06498C63" w14:textId="77777777" w:rsidR="00F9126E" w:rsidRDefault="00F9126E" w:rsidP="0061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6AE1" w14:textId="77777777" w:rsidR="00F9126E" w:rsidRDefault="00F9126E" w:rsidP="00610457">
      <w:pPr>
        <w:spacing w:after="0" w:line="240" w:lineRule="auto"/>
      </w:pPr>
      <w:r>
        <w:separator/>
      </w:r>
    </w:p>
  </w:footnote>
  <w:footnote w:type="continuationSeparator" w:id="0">
    <w:p w14:paraId="77DFF90F" w14:textId="77777777" w:rsidR="00F9126E" w:rsidRDefault="00F9126E" w:rsidP="00610457">
      <w:pPr>
        <w:spacing w:after="0" w:line="240" w:lineRule="auto"/>
      </w:pPr>
      <w:r>
        <w:continuationSeparator/>
      </w:r>
    </w:p>
  </w:footnote>
  <w:footnote w:id="1">
    <w:p w14:paraId="7357E3A3" w14:textId="77777777" w:rsidR="00610457" w:rsidRDefault="00610457" w:rsidP="00610457">
      <w:pPr>
        <w:pStyle w:val="FootnoteText"/>
        <w:spacing w:before="60" w:after="60"/>
        <w:rPr>
          <w:spacing w:val="-6"/>
        </w:rPr>
      </w:pPr>
      <w:r>
        <w:rPr>
          <w:rStyle w:val="FootnoteReference"/>
        </w:rPr>
        <w:footnoteRef/>
      </w:r>
      <w:r>
        <w:t xml:space="preserve"> </w:t>
      </w:r>
      <w:r>
        <w:rPr>
          <w:spacing w:val="-6"/>
        </w:rPr>
        <w:t>ATSE, sub. 3, p. 2; CEG, sub. 17, pp. 8–9; CLC, sub. 54, p. 17; DEG, sub. 21, p. 1; NFF, sub. 31, p. 5; WSAA, sub. 53, p.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C9D"/>
    <w:multiLevelType w:val="multilevel"/>
    <w:tmpl w:val="FF8069A4"/>
    <w:numStyleLink w:val="Bullets"/>
  </w:abstractNum>
  <w:abstractNum w:abstractNumId="1"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cs="Times New Roman" w:hint="default"/>
        <w:color w:val="auto"/>
      </w:rPr>
    </w:lvl>
    <w:lvl w:ilvl="2">
      <w:start w:val="1"/>
      <w:numFmt w:val="bullet"/>
      <w:pStyle w:val="ListBullet3"/>
      <w:lvlText w:val="»"/>
      <w:lvlJc w:val="left"/>
      <w:pPr>
        <w:ind w:left="907" w:hanging="227"/>
      </w:pPr>
      <w:rPr>
        <w:rFonts w:ascii="Arial" w:hAnsi="Arial" w:cs="Times New Roman" w:hint="default"/>
        <w:color w:val="auto"/>
      </w:rPr>
    </w:lvl>
    <w:lvl w:ilvl="3">
      <w:start w:val="1"/>
      <w:numFmt w:val="bullet"/>
      <w:lvlText w:val="–"/>
      <w:lvlJc w:val="left"/>
      <w:pPr>
        <w:tabs>
          <w:tab w:val="num" w:pos="851"/>
        </w:tabs>
        <w:ind w:left="907" w:hanging="227"/>
      </w:pPr>
      <w:rPr>
        <w:rFonts w:ascii="Arial" w:hAnsi="Arial" w:cs="Times New Roman" w:hint="default"/>
        <w:color w:val="auto"/>
      </w:rPr>
    </w:lvl>
    <w:lvl w:ilvl="4">
      <w:start w:val="1"/>
      <w:numFmt w:val="bullet"/>
      <w:lvlText w:val="–"/>
      <w:lvlJc w:val="left"/>
      <w:pPr>
        <w:ind w:left="1134" w:hanging="227"/>
      </w:pPr>
      <w:rPr>
        <w:rFonts w:ascii="Arial" w:hAnsi="Arial" w:cs="Times New Roman" w:hint="default"/>
        <w:color w:val="auto"/>
      </w:rPr>
    </w:lvl>
    <w:lvl w:ilvl="5">
      <w:start w:val="1"/>
      <w:numFmt w:val="bullet"/>
      <w:lvlText w:val="–"/>
      <w:lvlJc w:val="left"/>
      <w:pPr>
        <w:ind w:left="1361" w:hanging="227"/>
      </w:pPr>
      <w:rPr>
        <w:rFonts w:ascii="Arial" w:hAnsi="Arial" w:cs="Times New Roman" w:hint="default"/>
      </w:rPr>
    </w:lvl>
    <w:lvl w:ilvl="6">
      <w:start w:val="1"/>
      <w:numFmt w:val="bullet"/>
      <w:lvlText w:val="–"/>
      <w:lvlJc w:val="left"/>
      <w:pPr>
        <w:ind w:left="1588" w:hanging="227"/>
      </w:pPr>
      <w:rPr>
        <w:rFonts w:ascii="Arial" w:hAnsi="Arial" w:cs="Times New Roman" w:hint="default"/>
      </w:rPr>
    </w:lvl>
    <w:lvl w:ilvl="7">
      <w:start w:val="1"/>
      <w:numFmt w:val="bullet"/>
      <w:lvlText w:val="–"/>
      <w:lvlJc w:val="left"/>
      <w:pPr>
        <w:ind w:left="1814" w:hanging="226"/>
      </w:pPr>
      <w:rPr>
        <w:rFonts w:ascii="Arial" w:hAnsi="Arial" w:cs="Times New Roman" w:hint="default"/>
      </w:rPr>
    </w:lvl>
    <w:lvl w:ilvl="8">
      <w:start w:val="1"/>
      <w:numFmt w:val="bullet"/>
      <w:lvlText w:val="–"/>
      <w:lvlJc w:val="left"/>
      <w:pPr>
        <w:tabs>
          <w:tab w:val="num" w:pos="2211"/>
        </w:tabs>
        <w:ind w:left="2041" w:hanging="227"/>
      </w:pPr>
      <w:rPr>
        <w:rFonts w:ascii="Arial" w:hAnsi="Arial" w:cs="Times New Roman" w:hint="default"/>
      </w:rPr>
    </w:lvl>
  </w:abstractNum>
  <w:num w:numId="1" w16cid:durableId="1035228440">
    <w:abstractNumId w:val="0"/>
  </w:num>
  <w:num w:numId="2" w16cid:durableId="107167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57"/>
    <w:rsid w:val="0000016F"/>
    <w:rsid w:val="00016092"/>
    <w:rsid w:val="000267E8"/>
    <w:rsid w:val="00090880"/>
    <w:rsid w:val="000C48F4"/>
    <w:rsid w:val="000D7DB1"/>
    <w:rsid w:val="000D7F01"/>
    <w:rsid w:val="000F144B"/>
    <w:rsid w:val="001059EB"/>
    <w:rsid w:val="00122312"/>
    <w:rsid w:val="00152F52"/>
    <w:rsid w:val="00154F77"/>
    <w:rsid w:val="00170CCC"/>
    <w:rsid w:val="00190342"/>
    <w:rsid w:val="001E125C"/>
    <w:rsid w:val="001F7E27"/>
    <w:rsid w:val="0021470E"/>
    <w:rsid w:val="00221D97"/>
    <w:rsid w:val="00264C87"/>
    <w:rsid w:val="00281222"/>
    <w:rsid w:val="002959AF"/>
    <w:rsid w:val="002A6AFC"/>
    <w:rsid w:val="002B1939"/>
    <w:rsid w:val="002B59F5"/>
    <w:rsid w:val="002D3D76"/>
    <w:rsid w:val="002E3D66"/>
    <w:rsid w:val="002F129E"/>
    <w:rsid w:val="002F35A2"/>
    <w:rsid w:val="00303596"/>
    <w:rsid w:val="00350D76"/>
    <w:rsid w:val="00352ACB"/>
    <w:rsid w:val="003D46A3"/>
    <w:rsid w:val="003E1860"/>
    <w:rsid w:val="004055EE"/>
    <w:rsid w:val="00423B82"/>
    <w:rsid w:val="00426B90"/>
    <w:rsid w:val="004615FF"/>
    <w:rsid w:val="0046390E"/>
    <w:rsid w:val="004A5F86"/>
    <w:rsid w:val="004C3FDF"/>
    <w:rsid w:val="00513F23"/>
    <w:rsid w:val="00521DF9"/>
    <w:rsid w:val="00525CCE"/>
    <w:rsid w:val="005407D3"/>
    <w:rsid w:val="0054346D"/>
    <w:rsid w:val="00574D3C"/>
    <w:rsid w:val="00591A95"/>
    <w:rsid w:val="005B6F6C"/>
    <w:rsid w:val="005D584F"/>
    <w:rsid w:val="005E55B1"/>
    <w:rsid w:val="00610457"/>
    <w:rsid w:val="006170BF"/>
    <w:rsid w:val="0062326A"/>
    <w:rsid w:val="00640C04"/>
    <w:rsid w:val="00644EF2"/>
    <w:rsid w:val="00655138"/>
    <w:rsid w:val="00690E51"/>
    <w:rsid w:val="006A13B9"/>
    <w:rsid w:val="006A591C"/>
    <w:rsid w:val="006D64D7"/>
    <w:rsid w:val="006E1D14"/>
    <w:rsid w:val="006E7662"/>
    <w:rsid w:val="00720B47"/>
    <w:rsid w:val="00733188"/>
    <w:rsid w:val="00735863"/>
    <w:rsid w:val="00742DF0"/>
    <w:rsid w:val="007606FA"/>
    <w:rsid w:val="00764D73"/>
    <w:rsid w:val="00794546"/>
    <w:rsid w:val="007F56E0"/>
    <w:rsid w:val="00801481"/>
    <w:rsid w:val="0081254E"/>
    <w:rsid w:val="00817E18"/>
    <w:rsid w:val="00835C93"/>
    <w:rsid w:val="00850E49"/>
    <w:rsid w:val="0087734E"/>
    <w:rsid w:val="008A1820"/>
    <w:rsid w:val="008C0566"/>
    <w:rsid w:val="008C50C4"/>
    <w:rsid w:val="008D5014"/>
    <w:rsid w:val="008E4E98"/>
    <w:rsid w:val="008F2EEC"/>
    <w:rsid w:val="008F69E8"/>
    <w:rsid w:val="00910FFB"/>
    <w:rsid w:val="00916F17"/>
    <w:rsid w:val="00926A89"/>
    <w:rsid w:val="0093440D"/>
    <w:rsid w:val="00947FA5"/>
    <w:rsid w:val="00976B11"/>
    <w:rsid w:val="009925E9"/>
    <w:rsid w:val="009D61F5"/>
    <w:rsid w:val="009D7EA5"/>
    <w:rsid w:val="009E076F"/>
    <w:rsid w:val="009E5633"/>
    <w:rsid w:val="009F6709"/>
    <w:rsid w:val="00A20719"/>
    <w:rsid w:val="00A41AB1"/>
    <w:rsid w:val="00A752C5"/>
    <w:rsid w:val="00A83A4F"/>
    <w:rsid w:val="00A84FEB"/>
    <w:rsid w:val="00A96513"/>
    <w:rsid w:val="00AB67C2"/>
    <w:rsid w:val="00AD3242"/>
    <w:rsid w:val="00B0579D"/>
    <w:rsid w:val="00B253A0"/>
    <w:rsid w:val="00B50A85"/>
    <w:rsid w:val="00B623CD"/>
    <w:rsid w:val="00B71553"/>
    <w:rsid w:val="00B9423A"/>
    <w:rsid w:val="00B95AE8"/>
    <w:rsid w:val="00BB2C09"/>
    <w:rsid w:val="00BB4DDE"/>
    <w:rsid w:val="00BD4E7F"/>
    <w:rsid w:val="00BE2BFD"/>
    <w:rsid w:val="00BE56E7"/>
    <w:rsid w:val="00C0330C"/>
    <w:rsid w:val="00C15A55"/>
    <w:rsid w:val="00C443C6"/>
    <w:rsid w:val="00C44446"/>
    <w:rsid w:val="00C44ACC"/>
    <w:rsid w:val="00C538AB"/>
    <w:rsid w:val="00CA7ADF"/>
    <w:rsid w:val="00CB48B9"/>
    <w:rsid w:val="00CB576E"/>
    <w:rsid w:val="00CB5778"/>
    <w:rsid w:val="00CD3FA6"/>
    <w:rsid w:val="00CE59AE"/>
    <w:rsid w:val="00D30279"/>
    <w:rsid w:val="00D50D17"/>
    <w:rsid w:val="00D56371"/>
    <w:rsid w:val="00D63DC4"/>
    <w:rsid w:val="00D749FD"/>
    <w:rsid w:val="00D941A3"/>
    <w:rsid w:val="00D9512D"/>
    <w:rsid w:val="00D96C2C"/>
    <w:rsid w:val="00DA2389"/>
    <w:rsid w:val="00DA2623"/>
    <w:rsid w:val="00DB5B5C"/>
    <w:rsid w:val="00DB7600"/>
    <w:rsid w:val="00DC259D"/>
    <w:rsid w:val="00DE405F"/>
    <w:rsid w:val="00DE4DF3"/>
    <w:rsid w:val="00DF2822"/>
    <w:rsid w:val="00E0194E"/>
    <w:rsid w:val="00E14E2D"/>
    <w:rsid w:val="00E45B35"/>
    <w:rsid w:val="00E63627"/>
    <w:rsid w:val="00E712B0"/>
    <w:rsid w:val="00E836F4"/>
    <w:rsid w:val="00E841F4"/>
    <w:rsid w:val="00E9692E"/>
    <w:rsid w:val="00ED3ED0"/>
    <w:rsid w:val="00F31EA2"/>
    <w:rsid w:val="00F4312A"/>
    <w:rsid w:val="00F9126E"/>
    <w:rsid w:val="00F91FC7"/>
    <w:rsid w:val="00F961A3"/>
    <w:rsid w:val="00FB626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C2E03"/>
  <w15:chartTrackingRefBased/>
  <w15:docId w15:val="{37D9760A-C31A-47D3-BF02-207F81CC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0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0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0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10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0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0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0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457"/>
    <w:rPr>
      <w:rFonts w:eastAsiaTheme="majorEastAsia" w:cstheme="majorBidi"/>
      <w:color w:val="272727" w:themeColor="text1" w:themeTint="D8"/>
    </w:rPr>
  </w:style>
  <w:style w:type="paragraph" w:styleId="Title">
    <w:name w:val="Title"/>
    <w:basedOn w:val="Normal"/>
    <w:next w:val="Normal"/>
    <w:link w:val="TitleChar"/>
    <w:uiPriority w:val="10"/>
    <w:qFormat/>
    <w:rsid w:val="00610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57"/>
    <w:pPr>
      <w:spacing w:before="160"/>
      <w:jc w:val="center"/>
    </w:pPr>
    <w:rPr>
      <w:i/>
      <w:iCs/>
      <w:color w:val="404040" w:themeColor="text1" w:themeTint="BF"/>
    </w:rPr>
  </w:style>
  <w:style w:type="character" w:customStyle="1" w:styleId="QuoteChar">
    <w:name w:val="Quote Char"/>
    <w:basedOn w:val="DefaultParagraphFont"/>
    <w:link w:val="Quote"/>
    <w:uiPriority w:val="29"/>
    <w:rsid w:val="00610457"/>
    <w:rPr>
      <w:i/>
      <w:iCs/>
      <w:color w:val="404040" w:themeColor="text1" w:themeTint="BF"/>
    </w:rPr>
  </w:style>
  <w:style w:type="paragraph" w:styleId="ListParagraph">
    <w:name w:val="List Paragraph"/>
    <w:basedOn w:val="Normal"/>
    <w:uiPriority w:val="34"/>
    <w:qFormat/>
    <w:rsid w:val="00610457"/>
    <w:pPr>
      <w:ind w:left="720"/>
      <w:contextualSpacing/>
    </w:pPr>
  </w:style>
  <w:style w:type="character" w:styleId="IntenseEmphasis">
    <w:name w:val="Intense Emphasis"/>
    <w:basedOn w:val="DefaultParagraphFont"/>
    <w:uiPriority w:val="21"/>
    <w:qFormat/>
    <w:rsid w:val="00610457"/>
    <w:rPr>
      <w:i/>
      <w:iCs/>
      <w:color w:val="0F4761" w:themeColor="accent1" w:themeShade="BF"/>
    </w:rPr>
  </w:style>
  <w:style w:type="paragraph" w:styleId="IntenseQuote">
    <w:name w:val="Intense Quote"/>
    <w:basedOn w:val="Normal"/>
    <w:next w:val="Normal"/>
    <w:link w:val="IntenseQuoteChar"/>
    <w:uiPriority w:val="30"/>
    <w:qFormat/>
    <w:rsid w:val="00610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0457"/>
    <w:rPr>
      <w:i/>
      <w:iCs/>
      <w:color w:val="0F4761" w:themeColor="accent1" w:themeShade="BF"/>
    </w:rPr>
  </w:style>
  <w:style w:type="character" w:styleId="IntenseReference">
    <w:name w:val="Intense Reference"/>
    <w:basedOn w:val="DefaultParagraphFont"/>
    <w:uiPriority w:val="32"/>
    <w:qFormat/>
    <w:rsid w:val="00610457"/>
    <w:rPr>
      <w:b/>
      <w:bCs/>
      <w:smallCaps/>
      <w:color w:val="0F4761" w:themeColor="accent1" w:themeShade="BF"/>
      <w:spacing w:val="5"/>
    </w:rPr>
  </w:style>
  <w:style w:type="paragraph" w:styleId="FootnoteText">
    <w:name w:val="footnote text"/>
    <w:basedOn w:val="Normal"/>
    <w:link w:val="FootnoteTextChar"/>
    <w:uiPriority w:val="99"/>
    <w:semiHidden/>
    <w:unhideWhenUsed/>
    <w:rsid w:val="006104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457"/>
    <w:rPr>
      <w:sz w:val="20"/>
      <w:szCs w:val="20"/>
    </w:rPr>
  </w:style>
  <w:style w:type="character" w:styleId="FootnoteReference">
    <w:name w:val="footnote reference"/>
    <w:basedOn w:val="DefaultParagraphFont"/>
    <w:uiPriority w:val="99"/>
    <w:semiHidden/>
    <w:unhideWhenUsed/>
    <w:rsid w:val="00610457"/>
    <w:rPr>
      <w:vertAlign w:val="superscript"/>
    </w:rPr>
  </w:style>
  <w:style w:type="paragraph" w:styleId="ListBullet">
    <w:name w:val="List Bullet"/>
    <w:basedOn w:val="Normal"/>
    <w:uiPriority w:val="1"/>
    <w:semiHidden/>
    <w:unhideWhenUsed/>
    <w:qFormat/>
    <w:rsid w:val="00D30279"/>
    <w:pPr>
      <w:numPr>
        <w:numId w:val="2"/>
      </w:numPr>
      <w:spacing w:before="120" w:after="120" w:line="280" w:lineRule="atLeast"/>
      <w:ind w:left="0" w:firstLine="0"/>
      <w:contextualSpacing/>
    </w:pPr>
    <w:rPr>
      <w:sz w:val="20"/>
      <w:szCs w:val="20"/>
    </w:rPr>
  </w:style>
  <w:style w:type="paragraph" w:styleId="ListBullet2">
    <w:name w:val="List Bullet 2"/>
    <w:basedOn w:val="Normal"/>
    <w:uiPriority w:val="1"/>
    <w:semiHidden/>
    <w:unhideWhenUsed/>
    <w:qFormat/>
    <w:rsid w:val="00D30279"/>
    <w:pPr>
      <w:numPr>
        <w:ilvl w:val="1"/>
        <w:numId w:val="2"/>
      </w:numPr>
      <w:spacing w:before="120" w:after="120" w:line="280" w:lineRule="atLeast"/>
      <w:ind w:left="0" w:firstLine="0"/>
      <w:contextualSpacing/>
    </w:pPr>
    <w:rPr>
      <w:kern w:val="0"/>
      <w:sz w:val="20"/>
      <w:szCs w:val="20"/>
      <w14:ligatures w14:val="none"/>
    </w:rPr>
  </w:style>
  <w:style w:type="paragraph" w:styleId="ListBullet3">
    <w:name w:val="List Bullet 3"/>
    <w:basedOn w:val="Normal"/>
    <w:uiPriority w:val="1"/>
    <w:semiHidden/>
    <w:unhideWhenUsed/>
    <w:qFormat/>
    <w:rsid w:val="00D30279"/>
    <w:pPr>
      <w:numPr>
        <w:ilvl w:val="2"/>
        <w:numId w:val="2"/>
      </w:numPr>
      <w:spacing w:before="120" w:after="120" w:line="280" w:lineRule="atLeast"/>
      <w:ind w:left="0" w:firstLine="0"/>
      <w:contextualSpacing/>
    </w:pPr>
    <w:rPr>
      <w:kern w:val="0"/>
      <w:sz w:val="20"/>
      <w:szCs w:val="20"/>
      <w14:ligatures w14:val="none"/>
    </w:rPr>
  </w:style>
  <w:style w:type="numbering" w:customStyle="1" w:styleId="Bullets">
    <w:name w:val="Bullets"/>
    <w:uiPriority w:val="99"/>
    <w:rsid w:val="00D30279"/>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1" ma:contentTypeDescription="Create a new document." ma:contentTypeScope="" ma:versionID="5a82f294a0dfa6374745c206ff9b5f79">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e196b8246b993e081f35d853143570f8"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FB856-11BB-4A38-9919-FD09600B09CE}">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2.xml><?xml version="1.0" encoding="utf-8"?>
<ds:datastoreItem xmlns:ds="http://schemas.openxmlformats.org/officeDocument/2006/customXml" ds:itemID="{B95E22C0-A0AE-4867-B24F-E8CBA9C822DD}">
  <ds:schemaRefs>
    <ds:schemaRef ds:uri="http://schemas.microsoft.com/sharepoint/v3/contenttype/forms"/>
  </ds:schemaRefs>
</ds:datastoreItem>
</file>

<file path=customXml/itemProps3.xml><?xml version="1.0" encoding="utf-8"?>
<ds:datastoreItem xmlns:ds="http://schemas.openxmlformats.org/officeDocument/2006/customXml" ds:itemID="{50357024-0B3F-4E33-9AC1-C03421D14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2325</Words>
  <Characters>13045</Characters>
  <Application>Microsoft Office Word</Application>
  <DocSecurity>0</DocSecurity>
  <Lines>197</Lines>
  <Paragraphs>44</Paragraphs>
  <ScaleCrop>false</ScaleCrop>
  <HeadingPairs>
    <vt:vector size="2" baseType="variant">
      <vt:variant>
        <vt:lpstr>Title</vt:lpstr>
      </vt:variant>
      <vt:variant>
        <vt:i4>1</vt:i4>
      </vt:variant>
    </vt:vector>
  </HeadingPairs>
  <TitlesOfParts>
    <vt:vector size="1" baseType="lpstr">
      <vt:lpstr>Submission 77 - Ian Fisher - National Water Reform 2026 - Public inquiry</vt:lpstr>
    </vt:vector>
  </TitlesOfParts>
  <Company>Ian Fisher</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77 - Ian Fisher - National Water Reform 2026 - Public inquiry</dc:title>
  <dc:subject/>
  <dc:creator>Ian Fisher</dc:creator>
  <cp:keywords/>
  <dc:description/>
  <cp:lastModifiedBy>Chris Alston</cp:lastModifiedBy>
  <cp:revision>3</cp:revision>
  <dcterms:created xsi:type="dcterms:W3CDTF">2026-07-09T03:43:00Z</dcterms:created>
  <dcterms:modified xsi:type="dcterms:W3CDTF">2026-07-09T03:45:00Z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2026-07-09T03:39:24Z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ca329681-4034-4bc9-9322-6c8c022e65f7</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