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55E1" w14:textId="557CBCBC" w:rsidR="00952835" w:rsidRPr="008D778D" w:rsidRDefault="00952835" w:rsidP="001D0F52">
      <w:pPr>
        <w:spacing w:line="240" w:lineRule="auto"/>
        <w:jc w:val="center"/>
        <w:rPr>
          <w:b/>
          <w:bCs/>
          <w:sz w:val="26"/>
          <w:szCs w:val="26"/>
        </w:rPr>
      </w:pPr>
      <w:r w:rsidRPr="008D778D">
        <w:rPr>
          <w:b/>
          <w:bCs/>
          <w:sz w:val="26"/>
          <w:szCs w:val="26"/>
        </w:rPr>
        <w:t>Submission to:</w:t>
      </w:r>
    </w:p>
    <w:p w14:paraId="17E968C0" w14:textId="6391E224" w:rsidR="00952835" w:rsidRPr="001D0F52" w:rsidRDefault="00952835" w:rsidP="001D0F52">
      <w:pPr>
        <w:spacing w:line="240" w:lineRule="auto"/>
        <w:jc w:val="center"/>
        <w:rPr>
          <w:b/>
          <w:bCs/>
          <w:sz w:val="24"/>
          <w:szCs w:val="24"/>
        </w:rPr>
      </w:pPr>
      <w:r w:rsidRPr="001D0F52">
        <w:rPr>
          <w:b/>
          <w:bCs/>
          <w:sz w:val="24"/>
          <w:szCs w:val="24"/>
        </w:rPr>
        <w:t xml:space="preserve">National Water Reform 2026: Water </w:t>
      </w:r>
      <w:r w:rsidR="0031795A">
        <w:rPr>
          <w:b/>
          <w:bCs/>
          <w:sz w:val="24"/>
          <w:szCs w:val="24"/>
        </w:rPr>
        <w:t>S</w:t>
      </w:r>
      <w:r w:rsidRPr="001D0F52">
        <w:rPr>
          <w:b/>
          <w:bCs/>
          <w:sz w:val="24"/>
          <w:szCs w:val="24"/>
        </w:rPr>
        <w:t xml:space="preserve">ervices </w:t>
      </w:r>
      <w:r w:rsidR="0031795A">
        <w:rPr>
          <w:b/>
          <w:bCs/>
          <w:sz w:val="24"/>
          <w:szCs w:val="24"/>
        </w:rPr>
        <w:t>R</w:t>
      </w:r>
      <w:r w:rsidRPr="001D0F52">
        <w:rPr>
          <w:b/>
          <w:bCs/>
          <w:sz w:val="24"/>
          <w:szCs w:val="24"/>
        </w:rPr>
        <w:t xml:space="preserve">eform </w:t>
      </w:r>
      <w:r w:rsidR="0031795A">
        <w:rPr>
          <w:b/>
          <w:bCs/>
          <w:sz w:val="24"/>
          <w:szCs w:val="24"/>
        </w:rPr>
        <w:t>D</w:t>
      </w:r>
      <w:r w:rsidRPr="001D0F52">
        <w:rPr>
          <w:b/>
          <w:bCs/>
          <w:sz w:val="24"/>
          <w:szCs w:val="24"/>
        </w:rPr>
        <w:t xml:space="preserve">irections - Interim </w:t>
      </w:r>
      <w:r w:rsidR="0031795A">
        <w:rPr>
          <w:b/>
          <w:bCs/>
          <w:sz w:val="24"/>
          <w:szCs w:val="24"/>
        </w:rPr>
        <w:t>U</w:t>
      </w:r>
      <w:r w:rsidRPr="001D0F52">
        <w:rPr>
          <w:b/>
          <w:bCs/>
          <w:sz w:val="24"/>
          <w:szCs w:val="24"/>
        </w:rPr>
        <w:t>pdate</w:t>
      </w:r>
      <w:r w:rsidR="002B728C">
        <w:rPr>
          <w:b/>
          <w:bCs/>
          <w:sz w:val="24"/>
          <w:szCs w:val="24"/>
        </w:rPr>
        <w:t xml:space="preserve"> 1</w:t>
      </w:r>
    </w:p>
    <w:p w14:paraId="3AAEB5F1" w14:textId="555F06F6" w:rsidR="00952835" w:rsidRPr="001D0F52" w:rsidRDefault="00952835" w:rsidP="00210656">
      <w:pPr>
        <w:pStyle w:val="ListBullet"/>
        <w:numPr>
          <w:ilvl w:val="0"/>
          <w:numId w:val="0"/>
        </w:numPr>
        <w:spacing w:before="240" w:line="240" w:lineRule="auto"/>
        <w:contextualSpacing w:val="0"/>
        <w:rPr>
          <w:spacing w:val="2"/>
          <w:sz w:val="22"/>
          <w:szCs w:val="22"/>
        </w:rPr>
      </w:pPr>
      <w:r w:rsidRPr="001D0F52">
        <w:rPr>
          <w:spacing w:val="2"/>
          <w:sz w:val="22"/>
          <w:szCs w:val="22"/>
        </w:rPr>
        <w:t xml:space="preserve">Submitted by: </w:t>
      </w:r>
    </w:p>
    <w:p w14:paraId="3BFB7073" w14:textId="3F30FDD8" w:rsidR="00551AF2" w:rsidRPr="001D0F52" w:rsidRDefault="00551AF2" w:rsidP="001D0F52">
      <w:pPr>
        <w:pStyle w:val="ListBullet"/>
        <w:numPr>
          <w:ilvl w:val="0"/>
          <w:numId w:val="0"/>
        </w:numPr>
        <w:spacing w:line="240" w:lineRule="auto"/>
        <w:contextualSpacing w:val="0"/>
        <w:rPr>
          <w:spacing w:val="2"/>
          <w:sz w:val="22"/>
          <w:szCs w:val="22"/>
        </w:rPr>
      </w:pPr>
      <w:proofErr w:type="spellStart"/>
      <w:r w:rsidRPr="001D0F52">
        <w:rPr>
          <w:spacing w:val="2"/>
          <w:sz w:val="22"/>
          <w:szCs w:val="22"/>
        </w:rPr>
        <w:t>Thi</w:t>
      </w:r>
      <w:proofErr w:type="spellEnd"/>
      <w:r w:rsidRPr="001D0F52">
        <w:rPr>
          <w:spacing w:val="2"/>
          <w:sz w:val="22"/>
          <w:szCs w:val="22"/>
        </w:rPr>
        <w:t xml:space="preserve"> Ha Lien Le – Research Fellow, </w:t>
      </w:r>
      <w:r w:rsidR="00D35BBA">
        <w:rPr>
          <w:spacing w:val="2"/>
          <w:sz w:val="22"/>
          <w:szCs w:val="22"/>
        </w:rPr>
        <w:t xml:space="preserve">Water Justice Hub, Crawford School of Public Policy, </w:t>
      </w:r>
      <w:r w:rsidRPr="001D0F52">
        <w:rPr>
          <w:spacing w:val="2"/>
          <w:sz w:val="22"/>
          <w:szCs w:val="22"/>
        </w:rPr>
        <w:t>Australian National University</w:t>
      </w:r>
    </w:p>
    <w:p w14:paraId="7565426B" w14:textId="4BFC2BE9" w:rsidR="00952835" w:rsidRPr="001D0F52" w:rsidRDefault="00952835" w:rsidP="001D0F52">
      <w:pPr>
        <w:pStyle w:val="ListBullet"/>
        <w:numPr>
          <w:ilvl w:val="0"/>
          <w:numId w:val="0"/>
        </w:numPr>
        <w:spacing w:line="240" w:lineRule="auto"/>
        <w:contextualSpacing w:val="0"/>
        <w:rPr>
          <w:spacing w:val="2"/>
          <w:sz w:val="22"/>
          <w:szCs w:val="22"/>
        </w:rPr>
      </w:pPr>
      <w:r w:rsidRPr="001D0F52">
        <w:rPr>
          <w:spacing w:val="2"/>
          <w:sz w:val="22"/>
          <w:szCs w:val="22"/>
        </w:rPr>
        <w:t xml:space="preserve">R. Quentin Grafton – Emeritus Professor, </w:t>
      </w:r>
      <w:r w:rsidR="00D35BBA">
        <w:rPr>
          <w:spacing w:val="2"/>
          <w:sz w:val="22"/>
          <w:szCs w:val="22"/>
        </w:rPr>
        <w:t xml:space="preserve">Water Justice Hub, Crawford School of Public Policy, </w:t>
      </w:r>
      <w:r w:rsidRPr="001D0F52">
        <w:rPr>
          <w:spacing w:val="2"/>
          <w:sz w:val="22"/>
          <w:szCs w:val="22"/>
        </w:rPr>
        <w:t>Australian National University</w:t>
      </w:r>
    </w:p>
    <w:p w14:paraId="7691E083" w14:textId="77777777" w:rsidR="00990AE7" w:rsidRPr="001D0F52" w:rsidRDefault="00990AE7" w:rsidP="001D0F52">
      <w:pPr>
        <w:pStyle w:val="ListBullet"/>
        <w:numPr>
          <w:ilvl w:val="0"/>
          <w:numId w:val="0"/>
        </w:numPr>
        <w:spacing w:line="240" w:lineRule="auto"/>
        <w:contextualSpacing w:val="0"/>
        <w:rPr>
          <w:spacing w:val="2"/>
          <w:sz w:val="22"/>
          <w:szCs w:val="22"/>
        </w:rPr>
      </w:pPr>
    </w:p>
    <w:p w14:paraId="5B42CEE3" w14:textId="72FC79E9" w:rsidR="00293301" w:rsidRPr="001D0F52" w:rsidRDefault="00D16EEA" w:rsidP="001D0F52">
      <w:pPr>
        <w:pStyle w:val="ListBullet"/>
        <w:numPr>
          <w:ilvl w:val="0"/>
          <w:numId w:val="0"/>
        </w:numPr>
        <w:spacing w:line="240" w:lineRule="auto"/>
        <w:contextualSpacing w:val="0"/>
        <w:rPr>
          <w:sz w:val="22"/>
          <w:szCs w:val="22"/>
        </w:rPr>
      </w:pPr>
      <w:r w:rsidRPr="001D0F52">
        <w:rPr>
          <w:spacing w:val="2"/>
          <w:sz w:val="22"/>
          <w:szCs w:val="22"/>
        </w:rPr>
        <w:t xml:space="preserve">Our submission primarily addresses </w:t>
      </w:r>
      <w:r w:rsidRPr="001D0F52">
        <w:rPr>
          <w:b/>
          <w:bCs/>
          <w:spacing w:val="2"/>
          <w:sz w:val="22"/>
          <w:szCs w:val="22"/>
        </w:rPr>
        <w:t>Information Request 7: Nationally Consistent Reporting on Drinking Water Quality</w:t>
      </w:r>
      <w:r w:rsidRPr="001D0F52">
        <w:rPr>
          <w:spacing w:val="2"/>
          <w:sz w:val="22"/>
          <w:szCs w:val="22"/>
        </w:rPr>
        <w:t xml:space="preserve"> </w:t>
      </w:r>
      <w:proofErr w:type="gramStart"/>
      <w:r w:rsidRPr="001D0F52">
        <w:rPr>
          <w:spacing w:val="2"/>
          <w:sz w:val="22"/>
          <w:szCs w:val="22"/>
        </w:rPr>
        <w:t>and also</w:t>
      </w:r>
      <w:proofErr w:type="gramEnd"/>
      <w:r w:rsidRPr="001D0F52">
        <w:rPr>
          <w:spacing w:val="2"/>
          <w:sz w:val="22"/>
          <w:szCs w:val="22"/>
        </w:rPr>
        <w:t xml:space="preserve"> responds to some elements of </w:t>
      </w:r>
      <w:r w:rsidRPr="001D0F52">
        <w:rPr>
          <w:b/>
          <w:bCs/>
          <w:spacing w:val="2"/>
          <w:sz w:val="22"/>
          <w:szCs w:val="22"/>
        </w:rPr>
        <w:t>Information Request 6: Standardised Tools for Consumer-led Planning, Monitoring and Evaluation</w:t>
      </w:r>
      <w:r w:rsidRPr="001D0F52">
        <w:rPr>
          <w:spacing w:val="2"/>
          <w:sz w:val="22"/>
          <w:szCs w:val="22"/>
        </w:rPr>
        <w:t xml:space="preserve">. </w:t>
      </w:r>
      <w:r w:rsidR="00054691" w:rsidRPr="001D0F52">
        <w:rPr>
          <w:spacing w:val="2"/>
          <w:sz w:val="22"/>
          <w:szCs w:val="22"/>
        </w:rPr>
        <w:t>Given the interrelated nature of the consultation questions, several of the issues and recommendations presented are also relevant to</w:t>
      </w:r>
      <w:r w:rsidR="00E37EB3" w:rsidRPr="001D0F52">
        <w:rPr>
          <w:sz w:val="22"/>
          <w:szCs w:val="22"/>
        </w:rPr>
        <w:t xml:space="preserve"> </w:t>
      </w:r>
      <w:r w:rsidR="00E37EB3" w:rsidRPr="001D0F52">
        <w:rPr>
          <w:b/>
          <w:bCs/>
          <w:sz w:val="22"/>
          <w:szCs w:val="22"/>
        </w:rPr>
        <w:t>Information Request 8: Role of Australian Government investment and funding program</w:t>
      </w:r>
      <w:r w:rsidR="00E37EB3" w:rsidRPr="001D0F52">
        <w:rPr>
          <w:sz w:val="22"/>
          <w:szCs w:val="22"/>
        </w:rPr>
        <w:t>.</w:t>
      </w:r>
    </w:p>
    <w:p w14:paraId="59C9AD4E" w14:textId="290A7276" w:rsidR="00262018" w:rsidRPr="001D0F52" w:rsidRDefault="00262018" w:rsidP="001D0F52">
      <w:pPr>
        <w:pStyle w:val="ListBullet"/>
        <w:numPr>
          <w:ilvl w:val="0"/>
          <w:numId w:val="2"/>
        </w:numPr>
        <w:tabs>
          <w:tab w:val="left" w:pos="284"/>
        </w:tabs>
        <w:spacing w:line="240" w:lineRule="auto"/>
        <w:ind w:left="284" w:hanging="284"/>
        <w:contextualSpacing w:val="0"/>
        <w:rPr>
          <w:b/>
          <w:bCs/>
          <w:sz w:val="22"/>
          <w:szCs w:val="22"/>
        </w:rPr>
      </w:pPr>
      <w:r w:rsidRPr="001D0F52">
        <w:rPr>
          <w:b/>
          <w:bCs/>
          <w:sz w:val="22"/>
          <w:szCs w:val="22"/>
        </w:rPr>
        <w:t>Information Request 7: Nationally Consistent Reporting on Drinking Water Quality</w:t>
      </w:r>
    </w:p>
    <w:p w14:paraId="4ECA1197" w14:textId="0B2EA2E8" w:rsidR="00EF5759" w:rsidRPr="001D0F52" w:rsidRDefault="001D0F52" w:rsidP="001D0F52">
      <w:pPr>
        <w:pStyle w:val="ListBullet"/>
        <w:numPr>
          <w:ilvl w:val="1"/>
          <w:numId w:val="2"/>
        </w:numPr>
        <w:tabs>
          <w:tab w:val="left" w:pos="284"/>
          <w:tab w:val="left" w:pos="426"/>
        </w:tabs>
        <w:spacing w:line="240" w:lineRule="auto"/>
        <w:ind w:left="0" w:firstLine="0"/>
        <w:contextualSpacing w:val="0"/>
        <w:rPr>
          <w:i/>
          <w:iCs/>
          <w:sz w:val="22"/>
          <w:szCs w:val="22"/>
        </w:rPr>
      </w:pPr>
      <w:r w:rsidRPr="001D0F52">
        <w:rPr>
          <w:i/>
          <w:iCs/>
          <w:sz w:val="22"/>
          <w:szCs w:val="22"/>
        </w:rPr>
        <w:t>Is legislative change to enact reporting standards the most appropriate way to facilitate greater national consistency in drinking water quality data? If not, what alternative approach could improve consistency, noting the current Australian Drinking Water Guidelines (ADWG) have been inconsistently adopted and applied?</w:t>
      </w:r>
    </w:p>
    <w:p w14:paraId="7C607E06" w14:textId="56753E3C" w:rsidR="00483F1A" w:rsidRPr="001D0F52" w:rsidRDefault="0027607B" w:rsidP="001D0F52">
      <w:pPr>
        <w:pStyle w:val="ListBullet"/>
        <w:numPr>
          <w:ilvl w:val="0"/>
          <w:numId w:val="0"/>
        </w:numPr>
        <w:contextualSpacing w:val="0"/>
        <w:rPr>
          <w:sz w:val="22"/>
          <w:szCs w:val="22"/>
        </w:rPr>
      </w:pPr>
      <w:r w:rsidRPr="001D0F52">
        <w:rPr>
          <w:sz w:val="22"/>
          <w:szCs w:val="22"/>
        </w:rPr>
        <w:t xml:space="preserve">The inconsistent adoption and application of the non-mandatory </w:t>
      </w:r>
      <w:r w:rsidR="00066C0A" w:rsidRPr="001D0F52">
        <w:rPr>
          <w:sz w:val="22"/>
          <w:szCs w:val="22"/>
        </w:rPr>
        <w:t xml:space="preserve">ADWG </w:t>
      </w:r>
      <w:r w:rsidRPr="001D0F52">
        <w:rPr>
          <w:sz w:val="22"/>
          <w:szCs w:val="22"/>
        </w:rPr>
        <w:t xml:space="preserve">occurs not only across jurisdictions, but also across water </w:t>
      </w:r>
      <w:r w:rsidR="00170B89" w:rsidRPr="001D0F52">
        <w:rPr>
          <w:sz w:val="22"/>
          <w:szCs w:val="22"/>
        </w:rPr>
        <w:t>service providers</w:t>
      </w:r>
      <w:r w:rsidRPr="001D0F52">
        <w:rPr>
          <w:sz w:val="22"/>
          <w:szCs w:val="22"/>
        </w:rPr>
        <w:t xml:space="preserve"> within the same jurisdiction, and across years within the same </w:t>
      </w:r>
      <w:r w:rsidR="00AF0728" w:rsidRPr="001D0F52">
        <w:rPr>
          <w:sz w:val="22"/>
          <w:szCs w:val="22"/>
        </w:rPr>
        <w:t xml:space="preserve">water service providers </w:t>
      </w:r>
      <w:r w:rsidR="003B2729" w:rsidRPr="001D0F52">
        <w:rPr>
          <w:sz w:val="22"/>
          <w:szCs w:val="22"/>
        </w:rPr>
        <w:fldChar w:fldCharType="begin"/>
      </w:r>
      <w:r w:rsidR="002E4B7B">
        <w:rPr>
          <w:sz w:val="22"/>
          <w:szCs w:val="22"/>
        </w:rPr>
        <w:instrText xml:space="preserve"> ADDIN EN.CITE &lt;EndNote&gt;&lt;Cite&gt;&lt;Author&gt;Le&lt;/Author&gt;&lt;Year&gt;2026&lt;/Year&gt;&lt;RecNum&gt;35&lt;/RecNum&gt;&lt;DisplayText&gt;(Le et al., 2026)&lt;/DisplayText&gt;&lt;record&gt;&lt;rec-number&gt;35&lt;/rec-number&gt;&lt;foreign-keys&gt;&lt;key app="EN" db-id="pt9xaav9tw5xrbexpadxaw2rtdaffp9wz5tt" timestamp="1782996460"&gt;35&lt;/key&gt;&lt;/foreign-keys&gt;&lt;ref-type name="Web Page"&gt;12&lt;/ref-type&gt;&lt;contributors&gt;&lt;authors&gt;&lt;author&gt;Le, Thi Ha Lien&lt;/author&gt;&lt;author&gt;Coombes, Peter&lt;/author&gt;&lt;author&gt;Nguyen, N. M.&lt;/author&gt;&lt;author&gt;Grafton, R. Quentin&lt;/author&gt;&lt;/authors&gt;&lt;/contributors&gt;&lt;titles&gt;&lt;title&gt;The Australian Drinking Water Record (ADWR): 2026 Report&lt;/title&gt;&lt;/titles&gt;&lt;volume&gt;2026&lt;/volume&gt;&lt;number&gt;2 July&lt;/number&gt;&lt;dates&gt;&lt;year&gt;2026&lt;/year&gt;&lt;/dates&gt;&lt;urls&gt;&lt;related-urls&gt;&lt;url&gt;https://auswaterquality.org/detail/the-australian-drinking-water-record-adwr-2026-report&lt;/url&gt;&lt;/related-urls&gt;&lt;/urls&gt;&lt;/record&gt;&lt;/Cite&gt;&lt;/EndNote&gt;</w:instrText>
      </w:r>
      <w:r w:rsidR="003B2729" w:rsidRPr="001D0F52">
        <w:rPr>
          <w:sz w:val="22"/>
          <w:szCs w:val="22"/>
        </w:rPr>
        <w:fldChar w:fldCharType="separate"/>
      </w:r>
      <w:r w:rsidR="00727AB9">
        <w:rPr>
          <w:noProof/>
          <w:sz w:val="22"/>
          <w:szCs w:val="22"/>
        </w:rPr>
        <w:t>(Le et al., 2026)</w:t>
      </w:r>
      <w:r w:rsidR="003B2729" w:rsidRPr="001D0F52">
        <w:rPr>
          <w:sz w:val="22"/>
          <w:szCs w:val="22"/>
        </w:rPr>
        <w:fldChar w:fldCharType="end"/>
      </w:r>
      <w:r w:rsidRPr="001D0F52">
        <w:rPr>
          <w:sz w:val="22"/>
          <w:szCs w:val="22"/>
        </w:rPr>
        <w:t xml:space="preserve">. </w:t>
      </w:r>
      <w:r w:rsidR="006E077C" w:rsidRPr="001D0F52">
        <w:rPr>
          <w:sz w:val="22"/>
          <w:szCs w:val="22"/>
        </w:rPr>
        <w:t xml:space="preserve">The central </w:t>
      </w:r>
      <w:r w:rsidR="00381839" w:rsidRPr="001D0F52">
        <w:rPr>
          <w:sz w:val="22"/>
          <w:szCs w:val="22"/>
        </w:rPr>
        <w:t>concern</w:t>
      </w:r>
      <w:r w:rsidR="002371EA" w:rsidRPr="001D0F52">
        <w:rPr>
          <w:sz w:val="22"/>
          <w:szCs w:val="22"/>
        </w:rPr>
        <w:t>, therefore,</w:t>
      </w:r>
      <w:r w:rsidR="006E077C" w:rsidRPr="001D0F52">
        <w:rPr>
          <w:sz w:val="22"/>
          <w:szCs w:val="22"/>
        </w:rPr>
        <w:t xml:space="preserve"> is not only the lack of data but also its lack of comparability, reliability, and usability across jurisdictions, water </w:t>
      </w:r>
      <w:r w:rsidR="00170B89" w:rsidRPr="001D0F52">
        <w:rPr>
          <w:sz w:val="22"/>
          <w:szCs w:val="22"/>
        </w:rPr>
        <w:t>service providers</w:t>
      </w:r>
      <w:r w:rsidR="006E077C" w:rsidRPr="001D0F52">
        <w:rPr>
          <w:sz w:val="22"/>
          <w:szCs w:val="22"/>
        </w:rPr>
        <w:t>, and over time</w:t>
      </w:r>
      <w:r w:rsidR="00B17A7C" w:rsidRPr="001D0F52">
        <w:rPr>
          <w:sz w:val="22"/>
          <w:szCs w:val="22"/>
        </w:rPr>
        <w:t xml:space="preserve"> for regulation, public health protection, and national </w:t>
      </w:r>
      <w:r w:rsidR="00383177" w:rsidRPr="001D0F52">
        <w:rPr>
          <w:sz w:val="22"/>
          <w:szCs w:val="22"/>
        </w:rPr>
        <w:t xml:space="preserve">water </w:t>
      </w:r>
      <w:r w:rsidR="00B17A7C" w:rsidRPr="001D0F52">
        <w:rPr>
          <w:sz w:val="22"/>
          <w:szCs w:val="22"/>
        </w:rPr>
        <w:t>reform.</w:t>
      </w:r>
      <w:r w:rsidR="009E2197" w:rsidRPr="001D0F52">
        <w:rPr>
          <w:sz w:val="22"/>
          <w:szCs w:val="22"/>
        </w:rPr>
        <w:t xml:space="preserve"> </w:t>
      </w:r>
      <w:r w:rsidR="00355E4C" w:rsidRPr="001D0F52">
        <w:rPr>
          <w:sz w:val="22"/>
          <w:szCs w:val="22"/>
        </w:rPr>
        <w:t>This, in turn, would lead to</w:t>
      </w:r>
      <w:r w:rsidR="00381839" w:rsidRPr="001D0F52">
        <w:rPr>
          <w:sz w:val="22"/>
          <w:szCs w:val="22"/>
        </w:rPr>
        <w:t xml:space="preserve"> the following problems:</w:t>
      </w:r>
      <w:r w:rsidR="00355E4C" w:rsidRPr="001D0F52">
        <w:rPr>
          <w:sz w:val="22"/>
          <w:szCs w:val="22"/>
        </w:rPr>
        <w:t xml:space="preserve"> </w:t>
      </w:r>
    </w:p>
    <w:p w14:paraId="65CA40B5" w14:textId="76C9804C" w:rsidR="00483F1A" w:rsidRPr="001D0F52" w:rsidRDefault="00E71994" w:rsidP="001D0F52">
      <w:pPr>
        <w:pStyle w:val="ListBullet"/>
        <w:numPr>
          <w:ilvl w:val="0"/>
          <w:numId w:val="3"/>
        </w:numPr>
        <w:ind w:left="709" w:hanging="425"/>
        <w:contextualSpacing w:val="0"/>
        <w:rPr>
          <w:sz w:val="22"/>
          <w:szCs w:val="22"/>
        </w:rPr>
      </w:pPr>
      <w:r w:rsidRPr="001D0F52">
        <w:rPr>
          <w:sz w:val="22"/>
          <w:szCs w:val="22"/>
        </w:rPr>
        <w:t>U</w:t>
      </w:r>
      <w:r w:rsidR="004777CD" w:rsidRPr="001D0F52">
        <w:rPr>
          <w:sz w:val="22"/>
          <w:szCs w:val="22"/>
        </w:rPr>
        <w:t xml:space="preserve">nderlying issues being masked including inequity in access to clean, safe, and acceptable drinking water </w:t>
      </w:r>
      <w:r w:rsidR="00094AC3" w:rsidRPr="001D0F52">
        <w:rPr>
          <w:sz w:val="22"/>
          <w:szCs w:val="22"/>
        </w:rPr>
        <w:t xml:space="preserve">and </w:t>
      </w:r>
      <w:r w:rsidR="004777CD" w:rsidRPr="001D0F52">
        <w:rPr>
          <w:sz w:val="22"/>
          <w:szCs w:val="22"/>
        </w:rPr>
        <w:t>under- or over-estimation of health and acceptability risk</w:t>
      </w:r>
      <w:r w:rsidR="00EA2FB9">
        <w:rPr>
          <w:sz w:val="22"/>
          <w:szCs w:val="22"/>
        </w:rPr>
        <w:t>s</w:t>
      </w:r>
      <w:r w:rsidR="0095316A" w:rsidRPr="001D0F52">
        <w:rPr>
          <w:sz w:val="22"/>
          <w:szCs w:val="22"/>
        </w:rPr>
        <w:t>.</w:t>
      </w:r>
      <w:r w:rsidR="00094AC3" w:rsidRPr="001D0F52">
        <w:rPr>
          <w:sz w:val="22"/>
          <w:szCs w:val="22"/>
        </w:rPr>
        <w:t xml:space="preserve"> </w:t>
      </w:r>
    </w:p>
    <w:p w14:paraId="6905B738" w14:textId="28755CF9" w:rsidR="00483F1A" w:rsidRPr="001D0F52" w:rsidRDefault="00E71994" w:rsidP="001D0F52">
      <w:pPr>
        <w:pStyle w:val="ListBullet"/>
        <w:numPr>
          <w:ilvl w:val="0"/>
          <w:numId w:val="3"/>
        </w:numPr>
        <w:ind w:left="709" w:hanging="425"/>
        <w:contextualSpacing w:val="0"/>
        <w:rPr>
          <w:sz w:val="22"/>
          <w:szCs w:val="22"/>
        </w:rPr>
      </w:pPr>
      <w:r w:rsidRPr="001D0F52">
        <w:rPr>
          <w:sz w:val="22"/>
          <w:szCs w:val="22"/>
        </w:rPr>
        <w:t>R</w:t>
      </w:r>
      <w:r w:rsidR="004777CD" w:rsidRPr="001D0F52">
        <w:rPr>
          <w:sz w:val="22"/>
          <w:szCs w:val="22"/>
        </w:rPr>
        <w:t>educed transparency and accountability</w:t>
      </w:r>
      <w:r w:rsidR="00094AC3" w:rsidRPr="001D0F52">
        <w:rPr>
          <w:sz w:val="22"/>
          <w:szCs w:val="22"/>
        </w:rPr>
        <w:t xml:space="preserve"> of water service providers</w:t>
      </w:r>
      <w:r w:rsidR="0095316A" w:rsidRPr="001D0F52">
        <w:rPr>
          <w:sz w:val="22"/>
          <w:szCs w:val="22"/>
        </w:rPr>
        <w:t>.</w:t>
      </w:r>
    </w:p>
    <w:p w14:paraId="3169C009" w14:textId="397C91A7" w:rsidR="00483F1A" w:rsidRPr="001D0F52" w:rsidRDefault="00E71994" w:rsidP="001D0F52">
      <w:pPr>
        <w:pStyle w:val="ListBullet"/>
        <w:numPr>
          <w:ilvl w:val="0"/>
          <w:numId w:val="3"/>
        </w:numPr>
        <w:ind w:left="709" w:hanging="425"/>
        <w:contextualSpacing w:val="0"/>
        <w:rPr>
          <w:sz w:val="22"/>
          <w:szCs w:val="22"/>
        </w:rPr>
      </w:pPr>
      <w:r w:rsidRPr="001D0F52">
        <w:rPr>
          <w:sz w:val="22"/>
          <w:szCs w:val="22"/>
        </w:rPr>
        <w:t>A</w:t>
      </w:r>
      <w:r w:rsidR="004777CD" w:rsidRPr="001D0F52">
        <w:rPr>
          <w:sz w:val="22"/>
          <w:szCs w:val="22"/>
        </w:rPr>
        <w:t xml:space="preserve"> fragmented evidence base at both jurisdictional and national levels</w:t>
      </w:r>
      <w:r w:rsidR="00886711" w:rsidRPr="001D0F52">
        <w:rPr>
          <w:sz w:val="22"/>
          <w:szCs w:val="22"/>
        </w:rPr>
        <w:t xml:space="preserve"> that limits the ability to track trends and conduct analysis, which in turn undermines national monitoring, long-term planning, and policy coordination and effectiveness</w:t>
      </w:r>
      <w:r w:rsidR="0095316A" w:rsidRPr="001D0F52">
        <w:rPr>
          <w:sz w:val="22"/>
          <w:szCs w:val="22"/>
        </w:rPr>
        <w:t>.</w:t>
      </w:r>
    </w:p>
    <w:p w14:paraId="18A576E9" w14:textId="0231647E" w:rsidR="00355E4C" w:rsidRPr="001D0F52" w:rsidRDefault="00F609A0" w:rsidP="001D0F52">
      <w:pPr>
        <w:pStyle w:val="ListBullet"/>
        <w:numPr>
          <w:ilvl w:val="0"/>
          <w:numId w:val="0"/>
        </w:numPr>
        <w:contextualSpacing w:val="0"/>
        <w:rPr>
          <w:sz w:val="22"/>
          <w:szCs w:val="22"/>
        </w:rPr>
      </w:pPr>
      <w:r w:rsidRPr="001D0F52">
        <w:rPr>
          <w:sz w:val="22"/>
          <w:szCs w:val="22"/>
        </w:rPr>
        <w:t xml:space="preserve">This situation underscores </w:t>
      </w:r>
      <w:r w:rsidR="00355E4C" w:rsidRPr="001D0F52">
        <w:rPr>
          <w:sz w:val="22"/>
          <w:szCs w:val="22"/>
        </w:rPr>
        <w:t>the need for a mandatory nationwide legislative reporting standard</w:t>
      </w:r>
      <w:r w:rsidR="005F15B5">
        <w:rPr>
          <w:sz w:val="22"/>
          <w:szCs w:val="22"/>
        </w:rPr>
        <w:t>s</w:t>
      </w:r>
      <w:r w:rsidR="00355E4C" w:rsidRPr="001D0F52">
        <w:rPr>
          <w:sz w:val="22"/>
          <w:szCs w:val="22"/>
        </w:rPr>
        <w:t xml:space="preserve">, which would enable a standardised, inter-governmental public-access platform to integrate drinking water data across jurisdictions (e.g. an initiative </w:t>
      </w:r>
      <w:r w:rsidR="003C4429">
        <w:rPr>
          <w:sz w:val="22"/>
          <w:szCs w:val="22"/>
        </w:rPr>
        <w:t xml:space="preserve">such as </w:t>
      </w:r>
      <w:r w:rsidR="00355E4C" w:rsidRPr="001D0F52">
        <w:rPr>
          <w:sz w:val="22"/>
          <w:szCs w:val="22"/>
        </w:rPr>
        <w:t>the</w:t>
      </w:r>
      <w:r w:rsidR="00CF69A1" w:rsidRPr="001D0F52">
        <w:rPr>
          <w:spacing w:val="2"/>
          <w:sz w:val="22"/>
          <w:szCs w:val="22"/>
        </w:rPr>
        <w:t xml:space="preserve"> Australian Drinking Water Record (ADWR) </w:t>
      </w:r>
      <w:r w:rsidR="00A14EDF" w:rsidRPr="001D0F52">
        <w:rPr>
          <w:spacing w:val="2"/>
          <w:sz w:val="22"/>
          <w:szCs w:val="22"/>
        </w:rPr>
        <w:t xml:space="preserve">by the Water Justice Hub </w:t>
      </w:r>
      <w:r w:rsidR="00A14EDF" w:rsidRPr="001D0F52">
        <w:rPr>
          <w:spacing w:val="2"/>
          <w:sz w:val="22"/>
          <w:szCs w:val="22"/>
        </w:rPr>
        <w:fldChar w:fldCharType="begin"/>
      </w:r>
      <w:r w:rsidR="00CD4C4E">
        <w:rPr>
          <w:spacing w:val="2"/>
          <w:sz w:val="22"/>
          <w:szCs w:val="22"/>
        </w:rPr>
        <w:instrText xml:space="preserve"> ADDIN EN.CITE &lt;EndNote&gt;&lt;Cite&gt;&lt;Author&gt;Australian National University&lt;/Author&gt;&lt;Year&gt;2026&lt;/Year&gt;&lt;RecNum&gt;34&lt;/RecNum&gt;&lt;DisplayText&gt;(Australian National University, 2026)&lt;/DisplayText&gt;&lt;record&gt;&lt;rec-number&gt;34&lt;/rec-number&gt;&lt;foreign-keys&gt;&lt;key app="EN" db-id="pt9xaav9tw5xrbexpadxaw2rtdaffp9wz5tt" timestamp="1782996058"&gt;34&lt;/key&gt;&lt;/foreign-keys&gt;&lt;ref-type name="Web Page"&gt;12&lt;/ref-type&gt;&lt;contributors&gt;&lt;authors&gt;&lt;author&gt;Australian National University,&lt;/author&gt;&lt;/authors&gt;&lt;/contributors&gt;&lt;titles&gt;&lt;title&gt;Australian Drinking Water Record Version 2026.1&lt;/title&gt;&lt;/titles&gt;&lt;volume&gt;2026&lt;/volume&gt;&lt;number&gt;2 July&lt;/number&gt;&lt;dates&gt;&lt;year&gt;2026&lt;/year&gt;&lt;/dates&gt;&lt;urls&gt;&lt;related-urls&gt;&lt;url&gt;http://auswaterquality.org&lt;/url&gt;&lt;/related-urls&gt;&lt;/urls&gt;&lt;/record&gt;&lt;/Cite&gt;&lt;/EndNote&gt;</w:instrText>
      </w:r>
      <w:r w:rsidR="00A14EDF" w:rsidRPr="001D0F52">
        <w:rPr>
          <w:spacing w:val="2"/>
          <w:sz w:val="22"/>
          <w:szCs w:val="22"/>
        </w:rPr>
        <w:fldChar w:fldCharType="separate"/>
      </w:r>
      <w:r w:rsidR="00727AB9">
        <w:rPr>
          <w:noProof/>
          <w:spacing w:val="2"/>
          <w:sz w:val="22"/>
          <w:szCs w:val="22"/>
        </w:rPr>
        <w:t>(Australian National University, 2026)</w:t>
      </w:r>
      <w:r w:rsidR="00A14EDF" w:rsidRPr="001D0F52">
        <w:rPr>
          <w:spacing w:val="2"/>
          <w:sz w:val="22"/>
          <w:szCs w:val="22"/>
        </w:rPr>
        <w:fldChar w:fldCharType="end"/>
      </w:r>
      <w:r w:rsidR="00A14EDF">
        <w:rPr>
          <w:spacing w:val="2"/>
          <w:sz w:val="22"/>
          <w:szCs w:val="22"/>
        </w:rPr>
        <w:t xml:space="preserve">, available </w:t>
      </w:r>
      <w:r w:rsidR="00CF69A1" w:rsidRPr="001D0F52">
        <w:rPr>
          <w:spacing w:val="2"/>
          <w:sz w:val="22"/>
          <w:szCs w:val="22"/>
        </w:rPr>
        <w:t xml:space="preserve">at </w:t>
      </w:r>
      <w:hyperlink r:id="rId10" w:history="1">
        <w:r w:rsidR="00CF69A1" w:rsidRPr="001D0F52">
          <w:rPr>
            <w:rStyle w:val="Hyperlink"/>
            <w:rFonts w:ascii="Aptos" w:hAnsi="Aptos"/>
            <w:noProof/>
            <w:sz w:val="22"/>
            <w:szCs w:val="22"/>
            <w:lang w:val="en-US"/>
          </w:rPr>
          <w:t>http://auswaterquality.org</w:t>
        </w:r>
      </w:hyperlink>
      <w:r w:rsidR="00355E4C" w:rsidRPr="001D0F52">
        <w:rPr>
          <w:sz w:val="22"/>
          <w:szCs w:val="22"/>
        </w:rPr>
        <w:t xml:space="preserve">). </w:t>
      </w:r>
      <w:r w:rsidR="008B41A2" w:rsidRPr="001D0F52">
        <w:rPr>
          <w:sz w:val="22"/>
          <w:szCs w:val="22"/>
        </w:rPr>
        <w:t xml:space="preserve">This data infrastructure </w:t>
      </w:r>
      <w:r w:rsidR="00116DAC" w:rsidRPr="001D0F52">
        <w:rPr>
          <w:sz w:val="22"/>
          <w:szCs w:val="22"/>
        </w:rPr>
        <w:t xml:space="preserve">is essential to strengthen the knowledge and evidence base to inform improved policy and planning for </w:t>
      </w:r>
      <w:r w:rsidR="00022627" w:rsidRPr="001D0F52">
        <w:rPr>
          <w:sz w:val="22"/>
          <w:szCs w:val="22"/>
        </w:rPr>
        <w:t>more secure, resilient and sustainable water services delivery</w:t>
      </w:r>
      <w:r w:rsidR="00726FA9" w:rsidRPr="001D0F52">
        <w:rPr>
          <w:sz w:val="22"/>
          <w:szCs w:val="22"/>
        </w:rPr>
        <w:t>.</w:t>
      </w:r>
    </w:p>
    <w:p w14:paraId="12D1B668" w14:textId="488FA9D0" w:rsidR="00485157" w:rsidRPr="001D0F52" w:rsidRDefault="00485157" w:rsidP="001D0F52">
      <w:pPr>
        <w:pStyle w:val="ListBullet"/>
        <w:numPr>
          <w:ilvl w:val="1"/>
          <w:numId w:val="2"/>
        </w:numPr>
        <w:tabs>
          <w:tab w:val="left" w:pos="284"/>
          <w:tab w:val="left" w:pos="426"/>
        </w:tabs>
        <w:spacing w:line="240" w:lineRule="auto"/>
        <w:ind w:left="0" w:firstLine="0"/>
        <w:contextualSpacing w:val="0"/>
        <w:rPr>
          <w:i/>
          <w:iCs/>
          <w:sz w:val="22"/>
          <w:szCs w:val="22"/>
        </w:rPr>
      </w:pPr>
      <w:r w:rsidRPr="001D0F52">
        <w:rPr>
          <w:i/>
          <w:iCs/>
          <w:sz w:val="22"/>
          <w:szCs w:val="22"/>
        </w:rPr>
        <w:t>What national reporting standards would be most useful (for example, minimum, maximum, average values for water quality compliance outcomes; boil water alerts; do-not-drink notices)? What elements of the ADWG could be drawn on for national reporting standards?</w:t>
      </w:r>
    </w:p>
    <w:p w14:paraId="76F464D2" w14:textId="3B0E8520" w:rsidR="00E71994" w:rsidRPr="001D0F52" w:rsidRDefault="005410BA" w:rsidP="001D0F52">
      <w:pPr>
        <w:pStyle w:val="ListBullet"/>
        <w:numPr>
          <w:ilvl w:val="0"/>
          <w:numId w:val="0"/>
        </w:numPr>
        <w:spacing w:line="240" w:lineRule="auto"/>
        <w:contextualSpacing w:val="0"/>
        <w:rPr>
          <w:spacing w:val="2"/>
          <w:sz w:val="22"/>
          <w:szCs w:val="22"/>
        </w:rPr>
      </w:pPr>
      <w:r w:rsidRPr="001D0F52">
        <w:rPr>
          <w:spacing w:val="2"/>
          <w:sz w:val="22"/>
          <w:szCs w:val="22"/>
        </w:rPr>
        <w:t xml:space="preserve">The development and adoption of national reporting standards </w:t>
      </w:r>
      <w:r w:rsidR="001D51AB" w:rsidRPr="001D0F52">
        <w:rPr>
          <w:spacing w:val="2"/>
          <w:sz w:val="22"/>
          <w:szCs w:val="22"/>
        </w:rPr>
        <w:t xml:space="preserve">should </w:t>
      </w:r>
      <w:r w:rsidR="00066C0A" w:rsidRPr="001D0F52">
        <w:rPr>
          <w:spacing w:val="2"/>
          <w:sz w:val="22"/>
          <w:szCs w:val="22"/>
        </w:rPr>
        <w:t xml:space="preserve">draw on </w:t>
      </w:r>
      <w:r w:rsidR="009F5121" w:rsidRPr="001D0F52">
        <w:rPr>
          <w:spacing w:val="2"/>
          <w:sz w:val="22"/>
          <w:szCs w:val="22"/>
        </w:rPr>
        <w:t xml:space="preserve">the ADWG and </w:t>
      </w:r>
      <w:r w:rsidRPr="001D0F52">
        <w:rPr>
          <w:spacing w:val="2"/>
          <w:sz w:val="22"/>
          <w:szCs w:val="22"/>
        </w:rPr>
        <w:t>should be informed by expert</w:t>
      </w:r>
      <w:r w:rsidR="0095316A" w:rsidRPr="001D0F52">
        <w:rPr>
          <w:spacing w:val="2"/>
          <w:sz w:val="22"/>
          <w:szCs w:val="22"/>
        </w:rPr>
        <w:t xml:space="preserve"> and multi-stakeholder</w:t>
      </w:r>
      <w:r w:rsidRPr="001D0F52">
        <w:rPr>
          <w:spacing w:val="2"/>
          <w:sz w:val="22"/>
          <w:szCs w:val="22"/>
        </w:rPr>
        <w:t xml:space="preserve"> consultation</w:t>
      </w:r>
      <w:r w:rsidR="00BB1AC7" w:rsidRPr="001D0F52">
        <w:rPr>
          <w:spacing w:val="2"/>
          <w:sz w:val="22"/>
          <w:szCs w:val="22"/>
        </w:rPr>
        <w:t>s</w:t>
      </w:r>
      <w:r w:rsidRPr="001D0F52">
        <w:rPr>
          <w:spacing w:val="2"/>
          <w:sz w:val="22"/>
          <w:szCs w:val="22"/>
        </w:rPr>
        <w:t>.</w:t>
      </w:r>
      <w:r w:rsidR="00C40631" w:rsidRPr="001D0F52">
        <w:rPr>
          <w:spacing w:val="2"/>
          <w:sz w:val="22"/>
          <w:szCs w:val="22"/>
        </w:rPr>
        <w:t xml:space="preserve"> </w:t>
      </w:r>
      <w:r w:rsidR="001461ED" w:rsidRPr="001D0F52">
        <w:rPr>
          <w:spacing w:val="2"/>
          <w:sz w:val="22"/>
          <w:szCs w:val="22"/>
        </w:rPr>
        <w:t xml:space="preserve">Experience from developing </w:t>
      </w:r>
      <w:r w:rsidR="001461ED" w:rsidRPr="001D0F52">
        <w:rPr>
          <w:spacing w:val="2"/>
          <w:sz w:val="22"/>
          <w:szCs w:val="22"/>
        </w:rPr>
        <w:lastRenderedPageBreak/>
        <w:t>the ADWR highlights the following key considerations</w:t>
      </w:r>
      <w:r w:rsidR="00EC4404" w:rsidRPr="001D0F52">
        <w:rPr>
          <w:spacing w:val="2"/>
          <w:sz w:val="22"/>
          <w:szCs w:val="22"/>
        </w:rPr>
        <w:t xml:space="preserve"> </w:t>
      </w:r>
      <w:r w:rsidR="00256EF3" w:rsidRPr="001D0F52">
        <w:rPr>
          <w:spacing w:val="2"/>
          <w:sz w:val="22"/>
          <w:szCs w:val="22"/>
        </w:rPr>
        <w:t>for the design of national reporting standards:</w:t>
      </w:r>
    </w:p>
    <w:p w14:paraId="13B03FCD" w14:textId="5D430553" w:rsidR="00877B00" w:rsidRPr="001D0F52" w:rsidRDefault="00877B00" w:rsidP="001D0F52">
      <w:pPr>
        <w:pStyle w:val="ListBullet"/>
        <w:numPr>
          <w:ilvl w:val="0"/>
          <w:numId w:val="4"/>
        </w:numPr>
        <w:ind w:left="709" w:hanging="425"/>
        <w:contextualSpacing w:val="0"/>
        <w:rPr>
          <w:sz w:val="22"/>
          <w:szCs w:val="22"/>
        </w:rPr>
      </w:pPr>
      <w:r w:rsidRPr="001D0F52">
        <w:rPr>
          <w:sz w:val="22"/>
          <w:szCs w:val="22"/>
        </w:rPr>
        <w:t xml:space="preserve">Mandatory range of </w:t>
      </w:r>
      <w:r w:rsidR="00581A6A" w:rsidRPr="001D0F52">
        <w:rPr>
          <w:sz w:val="22"/>
          <w:szCs w:val="22"/>
        </w:rPr>
        <w:t xml:space="preserve">health-based and acceptability-based </w:t>
      </w:r>
      <w:r w:rsidRPr="001D0F52">
        <w:rPr>
          <w:sz w:val="22"/>
          <w:szCs w:val="22"/>
        </w:rPr>
        <w:t>parameters</w:t>
      </w:r>
      <w:r w:rsidR="0095316A" w:rsidRPr="001D0F52">
        <w:rPr>
          <w:sz w:val="22"/>
          <w:szCs w:val="22"/>
        </w:rPr>
        <w:t>.</w:t>
      </w:r>
    </w:p>
    <w:p w14:paraId="6B8C44C1" w14:textId="6F301E96" w:rsidR="00877B00" w:rsidRPr="001D0F52" w:rsidRDefault="00877B00" w:rsidP="001D0F52">
      <w:pPr>
        <w:pStyle w:val="ListBullet"/>
        <w:numPr>
          <w:ilvl w:val="0"/>
          <w:numId w:val="4"/>
        </w:numPr>
        <w:ind w:left="709" w:right="-164" w:hanging="425"/>
        <w:contextualSpacing w:val="0"/>
        <w:rPr>
          <w:sz w:val="22"/>
          <w:szCs w:val="22"/>
        </w:rPr>
      </w:pPr>
      <w:r w:rsidRPr="001D0F52">
        <w:rPr>
          <w:sz w:val="22"/>
          <w:szCs w:val="22"/>
        </w:rPr>
        <w:t>Mandatory statistical measures, including</w:t>
      </w:r>
      <w:r w:rsidR="00504845" w:rsidRPr="001D0F52">
        <w:rPr>
          <w:sz w:val="22"/>
          <w:szCs w:val="22"/>
        </w:rPr>
        <w:t xml:space="preserve"> but not limited to</w:t>
      </w:r>
      <w:r w:rsidRPr="001D0F52">
        <w:rPr>
          <w:sz w:val="22"/>
          <w:szCs w:val="22"/>
        </w:rPr>
        <w:t xml:space="preserve"> maximum, minimum, average, number of samples, number of non-compliant samples, and sampling frequency</w:t>
      </w:r>
      <w:r w:rsidR="0095316A" w:rsidRPr="001D0F52">
        <w:rPr>
          <w:sz w:val="22"/>
          <w:szCs w:val="22"/>
        </w:rPr>
        <w:t>.</w:t>
      </w:r>
    </w:p>
    <w:p w14:paraId="3C7190B4" w14:textId="1B2C0957" w:rsidR="00A84950" w:rsidRPr="001D0F52" w:rsidRDefault="00380B01" w:rsidP="001D0F52">
      <w:pPr>
        <w:pStyle w:val="ListBullet"/>
        <w:numPr>
          <w:ilvl w:val="0"/>
          <w:numId w:val="4"/>
        </w:numPr>
        <w:ind w:left="709" w:hanging="425"/>
        <w:contextualSpacing w:val="0"/>
        <w:rPr>
          <w:sz w:val="22"/>
          <w:szCs w:val="22"/>
        </w:rPr>
      </w:pPr>
      <w:r w:rsidRPr="00380B01">
        <w:rPr>
          <w:sz w:val="22"/>
          <w:szCs w:val="22"/>
        </w:rPr>
        <w:t>Standardised rounding rules for statistical measures used in compliance assessment</w:t>
      </w:r>
      <w:r w:rsidR="0095316A" w:rsidRPr="001D0F52">
        <w:rPr>
          <w:sz w:val="22"/>
          <w:szCs w:val="22"/>
        </w:rPr>
        <w:t>.</w:t>
      </w:r>
    </w:p>
    <w:p w14:paraId="2693BDF9" w14:textId="150268B8" w:rsidR="00AC0C9C" w:rsidRPr="00C335C1" w:rsidRDefault="00AC0C9C" w:rsidP="001D0F52">
      <w:pPr>
        <w:pStyle w:val="ListBullet"/>
        <w:numPr>
          <w:ilvl w:val="0"/>
          <w:numId w:val="4"/>
        </w:numPr>
        <w:ind w:left="709" w:hanging="425"/>
        <w:contextualSpacing w:val="0"/>
        <w:rPr>
          <w:sz w:val="22"/>
          <w:szCs w:val="22"/>
        </w:rPr>
      </w:pPr>
      <w:r w:rsidRPr="00C335C1">
        <w:rPr>
          <w:sz w:val="22"/>
          <w:szCs w:val="22"/>
        </w:rPr>
        <w:t xml:space="preserve">Reporting of detailed water quality testing results </w:t>
      </w:r>
      <w:r w:rsidR="00A27A37" w:rsidRPr="00C335C1">
        <w:rPr>
          <w:sz w:val="22"/>
          <w:szCs w:val="22"/>
        </w:rPr>
        <w:t xml:space="preserve">for each individual sample </w:t>
      </w:r>
      <w:r w:rsidRPr="00C335C1">
        <w:rPr>
          <w:sz w:val="22"/>
          <w:szCs w:val="22"/>
        </w:rPr>
        <w:t>in addition to annual summary statistics</w:t>
      </w:r>
      <w:r w:rsidR="00A27A37" w:rsidRPr="00C335C1">
        <w:rPr>
          <w:sz w:val="22"/>
          <w:szCs w:val="22"/>
        </w:rPr>
        <w:t xml:space="preserve"> (e.g. </w:t>
      </w:r>
      <w:r w:rsidR="00D1735A" w:rsidRPr="00C335C1">
        <w:rPr>
          <w:sz w:val="22"/>
          <w:szCs w:val="22"/>
        </w:rPr>
        <w:t xml:space="preserve">Water Quality Portal by </w:t>
      </w:r>
      <w:r w:rsidR="00C335C1" w:rsidRPr="00C335C1">
        <w:rPr>
          <w:sz w:val="22"/>
          <w:szCs w:val="22"/>
        </w:rPr>
        <w:fldChar w:fldCharType="begin"/>
      </w:r>
      <w:r w:rsidR="00CD4C4E">
        <w:rPr>
          <w:sz w:val="22"/>
          <w:szCs w:val="22"/>
        </w:rPr>
        <w:instrText xml:space="preserve"> ADDIN EN.CITE &lt;EndNote&gt;&lt;Cite AuthorYear="1"&gt;&lt;Author&gt;TasWater&lt;/Author&gt;&lt;Year&gt;2026&lt;/Year&gt;&lt;RecNum&gt;45&lt;/RecNum&gt;&lt;DisplayText&gt;TasWater (2026)&lt;/DisplayText&gt;&lt;record&gt;&lt;rec-number&gt;45&lt;/rec-number&gt;&lt;foreign-keys&gt;&lt;key app="EN" db-id="pt9xaav9tw5xrbexpadxaw2rtdaffp9wz5tt" timestamp="1783570003"&gt;45&lt;/key&gt;&lt;/foreign-keys&gt;&lt;ref-type name="Web Page"&gt;12&lt;/ref-type&gt;&lt;contributors&gt;&lt;authors&gt;&lt;author&gt;TasWater&lt;/author&gt;&lt;/authors&gt;&lt;/contributors&gt;&lt;titles&gt;&lt;title&gt;Water Quality Portal&lt;/title&gt;&lt;/titles&gt;&lt;volume&gt;2026&lt;/volume&gt;&lt;number&gt;2 July&lt;/number&gt;&lt;dates&gt;&lt;year&gt;2026&lt;/year&gt;&lt;/dates&gt;&lt;urls&gt;&lt;related-urls&gt;&lt;url&gt;https://www.taswater.com.au/community/water-quality/your-drinking-water&lt;/url&gt;&lt;/related-urls&gt;&lt;/urls&gt;&lt;/record&gt;&lt;/Cite&gt;&lt;/EndNote&gt;</w:instrText>
      </w:r>
      <w:r w:rsidR="00C335C1" w:rsidRPr="00C335C1">
        <w:rPr>
          <w:sz w:val="22"/>
          <w:szCs w:val="22"/>
        </w:rPr>
        <w:fldChar w:fldCharType="separate"/>
      </w:r>
      <w:r w:rsidR="00C335C1">
        <w:rPr>
          <w:noProof/>
          <w:sz w:val="22"/>
          <w:szCs w:val="22"/>
        </w:rPr>
        <w:t>TasWater (2026)</w:t>
      </w:r>
      <w:r w:rsidR="00C335C1" w:rsidRPr="00C335C1">
        <w:rPr>
          <w:sz w:val="22"/>
          <w:szCs w:val="22"/>
        </w:rPr>
        <w:fldChar w:fldCharType="end"/>
      </w:r>
      <w:r w:rsidR="00C335C1" w:rsidRPr="00C335C1">
        <w:rPr>
          <w:sz w:val="22"/>
          <w:szCs w:val="22"/>
        </w:rPr>
        <w:t>)</w:t>
      </w:r>
      <w:r w:rsidRPr="00C335C1">
        <w:rPr>
          <w:sz w:val="22"/>
          <w:szCs w:val="22"/>
        </w:rPr>
        <w:t>, to enhance transparency and enable detection of persistent non-compliance patterns (</w:t>
      </w:r>
      <w:r w:rsidR="000C17D1" w:rsidRPr="00C335C1">
        <w:rPr>
          <w:sz w:val="22"/>
          <w:szCs w:val="22"/>
        </w:rPr>
        <w:t>e.g. more granular daily or event-based data</w:t>
      </w:r>
      <w:r w:rsidRPr="00C335C1">
        <w:rPr>
          <w:sz w:val="22"/>
          <w:szCs w:val="22"/>
        </w:rPr>
        <w:t>), which can provide more robust insights into underlying non-compliance</w:t>
      </w:r>
      <w:r w:rsidR="0095316A" w:rsidRPr="00C335C1">
        <w:rPr>
          <w:sz w:val="22"/>
          <w:szCs w:val="22"/>
        </w:rPr>
        <w:t>.</w:t>
      </w:r>
    </w:p>
    <w:p w14:paraId="18F4D5CF" w14:textId="36E37EAC" w:rsidR="00202188" w:rsidRDefault="00202188" w:rsidP="001D0F52">
      <w:pPr>
        <w:pStyle w:val="ListBullet"/>
        <w:numPr>
          <w:ilvl w:val="0"/>
          <w:numId w:val="4"/>
        </w:numPr>
        <w:ind w:left="709" w:hanging="425"/>
        <w:contextualSpacing w:val="0"/>
        <w:rPr>
          <w:sz w:val="22"/>
          <w:szCs w:val="22"/>
        </w:rPr>
      </w:pPr>
      <w:r>
        <w:rPr>
          <w:sz w:val="22"/>
          <w:szCs w:val="22"/>
        </w:rPr>
        <w:t>C</w:t>
      </w:r>
      <w:r w:rsidRPr="00202188">
        <w:rPr>
          <w:sz w:val="22"/>
          <w:szCs w:val="22"/>
        </w:rPr>
        <w:t>onsistent reporting structure based on sampling locations, towns, or suburbs, including GIS-compatible geographical coordinates for each service area</w:t>
      </w:r>
      <w:r w:rsidR="00130BF0">
        <w:rPr>
          <w:sz w:val="22"/>
          <w:szCs w:val="22"/>
        </w:rPr>
        <w:t>.</w:t>
      </w:r>
    </w:p>
    <w:p w14:paraId="6F5EDCF5" w14:textId="0E6D7A2D" w:rsidR="009F0BFE" w:rsidRPr="001D0F52" w:rsidRDefault="00410BAA" w:rsidP="001D0F52">
      <w:pPr>
        <w:pStyle w:val="ListBullet"/>
        <w:numPr>
          <w:ilvl w:val="0"/>
          <w:numId w:val="4"/>
        </w:numPr>
        <w:ind w:left="709" w:hanging="425"/>
        <w:contextualSpacing w:val="0"/>
        <w:rPr>
          <w:sz w:val="22"/>
          <w:szCs w:val="22"/>
        </w:rPr>
      </w:pPr>
      <w:r w:rsidRPr="001D0F52">
        <w:rPr>
          <w:sz w:val="22"/>
          <w:szCs w:val="22"/>
        </w:rPr>
        <w:t>Recommended point-of-use (tap water) sampling and testing</w:t>
      </w:r>
      <w:r w:rsidR="00DE6BC5" w:rsidRPr="001D0F52">
        <w:rPr>
          <w:sz w:val="22"/>
          <w:szCs w:val="22"/>
        </w:rPr>
        <w:t>.</w:t>
      </w:r>
    </w:p>
    <w:p w14:paraId="6A1527D9" w14:textId="363E5719" w:rsidR="00F401B7" w:rsidRPr="001D0F52" w:rsidRDefault="00F401B7" w:rsidP="001D0F52">
      <w:pPr>
        <w:pStyle w:val="ListBullet"/>
        <w:numPr>
          <w:ilvl w:val="0"/>
          <w:numId w:val="4"/>
        </w:numPr>
        <w:ind w:left="709" w:hanging="425"/>
        <w:contextualSpacing w:val="0"/>
        <w:rPr>
          <w:sz w:val="22"/>
          <w:szCs w:val="22"/>
        </w:rPr>
      </w:pPr>
      <w:r w:rsidRPr="001D0F52">
        <w:rPr>
          <w:sz w:val="22"/>
          <w:szCs w:val="22"/>
        </w:rPr>
        <w:t xml:space="preserve">Standardised inclusion of boil water alerts and do-not-drink advisories, including </w:t>
      </w:r>
      <w:r w:rsidR="00E2718F" w:rsidRPr="00E2718F">
        <w:rPr>
          <w:sz w:val="22"/>
          <w:szCs w:val="22"/>
        </w:rPr>
        <w:t>the affected location(s), water supply system</w:t>
      </w:r>
      <w:r w:rsidR="00C36CB2">
        <w:rPr>
          <w:sz w:val="22"/>
          <w:szCs w:val="22"/>
        </w:rPr>
        <w:t xml:space="preserve"> (s)</w:t>
      </w:r>
      <w:r w:rsidR="00E2718F" w:rsidRPr="00E2718F">
        <w:rPr>
          <w:sz w:val="22"/>
          <w:szCs w:val="22"/>
        </w:rPr>
        <w:t>, reason for issuance, date of commencement, date of lifting,</w:t>
      </w:r>
      <w:r w:rsidR="008946C3">
        <w:rPr>
          <w:sz w:val="22"/>
          <w:szCs w:val="22"/>
        </w:rPr>
        <w:t xml:space="preserve"> </w:t>
      </w:r>
      <w:r w:rsidR="00E2718F" w:rsidRPr="00E2718F">
        <w:rPr>
          <w:sz w:val="22"/>
          <w:szCs w:val="22"/>
        </w:rPr>
        <w:t>relevant public health information</w:t>
      </w:r>
      <w:r w:rsidR="008946C3">
        <w:rPr>
          <w:sz w:val="22"/>
          <w:szCs w:val="22"/>
        </w:rPr>
        <w:t xml:space="preserve"> and actions taken.</w:t>
      </w:r>
    </w:p>
    <w:p w14:paraId="7F02869F" w14:textId="1FA9472F" w:rsidR="00A74C9D" w:rsidRPr="001D0F52" w:rsidRDefault="00A74C9D" w:rsidP="001D0F52">
      <w:pPr>
        <w:pStyle w:val="ListBullet"/>
        <w:numPr>
          <w:ilvl w:val="1"/>
          <w:numId w:val="2"/>
        </w:numPr>
        <w:tabs>
          <w:tab w:val="left" w:pos="284"/>
          <w:tab w:val="left" w:pos="426"/>
        </w:tabs>
        <w:spacing w:line="240" w:lineRule="auto"/>
        <w:ind w:left="0" w:firstLine="0"/>
        <w:contextualSpacing w:val="0"/>
        <w:rPr>
          <w:i/>
          <w:iCs/>
          <w:sz w:val="22"/>
          <w:szCs w:val="22"/>
        </w:rPr>
      </w:pPr>
      <w:r w:rsidRPr="001D0F52">
        <w:rPr>
          <w:i/>
          <w:iCs/>
          <w:sz w:val="22"/>
          <w:szCs w:val="22"/>
        </w:rPr>
        <w:t>Which Commonwealth agency(s) are best placed to be involved in the process of data collection, analysis, custodianship and coordination to improve national consistency in data and reporting?</w:t>
      </w:r>
    </w:p>
    <w:p w14:paraId="00347A8C" w14:textId="08D02223" w:rsidR="00A27327" w:rsidRPr="001D0F52" w:rsidRDefault="003A510F" w:rsidP="001D0F52">
      <w:pPr>
        <w:pStyle w:val="ListBullet"/>
        <w:numPr>
          <w:ilvl w:val="0"/>
          <w:numId w:val="0"/>
        </w:numPr>
        <w:spacing w:line="240" w:lineRule="auto"/>
        <w:contextualSpacing w:val="0"/>
        <w:rPr>
          <w:sz w:val="22"/>
          <w:szCs w:val="22"/>
        </w:rPr>
      </w:pPr>
      <w:r w:rsidRPr="001D0F52">
        <w:rPr>
          <w:sz w:val="22"/>
          <w:szCs w:val="22"/>
        </w:rPr>
        <w:t>The development of standardised data reporting would need to be coordinated at the Commonwealth level.</w:t>
      </w:r>
      <w:r w:rsidR="0078508D" w:rsidRPr="001D0F52">
        <w:rPr>
          <w:sz w:val="22"/>
          <w:szCs w:val="22"/>
        </w:rPr>
        <w:t xml:space="preserve"> T</w:t>
      </w:r>
      <w:r w:rsidR="00A27327" w:rsidRPr="001D0F52">
        <w:rPr>
          <w:sz w:val="22"/>
          <w:szCs w:val="22"/>
        </w:rPr>
        <w:t>here are two possible options for hosting this data</w:t>
      </w:r>
      <w:r w:rsidR="00257536" w:rsidRPr="001D0F52">
        <w:rPr>
          <w:sz w:val="22"/>
          <w:szCs w:val="22"/>
        </w:rPr>
        <w:t xml:space="preserve"> infrastructure</w:t>
      </w:r>
      <w:r w:rsidR="00A27327" w:rsidRPr="001D0F52">
        <w:rPr>
          <w:sz w:val="22"/>
          <w:szCs w:val="22"/>
        </w:rPr>
        <w:t>:</w:t>
      </w:r>
    </w:p>
    <w:p w14:paraId="784DF432" w14:textId="6448D42C" w:rsidR="00A27327" w:rsidRPr="001D0F52" w:rsidRDefault="00CD035E" w:rsidP="001D0F52">
      <w:pPr>
        <w:pStyle w:val="ListBullet"/>
        <w:numPr>
          <w:ilvl w:val="0"/>
          <w:numId w:val="5"/>
        </w:numPr>
        <w:ind w:left="709" w:hanging="425"/>
        <w:contextualSpacing w:val="0"/>
        <w:rPr>
          <w:sz w:val="22"/>
          <w:szCs w:val="22"/>
        </w:rPr>
      </w:pPr>
      <w:r w:rsidRPr="001D0F52">
        <w:rPr>
          <w:sz w:val="22"/>
          <w:szCs w:val="22"/>
        </w:rPr>
        <w:t>Australian Bureau of Statistics (ABS)</w:t>
      </w:r>
      <w:r w:rsidR="00A27327" w:rsidRPr="001D0F52">
        <w:rPr>
          <w:sz w:val="22"/>
          <w:szCs w:val="22"/>
        </w:rPr>
        <w:t>: A well-established statistical authority with strong existing data governance systems, independence, objectivity, and confidentiality safeguards. Once reporting becomes mandatory and standardised, ABS could be well suited to host the database.</w:t>
      </w:r>
    </w:p>
    <w:p w14:paraId="619E09DD" w14:textId="75794BDB" w:rsidR="00A27327" w:rsidRPr="001D0F52" w:rsidRDefault="00282CE4" w:rsidP="001D0F52">
      <w:pPr>
        <w:pStyle w:val="ListBullet"/>
        <w:numPr>
          <w:ilvl w:val="0"/>
          <w:numId w:val="5"/>
        </w:numPr>
        <w:ind w:left="709" w:hanging="425"/>
        <w:contextualSpacing w:val="0"/>
        <w:rPr>
          <w:sz w:val="22"/>
          <w:szCs w:val="22"/>
        </w:rPr>
      </w:pPr>
      <w:r w:rsidRPr="001D0F52">
        <w:rPr>
          <w:sz w:val="22"/>
          <w:szCs w:val="22"/>
        </w:rPr>
        <w:t>Department of Climate Change, Energy, the Environment and Water (</w:t>
      </w:r>
      <w:r w:rsidR="00A27327" w:rsidRPr="001D0F52">
        <w:rPr>
          <w:sz w:val="22"/>
          <w:szCs w:val="22"/>
        </w:rPr>
        <w:t>DCCEEW</w:t>
      </w:r>
      <w:r w:rsidRPr="001D0F52">
        <w:rPr>
          <w:sz w:val="22"/>
          <w:szCs w:val="22"/>
        </w:rPr>
        <w:t>)</w:t>
      </w:r>
      <w:r w:rsidR="00A27327" w:rsidRPr="001D0F52">
        <w:rPr>
          <w:sz w:val="22"/>
          <w:szCs w:val="22"/>
        </w:rPr>
        <w:t xml:space="preserve">: </w:t>
      </w:r>
      <w:r w:rsidR="006157E1" w:rsidRPr="001D0F52">
        <w:rPr>
          <w:sz w:val="22"/>
          <w:szCs w:val="22"/>
        </w:rPr>
        <w:t xml:space="preserve">A national policy coordinator for water, responsible for the National Water Agreement and investment through the National Water Grid, including policies supporting water services in rural and remote areas and for First Nations communities. </w:t>
      </w:r>
      <w:r w:rsidR="00935700" w:rsidRPr="001D0F52">
        <w:rPr>
          <w:sz w:val="22"/>
          <w:szCs w:val="22"/>
        </w:rPr>
        <w:t>DCCEEW has strong authority to coordinate, close alignment with existing policy frameworks, and clear links to policy and investment decisions</w:t>
      </w:r>
      <w:r w:rsidR="006157E1" w:rsidRPr="001D0F52">
        <w:rPr>
          <w:sz w:val="22"/>
          <w:szCs w:val="22"/>
        </w:rPr>
        <w:t>.</w:t>
      </w:r>
    </w:p>
    <w:p w14:paraId="24BF650E" w14:textId="25022712" w:rsidR="0078508D" w:rsidRPr="001D0F52" w:rsidRDefault="00F27284" w:rsidP="001D0F52">
      <w:pPr>
        <w:pStyle w:val="ListBullet"/>
        <w:numPr>
          <w:ilvl w:val="0"/>
          <w:numId w:val="0"/>
        </w:numPr>
        <w:spacing w:line="240" w:lineRule="auto"/>
        <w:contextualSpacing w:val="0"/>
        <w:rPr>
          <w:sz w:val="22"/>
          <w:szCs w:val="22"/>
        </w:rPr>
      </w:pPr>
      <w:r w:rsidRPr="001D0F52">
        <w:rPr>
          <w:sz w:val="22"/>
          <w:szCs w:val="22"/>
        </w:rPr>
        <w:t>In addition, it is important that this data</w:t>
      </w:r>
      <w:r w:rsidR="005C741D" w:rsidRPr="001D0F52">
        <w:rPr>
          <w:sz w:val="22"/>
          <w:szCs w:val="22"/>
        </w:rPr>
        <w:t xml:space="preserve"> infrastructure</w:t>
      </w:r>
      <w:r w:rsidRPr="001D0F52">
        <w:rPr>
          <w:sz w:val="22"/>
          <w:szCs w:val="22"/>
        </w:rPr>
        <w:t xml:space="preserve"> be funded by the Commonwealth Government</w:t>
      </w:r>
      <w:r w:rsidR="0078508D" w:rsidRPr="001D0F52">
        <w:rPr>
          <w:sz w:val="22"/>
          <w:szCs w:val="22"/>
        </w:rPr>
        <w:t xml:space="preserve">, for example, through the National Water Grid, and should serve as the benchmark for problem identification in project proposals and for project monitoring and evaluation under frameworks such as the National Water Grid Investment Framework </w:t>
      </w:r>
      <w:r w:rsidR="0078508D" w:rsidRPr="001D0F52">
        <w:rPr>
          <w:i/>
          <w:iCs/>
          <w:sz w:val="22"/>
          <w:szCs w:val="22"/>
        </w:rPr>
        <w:t>(also a response to Information request 8: Role of Australian Government investment and funding programs</w:t>
      </w:r>
      <w:r w:rsidR="009E1AA8" w:rsidRPr="001D0F52">
        <w:rPr>
          <w:i/>
          <w:iCs/>
          <w:sz w:val="22"/>
          <w:szCs w:val="22"/>
        </w:rPr>
        <w:t xml:space="preserve">, Point 1 on </w:t>
      </w:r>
      <w:r w:rsidR="00141E5A" w:rsidRPr="001D0F52">
        <w:rPr>
          <w:i/>
          <w:iCs/>
          <w:sz w:val="22"/>
          <w:szCs w:val="22"/>
        </w:rPr>
        <w:t>improvements to governance arrangements to facilitate better funding provision</w:t>
      </w:r>
      <w:r w:rsidR="009E1AA8" w:rsidRPr="001D0F52">
        <w:rPr>
          <w:i/>
          <w:iCs/>
          <w:sz w:val="22"/>
          <w:szCs w:val="22"/>
        </w:rPr>
        <w:t>)</w:t>
      </w:r>
      <w:r w:rsidR="00141E5A" w:rsidRPr="001D0F52">
        <w:rPr>
          <w:sz w:val="22"/>
          <w:szCs w:val="22"/>
        </w:rPr>
        <w:t>.</w:t>
      </w:r>
    </w:p>
    <w:p w14:paraId="5407E16C" w14:textId="77777777" w:rsidR="00124220" w:rsidRPr="001D0F52" w:rsidRDefault="00124220" w:rsidP="001D0F52">
      <w:pPr>
        <w:pStyle w:val="ListBullet"/>
        <w:numPr>
          <w:ilvl w:val="1"/>
          <w:numId w:val="2"/>
        </w:numPr>
        <w:tabs>
          <w:tab w:val="left" w:pos="284"/>
          <w:tab w:val="left" w:pos="426"/>
        </w:tabs>
        <w:spacing w:line="240" w:lineRule="auto"/>
        <w:ind w:left="0" w:firstLine="0"/>
        <w:contextualSpacing w:val="0"/>
        <w:rPr>
          <w:i/>
          <w:iCs/>
          <w:sz w:val="22"/>
          <w:szCs w:val="22"/>
        </w:rPr>
      </w:pPr>
      <w:r w:rsidRPr="001D0F52">
        <w:rPr>
          <w:i/>
          <w:iCs/>
          <w:sz w:val="22"/>
          <w:szCs w:val="22"/>
        </w:rPr>
        <w:t>How could the process to develop consistent reporting standards be designed to benefit and account for the end uses of a range of stakeholders – including customers and consumers, regulators and government agencies, and community-controlled organisations?</w:t>
      </w:r>
    </w:p>
    <w:p w14:paraId="27BD43EE" w14:textId="7B0DCD41" w:rsidR="00995D30" w:rsidRPr="001D0F52" w:rsidRDefault="000E25D3" w:rsidP="001D0F52">
      <w:pPr>
        <w:pStyle w:val="ListBullet"/>
        <w:numPr>
          <w:ilvl w:val="0"/>
          <w:numId w:val="0"/>
        </w:numPr>
        <w:spacing w:line="240" w:lineRule="auto"/>
        <w:contextualSpacing w:val="0"/>
        <w:rPr>
          <w:sz w:val="22"/>
          <w:szCs w:val="22"/>
        </w:rPr>
      </w:pPr>
      <w:r w:rsidRPr="001D0F52">
        <w:rPr>
          <w:sz w:val="22"/>
          <w:szCs w:val="22"/>
        </w:rPr>
        <w:t>The reporting system and standards need to be designed to be fit for people, place, and purpose. Some key considerations are outlined below to ensure they reflect and support the needs of a range of stakeholders:</w:t>
      </w:r>
    </w:p>
    <w:p w14:paraId="15E1EF3D" w14:textId="53EA5314" w:rsidR="00BE6EC5" w:rsidRPr="001D0F52" w:rsidRDefault="00BE6EC5" w:rsidP="001D0F52">
      <w:pPr>
        <w:pStyle w:val="ListBullet"/>
        <w:numPr>
          <w:ilvl w:val="0"/>
          <w:numId w:val="6"/>
        </w:numPr>
        <w:spacing w:line="240" w:lineRule="auto"/>
        <w:ind w:left="709" w:hanging="425"/>
        <w:contextualSpacing w:val="0"/>
        <w:rPr>
          <w:sz w:val="22"/>
          <w:szCs w:val="22"/>
        </w:rPr>
      </w:pPr>
      <w:r w:rsidRPr="001D0F52">
        <w:rPr>
          <w:sz w:val="22"/>
          <w:szCs w:val="22"/>
        </w:rPr>
        <w:lastRenderedPageBreak/>
        <w:t xml:space="preserve">Inclusion of all systems, including </w:t>
      </w:r>
      <w:r w:rsidR="001A199A" w:rsidRPr="001D0F52">
        <w:rPr>
          <w:sz w:val="22"/>
          <w:szCs w:val="22"/>
        </w:rPr>
        <w:t xml:space="preserve">small and </w:t>
      </w:r>
      <w:r w:rsidRPr="001D0F52">
        <w:rPr>
          <w:sz w:val="22"/>
          <w:szCs w:val="22"/>
        </w:rPr>
        <w:t xml:space="preserve">large utilities, self-managed and First </w:t>
      </w:r>
      <w:r w:rsidR="001A199A" w:rsidRPr="001D0F52">
        <w:rPr>
          <w:sz w:val="22"/>
          <w:szCs w:val="22"/>
        </w:rPr>
        <w:t>Peoples</w:t>
      </w:r>
      <w:r w:rsidRPr="001D0F52">
        <w:rPr>
          <w:sz w:val="22"/>
          <w:szCs w:val="22"/>
        </w:rPr>
        <w:t xml:space="preserve">-managed </w:t>
      </w:r>
      <w:r w:rsidR="001A199A" w:rsidRPr="001D0F52">
        <w:rPr>
          <w:sz w:val="22"/>
          <w:szCs w:val="22"/>
        </w:rPr>
        <w:t>systems</w:t>
      </w:r>
      <w:r w:rsidRPr="001D0F52">
        <w:rPr>
          <w:sz w:val="22"/>
          <w:szCs w:val="22"/>
        </w:rPr>
        <w:t>, recognising the diversity of governance and capacities</w:t>
      </w:r>
      <w:r w:rsidR="0095316A" w:rsidRPr="001D0F52">
        <w:rPr>
          <w:sz w:val="22"/>
          <w:szCs w:val="22"/>
        </w:rPr>
        <w:t>.</w:t>
      </w:r>
    </w:p>
    <w:p w14:paraId="17A3A458" w14:textId="40598BEF" w:rsidR="00BE6EC5" w:rsidRPr="001D0F52" w:rsidRDefault="00BE6EC5" w:rsidP="001D0F52">
      <w:pPr>
        <w:pStyle w:val="ListBullet"/>
        <w:numPr>
          <w:ilvl w:val="0"/>
          <w:numId w:val="6"/>
        </w:numPr>
        <w:ind w:left="709" w:hanging="425"/>
        <w:contextualSpacing w:val="0"/>
        <w:rPr>
          <w:sz w:val="22"/>
          <w:szCs w:val="22"/>
        </w:rPr>
      </w:pPr>
      <w:r w:rsidRPr="001D0F52">
        <w:rPr>
          <w:sz w:val="22"/>
          <w:szCs w:val="22"/>
        </w:rPr>
        <w:t xml:space="preserve">Adoption of a multi-layered monitoring approach, integrating data collected by water </w:t>
      </w:r>
      <w:r w:rsidR="00BC61C3" w:rsidRPr="001D0F52">
        <w:rPr>
          <w:sz w:val="22"/>
          <w:szCs w:val="22"/>
        </w:rPr>
        <w:t>utilities</w:t>
      </w:r>
      <w:r w:rsidRPr="001D0F52">
        <w:rPr>
          <w:sz w:val="22"/>
          <w:szCs w:val="22"/>
        </w:rPr>
        <w:t xml:space="preserve"> with community-led monitoring initiatives</w:t>
      </w:r>
      <w:r w:rsidR="00134BDC" w:rsidRPr="001D0F52">
        <w:rPr>
          <w:sz w:val="22"/>
          <w:szCs w:val="22"/>
        </w:rPr>
        <w:t xml:space="preserve"> and Indigenous knowledge systems.</w:t>
      </w:r>
      <w:r w:rsidRPr="001D0F52">
        <w:rPr>
          <w:sz w:val="22"/>
          <w:szCs w:val="22"/>
        </w:rPr>
        <w:t xml:space="preserve"> This would strengthen data coverage, improve local relevance, and support more responsive identification of water quality issues, particularly in remote, small, and First Nations communities.</w:t>
      </w:r>
    </w:p>
    <w:p w14:paraId="7BE48BBF" w14:textId="5FF106FD" w:rsidR="00BE6EC5" w:rsidRPr="001D0F52" w:rsidRDefault="00BE6EC5" w:rsidP="001D0F52">
      <w:pPr>
        <w:pStyle w:val="ListBullet"/>
        <w:numPr>
          <w:ilvl w:val="0"/>
          <w:numId w:val="6"/>
        </w:numPr>
        <w:ind w:left="709" w:hanging="425"/>
        <w:contextualSpacing w:val="0"/>
        <w:rPr>
          <w:sz w:val="22"/>
          <w:szCs w:val="22"/>
        </w:rPr>
      </w:pPr>
      <w:r w:rsidRPr="001D0F52">
        <w:rPr>
          <w:sz w:val="22"/>
          <w:szCs w:val="22"/>
        </w:rPr>
        <w:t xml:space="preserve">Incorporation of independent monitoring </w:t>
      </w:r>
      <w:r w:rsidR="00B7212A" w:rsidRPr="001D0F52">
        <w:rPr>
          <w:sz w:val="22"/>
          <w:szCs w:val="22"/>
        </w:rPr>
        <w:t>and consumer</w:t>
      </w:r>
      <w:r w:rsidR="00426B9B" w:rsidRPr="001D0F52">
        <w:rPr>
          <w:sz w:val="22"/>
          <w:szCs w:val="22"/>
        </w:rPr>
        <w:t>-led</w:t>
      </w:r>
      <w:r w:rsidR="00B7212A" w:rsidRPr="001D0F52">
        <w:rPr>
          <w:sz w:val="22"/>
          <w:szCs w:val="22"/>
        </w:rPr>
        <w:t xml:space="preserve"> monitoring </w:t>
      </w:r>
      <w:r w:rsidRPr="001D0F52">
        <w:rPr>
          <w:sz w:val="22"/>
          <w:szCs w:val="22"/>
        </w:rPr>
        <w:t>mechanisms to ensure data integrity, consistency, and credibility, as well as to enhance public trust and accountability.</w:t>
      </w:r>
    </w:p>
    <w:p w14:paraId="264B8FDA" w14:textId="5083738D" w:rsidR="000D7278" w:rsidRPr="001D0F52" w:rsidRDefault="00BE6EC5" w:rsidP="001D0F52">
      <w:pPr>
        <w:pStyle w:val="ListBullet"/>
        <w:numPr>
          <w:ilvl w:val="0"/>
          <w:numId w:val="6"/>
        </w:numPr>
        <w:ind w:left="709" w:hanging="425"/>
        <w:contextualSpacing w:val="0"/>
        <w:rPr>
          <w:sz w:val="22"/>
          <w:szCs w:val="22"/>
        </w:rPr>
      </w:pPr>
      <w:r w:rsidRPr="001D0F52">
        <w:rPr>
          <w:sz w:val="22"/>
          <w:szCs w:val="22"/>
        </w:rPr>
        <w:t>Meaningful consultation and inclusion of communities</w:t>
      </w:r>
      <w:r w:rsidR="001A1428">
        <w:rPr>
          <w:sz w:val="22"/>
          <w:szCs w:val="22"/>
        </w:rPr>
        <w:t>/consumers</w:t>
      </w:r>
      <w:r w:rsidRPr="001D0F52">
        <w:rPr>
          <w:sz w:val="22"/>
          <w:szCs w:val="22"/>
        </w:rPr>
        <w:t xml:space="preserve"> </w:t>
      </w:r>
      <w:r w:rsidR="000D7278" w:rsidRPr="001D0F52">
        <w:rPr>
          <w:sz w:val="22"/>
          <w:szCs w:val="22"/>
        </w:rPr>
        <w:t xml:space="preserve">as key stakeholders in </w:t>
      </w:r>
      <w:r w:rsidR="00837095" w:rsidRPr="001D0F52">
        <w:rPr>
          <w:sz w:val="22"/>
          <w:szCs w:val="22"/>
        </w:rPr>
        <w:t xml:space="preserve">the design and implementation of the reporting system, as well as </w:t>
      </w:r>
      <w:r w:rsidR="000D7278" w:rsidRPr="001D0F52">
        <w:rPr>
          <w:sz w:val="22"/>
          <w:szCs w:val="22"/>
        </w:rPr>
        <w:t>interpretation of outcomes.</w:t>
      </w:r>
    </w:p>
    <w:p w14:paraId="5CFD97D3" w14:textId="4A902FF7" w:rsidR="00BE6EC5" w:rsidRPr="001D0F52" w:rsidRDefault="00736314" w:rsidP="001D0F52">
      <w:pPr>
        <w:pStyle w:val="ListBullet"/>
        <w:numPr>
          <w:ilvl w:val="0"/>
          <w:numId w:val="6"/>
        </w:numPr>
        <w:ind w:left="709" w:hanging="425"/>
        <w:contextualSpacing w:val="0"/>
        <w:rPr>
          <w:sz w:val="22"/>
          <w:szCs w:val="22"/>
        </w:rPr>
      </w:pPr>
      <w:r w:rsidRPr="001D0F52">
        <w:rPr>
          <w:sz w:val="22"/>
          <w:szCs w:val="22"/>
        </w:rPr>
        <w:t>A reporting system that is accessible, user-friendly, and transparent for all stakeholders, with data presented in clear formats and appropriate levels of detail for different users, supported by capacity building</w:t>
      </w:r>
      <w:r w:rsidR="00E112F3" w:rsidRPr="001D0F52">
        <w:rPr>
          <w:sz w:val="22"/>
          <w:szCs w:val="22"/>
        </w:rPr>
        <w:t xml:space="preserve"> and financial support</w:t>
      </w:r>
      <w:r w:rsidRPr="001D0F52">
        <w:rPr>
          <w:sz w:val="22"/>
          <w:szCs w:val="22"/>
        </w:rPr>
        <w:t xml:space="preserve"> to enable effective implementation and use.</w:t>
      </w:r>
    </w:p>
    <w:p w14:paraId="39DAD874" w14:textId="77777777" w:rsidR="00263F4C" w:rsidRPr="001D0F52" w:rsidRDefault="00263F4C" w:rsidP="001D0F52">
      <w:pPr>
        <w:pStyle w:val="ListBullet"/>
        <w:numPr>
          <w:ilvl w:val="1"/>
          <w:numId w:val="2"/>
        </w:numPr>
        <w:tabs>
          <w:tab w:val="left" w:pos="284"/>
          <w:tab w:val="left" w:pos="426"/>
        </w:tabs>
        <w:spacing w:line="240" w:lineRule="auto"/>
        <w:ind w:left="0" w:firstLine="0"/>
        <w:contextualSpacing w:val="0"/>
        <w:rPr>
          <w:i/>
          <w:iCs/>
          <w:sz w:val="22"/>
          <w:szCs w:val="22"/>
        </w:rPr>
      </w:pPr>
      <w:r w:rsidRPr="001D0F52">
        <w:rPr>
          <w:i/>
          <w:iCs/>
          <w:sz w:val="22"/>
          <w:szCs w:val="22"/>
        </w:rPr>
        <w:t>How could national reporting requirements be implemented and enforced to minimise costs and regulatory burdens for service providers? For example, by using technology to streamline reporting and reduce duplication (such as the central repository managed by NSW Health), or by staging implementation to support providers to adjust to changes (as in the rollout of Queensland’s Statewide Water Information Management system).</w:t>
      </w:r>
    </w:p>
    <w:p w14:paraId="6342BC38" w14:textId="150DC1A8" w:rsidR="0086780E" w:rsidRPr="001D0F52" w:rsidRDefault="0086780E" w:rsidP="001D0F52">
      <w:pPr>
        <w:pStyle w:val="ListBullet"/>
        <w:numPr>
          <w:ilvl w:val="0"/>
          <w:numId w:val="0"/>
        </w:numPr>
        <w:spacing w:line="240" w:lineRule="auto"/>
        <w:contextualSpacing w:val="0"/>
        <w:rPr>
          <w:sz w:val="22"/>
          <w:szCs w:val="22"/>
        </w:rPr>
      </w:pPr>
      <w:r w:rsidRPr="001D0F52">
        <w:rPr>
          <w:sz w:val="22"/>
          <w:szCs w:val="22"/>
        </w:rPr>
        <w:t>While implementing a standardised national reporting system may increase costs in the short term, it is likely to reduce reporting burdens over the longer term. In the absence of standardised reporting requirements, there can be a paradoxical increase in reporting burden, as water</w:t>
      </w:r>
      <w:r w:rsidR="00F02EC9" w:rsidRPr="001D0F52">
        <w:rPr>
          <w:sz w:val="22"/>
          <w:szCs w:val="22"/>
        </w:rPr>
        <w:t xml:space="preserve"> </w:t>
      </w:r>
      <w:r w:rsidR="00170B89" w:rsidRPr="001D0F52">
        <w:rPr>
          <w:sz w:val="22"/>
          <w:szCs w:val="22"/>
        </w:rPr>
        <w:t>service providers</w:t>
      </w:r>
      <w:r w:rsidRPr="001D0F52">
        <w:rPr>
          <w:sz w:val="22"/>
          <w:szCs w:val="22"/>
        </w:rPr>
        <w:t xml:space="preserve"> may need to reformat or reinterpret the same data to meet the differing requirements of state regulators, health departments, auditors, and other agencies.</w:t>
      </w:r>
    </w:p>
    <w:p w14:paraId="4F534664" w14:textId="6242340A" w:rsidR="006F1F47" w:rsidRPr="001D0F52" w:rsidRDefault="0086780E" w:rsidP="001D0F52">
      <w:pPr>
        <w:pStyle w:val="ListBullet"/>
        <w:numPr>
          <w:ilvl w:val="0"/>
          <w:numId w:val="0"/>
        </w:numPr>
        <w:spacing w:line="240" w:lineRule="auto"/>
        <w:contextualSpacing w:val="0"/>
        <w:rPr>
          <w:sz w:val="22"/>
          <w:szCs w:val="22"/>
        </w:rPr>
      </w:pPr>
      <w:r w:rsidRPr="001D0F52">
        <w:rPr>
          <w:sz w:val="22"/>
          <w:szCs w:val="22"/>
        </w:rPr>
        <w:t xml:space="preserve">To minimise costs and regulatory burdens for </w:t>
      </w:r>
      <w:r w:rsidR="00EA3E92" w:rsidRPr="001D0F52">
        <w:rPr>
          <w:sz w:val="22"/>
          <w:szCs w:val="22"/>
        </w:rPr>
        <w:t xml:space="preserve">water </w:t>
      </w:r>
      <w:r w:rsidRPr="001D0F52">
        <w:rPr>
          <w:sz w:val="22"/>
          <w:szCs w:val="22"/>
        </w:rPr>
        <w:t xml:space="preserve">service providers, a nationally consistent reporting template and a digital reporting platform should be developed to standardise data submission and streamline reporting processes. </w:t>
      </w:r>
      <w:r w:rsidR="00A133B8" w:rsidRPr="001D0F52">
        <w:rPr>
          <w:sz w:val="22"/>
          <w:szCs w:val="22"/>
        </w:rPr>
        <w:t xml:space="preserve">Implementation could be </w:t>
      </w:r>
      <w:r w:rsidR="0015212C">
        <w:rPr>
          <w:sz w:val="22"/>
          <w:szCs w:val="22"/>
        </w:rPr>
        <w:t>staged</w:t>
      </w:r>
      <w:r w:rsidR="00A133B8" w:rsidRPr="001D0F52">
        <w:rPr>
          <w:sz w:val="22"/>
          <w:szCs w:val="22"/>
        </w:rPr>
        <w:t xml:space="preserve"> in two ways</w:t>
      </w:r>
      <w:r w:rsidR="006F1F47" w:rsidRPr="001D0F52">
        <w:rPr>
          <w:sz w:val="22"/>
          <w:szCs w:val="22"/>
        </w:rPr>
        <w:t xml:space="preserve">: </w:t>
      </w:r>
    </w:p>
    <w:p w14:paraId="5ECABCE6" w14:textId="39B042D6" w:rsidR="006F1F47" w:rsidRPr="001D0F52" w:rsidRDefault="006F1F47" w:rsidP="001D0F52">
      <w:pPr>
        <w:pStyle w:val="ListBullet"/>
        <w:numPr>
          <w:ilvl w:val="0"/>
          <w:numId w:val="7"/>
        </w:numPr>
        <w:spacing w:line="240" w:lineRule="auto"/>
        <w:ind w:left="709" w:hanging="425"/>
        <w:contextualSpacing w:val="0"/>
        <w:rPr>
          <w:sz w:val="22"/>
          <w:szCs w:val="22"/>
        </w:rPr>
      </w:pPr>
      <w:r w:rsidRPr="001D0F52">
        <w:rPr>
          <w:sz w:val="22"/>
          <w:szCs w:val="22"/>
        </w:rPr>
        <w:t>A</w:t>
      </w:r>
      <w:r w:rsidR="00A133B8" w:rsidRPr="001D0F52">
        <w:rPr>
          <w:sz w:val="22"/>
          <w:szCs w:val="22"/>
        </w:rPr>
        <w:t xml:space="preserve"> staged governance approach with data initially collected and managed through centralised state or territory repositories before being aggregated into a national repository. </w:t>
      </w:r>
    </w:p>
    <w:p w14:paraId="363C875A" w14:textId="4AEA42E9" w:rsidR="006F1F47" w:rsidRPr="001D0F52" w:rsidRDefault="00B90C83" w:rsidP="001D0F52">
      <w:pPr>
        <w:pStyle w:val="ListBullet"/>
        <w:numPr>
          <w:ilvl w:val="0"/>
          <w:numId w:val="7"/>
        </w:numPr>
        <w:spacing w:line="240" w:lineRule="auto"/>
        <w:ind w:left="709" w:hanging="425"/>
        <w:contextualSpacing w:val="0"/>
        <w:rPr>
          <w:sz w:val="22"/>
          <w:szCs w:val="22"/>
        </w:rPr>
      </w:pPr>
      <w:r w:rsidRPr="001D0F52">
        <w:rPr>
          <w:sz w:val="22"/>
          <w:szCs w:val="22"/>
        </w:rPr>
        <w:t>Progressive r</w:t>
      </w:r>
      <w:r w:rsidR="00A52A25" w:rsidRPr="001D0F52">
        <w:rPr>
          <w:sz w:val="22"/>
          <w:szCs w:val="22"/>
        </w:rPr>
        <w:t xml:space="preserve">eporting requirements with implementation timelines tailored to system type. This would begin with a minimum mandatory dataset and core reporting indicators, gradually expanding as systems, capabilities, and resources mature, until all systems meet the same standardised requirements. </w:t>
      </w:r>
    </w:p>
    <w:p w14:paraId="123B9ECB" w14:textId="15D562D0" w:rsidR="0086780E" w:rsidRPr="001D0F52" w:rsidRDefault="0086780E" w:rsidP="001D0F52">
      <w:pPr>
        <w:pStyle w:val="ListBullet"/>
        <w:numPr>
          <w:ilvl w:val="0"/>
          <w:numId w:val="0"/>
        </w:numPr>
        <w:spacing w:line="240" w:lineRule="auto"/>
        <w:contextualSpacing w:val="0"/>
        <w:rPr>
          <w:sz w:val="22"/>
          <w:szCs w:val="22"/>
        </w:rPr>
      </w:pPr>
      <w:r w:rsidRPr="001D0F52">
        <w:rPr>
          <w:sz w:val="22"/>
          <w:szCs w:val="22"/>
        </w:rPr>
        <w:t>Where appropriate, the system should build on existing reporting platforms and data infrastructure to reduce duplication, leverage established capabilities, and minimise implementation costs.</w:t>
      </w:r>
    </w:p>
    <w:p w14:paraId="31A5062E" w14:textId="3AE75D3C" w:rsidR="0078773B" w:rsidRPr="001D0F52" w:rsidRDefault="0078773B" w:rsidP="001D0F52">
      <w:pPr>
        <w:pStyle w:val="ListBullet"/>
        <w:numPr>
          <w:ilvl w:val="1"/>
          <w:numId w:val="2"/>
        </w:numPr>
        <w:tabs>
          <w:tab w:val="left" w:pos="284"/>
          <w:tab w:val="left" w:pos="426"/>
        </w:tabs>
        <w:spacing w:line="240" w:lineRule="auto"/>
        <w:ind w:left="0" w:firstLine="0"/>
        <w:contextualSpacing w:val="0"/>
        <w:rPr>
          <w:i/>
          <w:iCs/>
          <w:sz w:val="22"/>
          <w:szCs w:val="22"/>
        </w:rPr>
      </w:pPr>
      <w:r w:rsidRPr="001D0F52">
        <w:rPr>
          <w:i/>
          <w:iCs/>
          <w:sz w:val="22"/>
          <w:szCs w:val="22"/>
        </w:rPr>
        <w:t>In addition to drinking water quality reporting, are there other service outcomes (for example, reliability and affordability) where greater national consistency in definitions and reporting would support more secure, resilient and sustainable water services delivery?</w:t>
      </w:r>
    </w:p>
    <w:p w14:paraId="5FCABE60" w14:textId="3F4DFE75" w:rsidR="00AD16F4" w:rsidRPr="001D0F52" w:rsidRDefault="00AD16F4" w:rsidP="001D0F52">
      <w:pPr>
        <w:pStyle w:val="ListBullet"/>
        <w:numPr>
          <w:ilvl w:val="0"/>
          <w:numId w:val="0"/>
        </w:numPr>
        <w:spacing w:line="240" w:lineRule="auto"/>
        <w:contextualSpacing w:val="0"/>
        <w:rPr>
          <w:sz w:val="22"/>
          <w:szCs w:val="22"/>
        </w:rPr>
      </w:pPr>
      <w:r w:rsidRPr="001D0F52">
        <w:rPr>
          <w:sz w:val="22"/>
          <w:szCs w:val="22"/>
        </w:rPr>
        <w:t xml:space="preserve">In addition to drinking water quality reporting, other service outcome indicators are also needed to fully capture the dimensions of access to drinking water that is safe, acceptable, accessible, reliable, and affordable. </w:t>
      </w:r>
      <w:r w:rsidR="00506578" w:rsidRPr="001D0F52">
        <w:rPr>
          <w:sz w:val="22"/>
          <w:szCs w:val="22"/>
        </w:rPr>
        <w:t>In doing this, s</w:t>
      </w:r>
      <w:r w:rsidRPr="001D0F52">
        <w:rPr>
          <w:sz w:val="22"/>
          <w:szCs w:val="22"/>
        </w:rPr>
        <w:t xml:space="preserve">everal considerations should be </w:t>
      </w:r>
      <w:proofErr w:type="gramStart"/>
      <w:r w:rsidRPr="001D0F52">
        <w:rPr>
          <w:sz w:val="22"/>
          <w:szCs w:val="22"/>
        </w:rPr>
        <w:t>taken into account</w:t>
      </w:r>
      <w:proofErr w:type="gramEnd"/>
      <w:r w:rsidRPr="001D0F52">
        <w:rPr>
          <w:sz w:val="22"/>
          <w:szCs w:val="22"/>
        </w:rPr>
        <w:t>:</w:t>
      </w:r>
    </w:p>
    <w:p w14:paraId="7FF64B07" w14:textId="54DED701" w:rsidR="00AD16F4" w:rsidRPr="001D0F52" w:rsidRDefault="00AD16F4" w:rsidP="001D0F52">
      <w:pPr>
        <w:pStyle w:val="ListBullet"/>
        <w:numPr>
          <w:ilvl w:val="0"/>
          <w:numId w:val="8"/>
        </w:numPr>
        <w:spacing w:line="240" w:lineRule="auto"/>
        <w:ind w:left="709" w:hanging="425"/>
        <w:contextualSpacing w:val="0"/>
        <w:rPr>
          <w:sz w:val="22"/>
          <w:szCs w:val="22"/>
        </w:rPr>
      </w:pPr>
      <w:r w:rsidRPr="001D0F52">
        <w:rPr>
          <w:sz w:val="22"/>
          <w:szCs w:val="22"/>
        </w:rPr>
        <w:lastRenderedPageBreak/>
        <w:t>Clear definitions of these dimensions, and appropriate corresponding indicators, are required.</w:t>
      </w:r>
    </w:p>
    <w:p w14:paraId="50F6DF7D" w14:textId="05852F91" w:rsidR="006C2052" w:rsidRPr="001D0F52" w:rsidRDefault="00AD16F4" w:rsidP="001D0F52">
      <w:pPr>
        <w:pStyle w:val="ListBullet"/>
        <w:numPr>
          <w:ilvl w:val="0"/>
          <w:numId w:val="8"/>
        </w:numPr>
        <w:spacing w:line="240" w:lineRule="auto"/>
        <w:ind w:left="709" w:hanging="425"/>
        <w:contextualSpacing w:val="0"/>
        <w:rPr>
          <w:sz w:val="22"/>
          <w:szCs w:val="22"/>
        </w:rPr>
      </w:pPr>
      <w:r w:rsidRPr="001D0F52">
        <w:rPr>
          <w:sz w:val="22"/>
          <w:szCs w:val="22"/>
        </w:rPr>
        <w:t xml:space="preserve">Some </w:t>
      </w:r>
      <w:r w:rsidR="003A2269" w:rsidRPr="001D0F52">
        <w:rPr>
          <w:sz w:val="22"/>
          <w:szCs w:val="22"/>
        </w:rPr>
        <w:t xml:space="preserve">data </w:t>
      </w:r>
      <w:r w:rsidRPr="001D0F52">
        <w:rPr>
          <w:sz w:val="22"/>
          <w:szCs w:val="22"/>
        </w:rPr>
        <w:t>can be derived from existing utility operational and billing systems</w:t>
      </w:r>
      <w:r w:rsidR="00154DAE" w:rsidRPr="001D0F52">
        <w:rPr>
          <w:sz w:val="22"/>
          <w:szCs w:val="22"/>
        </w:rPr>
        <w:t xml:space="preserve"> (e.g. The National Performance Report</w:t>
      </w:r>
      <w:r w:rsidR="00DD5A71">
        <w:rPr>
          <w:sz w:val="22"/>
          <w:szCs w:val="22"/>
        </w:rPr>
        <w:t xml:space="preserve"> </w:t>
      </w:r>
      <w:r w:rsidR="00E3579F">
        <w:rPr>
          <w:sz w:val="22"/>
          <w:szCs w:val="22"/>
        </w:rPr>
        <w:fldChar w:fldCharType="begin"/>
      </w:r>
      <w:r w:rsidR="002F2FB5">
        <w:rPr>
          <w:sz w:val="22"/>
          <w:szCs w:val="22"/>
        </w:rPr>
        <w:instrText xml:space="preserve"> ADDIN EN.CITE &lt;EndNote&gt;&lt;Cite&gt;&lt;Author&gt;BOM&lt;/Author&gt;&lt;Year&gt;2026&lt;/Year&gt;&lt;RecNum&gt;42&lt;/RecNum&gt;&lt;DisplayText&gt;(BOM, 2026)&lt;/DisplayText&gt;&lt;record&gt;&lt;rec-number&gt;42&lt;/rec-number&gt;&lt;foreign-keys&gt;&lt;key app="EN" db-id="pt9xaav9tw5xrbexpadxaw2rtdaffp9wz5tt" timestamp="1783557898"&gt;42&lt;/key&gt;&lt;/foreign-keys&gt;&lt;ref-type name="Web Page"&gt;12&lt;/ref-type&gt;&lt;contributors&gt;&lt;authors&gt;&lt;author&gt;BOM&lt;/author&gt;&lt;/authors&gt;&lt;/contributors&gt;&lt;titles&gt;&lt;title&gt;National Performance Report: Water and Wastewater Service Providers&lt;/title&gt;&lt;/titles&gt;&lt;volume&gt;2026&lt;/volume&gt;&lt;number&gt;2 July&lt;/number&gt;&lt;dates&gt;&lt;year&gt;2026&lt;/year&gt;&lt;/dates&gt;&lt;publisher&gt;Bureau of Meteorology&lt;/publisher&gt;&lt;urls&gt;&lt;related-urls&gt;&lt;url&gt;https://www.bom.gov.au/water/npr/&lt;/url&gt;&lt;/related-urls&gt;&lt;/urls&gt;&lt;/record&gt;&lt;/Cite&gt;&lt;/EndNote&gt;</w:instrText>
      </w:r>
      <w:r w:rsidR="00E3579F">
        <w:rPr>
          <w:sz w:val="22"/>
          <w:szCs w:val="22"/>
        </w:rPr>
        <w:fldChar w:fldCharType="separate"/>
      </w:r>
      <w:r w:rsidR="00727AB9">
        <w:rPr>
          <w:noProof/>
          <w:sz w:val="22"/>
          <w:szCs w:val="22"/>
        </w:rPr>
        <w:t>(BOM, 2026)</w:t>
      </w:r>
      <w:r w:rsidR="00E3579F">
        <w:rPr>
          <w:sz w:val="22"/>
          <w:szCs w:val="22"/>
        </w:rPr>
        <w:fldChar w:fldCharType="end"/>
      </w:r>
      <w:r w:rsidR="00626F52" w:rsidRPr="001D0F52">
        <w:rPr>
          <w:sz w:val="22"/>
          <w:szCs w:val="22"/>
        </w:rPr>
        <w:t>) but</w:t>
      </w:r>
      <w:r w:rsidRPr="001D0F52">
        <w:rPr>
          <w:sz w:val="22"/>
          <w:szCs w:val="22"/>
        </w:rPr>
        <w:t xml:space="preserve"> should be reported by location </w:t>
      </w:r>
      <w:r w:rsidR="00B92C8E">
        <w:rPr>
          <w:sz w:val="22"/>
          <w:szCs w:val="22"/>
        </w:rPr>
        <w:t xml:space="preserve">in addition to </w:t>
      </w:r>
      <w:r w:rsidRPr="001D0F52">
        <w:rPr>
          <w:sz w:val="22"/>
          <w:szCs w:val="22"/>
        </w:rPr>
        <w:t xml:space="preserve">by system, to remain consistent with the broader reporting framework. </w:t>
      </w:r>
    </w:p>
    <w:p w14:paraId="770FB0A2" w14:textId="69064C7F" w:rsidR="00FA18CD" w:rsidRPr="001D0F52" w:rsidRDefault="005F3361" w:rsidP="001D0F52">
      <w:pPr>
        <w:pStyle w:val="ListBullet"/>
        <w:numPr>
          <w:ilvl w:val="0"/>
          <w:numId w:val="8"/>
        </w:numPr>
        <w:spacing w:line="240" w:lineRule="auto"/>
        <w:ind w:left="709" w:hanging="425"/>
        <w:contextualSpacing w:val="0"/>
        <w:rPr>
          <w:sz w:val="22"/>
          <w:szCs w:val="22"/>
        </w:rPr>
      </w:pPr>
      <w:r w:rsidRPr="001D0F52">
        <w:rPr>
          <w:sz w:val="22"/>
          <w:szCs w:val="22"/>
        </w:rPr>
        <w:t xml:space="preserve">Other </w:t>
      </w:r>
      <w:r w:rsidR="003A2269" w:rsidRPr="001D0F52">
        <w:rPr>
          <w:sz w:val="22"/>
          <w:szCs w:val="22"/>
        </w:rPr>
        <w:t>data will need to be collected through different sources and methods. For example, globally validated experiential tools and measures could be</w:t>
      </w:r>
      <w:r w:rsidR="00B05B11" w:rsidRPr="001D0F52">
        <w:rPr>
          <w:sz w:val="22"/>
          <w:szCs w:val="22"/>
        </w:rPr>
        <w:t xml:space="preserve"> used for </w:t>
      </w:r>
      <w:r w:rsidR="00EE626E" w:rsidRPr="001D0F52">
        <w:rPr>
          <w:sz w:val="22"/>
          <w:szCs w:val="22"/>
        </w:rPr>
        <w:t>consumer-led planning, monitoring and evaluation</w:t>
      </w:r>
      <w:r w:rsidR="00B05B11" w:rsidRPr="001D0F52">
        <w:rPr>
          <w:sz w:val="22"/>
          <w:szCs w:val="22"/>
        </w:rPr>
        <w:t xml:space="preserve"> </w:t>
      </w:r>
      <w:r w:rsidR="00F85247" w:rsidRPr="001D0F52">
        <w:rPr>
          <w:sz w:val="22"/>
          <w:szCs w:val="22"/>
        </w:rPr>
        <w:t xml:space="preserve">that </w:t>
      </w:r>
      <w:r w:rsidR="00F04CCC" w:rsidRPr="001D0F52">
        <w:rPr>
          <w:sz w:val="22"/>
          <w:szCs w:val="22"/>
        </w:rPr>
        <w:t>capture household and individual experiences of water insecurity, providing insights beyond those available from conventional service-based indicators</w:t>
      </w:r>
      <w:r w:rsidR="002834A2" w:rsidRPr="001D0F52">
        <w:rPr>
          <w:sz w:val="22"/>
          <w:szCs w:val="22"/>
        </w:rPr>
        <w:t xml:space="preserve"> (e.g. the Household and Individual Water Insecurity Experiences scales (HWISE/IWISE) </w:t>
      </w:r>
      <w:r w:rsidR="002834A2" w:rsidRPr="001D0F52">
        <w:rPr>
          <w:sz w:val="22"/>
          <w:szCs w:val="22"/>
        </w:rPr>
        <w:fldChar w:fldCharType="begin">
          <w:fldData xml:space="preserve">PEVuZE5vdGU+PENpdGU+PEF1dGhvcj5Zb3VuZzwvQXV0aG9yPjxZZWFyPjIwMTk8L1llYXI+PFJl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</w:fldData>
        </w:fldChar>
      </w:r>
      <w:r w:rsidR="00CD4C4E">
        <w:rPr>
          <w:sz w:val="22"/>
          <w:szCs w:val="22"/>
        </w:rPr>
        <w:instrText xml:space="preserve"> ADDIN EN.CITE </w:instrText>
      </w:r>
      <w:r w:rsidR="00CD4C4E">
        <w:rPr>
          <w:sz w:val="22"/>
          <w:szCs w:val="22"/>
        </w:rPr>
        <w:fldChar w:fldCharType="begin">
          <w:fldData xml:space="preserve">PEVuZE5vdGU+PENpdGU+PEF1dGhvcj5Zb3VuZzwvQXV0aG9yPjxZZWFyPjIwMTk8L1llYXI+PFJl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</w:fldData>
        </w:fldChar>
      </w:r>
      <w:r w:rsidR="00CD4C4E">
        <w:rPr>
          <w:sz w:val="22"/>
          <w:szCs w:val="22"/>
        </w:rPr>
        <w:instrText xml:space="preserve"> ADDIN EN.CITE.DATA </w:instrText>
      </w:r>
      <w:r w:rsidR="00CD4C4E">
        <w:rPr>
          <w:sz w:val="22"/>
          <w:szCs w:val="22"/>
        </w:rPr>
      </w:r>
      <w:r w:rsidR="00CD4C4E">
        <w:rPr>
          <w:sz w:val="22"/>
          <w:szCs w:val="22"/>
        </w:rPr>
        <w:fldChar w:fldCharType="end"/>
      </w:r>
      <w:r w:rsidR="002834A2" w:rsidRPr="001D0F52">
        <w:rPr>
          <w:sz w:val="22"/>
          <w:szCs w:val="22"/>
        </w:rPr>
      </w:r>
      <w:r w:rsidR="002834A2" w:rsidRPr="001D0F52">
        <w:rPr>
          <w:sz w:val="22"/>
          <w:szCs w:val="22"/>
        </w:rPr>
        <w:fldChar w:fldCharType="separate"/>
      </w:r>
      <w:r w:rsidR="00727AB9">
        <w:rPr>
          <w:noProof/>
          <w:sz w:val="22"/>
          <w:szCs w:val="22"/>
        </w:rPr>
        <w:t>(Young et al., 2019)</w:t>
      </w:r>
      <w:r w:rsidR="002834A2" w:rsidRPr="001D0F52">
        <w:rPr>
          <w:sz w:val="22"/>
          <w:szCs w:val="22"/>
        </w:rPr>
        <w:fldChar w:fldCharType="end"/>
      </w:r>
      <w:r w:rsidR="002834A2" w:rsidRPr="001D0F52">
        <w:rPr>
          <w:sz w:val="22"/>
          <w:szCs w:val="22"/>
        </w:rPr>
        <w:t>)</w:t>
      </w:r>
      <w:r w:rsidR="00F04CCC" w:rsidRPr="001D0F52">
        <w:rPr>
          <w:sz w:val="22"/>
          <w:szCs w:val="22"/>
        </w:rPr>
        <w:t>.</w:t>
      </w:r>
    </w:p>
    <w:p w14:paraId="4547B14B" w14:textId="21C4CF67" w:rsidR="00F77214" w:rsidRPr="001D0F52" w:rsidRDefault="00F77214" w:rsidP="001D0F52">
      <w:pPr>
        <w:pStyle w:val="ListBullet"/>
        <w:numPr>
          <w:ilvl w:val="1"/>
          <w:numId w:val="2"/>
        </w:numPr>
        <w:tabs>
          <w:tab w:val="left" w:pos="284"/>
          <w:tab w:val="left" w:pos="426"/>
        </w:tabs>
        <w:spacing w:line="240" w:lineRule="auto"/>
        <w:ind w:left="0" w:firstLine="0"/>
        <w:contextualSpacing w:val="0"/>
        <w:rPr>
          <w:i/>
          <w:iCs/>
          <w:sz w:val="22"/>
          <w:szCs w:val="22"/>
        </w:rPr>
      </w:pPr>
      <w:r w:rsidRPr="001D0F52">
        <w:rPr>
          <w:i/>
          <w:iCs/>
          <w:sz w:val="22"/>
          <w:szCs w:val="22"/>
        </w:rPr>
        <w:t>What approaches to nationally consistent reporting on drinking water quality would support Indigenous data sovereignty and Indigenous data governance?</w:t>
      </w:r>
    </w:p>
    <w:p w14:paraId="7E1A5664" w14:textId="7373EF8E" w:rsidR="00F65F97" w:rsidRPr="001D0F52" w:rsidRDefault="00F65F97" w:rsidP="001D0F52">
      <w:pPr>
        <w:pStyle w:val="ListBullet"/>
        <w:numPr>
          <w:ilvl w:val="0"/>
          <w:numId w:val="0"/>
        </w:numPr>
        <w:spacing w:line="240" w:lineRule="auto"/>
        <w:contextualSpacing w:val="0"/>
        <w:rPr>
          <w:sz w:val="22"/>
          <w:szCs w:val="22"/>
        </w:rPr>
      </w:pPr>
      <w:r w:rsidRPr="001D0F52">
        <w:rPr>
          <w:sz w:val="22"/>
          <w:szCs w:val="22"/>
        </w:rPr>
        <w:t xml:space="preserve">Data governance for the proposed reporting system must comply with Indigenous Data Sovereignty principles, with reference to the </w:t>
      </w:r>
      <w:proofErr w:type="spellStart"/>
      <w:r w:rsidRPr="001D0F52">
        <w:rPr>
          <w:sz w:val="22"/>
          <w:szCs w:val="22"/>
        </w:rPr>
        <w:t>Maiam</w:t>
      </w:r>
      <w:proofErr w:type="spellEnd"/>
      <w:r w:rsidRPr="001D0F52">
        <w:rPr>
          <w:sz w:val="22"/>
          <w:szCs w:val="22"/>
        </w:rPr>
        <w:t xml:space="preserve"> </w:t>
      </w:r>
      <w:proofErr w:type="spellStart"/>
      <w:r w:rsidRPr="001D0F52">
        <w:rPr>
          <w:sz w:val="22"/>
          <w:szCs w:val="22"/>
        </w:rPr>
        <w:t>nayri</w:t>
      </w:r>
      <w:proofErr w:type="spellEnd"/>
      <w:r w:rsidRPr="001D0F52">
        <w:rPr>
          <w:sz w:val="22"/>
          <w:szCs w:val="22"/>
        </w:rPr>
        <w:t xml:space="preserve"> </w:t>
      </w:r>
      <w:proofErr w:type="spellStart"/>
      <w:r w:rsidRPr="001D0F52">
        <w:rPr>
          <w:sz w:val="22"/>
          <w:szCs w:val="22"/>
        </w:rPr>
        <w:t>Wingara</w:t>
      </w:r>
      <w:proofErr w:type="spellEnd"/>
      <w:r w:rsidRPr="001D0F52">
        <w:rPr>
          <w:sz w:val="22"/>
          <w:szCs w:val="22"/>
        </w:rPr>
        <w:t xml:space="preserve"> Indigenous Data Sovereignty Collective </w:t>
      </w:r>
      <w:r w:rsidR="00AD6939" w:rsidRPr="001D0F52">
        <w:rPr>
          <w:sz w:val="22"/>
          <w:szCs w:val="22"/>
        </w:rPr>
        <w:fldChar w:fldCharType="begin"/>
      </w:r>
      <w:r w:rsidR="00CD4C4E">
        <w:rPr>
          <w:sz w:val="22"/>
          <w:szCs w:val="22"/>
        </w:rPr>
        <w:instrText xml:space="preserve"> ADDIN EN.CITE &lt;EndNote&gt;&lt;Cite&gt;&lt;Author&gt;Maiam nayri Wingara&lt;/Author&gt;&lt;Year&gt;2018&lt;/Year&gt;&lt;RecNum&gt;37&lt;/RecNum&gt;&lt;DisplayText&gt;(Maiam nayri Wingara, 2018)&lt;/DisplayText&gt;&lt;record&gt;&lt;rec-number&gt;37&lt;/rec-number&gt;&lt;foreign-keys&gt;&lt;key app="EN" db-id="pt9xaav9tw5xrbexpadxaw2rtdaffp9wz5tt" timestamp="1783034410"&gt;37&lt;/key&gt;&lt;/foreign-keys&gt;&lt;ref-type name="Web Page"&gt;12&lt;/ref-type&gt;&lt;contributors&gt;&lt;authors&gt;&lt;author&gt;Maiam nayri Wingara,&lt;/author&gt;&lt;/authors&gt;&lt;/contributors&gt;&lt;titles&gt;&lt;title&gt;Indigenous Data Sovereignty Communique&lt;/title&gt;&lt;/titles&gt;&lt;volume&gt;2026&lt;/volume&gt;&lt;number&gt;2 July&lt;/number&gt;&lt;dates&gt;&lt;year&gt;2018&lt;/year&gt;&lt;/dates&gt;&lt;pub-location&gt;Canberra, ACT&lt;/pub-location&gt;&lt;urls&gt;&lt;related-urls&gt;&lt;url&gt;https://www.maiamnayriwingara.org/mnw-principles&lt;/url&gt;&lt;/related-urls&gt;&lt;/urls&gt;&lt;/record&gt;&lt;/Cite&gt;&lt;/EndNote&gt;</w:instrText>
      </w:r>
      <w:r w:rsidR="00AD6939" w:rsidRPr="001D0F52">
        <w:rPr>
          <w:sz w:val="22"/>
          <w:szCs w:val="22"/>
        </w:rPr>
        <w:fldChar w:fldCharType="separate"/>
      </w:r>
      <w:r w:rsidR="00727AB9">
        <w:rPr>
          <w:noProof/>
          <w:sz w:val="22"/>
          <w:szCs w:val="22"/>
        </w:rPr>
        <w:t>(Maiam nayri Wingara, 2018)</w:t>
      </w:r>
      <w:r w:rsidR="00AD6939" w:rsidRPr="001D0F52">
        <w:rPr>
          <w:sz w:val="22"/>
          <w:szCs w:val="22"/>
        </w:rPr>
        <w:fldChar w:fldCharType="end"/>
      </w:r>
      <w:r w:rsidR="00AD6939" w:rsidRPr="001D0F52">
        <w:rPr>
          <w:sz w:val="22"/>
          <w:szCs w:val="22"/>
        </w:rPr>
        <w:t xml:space="preserve"> </w:t>
      </w:r>
      <w:r w:rsidRPr="001D0F52">
        <w:rPr>
          <w:sz w:val="22"/>
          <w:szCs w:val="22"/>
        </w:rPr>
        <w:t>and the CARE Principles</w:t>
      </w:r>
      <w:r w:rsidR="009963F2" w:rsidRPr="001D0F52">
        <w:rPr>
          <w:sz w:val="22"/>
          <w:szCs w:val="22"/>
        </w:rPr>
        <w:t xml:space="preserve"> </w:t>
      </w:r>
      <w:r w:rsidR="003F2BF1" w:rsidRPr="001D0F52">
        <w:rPr>
          <w:sz w:val="22"/>
          <w:szCs w:val="22"/>
        </w:rPr>
        <w:fldChar w:fldCharType="begin"/>
      </w:r>
      <w:r w:rsidR="00364D1D">
        <w:rPr>
          <w:sz w:val="22"/>
          <w:szCs w:val="22"/>
        </w:rPr>
        <w:instrText xml:space="preserve"> ADDIN EN.CITE &lt;EndNote&gt;&lt;Cite&gt;&lt;Author&gt;Carroll&lt;/Author&gt;&lt;Year&gt;2020&lt;/Year&gt;&lt;RecNum&gt;38&lt;/RecNum&gt;&lt;DisplayText&gt;(Carroll et al., 2020)&lt;/DisplayText&gt;&lt;record&gt;&lt;rec-number&gt;38&lt;/rec-number&gt;&lt;foreign-keys&gt;&lt;key app="EN" db-id="pt9xaav9tw5xrbexpadxaw2rtdaffp9wz5tt" timestamp="1783034410"&gt;38&lt;/key&gt;&lt;/foreign-keys&gt;&lt;ref-type name="Journal Article"&gt;17&lt;/ref-type&gt;&lt;contributors&gt;&lt;authors&gt;&lt;author&gt;Carroll, Stephanie Russo&lt;/author&gt;&lt;author&gt;Garba, Ibrahim&lt;/author&gt;&lt;author&gt;Figueroa-Rodríguez, Oscar L.&lt;/author&gt;&lt;author&gt;Holbrook, Jarita&lt;/author&gt;&lt;author&gt;Lovett, Raymond&lt;/author&gt;&lt;author&gt;Materechera, Simeon&lt;/author&gt;&lt;author&gt;Parsons, Mark&lt;/author&gt;&lt;author&gt;Raseroka, Kay&lt;/author&gt;&lt;author&gt;Rodriguez-Lonebear, Desi&lt;/author&gt;&lt;author&gt;Rowe, Robyn&lt;/author&gt;&lt;author&gt;Sara, Rodrigo&lt;/author&gt;&lt;author&gt;Walker, Jennifer D.&lt;/author&gt;&lt;author&gt;Anderson, Jane&lt;/author&gt;&lt;author&gt;Hudson, Maui&lt;/author&gt;&lt;/authors&gt;&lt;/contributors&gt;&lt;titles&gt;&lt;title&gt;The CARE Principles for Indigenous Data Governance&lt;/title&gt;&lt;secondary-title&gt;Data Science Journal&lt;/secondary-title&gt;&lt;/titles&gt;&lt;periodical&gt;&lt;full-title&gt;Data Science Journal&lt;/full-title&gt;&lt;/periodical&gt;&lt;pages&gt;43&lt;/pages&gt;&lt;volume&gt;19(1)&lt;/volume&gt;&lt;keywords&gt;&lt;keyword&gt;en&lt;/keyword&gt;&lt;/keywords&gt;&lt;dates&gt;&lt;year&gt;2020&lt;/year&gt;&lt;/dates&gt;&lt;urls&gt;&lt;/urls&gt;&lt;electronic-resource-num&gt;10.5334/dsj-2020-043&lt;/electronic-resource-num&gt;&lt;/record&gt;&lt;/Cite&gt;&lt;/EndNote&gt;</w:instrText>
      </w:r>
      <w:r w:rsidR="003F2BF1" w:rsidRPr="001D0F52">
        <w:rPr>
          <w:sz w:val="22"/>
          <w:szCs w:val="22"/>
        </w:rPr>
        <w:fldChar w:fldCharType="separate"/>
      </w:r>
      <w:r w:rsidR="00727AB9">
        <w:rPr>
          <w:noProof/>
          <w:sz w:val="22"/>
          <w:szCs w:val="22"/>
        </w:rPr>
        <w:t>(Carroll et al., 2020)</w:t>
      </w:r>
      <w:r w:rsidR="003F2BF1" w:rsidRPr="001D0F52">
        <w:rPr>
          <w:sz w:val="22"/>
          <w:szCs w:val="22"/>
        </w:rPr>
        <w:fldChar w:fldCharType="end"/>
      </w:r>
      <w:r w:rsidRPr="001D0F52">
        <w:rPr>
          <w:sz w:val="22"/>
          <w:szCs w:val="22"/>
        </w:rPr>
        <w:t>.</w:t>
      </w:r>
      <w:r w:rsidR="007F72B9" w:rsidRPr="001D0F52">
        <w:rPr>
          <w:sz w:val="22"/>
          <w:szCs w:val="22"/>
        </w:rPr>
        <w:t xml:space="preserve"> </w:t>
      </w:r>
      <w:r w:rsidRPr="001D0F52">
        <w:rPr>
          <w:sz w:val="22"/>
          <w:szCs w:val="22"/>
        </w:rPr>
        <w:t>This can be implemented through a tiered approach. Public information from water</w:t>
      </w:r>
      <w:r w:rsidR="00170B89" w:rsidRPr="001D0F52">
        <w:rPr>
          <w:sz w:val="22"/>
          <w:szCs w:val="22"/>
        </w:rPr>
        <w:t xml:space="preserve"> service providers</w:t>
      </w:r>
      <w:r w:rsidRPr="001D0F52">
        <w:rPr>
          <w:sz w:val="22"/>
          <w:szCs w:val="22"/>
        </w:rPr>
        <w:t xml:space="preserve">, </w:t>
      </w:r>
      <w:proofErr w:type="gramStart"/>
      <w:r w:rsidRPr="001D0F52">
        <w:rPr>
          <w:sz w:val="22"/>
          <w:szCs w:val="22"/>
        </w:rPr>
        <w:t xml:space="preserve">along </w:t>
      </w:r>
      <w:r w:rsidR="00F13AA5">
        <w:rPr>
          <w:sz w:val="22"/>
          <w:szCs w:val="22"/>
        </w:rPr>
        <w:t xml:space="preserve"> w</w:t>
      </w:r>
      <w:r w:rsidRPr="001D0F52">
        <w:rPr>
          <w:sz w:val="22"/>
          <w:szCs w:val="22"/>
        </w:rPr>
        <w:t>ith</w:t>
      </w:r>
      <w:proofErr w:type="gramEnd"/>
      <w:r w:rsidRPr="001D0F52">
        <w:rPr>
          <w:sz w:val="22"/>
          <w:szCs w:val="22"/>
        </w:rPr>
        <w:t xml:space="preserve"> nationally aggregated data, </w:t>
      </w:r>
      <w:r w:rsidR="00511CF5" w:rsidRPr="001D0F52">
        <w:rPr>
          <w:sz w:val="22"/>
          <w:szCs w:val="22"/>
        </w:rPr>
        <w:t xml:space="preserve">can </w:t>
      </w:r>
      <w:r w:rsidRPr="001D0F52">
        <w:rPr>
          <w:sz w:val="22"/>
          <w:szCs w:val="22"/>
        </w:rPr>
        <w:t>be publicly available</w:t>
      </w:r>
      <w:r w:rsidR="00511CF5" w:rsidRPr="001D0F52">
        <w:rPr>
          <w:sz w:val="22"/>
          <w:szCs w:val="22"/>
        </w:rPr>
        <w:t xml:space="preserve">. </w:t>
      </w:r>
      <w:r w:rsidRPr="001D0F52">
        <w:rPr>
          <w:sz w:val="22"/>
          <w:szCs w:val="22"/>
        </w:rPr>
        <w:t xml:space="preserve">For data derived from community-led monitoring and self-managed systems, First </w:t>
      </w:r>
      <w:r w:rsidR="00511CF5" w:rsidRPr="001D0F52">
        <w:rPr>
          <w:sz w:val="22"/>
          <w:szCs w:val="22"/>
        </w:rPr>
        <w:t>Peoples</w:t>
      </w:r>
      <w:r w:rsidRPr="001D0F52">
        <w:rPr>
          <w:sz w:val="22"/>
          <w:szCs w:val="22"/>
        </w:rPr>
        <w:t xml:space="preserve"> communities must retain authority over the collection, access, and use of data relating to their own water systems, including the right to determine what is shared beyond the community level and at what level of detail. Community-controlled organisations should be engaged as formal partners in the </w:t>
      </w:r>
      <w:r w:rsidR="00D53059">
        <w:rPr>
          <w:sz w:val="22"/>
          <w:szCs w:val="22"/>
        </w:rPr>
        <w:t xml:space="preserve">design and </w:t>
      </w:r>
      <w:r w:rsidRPr="001D0F52">
        <w:rPr>
          <w:sz w:val="22"/>
          <w:szCs w:val="22"/>
        </w:rPr>
        <w:t>governance of the reporting system from the outset.</w:t>
      </w:r>
    </w:p>
    <w:p w14:paraId="7649D54D" w14:textId="77777777" w:rsidR="005C21C9" w:rsidRPr="001D0F52" w:rsidRDefault="005C21C9" w:rsidP="001D0F52">
      <w:pPr>
        <w:pStyle w:val="ListBullet"/>
        <w:numPr>
          <w:ilvl w:val="0"/>
          <w:numId w:val="2"/>
        </w:numPr>
        <w:tabs>
          <w:tab w:val="left" w:pos="284"/>
        </w:tabs>
        <w:spacing w:line="240" w:lineRule="auto"/>
        <w:ind w:left="284" w:hanging="284"/>
        <w:contextualSpacing w:val="0"/>
        <w:rPr>
          <w:b/>
          <w:bCs/>
          <w:sz w:val="22"/>
          <w:szCs w:val="22"/>
        </w:rPr>
      </w:pPr>
      <w:r w:rsidRPr="001D0F52">
        <w:rPr>
          <w:b/>
          <w:bCs/>
          <w:sz w:val="22"/>
          <w:szCs w:val="22"/>
        </w:rPr>
        <w:t>Information request 6: Standardised tools for consumer-led planning, monitoring and evaluation</w:t>
      </w:r>
    </w:p>
    <w:p w14:paraId="2E03ED83" w14:textId="49F03A0E" w:rsidR="005C1AD7" w:rsidRPr="001D0F52" w:rsidRDefault="005C1AD7" w:rsidP="001D0F52">
      <w:pPr>
        <w:pStyle w:val="ListBullet"/>
        <w:numPr>
          <w:ilvl w:val="1"/>
          <w:numId w:val="2"/>
        </w:numPr>
        <w:tabs>
          <w:tab w:val="left" w:pos="284"/>
          <w:tab w:val="left" w:pos="426"/>
        </w:tabs>
        <w:spacing w:line="240" w:lineRule="auto"/>
        <w:ind w:left="0" w:firstLine="0"/>
        <w:contextualSpacing w:val="0"/>
        <w:rPr>
          <w:i/>
          <w:iCs/>
          <w:sz w:val="22"/>
          <w:szCs w:val="22"/>
        </w:rPr>
      </w:pPr>
      <w:r w:rsidRPr="001D0F52">
        <w:rPr>
          <w:i/>
          <w:iCs/>
          <w:sz w:val="22"/>
          <w:szCs w:val="22"/>
        </w:rPr>
        <w:t>What lessons are there from other consumer- or community-focused tools and processes in related areas (for example, water management, health) that could inform the development of equivalent tools for water service provision in regional and/or remote areas?</w:t>
      </w:r>
      <w:r w:rsidR="001D0F52" w:rsidRPr="001D0F52">
        <w:rPr>
          <w:i/>
          <w:iCs/>
          <w:sz w:val="22"/>
          <w:szCs w:val="22"/>
        </w:rPr>
        <w:t xml:space="preserve"> </w:t>
      </w:r>
      <w:r w:rsidR="00C0303B" w:rsidRPr="001D0F52">
        <w:rPr>
          <w:i/>
          <w:iCs/>
          <w:sz w:val="22"/>
          <w:szCs w:val="22"/>
        </w:rPr>
        <w:t>Are there any potential risks or unintended outcomes of using standardised tools and processes, and how could they be avoided?</w:t>
      </w:r>
    </w:p>
    <w:p w14:paraId="6570A68F" w14:textId="7F215F86" w:rsidR="005C21C9" w:rsidRPr="001D0F52" w:rsidRDefault="005C1AD7" w:rsidP="001D0F52">
      <w:pPr>
        <w:pStyle w:val="ListBullet"/>
        <w:numPr>
          <w:ilvl w:val="0"/>
          <w:numId w:val="0"/>
        </w:numPr>
        <w:spacing w:line="240" w:lineRule="auto"/>
        <w:contextualSpacing w:val="0"/>
        <w:rPr>
          <w:sz w:val="22"/>
          <w:szCs w:val="22"/>
        </w:rPr>
      </w:pPr>
      <w:r w:rsidRPr="001D0F52">
        <w:rPr>
          <w:sz w:val="22"/>
          <w:szCs w:val="22"/>
        </w:rPr>
        <w:t>E</w:t>
      </w:r>
      <w:r w:rsidR="005C21C9" w:rsidRPr="001D0F52">
        <w:rPr>
          <w:sz w:val="22"/>
          <w:szCs w:val="22"/>
        </w:rPr>
        <w:t xml:space="preserve">xperiential tools such as </w:t>
      </w:r>
      <w:r w:rsidR="001D77DD" w:rsidRPr="001D0F52">
        <w:rPr>
          <w:sz w:val="22"/>
          <w:szCs w:val="22"/>
        </w:rPr>
        <w:t>HWISE/IWISE</w:t>
      </w:r>
      <w:r w:rsidR="005C21C9" w:rsidRPr="001D0F52">
        <w:rPr>
          <w:sz w:val="22"/>
          <w:szCs w:val="22"/>
        </w:rPr>
        <w:t xml:space="preserve"> offer a robust, standardised, yet flexible approach to consumer-led planning, monitoring, and evaluation</w:t>
      </w:r>
      <w:r w:rsidR="003F2BF1" w:rsidRPr="001D0F52">
        <w:rPr>
          <w:sz w:val="22"/>
          <w:szCs w:val="22"/>
        </w:rPr>
        <w:t xml:space="preserve"> </w:t>
      </w:r>
      <w:r w:rsidR="003D5244" w:rsidRPr="001D0F52">
        <w:rPr>
          <w:sz w:val="22"/>
          <w:szCs w:val="22"/>
        </w:rPr>
        <w:fldChar w:fldCharType="begin"/>
      </w:r>
      <w:r w:rsidR="00727AB9">
        <w:rPr>
          <w:sz w:val="22"/>
          <w:szCs w:val="22"/>
        </w:rPr>
        <w:instrText xml:space="preserve"> ADDIN EN.CITE &lt;EndNote&gt;&lt;Cite&gt;&lt;Author&gt;Young&lt;/Author&gt;&lt;Year&gt;2024&lt;/Year&gt;&lt;RecNum&gt;39&lt;/RecNum&gt;&lt;DisplayText&gt;(Young et al., 2024a)&lt;/DisplayText&gt;&lt;record&gt;&lt;rec-number&gt;39&lt;/rec-number&gt;&lt;foreign-keys&gt;&lt;key app="EN" db-id="pt9xaav9tw5xrbexpadxaw2rtdaffp9wz5tt" timestamp="1783034410"&gt;39&lt;/key&gt;&lt;/foreign-keys&gt;&lt;ref-type name="Book"&gt;6&lt;/ref-type&gt;&lt;contributors&gt;&lt;authors&gt;&lt;author&gt;Young, S. L. &lt;/author&gt;&lt;author&gt;Bose, I.&lt;/author&gt;&lt;author&gt;Miller, J. D. &lt;/author&gt;&lt;author&gt;Pascavis, K. &lt;/author&gt;&lt;author&gt;Alzarez, K.&lt;/author&gt;&lt;author&gt;Barstow, C.&lt;/author&gt;&lt;author&gt;Boller, M.&lt;/author&gt;&lt;author&gt;Brogan, J.&lt;/author&gt;&lt;author&gt;Collins, S. &lt;/author&gt;&lt;author&gt;Connors, K. &lt;/author&gt;&lt;author&gt;Durham, T. &lt;/author&gt;&lt;author&gt;Frongillo, E. A. &lt;/author&gt;&lt;author&gt;Gaitán-Rossi, P. &lt;/author&gt;&lt;author&gt;García, O. P.&lt;/author&gt;&lt;author&gt;Marks, S.&lt;/author&gt;&lt;author&gt;Melgar-Quiñonez, H. &lt;/author&gt;&lt;author&gt;Miller, S.&lt;/author&gt;&lt;author&gt;Mundo-Rosas, V.&lt;/author&gt;&lt;author&gt;Muñoz-Espinosa, A.&lt;/author&gt;&lt;author&gt;Ndege, G.&lt;/author&gt;&lt;author&gt;Otieno, I&lt;/author&gt;&lt;author&gt;PérezEscamilla, R.&lt;/author&gt;&lt;author&gt;Rodas, S.&lt;/author&gt;&lt;author&gt;Salles-Costa, R.&lt;/author&gt;&lt;author&gt;Sarker, M. R.&lt;/author&gt;&lt;author&gt;Shamah-Levy, T.&lt;/author&gt;&lt;author&gt;Thuo, S.&lt;/author&gt;&lt;author&gt;Webster, J.&lt;/author&gt;&lt;author&gt;Yeye, V&lt;/author&gt;&lt;/authors&gt;&lt;/contributors&gt;&lt;titles&gt;&lt;title&gt;The Water Insecurity Experiences (WISE) Scales: A Manual for Implementation and Analysis of People’s Experiences with Water&lt;/title&gt;&lt;/titles&gt;&lt;dates&gt;&lt;year&gt;2024&lt;/year&gt;&lt;/dates&gt;&lt;pub-location&gt;Evanston, Illinois&lt;/pub-location&gt;&lt;publisher&gt;Institute for Policy Research, Northwestern University&lt;/publisher&gt;&lt;urls&gt;&lt;related-urls&gt;&lt;url&gt;https://doi.org/10.21985/n2-20sc-f113&lt;/url&gt;&lt;/related-urls&gt;&lt;/urls&gt;&lt;/record&gt;&lt;/Cite&gt;&lt;/EndNote&gt;</w:instrText>
      </w:r>
      <w:r w:rsidR="003D5244" w:rsidRPr="001D0F52">
        <w:rPr>
          <w:sz w:val="22"/>
          <w:szCs w:val="22"/>
        </w:rPr>
        <w:fldChar w:fldCharType="separate"/>
      </w:r>
      <w:r w:rsidR="00727AB9">
        <w:rPr>
          <w:noProof/>
          <w:sz w:val="22"/>
          <w:szCs w:val="22"/>
        </w:rPr>
        <w:t>(Young et al., 2024a)</w:t>
      </w:r>
      <w:r w:rsidR="003D5244" w:rsidRPr="001D0F52">
        <w:rPr>
          <w:sz w:val="22"/>
          <w:szCs w:val="22"/>
        </w:rPr>
        <w:fldChar w:fldCharType="end"/>
      </w:r>
      <w:r w:rsidR="005C21C9" w:rsidRPr="001D0F52">
        <w:rPr>
          <w:sz w:val="22"/>
          <w:szCs w:val="22"/>
        </w:rPr>
        <w:t>. They capture and amplify community voices and lived experiences of water insecurity, complementing existing metrics that primarily focus on observable service and environmental indicators (e.g. freshwater availability and safely managed drinking water services). In doing so, they help ensure that community perspectives are reflected in policy and decision-making.</w:t>
      </w:r>
    </w:p>
    <w:p w14:paraId="2DB298DD" w14:textId="1C0AA239" w:rsidR="005C21C9" w:rsidRPr="001D0F52" w:rsidRDefault="005C21C9" w:rsidP="001D0F52">
      <w:pPr>
        <w:pStyle w:val="ListBullet"/>
        <w:numPr>
          <w:ilvl w:val="0"/>
          <w:numId w:val="0"/>
        </w:numPr>
        <w:spacing w:line="240" w:lineRule="auto"/>
        <w:contextualSpacing w:val="0"/>
        <w:rPr>
          <w:sz w:val="22"/>
          <w:szCs w:val="22"/>
        </w:rPr>
      </w:pPr>
      <w:r w:rsidRPr="001D0F52">
        <w:rPr>
          <w:sz w:val="22"/>
          <w:szCs w:val="22"/>
        </w:rPr>
        <w:t xml:space="preserve">The WISE Scales are </w:t>
      </w:r>
      <w:r w:rsidR="005A1B7C">
        <w:rPr>
          <w:sz w:val="22"/>
          <w:szCs w:val="22"/>
        </w:rPr>
        <w:t xml:space="preserve">short, </w:t>
      </w:r>
      <w:r w:rsidRPr="001D0F52">
        <w:rPr>
          <w:sz w:val="22"/>
          <w:szCs w:val="22"/>
        </w:rPr>
        <w:t>simple, adaptable, and globally validated across diverse cultural contexts. They enable consistent monitoring of water insecurity over time and facilitate comparisons across regions and countries. The scales have been adopted by more than 100 organisations in over 55 countries to informing advocacy, program targeting, and governance, while providing actionable insights in humanitarian settings and strengthening monitoring and evaluation of interventions</w:t>
      </w:r>
      <w:r w:rsidR="00292F89" w:rsidRPr="001D0F52">
        <w:rPr>
          <w:sz w:val="22"/>
          <w:szCs w:val="22"/>
        </w:rPr>
        <w:t xml:space="preserve">  </w:t>
      </w:r>
      <w:r w:rsidR="00292F89" w:rsidRPr="001D0F52">
        <w:rPr>
          <w:sz w:val="22"/>
          <w:szCs w:val="22"/>
        </w:rPr>
        <w:fldChar w:fldCharType="begin"/>
      </w:r>
      <w:r w:rsidR="00727AB9">
        <w:rPr>
          <w:sz w:val="22"/>
          <w:szCs w:val="22"/>
        </w:rPr>
        <w:instrText xml:space="preserve"> ADDIN EN.CITE &lt;EndNote&gt;&lt;Cite&gt;&lt;Author&gt;Young&lt;/Author&gt;&lt;Year&gt;2024&lt;/Year&gt;&lt;RecNum&gt;40&lt;/RecNum&gt;&lt;DisplayText&gt;(Young et al., 2024b)&lt;/DisplayText&gt;&lt;record&gt;&lt;rec-number&gt;40&lt;/rec-number&gt;&lt;foreign-keys&gt;&lt;key app="EN" db-id="pt9xaav9tw5xrbexpadxaw2rtdaffp9wz5tt" timestamp="1783034410"&gt;40&lt;/key&gt;&lt;/foreign-keys&gt;&lt;ref-type name="Book"&gt;6&lt;/ref-type&gt;&lt;contributors&gt;&lt;authors&gt;&lt;author&gt;Young, S. L.&lt;/author&gt;&lt;author&gt;Miller, J. D.&lt;/author&gt;&lt;author&gt;Bose, I. &lt;/author&gt;&lt;/authors&gt;&lt;/contributors&gt;&lt;titles&gt;&lt;title&gt;Measuring human experiences to advance safe water for all&lt;/title&gt;&lt;/titles&gt;&lt;dates&gt;&lt;year&gt;2024&lt;/year&gt;&lt;/dates&gt;&lt;pub-location&gt;Evanston, Illinois&lt;/pub-location&gt;&lt;publisher&gt;Institute for Policy Research, Northwestern University&lt;/publisher&gt;&lt;urls&gt;&lt;/urls&gt;&lt;electronic-resource-num&gt;https://doi.org/10.21985/n2-xvrr-7693&lt;/electronic-resource-num&gt;&lt;/record&gt;&lt;/Cite&gt;&lt;/EndNote&gt;</w:instrText>
      </w:r>
      <w:r w:rsidR="00292F89" w:rsidRPr="001D0F52">
        <w:rPr>
          <w:sz w:val="22"/>
          <w:szCs w:val="22"/>
        </w:rPr>
        <w:fldChar w:fldCharType="separate"/>
      </w:r>
      <w:r w:rsidR="00727AB9">
        <w:rPr>
          <w:noProof/>
          <w:sz w:val="22"/>
          <w:szCs w:val="22"/>
        </w:rPr>
        <w:t>(Young et al., 2024b)</w:t>
      </w:r>
      <w:r w:rsidR="00292F89" w:rsidRPr="001D0F52">
        <w:rPr>
          <w:sz w:val="22"/>
          <w:szCs w:val="22"/>
        </w:rPr>
        <w:fldChar w:fldCharType="end"/>
      </w:r>
      <w:r w:rsidRPr="001D0F52">
        <w:rPr>
          <w:sz w:val="22"/>
          <w:szCs w:val="22"/>
        </w:rPr>
        <w:t xml:space="preserve">. </w:t>
      </w:r>
      <w:r w:rsidR="00A13E7B" w:rsidRPr="001D0F52">
        <w:rPr>
          <w:sz w:val="22"/>
          <w:szCs w:val="22"/>
        </w:rPr>
        <w:t xml:space="preserve">The HWISE Scale is consistent with the underlying principles of Sustainable Development Goal 6 (SDG6) and can be a complementary tool for SDG6 monitoring </w:t>
      </w:r>
      <w:r w:rsidR="002013F9" w:rsidRPr="001D0F52">
        <w:rPr>
          <w:sz w:val="22"/>
          <w:szCs w:val="22"/>
        </w:rPr>
        <w:fldChar w:fldCharType="begin">
          <w:fldData xml:space="preserve">PEVuZE5vdGU+PENpdGU+PEF1dGhvcj5Zb3VuZzwvQXV0aG9yPjxZZWFyPjIwMTk8L1llYXI+PFJl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</w:fldData>
        </w:fldChar>
      </w:r>
      <w:r w:rsidR="00CD4C4E">
        <w:rPr>
          <w:sz w:val="22"/>
          <w:szCs w:val="22"/>
        </w:rPr>
        <w:instrText xml:space="preserve"> ADDIN EN.CITE </w:instrText>
      </w:r>
      <w:r w:rsidR="00CD4C4E">
        <w:rPr>
          <w:sz w:val="22"/>
          <w:szCs w:val="22"/>
        </w:rPr>
        <w:fldChar w:fldCharType="begin">
          <w:fldData xml:space="preserve">PEVuZE5vdGU+PENpdGU+PEF1dGhvcj5Zb3VuZzwvQXV0aG9yPjxZZWFyPjIwMTk8L1llYXI+PFJl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</w:fldData>
        </w:fldChar>
      </w:r>
      <w:r w:rsidR="00CD4C4E">
        <w:rPr>
          <w:sz w:val="22"/>
          <w:szCs w:val="22"/>
        </w:rPr>
        <w:instrText xml:space="preserve"> ADDIN EN.CITE.DATA </w:instrText>
      </w:r>
      <w:r w:rsidR="00CD4C4E">
        <w:rPr>
          <w:sz w:val="22"/>
          <w:szCs w:val="22"/>
        </w:rPr>
      </w:r>
      <w:r w:rsidR="00CD4C4E">
        <w:rPr>
          <w:sz w:val="22"/>
          <w:szCs w:val="22"/>
        </w:rPr>
        <w:fldChar w:fldCharType="end"/>
      </w:r>
      <w:r w:rsidR="002013F9" w:rsidRPr="001D0F52">
        <w:rPr>
          <w:sz w:val="22"/>
          <w:szCs w:val="22"/>
        </w:rPr>
      </w:r>
      <w:r w:rsidR="002013F9" w:rsidRPr="001D0F52">
        <w:rPr>
          <w:sz w:val="22"/>
          <w:szCs w:val="22"/>
        </w:rPr>
        <w:fldChar w:fldCharType="separate"/>
      </w:r>
      <w:r w:rsidR="00727AB9">
        <w:rPr>
          <w:noProof/>
          <w:sz w:val="22"/>
          <w:szCs w:val="22"/>
        </w:rPr>
        <w:t>(Young et al., 2019)</w:t>
      </w:r>
      <w:r w:rsidR="002013F9" w:rsidRPr="001D0F52">
        <w:rPr>
          <w:sz w:val="22"/>
          <w:szCs w:val="22"/>
        </w:rPr>
        <w:fldChar w:fldCharType="end"/>
      </w:r>
      <w:r w:rsidRPr="001D0F52">
        <w:rPr>
          <w:sz w:val="22"/>
          <w:szCs w:val="22"/>
        </w:rPr>
        <w:t xml:space="preserve">. In Australia, the scales have been implemented in Walgett, New South Wales, where the findings </w:t>
      </w:r>
      <w:r w:rsidR="003F110D" w:rsidRPr="001D0F52">
        <w:rPr>
          <w:sz w:val="22"/>
          <w:szCs w:val="22"/>
        </w:rPr>
        <w:t>supported community-led actions to improve access</w:t>
      </w:r>
      <w:r w:rsidR="009D0342" w:rsidRPr="001D0F52">
        <w:rPr>
          <w:sz w:val="22"/>
          <w:szCs w:val="22"/>
        </w:rPr>
        <w:t xml:space="preserve"> to clean and safe drinking water</w:t>
      </w:r>
      <w:r w:rsidR="003F110D" w:rsidRPr="001D0F52">
        <w:rPr>
          <w:sz w:val="22"/>
          <w:szCs w:val="22"/>
        </w:rPr>
        <w:t xml:space="preserve"> </w:t>
      </w:r>
      <w:r w:rsidR="003F110D" w:rsidRPr="001D0F52">
        <w:rPr>
          <w:sz w:val="22"/>
          <w:szCs w:val="22"/>
        </w:rPr>
        <w:fldChar w:fldCharType="begin"/>
      </w:r>
      <w:r w:rsidR="00727AB9">
        <w:rPr>
          <w:sz w:val="22"/>
          <w:szCs w:val="22"/>
        </w:rPr>
        <w:instrText xml:space="preserve"> ADDIN EN.CITE &lt;EndNote&gt;&lt;Cite&gt;&lt;Author&gt;Tonkin&lt;/Author&gt;&lt;Year&gt;2023&lt;/Year&gt;&lt;RecNum&gt;41&lt;/RecNum&gt;&lt;DisplayText&gt;(Tonkin et al., 2023)&lt;/DisplayText&gt;&lt;record&gt;&lt;rec-number&gt;41&lt;/rec-number&gt;&lt;foreign-keys&gt;&lt;key app="EN" db-id="pt9xaav9tw5xrbexpadxaw2rtdaffp9wz5tt" timestamp="1783034410"&gt;41&lt;/key&gt;&lt;/foreign-keys&gt;&lt;ref-type name="Book"&gt;6&lt;/ref-type&gt;&lt;contributors&gt;&lt;authors&gt;&lt;author&gt;Tonkin, T.&lt;/author&gt;&lt;author&gt;Deane, A. &lt;/author&gt;&lt;author&gt;Trindall, A. &lt;/author&gt;&lt;author&gt;Weatherall, L. &lt;/author&gt;&lt;author&gt;Madden, T. &lt;/author&gt;&lt;author&gt;Moore, B.&lt;/author&gt;&lt;author&gt;Earle, N. &lt;/author&gt;&lt;author&gt;Nathan, M. &lt;/author&gt;&lt;author&gt;Young, S.&lt;/author&gt;&lt;author&gt;McCausland, R.&lt;/author&gt;&lt;author&gt;Leslie, G.&lt;/author&gt;&lt;author&gt;Bennett-Brook, K.&lt;/author&gt;&lt;author&gt;Spencer, W.&lt;/author&gt;&lt;author&gt;Corby, OAM C.&lt;/author&gt;&lt;author&gt;Webster, J. &lt;/author&gt;&lt;author&gt;Rosewarne, E.&lt;/author&gt;&lt;/authors&gt;&lt;/contributors&gt;&lt;titles&gt;&lt;title&gt;Food and Water for Life, Key findings from the Food and Water Security Surveys in Walgett, Yuwaya Ngarra-li Community Briefing Report&lt;/title&gt;&lt;/titles&gt;&lt;dates&gt;&lt;year&gt;2023&lt;/year&gt;&lt;/dates&gt;&lt;publisher&gt;Yuwaya Ngarra-li&lt;/publisher&gt;&lt;urls&gt;&lt;/urls&gt;&lt;/record&gt;&lt;/Cite&gt;&lt;/EndNote&gt;</w:instrText>
      </w:r>
      <w:r w:rsidR="003F110D" w:rsidRPr="001D0F52">
        <w:rPr>
          <w:sz w:val="22"/>
          <w:szCs w:val="22"/>
        </w:rPr>
        <w:fldChar w:fldCharType="separate"/>
      </w:r>
      <w:r w:rsidR="00727AB9">
        <w:rPr>
          <w:noProof/>
          <w:sz w:val="22"/>
          <w:szCs w:val="22"/>
        </w:rPr>
        <w:t>(Tonkin et al., 2023)</w:t>
      </w:r>
      <w:r w:rsidR="003F110D" w:rsidRPr="001D0F52">
        <w:rPr>
          <w:sz w:val="22"/>
          <w:szCs w:val="22"/>
        </w:rPr>
        <w:fldChar w:fldCharType="end"/>
      </w:r>
      <w:r w:rsidRPr="001D0F52">
        <w:rPr>
          <w:sz w:val="22"/>
          <w:szCs w:val="22"/>
        </w:rPr>
        <w:t>.</w:t>
      </w:r>
    </w:p>
    <w:p w14:paraId="095BA4A4" w14:textId="1BEECA26" w:rsidR="00DD0881" w:rsidRPr="001D0F52" w:rsidRDefault="00DD0881" w:rsidP="001D0F52">
      <w:pPr>
        <w:pStyle w:val="ListBullet"/>
        <w:numPr>
          <w:ilvl w:val="1"/>
          <w:numId w:val="2"/>
        </w:numPr>
        <w:tabs>
          <w:tab w:val="left" w:pos="284"/>
          <w:tab w:val="left" w:pos="426"/>
        </w:tabs>
        <w:spacing w:line="240" w:lineRule="auto"/>
        <w:ind w:left="0" w:firstLine="0"/>
        <w:contextualSpacing w:val="0"/>
        <w:rPr>
          <w:i/>
          <w:iCs/>
          <w:sz w:val="22"/>
          <w:szCs w:val="22"/>
        </w:rPr>
      </w:pPr>
      <w:r w:rsidRPr="001D0F52">
        <w:rPr>
          <w:i/>
          <w:iCs/>
          <w:sz w:val="22"/>
          <w:szCs w:val="22"/>
        </w:rPr>
        <w:t xml:space="preserve">How could adoption of standardised tools and processes support improved consumer-led planning and overall water service outcomes? How could such tools be applied to ensure </w:t>
      </w:r>
      <w:r w:rsidRPr="001D0F52">
        <w:rPr>
          <w:i/>
          <w:iCs/>
          <w:sz w:val="22"/>
          <w:szCs w:val="22"/>
        </w:rPr>
        <w:lastRenderedPageBreak/>
        <w:t>accountability of service providers and government agencies for service outcomes?</w:t>
      </w:r>
      <w:r w:rsidR="001D0F52" w:rsidRPr="001D0F52">
        <w:rPr>
          <w:i/>
          <w:iCs/>
          <w:sz w:val="22"/>
          <w:szCs w:val="22"/>
        </w:rPr>
        <w:t xml:space="preserve"> </w:t>
      </w:r>
      <w:r w:rsidR="00465F81" w:rsidRPr="001D0F52">
        <w:rPr>
          <w:i/>
          <w:iCs/>
          <w:sz w:val="22"/>
          <w:szCs w:val="22"/>
        </w:rPr>
        <w:t>How could the outputs from locally implemented community tools for planning, monitoring and evaluation inform government processes at a jurisdiction or national level?</w:t>
      </w:r>
      <w:r w:rsidR="001D0F52" w:rsidRPr="001D0F52">
        <w:rPr>
          <w:i/>
          <w:iCs/>
          <w:sz w:val="22"/>
          <w:szCs w:val="22"/>
        </w:rPr>
        <w:t xml:space="preserve"> </w:t>
      </w:r>
      <w:r w:rsidR="001C1964" w:rsidRPr="001D0F52">
        <w:rPr>
          <w:i/>
          <w:iCs/>
          <w:sz w:val="22"/>
          <w:szCs w:val="22"/>
        </w:rPr>
        <w:t>How could they be adapted to local needs and contexts including, but not limited to, culturally appropriate methods for Aboriginal and Torres Strait Islander communities?</w:t>
      </w:r>
      <w:r w:rsidR="00465F81" w:rsidRPr="001D0F52">
        <w:rPr>
          <w:i/>
          <w:iCs/>
          <w:sz w:val="22"/>
          <w:szCs w:val="22"/>
        </w:rPr>
        <w:t>)</w:t>
      </w:r>
    </w:p>
    <w:p w14:paraId="6C9F3FFD" w14:textId="77777777" w:rsidR="005C21C9" w:rsidRPr="001D0F52" w:rsidRDefault="005C21C9" w:rsidP="001D0F52">
      <w:pPr>
        <w:pStyle w:val="ListBullet"/>
        <w:numPr>
          <w:ilvl w:val="0"/>
          <w:numId w:val="0"/>
        </w:numPr>
        <w:spacing w:line="240" w:lineRule="auto"/>
        <w:contextualSpacing w:val="0"/>
        <w:rPr>
          <w:sz w:val="22"/>
          <w:szCs w:val="22"/>
        </w:rPr>
      </w:pPr>
      <w:r w:rsidRPr="001D0F52">
        <w:rPr>
          <w:sz w:val="22"/>
          <w:szCs w:val="22"/>
        </w:rPr>
        <w:t xml:space="preserve">Experiential tools can be applied to strengthen accountability of service providers and government agencies for service outcomes by embedding them as conditions of funding, as well as using them to monitor project outcomes, for example under frameworks such as the National Water Grid Investment Framework (also in response to </w:t>
      </w:r>
      <w:r w:rsidRPr="001D0F52">
        <w:rPr>
          <w:i/>
          <w:iCs/>
          <w:sz w:val="22"/>
          <w:szCs w:val="22"/>
        </w:rPr>
        <w:t>Information Request 8: Role of Australian Government Investment and Funding Programs, Point 1 on improvements to governance arrangements to facilitate better funding provision</w:t>
      </w:r>
      <w:r w:rsidRPr="001D0F52">
        <w:rPr>
          <w:sz w:val="22"/>
          <w:szCs w:val="22"/>
        </w:rPr>
        <w:t xml:space="preserve">). </w:t>
      </w:r>
    </w:p>
    <w:p w14:paraId="3466D0DC" w14:textId="2B8620E2" w:rsidR="005C21C9" w:rsidRPr="001D0F52" w:rsidRDefault="0071611F" w:rsidP="001D0F52">
      <w:pPr>
        <w:pStyle w:val="ListBullet"/>
        <w:numPr>
          <w:ilvl w:val="0"/>
          <w:numId w:val="0"/>
        </w:numPr>
        <w:spacing w:line="240" w:lineRule="auto"/>
        <w:contextualSpacing w:val="0"/>
        <w:rPr>
          <w:sz w:val="22"/>
          <w:szCs w:val="22"/>
        </w:rPr>
      </w:pPr>
      <w:r w:rsidRPr="001D0F52">
        <w:rPr>
          <w:sz w:val="22"/>
          <w:szCs w:val="22"/>
        </w:rPr>
        <w:t xml:space="preserve">This is also an approach to facilitate consumer-led planning. </w:t>
      </w:r>
      <w:r w:rsidR="00813FB1" w:rsidRPr="001D0F52">
        <w:rPr>
          <w:sz w:val="22"/>
          <w:szCs w:val="22"/>
        </w:rPr>
        <w:t>In a specific project setting, c</w:t>
      </w:r>
      <w:r w:rsidRPr="001D0F52">
        <w:rPr>
          <w:sz w:val="22"/>
          <w:szCs w:val="22"/>
        </w:rPr>
        <w:t>onsumers and communities should be actively engaged in the co-design of the tools, their implementation, the interpretation of outcomes, and the design of solutions. This also provides a valuable mechanism for independent monitoring and public reporting of outcomes, ensuring that both technical compliance and consumer experiences are reflected in performance assessment.</w:t>
      </w:r>
      <w:r w:rsidR="005C21C9" w:rsidRPr="001D0F52">
        <w:rPr>
          <w:sz w:val="22"/>
          <w:szCs w:val="22"/>
        </w:rPr>
        <w:t xml:space="preserve"> </w:t>
      </w:r>
    </w:p>
    <w:p w14:paraId="66F32369" w14:textId="4DB0CC07" w:rsidR="00C554C2" w:rsidRPr="001D0F52" w:rsidRDefault="00014EF6" w:rsidP="001D0F52">
      <w:pPr>
        <w:pStyle w:val="ListBullet"/>
        <w:numPr>
          <w:ilvl w:val="1"/>
          <w:numId w:val="2"/>
        </w:numPr>
        <w:tabs>
          <w:tab w:val="left" w:pos="284"/>
          <w:tab w:val="left" w:pos="426"/>
        </w:tabs>
        <w:spacing w:line="240" w:lineRule="auto"/>
        <w:ind w:left="0" w:firstLine="0"/>
        <w:contextualSpacing w:val="0"/>
        <w:rPr>
          <w:i/>
          <w:iCs/>
          <w:sz w:val="22"/>
          <w:szCs w:val="22"/>
        </w:rPr>
      </w:pPr>
      <w:r w:rsidRPr="001D0F52">
        <w:rPr>
          <w:i/>
          <w:iCs/>
          <w:sz w:val="22"/>
          <w:szCs w:val="22"/>
        </w:rPr>
        <w:t>W</w:t>
      </w:r>
      <w:r w:rsidR="00C554C2" w:rsidRPr="001D0F52">
        <w:rPr>
          <w:i/>
          <w:iCs/>
          <w:sz w:val="22"/>
          <w:szCs w:val="22"/>
        </w:rPr>
        <w:t>ho should have what roles in developing and using such tools? What, if any, should be the roles of governments?</w:t>
      </w:r>
      <w:r w:rsidRPr="001D0F52">
        <w:rPr>
          <w:i/>
          <w:iCs/>
          <w:sz w:val="22"/>
          <w:szCs w:val="22"/>
        </w:rPr>
        <w:t xml:space="preserve"> How should the costs of adapting and implementing such tools on an ongoing basis be managed?</w:t>
      </w:r>
    </w:p>
    <w:p w14:paraId="0360900D" w14:textId="5B62C47B" w:rsidR="005C21C9" w:rsidRPr="001D0F52" w:rsidRDefault="005C21C9" w:rsidP="001D0F52">
      <w:pPr>
        <w:pStyle w:val="ListBullet"/>
        <w:numPr>
          <w:ilvl w:val="0"/>
          <w:numId w:val="0"/>
        </w:numPr>
        <w:spacing w:line="240" w:lineRule="auto"/>
        <w:contextualSpacing w:val="0"/>
        <w:rPr>
          <w:sz w:val="22"/>
          <w:szCs w:val="22"/>
        </w:rPr>
      </w:pPr>
      <w:r w:rsidRPr="001D0F52">
        <w:rPr>
          <w:sz w:val="22"/>
          <w:szCs w:val="22"/>
        </w:rPr>
        <w:t xml:space="preserve">These tools can be applied in two ways. First, as a globally validated tool, it can be tailored and implemented at scale. </w:t>
      </w:r>
      <w:r w:rsidR="004835BD" w:rsidRPr="001D0F52">
        <w:rPr>
          <w:sz w:val="22"/>
          <w:szCs w:val="22"/>
        </w:rPr>
        <w:t xml:space="preserve">It could be funded and administered at either the </w:t>
      </w:r>
      <w:r w:rsidR="00B3168E">
        <w:rPr>
          <w:sz w:val="22"/>
          <w:szCs w:val="22"/>
        </w:rPr>
        <w:t xml:space="preserve">national or </w:t>
      </w:r>
      <w:r w:rsidR="004835BD" w:rsidRPr="001D0F52">
        <w:rPr>
          <w:sz w:val="22"/>
          <w:szCs w:val="22"/>
        </w:rPr>
        <w:t>jurisdictional level</w:t>
      </w:r>
      <w:r w:rsidR="004A3656">
        <w:rPr>
          <w:sz w:val="22"/>
          <w:szCs w:val="22"/>
        </w:rPr>
        <w:t xml:space="preserve">. </w:t>
      </w:r>
      <w:r w:rsidR="00677D44" w:rsidRPr="00677D44">
        <w:rPr>
          <w:sz w:val="22"/>
          <w:szCs w:val="22"/>
        </w:rPr>
        <w:t>At the national level, the survey could be led by a Commonwealth Government agency (e.g. ABS or DCCEEW) as a periodic national survey (e.g. every 2–3 years) or embedded within existing national surveys such as the General Social Survey or the Survey of Income and Housing. This would ensure consistent national data collection while leveraging existing statistical infrastructure. At the jurisdictional level, state-based regulators could incorporate water quality experience questions into existing customer satisfaction or</w:t>
      </w:r>
      <w:r w:rsidR="00FB480B">
        <w:rPr>
          <w:sz w:val="22"/>
          <w:szCs w:val="22"/>
        </w:rPr>
        <w:t xml:space="preserve"> </w:t>
      </w:r>
      <w:r w:rsidR="00677D44" w:rsidRPr="00677D44">
        <w:rPr>
          <w:sz w:val="22"/>
          <w:szCs w:val="22"/>
        </w:rPr>
        <w:t>perception surveys. For example, Victoria’s Essential Services Commission Water Customer Perception Survey</w:t>
      </w:r>
      <w:r w:rsidR="00573E9F">
        <w:rPr>
          <w:sz w:val="22"/>
          <w:szCs w:val="22"/>
        </w:rPr>
        <w:t xml:space="preserve"> </w:t>
      </w:r>
      <w:r w:rsidR="00677D44" w:rsidRPr="00677D44">
        <w:rPr>
          <w:sz w:val="22"/>
          <w:szCs w:val="22"/>
        </w:rPr>
        <w:t>samples approximately 5,200 customers annually across 15 state-owned urban and regional water corporations and measures value for money, reputation, trust, and overall satisfaction</w:t>
      </w:r>
      <w:r w:rsidR="00F35C34">
        <w:rPr>
          <w:sz w:val="22"/>
          <w:szCs w:val="22"/>
        </w:rPr>
        <w:t xml:space="preserve"> </w:t>
      </w:r>
      <w:r w:rsidR="00F35C34">
        <w:rPr>
          <w:sz w:val="22"/>
          <w:szCs w:val="22"/>
        </w:rPr>
        <w:fldChar w:fldCharType="begin"/>
      </w:r>
      <w:r w:rsidR="00F35C34">
        <w:rPr>
          <w:sz w:val="22"/>
          <w:szCs w:val="22"/>
        </w:rPr>
        <w:instrText xml:space="preserve"> ADDIN EN.CITE &lt;EndNote&gt;&lt;Cite&gt;&lt;Author&gt;ESC&lt;/Author&gt;&lt;Year&gt;2026&lt;/Year&gt;&lt;RecNum&gt;43&lt;/RecNum&gt;&lt;DisplayText&gt;(ESC, 2026)&lt;/DisplayText&gt;&lt;record&gt;&lt;rec-number&gt;43&lt;/rec-number&gt;&lt;foreign-keys&gt;&lt;key app="EN" db-id="pt9xaav9tw5xrbexpadxaw2rtdaffp9wz5tt" timestamp="1783561083"&gt;43&lt;/key&gt;&lt;/foreign-keys&gt;&lt;ref-type name="Web Page"&gt;12&lt;/ref-type&gt;&lt;contributors&gt;&lt;authors&gt;&lt;author&gt;ESC&lt;/author&gt;&lt;/authors&gt;&lt;/contributors&gt;&lt;titles&gt;&lt;title&gt;How customers rate their water business&lt;/title&gt;&lt;/titles&gt;&lt;volume&gt;2026&lt;/volume&gt;&lt;number&gt;2 July&lt;/number&gt;&lt;dates&gt;&lt;year&gt;2026&lt;/year&gt;&lt;/dates&gt;&lt;publisher&gt;Essential Services Commission (VIC)&lt;/publisher&gt;&lt;urls&gt;&lt;related-urls&gt;&lt;url&gt;https://www.esc.vic.gov.au/water/sector-performance-and-reporting/how-customers-rate-their-water-business&lt;/url&gt;&lt;/related-urls&gt;&lt;/urls&gt;&lt;/record&gt;&lt;/Cite&gt;&lt;/EndNote&gt;</w:instrText>
      </w:r>
      <w:r w:rsidR="00F35C34">
        <w:rPr>
          <w:sz w:val="22"/>
          <w:szCs w:val="22"/>
        </w:rPr>
        <w:fldChar w:fldCharType="separate"/>
      </w:r>
      <w:r w:rsidR="00F35C34">
        <w:rPr>
          <w:noProof/>
          <w:sz w:val="22"/>
          <w:szCs w:val="22"/>
        </w:rPr>
        <w:t>(ESC, 2026)</w:t>
      </w:r>
      <w:r w:rsidR="00F35C34">
        <w:rPr>
          <w:sz w:val="22"/>
          <w:szCs w:val="22"/>
        </w:rPr>
        <w:fldChar w:fldCharType="end"/>
      </w:r>
      <w:r w:rsidR="00677D44" w:rsidRPr="00677D44">
        <w:rPr>
          <w:sz w:val="22"/>
          <w:szCs w:val="22"/>
        </w:rPr>
        <w:t>. Regardless of the delivery model, a standardised set of questions and indicators would be required to enable meaningful comparison of drinking water quality experiences across jurisdictions.</w:t>
      </w:r>
    </w:p>
    <w:p w14:paraId="1B914F7E" w14:textId="3FCB4B27" w:rsidR="00F8621A" w:rsidRDefault="005C21C9" w:rsidP="001D0F52">
      <w:pPr>
        <w:pStyle w:val="ListBullet"/>
        <w:numPr>
          <w:ilvl w:val="0"/>
          <w:numId w:val="0"/>
        </w:numPr>
        <w:spacing w:line="240" w:lineRule="auto"/>
        <w:contextualSpacing w:val="0"/>
        <w:rPr>
          <w:sz w:val="22"/>
          <w:szCs w:val="22"/>
        </w:rPr>
      </w:pPr>
      <w:r w:rsidRPr="001D0F52">
        <w:rPr>
          <w:sz w:val="22"/>
          <w:szCs w:val="22"/>
        </w:rPr>
        <w:t xml:space="preserve">Second, the tool is sufficiently flexible to be adapted to different contexts and project settings. </w:t>
      </w:r>
      <w:r w:rsidR="00EF2F38" w:rsidRPr="001D0F52">
        <w:rPr>
          <w:sz w:val="22"/>
          <w:szCs w:val="22"/>
        </w:rPr>
        <w:t>In this case, implementation would need to be budgeted within individual projects as part of engagement, planning, and monitoring activities</w:t>
      </w:r>
      <w:r w:rsidR="00D90830">
        <w:rPr>
          <w:sz w:val="22"/>
          <w:szCs w:val="22"/>
        </w:rPr>
        <w:t xml:space="preserve">. </w:t>
      </w:r>
      <w:r w:rsidR="00D90830" w:rsidRPr="00D90830">
        <w:rPr>
          <w:sz w:val="22"/>
          <w:szCs w:val="22"/>
        </w:rPr>
        <w:t>The tool could be co-designed and co-delivered with communities</w:t>
      </w:r>
      <w:r w:rsidR="00A601E3">
        <w:rPr>
          <w:sz w:val="22"/>
          <w:szCs w:val="22"/>
        </w:rPr>
        <w:t xml:space="preserve"> </w:t>
      </w:r>
      <w:r w:rsidR="00E92444">
        <w:rPr>
          <w:sz w:val="22"/>
          <w:szCs w:val="22"/>
        </w:rPr>
        <w:t xml:space="preserve">before and after the </w:t>
      </w:r>
      <w:r w:rsidR="00BF5EF2">
        <w:rPr>
          <w:sz w:val="22"/>
          <w:szCs w:val="22"/>
        </w:rPr>
        <w:t xml:space="preserve">interventions to </w:t>
      </w:r>
      <w:r w:rsidR="00BF5EF2" w:rsidRPr="00BF5EF2">
        <w:rPr>
          <w:sz w:val="22"/>
          <w:szCs w:val="22"/>
        </w:rPr>
        <w:t>inform project planning, evaluation, and ongoing improvement</w:t>
      </w:r>
      <w:r w:rsidR="00BF5EF2">
        <w:rPr>
          <w:sz w:val="22"/>
          <w:szCs w:val="22"/>
        </w:rPr>
        <w:t>.</w:t>
      </w:r>
    </w:p>
    <w:p w14:paraId="1FE67400" w14:textId="6A49FCCB" w:rsidR="000C31E3" w:rsidRPr="001D0F52" w:rsidRDefault="00DE56D3" w:rsidP="001D0F52">
      <w:pPr>
        <w:pStyle w:val="ListBullet"/>
        <w:numPr>
          <w:ilvl w:val="0"/>
          <w:numId w:val="0"/>
        </w:numPr>
        <w:spacing w:line="240" w:lineRule="auto"/>
        <w:contextualSpacing w:val="0"/>
        <w:rPr>
          <w:sz w:val="22"/>
          <w:szCs w:val="22"/>
        </w:rPr>
      </w:pPr>
      <w:r>
        <w:rPr>
          <w:sz w:val="22"/>
          <w:szCs w:val="22"/>
        </w:rPr>
        <w:t>In both ways, a</w:t>
      </w:r>
      <w:r w:rsidR="006F6178" w:rsidRPr="006F6178">
        <w:rPr>
          <w:sz w:val="22"/>
          <w:szCs w:val="22"/>
        </w:rPr>
        <w:t xml:space="preserve"> pilot phase could be designed and implemented in selected locations or projects, with meaningful stakeholder and community engagement, before the approach is </w:t>
      </w:r>
      <w:r w:rsidR="0067101C">
        <w:rPr>
          <w:sz w:val="22"/>
          <w:szCs w:val="22"/>
        </w:rPr>
        <w:t>s</w:t>
      </w:r>
      <w:r w:rsidR="006F6178" w:rsidRPr="006F6178">
        <w:rPr>
          <w:sz w:val="22"/>
          <w:szCs w:val="22"/>
        </w:rPr>
        <w:t>caled up.</w:t>
      </w:r>
    </w:p>
    <w:p w14:paraId="076FFEE0" w14:textId="6B2D2184" w:rsidR="00F8621A" w:rsidRPr="001D0F52" w:rsidRDefault="001461ED" w:rsidP="001D0F52">
      <w:pPr>
        <w:pStyle w:val="ListBullet"/>
        <w:numPr>
          <w:ilvl w:val="0"/>
          <w:numId w:val="0"/>
        </w:numPr>
        <w:spacing w:line="240" w:lineRule="auto"/>
        <w:contextualSpacing w:val="0"/>
        <w:rPr>
          <w:b/>
          <w:bCs/>
          <w:sz w:val="22"/>
          <w:szCs w:val="22"/>
        </w:rPr>
      </w:pPr>
      <w:r w:rsidRPr="001D0F52">
        <w:rPr>
          <w:b/>
          <w:bCs/>
          <w:sz w:val="22"/>
          <w:szCs w:val="22"/>
        </w:rPr>
        <w:t>References:</w:t>
      </w:r>
    </w:p>
    <w:p w14:paraId="365BA8DD" w14:textId="065BA236" w:rsidR="002E4B7B" w:rsidRPr="0075046A" w:rsidRDefault="00F8621A" w:rsidP="002E4B7B">
      <w:pPr>
        <w:pStyle w:val="EndNoteBibliography"/>
        <w:spacing w:after="0"/>
        <w:ind w:left="720" w:hanging="720"/>
        <w:rPr>
          <w:sz w:val="22"/>
          <w:szCs w:val="22"/>
        </w:rPr>
      </w:pPr>
      <w:r w:rsidRPr="0075046A">
        <w:rPr>
          <w:rFonts w:asciiTheme="minorHAnsi" w:hAnsiTheme="minorHAnsi"/>
          <w:sz w:val="22"/>
          <w:szCs w:val="22"/>
        </w:rPr>
        <w:fldChar w:fldCharType="begin"/>
      </w:r>
      <w:r w:rsidRPr="0075046A">
        <w:rPr>
          <w:rFonts w:asciiTheme="minorHAnsi" w:hAnsiTheme="minorHAnsi"/>
          <w:sz w:val="22"/>
          <w:szCs w:val="22"/>
        </w:rPr>
        <w:instrText xml:space="preserve"> ADDIN EN.REFLIST </w:instrText>
      </w:r>
      <w:r w:rsidRPr="0075046A">
        <w:rPr>
          <w:rFonts w:asciiTheme="minorHAnsi" w:hAnsiTheme="minorHAnsi"/>
          <w:sz w:val="22"/>
          <w:szCs w:val="22"/>
        </w:rPr>
        <w:fldChar w:fldCharType="separate"/>
      </w:r>
      <w:r w:rsidR="002E4B7B" w:rsidRPr="0075046A">
        <w:rPr>
          <w:sz w:val="22"/>
          <w:szCs w:val="22"/>
        </w:rPr>
        <w:t xml:space="preserve">Australian National University. 2026. </w:t>
      </w:r>
      <w:r w:rsidR="002E4B7B" w:rsidRPr="0075046A">
        <w:rPr>
          <w:i/>
          <w:sz w:val="22"/>
          <w:szCs w:val="22"/>
        </w:rPr>
        <w:t xml:space="preserve">Australian Drinking Water Record Version 2026.1 </w:t>
      </w:r>
      <w:r w:rsidR="002E4B7B" w:rsidRPr="0075046A">
        <w:rPr>
          <w:sz w:val="22"/>
          <w:szCs w:val="22"/>
        </w:rPr>
        <w:t xml:space="preserve">[Online]. Available: </w:t>
      </w:r>
      <w:hyperlink r:id="rId11" w:history="1">
        <w:r w:rsidR="002E4B7B" w:rsidRPr="0075046A">
          <w:rPr>
            <w:rStyle w:val="Hyperlink"/>
            <w:sz w:val="22"/>
            <w:szCs w:val="22"/>
          </w:rPr>
          <w:t>http://auswaterquality.org</w:t>
        </w:r>
      </w:hyperlink>
      <w:r w:rsidR="002E4B7B" w:rsidRPr="0075046A">
        <w:rPr>
          <w:sz w:val="22"/>
          <w:szCs w:val="22"/>
        </w:rPr>
        <w:t xml:space="preserve"> [Accessed 2 July 2026].</w:t>
      </w:r>
    </w:p>
    <w:p w14:paraId="15ACC159" w14:textId="7D8B49E9" w:rsidR="002E4B7B" w:rsidRPr="0075046A" w:rsidRDefault="002E4B7B" w:rsidP="002E4B7B">
      <w:pPr>
        <w:pStyle w:val="EndNoteBibliography"/>
        <w:spacing w:after="0"/>
        <w:ind w:left="720" w:hanging="720"/>
        <w:rPr>
          <w:sz w:val="22"/>
          <w:szCs w:val="22"/>
        </w:rPr>
      </w:pPr>
      <w:r w:rsidRPr="0075046A">
        <w:rPr>
          <w:sz w:val="22"/>
          <w:szCs w:val="22"/>
        </w:rPr>
        <w:t xml:space="preserve">BOM. 2026. </w:t>
      </w:r>
      <w:r w:rsidRPr="0075046A">
        <w:rPr>
          <w:i/>
          <w:sz w:val="22"/>
          <w:szCs w:val="22"/>
        </w:rPr>
        <w:t xml:space="preserve">National Performance Report: Water and Wastewater Service Providers </w:t>
      </w:r>
      <w:r w:rsidRPr="0075046A">
        <w:rPr>
          <w:sz w:val="22"/>
          <w:szCs w:val="22"/>
        </w:rPr>
        <w:t xml:space="preserve">[Online]. Bureau of Meteorology. Available: </w:t>
      </w:r>
      <w:hyperlink r:id="rId12" w:history="1">
        <w:r w:rsidRPr="0075046A">
          <w:rPr>
            <w:rStyle w:val="Hyperlink"/>
            <w:sz w:val="22"/>
            <w:szCs w:val="22"/>
          </w:rPr>
          <w:t>https://www.bom.gov.au/water/npr/</w:t>
        </w:r>
      </w:hyperlink>
      <w:r w:rsidRPr="0075046A">
        <w:rPr>
          <w:sz w:val="22"/>
          <w:szCs w:val="22"/>
        </w:rPr>
        <w:t xml:space="preserve"> [Accessed 2 July 2026].</w:t>
      </w:r>
    </w:p>
    <w:p w14:paraId="3F018DF6" w14:textId="0B6AAC6F" w:rsidR="002E4B7B" w:rsidRPr="0075046A" w:rsidRDefault="002E4B7B" w:rsidP="002E4B7B">
      <w:pPr>
        <w:pStyle w:val="EndNoteBibliography"/>
        <w:spacing w:after="0"/>
        <w:ind w:left="720" w:hanging="720"/>
        <w:rPr>
          <w:sz w:val="22"/>
          <w:szCs w:val="22"/>
        </w:rPr>
      </w:pPr>
      <w:r w:rsidRPr="0075046A">
        <w:rPr>
          <w:sz w:val="22"/>
          <w:szCs w:val="22"/>
        </w:rPr>
        <w:lastRenderedPageBreak/>
        <w:t xml:space="preserve">Carroll, S. R., Garba, I., Figueroa-Rodríguez, O. L., et al. 2020. The CARE Principles for Indigenous Data Governance. </w:t>
      </w:r>
      <w:r w:rsidRPr="0075046A">
        <w:rPr>
          <w:i/>
          <w:sz w:val="22"/>
          <w:szCs w:val="22"/>
        </w:rPr>
        <w:t>Data Science Journal,</w:t>
      </w:r>
      <w:r w:rsidRPr="0075046A">
        <w:rPr>
          <w:sz w:val="22"/>
          <w:szCs w:val="22"/>
        </w:rPr>
        <w:t xml:space="preserve"> 19(1)</w:t>
      </w:r>
      <w:r w:rsidRPr="0075046A">
        <w:rPr>
          <w:i/>
          <w:sz w:val="22"/>
          <w:szCs w:val="22"/>
        </w:rPr>
        <w:t>,</w:t>
      </w:r>
      <w:r w:rsidRPr="0075046A">
        <w:rPr>
          <w:sz w:val="22"/>
          <w:szCs w:val="22"/>
        </w:rPr>
        <w:t xml:space="preserve"> 43. </w:t>
      </w:r>
      <w:hyperlink r:id="rId13" w:history="1">
        <w:r w:rsidRPr="0075046A">
          <w:rPr>
            <w:rStyle w:val="Hyperlink"/>
            <w:sz w:val="22"/>
            <w:szCs w:val="22"/>
          </w:rPr>
          <w:t>https://doi.org/10.5334/dsj-2020-043</w:t>
        </w:r>
      </w:hyperlink>
      <w:r w:rsidRPr="0075046A">
        <w:rPr>
          <w:sz w:val="22"/>
          <w:szCs w:val="22"/>
        </w:rPr>
        <w:t>.</w:t>
      </w:r>
    </w:p>
    <w:p w14:paraId="7B837E3D" w14:textId="7A84B1D9" w:rsidR="002E4B7B" w:rsidRPr="0075046A" w:rsidRDefault="002E4B7B" w:rsidP="002E4B7B">
      <w:pPr>
        <w:pStyle w:val="EndNoteBibliography"/>
        <w:spacing w:after="0"/>
        <w:ind w:left="720" w:hanging="720"/>
        <w:rPr>
          <w:sz w:val="22"/>
          <w:szCs w:val="22"/>
        </w:rPr>
      </w:pPr>
      <w:r w:rsidRPr="0075046A">
        <w:rPr>
          <w:sz w:val="22"/>
          <w:szCs w:val="22"/>
        </w:rPr>
        <w:t xml:space="preserve">ESC. 2026. </w:t>
      </w:r>
      <w:r w:rsidRPr="0075046A">
        <w:rPr>
          <w:i/>
          <w:sz w:val="22"/>
          <w:szCs w:val="22"/>
        </w:rPr>
        <w:t xml:space="preserve">How customers rate their water business </w:t>
      </w:r>
      <w:r w:rsidRPr="0075046A">
        <w:rPr>
          <w:sz w:val="22"/>
          <w:szCs w:val="22"/>
        </w:rPr>
        <w:t xml:space="preserve">[Online]. Essential Services Commission (VIC). Available: </w:t>
      </w:r>
      <w:hyperlink r:id="rId14" w:history="1">
        <w:r w:rsidRPr="0075046A">
          <w:rPr>
            <w:rStyle w:val="Hyperlink"/>
            <w:sz w:val="22"/>
            <w:szCs w:val="22"/>
          </w:rPr>
          <w:t>https://www.esc.vic.gov.au/water/sector-performance-and-reporting/how-customers-rate-their-water-business</w:t>
        </w:r>
      </w:hyperlink>
      <w:r w:rsidRPr="0075046A">
        <w:rPr>
          <w:sz w:val="22"/>
          <w:szCs w:val="22"/>
        </w:rPr>
        <w:t xml:space="preserve"> [Accessed 2 July 2026].</w:t>
      </w:r>
    </w:p>
    <w:p w14:paraId="519E659F" w14:textId="49E04FCC" w:rsidR="002E4B7B" w:rsidRPr="0075046A" w:rsidRDefault="002E4B7B" w:rsidP="002E4B7B">
      <w:pPr>
        <w:pStyle w:val="EndNoteBibliography"/>
        <w:spacing w:after="0"/>
        <w:ind w:left="720" w:hanging="720"/>
        <w:rPr>
          <w:sz w:val="22"/>
          <w:szCs w:val="22"/>
        </w:rPr>
      </w:pPr>
      <w:r w:rsidRPr="00282FD7">
        <w:rPr>
          <w:sz w:val="22"/>
          <w:szCs w:val="22"/>
          <w:lang w:val="fr-CA"/>
        </w:rPr>
        <w:t xml:space="preserve">Le, T. H. L., Coombes, P., Nguyen, N. M. &amp; Grafton, R. Q. 2026. </w:t>
      </w:r>
      <w:r w:rsidRPr="0075046A">
        <w:rPr>
          <w:i/>
          <w:sz w:val="22"/>
          <w:szCs w:val="22"/>
        </w:rPr>
        <w:t xml:space="preserve">The Australian Drinking Water Record (ADWR): 2026 Report </w:t>
      </w:r>
      <w:r w:rsidRPr="0075046A">
        <w:rPr>
          <w:sz w:val="22"/>
          <w:szCs w:val="22"/>
        </w:rPr>
        <w:t xml:space="preserve">[Online]. Available: </w:t>
      </w:r>
      <w:hyperlink r:id="rId15" w:history="1">
        <w:r w:rsidRPr="0075046A">
          <w:rPr>
            <w:rStyle w:val="Hyperlink"/>
            <w:sz w:val="22"/>
            <w:szCs w:val="22"/>
          </w:rPr>
          <w:t>https://auswaterquality.org/detail/the-australian-drinking-water-record-adwr-2026-report</w:t>
        </w:r>
      </w:hyperlink>
      <w:r w:rsidRPr="0075046A">
        <w:rPr>
          <w:sz w:val="22"/>
          <w:szCs w:val="22"/>
        </w:rPr>
        <w:t xml:space="preserve"> [Accessed 2 July 2026].</w:t>
      </w:r>
    </w:p>
    <w:p w14:paraId="4C775012" w14:textId="7351C1AD" w:rsidR="002E4B7B" w:rsidRPr="0075046A" w:rsidRDefault="002E4B7B" w:rsidP="002E4B7B">
      <w:pPr>
        <w:pStyle w:val="EndNoteBibliography"/>
        <w:spacing w:after="0"/>
        <w:ind w:left="720" w:hanging="720"/>
        <w:rPr>
          <w:sz w:val="22"/>
          <w:szCs w:val="22"/>
        </w:rPr>
      </w:pPr>
      <w:r w:rsidRPr="0075046A">
        <w:rPr>
          <w:sz w:val="22"/>
          <w:szCs w:val="22"/>
        </w:rPr>
        <w:t xml:space="preserve">Maiam nayri Wingara. 2018. </w:t>
      </w:r>
      <w:r w:rsidRPr="0075046A">
        <w:rPr>
          <w:i/>
          <w:sz w:val="22"/>
          <w:szCs w:val="22"/>
        </w:rPr>
        <w:t xml:space="preserve">Indigenous Data Sovereignty Communique </w:t>
      </w:r>
      <w:r w:rsidRPr="0075046A">
        <w:rPr>
          <w:sz w:val="22"/>
          <w:szCs w:val="22"/>
        </w:rPr>
        <w:t xml:space="preserve">[Online]. Canberra, ACT. Available: </w:t>
      </w:r>
      <w:hyperlink r:id="rId16" w:history="1">
        <w:r w:rsidRPr="0075046A">
          <w:rPr>
            <w:rStyle w:val="Hyperlink"/>
            <w:sz w:val="22"/>
            <w:szCs w:val="22"/>
          </w:rPr>
          <w:t>https://www.maiamnayriwingara.org/mnw-principles</w:t>
        </w:r>
      </w:hyperlink>
      <w:r w:rsidRPr="0075046A">
        <w:rPr>
          <w:sz w:val="22"/>
          <w:szCs w:val="22"/>
        </w:rPr>
        <w:t xml:space="preserve"> [Accessed 2 July 2026].</w:t>
      </w:r>
    </w:p>
    <w:p w14:paraId="0701B206" w14:textId="44870D80" w:rsidR="002E4B7B" w:rsidRPr="0075046A" w:rsidRDefault="002E4B7B" w:rsidP="002E4B7B">
      <w:pPr>
        <w:pStyle w:val="EndNoteBibliography"/>
        <w:spacing w:after="0"/>
        <w:ind w:left="720" w:hanging="720"/>
        <w:rPr>
          <w:sz w:val="22"/>
          <w:szCs w:val="22"/>
        </w:rPr>
      </w:pPr>
      <w:r w:rsidRPr="0075046A">
        <w:rPr>
          <w:sz w:val="22"/>
          <w:szCs w:val="22"/>
        </w:rPr>
        <w:t xml:space="preserve">TasWater. 2026. </w:t>
      </w:r>
      <w:r w:rsidRPr="0075046A">
        <w:rPr>
          <w:i/>
          <w:sz w:val="22"/>
          <w:szCs w:val="22"/>
        </w:rPr>
        <w:t xml:space="preserve">Water Quality Portal </w:t>
      </w:r>
      <w:r w:rsidRPr="0075046A">
        <w:rPr>
          <w:sz w:val="22"/>
          <w:szCs w:val="22"/>
        </w:rPr>
        <w:t xml:space="preserve">[Online]. Available: </w:t>
      </w:r>
      <w:hyperlink r:id="rId17" w:history="1">
        <w:r w:rsidRPr="0075046A">
          <w:rPr>
            <w:rStyle w:val="Hyperlink"/>
            <w:sz w:val="22"/>
            <w:szCs w:val="22"/>
          </w:rPr>
          <w:t>https://www.taswater.com.au/community/water-quality/your-drinking-water</w:t>
        </w:r>
      </w:hyperlink>
      <w:r w:rsidRPr="0075046A">
        <w:rPr>
          <w:sz w:val="22"/>
          <w:szCs w:val="22"/>
        </w:rPr>
        <w:t xml:space="preserve"> [Accessed 2 July 2026].</w:t>
      </w:r>
    </w:p>
    <w:p w14:paraId="676556A8" w14:textId="77777777" w:rsidR="002E4B7B" w:rsidRPr="0075046A" w:rsidRDefault="002E4B7B" w:rsidP="002E4B7B">
      <w:pPr>
        <w:pStyle w:val="EndNoteBibliography"/>
        <w:spacing w:after="0"/>
        <w:ind w:left="720" w:hanging="720"/>
        <w:rPr>
          <w:sz w:val="22"/>
          <w:szCs w:val="22"/>
        </w:rPr>
      </w:pPr>
      <w:r w:rsidRPr="0075046A">
        <w:rPr>
          <w:sz w:val="22"/>
          <w:szCs w:val="22"/>
        </w:rPr>
        <w:t xml:space="preserve">Tonkin, T., Deane, A., Trindall, A., et al. 2023. </w:t>
      </w:r>
      <w:r w:rsidRPr="0075046A">
        <w:rPr>
          <w:i/>
          <w:sz w:val="22"/>
          <w:szCs w:val="22"/>
        </w:rPr>
        <w:t>Food and Water for Life, Key findings from the Food and Water Security Surveys in Walgett, Yuwaya Ngarra-li Community Briefing Report</w:t>
      </w:r>
      <w:r w:rsidRPr="0075046A">
        <w:rPr>
          <w:sz w:val="22"/>
          <w:szCs w:val="22"/>
        </w:rPr>
        <w:t>, Yuwaya Ngarra-li.</w:t>
      </w:r>
    </w:p>
    <w:p w14:paraId="77B4544E" w14:textId="6F68D721" w:rsidR="002E4B7B" w:rsidRPr="0075046A" w:rsidRDefault="002E4B7B" w:rsidP="002E4B7B">
      <w:pPr>
        <w:pStyle w:val="EndNoteBibliography"/>
        <w:spacing w:after="0"/>
        <w:ind w:left="720" w:hanging="720"/>
        <w:rPr>
          <w:sz w:val="22"/>
          <w:szCs w:val="22"/>
        </w:rPr>
      </w:pPr>
      <w:r w:rsidRPr="0075046A">
        <w:rPr>
          <w:sz w:val="22"/>
          <w:szCs w:val="22"/>
        </w:rPr>
        <w:t xml:space="preserve">Young, S. L., Boateng, G. O., Jamaluddine, Z., et al. 2019. The Household Water InSecurity Experiences (HWISE) Scale: development and validation of a household water insecurity measure for low-income and middle-income countries. </w:t>
      </w:r>
      <w:r w:rsidRPr="0075046A">
        <w:rPr>
          <w:i/>
          <w:sz w:val="22"/>
          <w:szCs w:val="22"/>
        </w:rPr>
        <w:t>BMJ Glob Health,</w:t>
      </w:r>
      <w:r w:rsidRPr="0075046A">
        <w:rPr>
          <w:sz w:val="22"/>
          <w:szCs w:val="22"/>
        </w:rPr>
        <w:t xml:space="preserve"> 4</w:t>
      </w:r>
      <w:r w:rsidRPr="0075046A">
        <w:rPr>
          <w:i/>
          <w:sz w:val="22"/>
          <w:szCs w:val="22"/>
        </w:rPr>
        <w:t>,</w:t>
      </w:r>
      <w:r w:rsidRPr="0075046A">
        <w:rPr>
          <w:sz w:val="22"/>
          <w:szCs w:val="22"/>
        </w:rPr>
        <w:t xml:space="preserve"> e001750. </w:t>
      </w:r>
      <w:hyperlink r:id="rId18" w:history="1">
        <w:r w:rsidRPr="0075046A">
          <w:rPr>
            <w:rStyle w:val="Hyperlink"/>
            <w:sz w:val="22"/>
            <w:szCs w:val="22"/>
          </w:rPr>
          <w:t>https://doi.org/10.1136/bmjgh-2019-001750</w:t>
        </w:r>
      </w:hyperlink>
      <w:r w:rsidRPr="0075046A">
        <w:rPr>
          <w:sz w:val="22"/>
          <w:szCs w:val="22"/>
        </w:rPr>
        <w:t>.</w:t>
      </w:r>
    </w:p>
    <w:p w14:paraId="2DB8A8B1" w14:textId="77777777" w:rsidR="002E4B7B" w:rsidRPr="0075046A" w:rsidRDefault="002E4B7B" w:rsidP="002E4B7B">
      <w:pPr>
        <w:pStyle w:val="EndNoteBibliography"/>
        <w:spacing w:after="0"/>
        <w:ind w:left="720" w:hanging="720"/>
        <w:rPr>
          <w:sz w:val="22"/>
          <w:szCs w:val="22"/>
        </w:rPr>
      </w:pPr>
      <w:r w:rsidRPr="0075046A">
        <w:rPr>
          <w:sz w:val="22"/>
          <w:szCs w:val="22"/>
        </w:rPr>
        <w:t xml:space="preserve">Young, S. L., Bose, I., Miller, J. D., et al. 2024a. </w:t>
      </w:r>
      <w:r w:rsidRPr="0075046A">
        <w:rPr>
          <w:i/>
          <w:sz w:val="22"/>
          <w:szCs w:val="22"/>
        </w:rPr>
        <w:t xml:space="preserve">The Water Insecurity Experiences (WISE) Scales: A Manual for Implementation and Analysis of People’s Experiences with Water, </w:t>
      </w:r>
      <w:r w:rsidRPr="0075046A">
        <w:rPr>
          <w:sz w:val="22"/>
          <w:szCs w:val="22"/>
        </w:rPr>
        <w:t>Evanston, Illinois, Institute for Policy Research, Northwestern University.</w:t>
      </w:r>
    </w:p>
    <w:p w14:paraId="61848BAE" w14:textId="77777777" w:rsidR="002E4B7B" w:rsidRPr="0075046A" w:rsidRDefault="002E4B7B" w:rsidP="002E4B7B">
      <w:pPr>
        <w:pStyle w:val="EndNoteBibliography"/>
        <w:ind w:left="720" w:hanging="720"/>
        <w:rPr>
          <w:sz w:val="22"/>
          <w:szCs w:val="22"/>
        </w:rPr>
      </w:pPr>
      <w:r w:rsidRPr="0075046A">
        <w:rPr>
          <w:sz w:val="22"/>
          <w:szCs w:val="22"/>
        </w:rPr>
        <w:t xml:space="preserve">Young, S. L., Miller, J. D. &amp; Bose, I. 2024b. </w:t>
      </w:r>
      <w:r w:rsidRPr="0075046A">
        <w:rPr>
          <w:i/>
          <w:sz w:val="22"/>
          <w:szCs w:val="22"/>
        </w:rPr>
        <w:t xml:space="preserve">Measuring human experiences to advance safe water for all, </w:t>
      </w:r>
      <w:r w:rsidRPr="0075046A">
        <w:rPr>
          <w:sz w:val="22"/>
          <w:szCs w:val="22"/>
        </w:rPr>
        <w:t>Evanston, Illinois, Institute for Policy Research, Northwestern University.</w:t>
      </w:r>
    </w:p>
    <w:p w14:paraId="29A7562F" w14:textId="202C60A6" w:rsidR="00902C65" w:rsidRPr="005E02C1" w:rsidRDefault="00F8621A" w:rsidP="001D0F52">
      <w:pPr>
        <w:pStyle w:val="ListBullet"/>
        <w:numPr>
          <w:ilvl w:val="0"/>
          <w:numId w:val="0"/>
        </w:numPr>
        <w:spacing w:line="240" w:lineRule="auto"/>
        <w:contextualSpacing w:val="0"/>
        <w:rPr>
          <w:sz w:val="22"/>
          <w:szCs w:val="22"/>
        </w:rPr>
      </w:pPr>
      <w:r w:rsidRPr="0075046A">
        <w:rPr>
          <w:sz w:val="22"/>
          <w:szCs w:val="22"/>
        </w:rPr>
        <w:fldChar w:fldCharType="end"/>
      </w:r>
    </w:p>
    <w:sectPr w:rsidR="00902C65" w:rsidRPr="005E02C1" w:rsidSect="00210656">
      <w:headerReference w:type="default" r:id="rId19"/>
      <w:footerReference w:type="default" r:id="rId20"/>
      <w:pgSz w:w="11906" w:h="16838"/>
      <w:pgMar w:top="1472" w:right="1274" w:bottom="709" w:left="1440" w:header="426" w:footer="3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E8D5D" w14:textId="77777777" w:rsidR="00A951B0" w:rsidRDefault="00A951B0" w:rsidP="00952835">
      <w:pPr>
        <w:spacing w:before="0" w:after="0" w:line="240" w:lineRule="auto"/>
      </w:pPr>
      <w:r>
        <w:separator/>
      </w:r>
    </w:p>
  </w:endnote>
  <w:endnote w:type="continuationSeparator" w:id="0">
    <w:p w14:paraId="3400A3CD" w14:textId="77777777" w:rsidR="00A951B0" w:rsidRDefault="00A951B0" w:rsidP="009528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485633"/>
      <w:docPartObj>
        <w:docPartGallery w:val="Page Numbers (Bottom of Page)"/>
        <w:docPartUnique/>
      </w:docPartObj>
    </w:sdtPr>
    <w:sdtEndPr>
      <w:rPr>
        <w:noProof/>
      </w:rPr>
    </w:sdtEndPr>
    <w:sdtContent>
      <w:p w14:paraId="1585DA37" w14:textId="09A1A888" w:rsidR="00E93522" w:rsidRDefault="00E935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14EEB1" w14:textId="77777777" w:rsidR="00E93522" w:rsidRDefault="00E93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33729" w14:textId="77777777" w:rsidR="00A951B0" w:rsidRDefault="00A951B0" w:rsidP="00952835">
      <w:pPr>
        <w:spacing w:before="0" w:after="0" w:line="240" w:lineRule="auto"/>
      </w:pPr>
      <w:r>
        <w:separator/>
      </w:r>
    </w:p>
  </w:footnote>
  <w:footnote w:type="continuationSeparator" w:id="0">
    <w:p w14:paraId="6F467B30" w14:textId="77777777" w:rsidR="00A951B0" w:rsidRDefault="00A951B0" w:rsidP="009528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1"/>
      <w:gridCol w:w="4591"/>
    </w:tblGrid>
    <w:tr w:rsidR="00415EE1" w14:paraId="50868030" w14:textId="77777777" w:rsidTr="00210656">
      <w:trPr>
        <w:trHeight w:val="993"/>
      </w:trPr>
      <w:tc>
        <w:tcPr>
          <w:tcW w:w="4591" w:type="dxa"/>
        </w:tcPr>
        <w:p w14:paraId="7FA79B68" w14:textId="2EF63E56" w:rsidR="00415EE1" w:rsidRDefault="00415EE1" w:rsidP="001D0F52">
          <w:pPr>
            <w:pStyle w:val="Header"/>
            <w:rPr>
              <w:sz w:val="22"/>
              <w:szCs w:val="22"/>
            </w:rPr>
          </w:pPr>
          <w:r w:rsidRPr="00AE5397">
            <w:rPr>
              <w:rFonts w:cstheme="majorHAnsi"/>
              <w:noProof/>
              <w:sz w:val="32"/>
              <w:szCs w:val="32"/>
            </w:rPr>
            <w:drawing>
              <wp:inline distT="0" distB="0" distL="0" distR="0" wp14:anchorId="37C23E36" wp14:editId="00AD4317">
                <wp:extent cx="1692595" cy="831850"/>
                <wp:effectExtent l="0" t="0" r="3175" b="6350"/>
                <wp:docPr id="1588852448" name="Picture 5" descr="A logo with text and people&#10;&#10;AI-generated content may be incorrect.">
                  <a:extLst xmlns:a="http://schemas.openxmlformats.org/drawingml/2006/main">
                    <a:ext uri="{FF2B5EF4-FFF2-40B4-BE49-F238E27FC236}">
                      <a16:creationId xmlns:a16="http://schemas.microsoft.com/office/drawing/2014/main" id="{CFB8C9BC-E876-CDFF-196F-55C46D4601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logo with text and people&#10;&#10;AI-generated content may be incorrect.">
                          <a:extLst>
                            <a:ext uri="{FF2B5EF4-FFF2-40B4-BE49-F238E27FC236}">
                              <a16:creationId xmlns:a16="http://schemas.microsoft.com/office/drawing/2014/main" id="{CFB8C9BC-E876-CDFF-196F-55C46D46014E}"/>
                            </a:ext>
                          </a:extLst>
                        </pic:cNvPr>
                        <pic:cNvPicPr>
                          <a:picLocks noChangeAspect="1"/>
                        </pic:cNvPicPr>
                      </pic:nvPicPr>
                      <pic:blipFill>
                        <a:blip r:embed="rId1"/>
                        <a:stretch>
                          <a:fillRect/>
                        </a:stretch>
                      </pic:blipFill>
                      <pic:spPr>
                        <a:xfrm>
                          <a:off x="0" y="0"/>
                          <a:ext cx="1786854" cy="878175"/>
                        </a:xfrm>
                        <a:prstGeom prst="rect">
                          <a:avLst/>
                        </a:prstGeom>
                      </pic:spPr>
                    </pic:pic>
                  </a:graphicData>
                </a:graphic>
              </wp:inline>
            </w:drawing>
          </w:r>
        </w:p>
      </w:tc>
      <w:tc>
        <w:tcPr>
          <w:tcW w:w="4591" w:type="dxa"/>
          <w:vAlign w:val="center"/>
        </w:tcPr>
        <w:p w14:paraId="5C01EA4D" w14:textId="332BCBDA" w:rsidR="00415EE1" w:rsidRDefault="00415EE1" w:rsidP="00415EE1">
          <w:pPr>
            <w:pStyle w:val="Header"/>
            <w:jc w:val="right"/>
            <w:rPr>
              <w:sz w:val="22"/>
              <w:szCs w:val="22"/>
            </w:rPr>
          </w:pPr>
          <w:r w:rsidRPr="00452A82">
            <w:rPr>
              <w:sz w:val="22"/>
              <w:szCs w:val="22"/>
            </w:rPr>
            <w:t xml:space="preserve">Version </w:t>
          </w:r>
          <w:r w:rsidR="00884B59">
            <w:rPr>
              <w:sz w:val="22"/>
              <w:szCs w:val="22"/>
            </w:rPr>
            <w:t>3</w:t>
          </w:r>
          <w:r w:rsidRPr="00452A82">
            <w:rPr>
              <w:sz w:val="22"/>
              <w:szCs w:val="22"/>
            </w:rPr>
            <w:t xml:space="preserve"> July 2026</w:t>
          </w:r>
        </w:p>
      </w:tc>
    </w:tr>
  </w:tbl>
  <w:p w14:paraId="79A5D796" w14:textId="007641A8" w:rsidR="00452A82" w:rsidRPr="00452A82" w:rsidRDefault="001D0F52" w:rsidP="001D0F52">
    <w:pPr>
      <w:pStyle w:val="Header"/>
      <w:rPr>
        <w:sz w:val="22"/>
        <w:szCs w:val="22"/>
      </w:rPr>
    </w:pPr>
    <w:r>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214F96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A3FBC"/>
    <w:multiLevelType w:val="hybridMultilevel"/>
    <w:tmpl w:val="F82EC72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6B0AB3"/>
    <w:multiLevelType w:val="hybridMultilevel"/>
    <w:tmpl w:val="F82EC72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B85E1B"/>
    <w:multiLevelType w:val="hybridMultilevel"/>
    <w:tmpl w:val="F82EC72C"/>
    <w:lvl w:ilvl="0" w:tplc="05A4B2D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953A47"/>
    <w:multiLevelType w:val="hybridMultilevel"/>
    <w:tmpl w:val="084E0742"/>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C7D4673"/>
    <w:multiLevelType w:val="multilevel"/>
    <w:tmpl w:val="9946AB5C"/>
    <w:lvl w:ilvl="0">
      <w:start w:val="1"/>
      <w:numFmt w:val="decimal"/>
      <w:lvlText w:val="%1."/>
      <w:lvlJc w:val="left"/>
      <w:pPr>
        <w:ind w:left="3276" w:hanging="360"/>
      </w:pPr>
      <w:rPr>
        <w:rFonts w:hint="default"/>
        <w:b/>
        <w:bCs/>
      </w:rPr>
    </w:lvl>
    <w:lvl w:ilvl="1">
      <w:start w:val="1"/>
      <w:numFmt w:val="decimal"/>
      <w:isLgl/>
      <w:lvlText w:val="%1.%2."/>
      <w:lvlJc w:val="left"/>
      <w:pPr>
        <w:ind w:left="3636" w:hanging="720"/>
      </w:pPr>
      <w:rPr>
        <w:rFonts w:hint="default"/>
        <w:b/>
        <w:bCs/>
        <w:i/>
        <w:iCs/>
      </w:rPr>
    </w:lvl>
    <w:lvl w:ilvl="2">
      <w:start w:val="1"/>
      <w:numFmt w:val="decimal"/>
      <w:isLgl/>
      <w:lvlText w:val="%1.%2.%3."/>
      <w:lvlJc w:val="left"/>
      <w:pPr>
        <w:ind w:left="3636" w:hanging="720"/>
      </w:pPr>
      <w:rPr>
        <w:rFonts w:hint="default"/>
      </w:rPr>
    </w:lvl>
    <w:lvl w:ilvl="3">
      <w:start w:val="1"/>
      <w:numFmt w:val="decimal"/>
      <w:isLgl/>
      <w:lvlText w:val="%1.%2.%3.%4."/>
      <w:lvlJc w:val="left"/>
      <w:pPr>
        <w:ind w:left="3996" w:hanging="1080"/>
      </w:pPr>
      <w:rPr>
        <w:rFonts w:hint="default"/>
      </w:rPr>
    </w:lvl>
    <w:lvl w:ilvl="4">
      <w:start w:val="1"/>
      <w:numFmt w:val="decimal"/>
      <w:isLgl/>
      <w:lvlText w:val="%1.%2.%3.%4.%5."/>
      <w:lvlJc w:val="left"/>
      <w:pPr>
        <w:ind w:left="3996" w:hanging="1080"/>
      </w:pPr>
      <w:rPr>
        <w:rFonts w:hint="default"/>
      </w:rPr>
    </w:lvl>
    <w:lvl w:ilvl="5">
      <w:start w:val="1"/>
      <w:numFmt w:val="decimal"/>
      <w:isLgl/>
      <w:lvlText w:val="%1.%2.%3.%4.%5.%6."/>
      <w:lvlJc w:val="left"/>
      <w:pPr>
        <w:ind w:left="4356" w:hanging="144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16" w:hanging="1800"/>
      </w:pPr>
      <w:rPr>
        <w:rFonts w:hint="default"/>
      </w:rPr>
    </w:lvl>
    <w:lvl w:ilvl="8">
      <w:start w:val="1"/>
      <w:numFmt w:val="decimal"/>
      <w:isLgl/>
      <w:lvlText w:val="%1.%2.%3.%4.%5.%6.%7.%8.%9."/>
      <w:lvlJc w:val="left"/>
      <w:pPr>
        <w:ind w:left="4716" w:hanging="1800"/>
      </w:pPr>
      <w:rPr>
        <w:rFonts w:hint="default"/>
      </w:rPr>
    </w:lvl>
  </w:abstractNum>
  <w:abstractNum w:abstractNumId="6" w15:restartNumberingAfterBreak="0">
    <w:nsid w:val="51864B11"/>
    <w:multiLevelType w:val="hybridMultilevel"/>
    <w:tmpl w:val="F82EC72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04E4C8B"/>
    <w:multiLevelType w:val="hybridMultilevel"/>
    <w:tmpl w:val="084E0742"/>
    <w:lvl w:ilvl="0" w:tplc="05A4B2D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0E1502C"/>
    <w:multiLevelType w:val="multilevel"/>
    <w:tmpl w:val="FF8069A4"/>
    <w:styleLink w:val="Bullets"/>
    <w:lvl w:ilvl="0">
      <w:start w:val="1"/>
      <w:numFmt w:val="bullet"/>
      <w:pStyle w:val="ListBullet"/>
      <w:lvlText w:val="•"/>
      <w:lvlJc w:val="left"/>
      <w:pPr>
        <w:ind w:left="454" w:hanging="227"/>
      </w:pPr>
      <w:rPr>
        <w:rFonts w:ascii="Times New Roman" w:hAnsi="Times New Roman" w:cs="Times New Roman" w:hint="default"/>
        <w:color w:val="auto"/>
      </w:rPr>
    </w:lvl>
    <w:lvl w:ilvl="1">
      <w:start w:val="1"/>
      <w:numFmt w:val="bullet"/>
      <w:pStyle w:val="ListBullet2"/>
      <w:lvlText w:val="–"/>
      <w:lvlJc w:val="left"/>
      <w:pPr>
        <w:ind w:left="681" w:hanging="227"/>
      </w:pPr>
      <w:rPr>
        <w:rFonts w:ascii="Arial" w:hAnsi="Arial" w:hint="default"/>
        <w:color w:val="auto"/>
      </w:rPr>
    </w:lvl>
    <w:lvl w:ilvl="2">
      <w:start w:val="1"/>
      <w:numFmt w:val="bullet"/>
      <w:pStyle w:val="ListBullet3"/>
      <w:lvlText w:val="»"/>
      <w:lvlJc w:val="left"/>
      <w:pPr>
        <w:ind w:left="1134" w:hanging="227"/>
      </w:pPr>
      <w:rPr>
        <w:rFonts w:ascii="Arial" w:hAnsi="Arial" w:hint="default"/>
        <w:color w:val="auto"/>
      </w:rPr>
    </w:lvl>
    <w:lvl w:ilvl="3">
      <w:start w:val="1"/>
      <w:numFmt w:val="bullet"/>
      <w:lvlText w:val="–"/>
      <w:lvlJc w:val="left"/>
      <w:pPr>
        <w:tabs>
          <w:tab w:val="num" w:pos="1078"/>
        </w:tabs>
        <w:ind w:left="1134" w:hanging="227"/>
      </w:pPr>
      <w:rPr>
        <w:rFonts w:ascii="Arial" w:hAnsi="Arial" w:hint="default"/>
        <w:color w:val="auto"/>
      </w:rPr>
    </w:lvl>
    <w:lvl w:ilvl="4">
      <w:start w:val="1"/>
      <w:numFmt w:val="bullet"/>
      <w:lvlText w:val="–"/>
      <w:lvlJc w:val="left"/>
      <w:pPr>
        <w:ind w:left="1361" w:hanging="227"/>
      </w:pPr>
      <w:rPr>
        <w:rFonts w:ascii="Arial" w:hAnsi="Arial" w:hint="default"/>
        <w:color w:val="auto"/>
      </w:rPr>
    </w:lvl>
    <w:lvl w:ilvl="5">
      <w:start w:val="1"/>
      <w:numFmt w:val="bullet"/>
      <w:lvlText w:val="–"/>
      <w:lvlJc w:val="left"/>
      <w:pPr>
        <w:ind w:left="1588" w:hanging="227"/>
      </w:pPr>
      <w:rPr>
        <w:rFonts w:ascii="Arial" w:hAnsi="Arial" w:hint="default"/>
      </w:rPr>
    </w:lvl>
    <w:lvl w:ilvl="6">
      <w:start w:val="1"/>
      <w:numFmt w:val="bullet"/>
      <w:lvlText w:val="–"/>
      <w:lvlJc w:val="left"/>
      <w:pPr>
        <w:ind w:left="1815" w:hanging="227"/>
      </w:pPr>
      <w:rPr>
        <w:rFonts w:ascii="Arial" w:hAnsi="Arial" w:hint="default"/>
      </w:rPr>
    </w:lvl>
    <w:lvl w:ilvl="7">
      <w:start w:val="1"/>
      <w:numFmt w:val="bullet"/>
      <w:lvlText w:val="–"/>
      <w:lvlJc w:val="left"/>
      <w:pPr>
        <w:ind w:left="2041" w:hanging="226"/>
      </w:pPr>
      <w:rPr>
        <w:rFonts w:ascii="Arial" w:hAnsi="Arial" w:hint="default"/>
      </w:rPr>
    </w:lvl>
    <w:lvl w:ilvl="8">
      <w:start w:val="1"/>
      <w:numFmt w:val="bullet"/>
      <w:lvlText w:val="–"/>
      <w:lvlJc w:val="left"/>
      <w:pPr>
        <w:tabs>
          <w:tab w:val="num" w:pos="2438"/>
        </w:tabs>
        <w:ind w:left="2268" w:hanging="227"/>
      </w:pPr>
      <w:rPr>
        <w:rFonts w:ascii="Arial" w:hAnsi="Arial" w:hint="default"/>
      </w:rPr>
    </w:lvl>
  </w:abstractNum>
  <w:num w:numId="1" w16cid:durableId="1814449043">
    <w:abstractNumId w:val="8"/>
  </w:num>
  <w:num w:numId="2" w16cid:durableId="1671829837">
    <w:abstractNumId w:val="5"/>
  </w:num>
  <w:num w:numId="3" w16cid:durableId="565147235">
    <w:abstractNumId w:val="3"/>
  </w:num>
  <w:num w:numId="4" w16cid:durableId="9188477">
    <w:abstractNumId w:val="6"/>
  </w:num>
  <w:num w:numId="5" w16cid:durableId="1489515617">
    <w:abstractNumId w:val="1"/>
  </w:num>
  <w:num w:numId="6" w16cid:durableId="565843437">
    <w:abstractNumId w:val="2"/>
  </w:num>
  <w:num w:numId="7" w16cid:durableId="1299338935">
    <w:abstractNumId w:val="7"/>
  </w:num>
  <w:num w:numId="8" w16cid:durableId="1955477118">
    <w:abstractNumId w:val="4"/>
  </w:num>
  <w:num w:numId="9" w16cid:durableId="98189063">
    <w:abstractNumId w:val="0"/>
  </w:num>
  <w:num w:numId="10" w16cid:durableId="1289316851">
    <w:abstractNumId w:val="8"/>
  </w:num>
  <w:num w:numId="11" w16cid:durableId="513149746">
    <w:abstractNumId w:val="8"/>
  </w:num>
  <w:num w:numId="12" w16cid:durableId="1690255690">
    <w:abstractNumId w:val="8"/>
  </w:num>
  <w:num w:numId="13" w16cid:durableId="1311251444">
    <w:abstractNumId w:val="8"/>
  </w:num>
  <w:num w:numId="14" w16cid:durableId="1679229141">
    <w:abstractNumId w:val="8"/>
  </w:num>
  <w:num w:numId="15" w16cid:durableId="957028647">
    <w:abstractNumId w:val="8"/>
  </w:num>
  <w:num w:numId="16" w16cid:durableId="2003392348">
    <w:abstractNumId w:val="8"/>
  </w:num>
  <w:num w:numId="17" w16cid:durableId="1436556657">
    <w:abstractNumId w:val="8"/>
  </w:num>
  <w:num w:numId="18" w16cid:durableId="465860305">
    <w:abstractNumId w:val="8"/>
  </w:num>
  <w:num w:numId="19" w16cid:durableId="1212614569">
    <w:abstractNumId w:val="8"/>
  </w:num>
  <w:num w:numId="20" w16cid:durableId="175920566">
    <w:abstractNumId w:val="8"/>
  </w:num>
  <w:num w:numId="21" w16cid:durableId="763763001">
    <w:abstractNumId w:val="8"/>
  </w:num>
  <w:num w:numId="22" w16cid:durableId="932009600">
    <w:abstractNumId w:val="8"/>
  </w:num>
  <w:num w:numId="23" w16cid:durableId="2146896909">
    <w:abstractNumId w:val="8"/>
  </w:num>
  <w:num w:numId="24" w16cid:durableId="638606255">
    <w:abstractNumId w:val="8"/>
  </w:num>
  <w:num w:numId="25" w16cid:durableId="433746506">
    <w:abstractNumId w:val="8"/>
  </w:num>
  <w:num w:numId="26" w16cid:durableId="1355771199">
    <w:abstractNumId w:val="8"/>
  </w:num>
  <w:num w:numId="27" w16cid:durableId="897671569">
    <w:abstractNumId w:val="8"/>
  </w:num>
  <w:num w:numId="28" w16cid:durableId="1010330364">
    <w:abstractNumId w:val="8"/>
  </w:num>
  <w:num w:numId="29" w16cid:durableId="355232096">
    <w:abstractNumId w:val="8"/>
  </w:num>
  <w:num w:numId="30" w16cid:durableId="556547513">
    <w:abstractNumId w:val="8"/>
  </w:num>
  <w:num w:numId="31" w16cid:durableId="565337815">
    <w:abstractNumId w:val="8"/>
  </w:num>
  <w:num w:numId="32" w16cid:durableId="1796212551">
    <w:abstractNumId w:val="8"/>
  </w:num>
  <w:num w:numId="33" w16cid:durableId="47980536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 Copy&lt;/Style&gt;&lt;LeftDelim&gt;{&lt;/LeftDelim&gt;&lt;RightDelim&gt;}&lt;/RightDelim&gt;&lt;FontName&gt;Aptos&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t9xaav9tw5xrbexpadxaw2rtdaffp9wz5tt&quot;&gt;Health-Converted&lt;record-ids&gt;&lt;item&gt;34&lt;/item&gt;&lt;item&gt;35&lt;/item&gt;&lt;item&gt;36&lt;/item&gt;&lt;item&gt;37&lt;/item&gt;&lt;item&gt;38&lt;/item&gt;&lt;item&gt;39&lt;/item&gt;&lt;item&gt;40&lt;/item&gt;&lt;item&gt;41&lt;/item&gt;&lt;item&gt;42&lt;/item&gt;&lt;item&gt;43&lt;/item&gt;&lt;item&gt;45&lt;/item&gt;&lt;/record-ids&gt;&lt;/item&gt;&lt;/Libraries&gt;"/>
  </w:docVars>
  <w:rsids>
    <w:rsidRoot w:val="00952835"/>
    <w:rsid w:val="00003CC4"/>
    <w:rsid w:val="00007702"/>
    <w:rsid w:val="00014EF6"/>
    <w:rsid w:val="00016080"/>
    <w:rsid w:val="00022627"/>
    <w:rsid w:val="00025B62"/>
    <w:rsid w:val="000315AD"/>
    <w:rsid w:val="0003212F"/>
    <w:rsid w:val="0004231A"/>
    <w:rsid w:val="000534B0"/>
    <w:rsid w:val="00053707"/>
    <w:rsid w:val="00054691"/>
    <w:rsid w:val="00063D0F"/>
    <w:rsid w:val="00066C0A"/>
    <w:rsid w:val="00077C49"/>
    <w:rsid w:val="000815DF"/>
    <w:rsid w:val="00086451"/>
    <w:rsid w:val="000867CB"/>
    <w:rsid w:val="000938EF"/>
    <w:rsid w:val="00094AC3"/>
    <w:rsid w:val="00095214"/>
    <w:rsid w:val="000A0C37"/>
    <w:rsid w:val="000B118F"/>
    <w:rsid w:val="000C0960"/>
    <w:rsid w:val="000C17D1"/>
    <w:rsid w:val="000C31E3"/>
    <w:rsid w:val="000C3484"/>
    <w:rsid w:val="000C717B"/>
    <w:rsid w:val="000D63D5"/>
    <w:rsid w:val="000D7278"/>
    <w:rsid w:val="000E08A1"/>
    <w:rsid w:val="000E25D3"/>
    <w:rsid w:val="00110778"/>
    <w:rsid w:val="00116749"/>
    <w:rsid w:val="00116DAC"/>
    <w:rsid w:val="00124220"/>
    <w:rsid w:val="001301CB"/>
    <w:rsid w:val="00130BF0"/>
    <w:rsid w:val="0013156D"/>
    <w:rsid w:val="00134BDC"/>
    <w:rsid w:val="00141CB5"/>
    <w:rsid w:val="00141E5A"/>
    <w:rsid w:val="001461ED"/>
    <w:rsid w:val="00151C5E"/>
    <w:rsid w:val="0015212C"/>
    <w:rsid w:val="00154DAE"/>
    <w:rsid w:val="00170B89"/>
    <w:rsid w:val="0017667E"/>
    <w:rsid w:val="00187BAF"/>
    <w:rsid w:val="001933E8"/>
    <w:rsid w:val="00197B49"/>
    <w:rsid w:val="00197FA3"/>
    <w:rsid w:val="001A1428"/>
    <w:rsid w:val="001A1543"/>
    <w:rsid w:val="001A199A"/>
    <w:rsid w:val="001A3DAF"/>
    <w:rsid w:val="001A4698"/>
    <w:rsid w:val="001C1964"/>
    <w:rsid w:val="001C2488"/>
    <w:rsid w:val="001C30C9"/>
    <w:rsid w:val="001C4048"/>
    <w:rsid w:val="001C415C"/>
    <w:rsid w:val="001C7905"/>
    <w:rsid w:val="001D0F52"/>
    <w:rsid w:val="001D51AB"/>
    <w:rsid w:val="001D77DD"/>
    <w:rsid w:val="001F170A"/>
    <w:rsid w:val="001F2DAA"/>
    <w:rsid w:val="001F3E2F"/>
    <w:rsid w:val="001F5F65"/>
    <w:rsid w:val="001F7C72"/>
    <w:rsid w:val="002013F9"/>
    <w:rsid w:val="00202188"/>
    <w:rsid w:val="002041F6"/>
    <w:rsid w:val="0020632A"/>
    <w:rsid w:val="00210656"/>
    <w:rsid w:val="00215E26"/>
    <w:rsid w:val="0022472A"/>
    <w:rsid w:val="00230A54"/>
    <w:rsid w:val="002371EA"/>
    <w:rsid w:val="00243784"/>
    <w:rsid w:val="0024381F"/>
    <w:rsid w:val="002454AD"/>
    <w:rsid w:val="00251F8F"/>
    <w:rsid w:val="00256EF3"/>
    <w:rsid w:val="00257536"/>
    <w:rsid w:val="00260ABF"/>
    <w:rsid w:val="00261EAC"/>
    <w:rsid w:val="00262018"/>
    <w:rsid w:val="00263F4C"/>
    <w:rsid w:val="00266214"/>
    <w:rsid w:val="00266644"/>
    <w:rsid w:val="00270262"/>
    <w:rsid w:val="00275D63"/>
    <w:rsid w:val="0027607B"/>
    <w:rsid w:val="00280B40"/>
    <w:rsid w:val="00281A6F"/>
    <w:rsid w:val="00282CE4"/>
    <w:rsid w:val="00282FD7"/>
    <w:rsid w:val="002834A2"/>
    <w:rsid w:val="002855CE"/>
    <w:rsid w:val="0028730A"/>
    <w:rsid w:val="00292F89"/>
    <w:rsid w:val="00293301"/>
    <w:rsid w:val="002A1476"/>
    <w:rsid w:val="002A4F5B"/>
    <w:rsid w:val="002A7808"/>
    <w:rsid w:val="002B2DEA"/>
    <w:rsid w:val="002B434C"/>
    <w:rsid w:val="002B728C"/>
    <w:rsid w:val="002C5A42"/>
    <w:rsid w:val="002D1FEA"/>
    <w:rsid w:val="002E0288"/>
    <w:rsid w:val="002E4B7B"/>
    <w:rsid w:val="002E7DF6"/>
    <w:rsid w:val="002F2F17"/>
    <w:rsid w:val="002F2FB5"/>
    <w:rsid w:val="002F39C9"/>
    <w:rsid w:val="0031500A"/>
    <w:rsid w:val="00315643"/>
    <w:rsid w:val="0031795A"/>
    <w:rsid w:val="00330ABE"/>
    <w:rsid w:val="00340EF2"/>
    <w:rsid w:val="00345755"/>
    <w:rsid w:val="00346442"/>
    <w:rsid w:val="00355E4C"/>
    <w:rsid w:val="00357F75"/>
    <w:rsid w:val="00364D1D"/>
    <w:rsid w:val="0036745D"/>
    <w:rsid w:val="003679FC"/>
    <w:rsid w:val="0037356E"/>
    <w:rsid w:val="003743BE"/>
    <w:rsid w:val="00380B01"/>
    <w:rsid w:val="00381839"/>
    <w:rsid w:val="00383177"/>
    <w:rsid w:val="00386568"/>
    <w:rsid w:val="003A0742"/>
    <w:rsid w:val="003A2269"/>
    <w:rsid w:val="003A510F"/>
    <w:rsid w:val="003B2729"/>
    <w:rsid w:val="003B7069"/>
    <w:rsid w:val="003C4429"/>
    <w:rsid w:val="003D5244"/>
    <w:rsid w:val="003D65A8"/>
    <w:rsid w:val="003D65B0"/>
    <w:rsid w:val="003E66AB"/>
    <w:rsid w:val="003F110D"/>
    <w:rsid w:val="003F1C4C"/>
    <w:rsid w:val="003F2BF1"/>
    <w:rsid w:val="00403462"/>
    <w:rsid w:val="00410BAA"/>
    <w:rsid w:val="00415EE1"/>
    <w:rsid w:val="0042028D"/>
    <w:rsid w:val="00426B9B"/>
    <w:rsid w:val="00443C84"/>
    <w:rsid w:val="00447C30"/>
    <w:rsid w:val="00450F57"/>
    <w:rsid w:val="00452A82"/>
    <w:rsid w:val="00455AF8"/>
    <w:rsid w:val="004629FA"/>
    <w:rsid w:val="00462D00"/>
    <w:rsid w:val="00465F81"/>
    <w:rsid w:val="004777CD"/>
    <w:rsid w:val="0048316B"/>
    <w:rsid w:val="004835BD"/>
    <w:rsid w:val="00483F1A"/>
    <w:rsid w:val="00485157"/>
    <w:rsid w:val="0048579E"/>
    <w:rsid w:val="004A1A58"/>
    <w:rsid w:val="004A3656"/>
    <w:rsid w:val="004A7B1E"/>
    <w:rsid w:val="004B2383"/>
    <w:rsid w:val="004B5EC0"/>
    <w:rsid w:val="004C1EDC"/>
    <w:rsid w:val="004D121E"/>
    <w:rsid w:val="004D65D2"/>
    <w:rsid w:val="004E2DEA"/>
    <w:rsid w:val="004E388C"/>
    <w:rsid w:val="004E79C7"/>
    <w:rsid w:val="004F0C08"/>
    <w:rsid w:val="004F2BC5"/>
    <w:rsid w:val="004F7953"/>
    <w:rsid w:val="00500970"/>
    <w:rsid w:val="00504845"/>
    <w:rsid w:val="00506578"/>
    <w:rsid w:val="00511CF5"/>
    <w:rsid w:val="00514E3B"/>
    <w:rsid w:val="00533A28"/>
    <w:rsid w:val="005410BA"/>
    <w:rsid w:val="00542ACD"/>
    <w:rsid w:val="0054663E"/>
    <w:rsid w:val="00551AF2"/>
    <w:rsid w:val="00555740"/>
    <w:rsid w:val="0057141D"/>
    <w:rsid w:val="00573E9F"/>
    <w:rsid w:val="00575CB1"/>
    <w:rsid w:val="00581A6A"/>
    <w:rsid w:val="00581D7F"/>
    <w:rsid w:val="0058703B"/>
    <w:rsid w:val="00593463"/>
    <w:rsid w:val="005A0462"/>
    <w:rsid w:val="005A1B7C"/>
    <w:rsid w:val="005B0DFF"/>
    <w:rsid w:val="005B4E46"/>
    <w:rsid w:val="005B5A4D"/>
    <w:rsid w:val="005B7A9D"/>
    <w:rsid w:val="005C1AD7"/>
    <w:rsid w:val="005C21C9"/>
    <w:rsid w:val="005C741D"/>
    <w:rsid w:val="005E02C1"/>
    <w:rsid w:val="005F15B5"/>
    <w:rsid w:val="005F3361"/>
    <w:rsid w:val="00601D4E"/>
    <w:rsid w:val="00611DA7"/>
    <w:rsid w:val="00614F19"/>
    <w:rsid w:val="006157E1"/>
    <w:rsid w:val="006251D3"/>
    <w:rsid w:val="00626F52"/>
    <w:rsid w:val="00641A38"/>
    <w:rsid w:val="0064333C"/>
    <w:rsid w:val="00646EAE"/>
    <w:rsid w:val="0064713E"/>
    <w:rsid w:val="00651024"/>
    <w:rsid w:val="006524BA"/>
    <w:rsid w:val="00653726"/>
    <w:rsid w:val="00662EA8"/>
    <w:rsid w:val="0067101C"/>
    <w:rsid w:val="00673D1D"/>
    <w:rsid w:val="006758F3"/>
    <w:rsid w:val="00675FA9"/>
    <w:rsid w:val="00677D44"/>
    <w:rsid w:val="0069027F"/>
    <w:rsid w:val="0069313F"/>
    <w:rsid w:val="00694656"/>
    <w:rsid w:val="006A0A4D"/>
    <w:rsid w:val="006A20A8"/>
    <w:rsid w:val="006A3AEB"/>
    <w:rsid w:val="006A455B"/>
    <w:rsid w:val="006B3C6B"/>
    <w:rsid w:val="006B55C4"/>
    <w:rsid w:val="006B6B17"/>
    <w:rsid w:val="006C2052"/>
    <w:rsid w:val="006C3EAA"/>
    <w:rsid w:val="006C5996"/>
    <w:rsid w:val="006D7183"/>
    <w:rsid w:val="006E077C"/>
    <w:rsid w:val="006E7171"/>
    <w:rsid w:val="006F1F47"/>
    <w:rsid w:val="006F26D1"/>
    <w:rsid w:val="006F6178"/>
    <w:rsid w:val="00702293"/>
    <w:rsid w:val="00713E74"/>
    <w:rsid w:val="0071611F"/>
    <w:rsid w:val="00725270"/>
    <w:rsid w:val="00726FA9"/>
    <w:rsid w:val="00727AB9"/>
    <w:rsid w:val="0073593A"/>
    <w:rsid w:val="00736314"/>
    <w:rsid w:val="00737735"/>
    <w:rsid w:val="0074124A"/>
    <w:rsid w:val="0075046A"/>
    <w:rsid w:val="00753BF7"/>
    <w:rsid w:val="007561DA"/>
    <w:rsid w:val="007561FD"/>
    <w:rsid w:val="007609F7"/>
    <w:rsid w:val="00767725"/>
    <w:rsid w:val="00770E2A"/>
    <w:rsid w:val="00777302"/>
    <w:rsid w:val="00777A00"/>
    <w:rsid w:val="00782523"/>
    <w:rsid w:val="0078447C"/>
    <w:rsid w:val="0078508D"/>
    <w:rsid w:val="0078667D"/>
    <w:rsid w:val="0078773B"/>
    <w:rsid w:val="0079349C"/>
    <w:rsid w:val="007E76B5"/>
    <w:rsid w:val="007F0BFF"/>
    <w:rsid w:val="007F2FE9"/>
    <w:rsid w:val="007F72B9"/>
    <w:rsid w:val="0080031F"/>
    <w:rsid w:val="00800BAC"/>
    <w:rsid w:val="008019FB"/>
    <w:rsid w:val="00805C71"/>
    <w:rsid w:val="0080618C"/>
    <w:rsid w:val="00806DB0"/>
    <w:rsid w:val="008123BD"/>
    <w:rsid w:val="00813A51"/>
    <w:rsid w:val="00813FB1"/>
    <w:rsid w:val="008154D0"/>
    <w:rsid w:val="00825D52"/>
    <w:rsid w:val="00827811"/>
    <w:rsid w:val="00831F44"/>
    <w:rsid w:val="00835B57"/>
    <w:rsid w:val="00836AAB"/>
    <w:rsid w:val="00837095"/>
    <w:rsid w:val="00840FE3"/>
    <w:rsid w:val="0084133D"/>
    <w:rsid w:val="008465ED"/>
    <w:rsid w:val="00853BE7"/>
    <w:rsid w:val="00860D05"/>
    <w:rsid w:val="00863D72"/>
    <w:rsid w:val="0086705D"/>
    <w:rsid w:val="0086780E"/>
    <w:rsid w:val="00874D30"/>
    <w:rsid w:val="0087525E"/>
    <w:rsid w:val="008764B7"/>
    <w:rsid w:val="008765DE"/>
    <w:rsid w:val="0087717A"/>
    <w:rsid w:val="00877B00"/>
    <w:rsid w:val="00881402"/>
    <w:rsid w:val="00884B59"/>
    <w:rsid w:val="00886711"/>
    <w:rsid w:val="00891931"/>
    <w:rsid w:val="008946C3"/>
    <w:rsid w:val="008A55DD"/>
    <w:rsid w:val="008A6413"/>
    <w:rsid w:val="008B41A2"/>
    <w:rsid w:val="008C057E"/>
    <w:rsid w:val="008C385D"/>
    <w:rsid w:val="008C5A5B"/>
    <w:rsid w:val="008C5E1E"/>
    <w:rsid w:val="008C7625"/>
    <w:rsid w:val="008D32E2"/>
    <w:rsid w:val="008D41D3"/>
    <w:rsid w:val="008D778D"/>
    <w:rsid w:val="008E6C95"/>
    <w:rsid w:val="008F2AFB"/>
    <w:rsid w:val="00902C65"/>
    <w:rsid w:val="00904D86"/>
    <w:rsid w:val="009122A3"/>
    <w:rsid w:val="00912AE0"/>
    <w:rsid w:val="0092026A"/>
    <w:rsid w:val="00926C80"/>
    <w:rsid w:val="00935700"/>
    <w:rsid w:val="00942EDA"/>
    <w:rsid w:val="00952835"/>
    <w:rsid w:val="0095316A"/>
    <w:rsid w:val="0095770B"/>
    <w:rsid w:val="00963EC1"/>
    <w:rsid w:val="00966446"/>
    <w:rsid w:val="00970A37"/>
    <w:rsid w:val="0097139E"/>
    <w:rsid w:val="0097452C"/>
    <w:rsid w:val="00980643"/>
    <w:rsid w:val="00982E7B"/>
    <w:rsid w:val="009866AF"/>
    <w:rsid w:val="009901BF"/>
    <w:rsid w:val="00990AE7"/>
    <w:rsid w:val="00992C9B"/>
    <w:rsid w:val="00995D30"/>
    <w:rsid w:val="009963F2"/>
    <w:rsid w:val="009A05F3"/>
    <w:rsid w:val="009A6B98"/>
    <w:rsid w:val="009B01B7"/>
    <w:rsid w:val="009D0342"/>
    <w:rsid w:val="009D3027"/>
    <w:rsid w:val="009D39CD"/>
    <w:rsid w:val="009D7F85"/>
    <w:rsid w:val="009E00F7"/>
    <w:rsid w:val="009E1AA8"/>
    <w:rsid w:val="009E2197"/>
    <w:rsid w:val="009E53BC"/>
    <w:rsid w:val="009F0BFE"/>
    <w:rsid w:val="009F4380"/>
    <w:rsid w:val="009F5121"/>
    <w:rsid w:val="00A0755A"/>
    <w:rsid w:val="00A133B8"/>
    <w:rsid w:val="00A13744"/>
    <w:rsid w:val="00A13E7B"/>
    <w:rsid w:val="00A14EDF"/>
    <w:rsid w:val="00A22607"/>
    <w:rsid w:val="00A241C9"/>
    <w:rsid w:val="00A27327"/>
    <w:rsid w:val="00A27A37"/>
    <w:rsid w:val="00A31EF1"/>
    <w:rsid w:val="00A375EA"/>
    <w:rsid w:val="00A42935"/>
    <w:rsid w:val="00A47009"/>
    <w:rsid w:val="00A52A25"/>
    <w:rsid w:val="00A601E3"/>
    <w:rsid w:val="00A6048E"/>
    <w:rsid w:val="00A62755"/>
    <w:rsid w:val="00A66B5E"/>
    <w:rsid w:val="00A74C9D"/>
    <w:rsid w:val="00A84950"/>
    <w:rsid w:val="00A871A0"/>
    <w:rsid w:val="00A951B0"/>
    <w:rsid w:val="00AA0235"/>
    <w:rsid w:val="00AB0083"/>
    <w:rsid w:val="00AB1A4F"/>
    <w:rsid w:val="00AB304D"/>
    <w:rsid w:val="00AB3D8A"/>
    <w:rsid w:val="00AC0C9C"/>
    <w:rsid w:val="00AC3140"/>
    <w:rsid w:val="00AD16F4"/>
    <w:rsid w:val="00AD18CA"/>
    <w:rsid w:val="00AD292D"/>
    <w:rsid w:val="00AD3C17"/>
    <w:rsid w:val="00AD563D"/>
    <w:rsid w:val="00AD6939"/>
    <w:rsid w:val="00AE604E"/>
    <w:rsid w:val="00AF0728"/>
    <w:rsid w:val="00AF610C"/>
    <w:rsid w:val="00B05B11"/>
    <w:rsid w:val="00B05CC6"/>
    <w:rsid w:val="00B12623"/>
    <w:rsid w:val="00B14BE4"/>
    <w:rsid w:val="00B16497"/>
    <w:rsid w:val="00B17A7C"/>
    <w:rsid w:val="00B216D0"/>
    <w:rsid w:val="00B22FA0"/>
    <w:rsid w:val="00B23FF0"/>
    <w:rsid w:val="00B24859"/>
    <w:rsid w:val="00B2714E"/>
    <w:rsid w:val="00B3168E"/>
    <w:rsid w:val="00B57AC2"/>
    <w:rsid w:val="00B63BD0"/>
    <w:rsid w:val="00B71EE5"/>
    <w:rsid w:val="00B7212A"/>
    <w:rsid w:val="00B72A69"/>
    <w:rsid w:val="00B752B0"/>
    <w:rsid w:val="00B76E0C"/>
    <w:rsid w:val="00B83FFA"/>
    <w:rsid w:val="00B90C83"/>
    <w:rsid w:val="00B92C8E"/>
    <w:rsid w:val="00BA6660"/>
    <w:rsid w:val="00BB16FB"/>
    <w:rsid w:val="00BB1AC7"/>
    <w:rsid w:val="00BB20A7"/>
    <w:rsid w:val="00BC61C3"/>
    <w:rsid w:val="00BD0346"/>
    <w:rsid w:val="00BD13E1"/>
    <w:rsid w:val="00BD3D74"/>
    <w:rsid w:val="00BD70FF"/>
    <w:rsid w:val="00BE6EC5"/>
    <w:rsid w:val="00BF50E0"/>
    <w:rsid w:val="00BF5EF2"/>
    <w:rsid w:val="00C019BD"/>
    <w:rsid w:val="00C0303B"/>
    <w:rsid w:val="00C12F14"/>
    <w:rsid w:val="00C202C6"/>
    <w:rsid w:val="00C211BB"/>
    <w:rsid w:val="00C21F72"/>
    <w:rsid w:val="00C26E25"/>
    <w:rsid w:val="00C335C1"/>
    <w:rsid w:val="00C342C0"/>
    <w:rsid w:val="00C36CB2"/>
    <w:rsid w:val="00C40631"/>
    <w:rsid w:val="00C436BC"/>
    <w:rsid w:val="00C4384A"/>
    <w:rsid w:val="00C43E3F"/>
    <w:rsid w:val="00C52088"/>
    <w:rsid w:val="00C5463A"/>
    <w:rsid w:val="00C554C2"/>
    <w:rsid w:val="00C62387"/>
    <w:rsid w:val="00C718D7"/>
    <w:rsid w:val="00C7755D"/>
    <w:rsid w:val="00C81C6B"/>
    <w:rsid w:val="00C84785"/>
    <w:rsid w:val="00C8681C"/>
    <w:rsid w:val="00C91633"/>
    <w:rsid w:val="00C949CA"/>
    <w:rsid w:val="00CA7A17"/>
    <w:rsid w:val="00CB3A21"/>
    <w:rsid w:val="00CB7FE0"/>
    <w:rsid w:val="00CC1843"/>
    <w:rsid w:val="00CC3697"/>
    <w:rsid w:val="00CC5C36"/>
    <w:rsid w:val="00CD035E"/>
    <w:rsid w:val="00CD4C4E"/>
    <w:rsid w:val="00CF0A26"/>
    <w:rsid w:val="00CF1486"/>
    <w:rsid w:val="00CF69A1"/>
    <w:rsid w:val="00D039E8"/>
    <w:rsid w:val="00D04820"/>
    <w:rsid w:val="00D127B0"/>
    <w:rsid w:val="00D14851"/>
    <w:rsid w:val="00D1570C"/>
    <w:rsid w:val="00D16EEA"/>
    <w:rsid w:val="00D1735A"/>
    <w:rsid w:val="00D2707E"/>
    <w:rsid w:val="00D35BBA"/>
    <w:rsid w:val="00D52382"/>
    <w:rsid w:val="00D53059"/>
    <w:rsid w:val="00D75FB9"/>
    <w:rsid w:val="00D80514"/>
    <w:rsid w:val="00D81274"/>
    <w:rsid w:val="00D8181D"/>
    <w:rsid w:val="00D90830"/>
    <w:rsid w:val="00DA22E9"/>
    <w:rsid w:val="00DC0469"/>
    <w:rsid w:val="00DC2592"/>
    <w:rsid w:val="00DD0881"/>
    <w:rsid w:val="00DD1608"/>
    <w:rsid w:val="00DD5A71"/>
    <w:rsid w:val="00DE37A2"/>
    <w:rsid w:val="00DE46E0"/>
    <w:rsid w:val="00DE56D3"/>
    <w:rsid w:val="00DE6649"/>
    <w:rsid w:val="00DE6BC5"/>
    <w:rsid w:val="00E02BA9"/>
    <w:rsid w:val="00E112F3"/>
    <w:rsid w:val="00E15CAF"/>
    <w:rsid w:val="00E1621C"/>
    <w:rsid w:val="00E24AB6"/>
    <w:rsid w:val="00E25F91"/>
    <w:rsid w:val="00E2657B"/>
    <w:rsid w:val="00E26A2C"/>
    <w:rsid w:val="00E2718F"/>
    <w:rsid w:val="00E34460"/>
    <w:rsid w:val="00E35287"/>
    <w:rsid w:val="00E3579F"/>
    <w:rsid w:val="00E37EB3"/>
    <w:rsid w:val="00E404EB"/>
    <w:rsid w:val="00E557CC"/>
    <w:rsid w:val="00E57307"/>
    <w:rsid w:val="00E71994"/>
    <w:rsid w:val="00E747CC"/>
    <w:rsid w:val="00E867FE"/>
    <w:rsid w:val="00E92444"/>
    <w:rsid w:val="00E93522"/>
    <w:rsid w:val="00EA2FB9"/>
    <w:rsid w:val="00EA3E92"/>
    <w:rsid w:val="00EA40FB"/>
    <w:rsid w:val="00EB04CB"/>
    <w:rsid w:val="00EB1C0F"/>
    <w:rsid w:val="00EC03B7"/>
    <w:rsid w:val="00EC4404"/>
    <w:rsid w:val="00ED1AAF"/>
    <w:rsid w:val="00ED24DB"/>
    <w:rsid w:val="00ED2BD4"/>
    <w:rsid w:val="00EE3E2C"/>
    <w:rsid w:val="00EE626E"/>
    <w:rsid w:val="00EE760A"/>
    <w:rsid w:val="00EF2F38"/>
    <w:rsid w:val="00EF5759"/>
    <w:rsid w:val="00F02EC9"/>
    <w:rsid w:val="00F033FB"/>
    <w:rsid w:val="00F04CCC"/>
    <w:rsid w:val="00F124BB"/>
    <w:rsid w:val="00F13AA5"/>
    <w:rsid w:val="00F142BA"/>
    <w:rsid w:val="00F21943"/>
    <w:rsid w:val="00F246AA"/>
    <w:rsid w:val="00F24A55"/>
    <w:rsid w:val="00F27284"/>
    <w:rsid w:val="00F35C34"/>
    <w:rsid w:val="00F401B7"/>
    <w:rsid w:val="00F40E36"/>
    <w:rsid w:val="00F60850"/>
    <w:rsid w:val="00F609A0"/>
    <w:rsid w:val="00F65F97"/>
    <w:rsid w:val="00F76CE5"/>
    <w:rsid w:val="00F77214"/>
    <w:rsid w:val="00F8062F"/>
    <w:rsid w:val="00F82D65"/>
    <w:rsid w:val="00F8502B"/>
    <w:rsid w:val="00F85247"/>
    <w:rsid w:val="00F8621A"/>
    <w:rsid w:val="00F90774"/>
    <w:rsid w:val="00F90F35"/>
    <w:rsid w:val="00FA18CD"/>
    <w:rsid w:val="00FA6804"/>
    <w:rsid w:val="00FB480B"/>
    <w:rsid w:val="00FC7168"/>
    <w:rsid w:val="00FC791D"/>
    <w:rsid w:val="00FD265D"/>
    <w:rsid w:val="00FD47F8"/>
    <w:rsid w:val="00FD62F1"/>
    <w:rsid w:val="00FE2F8B"/>
    <w:rsid w:val="00FE641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33B69"/>
  <w15:chartTrackingRefBased/>
  <w15:docId w15:val="{CA896F87-B78E-4DB1-B426-DEC7ADD9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3"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952835"/>
    <w:pPr>
      <w:spacing w:before="120" w:after="120" w:line="280" w:lineRule="atLeast"/>
    </w:pPr>
    <w:rPr>
      <w:kern w:val="0"/>
      <w:sz w:val="20"/>
      <w:szCs w:val="20"/>
      <w14:ligatures w14:val="none"/>
    </w:rPr>
  </w:style>
  <w:style w:type="paragraph" w:styleId="Heading1">
    <w:name w:val="heading 1"/>
    <w:basedOn w:val="Normal"/>
    <w:next w:val="Normal"/>
    <w:link w:val="Heading1Char"/>
    <w:uiPriority w:val="9"/>
    <w:qFormat/>
    <w:rsid w:val="00952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835"/>
    <w:rPr>
      <w:rFonts w:eastAsiaTheme="majorEastAsia" w:cstheme="majorBidi"/>
      <w:color w:val="272727" w:themeColor="text1" w:themeTint="D8"/>
    </w:rPr>
  </w:style>
  <w:style w:type="paragraph" w:styleId="Title">
    <w:name w:val="Title"/>
    <w:basedOn w:val="Normal"/>
    <w:next w:val="Normal"/>
    <w:link w:val="TitleChar"/>
    <w:uiPriority w:val="10"/>
    <w:qFormat/>
    <w:rsid w:val="00952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835"/>
    <w:pPr>
      <w:spacing w:before="160"/>
      <w:jc w:val="center"/>
    </w:pPr>
    <w:rPr>
      <w:i/>
      <w:iCs/>
      <w:color w:val="404040" w:themeColor="text1" w:themeTint="BF"/>
    </w:rPr>
  </w:style>
  <w:style w:type="character" w:customStyle="1" w:styleId="QuoteChar">
    <w:name w:val="Quote Char"/>
    <w:basedOn w:val="DefaultParagraphFont"/>
    <w:link w:val="Quote"/>
    <w:uiPriority w:val="29"/>
    <w:rsid w:val="00952835"/>
    <w:rPr>
      <w:i/>
      <w:iCs/>
      <w:color w:val="404040" w:themeColor="text1" w:themeTint="BF"/>
    </w:rPr>
  </w:style>
  <w:style w:type="paragraph" w:styleId="ListParagraph">
    <w:name w:val="List Paragraph"/>
    <w:basedOn w:val="Normal"/>
    <w:uiPriority w:val="34"/>
    <w:qFormat/>
    <w:rsid w:val="00952835"/>
    <w:pPr>
      <w:ind w:left="720"/>
      <w:contextualSpacing/>
    </w:pPr>
  </w:style>
  <w:style w:type="character" w:styleId="IntenseEmphasis">
    <w:name w:val="Intense Emphasis"/>
    <w:basedOn w:val="DefaultParagraphFont"/>
    <w:uiPriority w:val="21"/>
    <w:qFormat/>
    <w:rsid w:val="00952835"/>
    <w:rPr>
      <w:i/>
      <w:iCs/>
      <w:color w:val="0F4761" w:themeColor="accent1" w:themeShade="BF"/>
    </w:rPr>
  </w:style>
  <w:style w:type="paragraph" w:styleId="IntenseQuote">
    <w:name w:val="Intense Quote"/>
    <w:basedOn w:val="Normal"/>
    <w:next w:val="Normal"/>
    <w:link w:val="IntenseQuoteChar"/>
    <w:uiPriority w:val="30"/>
    <w:qFormat/>
    <w:rsid w:val="00952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835"/>
    <w:rPr>
      <w:i/>
      <w:iCs/>
      <w:color w:val="0F4761" w:themeColor="accent1" w:themeShade="BF"/>
    </w:rPr>
  </w:style>
  <w:style w:type="character" w:styleId="IntenseReference">
    <w:name w:val="Intense Reference"/>
    <w:basedOn w:val="DefaultParagraphFont"/>
    <w:uiPriority w:val="32"/>
    <w:qFormat/>
    <w:rsid w:val="00952835"/>
    <w:rPr>
      <w:b/>
      <w:bCs/>
      <w:smallCaps/>
      <w:color w:val="0F4761" w:themeColor="accent1" w:themeShade="BF"/>
      <w:spacing w:val="5"/>
    </w:rPr>
  </w:style>
  <w:style w:type="paragraph" w:styleId="Header">
    <w:name w:val="header"/>
    <w:basedOn w:val="Normal"/>
    <w:link w:val="HeaderChar"/>
    <w:uiPriority w:val="99"/>
    <w:unhideWhenUsed/>
    <w:rsid w:val="0095283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52835"/>
    <w:rPr>
      <w:kern w:val="0"/>
      <w:sz w:val="20"/>
      <w:szCs w:val="20"/>
      <w14:ligatures w14:val="none"/>
    </w:rPr>
  </w:style>
  <w:style w:type="paragraph" w:styleId="Footer">
    <w:name w:val="footer"/>
    <w:basedOn w:val="Normal"/>
    <w:link w:val="FooterChar"/>
    <w:uiPriority w:val="99"/>
    <w:unhideWhenUsed/>
    <w:rsid w:val="0095283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52835"/>
    <w:rPr>
      <w:kern w:val="0"/>
      <w:sz w:val="20"/>
      <w:szCs w:val="20"/>
      <w14:ligatures w14:val="none"/>
    </w:rPr>
  </w:style>
  <w:style w:type="paragraph" w:styleId="ListBullet">
    <w:name w:val="List Bullet"/>
    <w:basedOn w:val="Normal"/>
    <w:link w:val="ListBulletChar"/>
    <w:uiPriority w:val="1"/>
    <w:qFormat/>
    <w:rsid w:val="00952835"/>
    <w:pPr>
      <w:numPr>
        <w:numId w:val="1"/>
      </w:numPr>
      <w:contextualSpacing/>
    </w:pPr>
  </w:style>
  <w:style w:type="paragraph" w:styleId="ListBullet2">
    <w:name w:val="List Bullet 2"/>
    <w:basedOn w:val="Normal"/>
    <w:uiPriority w:val="1"/>
    <w:qFormat/>
    <w:rsid w:val="00952835"/>
    <w:pPr>
      <w:numPr>
        <w:ilvl w:val="1"/>
        <w:numId w:val="1"/>
      </w:numPr>
      <w:contextualSpacing/>
    </w:pPr>
  </w:style>
  <w:style w:type="numbering" w:customStyle="1" w:styleId="Bullets">
    <w:name w:val="Bullets"/>
    <w:uiPriority w:val="99"/>
    <w:rsid w:val="00952835"/>
    <w:pPr>
      <w:numPr>
        <w:numId w:val="1"/>
      </w:numPr>
    </w:pPr>
  </w:style>
  <w:style w:type="paragraph" w:styleId="ListBullet3">
    <w:name w:val="List Bullet 3"/>
    <w:basedOn w:val="Normal"/>
    <w:uiPriority w:val="1"/>
    <w:qFormat/>
    <w:rsid w:val="00952835"/>
    <w:pPr>
      <w:numPr>
        <w:ilvl w:val="2"/>
        <w:numId w:val="1"/>
      </w:numPr>
      <w:contextualSpacing/>
    </w:pPr>
  </w:style>
  <w:style w:type="character" w:customStyle="1" w:styleId="ListBulletChar">
    <w:name w:val="List Bullet Char"/>
    <w:basedOn w:val="DefaultParagraphFont"/>
    <w:link w:val="ListBullet"/>
    <w:uiPriority w:val="1"/>
    <w:rsid w:val="00952835"/>
    <w:rPr>
      <w:kern w:val="0"/>
      <w:sz w:val="20"/>
      <w:szCs w:val="20"/>
      <w14:ligatures w14:val="none"/>
    </w:rPr>
  </w:style>
  <w:style w:type="paragraph" w:customStyle="1" w:styleId="TableHeading">
    <w:name w:val="Table Heading"/>
    <w:basedOn w:val="Normal"/>
    <w:uiPriority w:val="40"/>
    <w:rsid w:val="00952835"/>
    <w:pPr>
      <w:spacing w:before="60"/>
      <w:contextualSpacing/>
    </w:pPr>
    <w:rPr>
      <w:b/>
      <w:color w:val="E8E8E8" w:themeColor="background2"/>
    </w:rPr>
  </w:style>
  <w:style w:type="paragraph" w:styleId="ListContinue4">
    <w:name w:val="List Continue 4"/>
    <w:basedOn w:val="Normal"/>
    <w:uiPriority w:val="3"/>
    <w:unhideWhenUsed/>
    <w:qFormat/>
    <w:rsid w:val="0069313F"/>
    <w:pPr>
      <w:spacing w:line="293" w:lineRule="auto"/>
      <w:ind w:left="907"/>
      <w:contextualSpacing/>
    </w:pPr>
  </w:style>
  <w:style w:type="paragraph" w:styleId="NoSpacing">
    <w:name w:val="No Spacing"/>
    <w:basedOn w:val="Normal"/>
    <w:link w:val="NoSpacingChar"/>
    <w:uiPriority w:val="10"/>
    <w:qFormat/>
    <w:rsid w:val="00F82D65"/>
    <w:pPr>
      <w:spacing w:before="0" w:after="0"/>
    </w:pPr>
  </w:style>
  <w:style w:type="table" w:styleId="TableGrid">
    <w:name w:val="Table Grid"/>
    <w:basedOn w:val="TableNormal"/>
    <w:uiPriority w:val="39"/>
    <w:rsid w:val="00F82D6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0"/>
    <w:rsid w:val="00F82D65"/>
    <w:rPr>
      <w:kern w:val="0"/>
      <w:sz w:val="20"/>
      <w:szCs w:val="20"/>
      <w14:ligatures w14:val="none"/>
    </w:rPr>
  </w:style>
  <w:style w:type="character" w:styleId="Strong">
    <w:name w:val="Strong"/>
    <w:basedOn w:val="DefaultParagraphFont"/>
    <w:uiPriority w:val="22"/>
    <w:qFormat/>
    <w:rsid w:val="0036745D"/>
    <w:rPr>
      <w:b/>
      <w:bCs/>
    </w:rPr>
  </w:style>
  <w:style w:type="paragraph" w:customStyle="1" w:styleId="font-claude-response-body">
    <w:name w:val="font-claude-response-body"/>
    <w:basedOn w:val="Normal"/>
    <w:rsid w:val="00A2732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dq2pgselectionanchorcontainer">
    <w:name w:val="pdq2pg_selectionanchorcontainer"/>
    <w:basedOn w:val="Normal"/>
    <w:rsid w:val="0086780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86780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ndNoteBibliographyTitle">
    <w:name w:val="EndNote Bibliography Title"/>
    <w:basedOn w:val="Normal"/>
    <w:link w:val="EndNoteBibliographyTitleChar"/>
    <w:rsid w:val="00F8621A"/>
    <w:pPr>
      <w:spacing w:after="0"/>
      <w:jc w:val="center"/>
    </w:pPr>
    <w:rPr>
      <w:rFonts w:ascii="Aptos" w:hAnsi="Aptos"/>
      <w:noProof/>
      <w:lang w:val="en-US"/>
    </w:rPr>
  </w:style>
  <w:style w:type="character" w:customStyle="1" w:styleId="EndNoteBibliographyTitleChar">
    <w:name w:val="EndNote Bibliography Title Char"/>
    <w:basedOn w:val="ListBulletChar"/>
    <w:link w:val="EndNoteBibliographyTitle"/>
    <w:rsid w:val="00F8621A"/>
    <w:rPr>
      <w:rFonts w:ascii="Aptos" w:hAnsi="Aptos"/>
      <w:noProof/>
      <w:kern w:val="0"/>
      <w:sz w:val="20"/>
      <w:szCs w:val="20"/>
      <w:lang w:val="en-US"/>
      <w14:ligatures w14:val="none"/>
    </w:rPr>
  </w:style>
  <w:style w:type="paragraph" w:customStyle="1" w:styleId="EndNoteBibliography">
    <w:name w:val="EndNote Bibliography"/>
    <w:basedOn w:val="Normal"/>
    <w:link w:val="EndNoteBibliographyChar"/>
    <w:rsid w:val="00F8621A"/>
    <w:pPr>
      <w:spacing w:line="240" w:lineRule="atLeast"/>
    </w:pPr>
    <w:rPr>
      <w:rFonts w:ascii="Aptos" w:hAnsi="Aptos"/>
      <w:noProof/>
      <w:lang w:val="en-US"/>
    </w:rPr>
  </w:style>
  <w:style w:type="character" w:customStyle="1" w:styleId="EndNoteBibliographyChar">
    <w:name w:val="EndNote Bibliography Char"/>
    <w:basedOn w:val="ListBulletChar"/>
    <w:link w:val="EndNoteBibliography"/>
    <w:rsid w:val="00F8621A"/>
    <w:rPr>
      <w:rFonts w:ascii="Aptos" w:hAnsi="Aptos"/>
      <w:noProof/>
      <w:kern w:val="0"/>
      <w:sz w:val="20"/>
      <w:szCs w:val="20"/>
      <w:lang w:val="en-US"/>
      <w14:ligatures w14:val="none"/>
    </w:rPr>
  </w:style>
  <w:style w:type="character" w:styleId="Hyperlink">
    <w:name w:val="Hyperlink"/>
    <w:basedOn w:val="DefaultParagraphFont"/>
    <w:uiPriority w:val="99"/>
    <w:unhideWhenUsed/>
    <w:rsid w:val="00F8621A"/>
    <w:rPr>
      <w:color w:val="467886" w:themeColor="hyperlink"/>
      <w:u w:val="single"/>
    </w:rPr>
  </w:style>
  <w:style w:type="character" w:styleId="UnresolvedMention">
    <w:name w:val="Unresolved Mention"/>
    <w:basedOn w:val="DefaultParagraphFont"/>
    <w:uiPriority w:val="99"/>
    <w:semiHidden/>
    <w:unhideWhenUsed/>
    <w:rsid w:val="00F8621A"/>
    <w:rPr>
      <w:color w:val="605E5C"/>
      <w:shd w:val="clear" w:color="auto" w:fill="E1DFDD"/>
    </w:rPr>
  </w:style>
  <w:style w:type="character" w:styleId="CommentReference">
    <w:name w:val="annotation reference"/>
    <w:basedOn w:val="DefaultParagraphFont"/>
    <w:uiPriority w:val="99"/>
    <w:semiHidden/>
    <w:unhideWhenUsed/>
    <w:rsid w:val="00EF5759"/>
    <w:rPr>
      <w:sz w:val="16"/>
      <w:szCs w:val="16"/>
    </w:rPr>
  </w:style>
  <w:style w:type="paragraph" w:styleId="CommentText">
    <w:name w:val="annotation text"/>
    <w:basedOn w:val="Normal"/>
    <w:link w:val="CommentTextChar"/>
    <w:uiPriority w:val="99"/>
    <w:unhideWhenUsed/>
    <w:rsid w:val="00EF5759"/>
    <w:pPr>
      <w:spacing w:line="240" w:lineRule="auto"/>
    </w:pPr>
  </w:style>
  <w:style w:type="character" w:customStyle="1" w:styleId="CommentTextChar">
    <w:name w:val="Comment Text Char"/>
    <w:basedOn w:val="DefaultParagraphFont"/>
    <w:link w:val="CommentText"/>
    <w:uiPriority w:val="99"/>
    <w:rsid w:val="00EF575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F5759"/>
    <w:rPr>
      <w:b/>
      <w:bCs/>
    </w:rPr>
  </w:style>
  <w:style w:type="character" w:customStyle="1" w:styleId="CommentSubjectChar">
    <w:name w:val="Comment Subject Char"/>
    <w:basedOn w:val="CommentTextChar"/>
    <w:link w:val="CommentSubject"/>
    <w:uiPriority w:val="99"/>
    <w:semiHidden/>
    <w:rsid w:val="00EF575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5334/dsj-2020-043" TargetMode="External"/><Relationship Id="rId18" Type="http://schemas.openxmlformats.org/officeDocument/2006/relationships/hyperlink" Target="https://doi.org/10.1136/bmjgh-2019-00175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bom.gov.au/water/npr/" TargetMode="External"/><Relationship Id="rId17" Type="http://schemas.openxmlformats.org/officeDocument/2006/relationships/hyperlink" Target="https://www.taswater.com.au/community/water-quality/your-drinking-water" TargetMode="External"/><Relationship Id="rId2" Type="http://schemas.openxmlformats.org/officeDocument/2006/relationships/customXml" Target="../customXml/item2.xml"/><Relationship Id="rId16" Type="http://schemas.openxmlformats.org/officeDocument/2006/relationships/hyperlink" Target="https://www.maiamnayriwingara.org/mnw-principl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uswaterquality.org" TargetMode="External"/><Relationship Id="rId5" Type="http://schemas.openxmlformats.org/officeDocument/2006/relationships/styles" Target="styles.xml"/><Relationship Id="rId15" Type="http://schemas.openxmlformats.org/officeDocument/2006/relationships/hyperlink" Target="https://auswaterquality.org/detail/the-australian-drinking-water-record-adwr-2026-report" TargetMode="External"/><Relationship Id="rId10" Type="http://schemas.openxmlformats.org/officeDocument/2006/relationships/hyperlink" Target="http://auswaterquality.org/"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sc.vic.gov.au/water/sector-performance-and-reporting/how-customers-rate-their-water-busines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A6B080B0BC2448286476D4BE37019" ma:contentTypeVersion="11" ma:contentTypeDescription="Create a new document." ma:contentTypeScope="" ma:versionID="e86ae78d079c5814c753ab5b1c71d12b">
  <xsd:schema xmlns:xsd="http://www.w3.org/2001/XMLSchema" xmlns:xs="http://www.w3.org/2001/XMLSchema" xmlns:p="http://schemas.microsoft.com/office/2006/metadata/properties" xmlns:ns2="525413a7-c6dd-413c-8747-dd3127a98452" xmlns:ns3="172845f7-3106-485c-8367-9493e99ef081" targetNamespace="http://schemas.microsoft.com/office/2006/metadata/properties" ma:root="true" ma:fieldsID="c2426cf06c2af4f50a19b4d3cd5313d1" ns2:_="" ns3:_="">
    <xsd:import namespace="525413a7-c6dd-413c-8747-dd3127a98452"/>
    <xsd:import namespace="172845f7-3106-485c-8367-9493e99ef081"/>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_ApprovalAssignedTo" minOccurs="0"/>
                <xsd:element ref="ns3:_ApprovalRespondedBy" minOccurs="0"/>
                <xsd:element ref="ns3:_ApprovalSentBy" minOccurs="0"/>
                <xsd:element ref="ns3:_Approval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ae1dbf4-cf1b-435e-a468-3d29cab17560}"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845f7-3106-485c-8367-9493e99ef0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pprovalAssignedTo" ma:index="1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7" nillable="true" ma:displayName="Approval status" ma:internalName="_ApprovalStatu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25413a7-c6dd-413c-8747-dd3127a98452">
      <Value>1</Value>
    </TaxCatchAll>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ApprovalAssignedTo xmlns="172845f7-3106-485c-8367-9493e99ef081">
      <UserInfo>
        <DisplayName/>
        <AccountId xsi:nil="true"/>
        <AccountType/>
      </UserInfo>
    </_ApprovalAssignedTo>
    <_ApprovalRespondedBy xmlns="172845f7-3106-485c-8367-9493e99ef081">
      <UserInfo>
        <DisplayName/>
        <AccountId xsi:nil="true"/>
        <AccountType/>
      </UserInfo>
    </_ApprovalRespondedBy>
    <_ApprovalStatus xmlns="172845f7-3106-485c-8367-9493e99ef081">0</_ApprovalStatus>
    <_ApprovalSentBy xmlns="172845f7-3106-485c-8367-9493e99ef081">
      <UserInfo>
        <DisplayName/>
        <AccountId xsi:nil="true"/>
        <AccountType/>
      </UserInfo>
    </_ApprovalSent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FA150-7343-4B20-8BEE-FC13BCF6B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413a7-c6dd-413c-8747-dd3127a98452"/>
    <ds:schemaRef ds:uri="172845f7-3106-485c-8367-9493e99ef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C95C2-E4D9-41C7-968B-7F5D53EFC246}">
  <ds:schemaRefs>
    <ds:schemaRef ds:uri="http://schemas.microsoft.com/office/2006/metadata/properties"/>
    <ds:schemaRef ds:uri="http://schemas.microsoft.com/office/infopath/2007/PartnerControls"/>
    <ds:schemaRef ds:uri="525413a7-c6dd-413c-8747-dd3127a98452"/>
    <ds:schemaRef ds:uri="172845f7-3106-485c-8367-9493e99ef081"/>
  </ds:schemaRefs>
</ds:datastoreItem>
</file>

<file path=customXml/itemProps3.xml><?xml version="1.0" encoding="utf-8"?>
<ds:datastoreItem xmlns:ds="http://schemas.openxmlformats.org/officeDocument/2006/customXml" ds:itemID="{15EEE185-AF01-40F4-BCC3-E88308C36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4096</Words>
  <Characters>25890</Characters>
  <Application>Microsoft Office Word</Application>
  <DocSecurity>0</DocSecurity>
  <Lines>380</Lines>
  <Paragraphs>121</Paragraphs>
  <ScaleCrop>false</ScaleCrop>
  <HeadingPairs>
    <vt:vector size="2" baseType="variant">
      <vt:variant>
        <vt:lpstr>Title</vt:lpstr>
      </vt:variant>
      <vt:variant>
        <vt:i4>1</vt:i4>
      </vt:variant>
    </vt:vector>
  </HeadingPairs>
  <TitlesOfParts>
    <vt:vector size="1" baseType="lpstr">
      <vt:lpstr>Submission 79 - Water Justice Hub, Crawford School of Public Policy, Australian National University - National Water Reform 2026 - Public inquiry</vt:lpstr>
    </vt:vector>
  </TitlesOfParts>
  <Company>Water Justice Hub, Crawford School of Public Policy, Australian National University</Company>
  <LinksUpToDate>false</LinksUpToDate>
  <CharactersWithSpaces>29865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79 - Water Justice Hub, Crawford School of Public Policy, Australian National University - National Water Reform 2026 - Public inquiry</dc:title>
  <dc:subject/>
  <dc:creator>Water Justice Hub, Crawford School of Public Policy, Australian National University</dc:creator>
  <cp:keywords/>
  <dc:description/>
  <cp:lastModifiedBy>Chris Alston</cp:lastModifiedBy>
  <cp:revision>3</cp:revision>
  <dcterms:created xsi:type="dcterms:W3CDTF">2026-07-10T01:15:00Z</dcterms:created>
  <dcterms:modified xsi:type="dcterms:W3CDTF">2026-07-10T01:16:00Z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0x010100211A6B080B0BC2448286476D4BE37019</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2026-07-10T01:15:25Z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ae366a50-f983-44cf-a550-aeeee588ed8e</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