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322AB" w14:textId="77777777" w:rsidR="00FD3FE4" w:rsidRDefault="00BC2D8C" w:rsidP="00FA1A3C">
      <w:pPr>
        <w:pStyle w:val="Heading1-nobackground"/>
        <w:spacing w:before="0"/>
      </w:pPr>
      <w:r>
        <w:t xml:space="preserve">Brief comments </w:t>
      </w:r>
      <w:r w:rsidRPr="002E0C69">
        <w:t>received</w:t>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704"/>
        <w:gridCol w:w="13856"/>
      </w:tblGrid>
      <w:tr w:rsidR="00BC2D8C" w:rsidRPr="00BC2D8C" w14:paraId="5E53081F" w14:textId="77777777" w:rsidTr="00BC2D8C">
        <w:trPr>
          <w:tblHeader/>
        </w:trPr>
        <w:tc>
          <w:tcPr>
            <w:tcW w:w="704" w:type="dxa"/>
            <w:shd w:val="clear" w:color="auto" w:fill="CBDDF2" w:themeFill="background2" w:themeFillTint="33"/>
            <w:vAlign w:val="bottom"/>
          </w:tcPr>
          <w:p w14:paraId="7E85A607" w14:textId="77777777" w:rsidR="00BC2D8C" w:rsidRPr="00BC2D8C" w:rsidRDefault="00BC2D8C" w:rsidP="00BC2D8C">
            <w:pPr>
              <w:pStyle w:val="BodyText"/>
              <w:spacing w:before="45" w:after="45"/>
              <w:ind w:left="57" w:right="108"/>
              <w:rPr>
                <w:rFonts w:ascii="Arial (Body)" w:hAnsi="Arial (Body)"/>
                <w:b/>
                <w:color w:val="265A9A"/>
                <w:sz w:val="18"/>
              </w:rPr>
            </w:pPr>
            <w:r w:rsidRPr="00BC2D8C">
              <w:rPr>
                <w:rFonts w:ascii="Arial (Body)" w:hAnsi="Arial (Body)"/>
                <w:b/>
                <w:color w:val="265A9A"/>
                <w:sz w:val="18"/>
              </w:rPr>
              <w:t>No.</w:t>
            </w:r>
          </w:p>
        </w:tc>
        <w:tc>
          <w:tcPr>
            <w:tcW w:w="13856" w:type="dxa"/>
            <w:shd w:val="clear" w:color="auto" w:fill="CBDDF2" w:themeFill="background2" w:themeFillTint="33"/>
            <w:vAlign w:val="bottom"/>
          </w:tcPr>
          <w:p w14:paraId="683F4550" w14:textId="77777777" w:rsidR="00BC2D8C" w:rsidRPr="00BC2D8C" w:rsidRDefault="00BC2D8C" w:rsidP="00BC2D8C">
            <w:pPr>
              <w:pStyle w:val="BodyText"/>
              <w:spacing w:before="45" w:after="45"/>
              <w:ind w:left="57" w:right="108"/>
              <w:rPr>
                <w:rFonts w:ascii="Arial (Body)" w:hAnsi="Arial (Body)"/>
                <w:b/>
                <w:color w:val="265A9A"/>
                <w:sz w:val="18"/>
              </w:rPr>
            </w:pPr>
            <w:r w:rsidRPr="00BC2D8C">
              <w:rPr>
                <w:rFonts w:ascii="Arial (Body)" w:hAnsi="Arial (Body)"/>
                <w:b/>
                <w:color w:val="265A9A"/>
                <w:sz w:val="18"/>
              </w:rPr>
              <w:t>Comment</w:t>
            </w:r>
          </w:p>
        </w:tc>
      </w:tr>
      <w:tr w:rsidR="00BC2D8C" w:rsidRPr="00BC2D8C" w14:paraId="748BF24C" w14:textId="77777777" w:rsidTr="00BC2D8C">
        <w:tc>
          <w:tcPr>
            <w:tcW w:w="704" w:type="dxa"/>
          </w:tcPr>
          <w:p w14:paraId="326B62FB"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1</w:t>
            </w:r>
          </w:p>
        </w:tc>
        <w:tc>
          <w:tcPr>
            <w:tcW w:w="13856" w:type="dxa"/>
          </w:tcPr>
          <w:p w14:paraId="5CC1093B" w14:textId="5163DABD" w:rsidR="00BC2D8C" w:rsidRPr="00BC2D8C" w:rsidRDefault="00095DF3" w:rsidP="006C3868">
            <w:pPr>
              <w:spacing w:before="240" w:after="360"/>
              <w:ind w:left="240" w:right="240"/>
              <w:rPr>
                <w:rFonts w:ascii="Arial (Body)" w:hAnsi="Arial (Body)"/>
                <w:color w:val="000000"/>
                <w:sz w:val="18"/>
              </w:rPr>
            </w:pPr>
            <w:r>
              <w:rPr>
                <w:color w:val="000000"/>
              </w:rPr>
              <w:t>Voluntary administration timeframes as a barrier to business dynamism and domestic recapitalisation</w:t>
            </w:r>
            <w:r w:rsidR="00072699">
              <w:rPr>
                <w:color w:val="000000"/>
              </w:rPr>
              <w:t>.</w:t>
            </w:r>
            <w:r>
              <w:rPr>
                <w:color w:val="000000"/>
              </w:rPr>
              <w:t xml:space="preserve"> Currently it appears Australia lacks an effective bridge between a listed company developing a viable project and the deep domestic capital pool that might prevent an insolvency event in the first place. I wish to raise a structural issue concerning Australia’s voluntary administration (VA) framework that may itself operate as a barrier to business dynamism. Voluntary administration is designed to provide a rapid pathway for restructuring or otherwise resolving an insolvent or near-insolvent company. However, the accelerated statutory timetable can also have the unintended effect of excluding large domestic institutional investors, including Australian superannuation funds, from participating meaningfully in business continuation, recapitalisation or rescue opportunities. Large institutional investors are necessarily subject to governance, valuation, due-diligence, investment-committee and risk-management processes. These processes generally cannot be completed within the compressed timeframes associated with voluntary administration. By contrast, pre-positioned buyers, secured creditors, private capital or offshore entities may be able to move much more quickly, with limited competition from onshore institutional investors. The result may be a narrower pool of potential rescue capital at precisely the point when a viable Australian business most needs access to capital. This appears inconsistent with the broader objective of business dynamism. The Productivity Commission’s inquiry paper identifies access to capital, restructuring, transfer of businesses and the design and operation of insolvency frameworks as areas of interest. It also notes that regulatory settings should support suitable outcomes for businesses and help move resources toward productive uses. Recent Australian resource-sector administrations illustrate the issue. I was a long-term shareholder in both </w:t>
            </w:r>
            <w:proofErr w:type="spellStart"/>
            <w:r>
              <w:rPr>
                <w:color w:val="000000"/>
              </w:rPr>
              <w:t>Lucapa</w:t>
            </w:r>
            <w:proofErr w:type="spellEnd"/>
            <w:r>
              <w:rPr>
                <w:color w:val="000000"/>
              </w:rPr>
              <w:t xml:space="preserve"> Diamond Company and Strandline Resources. Both companies entered insolvency processes, and Treasury has subsequently confirmed to me that court extensions were granted in both administrations. This raises an important policy question: if voluntary administration timeframes can be extended where necessary for the administration process itself, should there also be a mechanism allowing credible domestic institutional capital sufficient time to assess and participate in genuine recapitalisation opportunities? The concern is that superannuation funds or other Australian institutions may currently be prevented from realistically considering recapitalisation opportunities at all, including opportunities to recapitalise businesses before voluntary administration becomes necessary. Under VA processes, distressed valuations may substantially reduce the recognised value of assets held by companies whose shareholders have supported projects through lengthy and high-risk exploration and development stages. In some cases, including </w:t>
            </w:r>
            <w:proofErr w:type="spellStart"/>
            <w:r>
              <w:rPr>
                <w:color w:val="000000"/>
              </w:rPr>
              <w:t>Lucapa</w:t>
            </w:r>
            <w:proofErr w:type="spellEnd"/>
            <w:r>
              <w:rPr>
                <w:color w:val="000000"/>
              </w:rPr>
              <w:t>, the underlying difficulty may be a liquidity or funding constraint rather than an absence of long-term asset value. This can have several broader effects: 1. Reduction in competitive tension for distressed businesses and assets. 2. Exclusion of Australian retirement capital from potentially viable domestic investment opportunities. 3. Increased likelihood of distressed transfers rather than transparent recapitalisation. 4. Loss of shareholder confidence in funding early-stage Australian businesses. 5. Potentially poorer allocation of capital across the economy. This issue may be particularly important in sectors such as exploration and mining, where companies can hold assets with significant long-term option value but limited near-term cash flow, especially during development stages. A distressed corporate valuation may not adequately reflect the future value of those projects, while the VA timetable may not allow sufficient time for potential institutional investors to independently assess them. There is also a public-sector risk dimension. In some resource projects, early-</w:t>
            </w:r>
            <w:r>
              <w:rPr>
                <w:color w:val="000000"/>
              </w:rPr>
              <w:lastRenderedPageBreak/>
              <w:t xml:space="preserve">stage and development risk is carried not only by shareholders, but also by public financing institutions such as NAIF and the CEFC. Yet insolvency processes can still result in strategic assets being transferred at distressed valuations while shareholders, taxpayers and domestic creditors absorb much of the loss. Recent examples including Strandline’s Coburn project and Salt Lake Potash illustrate the broader issue. Safeguards across the exploration-to-development pipeline may therefore be warranted, particularly where early-stage projects such as </w:t>
            </w:r>
            <w:proofErr w:type="spellStart"/>
            <w:r>
              <w:rPr>
                <w:color w:val="000000"/>
              </w:rPr>
              <w:t>Lucapa’s</w:t>
            </w:r>
            <w:proofErr w:type="spellEnd"/>
            <w:r>
              <w:rPr>
                <w:color w:val="000000"/>
              </w:rPr>
              <w:t xml:space="preserve"> Merlin tenements or more advanced projects such as Strandline hold strategic or nationally significant assets. I suggest the Commission consider whether a limited institutional participation mechanism could improve the operation of voluntary administration. Options might include: 1. A short additional recapitalisation window where credible institutional interest exists. 2. Mandatory notification of substantial listed-company administrations to appropriate domestic institutional investment channels, with consideration also given to voluntary self-notification well before potential administration. 3. Greater transparency around recapitalisation opportunities before irreversible asset or share transfers occur. 4. Consideration of whether court-granted VA extensions should also facilitate broader competitive access to rescue capital. The objective would be to ensure that speed does not inadvertently undermine the primary economic purpose of restructuring by excluding potentially viable sources of domestic capital. A well-designed framework should give economically viable businesses, particularly at vulnerable stages, a genuine opportunity to be recapitalised. In my view, the current mismatch between VA timeframes and institutional investment processes warrants examination as a potential barrier to business dynamism.</w:t>
            </w:r>
          </w:p>
        </w:tc>
      </w:tr>
    </w:tbl>
    <w:p w14:paraId="03E740D1" w14:textId="77777777" w:rsidR="003438EC" w:rsidRDefault="003438EC">
      <w:r>
        <w:lastRenderedPageBreak/>
        <w:br w:type="page"/>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704"/>
        <w:gridCol w:w="13856"/>
      </w:tblGrid>
      <w:tr w:rsidR="004725ED" w:rsidRPr="00BC2D8C" w14:paraId="4D2466DF" w14:textId="77777777" w:rsidTr="00BC2D8C">
        <w:tc>
          <w:tcPr>
            <w:tcW w:w="704" w:type="dxa"/>
          </w:tcPr>
          <w:p w14:paraId="65292A50" w14:textId="6CDD6136" w:rsidR="004725ED" w:rsidRPr="00BC2D8C" w:rsidRDefault="004725ED"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2</w:t>
            </w:r>
          </w:p>
        </w:tc>
        <w:tc>
          <w:tcPr>
            <w:tcW w:w="13856" w:type="dxa"/>
          </w:tcPr>
          <w:p w14:paraId="7A378F7E" w14:textId="77777777" w:rsidR="004B0231" w:rsidRPr="004B0231" w:rsidRDefault="004B0231" w:rsidP="004B0231">
            <w:pPr>
              <w:spacing w:before="240" w:after="360"/>
              <w:ind w:left="240" w:right="240"/>
              <w:rPr>
                <w:color w:val="000000"/>
              </w:rPr>
            </w:pPr>
            <w:r w:rsidRPr="004B0231">
              <w:rPr>
                <w:color w:val="000000"/>
              </w:rPr>
              <w:t xml:space="preserve">I am CEO of </w:t>
            </w:r>
            <w:proofErr w:type="spellStart"/>
            <w:r w:rsidRPr="004B0231">
              <w:rPr>
                <w:color w:val="000000"/>
              </w:rPr>
              <w:t>Elixinol</w:t>
            </w:r>
            <w:proofErr w:type="spellEnd"/>
            <w:r w:rsidRPr="004B0231">
              <w:rPr>
                <w:color w:val="000000"/>
              </w:rPr>
              <w:t xml:space="preserve"> Wellness Limited, an Australian listed wellness company, and wanted to provide a recent real-world example that may be relevant to your inquiry into reducing barriers to business dynamism.</w:t>
            </w:r>
          </w:p>
          <w:p w14:paraId="4088DEA4" w14:textId="77777777" w:rsidR="004B0231" w:rsidRPr="004B0231" w:rsidRDefault="004B0231" w:rsidP="004B0231">
            <w:pPr>
              <w:spacing w:before="240" w:after="360"/>
              <w:ind w:left="240" w:right="240"/>
              <w:rPr>
                <w:color w:val="000000"/>
              </w:rPr>
            </w:pPr>
            <w:r w:rsidRPr="004B0231">
              <w:rPr>
                <w:color w:val="000000"/>
              </w:rPr>
              <w:t xml:space="preserve">In October 2024, </w:t>
            </w:r>
            <w:proofErr w:type="spellStart"/>
            <w:r w:rsidRPr="004B0231">
              <w:rPr>
                <w:color w:val="000000"/>
              </w:rPr>
              <w:t>Elixinol</w:t>
            </w:r>
            <w:proofErr w:type="spellEnd"/>
            <w:r w:rsidRPr="004B0231">
              <w:rPr>
                <w:color w:val="000000"/>
              </w:rPr>
              <w:t xml:space="preserve">, a Victorian company, acquired The Healthy Chef, </w:t>
            </w:r>
            <w:proofErr w:type="gramStart"/>
            <w:r w:rsidRPr="004B0231">
              <w:rPr>
                <w:color w:val="000000"/>
              </w:rPr>
              <w:t>a</w:t>
            </w:r>
            <w:proofErr w:type="gramEnd"/>
            <w:r w:rsidRPr="004B0231">
              <w:rPr>
                <w:color w:val="000000"/>
              </w:rPr>
              <w:t xml:space="preserve"> NSW-based e-commerce business from NSW sellers.</w:t>
            </w:r>
          </w:p>
          <w:p w14:paraId="6081B30F" w14:textId="77777777" w:rsidR="004B0231" w:rsidRPr="004B0231" w:rsidRDefault="004B0231" w:rsidP="004B0231">
            <w:pPr>
              <w:spacing w:before="240" w:after="360"/>
              <w:ind w:left="240" w:right="240"/>
              <w:rPr>
                <w:color w:val="000000"/>
              </w:rPr>
            </w:pPr>
            <w:r w:rsidRPr="004B0231">
              <w:rPr>
                <w:color w:val="000000"/>
              </w:rPr>
              <w:t xml:space="preserve">The acquired business had no premises, employees, inventory, warehousing, fulfilment operations, assets or tax registration in Western Australia. All stock and fulfilment </w:t>
            </w:r>
            <w:proofErr w:type="gramStart"/>
            <w:r w:rsidRPr="004B0231">
              <w:rPr>
                <w:color w:val="000000"/>
              </w:rPr>
              <w:t>were located in</w:t>
            </w:r>
            <w:proofErr w:type="gramEnd"/>
            <w:r w:rsidRPr="004B0231">
              <w:rPr>
                <w:color w:val="000000"/>
              </w:rPr>
              <w:t xml:space="preserve"> NSW. Its only relevant connection with WA was that some consumers had purchased products online and had them delivered there.</w:t>
            </w:r>
          </w:p>
          <w:p w14:paraId="41074B66" w14:textId="77777777" w:rsidR="004B0231" w:rsidRPr="004B0231" w:rsidRDefault="004B0231" w:rsidP="004B0231">
            <w:pPr>
              <w:spacing w:before="240" w:after="360"/>
              <w:ind w:left="240" w:right="240"/>
              <w:rPr>
                <w:color w:val="000000"/>
              </w:rPr>
            </w:pPr>
            <w:proofErr w:type="spellStart"/>
            <w:r w:rsidRPr="004B0231">
              <w:rPr>
                <w:color w:val="000000"/>
              </w:rPr>
              <w:t>RevenueWA</w:t>
            </w:r>
            <w:proofErr w:type="spellEnd"/>
            <w:r w:rsidRPr="004B0231">
              <w:rPr>
                <w:color w:val="000000"/>
              </w:rPr>
              <w:t xml:space="preserve"> subsequently determined that this was sufficient for The Healthy Chef to be treated as a “Western Australian business” for transfer duty purposes.</w:t>
            </w:r>
          </w:p>
          <w:p w14:paraId="4FE46F61" w14:textId="27D91686" w:rsidR="004B0231" w:rsidRPr="004B0231" w:rsidRDefault="004B0231" w:rsidP="004B0231">
            <w:pPr>
              <w:spacing w:before="240" w:after="360"/>
              <w:ind w:left="240" w:right="240"/>
              <w:rPr>
                <w:color w:val="000000"/>
              </w:rPr>
            </w:pPr>
            <w:proofErr w:type="spellStart"/>
            <w:r w:rsidRPr="004B0231">
              <w:rPr>
                <w:color w:val="000000"/>
              </w:rPr>
              <w:t>RevenueWA</w:t>
            </w:r>
            <w:proofErr w:type="spellEnd"/>
            <w:r w:rsidRPr="004B0231">
              <w:rPr>
                <w:color w:val="000000"/>
              </w:rPr>
              <w:t xml:space="preserve"> calculated the WA component of the acquisition by reference to WA customer sales as a proportion of total Australian sales. The assessment records approximately $1.085 million of WA sales out of</w:t>
            </w:r>
            <w:r w:rsidR="00744789">
              <w:rPr>
                <w:color w:val="000000"/>
              </w:rPr>
              <w:t xml:space="preserve"> </w:t>
            </w:r>
            <w:r w:rsidRPr="004B0231">
              <w:rPr>
                <w:color w:val="000000"/>
              </w:rPr>
              <w:t>$8.841 million of Australian sales. </w:t>
            </w:r>
          </w:p>
          <w:p w14:paraId="38C8EEFF" w14:textId="77777777" w:rsidR="004B0231" w:rsidRPr="004B0231" w:rsidRDefault="004B0231" w:rsidP="004B0231">
            <w:pPr>
              <w:spacing w:before="240" w:after="360"/>
              <w:ind w:left="240" w:right="240"/>
              <w:rPr>
                <w:color w:val="000000"/>
              </w:rPr>
            </w:pPr>
            <w:r w:rsidRPr="004B0231">
              <w:rPr>
                <w:color w:val="000000"/>
              </w:rPr>
              <w:t>This raises a broader regulatory issue for national e-commerce.</w:t>
            </w:r>
          </w:p>
          <w:p w14:paraId="0F857193" w14:textId="77777777" w:rsidR="004B0231" w:rsidRPr="004B0231" w:rsidRDefault="004B0231" w:rsidP="004B0231">
            <w:pPr>
              <w:spacing w:before="240" w:after="360"/>
              <w:ind w:left="240" w:right="240"/>
              <w:rPr>
                <w:color w:val="000000"/>
              </w:rPr>
            </w:pPr>
            <w:r w:rsidRPr="004B0231">
              <w:rPr>
                <w:color w:val="000000"/>
              </w:rPr>
              <w:t>Modern online businesses routinely sell to customers in every Australian State from a single operating location. Customer geography no longer necessarily tells you where a business is established or operates. A consumer placing an online order from Perth does not require the seller to establish an office, employee, warehouse, licence or tax registration in Western Australia.</w:t>
            </w:r>
          </w:p>
          <w:p w14:paraId="0D62CC14" w14:textId="77777777" w:rsidR="004B0231" w:rsidRPr="004B0231" w:rsidRDefault="004B0231" w:rsidP="004B0231">
            <w:pPr>
              <w:spacing w:before="240" w:after="360"/>
              <w:ind w:left="240" w:right="240"/>
              <w:rPr>
                <w:color w:val="000000"/>
              </w:rPr>
            </w:pPr>
            <w:r w:rsidRPr="004B0231">
              <w:rPr>
                <w:color w:val="000000"/>
              </w:rPr>
              <w:t>Yet under the WA transfer-duty regime, those ordinary online transactions can create a separate acquisition-tax obligation for a future purchaser of the business.</w:t>
            </w:r>
          </w:p>
          <w:p w14:paraId="6B3AC369" w14:textId="77777777" w:rsidR="004B0231" w:rsidRPr="004B0231" w:rsidRDefault="004B0231" w:rsidP="004B0231">
            <w:pPr>
              <w:spacing w:before="240" w:after="360"/>
              <w:ind w:left="240" w:right="240"/>
              <w:rPr>
                <w:color w:val="000000"/>
              </w:rPr>
            </w:pPr>
            <w:r w:rsidRPr="004B0231">
              <w:rPr>
                <w:color w:val="000000"/>
              </w:rPr>
              <w:t>The practical consequence is that a purchaser of a national e-commerce business may need to investigate the business-transfer and acquisition-tax laws of every State (and country) into which the target has sold products, even where neither party has any physical or operational presence there.</w:t>
            </w:r>
          </w:p>
          <w:p w14:paraId="4434210E" w14:textId="77777777" w:rsidR="004B0231" w:rsidRPr="004B0231" w:rsidRDefault="004B0231" w:rsidP="004B0231">
            <w:pPr>
              <w:spacing w:before="240" w:after="360"/>
              <w:ind w:left="240" w:right="240"/>
              <w:rPr>
                <w:color w:val="000000"/>
              </w:rPr>
            </w:pPr>
            <w:r w:rsidRPr="004B0231">
              <w:rPr>
                <w:color w:val="000000"/>
              </w:rPr>
              <w:t>For large companies with specialist State-tax advisers, this may simply add cost and due diligence. For smaller and growing businesses, founders and companies undertaking relatively modest acquisitions, the obligation can be effectively invisible.</w:t>
            </w:r>
          </w:p>
          <w:p w14:paraId="4D4E65DE" w14:textId="77777777" w:rsidR="004B0231" w:rsidRPr="004B0231" w:rsidRDefault="004B0231" w:rsidP="004B0231">
            <w:pPr>
              <w:spacing w:before="240" w:after="360"/>
              <w:ind w:left="240" w:right="240"/>
              <w:rPr>
                <w:color w:val="000000"/>
              </w:rPr>
            </w:pPr>
            <w:r w:rsidRPr="004B0231">
              <w:rPr>
                <w:color w:val="000000"/>
              </w:rPr>
              <w:lastRenderedPageBreak/>
              <w:t xml:space="preserve">In our case, </w:t>
            </w:r>
            <w:proofErr w:type="spellStart"/>
            <w:r w:rsidRPr="004B0231">
              <w:rPr>
                <w:color w:val="000000"/>
              </w:rPr>
              <w:t>Elixinol</w:t>
            </w:r>
            <w:proofErr w:type="spellEnd"/>
            <w:r w:rsidRPr="004B0231">
              <w:rPr>
                <w:color w:val="000000"/>
              </w:rPr>
              <w:t xml:space="preserve"> was subsequently charged a late-lodgement penalty equal to 20% of the duty because the transaction had not been lodged in Western Australia. </w:t>
            </w:r>
            <w:proofErr w:type="spellStart"/>
            <w:r w:rsidRPr="004B0231">
              <w:rPr>
                <w:color w:val="000000"/>
              </w:rPr>
              <w:t>RevenueWA’s</w:t>
            </w:r>
            <w:proofErr w:type="spellEnd"/>
            <w:r w:rsidRPr="004B0231">
              <w:rPr>
                <w:color w:val="000000"/>
              </w:rPr>
              <w:t xml:space="preserve"> Statement of Grounds acknowledges that the target was NSW-based, had no WA premises, employees, assets or registrations, and that its WA connection consisted of customer sales. </w:t>
            </w:r>
            <w:proofErr w:type="spellStart"/>
            <w:r w:rsidRPr="004B0231">
              <w:rPr>
                <w:color w:val="000000"/>
              </w:rPr>
              <w:t>RevenueWA</w:t>
            </w:r>
            <w:proofErr w:type="spellEnd"/>
            <w:r w:rsidRPr="004B0231">
              <w:rPr>
                <w:color w:val="000000"/>
              </w:rPr>
              <w:t xml:space="preserve"> nevertheless says purchasers are expected to understand the taxation requirements of every jurisdiction in which the acquired business has customers. </w:t>
            </w:r>
          </w:p>
          <w:p w14:paraId="425B959B" w14:textId="77777777" w:rsidR="004B0231" w:rsidRPr="004B0231" w:rsidRDefault="004B0231" w:rsidP="004B0231">
            <w:pPr>
              <w:spacing w:before="240" w:after="360"/>
              <w:ind w:left="240" w:right="240"/>
              <w:rPr>
                <w:color w:val="000000"/>
              </w:rPr>
            </w:pPr>
            <w:r w:rsidRPr="004B0231">
              <w:rPr>
                <w:color w:val="000000"/>
              </w:rPr>
              <w:t>This creates an unusual compliance expectation in an e-commerce economy.</w:t>
            </w:r>
          </w:p>
          <w:p w14:paraId="4E874029" w14:textId="77777777" w:rsidR="004B0231" w:rsidRPr="004B0231" w:rsidRDefault="004B0231" w:rsidP="004B0231">
            <w:pPr>
              <w:spacing w:before="240" w:after="360"/>
              <w:ind w:left="240" w:right="240"/>
              <w:rPr>
                <w:color w:val="000000"/>
              </w:rPr>
            </w:pPr>
            <w:r w:rsidRPr="004B0231">
              <w:rPr>
                <w:color w:val="000000"/>
              </w:rPr>
              <w:t>If customer location alone is sufficient to require investigation of a jurisdiction’s business-acquisition taxes, a company selling internationally could logically be expected to investigate acquisition-tax rules across every jurisdiction into which it ships products.</w:t>
            </w:r>
          </w:p>
          <w:p w14:paraId="080323A4" w14:textId="77777777" w:rsidR="004B0231" w:rsidRPr="004B0231" w:rsidRDefault="004B0231" w:rsidP="004B0231">
            <w:pPr>
              <w:spacing w:before="240" w:after="360"/>
              <w:ind w:left="240" w:right="240"/>
              <w:rPr>
                <w:color w:val="000000"/>
              </w:rPr>
            </w:pPr>
            <w:r w:rsidRPr="004B0231">
              <w:rPr>
                <w:color w:val="000000"/>
              </w:rPr>
              <w:t>There is also a second issue involving contingent consideration.</w:t>
            </w:r>
          </w:p>
          <w:p w14:paraId="7B7B0325" w14:textId="77777777" w:rsidR="004B0231" w:rsidRPr="004B0231" w:rsidRDefault="004B0231" w:rsidP="004B0231">
            <w:pPr>
              <w:spacing w:before="240" w:after="360"/>
              <w:ind w:left="240" w:right="240"/>
              <w:rPr>
                <w:color w:val="000000"/>
              </w:rPr>
            </w:pPr>
            <w:r w:rsidRPr="004B0231">
              <w:rPr>
                <w:color w:val="000000"/>
              </w:rPr>
              <w:t>The WA regime can require duty to be paid upfront on the maximum amount of an earn-out or other contingent purchase consideration, even where that amount may never become payable. If the earn-out subsequently fails to materialise, the taxpayer must later apply for reassessment and recover the excess duty.</w:t>
            </w:r>
          </w:p>
          <w:p w14:paraId="3934A7F7" w14:textId="77777777" w:rsidR="004B0231" w:rsidRPr="004B0231" w:rsidRDefault="004B0231" w:rsidP="004B0231">
            <w:pPr>
              <w:spacing w:before="240" w:after="360"/>
              <w:ind w:left="240" w:right="240"/>
              <w:rPr>
                <w:color w:val="000000"/>
              </w:rPr>
            </w:pPr>
            <w:r w:rsidRPr="004B0231">
              <w:rPr>
                <w:color w:val="000000"/>
              </w:rPr>
              <w:t xml:space="preserve">In our case, </w:t>
            </w:r>
            <w:proofErr w:type="spellStart"/>
            <w:r w:rsidRPr="004B0231">
              <w:rPr>
                <w:color w:val="000000"/>
              </w:rPr>
              <w:t>RevenueWA</w:t>
            </w:r>
            <w:proofErr w:type="spellEnd"/>
            <w:r w:rsidRPr="004B0231">
              <w:rPr>
                <w:color w:val="000000"/>
              </w:rPr>
              <w:t xml:space="preserve"> included contingent deferred consideration in the assessed acquisition value and confirmed that we would have to seek reassessment later if that consideration ultimately did not become payable. </w:t>
            </w:r>
          </w:p>
          <w:p w14:paraId="43E42F67" w14:textId="77777777" w:rsidR="004B0231" w:rsidRPr="004B0231" w:rsidRDefault="004B0231" w:rsidP="004B0231">
            <w:pPr>
              <w:spacing w:before="240" w:after="360"/>
              <w:ind w:left="240" w:right="240"/>
              <w:rPr>
                <w:color w:val="000000"/>
              </w:rPr>
            </w:pPr>
            <w:r w:rsidRPr="004B0231">
              <w:rPr>
                <w:color w:val="000000"/>
              </w:rPr>
              <w:t>This creates an unnecessary cash-flow burden precisely at the point when an acquiring business is deploying capital to invest in and grow the acquired company.</w:t>
            </w:r>
          </w:p>
          <w:p w14:paraId="7E11D601" w14:textId="77777777" w:rsidR="004B0231" w:rsidRPr="004B0231" w:rsidRDefault="004B0231" w:rsidP="004B0231">
            <w:pPr>
              <w:spacing w:before="240" w:after="360"/>
              <w:ind w:left="240" w:right="240"/>
              <w:rPr>
                <w:color w:val="000000"/>
              </w:rPr>
            </w:pPr>
            <w:r w:rsidRPr="004B0231">
              <w:rPr>
                <w:color w:val="000000"/>
              </w:rPr>
              <w:t>We are not asking the Productivity Commission to intervene in our individual tax matter. Our assessment is being dealt with separately through Western Australia’s statutory objection process.</w:t>
            </w:r>
          </w:p>
          <w:p w14:paraId="0D4BF0DB" w14:textId="77777777" w:rsidR="004B0231" w:rsidRPr="004B0231" w:rsidRDefault="004B0231" w:rsidP="004B0231">
            <w:pPr>
              <w:spacing w:before="240" w:after="360"/>
              <w:ind w:left="240" w:right="240"/>
              <w:rPr>
                <w:color w:val="000000"/>
              </w:rPr>
            </w:pPr>
            <w:r w:rsidRPr="004B0231">
              <w:rPr>
                <w:color w:val="000000"/>
              </w:rPr>
              <w:t>We believe, however, that the case raises broader questions relevant to the Commission’s inquiry:</w:t>
            </w:r>
          </w:p>
          <w:p w14:paraId="3563CB37" w14:textId="77777777" w:rsidR="004B0231" w:rsidRPr="004B0231" w:rsidRDefault="004B0231" w:rsidP="004B0231">
            <w:pPr>
              <w:numPr>
                <w:ilvl w:val="0"/>
                <w:numId w:val="18"/>
              </w:numPr>
              <w:spacing w:before="240" w:after="360"/>
              <w:ind w:right="240"/>
              <w:rPr>
                <w:color w:val="000000"/>
              </w:rPr>
            </w:pPr>
            <w:r w:rsidRPr="004B0231">
              <w:rPr>
                <w:color w:val="000000"/>
              </w:rPr>
              <w:t xml:space="preserve">Should the location of an online consumer, by itself, be sufficient to create a </w:t>
            </w:r>
            <w:proofErr w:type="gramStart"/>
            <w:r w:rsidRPr="004B0231">
              <w:rPr>
                <w:color w:val="000000"/>
              </w:rPr>
              <w:t>State</w:t>
            </w:r>
            <w:proofErr w:type="gramEnd"/>
            <w:r w:rsidRPr="004B0231">
              <w:rPr>
                <w:color w:val="000000"/>
              </w:rPr>
              <w:t xml:space="preserve"> business-acquisition tax nexus?</w:t>
            </w:r>
          </w:p>
          <w:p w14:paraId="5077C5A9" w14:textId="77777777" w:rsidR="004B0231" w:rsidRPr="004B0231" w:rsidRDefault="004B0231" w:rsidP="004B0231">
            <w:pPr>
              <w:numPr>
                <w:ilvl w:val="0"/>
                <w:numId w:val="18"/>
              </w:numPr>
              <w:spacing w:before="240" w:after="360"/>
              <w:ind w:right="240"/>
              <w:rPr>
                <w:color w:val="000000"/>
              </w:rPr>
            </w:pPr>
            <w:r w:rsidRPr="004B0231">
              <w:rPr>
                <w:color w:val="000000"/>
              </w:rPr>
              <w:lastRenderedPageBreak/>
              <w:t xml:space="preserve">Should there be a meaningful materiality or operational-presence threshold before an interstate business becomes subject to a </w:t>
            </w:r>
            <w:proofErr w:type="gramStart"/>
            <w:r w:rsidRPr="004B0231">
              <w:rPr>
                <w:color w:val="000000"/>
              </w:rPr>
              <w:t>State’s</w:t>
            </w:r>
            <w:proofErr w:type="gramEnd"/>
            <w:r w:rsidRPr="004B0231">
              <w:rPr>
                <w:color w:val="000000"/>
              </w:rPr>
              <w:t xml:space="preserve"> business transfer duty?</w:t>
            </w:r>
          </w:p>
          <w:p w14:paraId="1DE6C594" w14:textId="77777777" w:rsidR="004B0231" w:rsidRPr="004B0231" w:rsidRDefault="004B0231" w:rsidP="004B0231">
            <w:pPr>
              <w:numPr>
                <w:ilvl w:val="0"/>
                <w:numId w:val="18"/>
              </w:numPr>
              <w:spacing w:before="240" w:after="360"/>
              <w:ind w:right="240"/>
              <w:rPr>
                <w:color w:val="000000"/>
              </w:rPr>
            </w:pPr>
            <w:r w:rsidRPr="004B0231">
              <w:rPr>
                <w:color w:val="000000"/>
              </w:rPr>
              <w:t>Should purchasers be penalised for failing to lodge where neither the purchaser nor target has premises, employees, assets, registration or any ordinary administrative relationship with the relevant State?</w:t>
            </w:r>
          </w:p>
          <w:p w14:paraId="393688CC" w14:textId="77777777" w:rsidR="004B0231" w:rsidRPr="004B0231" w:rsidRDefault="004B0231" w:rsidP="004B0231">
            <w:pPr>
              <w:numPr>
                <w:ilvl w:val="0"/>
                <w:numId w:val="18"/>
              </w:numPr>
              <w:spacing w:before="240" w:after="360"/>
              <w:ind w:right="240"/>
              <w:rPr>
                <w:color w:val="000000"/>
              </w:rPr>
            </w:pPr>
            <w:r w:rsidRPr="004B0231">
              <w:rPr>
                <w:color w:val="000000"/>
              </w:rPr>
              <w:t xml:space="preserve">Should contingent earn-out consideration be taxed before it </w:t>
            </w:r>
            <w:proofErr w:type="gramStart"/>
            <w:r w:rsidRPr="004B0231">
              <w:rPr>
                <w:color w:val="000000"/>
              </w:rPr>
              <w:t>actually becomes</w:t>
            </w:r>
            <w:proofErr w:type="gramEnd"/>
            <w:r w:rsidRPr="004B0231">
              <w:rPr>
                <w:color w:val="000000"/>
              </w:rPr>
              <w:t xml:space="preserve"> payable?</w:t>
            </w:r>
          </w:p>
          <w:p w14:paraId="7C2ABF44" w14:textId="77777777" w:rsidR="004B0231" w:rsidRPr="004B0231" w:rsidRDefault="004B0231" w:rsidP="004B0231">
            <w:pPr>
              <w:numPr>
                <w:ilvl w:val="0"/>
                <w:numId w:val="18"/>
              </w:numPr>
              <w:spacing w:before="240" w:after="360"/>
              <w:ind w:right="240"/>
              <w:rPr>
                <w:color w:val="000000"/>
              </w:rPr>
            </w:pPr>
            <w:r w:rsidRPr="004B0231">
              <w:rPr>
                <w:color w:val="000000"/>
              </w:rPr>
              <w:t>More broadly, are inconsistent legacy State transaction taxes creating unnecessary barriers to business transfers, investment and consolidation across Australia?</w:t>
            </w:r>
          </w:p>
          <w:p w14:paraId="6F5233FE" w14:textId="77777777" w:rsidR="004B0231" w:rsidRPr="004B0231" w:rsidRDefault="004B0231" w:rsidP="004B0231">
            <w:pPr>
              <w:spacing w:before="240" w:after="360"/>
              <w:ind w:left="240" w:right="240"/>
              <w:rPr>
                <w:color w:val="000000"/>
              </w:rPr>
            </w:pPr>
            <w:r w:rsidRPr="004B0231">
              <w:rPr>
                <w:color w:val="000000"/>
              </w:rPr>
              <w:t>We believe this is a practical example of how legacy State taxation rules can create hidden cost, uncertainty and compliance risk for businesses trying to invest and grow nationally.</w:t>
            </w:r>
          </w:p>
          <w:p w14:paraId="3196BF2D" w14:textId="77777777" w:rsidR="004B0231" w:rsidRPr="004B0231" w:rsidRDefault="004B0231" w:rsidP="004B0231">
            <w:pPr>
              <w:spacing w:before="240" w:after="360"/>
              <w:ind w:left="240" w:right="240"/>
              <w:rPr>
                <w:color w:val="000000"/>
              </w:rPr>
            </w:pPr>
            <w:r w:rsidRPr="004B0231">
              <w:rPr>
                <w:color w:val="000000"/>
              </w:rPr>
              <w:t>The underlying legislation may have made more commercial sense when customer location was more closely connected with physical business presence. In a national e-commerce economy, that relationship has fundamentally changed.</w:t>
            </w:r>
          </w:p>
          <w:p w14:paraId="77492BDB" w14:textId="088B79B5" w:rsidR="004725ED" w:rsidRDefault="004B0231" w:rsidP="004B0BE2">
            <w:pPr>
              <w:spacing w:before="240" w:after="360"/>
              <w:ind w:left="240" w:right="240"/>
              <w:rPr>
                <w:color w:val="000000"/>
              </w:rPr>
            </w:pPr>
            <w:r w:rsidRPr="004B0231">
              <w:rPr>
                <w:color w:val="000000"/>
              </w:rPr>
              <w:t xml:space="preserve">I appreciate that the initial submission period has </w:t>
            </w:r>
            <w:proofErr w:type="gramStart"/>
            <w:r w:rsidRPr="004B0231">
              <w:rPr>
                <w:color w:val="000000"/>
              </w:rPr>
              <w:t>closed, but</w:t>
            </w:r>
            <w:proofErr w:type="gramEnd"/>
            <w:r w:rsidRPr="004B0231">
              <w:rPr>
                <w:color w:val="000000"/>
              </w:rPr>
              <w:t xml:space="preserve"> would be grateful if this could be considered as a brief comment or case study as part of the inquiry, or retained for the final submission stage.</w:t>
            </w:r>
          </w:p>
        </w:tc>
      </w:tr>
    </w:tbl>
    <w:p w14:paraId="7E100382" w14:textId="77777777" w:rsidR="00BC2D8C" w:rsidRPr="00BC2D8C" w:rsidRDefault="00BC2D8C" w:rsidP="00BC2D8C">
      <w:pPr>
        <w:pStyle w:val="BodyText"/>
      </w:pPr>
    </w:p>
    <w:sectPr w:rsidR="00BC2D8C" w:rsidRPr="00BC2D8C" w:rsidSect="008C4621">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6FA1" w14:textId="77777777" w:rsidR="00F1139D" w:rsidRDefault="00F1139D" w:rsidP="008017BC">
      <w:r>
        <w:separator/>
      </w:r>
    </w:p>
    <w:p w14:paraId="23314E61" w14:textId="77777777" w:rsidR="00F1139D" w:rsidRDefault="00F1139D"/>
  </w:endnote>
  <w:endnote w:type="continuationSeparator" w:id="0">
    <w:p w14:paraId="3B27124C" w14:textId="77777777" w:rsidR="00F1139D" w:rsidRDefault="00F1139D" w:rsidP="008017BC">
      <w:r>
        <w:continuationSeparator/>
      </w:r>
    </w:p>
    <w:p w14:paraId="64F5C114" w14:textId="77777777" w:rsidR="00F1139D" w:rsidRDefault="00F11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dy)">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2EFD"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EndPr/>
    <w:sdtContent>
      <w:sdt>
        <w:sdtPr>
          <w:id w:val="783309045"/>
          <w:docPartObj>
            <w:docPartGallery w:val="Page Numbers (Top of Page)"/>
            <w:docPartUnique/>
          </w:docPartObj>
        </w:sdtPr>
        <w:sdtEndPr/>
        <w:sdtContent>
          <w:p w14:paraId="5F35E8EF" w14:textId="77777777" w:rsidR="00D15113" w:rsidRDefault="00F04EA7" w:rsidP="00AA2421">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48353"/>
      <w:docPartObj>
        <w:docPartGallery w:val="Page Numbers (Top of Page)"/>
        <w:docPartUnique/>
      </w:docPartObj>
    </w:sdtPr>
    <w:sdtEndPr/>
    <w:sdtContent>
      <w:p w14:paraId="0FDD0A90" w14:textId="77777777" w:rsidR="008C4621" w:rsidRPr="008C4621" w:rsidRDefault="008C4621" w:rsidP="00AA2421">
        <w:pPr>
          <w:pStyle w:val="Footer-right"/>
        </w:pPr>
        <w:r w:rsidRPr="0042508F">
          <w:rPr>
            <w:sz w:val="24"/>
          </w:rPr>
          <w:fldChar w:fldCharType="begin"/>
        </w:r>
        <w:r w:rsidRPr="0042508F">
          <w:instrText xml:space="preserve"> PAGE </w:instrText>
        </w:r>
        <w:r w:rsidRPr="0042508F">
          <w:rPr>
            <w:sz w:val="24"/>
          </w:rPr>
          <w:fldChar w:fldCharType="separate"/>
        </w:r>
        <w:r>
          <w:rPr>
            <w:sz w:val="24"/>
          </w:rPr>
          <w:t>2</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BCA81" w14:textId="77777777" w:rsidR="00F1139D" w:rsidRPr="00C238D1" w:rsidRDefault="00F1139D" w:rsidP="00273E86">
      <w:pPr>
        <w:spacing w:after="0" w:line="240" w:lineRule="auto"/>
        <w:rPr>
          <w:rStyle w:val="ColourDarkBlue"/>
        </w:rPr>
      </w:pPr>
      <w:r w:rsidRPr="00C238D1">
        <w:rPr>
          <w:rStyle w:val="ColourDarkBlue"/>
        </w:rPr>
        <w:continuationSeparator/>
      </w:r>
    </w:p>
  </w:footnote>
  <w:footnote w:type="continuationSeparator" w:id="0">
    <w:p w14:paraId="40DE659C" w14:textId="77777777" w:rsidR="00F1139D" w:rsidRPr="001D7D9B" w:rsidRDefault="00F1139D" w:rsidP="001D7D9B">
      <w:pPr>
        <w:spacing w:after="0" w:line="240" w:lineRule="auto"/>
        <w:rPr>
          <w:color w:val="265A9A" w:themeColor="background2"/>
        </w:rPr>
      </w:pPr>
      <w:r w:rsidRPr="00C238D1">
        <w:rPr>
          <w:rStyle w:val="ColourDarkBlue"/>
        </w:rPr>
        <w:continuationSeparator/>
      </w:r>
    </w:p>
  </w:footnote>
  <w:footnote w:type="continuationNotice" w:id="1">
    <w:p w14:paraId="53FC7C47" w14:textId="77777777" w:rsidR="00F1139D" w:rsidRDefault="00F113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4D71" w14:textId="0E5C5C5D" w:rsidR="000E2A04" w:rsidRDefault="000E2A04">
    <w:pPr>
      <w:pStyle w:val="Header"/>
    </w:pPr>
    <w:r>
      <w:rPr>
        <w:noProof/>
      </w:rPr>
      <mc:AlternateContent>
        <mc:Choice Requires="wps">
          <w:drawing>
            <wp:anchor distT="0" distB="0" distL="0" distR="0" simplePos="0" relativeHeight="251658240" behindDoc="0" locked="0" layoutInCell="1" allowOverlap="1" wp14:anchorId="085007C6" wp14:editId="28D29E2E">
              <wp:simplePos x="635" y="635"/>
              <wp:positionH relativeFrom="page">
                <wp:align>center</wp:align>
              </wp:positionH>
              <wp:positionV relativeFrom="page">
                <wp:align>top</wp:align>
              </wp:positionV>
              <wp:extent cx="653415" cy="452755"/>
              <wp:effectExtent l="0" t="0" r="13335" b="4445"/>
              <wp:wrapNone/>
              <wp:docPr id="1657796014" name="Text Box 2"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452755"/>
                      </a:xfrm>
                      <a:prstGeom prst="rect">
                        <a:avLst/>
                      </a:prstGeom>
                      <a:noFill/>
                      <a:ln>
                        <a:noFill/>
                      </a:ln>
                    </wps:spPr>
                    <wps:txbx>
                      <w:txbxContent>
                        <w:p w14:paraId="7A138BA1" w14:textId="5AE0A3FF" w:rsidR="000E2A04" w:rsidRPr="000E2A04" w:rsidRDefault="000E2A04" w:rsidP="000E2A04">
                          <w:pPr>
                            <w:spacing w:after="0"/>
                            <w:rPr>
                              <w:rFonts w:ascii="Aptos" w:eastAsia="Aptos" w:hAnsi="Aptos" w:cs="Aptos"/>
                              <w:noProof/>
                              <w:color w:val="000000"/>
                              <w:sz w:val="24"/>
                              <w:szCs w:val="24"/>
                            </w:rPr>
                          </w:pPr>
                          <w:r w:rsidRPr="000E2A04">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5007C6" id="_x0000_t202" coordsize="21600,21600" o:spt="202" path="m,l,21600r21600,l21600,xe">
              <v:stroke joinstyle="miter"/>
              <v:path gradientshapeok="t" o:connecttype="rect"/>
            </v:shapetype>
            <v:shape id="Text Box 2" o:spid="_x0000_s1026" type="#_x0000_t202" alt=" OFFICIAL" style="position:absolute;margin-left:0;margin-top:0;width:51.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" filled="f" stroked="f">
              <v:textbox style="mso-fit-shape-to-text:t" inset="0,15pt,0,0">
                <w:txbxContent>
                  <w:p w14:paraId="7A138BA1" w14:textId="5AE0A3FF" w:rsidR="000E2A04" w:rsidRPr="000E2A04" w:rsidRDefault="000E2A04" w:rsidP="000E2A04">
                    <w:pPr>
                      <w:spacing w:after="0"/>
                      <w:rPr>
                        <w:rFonts w:ascii="Aptos" w:eastAsia="Aptos" w:hAnsi="Aptos" w:cs="Aptos"/>
                        <w:noProof/>
                        <w:color w:val="000000"/>
                        <w:sz w:val="24"/>
                        <w:szCs w:val="24"/>
                      </w:rPr>
                    </w:pPr>
                    <w:r w:rsidRPr="000E2A04">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C78A" w14:textId="49D73150" w:rsidR="000E2A04" w:rsidRDefault="000E2A04">
    <w:pPr>
      <w:pStyle w:val="Header"/>
    </w:pPr>
    <w:r>
      <w:rPr>
        <w:noProof/>
      </w:rPr>
      <mc:AlternateContent>
        <mc:Choice Requires="wps">
          <w:drawing>
            <wp:anchor distT="0" distB="0" distL="0" distR="0" simplePos="0" relativeHeight="251658241" behindDoc="0" locked="0" layoutInCell="1" allowOverlap="1" wp14:anchorId="5F8BAC71" wp14:editId="5D104010">
              <wp:simplePos x="635" y="635"/>
              <wp:positionH relativeFrom="page">
                <wp:align>center</wp:align>
              </wp:positionH>
              <wp:positionV relativeFrom="page">
                <wp:align>top</wp:align>
              </wp:positionV>
              <wp:extent cx="653415" cy="452755"/>
              <wp:effectExtent l="0" t="0" r="13335" b="4445"/>
              <wp:wrapNone/>
              <wp:docPr id="800071240" name="Text Box 3"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452755"/>
                      </a:xfrm>
                      <a:prstGeom prst="rect">
                        <a:avLst/>
                      </a:prstGeom>
                      <a:noFill/>
                      <a:ln>
                        <a:noFill/>
                      </a:ln>
                    </wps:spPr>
                    <wps:txbx>
                      <w:txbxContent>
                        <w:p w14:paraId="2F549E3B" w14:textId="5C46F75A" w:rsidR="000E2A04" w:rsidRPr="000E2A04" w:rsidRDefault="000E2A04" w:rsidP="000E2A04">
                          <w:pPr>
                            <w:spacing w:after="0"/>
                            <w:rPr>
                              <w:rFonts w:ascii="Aptos" w:eastAsia="Aptos" w:hAnsi="Aptos" w:cs="Aptos"/>
                              <w:noProof/>
                              <w:color w:val="000000"/>
                              <w:sz w:val="24"/>
                              <w:szCs w:val="24"/>
                            </w:rPr>
                          </w:pPr>
                          <w:r w:rsidRPr="000E2A04">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8BAC71" id="_x0000_t202" coordsize="21600,21600" o:spt="202" path="m,l,21600r21600,l21600,xe">
              <v:stroke joinstyle="miter"/>
              <v:path gradientshapeok="t" o:connecttype="rect"/>
            </v:shapetype>
            <v:shape id="Text Box 3" o:spid="_x0000_s1027" type="#_x0000_t202" alt=" OFFICIAL" style="position:absolute;margin-left:0;margin-top:0;width:51.45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" filled="f" stroked="f">
              <v:textbox style="mso-fit-shape-to-text:t" inset="0,15pt,0,0">
                <w:txbxContent>
                  <w:p w14:paraId="2F549E3B" w14:textId="5C46F75A" w:rsidR="000E2A04" w:rsidRPr="000E2A04" w:rsidRDefault="000E2A04" w:rsidP="000E2A04">
                    <w:pPr>
                      <w:spacing w:after="0"/>
                      <w:rPr>
                        <w:rFonts w:ascii="Aptos" w:eastAsia="Aptos" w:hAnsi="Aptos" w:cs="Aptos"/>
                        <w:noProof/>
                        <w:color w:val="000000"/>
                        <w:sz w:val="24"/>
                        <w:szCs w:val="24"/>
                      </w:rPr>
                    </w:pPr>
                    <w:r w:rsidRPr="000E2A04">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4A2D" w14:textId="2793AD76" w:rsidR="008C4621" w:rsidRPr="00FE13BF" w:rsidRDefault="00FE13BF" w:rsidP="00FE13BF">
    <w:pPr>
      <w:pStyle w:val="Header"/>
    </w:pPr>
    <w:r w:rsidRPr="00FE13BF">
      <w:rPr>
        <w:b/>
        <w:bCs/>
        <w:noProof/>
      </w:rPr>
      <w:t>Reducing barriers to business dynamism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61B4A1B"/>
    <w:multiLevelType w:val="multilevel"/>
    <w:tmpl w:val="4F48000A"/>
    <w:numStyleLink w:val="Alphalist"/>
  </w:abstractNum>
  <w:abstractNum w:abstractNumId="17" w15:restartNumberingAfterBreak="0">
    <w:nsid w:val="763815A0"/>
    <w:multiLevelType w:val="multilevel"/>
    <w:tmpl w:val="8A6E15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20618732">
    <w:abstractNumId w:val="6"/>
  </w:num>
  <w:num w:numId="2" w16cid:durableId="1315842150">
    <w:abstractNumId w:val="2"/>
  </w:num>
  <w:num w:numId="3" w16cid:durableId="1079401742">
    <w:abstractNumId w:val="9"/>
  </w:num>
  <w:num w:numId="4" w16cid:durableId="1203055301">
    <w:abstractNumId w:val="14"/>
  </w:num>
  <w:num w:numId="5" w16cid:durableId="1190340937">
    <w:abstractNumId w:val="15"/>
  </w:num>
  <w:num w:numId="6" w16cid:durableId="1186137155">
    <w:abstractNumId w:val="13"/>
  </w:num>
  <w:num w:numId="7" w16cid:durableId="1047097361">
    <w:abstractNumId w:val="11"/>
  </w:num>
  <w:num w:numId="8" w16cid:durableId="1246187710">
    <w:abstractNumId w:val="7"/>
  </w:num>
  <w:num w:numId="9" w16cid:durableId="636305162">
    <w:abstractNumId w:val="10"/>
  </w:num>
  <w:num w:numId="10" w16cid:durableId="1095436936">
    <w:abstractNumId w:val="16"/>
  </w:num>
  <w:num w:numId="11" w16cid:durableId="1575891541">
    <w:abstractNumId w:val="0"/>
  </w:num>
  <w:num w:numId="12" w16cid:durableId="1171529170">
    <w:abstractNumId w:val="3"/>
  </w:num>
  <w:num w:numId="13" w16cid:durableId="1449423891">
    <w:abstractNumId w:val="8"/>
  </w:num>
  <w:num w:numId="14" w16cid:durableId="1980762718">
    <w:abstractNumId w:val="5"/>
  </w:num>
  <w:num w:numId="15" w16cid:durableId="618223410">
    <w:abstractNumId w:val="1"/>
  </w:num>
  <w:num w:numId="16" w16cid:durableId="1609460750">
    <w:abstractNumId w:val="12"/>
  </w:num>
  <w:num w:numId="17" w16cid:durableId="520555669">
    <w:abstractNumId w:val="4"/>
  </w:num>
  <w:num w:numId="18" w16cid:durableId="184000159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A04"/>
    <w:rsid w:val="00000075"/>
    <w:rsid w:val="00000F3C"/>
    <w:rsid w:val="00004489"/>
    <w:rsid w:val="00005C79"/>
    <w:rsid w:val="00026C04"/>
    <w:rsid w:val="000300AF"/>
    <w:rsid w:val="000331E4"/>
    <w:rsid w:val="0003338D"/>
    <w:rsid w:val="00033619"/>
    <w:rsid w:val="00047894"/>
    <w:rsid w:val="0005151B"/>
    <w:rsid w:val="00054C95"/>
    <w:rsid w:val="000561CF"/>
    <w:rsid w:val="00057712"/>
    <w:rsid w:val="0005774F"/>
    <w:rsid w:val="00062A44"/>
    <w:rsid w:val="000724AE"/>
    <w:rsid w:val="00072699"/>
    <w:rsid w:val="0007776A"/>
    <w:rsid w:val="00077A76"/>
    <w:rsid w:val="0008037D"/>
    <w:rsid w:val="00084660"/>
    <w:rsid w:val="00085FB9"/>
    <w:rsid w:val="00091286"/>
    <w:rsid w:val="00095DF3"/>
    <w:rsid w:val="000A0F08"/>
    <w:rsid w:val="000A38AA"/>
    <w:rsid w:val="000B497F"/>
    <w:rsid w:val="000B4A72"/>
    <w:rsid w:val="000B5105"/>
    <w:rsid w:val="000C6B77"/>
    <w:rsid w:val="000D1000"/>
    <w:rsid w:val="000E2A04"/>
    <w:rsid w:val="000E43B0"/>
    <w:rsid w:val="000F4488"/>
    <w:rsid w:val="00100FAB"/>
    <w:rsid w:val="0011217E"/>
    <w:rsid w:val="00112E8F"/>
    <w:rsid w:val="00120792"/>
    <w:rsid w:val="001268BC"/>
    <w:rsid w:val="0013722E"/>
    <w:rsid w:val="00137FAB"/>
    <w:rsid w:val="00154E0D"/>
    <w:rsid w:val="001600E9"/>
    <w:rsid w:val="00160FEC"/>
    <w:rsid w:val="001610E5"/>
    <w:rsid w:val="00161BC8"/>
    <w:rsid w:val="001714F3"/>
    <w:rsid w:val="00182A32"/>
    <w:rsid w:val="00187F05"/>
    <w:rsid w:val="001957BF"/>
    <w:rsid w:val="001A0D77"/>
    <w:rsid w:val="001A196A"/>
    <w:rsid w:val="001A1D95"/>
    <w:rsid w:val="001A2565"/>
    <w:rsid w:val="001A37A2"/>
    <w:rsid w:val="001A7B5D"/>
    <w:rsid w:val="001A7CE7"/>
    <w:rsid w:val="001B1762"/>
    <w:rsid w:val="001B17AC"/>
    <w:rsid w:val="001B588D"/>
    <w:rsid w:val="001C7835"/>
    <w:rsid w:val="001D4050"/>
    <w:rsid w:val="001D7D9B"/>
    <w:rsid w:val="001F13C1"/>
    <w:rsid w:val="001F15E0"/>
    <w:rsid w:val="001F1E9A"/>
    <w:rsid w:val="001F446D"/>
    <w:rsid w:val="001F6B0A"/>
    <w:rsid w:val="00201320"/>
    <w:rsid w:val="0020204A"/>
    <w:rsid w:val="002112EC"/>
    <w:rsid w:val="00221800"/>
    <w:rsid w:val="00221AB7"/>
    <w:rsid w:val="00227712"/>
    <w:rsid w:val="002457DE"/>
    <w:rsid w:val="00246435"/>
    <w:rsid w:val="00246BCF"/>
    <w:rsid w:val="00251245"/>
    <w:rsid w:val="00251CA2"/>
    <w:rsid w:val="002601BB"/>
    <w:rsid w:val="00265918"/>
    <w:rsid w:val="00270834"/>
    <w:rsid w:val="00273E86"/>
    <w:rsid w:val="002814E6"/>
    <w:rsid w:val="00281A54"/>
    <w:rsid w:val="00282AE5"/>
    <w:rsid w:val="00287114"/>
    <w:rsid w:val="002936B4"/>
    <w:rsid w:val="002951E6"/>
    <w:rsid w:val="00295330"/>
    <w:rsid w:val="002B0577"/>
    <w:rsid w:val="002C797E"/>
    <w:rsid w:val="002D50CB"/>
    <w:rsid w:val="002E0C69"/>
    <w:rsid w:val="002E3F19"/>
    <w:rsid w:val="002E41A4"/>
    <w:rsid w:val="002E51D2"/>
    <w:rsid w:val="002E7A0E"/>
    <w:rsid w:val="002E7EFA"/>
    <w:rsid w:val="002F6386"/>
    <w:rsid w:val="002F7FDB"/>
    <w:rsid w:val="00303704"/>
    <w:rsid w:val="00305171"/>
    <w:rsid w:val="00323400"/>
    <w:rsid w:val="00326A36"/>
    <w:rsid w:val="00336ECB"/>
    <w:rsid w:val="003438EC"/>
    <w:rsid w:val="0034680A"/>
    <w:rsid w:val="00354696"/>
    <w:rsid w:val="0035519A"/>
    <w:rsid w:val="0036059A"/>
    <w:rsid w:val="00363FF8"/>
    <w:rsid w:val="003640E1"/>
    <w:rsid w:val="00376491"/>
    <w:rsid w:val="0037721D"/>
    <w:rsid w:val="0037762C"/>
    <w:rsid w:val="0038102A"/>
    <w:rsid w:val="003833B4"/>
    <w:rsid w:val="003A743E"/>
    <w:rsid w:val="003A7ADE"/>
    <w:rsid w:val="003B2A34"/>
    <w:rsid w:val="003B6E2C"/>
    <w:rsid w:val="003B7DB1"/>
    <w:rsid w:val="003C01D4"/>
    <w:rsid w:val="003C2CC3"/>
    <w:rsid w:val="003C69BF"/>
    <w:rsid w:val="003D09EE"/>
    <w:rsid w:val="003D23A3"/>
    <w:rsid w:val="003D5856"/>
    <w:rsid w:val="003E34F3"/>
    <w:rsid w:val="003E6055"/>
    <w:rsid w:val="003F5199"/>
    <w:rsid w:val="003F6F1A"/>
    <w:rsid w:val="0040060F"/>
    <w:rsid w:val="00404E4F"/>
    <w:rsid w:val="004064F7"/>
    <w:rsid w:val="00415A0E"/>
    <w:rsid w:val="00420F0E"/>
    <w:rsid w:val="0042339A"/>
    <w:rsid w:val="00423B15"/>
    <w:rsid w:val="00424CB8"/>
    <w:rsid w:val="0042508F"/>
    <w:rsid w:val="0043326D"/>
    <w:rsid w:val="004379C2"/>
    <w:rsid w:val="004400E8"/>
    <w:rsid w:val="00450C80"/>
    <w:rsid w:val="004544D6"/>
    <w:rsid w:val="00461CE9"/>
    <w:rsid w:val="00462407"/>
    <w:rsid w:val="004631DD"/>
    <w:rsid w:val="004635FD"/>
    <w:rsid w:val="00470129"/>
    <w:rsid w:val="004725ED"/>
    <w:rsid w:val="004728A0"/>
    <w:rsid w:val="004738B0"/>
    <w:rsid w:val="004742DD"/>
    <w:rsid w:val="00475231"/>
    <w:rsid w:val="00484E96"/>
    <w:rsid w:val="00496700"/>
    <w:rsid w:val="004A2FB8"/>
    <w:rsid w:val="004A5586"/>
    <w:rsid w:val="004B0231"/>
    <w:rsid w:val="004B0BE2"/>
    <w:rsid w:val="004B1531"/>
    <w:rsid w:val="004B609E"/>
    <w:rsid w:val="004C34D2"/>
    <w:rsid w:val="004C4823"/>
    <w:rsid w:val="004E1233"/>
    <w:rsid w:val="004E28C6"/>
    <w:rsid w:val="004E6DE1"/>
    <w:rsid w:val="004F10E0"/>
    <w:rsid w:val="004F138F"/>
    <w:rsid w:val="004F2D0A"/>
    <w:rsid w:val="004F420C"/>
    <w:rsid w:val="00500123"/>
    <w:rsid w:val="0050670B"/>
    <w:rsid w:val="00511B29"/>
    <w:rsid w:val="005124ED"/>
    <w:rsid w:val="0051285A"/>
    <w:rsid w:val="005141E8"/>
    <w:rsid w:val="00516A89"/>
    <w:rsid w:val="00517257"/>
    <w:rsid w:val="0052268E"/>
    <w:rsid w:val="00527A18"/>
    <w:rsid w:val="00536740"/>
    <w:rsid w:val="00540B70"/>
    <w:rsid w:val="00546BA3"/>
    <w:rsid w:val="00550C99"/>
    <w:rsid w:val="00553413"/>
    <w:rsid w:val="00555AB2"/>
    <w:rsid w:val="00561129"/>
    <w:rsid w:val="00562410"/>
    <w:rsid w:val="00571371"/>
    <w:rsid w:val="00571C54"/>
    <w:rsid w:val="005731EE"/>
    <w:rsid w:val="005754AB"/>
    <w:rsid w:val="005826F4"/>
    <w:rsid w:val="0058369E"/>
    <w:rsid w:val="00585395"/>
    <w:rsid w:val="00590D09"/>
    <w:rsid w:val="0059156A"/>
    <w:rsid w:val="00593314"/>
    <w:rsid w:val="0059368E"/>
    <w:rsid w:val="00593BF5"/>
    <w:rsid w:val="00594496"/>
    <w:rsid w:val="005956D3"/>
    <w:rsid w:val="00596365"/>
    <w:rsid w:val="005965BC"/>
    <w:rsid w:val="005A35F6"/>
    <w:rsid w:val="005A7E78"/>
    <w:rsid w:val="005B03ED"/>
    <w:rsid w:val="005B1776"/>
    <w:rsid w:val="005B1BA3"/>
    <w:rsid w:val="005B32FB"/>
    <w:rsid w:val="005B7FE4"/>
    <w:rsid w:val="005C05E0"/>
    <w:rsid w:val="005C37E0"/>
    <w:rsid w:val="005C54B9"/>
    <w:rsid w:val="005C5A1C"/>
    <w:rsid w:val="005C6618"/>
    <w:rsid w:val="005D0189"/>
    <w:rsid w:val="005E4470"/>
    <w:rsid w:val="005E5794"/>
    <w:rsid w:val="00603FD5"/>
    <w:rsid w:val="00607F03"/>
    <w:rsid w:val="00610627"/>
    <w:rsid w:val="00610F6C"/>
    <w:rsid w:val="00616DC8"/>
    <w:rsid w:val="00620548"/>
    <w:rsid w:val="00624B90"/>
    <w:rsid w:val="00625F58"/>
    <w:rsid w:val="00630F02"/>
    <w:rsid w:val="006475BD"/>
    <w:rsid w:val="006527FF"/>
    <w:rsid w:val="00656A8A"/>
    <w:rsid w:val="00662209"/>
    <w:rsid w:val="00681434"/>
    <w:rsid w:val="0068724F"/>
    <w:rsid w:val="006A1DEF"/>
    <w:rsid w:val="006A7069"/>
    <w:rsid w:val="006C36D5"/>
    <w:rsid w:val="006C3868"/>
    <w:rsid w:val="006C4AF4"/>
    <w:rsid w:val="006C4C82"/>
    <w:rsid w:val="006D095B"/>
    <w:rsid w:val="006D3F2F"/>
    <w:rsid w:val="006D4F09"/>
    <w:rsid w:val="006D5F4F"/>
    <w:rsid w:val="006E3536"/>
    <w:rsid w:val="00701100"/>
    <w:rsid w:val="00714488"/>
    <w:rsid w:val="007158C6"/>
    <w:rsid w:val="00720507"/>
    <w:rsid w:val="007215EF"/>
    <w:rsid w:val="007301C9"/>
    <w:rsid w:val="007373F6"/>
    <w:rsid w:val="00742F0D"/>
    <w:rsid w:val="00743548"/>
    <w:rsid w:val="00744120"/>
    <w:rsid w:val="00744789"/>
    <w:rsid w:val="0075386F"/>
    <w:rsid w:val="00760005"/>
    <w:rsid w:val="00760304"/>
    <w:rsid w:val="00760E1B"/>
    <w:rsid w:val="00762F69"/>
    <w:rsid w:val="00764FE1"/>
    <w:rsid w:val="007669DE"/>
    <w:rsid w:val="00767EAE"/>
    <w:rsid w:val="00770DB0"/>
    <w:rsid w:val="00775165"/>
    <w:rsid w:val="0078533C"/>
    <w:rsid w:val="007A0363"/>
    <w:rsid w:val="007C3475"/>
    <w:rsid w:val="007C475F"/>
    <w:rsid w:val="007D1569"/>
    <w:rsid w:val="007D25EB"/>
    <w:rsid w:val="007E1A38"/>
    <w:rsid w:val="007E7680"/>
    <w:rsid w:val="008017BC"/>
    <w:rsid w:val="0080322B"/>
    <w:rsid w:val="008035C3"/>
    <w:rsid w:val="00803F26"/>
    <w:rsid w:val="00804B8B"/>
    <w:rsid w:val="00806F63"/>
    <w:rsid w:val="00807F06"/>
    <w:rsid w:val="00811196"/>
    <w:rsid w:val="0081533C"/>
    <w:rsid w:val="008161D7"/>
    <w:rsid w:val="00820661"/>
    <w:rsid w:val="0082437F"/>
    <w:rsid w:val="0083428E"/>
    <w:rsid w:val="00836262"/>
    <w:rsid w:val="00836E3A"/>
    <w:rsid w:val="00837210"/>
    <w:rsid w:val="0084238D"/>
    <w:rsid w:val="008423EB"/>
    <w:rsid w:val="008472B8"/>
    <w:rsid w:val="008529A2"/>
    <w:rsid w:val="0085439B"/>
    <w:rsid w:val="008579B4"/>
    <w:rsid w:val="00866474"/>
    <w:rsid w:val="00871A6C"/>
    <w:rsid w:val="00872A6F"/>
    <w:rsid w:val="00875CCB"/>
    <w:rsid w:val="008833F3"/>
    <w:rsid w:val="00897793"/>
    <w:rsid w:val="008A1632"/>
    <w:rsid w:val="008A6F83"/>
    <w:rsid w:val="008B05C3"/>
    <w:rsid w:val="008B4965"/>
    <w:rsid w:val="008B78B1"/>
    <w:rsid w:val="008C1CCF"/>
    <w:rsid w:val="008C4621"/>
    <w:rsid w:val="008D19FD"/>
    <w:rsid w:val="008D1ABD"/>
    <w:rsid w:val="008D3A0D"/>
    <w:rsid w:val="008D7D89"/>
    <w:rsid w:val="008E25D6"/>
    <w:rsid w:val="008E7BD4"/>
    <w:rsid w:val="008F0A95"/>
    <w:rsid w:val="008F567D"/>
    <w:rsid w:val="008F668E"/>
    <w:rsid w:val="008F6884"/>
    <w:rsid w:val="008F6F1A"/>
    <w:rsid w:val="008F7897"/>
    <w:rsid w:val="0090137A"/>
    <w:rsid w:val="00903370"/>
    <w:rsid w:val="0091349A"/>
    <w:rsid w:val="00914399"/>
    <w:rsid w:val="0091530C"/>
    <w:rsid w:val="009158BF"/>
    <w:rsid w:val="00933E08"/>
    <w:rsid w:val="009342FC"/>
    <w:rsid w:val="00936068"/>
    <w:rsid w:val="00943806"/>
    <w:rsid w:val="00946351"/>
    <w:rsid w:val="009517CC"/>
    <w:rsid w:val="00953B80"/>
    <w:rsid w:val="009615D4"/>
    <w:rsid w:val="00962905"/>
    <w:rsid w:val="00970A20"/>
    <w:rsid w:val="0097163D"/>
    <w:rsid w:val="009721F8"/>
    <w:rsid w:val="00974677"/>
    <w:rsid w:val="00976023"/>
    <w:rsid w:val="00980461"/>
    <w:rsid w:val="0098235E"/>
    <w:rsid w:val="009864AF"/>
    <w:rsid w:val="009901F4"/>
    <w:rsid w:val="00993CAF"/>
    <w:rsid w:val="009969C3"/>
    <w:rsid w:val="00997F5C"/>
    <w:rsid w:val="009A2F17"/>
    <w:rsid w:val="009A3C2B"/>
    <w:rsid w:val="009C6075"/>
    <w:rsid w:val="009D24F5"/>
    <w:rsid w:val="009E19A3"/>
    <w:rsid w:val="009E2BF5"/>
    <w:rsid w:val="009E4DC0"/>
    <w:rsid w:val="009E61A8"/>
    <w:rsid w:val="009F47FD"/>
    <w:rsid w:val="00A0757A"/>
    <w:rsid w:val="00A128B7"/>
    <w:rsid w:val="00A13664"/>
    <w:rsid w:val="00A416AD"/>
    <w:rsid w:val="00A471AE"/>
    <w:rsid w:val="00A50CD9"/>
    <w:rsid w:val="00A51374"/>
    <w:rsid w:val="00A5529A"/>
    <w:rsid w:val="00A5703F"/>
    <w:rsid w:val="00A65DCB"/>
    <w:rsid w:val="00A668D5"/>
    <w:rsid w:val="00A75DCB"/>
    <w:rsid w:val="00A76CFD"/>
    <w:rsid w:val="00A8183A"/>
    <w:rsid w:val="00A86051"/>
    <w:rsid w:val="00A8625F"/>
    <w:rsid w:val="00A87AB4"/>
    <w:rsid w:val="00A90151"/>
    <w:rsid w:val="00A90256"/>
    <w:rsid w:val="00A91551"/>
    <w:rsid w:val="00A9359B"/>
    <w:rsid w:val="00A9545C"/>
    <w:rsid w:val="00A970A6"/>
    <w:rsid w:val="00AA0AF4"/>
    <w:rsid w:val="00AA163B"/>
    <w:rsid w:val="00AA1BE2"/>
    <w:rsid w:val="00AA2421"/>
    <w:rsid w:val="00AA3569"/>
    <w:rsid w:val="00AB10F4"/>
    <w:rsid w:val="00AB2D17"/>
    <w:rsid w:val="00AB34AD"/>
    <w:rsid w:val="00AB46E2"/>
    <w:rsid w:val="00AC4F7C"/>
    <w:rsid w:val="00AC587D"/>
    <w:rsid w:val="00AD1AA2"/>
    <w:rsid w:val="00AD4BFA"/>
    <w:rsid w:val="00AD7A30"/>
    <w:rsid w:val="00AE528A"/>
    <w:rsid w:val="00AE5E6A"/>
    <w:rsid w:val="00AF28A2"/>
    <w:rsid w:val="00AF3BD9"/>
    <w:rsid w:val="00AF479F"/>
    <w:rsid w:val="00B044BC"/>
    <w:rsid w:val="00B11F80"/>
    <w:rsid w:val="00B23258"/>
    <w:rsid w:val="00B23603"/>
    <w:rsid w:val="00B302FA"/>
    <w:rsid w:val="00B32D6C"/>
    <w:rsid w:val="00B34048"/>
    <w:rsid w:val="00B3749D"/>
    <w:rsid w:val="00B435FC"/>
    <w:rsid w:val="00B443CC"/>
    <w:rsid w:val="00B64E7C"/>
    <w:rsid w:val="00B65DAA"/>
    <w:rsid w:val="00B66B2F"/>
    <w:rsid w:val="00B720EC"/>
    <w:rsid w:val="00B74F7F"/>
    <w:rsid w:val="00B75B08"/>
    <w:rsid w:val="00B7663C"/>
    <w:rsid w:val="00B84869"/>
    <w:rsid w:val="00B86607"/>
    <w:rsid w:val="00B87859"/>
    <w:rsid w:val="00B91D47"/>
    <w:rsid w:val="00B953E2"/>
    <w:rsid w:val="00BA3CB8"/>
    <w:rsid w:val="00BA7623"/>
    <w:rsid w:val="00BC0DCE"/>
    <w:rsid w:val="00BC127C"/>
    <w:rsid w:val="00BC2D8C"/>
    <w:rsid w:val="00BC6606"/>
    <w:rsid w:val="00BC7C1B"/>
    <w:rsid w:val="00BD190D"/>
    <w:rsid w:val="00BF0EF2"/>
    <w:rsid w:val="00BF11A0"/>
    <w:rsid w:val="00BF68C8"/>
    <w:rsid w:val="00C016A3"/>
    <w:rsid w:val="00C01E68"/>
    <w:rsid w:val="00C047D1"/>
    <w:rsid w:val="00C11924"/>
    <w:rsid w:val="00C14016"/>
    <w:rsid w:val="00C17B40"/>
    <w:rsid w:val="00C221A0"/>
    <w:rsid w:val="00C238D1"/>
    <w:rsid w:val="00C25C46"/>
    <w:rsid w:val="00C31E23"/>
    <w:rsid w:val="00C326F9"/>
    <w:rsid w:val="00C36FFC"/>
    <w:rsid w:val="00C37A29"/>
    <w:rsid w:val="00C70D80"/>
    <w:rsid w:val="00C70EFC"/>
    <w:rsid w:val="00C71688"/>
    <w:rsid w:val="00C75C56"/>
    <w:rsid w:val="00C932F3"/>
    <w:rsid w:val="00CA0B3F"/>
    <w:rsid w:val="00CC3DE4"/>
    <w:rsid w:val="00CC459B"/>
    <w:rsid w:val="00CC5F5B"/>
    <w:rsid w:val="00CD0ECA"/>
    <w:rsid w:val="00CD61EB"/>
    <w:rsid w:val="00CD7F44"/>
    <w:rsid w:val="00CE43AF"/>
    <w:rsid w:val="00CE4D3A"/>
    <w:rsid w:val="00CE64FD"/>
    <w:rsid w:val="00CE7236"/>
    <w:rsid w:val="00CF02F0"/>
    <w:rsid w:val="00CF4BC6"/>
    <w:rsid w:val="00CF7F06"/>
    <w:rsid w:val="00D01615"/>
    <w:rsid w:val="00D02433"/>
    <w:rsid w:val="00D0352E"/>
    <w:rsid w:val="00D10E7C"/>
    <w:rsid w:val="00D10F14"/>
    <w:rsid w:val="00D15113"/>
    <w:rsid w:val="00D15B7C"/>
    <w:rsid w:val="00D15B7D"/>
    <w:rsid w:val="00D16F74"/>
    <w:rsid w:val="00D23225"/>
    <w:rsid w:val="00D23E87"/>
    <w:rsid w:val="00D30791"/>
    <w:rsid w:val="00D31E3E"/>
    <w:rsid w:val="00D330CA"/>
    <w:rsid w:val="00D3316D"/>
    <w:rsid w:val="00D37882"/>
    <w:rsid w:val="00D46FD9"/>
    <w:rsid w:val="00D60649"/>
    <w:rsid w:val="00D61E88"/>
    <w:rsid w:val="00D6650A"/>
    <w:rsid w:val="00D80E5F"/>
    <w:rsid w:val="00D83923"/>
    <w:rsid w:val="00D9419D"/>
    <w:rsid w:val="00D96F65"/>
    <w:rsid w:val="00DA136C"/>
    <w:rsid w:val="00DA3017"/>
    <w:rsid w:val="00DA5484"/>
    <w:rsid w:val="00DB7E8D"/>
    <w:rsid w:val="00DC1012"/>
    <w:rsid w:val="00DC18D8"/>
    <w:rsid w:val="00DC1B37"/>
    <w:rsid w:val="00DC5DFF"/>
    <w:rsid w:val="00DC74CB"/>
    <w:rsid w:val="00DD134A"/>
    <w:rsid w:val="00DD2AD9"/>
    <w:rsid w:val="00DD6473"/>
    <w:rsid w:val="00DF4E3E"/>
    <w:rsid w:val="00DF57D9"/>
    <w:rsid w:val="00DF60B9"/>
    <w:rsid w:val="00DF63B7"/>
    <w:rsid w:val="00DF7B11"/>
    <w:rsid w:val="00E010CD"/>
    <w:rsid w:val="00E0453D"/>
    <w:rsid w:val="00E05FA6"/>
    <w:rsid w:val="00E122AD"/>
    <w:rsid w:val="00E15A2F"/>
    <w:rsid w:val="00E161BC"/>
    <w:rsid w:val="00E25474"/>
    <w:rsid w:val="00E32EE5"/>
    <w:rsid w:val="00E32F93"/>
    <w:rsid w:val="00E379F7"/>
    <w:rsid w:val="00E47107"/>
    <w:rsid w:val="00E54ACD"/>
    <w:rsid w:val="00E54B2B"/>
    <w:rsid w:val="00E61632"/>
    <w:rsid w:val="00E70DD7"/>
    <w:rsid w:val="00E72EE0"/>
    <w:rsid w:val="00E741FB"/>
    <w:rsid w:val="00E7478D"/>
    <w:rsid w:val="00E8281C"/>
    <w:rsid w:val="00E840EA"/>
    <w:rsid w:val="00E86404"/>
    <w:rsid w:val="00E91A7E"/>
    <w:rsid w:val="00E91FED"/>
    <w:rsid w:val="00EA1943"/>
    <w:rsid w:val="00EB3F9D"/>
    <w:rsid w:val="00EB5DC6"/>
    <w:rsid w:val="00ED4983"/>
    <w:rsid w:val="00EE6F14"/>
    <w:rsid w:val="00EF3F23"/>
    <w:rsid w:val="00EF6C20"/>
    <w:rsid w:val="00F04EA7"/>
    <w:rsid w:val="00F1139D"/>
    <w:rsid w:val="00F162D4"/>
    <w:rsid w:val="00F173EF"/>
    <w:rsid w:val="00F2058B"/>
    <w:rsid w:val="00F25AE6"/>
    <w:rsid w:val="00F3209B"/>
    <w:rsid w:val="00F3214C"/>
    <w:rsid w:val="00F33F8D"/>
    <w:rsid w:val="00F37CB6"/>
    <w:rsid w:val="00F37F65"/>
    <w:rsid w:val="00F4010B"/>
    <w:rsid w:val="00F46E42"/>
    <w:rsid w:val="00F4702C"/>
    <w:rsid w:val="00F505B8"/>
    <w:rsid w:val="00F53EFE"/>
    <w:rsid w:val="00F60BA2"/>
    <w:rsid w:val="00F634F6"/>
    <w:rsid w:val="00F77B4D"/>
    <w:rsid w:val="00F83C5C"/>
    <w:rsid w:val="00F87B07"/>
    <w:rsid w:val="00F93843"/>
    <w:rsid w:val="00F94880"/>
    <w:rsid w:val="00FA1A3C"/>
    <w:rsid w:val="00FA33D2"/>
    <w:rsid w:val="00FB016C"/>
    <w:rsid w:val="00FB11C7"/>
    <w:rsid w:val="00FB4E93"/>
    <w:rsid w:val="00FC2D8B"/>
    <w:rsid w:val="00FD13DB"/>
    <w:rsid w:val="00FD3306"/>
    <w:rsid w:val="00FD36B1"/>
    <w:rsid w:val="00FD3FE4"/>
    <w:rsid w:val="00FE13BF"/>
    <w:rsid w:val="00FE2924"/>
    <w:rsid w:val="00FE59FD"/>
    <w:rsid w:val="00FE7F98"/>
    <w:rsid w:val="00FF2E7F"/>
    <w:rsid w:val="00FF306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F9FDD"/>
  <w15:chartTrackingRefBased/>
  <w15:docId w15:val="{8A680994-6605-4292-A93B-A4B89310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F83C5C"/>
    <w:pPr>
      <w:spacing w:before="120" w:after="120" w:line="280" w:lineRule="atLeast"/>
    </w:pPr>
    <w:rPr>
      <w:sz w:val="20"/>
      <w:szCs w:val="20"/>
    </w:rPr>
  </w:style>
  <w:style w:type="paragraph" w:styleId="Heading1">
    <w:name w:val="heading 1"/>
    <w:basedOn w:val="Normal"/>
    <w:next w:val="BodyText"/>
    <w:link w:val="Heading1Char"/>
    <w:uiPriority w:val="9"/>
    <w:qFormat/>
    <w:rsid w:val="00F83C5C"/>
    <w:pPr>
      <w:numPr>
        <w:numId w:val="13"/>
      </w:numPr>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F83C5C"/>
    <w:pPr>
      <w:keepNext/>
      <w:keepLines/>
      <w:numPr>
        <w:ilvl w:val="2"/>
        <w:numId w:val="13"/>
      </w:numPr>
      <w:spacing w:before="480" w:line="340" w:lineRule="atLeast"/>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F83C5C"/>
    <w:pPr>
      <w:keepNext/>
      <w:keepLines/>
      <w:spacing w:before="240" w:line="300" w:lineRule="atLeast"/>
      <w:outlineLvl w:val="2"/>
    </w:pPr>
    <w:rPr>
      <w:rFonts w:asciiTheme="majorHAnsi" w:eastAsiaTheme="majorEastAsia" w:hAnsiTheme="majorHAnsi" w:cstheme="majorBidi"/>
      <w:color w:val="2D9AC2" w:themeColor="text2" w:themeShade="BF"/>
      <w:sz w:val="26"/>
      <w:szCs w:val="37"/>
    </w:rPr>
  </w:style>
  <w:style w:type="paragraph" w:styleId="Heading4">
    <w:name w:val="heading 4"/>
    <w:basedOn w:val="Normal"/>
    <w:next w:val="BodyText"/>
    <w:link w:val="Heading4Char"/>
    <w:uiPriority w:val="9"/>
    <w:qFormat/>
    <w:rsid w:val="00F83C5C"/>
    <w:pPr>
      <w:keepNext/>
      <w:keepLines/>
      <w:spacing w:before="240" w:line="264" w:lineRule="atLeast"/>
      <w:outlineLvl w:val="3"/>
    </w:pPr>
    <w:rPr>
      <w:rFonts w:asciiTheme="majorHAnsi" w:eastAsiaTheme="majorEastAsia" w:hAnsiTheme="majorHAnsi" w:cstheme="majorBidi"/>
      <w:iCs/>
      <w:color w:val="265A9A" w:themeColor="background2"/>
      <w:sz w:val="22"/>
      <w:szCs w:val="33"/>
    </w:rPr>
  </w:style>
  <w:style w:type="paragraph" w:styleId="Heading5">
    <w:name w:val="heading 5"/>
    <w:basedOn w:val="Normal"/>
    <w:next w:val="BodyText"/>
    <w:link w:val="Heading5Char"/>
    <w:uiPriority w:val="9"/>
    <w:qFormat/>
    <w:rsid w:val="00F83C5C"/>
    <w:pPr>
      <w:keepNext/>
      <w:keepLines/>
      <w:spacing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F83C5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F83C5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F83C5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F83C5C"/>
    <w:pPr>
      <w:spacing w:line="240" w:lineRule="auto"/>
      <w:outlineLvl w:val="8"/>
    </w:pPr>
    <w:rPr>
      <w:rFonts w:asciiTheme="majorHAnsi" w:hAnsiTheme="majorHAnsi"/>
      <w:color w:val="4D7028"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C5C"/>
    <w:rPr>
      <w:color w:val="808080"/>
    </w:rPr>
  </w:style>
  <w:style w:type="paragraph" w:styleId="Date">
    <w:name w:val="Date"/>
    <w:basedOn w:val="Normal"/>
    <w:next w:val="Normal"/>
    <w:link w:val="DateChar"/>
    <w:uiPriority w:val="99"/>
    <w:unhideWhenUsed/>
    <w:rsid w:val="00F83C5C"/>
    <w:pPr>
      <w:spacing w:after="360" w:line="293" w:lineRule="auto"/>
    </w:pPr>
  </w:style>
  <w:style w:type="character" w:customStyle="1" w:styleId="DateChar">
    <w:name w:val="Date Char"/>
    <w:basedOn w:val="DefaultParagraphFont"/>
    <w:link w:val="Date"/>
    <w:uiPriority w:val="99"/>
    <w:rsid w:val="00F83C5C"/>
    <w:rPr>
      <w:sz w:val="20"/>
      <w:szCs w:val="20"/>
    </w:rPr>
  </w:style>
  <w:style w:type="paragraph" w:styleId="NoSpacing">
    <w:name w:val="No Spacing"/>
    <w:basedOn w:val="Normal"/>
    <w:link w:val="NoSpacingChar"/>
    <w:uiPriority w:val="10"/>
    <w:qFormat/>
    <w:rsid w:val="00F83C5C"/>
    <w:pPr>
      <w:spacing w:before="0" w:after="0"/>
    </w:pPr>
  </w:style>
  <w:style w:type="paragraph" w:styleId="ListBullet">
    <w:name w:val="List Bullet"/>
    <w:basedOn w:val="Normal"/>
    <w:link w:val="ListBulletChar"/>
    <w:uiPriority w:val="1"/>
    <w:qFormat/>
    <w:rsid w:val="00415A0E"/>
    <w:pPr>
      <w:numPr>
        <w:numId w:val="17"/>
      </w:numPr>
      <w:contextualSpacing/>
    </w:pPr>
  </w:style>
  <w:style w:type="paragraph" w:styleId="ListBullet2">
    <w:name w:val="List Bullet 2"/>
    <w:basedOn w:val="Normal"/>
    <w:uiPriority w:val="1"/>
    <w:qFormat/>
    <w:rsid w:val="00415A0E"/>
    <w:pPr>
      <w:numPr>
        <w:ilvl w:val="1"/>
        <w:numId w:val="17"/>
      </w:numPr>
      <w:contextualSpacing/>
    </w:pPr>
  </w:style>
  <w:style w:type="paragraph" w:styleId="ListNumber">
    <w:name w:val="List Number"/>
    <w:basedOn w:val="Normal"/>
    <w:uiPriority w:val="2"/>
    <w:qFormat/>
    <w:rsid w:val="00F83C5C"/>
    <w:pPr>
      <w:numPr>
        <w:numId w:val="14"/>
      </w:numPr>
      <w:spacing w:before="60"/>
      <w:contextualSpacing/>
    </w:pPr>
  </w:style>
  <w:style w:type="numbering" w:customStyle="1" w:styleId="Bullets">
    <w:name w:val="Bullets"/>
    <w:uiPriority w:val="99"/>
    <w:rsid w:val="00F83C5C"/>
    <w:pPr>
      <w:numPr>
        <w:numId w:val="5"/>
      </w:numPr>
    </w:pPr>
  </w:style>
  <w:style w:type="character" w:customStyle="1" w:styleId="Heading1Char">
    <w:name w:val="Heading 1 Char"/>
    <w:basedOn w:val="DefaultParagraphFont"/>
    <w:link w:val="Heading1"/>
    <w:uiPriority w:val="9"/>
    <w:rsid w:val="00F83C5C"/>
    <w:rPr>
      <w:rFonts w:asciiTheme="majorHAnsi" w:hAnsiTheme="majorHAnsi"/>
      <w:color w:val="FFFFFF" w:themeColor="background1"/>
      <w:sz w:val="42"/>
      <w:szCs w:val="20"/>
      <w:shd w:val="clear" w:color="auto" w:fill="265A9A" w:themeFill="background2"/>
    </w:rPr>
  </w:style>
  <w:style w:type="paragraph" w:styleId="ListNumber2">
    <w:name w:val="List Number 2"/>
    <w:basedOn w:val="Normal"/>
    <w:uiPriority w:val="13"/>
    <w:semiHidden/>
    <w:qFormat/>
    <w:rsid w:val="00F83C5C"/>
    <w:pPr>
      <w:numPr>
        <w:ilvl w:val="1"/>
        <w:numId w:val="14"/>
      </w:numPr>
      <w:spacing w:before="60"/>
      <w:contextualSpacing/>
    </w:pPr>
  </w:style>
  <w:style w:type="character" w:customStyle="1" w:styleId="Heading2Char">
    <w:name w:val="Heading 2 Char"/>
    <w:basedOn w:val="DefaultParagraphFont"/>
    <w:link w:val="Heading2"/>
    <w:uiPriority w:val="9"/>
    <w:rsid w:val="00F83C5C"/>
    <w:rPr>
      <w:rFonts w:asciiTheme="majorHAnsi" w:eastAsiaTheme="majorEastAsia" w:hAnsiTheme="majorHAnsi" w:cstheme="majorBidi"/>
      <w:sz w:val="30"/>
      <w:szCs w:val="60"/>
    </w:rPr>
  </w:style>
  <w:style w:type="paragraph" w:styleId="ListParagraph">
    <w:name w:val="List Paragraph"/>
    <w:basedOn w:val="Normal"/>
    <w:uiPriority w:val="34"/>
    <w:rsid w:val="00F83C5C"/>
    <w:pPr>
      <w:spacing w:line="293" w:lineRule="auto"/>
      <w:ind w:left="284"/>
      <w:contextualSpacing/>
    </w:pPr>
  </w:style>
  <w:style w:type="paragraph" w:styleId="Header">
    <w:name w:val="header"/>
    <w:basedOn w:val="Normal"/>
    <w:link w:val="HeaderChar"/>
    <w:uiPriority w:val="99"/>
    <w:unhideWhenUsed/>
    <w:rsid w:val="00F83C5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F83C5C"/>
    <w:rPr>
      <w:sz w:val="16"/>
      <w:szCs w:val="20"/>
    </w:rPr>
  </w:style>
  <w:style w:type="paragraph" w:styleId="Footer">
    <w:name w:val="footer"/>
    <w:basedOn w:val="Normal"/>
    <w:link w:val="FooterChar"/>
    <w:uiPriority w:val="11"/>
    <w:rsid w:val="00F83C5C"/>
    <w:pPr>
      <w:tabs>
        <w:tab w:val="center" w:pos="4513"/>
        <w:tab w:val="right" w:pos="9026"/>
      </w:tabs>
      <w:spacing w:after="0" w:line="240" w:lineRule="auto"/>
      <w:contextualSpacing/>
    </w:pPr>
    <w:rPr>
      <w:rFonts w:asciiTheme="majorHAnsi" w:hAnsiTheme="majorHAnsi"/>
      <w:sz w:val="17"/>
      <w:szCs w:val="22"/>
    </w:rPr>
  </w:style>
  <w:style w:type="character" w:customStyle="1" w:styleId="FooterChar">
    <w:name w:val="Footer Char"/>
    <w:basedOn w:val="DefaultParagraphFont"/>
    <w:link w:val="Footer"/>
    <w:uiPriority w:val="11"/>
    <w:rsid w:val="00F83C5C"/>
    <w:rPr>
      <w:rFonts w:asciiTheme="majorHAnsi" w:hAnsiTheme="majorHAnsi"/>
      <w:sz w:val="17"/>
    </w:rPr>
  </w:style>
  <w:style w:type="numbering" w:customStyle="1" w:styleId="Numbering">
    <w:name w:val="Numbering"/>
    <w:uiPriority w:val="99"/>
    <w:rsid w:val="00F83C5C"/>
    <w:pPr>
      <w:numPr>
        <w:numId w:val="14"/>
      </w:numPr>
    </w:pPr>
  </w:style>
  <w:style w:type="paragraph" w:styleId="ListBullet3">
    <w:name w:val="List Bullet 3"/>
    <w:basedOn w:val="Normal"/>
    <w:uiPriority w:val="1"/>
    <w:qFormat/>
    <w:rsid w:val="00AE528A"/>
    <w:pPr>
      <w:numPr>
        <w:ilvl w:val="2"/>
        <w:numId w:val="17"/>
      </w:numPr>
      <w:ind w:left="681"/>
      <w:contextualSpacing/>
    </w:pPr>
  </w:style>
  <w:style w:type="paragraph" w:styleId="ListContinue2">
    <w:name w:val="List Continue 2"/>
    <w:basedOn w:val="Normal"/>
    <w:uiPriority w:val="3"/>
    <w:unhideWhenUsed/>
    <w:qFormat/>
    <w:rsid w:val="00F83C5C"/>
    <w:pPr>
      <w:spacing w:before="60"/>
      <w:ind w:left="454"/>
    </w:pPr>
  </w:style>
  <w:style w:type="paragraph" w:styleId="ListNumber3">
    <w:name w:val="List Number 3"/>
    <w:basedOn w:val="Normal"/>
    <w:uiPriority w:val="13"/>
    <w:semiHidden/>
    <w:qFormat/>
    <w:rsid w:val="00F83C5C"/>
    <w:pPr>
      <w:numPr>
        <w:ilvl w:val="2"/>
        <w:numId w:val="14"/>
      </w:numPr>
      <w:spacing w:before="60"/>
      <w:contextualSpacing/>
    </w:pPr>
  </w:style>
  <w:style w:type="paragraph" w:styleId="ListNumber4">
    <w:name w:val="List Number 4"/>
    <w:basedOn w:val="Normal"/>
    <w:uiPriority w:val="13"/>
    <w:semiHidden/>
    <w:qFormat/>
    <w:rsid w:val="00F83C5C"/>
    <w:pPr>
      <w:numPr>
        <w:ilvl w:val="3"/>
        <w:numId w:val="14"/>
      </w:numPr>
      <w:spacing w:after="200" w:line="293" w:lineRule="auto"/>
      <w:contextualSpacing/>
    </w:pPr>
  </w:style>
  <w:style w:type="paragraph" w:styleId="ListNumber5">
    <w:name w:val="List Number 5"/>
    <w:basedOn w:val="Normal"/>
    <w:uiPriority w:val="13"/>
    <w:semiHidden/>
    <w:rsid w:val="00F83C5C"/>
    <w:pPr>
      <w:numPr>
        <w:ilvl w:val="4"/>
        <w:numId w:val="14"/>
      </w:numPr>
      <w:spacing w:after="200" w:line="293" w:lineRule="auto"/>
      <w:contextualSpacing/>
    </w:pPr>
  </w:style>
  <w:style w:type="paragraph" w:styleId="ListContinue">
    <w:name w:val="List Continue"/>
    <w:basedOn w:val="Normal"/>
    <w:uiPriority w:val="3"/>
    <w:unhideWhenUsed/>
    <w:qFormat/>
    <w:rsid w:val="00F83C5C"/>
    <w:pPr>
      <w:spacing w:before="60"/>
      <w:ind w:left="227"/>
    </w:pPr>
  </w:style>
  <w:style w:type="paragraph" w:styleId="ListContinue3">
    <w:name w:val="List Continue 3"/>
    <w:basedOn w:val="Normal"/>
    <w:uiPriority w:val="3"/>
    <w:unhideWhenUsed/>
    <w:qFormat/>
    <w:rsid w:val="00F83C5C"/>
    <w:pPr>
      <w:spacing w:before="60"/>
      <w:ind w:left="907"/>
    </w:pPr>
  </w:style>
  <w:style w:type="paragraph" w:styleId="ListContinue4">
    <w:name w:val="List Continue 4"/>
    <w:basedOn w:val="Normal"/>
    <w:uiPriority w:val="3"/>
    <w:unhideWhenUsed/>
    <w:qFormat/>
    <w:rsid w:val="00F83C5C"/>
    <w:pPr>
      <w:spacing w:line="293" w:lineRule="auto"/>
      <w:ind w:left="907"/>
      <w:contextualSpacing/>
    </w:pPr>
  </w:style>
  <w:style w:type="character" w:customStyle="1" w:styleId="Heading3Char">
    <w:name w:val="Heading 3 Char"/>
    <w:basedOn w:val="DefaultParagraphFont"/>
    <w:link w:val="Heading3"/>
    <w:uiPriority w:val="9"/>
    <w:rsid w:val="00F83C5C"/>
    <w:rPr>
      <w:rFonts w:asciiTheme="majorHAnsi" w:eastAsiaTheme="majorEastAsia" w:hAnsiTheme="majorHAnsi" w:cstheme="majorBidi"/>
      <w:color w:val="2D9AC2" w:themeColor="text2" w:themeShade="BF"/>
      <w:sz w:val="26"/>
      <w:szCs w:val="37"/>
    </w:rPr>
  </w:style>
  <w:style w:type="character" w:customStyle="1" w:styleId="Heading4Char">
    <w:name w:val="Heading 4 Char"/>
    <w:basedOn w:val="DefaultParagraphFont"/>
    <w:link w:val="Heading4"/>
    <w:uiPriority w:val="9"/>
    <w:rsid w:val="00F83C5C"/>
    <w:rPr>
      <w:rFonts w:asciiTheme="majorHAnsi" w:eastAsiaTheme="majorEastAsia" w:hAnsiTheme="majorHAnsi" w:cstheme="majorBidi"/>
      <w:iCs/>
      <w:color w:val="265A9A" w:themeColor="background2"/>
      <w:szCs w:val="33"/>
    </w:rPr>
  </w:style>
  <w:style w:type="character" w:customStyle="1" w:styleId="Heading5Char">
    <w:name w:val="Heading 5 Char"/>
    <w:basedOn w:val="DefaultParagraphFont"/>
    <w:link w:val="Heading5"/>
    <w:uiPriority w:val="9"/>
    <w:rsid w:val="00F83C5C"/>
    <w:rPr>
      <w:rFonts w:eastAsiaTheme="majorEastAsia" w:cstheme="majorBidi"/>
      <w:b/>
      <w:color w:val="265A9A" w:themeColor="background2"/>
      <w:szCs w:val="29"/>
    </w:rPr>
  </w:style>
  <w:style w:type="numbering" w:customStyle="1" w:styleId="ListHeadings">
    <w:name w:val="List Headings"/>
    <w:uiPriority w:val="99"/>
    <w:rsid w:val="00F83C5C"/>
    <w:pPr>
      <w:numPr>
        <w:numId w:val="12"/>
      </w:numPr>
    </w:pPr>
  </w:style>
  <w:style w:type="paragraph" w:styleId="Title">
    <w:name w:val="Title"/>
    <w:basedOn w:val="Heading1"/>
    <w:next w:val="Normal"/>
    <w:link w:val="TitleChar"/>
    <w:uiPriority w:val="39"/>
    <w:rsid w:val="00F83C5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2"/>
      <w:szCs w:val="56"/>
    </w:rPr>
  </w:style>
  <w:style w:type="character" w:customStyle="1" w:styleId="TitleChar">
    <w:name w:val="Title Char"/>
    <w:basedOn w:val="DefaultParagraphFont"/>
    <w:link w:val="Title"/>
    <w:uiPriority w:val="39"/>
    <w:rsid w:val="00F83C5C"/>
    <w:rPr>
      <w:rFonts w:asciiTheme="majorHAnsi" w:eastAsiaTheme="majorEastAsia" w:hAnsiTheme="majorHAnsi" w:cstheme="majorBidi"/>
      <w:color w:val="FFFFFF" w:themeColor="background1"/>
      <w:kern w:val="28"/>
      <w:sz w:val="52"/>
      <w:szCs w:val="56"/>
    </w:rPr>
  </w:style>
  <w:style w:type="paragraph" w:customStyle="1" w:styleId="Pull-outQuote">
    <w:name w:val="Pull-out Quote"/>
    <w:basedOn w:val="Normal"/>
    <w:link w:val="Pull-outQuoteChar"/>
    <w:uiPriority w:val="99"/>
    <w:semiHidden/>
    <w:rsid w:val="00F83C5C"/>
    <w:pPr>
      <w:pBdr>
        <w:top w:val="single" w:sz="4" w:space="4" w:color="66BCDB" w:themeColor="text2"/>
        <w:left w:val="single" w:sz="4" w:space="4" w:color="66BCDB" w:themeColor="text2"/>
        <w:bottom w:val="single" w:sz="4" w:space="4" w:color="66BCDB" w:themeColor="text2"/>
        <w:right w:val="single" w:sz="4" w:space="4" w:color="66BCDB" w:themeColor="text2"/>
      </w:pBdr>
      <w:shd w:val="clear" w:color="auto" w:fill="66BCDB"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F83C5C"/>
    <w:rPr>
      <w:b/>
    </w:rPr>
  </w:style>
  <w:style w:type="character" w:customStyle="1" w:styleId="Pull-outQuoteChar">
    <w:name w:val="Pull-out Quote Char"/>
    <w:basedOn w:val="DefaultParagraphFont"/>
    <w:link w:val="Pull-outQuote"/>
    <w:uiPriority w:val="99"/>
    <w:semiHidden/>
    <w:rsid w:val="00F83C5C"/>
    <w:rPr>
      <w:color w:val="FFFFFF" w:themeColor="background1"/>
      <w:sz w:val="20"/>
      <w:szCs w:val="20"/>
      <w:shd w:val="clear" w:color="auto" w:fill="66BCDB" w:themeFill="text2"/>
    </w:rPr>
  </w:style>
  <w:style w:type="character" w:customStyle="1" w:styleId="Pull-outQuoteHeadingChar">
    <w:name w:val="Pull-out Quote Heading Char"/>
    <w:basedOn w:val="Pull-outQuoteChar"/>
    <w:link w:val="Pull-outQuoteHeading"/>
    <w:uiPriority w:val="99"/>
    <w:semiHidden/>
    <w:rsid w:val="00F83C5C"/>
    <w:rPr>
      <w:b/>
      <w:color w:val="FFFFFF" w:themeColor="background1"/>
      <w:sz w:val="20"/>
      <w:szCs w:val="20"/>
      <w:shd w:val="clear" w:color="auto" w:fill="66BCDB" w:themeFill="text2"/>
    </w:rPr>
  </w:style>
  <w:style w:type="paragraph" w:customStyle="1" w:styleId="NumberedHeading1">
    <w:name w:val="Numbered Heading 1"/>
    <w:basedOn w:val="Heading1"/>
    <w:next w:val="Normal"/>
    <w:link w:val="NumberedHeading1Char"/>
    <w:uiPriority w:val="9"/>
    <w:semiHidden/>
    <w:rsid w:val="00F83C5C"/>
  </w:style>
  <w:style w:type="paragraph" w:customStyle="1" w:styleId="NumberedHeading2">
    <w:name w:val="Numbered Heading 2"/>
    <w:basedOn w:val="Heading2"/>
    <w:next w:val="Normal"/>
    <w:link w:val="NumberedHeading2Char"/>
    <w:uiPriority w:val="9"/>
    <w:semiHidden/>
    <w:rsid w:val="00F83C5C"/>
  </w:style>
  <w:style w:type="character" w:customStyle="1" w:styleId="NumberedHeading1Char">
    <w:name w:val="Numbered Heading 1 Char"/>
    <w:basedOn w:val="Heading1Char"/>
    <w:link w:val="NumberedHeading1"/>
    <w:uiPriority w:val="9"/>
    <w:semiHidden/>
    <w:rsid w:val="00F83C5C"/>
    <w:rPr>
      <w:rFonts w:asciiTheme="majorHAnsi" w:hAnsiTheme="majorHAnsi"/>
      <w:color w:val="FFFFFF" w:themeColor="background1"/>
      <w:sz w:val="42"/>
      <w:szCs w:val="20"/>
      <w:shd w:val="clear" w:color="auto" w:fill="265A9A" w:themeFill="background2"/>
    </w:rPr>
  </w:style>
  <w:style w:type="character" w:customStyle="1" w:styleId="NumberedHeading2Char">
    <w:name w:val="Numbered Heading 2 Char"/>
    <w:basedOn w:val="Heading2Char"/>
    <w:link w:val="NumberedHeading2"/>
    <w:uiPriority w:val="9"/>
    <w:semiHidden/>
    <w:rsid w:val="00F83C5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F83C5C"/>
    <w:pPr>
      <w:ind w:left="1134"/>
      <w:contextualSpacing/>
    </w:pPr>
  </w:style>
  <w:style w:type="table" w:styleId="TableGrid">
    <w:name w:val="Table Grid"/>
    <w:basedOn w:val="TableNormal"/>
    <w:uiPriority w:val="39"/>
    <w:rsid w:val="00F8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F83C5C"/>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F83C5C"/>
    <w:pPr>
      <w:numPr>
        <w:numId w:val="9"/>
      </w:numPr>
      <w:spacing w:before="60"/>
    </w:pPr>
  </w:style>
  <w:style w:type="paragraph" w:styleId="List2">
    <w:name w:val="List 2"/>
    <w:basedOn w:val="Normal"/>
    <w:uiPriority w:val="99"/>
    <w:semiHidden/>
    <w:qFormat/>
    <w:rsid w:val="00F83C5C"/>
    <w:pPr>
      <w:numPr>
        <w:ilvl w:val="1"/>
        <w:numId w:val="9"/>
      </w:numPr>
      <w:spacing w:before="60"/>
    </w:pPr>
  </w:style>
  <w:style w:type="numbering" w:customStyle="1" w:styleId="LetteredList">
    <w:name w:val="Lettered List"/>
    <w:uiPriority w:val="99"/>
    <w:rsid w:val="00F83C5C"/>
    <w:pPr>
      <w:numPr>
        <w:numId w:val="8"/>
      </w:numPr>
    </w:pPr>
  </w:style>
  <w:style w:type="paragraph" w:styleId="Subtitle">
    <w:name w:val="Subtitle"/>
    <w:basedOn w:val="Normal"/>
    <w:next w:val="Normal"/>
    <w:link w:val="SubtitleChar"/>
    <w:uiPriority w:val="39"/>
    <w:rsid w:val="00F83C5C"/>
    <w:pPr>
      <w:numPr>
        <w:ilvl w:val="1"/>
      </w:numPr>
      <w:spacing w:before="240" w:after="240" w:line="240" w:lineRule="auto"/>
    </w:pPr>
    <w:rPr>
      <w:rFonts w:eastAsiaTheme="minorEastAsia"/>
      <w:color w:val="FFFFFF" w:themeColor="background1"/>
      <w:sz w:val="52"/>
    </w:rPr>
  </w:style>
  <w:style w:type="character" w:customStyle="1" w:styleId="SubtitleChar">
    <w:name w:val="Subtitle Char"/>
    <w:basedOn w:val="DefaultParagraphFont"/>
    <w:link w:val="Subtitle"/>
    <w:uiPriority w:val="39"/>
    <w:rsid w:val="00F83C5C"/>
    <w:rPr>
      <w:rFonts w:eastAsiaTheme="minorEastAsia"/>
      <w:color w:val="FFFFFF" w:themeColor="background1"/>
      <w:sz w:val="52"/>
      <w:szCs w:val="20"/>
    </w:rPr>
  </w:style>
  <w:style w:type="character" w:styleId="Strong">
    <w:name w:val="Strong"/>
    <w:basedOn w:val="DefaultParagraphFont"/>
    <w:uiPriority w:val="22"/>
    <w:qFormat/>
    <w:rsid w:val="00F83C5C"/>
    <w:rPr>
      <w:rFonts w:asciiTheme="minorHAnsi" w:hAnsiTheme="minorHAnsi"/>
      <w:b/>
      <w:bCs/>
    </w:rPr>
  </w:style>
  <w:style w:type="paragraph" w:customStyle="1" w:styleId="Header-Keyline">
    <w:name w:val="Header - Keyline"/>
    <w:basedOn w:val="Header"/>
    <w:link w:val="Header-KeylineChar"/>
    <w:uiPriority w:val="99"/>
    <w:rsid w:val="00F83C5C"/>
    <w:pPr>
      <w:pBdr>
        <w:bottom w:val="single" w:sz="4" w:space="31" w:color="66BCDB" w:themeColor="text2"/>
      </w:pBdr>
      <w:spacing w:after="600"/>
    </w:pPr>
  </w:style>
  <w:style w:type="character" w:customStyle="1" w:styleId="Heading6Char">
    <w:name w:val="Heading 6 Char"/>
    <w:basedOn w:val="DefaultParagraphFont"/>
    <w:link w:val="Heading6"/>
    <w:uiPriority w:val="9"/>
    <w:rsid w:val="00F83C5C"/>
    <w:rPr>
      <w:rFonts w:eastAsiaTheme="majorEastAsia"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F83C5C"/>
    <w:rPr>
      <w:sz w:val="16"/>
      <w:szCs w:val="20"/>
    </w:rPr>
  </w:style>
  <w:style w:type="character" w:customStyle="1" w:styleId="Heading7Char">
    <w:name w:val="Heading 7 Char"/>
    <w:basedOn w:val="DefaultParagraphFont"/>
    <w:link w:val="Heading7"/>
    <w:uiPriority w:val="9"/>
    <w:semiHidden/>
    <w:rsid w:val="00F83C5C"/>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F83C5C"/>
    <w:rPr>
      <w:rFonts w:eastAsiaTheme="majorEastAsia" w:cstheme="majorBidi"/>
      <w:b/>
      <w:sz w:val="18"/>
      <w:szCs w:val="21"/>
    </w:rPr>
  </w:style>
  <w:style w:type="table" w:customStyle="1" w:styleId="ProductivityCommissionTable1">
    <w:name w:val="Productivity Commission Table 1"/>
    <w:basedOn w:val="TableNormal"/>
    <w:uiPriority w:val="99"/>
    <w:rsid w:val="00F83C5C"/>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F83C5C"/>
    <w:rPr>
      <w:rFonts w:asciiTheme="majorHAnsi" w:hAnsiTheme="majorHAnsi"/>
      <w:color w:val="4D7028" w:themeColor="accent2"/>
      <w:sz w:val="18"/>
      <w:szCs w:val="18"/>
    </w:rPr>
  </w:style>
  <w:style w:type="table" w:customStyle="1" w:styleId="ProductivityCommissionTable3">
    <w:name w:val="Productivity Commission Table 3"/>
    <w:basedOn w:val="TableNormal"/>
    <w:uiPriority w:val="99"/>
    <w:rsid w:val="00F83C5C"/>
    <w:pPr>
      <w:spacing w:after="0" w:line="240" w:lineRule="auto"/>
      <w:jc w:val="right"/>
    </w:pPr>
    <w:tblPr>
      <w:tblCellMar>
        <w:top w:w="45" w:type="dxa"/>
        <w:left w:w="0" w:type="dxa"/>
        <w:bottom w:w="45" w:type="dxa"/>
        <w:right w:w="28" w:type="dxa"/>
      </w:tblCellMar>
    </w:tblPr>
    <w:tblStylePr w:type="firstRow">
      <w:rPr>
        <w:b/>
        <w:color w:val="66BCDB" w:themeColor="text2"/>
      </w:rPr>
      <w:tblPr/>
      <w:tcPr>
        <w:tcBorders>
          <w:top w:val="nil"/>
          <w:left w:val="nil"/>
          <w:bottom w:val="single" w:sz="4" w:space="0" w:color="F4B123" w:themeColor="accent3"/>
          <w:right w:val="nil"/>
          <w:insideH w:val="nil"/>
          <w:insideV w:val="nil"/>
          <w:tl2br w:val="nil"/>
          <w:tr2bl w:val="nil"/>
        </w:tcBorders>
      </w:tcPr>
    </w:tblStylePr>
    <w:tblStylePr w:type="lastRow">
      <w:rPr>
        <w:b/>
      </w:rPr>
      <w:tblPr/>
      <w:tcPr>
        <w:tcBorders>
          <w:top w:val="single" w:sz="4" w:space="0" w:color="F4B123" w:themeColor="accent3"/>
          <w:left w:val="nil"/>
          <w:bottom w:val="single" w:sz="4" w:space="0" w:color="F4B123"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F83C5C"/>
    <w:pPr>
      <w:spacing w:before="240" w:after="240" w:line="500" w:lineRule="atLeast"/>
      <w:outlineLvl w:val="0"/>
    </w:pPr>
    <w:rPr>
      <w:rFonts w:asciiTheme="majorHAnsi" w:hAnsiTheme="majorHAnsi"/>
      <w:color w:val="265A9A" w:themeColor="background2"/>
      <w:sz w:val="42"/>
      <w:szCs w:val="20"/>
    </w:rPr>
  </w:style>
  <w:style w:type="paragraph" w:styleId="FootnoteText">
    <w:name w:val="footnote text"/>
    <w:basedOn w:val="Normal"/>
    <w:link w:val="FootnoteTextChar"/>
    <w:uiPriority w:val="99"/>
    <w:rsid w:val="00F83C5C"/>
    <w:pPr>
      <w:spacing w:before="60" w:after="60" w:line="293" w:lineRule="auto"/>
      <w:contextualSpacing/>
    </w:pPr>
    <w:rPr>
      <w:sz w:val="18"/>
    </w:rPr>
  </w:style>
  <w:style w:type="paragraph" w:styleId="TOC1">
    <w:name w:val="toc 1"/>
    <w:basedOn w:val="Normal"/>
    <w:next w:val="BodyText"/>
    <w:autoRedefine/>
    <w:uiPriority w:val="39"/>
    <w:unhideWhenUsed/>
    <w:rsid w:val="00F83C5C"/>
    <w:pPr>
      <w:tabs>
        <w:tab w:val="left" w:pos="567"/>
        <w:tab w:val="right" w:pos="7938"/>
      </w:tabs>
      <w:spacing w:after="100" w:line="293" w:lineRule="auto"/>
      <w:ind w:left="567" w:right="1701" w:hanging="567"/>
    </w:pPr>
    <w:rPr>
      <w:rFonts w:asciiTheme="majorHAnsi" w:hAnsiTheme="majorHAnsi"/>
      <w:color w:val="265A9A" w:themeColor="background2"/>
    </w:rPr>
  </w:style>
  <w:style w:type="character" w:customStyle="1" w:styleId="FootnoteTextChar">
    <w:name w:val="Footnote Text Char"/>
    <w:basedOn w:val="DefaultParagraphFont"/>
    <w:link w:val="FootnoteText"/>
    <w:uiPriority w:val="99"/>
    <w:rsid w:val="00F83C5C"/>
    <w:rPr>
      <w:sz w:val="18"/>
      <w:szCs w:val="20"/>
    </w:rPr>
  </w:style>
  <w:style w:type="character" w:styleId="FootnoteReference">
    <w:name w:val="footnote reference"/>
    <w:basedOn w:val="DefaultParagraphFont"/>
    <w:uiPriority w:val="99"/>
    <w:semiHidden/>
    <w:unhideWhenUsed/>
    <w:rsid w:val="00F83C5C"/>
    <w:rPr>
      <w:vertAlign w:val="superscript"/>
    </w:rPr>
  </w:style>
  <w:style w:type="character" w:styleId="Hyperlink">
    <w:name w:val="Hyperlink"/>
    <w:basedOn w:val="DefaultParagraphFont"/>
    <w:uiPriority w:val="99"/>
    <w:unhideWhenUsed/>
    <w:rsid w:val="00F83C5C"/>
    <w:rPr>
      <w:color w:val="000000" w:themeColor="hyperlink"/>
      <w:u w:val="single"/>
    </w:rPr>
  </w:style>
  <w:style w:type="character" w:styleId="HTMLVariable">
    <w:name w:val="HTML Variable"/>
    <w:basedOn w:val="DefaultParagraphFont"/>
    <w:uiPriority w:val="99"/>
    <w:unhideWhenUsed/>
    <w:rsid w:val="00F83C5C"/>
    <w:rPr>
      <w:i/>
      <w:iCs/>
    </w:rPr>
  </w:style>
  <w:style w:type="paragraph" w:styleId="TOC2">
    <w:name w:val="toc 2"/>
    <w:basedOn w:val="Normal"/>
    <w:next w:val="Normal"/>
    <w:autoRedefine/>
    <w:uiPriority w:val="39"/>
    <w:unhideWhenUsed/>
    <w:rsid w:val="00F83C5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F83C5C"/>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F83C5C"/>
    <w:pPr>
      <w:spacing w:before="180" w:line="293" w:lineRule="auto"/>
    </w:pPr>
    <w:rPr>
      <w:rFonts w:asciiTheme="majorHAnsi" w:hAnsiTheme="majorHAnsi"/>
      <w:color w:val="FFFFFF" w:themeColor="background1"/>
      <w:spacing w:val="6"/>
      <w:sz w:val="28"/>
    </w:rPr>
  </w:style>
  <w:style w:type="paragraph" w:customStyle="1" w:styleId="Copyrightpage-Heading2">
    <w:name w:val="Copyright page-Heading 2"/>
    <w:basedOn w:val="NoSpacing"/>
    <w:link w:val="Copyrightpage-Heading2Char"/>
    <w:uiPriority w:val="19"/>
    <w:rsid w:val="00F83C5C"/>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F83C5C"/>
    <w:rPr>
      <w:rFonts w:asciiTheme="majorHAnsi" w:hAnsiTheme="majorHAnsi"/>
      <w:color w:val="FFFFFF" w:themeColor="background1"/>
      <w:spacing w:val="6"/>
      <w:sz w:val="28"/>
      <w:szCs w:val="20"/>
    </w:rPr>
  </w:style>
  <w:style w:type="paragraph" w:customStyle="1" w:styleId="Copyrightpage-BodyText">
    <w:name w:val="Copyright page-Body Text"/>
    <w:basedOn w:val="Normal"/>
    <w:link w:val="Copyrightpage-BodyTextChar"/>
    <w:uiPriority w:val="19"/>
    <w:rsid w:val="00F83C5C"/>
    <w:pPr>
      <w:spacing w:before="80" w:line="250" w:lineRule="atLeast"/>
    </w:pPr>
    <w:rPr>
      <w:color w:val="FFFFFF" w:themeColor="background1"/>
      <w:sz w:val="16"/>
    </w:rPr>
  </w:style>
  <w:style w:type="character" w:customStyle="1" w:styleId="NoSpacingChar">
    <w:name w:val="No Spacing Char"/>
    <w:basedOn w:val="DefaultParagraphFont"/>
    <w:link w:val="NoSpacing"/>
    <w:uiPriority w:val="10"/>
    <w:rsid w:val="00F83C5C"/>
    <w:rPr>
      <w:sz w:val="20"/>
      <w:szCs w:val="20"/>
    </w:rPr>
  </w:style>
  <w:style w:type="character" w:customStyle="1" w:styleId="Copyrightpage-Heading2Char">
    <w:name w:val="Copyright page-Heading 2 Char"/>
    <w:basedOn w:val="NoSpacingChar"/>
    <w:link w:val="Copyrightpage-Heading2"/>
    <w:uiPriority w:val="19"/>
    <w:rsid w:val="00F83C5C"/>
    <w:rPr>
      <w:b/>
      <w:color w:val="FFFFFF" w:themeColor="background1"/>
      <w:sz w:val="16"/>
      <w:szCs w:val="16"/>
    </w:rPr>
  </w:style>
  <w:style w:type="paragraph" w:customStyle="1" w:styleId="Copyrightpage-Heading">
    <w:name w:val="Copyright page-Heading"/>
    <w:basedOn w:val="Subtitle2"/>
    <w:link w:val="Copyrightpage-HeadingChar"/>
    <w:uiPriority w:val="19"/>
    <w:rsid w:val="00F83C5C"/>
    <w:pPr>
      <w:spacing w:before="0" w:line="240" w:lineRule="auto"/>
    </w:pPr>
    <w:rPr>
      <w:spacing w:val="4"/>
      <w:sz w:val="19"/>
      <w:szCs w:val="18"/>
    </w:rPr>
  </w:style>
  <w:style w:type="character" w:customStyle="1" w:styleId="Copyrightpage-BodyTextChar">
    <w:name w:val="Copyright page-Body Text Char"/>
    <w:basedOn w:val="DefaultParagraphFont"/>
    <w:link w:val="Copyrightpage-BodyText"/>
    <w:uiPriority w:val="19"/>
    <w:rsid w:val="00F83C5C"/>
    <w:rPr>
      <w:color w:val="FFFFFF" w:themeColor="background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F83C5C"/>
    <w:rPr>
      <w:rFonts w:asciiTheme="majorHAnsi" w:hAnsiTheme="majorHAnsi"/>
      <w:color w:val="FFFFFF" w:themeColor="background1"/>
      <w:spacing w:val="4"/>
      <w:sz w:val="19"/>
      <w:szCs w:val="18"/>
    </w:rPr>
  </w:style>
  <w:style w:type="paragraph" w:customStyle="1" w:styleId="Heading1-noTOC">
    <w:name w:val="Heading 1-no TOC"/>
    <w:next w:val="BodyText"/>
    <w:uiPriority w:val="9"/>
    <w:qFormat/>
    <w:rsid w:val="00F83C5C"/>
    <w:pPr>
      <w:spacing w:before="600" w:after="480" w:line="504" w:lineRule="atLeast"/>
    </w:pPr>
    <w:rPr>
      <w:rFonts w:asciiTheme="majorHAnsi" w:eastAsiaTheme="majorEastAsia" w:hAnsiTheme="majorHAnsi" w:cstheme="majorBidi"/>
      <w:b/>
      <w:color w:val="265A9A" w:themeColor="background2"/>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F83C5C"/>
    <w:pPr>
      <w:spacing w:before="240" w:after="120" w:line="360" w:lineRule="atLeast"/>
    </w:pPr>
    <w:rPr>
      <w:rFonts w:asciiTheme="majorHAnsi" w:eastAsiaTheme="majorEastAsia" w:hAnsiTheme="majorHAnsi" w:cstheme="majorBidi"/>
      <w:sz w:val="30"/>
      <w:szCs w:val="60"/>
    </w:rPr>
  </w:style>
  <w:style w:type="paragraph" w:styleId="TOC4">
    <w:name w:val="toc 4"/>
    <w:basedOn w:val="Normal"/>
    <w:next w:val="Normal"/>
    <w:autoRedefine/>
    <w:uiPriority w:val="39"/>
    <w:unhideWhenUsed/>
    <w:rsid w:val="00F83C5C"/>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F83C5C"/>
    <w:pPr>
      <w:spacing w:line="360" w:lineRule="auto"/>
      <w:jc w:val="right"/>
    </w:pPr>
    <w:rPr>
      <w:sz w:val="16"/>
    </w:rPr>
  </w:style>
  <w:style w:type="paragraph" w:customStyle="1" w:styleId="Letterlogo">
    <w:name w:val="Letter logo"/>
    <w:basedOn w:val="LetterRight"/>
    <w:uiPriority w:val="99"/>
    <w:rsid w:val="00F83C5C"/>
    <w:pPr>
      <w:spacing w:after="320"/>
    </w:pPr>
  </w:style>
  <w:style w:type="character" w:customStyle="1" w:styleId="LetterRightChar">
    <w:name w:val="Letter Right Char"/>
    <w:basedOn w:val="DefaultParagraphFont"/>
    <w:link w:val="LetterRight"/>
    <w:uiPriority w:val="99"/>
    <w:rsid w:val="00F83C5C"/>
    <w:rPr>
      <w:sz w:val="16"/>
      <w:szCs w:val="20"/>
    </w:rPr>
  </w:style>
  <w:style w:type="character" w:styleId="UnresolvedMention">
    <w:name w:val="Unresolved Mention"/>
    <w:basedOn w:val="DefaultParagraphFont"/>
    <w:uiPriority w:val="99"/>
    <w:semiHidden/>
    <w:unhideWhenUsed/>
    <w:rsid w:val="00F83C5C"/>
    <w:rPr>
      <w:color w:val="605E5C"/>
      <w:shd w:val="clear" w:color="auto" w:fill="E1DFDD"/>
    </w:rPr>
  </w:style>
  <w:style w:type="paragraph" w:customStyle="1" w:styleId="LetterRight-NoSpace">
    <w:name w:val="Letter Right-No Space"/>
    <w:basedOn w:val="LetterRight"/>
    <w:uiPriority w:val="99"/>
    <w:rsid w:val="00F83C5C"/>
    <w:pPr>
      <w:spacing w:after="0"/>
    </w:pPr>
  </w:style>
  <w:style w:type="table" w:customStyle="1" w:styleId="Blank">
    <w:name w:val="Blank"/>
    <w:basedOn w:val="TableNormal"/>
    <w:uiPriority w:val="99"/>
    <w:rsid w:val="00F83C5C"/>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F83C5C"/>
    <w:pPr>
      <w:numPr>
        <w:numId w:val="11"/>
      </w:numPr>
      <w:contextualSpacing/>
    </w:pPr>
  </w:style>
  <w:style w:type="paragraph" w:customStyle="1" w:styleId="Coverdate">
    <w:name w:val="Cover date"/>
    <w:basedOn w:val="Normal"/>
    <w:uiPriority w:val="29"/>
    <w:rsid w:val="00F83C5C"/>
    <w:pPr>
      <w:framePr w:wrap="around" w:vAnchor="page" w:hAnchor="margin" w:xAlign="right" w:y="1135" w:anchorLock="1"/>
    </w:pPr>
  </w:style>
  <w:style w:type="table" w:customStyle="1" w:styleId="ProductivityCommissionTable2">
    <w:name w:val="Productivity Commission Table 2"/>
    <w:basedOn w:val="ProductivityCommissionTable1"/>
    <w:uiPriority w:val="99"/>
    <w:rsid w:val="00F83C5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F83C5C"/>
    <w:rPr>
      <w:color w:val="FFFFFF" w:themeColor="background1"/>
    </w:rPr>
  </w:style>
  <w:style w:type="paragraph" w:customStyle="1" w:styleId="Copyrightpage-Keylinenotext">
    <w:name w:val="Copyright page-Keyline (no text)"/>
    <w:basedOn w:val="Copyrightpage-Heading2"/>
    <w:uiPriority w:val="19"/>
    <w:rsid w:val="00F83C5C"/>
    <w:pPr>
      <w:pBdr>
        <w:top w:val="single" w:sz="4" w:space="8" w:color="66BCDB"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F83C5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F83C5C"/>
    <w:rPr>
      <w:b/>
    </w:rPr>
  </w:style>
  <w:style w:type="paragraph" w:customStyle="1" w:styleId="CoverImage">
    <w:name w:val="Cover Image"/>
    <w:basedOn w:val="Normal"/>
    <w:uiPriority w:val="29"/>
    <w:rsid w:val="00F83C5C"/>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F83C5C"/>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F83C5C"/>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F83C5C"/>
    <w:pPr>
      <w:spacing w:before="60"/>
      <w:ind w:left="113" w:right="851"/>
    </w:pPr>
    <w:rPr>
      <w:color w:val="58585B"/>
    </w:rPr>
  </w:style>
  <w:style w:type="numbering" w:customStyle="1" w:styleId="TOCList">
    <w:name w:val="TOC List"/>
    <w:uiPriority w:val="99"/>
    <w:rsid w:val="00F83C5C"/>
    <w:pPr>
      <w:numPr>
        <w:numId w:val="16"/>
      </w:numPr>
    </w:pPr>
  </w:style>
  <w:style w:type="paragraph" w:customStyle="1" w:styleId="Heading1-Section-fullpage">
    <w:name w:val="Heading 1-Section-full page"/>
    <w:basedOn w:val="Heading1-nobackground"/>
    <w:uiPriority w:val="9"/>
    <w:qFormat/>
    <w:rsid w:val="00F83C5C"/>
    <w:pPr>
      <w:framePr w:w="9639" w:h="13041" w:hRule="exact" w:wrap="around" w:vAnchor="text" w:hAnchor="text" w:y="1" w:anchorLock="1"/>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0"/>
      <w:ind w:left="567" w:right="567"/>
    </w:pPr>
    <w:rPr>
      <w:color w:val="66BCDB" w:themeColor="text2"/>
    </w:rPr>
  </w:style>
  <w:style w:type="table" w:customStyle="1" w:styleId="Texttable-Paleblue">
    <w:name w:val="Text table-Pale blue"/>
    <w:basedOn w:val="TableNormal"/>
    <w:uiPriority w:val="99"/>
    <w:rsid w:val="00F83C5C"/>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F83C5C"/>
    <w:pPr>
      <w:keepNext/>
      <w:spacing w:before="240"/>
    </w:pPr>
  </w:style>
  <w:style w:type="paragraph" w:customStyle="1" w:styleId="Source">
    <w:name w:val="Source"/>
    <w:basedOn w:val="Normal"/>
    <w:uiPriority w:val="9"/>
    <w:qFormat/>
    <w:rsid w:val="00F83C5C"/>
    <w:pPr>
      <w:spacing w:before="80" w:after="240" w:line="216" w:lineRule="atLeast"/>
    </w:pPr>
    <w:rPr>
      <w:sz w:val="18"/>
    </w:rPr>
  </w:style>
  <w:style w:type="paragraph" w:customStyle="1" w:styleId="Note">
    <w:name w:val="Note"/>
    <w:basedOn w:val="Source"/>
    <w:uiPriority w:val="9"/>
    <w:qFormat/>
    <w:rsid w:val="00F83C5C"/>
    <w:pPr>
      <w:spacing w:after="20"/>
    </w:pPr>
  </w:style>
  <w:style w:type="numbering" w:customStyle="1" w:styleId="Figure">
    <w:name w:val="Figure"/>
    <w:uiPriority w:val="99"/>
    <w:rsid w:val="00F83C5C"/>
    <w:pPr>
      <w:numPr>
        <w:numId w:val="6"/>
      </w:numPr>
    </w:pPr>
  </w:style>
  <w:style w:type="table" w:customStyle="1" w:styleId="Boxtable">
    <w:name w:val="Box table"/>
    <w:basedOn w:val="Texttable-Paleblue"/>
    <w:uiPriority w:val="99"/>
    <w:rsid w:val="00F83C5C"/>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F83C5C"/>
    <w:pPr>
      <w:numPr>
        <w:numId w:val="4"/>
      </w:numPr>
    </w:pPr>
  </w:style>
  <w:style w:type="paragraph" w:customStyle="1" w:styleId="BoxHeading2">
    <w:name w:val="Box Heading 2"/>
    <w:basedOn w:val="Normal"/>
    <w:next w:val="BodyText"/>
    <w:uiPriority w:val="4"/>
    <w:qFormat/>
    <w:rsid w:val="00F83C5C"/>
    <w:rPr>
      <w:b/>
    </w:rPr>
  </w:style>
  <w:style w:type="table" w:customStyle="1" w:styleId="ProductivityCommissionTable2-Dark">
    <w:name w:val="Productivity Commission Table 2 - Dark"/>
    <w:basedOn w:val="ProductivityCommissionTable2"/>
    <w:uiPriority w:val="99"/>
    <w:rsid w:val="00F83C5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F83C5C"/>
    <w:rPr>
      <w:i/>
    </w:rPr>
  </w:style>
  <w:style w:type="paragraph" w:customStyle="1" w:styleId="TableHeading">
    <w:name w:val="Table Heading"/>
    <w:basedOn w:val="NoSpacing"/>
    <w:uiPriority w:val="4"/>
    <w:qFormat/>
    <w:rsid w:val="00F83C5C"/>
    <w:pPr>
      <w:spacing w:after="20"/>
      <w:ind w:left="57"/>
    </w:pPr>
    <w:rPr>
      <w:b/>
      <w:color w:val="265A9A" w:themeColor="background2"/>
      <w:sz w:val="18"/>
    </w:rPr>
  </w:style>
  <w:style w:type="paragraph" w:customStyle="1" w:styleId="BodyText-Blue">
    <w:name w:val="Body Text-Blue"/>
    <w:basedOn w:val="BodyText"/>
    <w:link w:val="BodyText-BlueChar"/>
    <w:semiHidden/>
    <w:qFormat/>
    <w:rsid w:val="00F83C5C"/>
    <w:rPr>
      <w:color w:val="265A9A" w:themeColor="background2"/>
    </w:rPr>
  </w:style>
  <w:style w:type="table" w:customStyle="1" w:styleId="Texttable-Keyline">
    <w:name w:val="Text table-Keyline"/>
    <w:basedOn w:val="Texttable-Paleblue"/>
    <w:uiPriority w:val="99"/>
    <w:rsid w:val="00F83C5C"/>
    <w:tblPr>
      <w:tblBorders>
        <w:top w:val="single" w:sz="4" w:space="0" w:color="66BCDB" w:themeColor="text2"/>
        <w:left w:val="single" w:sz="4" w:space="0" w:color="66BCDB" w:themeColor="text2"/>
        <w:bottom w:val="single" w:sz="4" w:space="0" w:color="66BCDB" w:themeColor="text2"/>
        <w:right w:val="single" w:sz="4" w:space="0" w:color="66BCDB" w:themeColor="text2"/>
      </w:tblBorders>
    </w:tblPr>
    <w:tcPr>
      <w:shd w:val="clear" w:color="auto" w:fill="auto"/>
    </w:tcPr>
  </w:style>
  <w:style w:type="paragraph" w:customStyle="1" w:styleId="Header-KeylineRight">
    <w:name w:val="Header - Keyline Right"/>
    <w:basedOn w:val="Header-Keyline"/>
    <w:uiPriority w:val="99"/>
    <w:rsid w:val="00F83C5C"/>
    <w:pPr>
      <w:jc w:val="right"/>
    </w:pPr>
  </w:style>
  <w:style w:type="table" w:customStyle="1" w:styleId="CopyrightPage">
    <w:name w:val="Copyright Page"/>
    <w:basedOn w:val="OverviewPageBannerTableStyle"/>
    <w:uiPriority w:val="99"/>
    <w:rsid w:val="00F83C5C"/>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F83C5C"/>
    <w:pPr>
      <w:spacing w:line="312" w:lineRule="atLeast"/>
    </w:pPr>
    <w:rPr>
      <w:color w:val="2C9BC2"/>
    </w:rPr>
  </w:style>
  <w:style w:type="paragraph" w:styleId="BodyText">
    <w:name w:val="Body Text"/>
    <w:basedOn w:val="Normal"/>
    <w:link w:val="BodyTextChar"/>
    <w:qFormat/>
    <w:rsid w:val="00F83C5C"/>
  </w:style>
  <w:style w:type="character" w:customStyle="1" w:styleId="BodyTextChar">
    <w:name w:val="Body Text Char"/>
    <w:basedOn w:val="DefaultParagraphFont"/>
    <w:link w:val="BodyText"/>
    <w:rsid w:val="00F83C5C"/>
    <w:rPr>
      <w:sz w:val="20"/>
      <w:szCs w:val="20"/>
    </w:rPr>
  </w:style>
  <w:style w:type="paragraph" w:styleId="List4">
    <w:name w:val="List 4"/>
    <w:basedOn w:val="Normal"/>
    <w:uiPriority w:val="99"/>
    <w:semiHidden/>
    <w:rsid w:val="00F83C5C"/>
    <w:pPr>
      <w:numPr>
        <w:ilvl w:val="3"/>
        <w:numId w:val="9"/>
      </w:numPr>
      <w:contextualSpacing/>
    </w:pPr>
  </w:style>
  <w:style w:type="paragraph" w:styleId="List3">
    <w:name w:val="List 3"/>
    <w:basedOn w:val="Normal"/>
    <w:uiPriority w:val="99"/>
    <w:semiHidden/>
    <w:rsid w:val="00F83C5C"/>
    <w:pPr>
      <w:numPr>
        <w:ilvl w:val="2"/>
        <w:numId w:val="9"/>
      </w:numPr>
      <w:contextualSpacing/>
    </w:pPr>
  </w:style>
  <w:style w:type="paragraph" w:customStyle="1" w:styleId="Heading1-nonumber">
    <w:name w:val="Heading 1-no number"/>
    <w:basedOn w:val="Heading1"/>
    <w:next w:val="BodyText"/>
    <w:uiPriority w:val="9"/>
    <w:qFormat/>
    <w:rsid w:val="00F83C5C"/>
    <w:pPr>
      <w:numPr>
        <w:numId w:val="0"/>
      </w:numPr>
      <w:ind w:left="567"/>
    </w:pPr>
  </w:style>
  <w:style w:type="paragraph" w:customStyle="1" w:styleId="ListAlpha1">
    <w:name w:val="List Alpha 1"/>
    <w:basedOn w:val="Normal"/>
    <w:uiPriority w:val="3"/>
    <w:qFormat/>
    <w:rsid w:val="00F83C5C"/>
    <w:pPr>
      <w:numPr>
        <w:numId w:val="10"/>
      </w:numPr>
      <w:spacing w:before="60"/>
      <w:contextualSpacing/>
    </w:pPr>
  </w:style>
  <w:style w:type="paragraph" w:customStyle="1" w:styleId="ListAlpha2">
    <w:name w:val="List Alpha 2"/>
    <w:basedOn w:val="ListAlpha1"/>
    <w:uiPriority w:val="3"/>
    <w:qFormat/>
    <w:rsid w:val="00F83C5C"/>
    <w:pPr>
      <w:numPr>
        <w:ilvl w:val="1"/>
      </w:numPr>
    </w:pPr>
  </w:style>
  <w:style w:type="paragraph" w:customStyle="1" w:styleId="ListAlpha3">
    <w:name w:val="List Alpha 3"/>
    <w:basedOn w:val="ListAlpha2"/>
    <w:uiPriority w:val="3"/>
    <w:qFormat/>
    <w:rsid w:val="00F83C5C"/>
    <w:pPr>
      <w:numPr>
        <w:ilvl w:val="2"/>
      </w:numPr>
    </w:pPr>
  </w:style>
  <w:style w:type="paragraph" w:customStyle="1" w:styleId="ListAlpha4">
    <w:name w:val="List Alpha 4"/>
    <w:basedOn w:val="ListAlpha3"/>
    <w:uiPriority w:val="3"/>
    <w:semiHidden/>
    <w:qFormat/>
    <w:rsid w:val="00F83C5C"/>
    <w:pPr>
      <w:numPr>
        <w:ilvl w:val="3"/>
      </w:numPr>
    </w:pPr>
  </w:style>
  <w:style w:type="numbering" w:customStyle="1" w:styleId="Alphalist">
    <w:name w:val="Alpha list"/>
    <w:uiPriority w:val="99"/>
    <w:rsid w:val="00F83C5C"/>
    <w:pPr>
      <w:numPr>
        <w:numId w:val="1"/>
      </w:numPr>
    </w:pPr>
  </w:style>
  <w:style w:type="paragraph" w:customStyle="1" w:styleId="KeyPoints-Bold">
    <w:name w:val="Key Points-Bold"/>
    <w:basedOn w:val="Normal"/>
    <w:uiPriority w:val="10"/>
    <w:qFormat/>
    <w:rsid w:val="00F83C5C"/>
    <w:pPr>
      <w:spacing w:before="40" w:after="60" w:line="274" w:lineRule="atLeast"/>
    </w:pPr>
    <w:rPr>
      <w:b/>
      <w:sz w:val="18"/>
    </w:rPr>
  </w:style>
  <w:style w:type="paragraph" w:customStyle="1" w:styleId="Copyrightpage-BodyBold">
    <w:name w:val="Copyright page-Body Bold"/>
    <w:basedOn w:val="Copyrightpage-BodyText"/>
    <w:uiPriority w:val="19"/>
    <w:rsid w:val="00F83C5C"/>
    <w:rPr>
      <w:b/>
    </w:rPr>
  </w:style>
  <w:style w:type="paragraph" w:customStyle="1" w:styleId="KeyPoints-Bullet">
    <w:name w:val="Key Points-Bullet"/>
    <w:basedOn w:val="ListBullet"/>
    <w:uiPriority w:val="10"/>
    <w:qFormat/>
    <w:rsid w:val="00F83C5C"/>
    <w:pPr>
      <w:spacing w:after="60" w:line="274" w:lineRule="atLeast"/>
    </w:pPr>
    <w:rPr>
      <w:sz w:val="18"/>
    </w:rPr>
  </w:style>
  <w:style w:type="paragraph" w:customStyle="1" w:styleId="BodyText-Grey">
    <w:name w:val="Body Text-Grey"/>
    <w:basedOn w:val="BodyText"/>
    <w:link w:val="BodyText-GreyChar"/>
    <w:semiHidden/>
    <w:qFormat/>
    <w:rsid w:val="00F83C5C"/>
    <w:rPr>
      <w:color w:val="58585B"/>
    </w:rPr>
  </w:style>
  <w:style w:type="character" w:customStyle="1" w:styleId="BodyText-GreyChar">
    <w:name w:val="Body Text-Grey Char"/>
    <w:basedOn w:val="BodyTextChar"/>
    <w:link w:val="BodyText-Grey"/>
    <w:semiHidden/>
    <w:rsid w:val="00F83C5C"/>
    <w:rPr>
      <w:color w:val="58585B"/>
      <w:sz w:val="20"/>
      <w:szCs w:val="20"/>
    </w:rPr>
  </w:style>
  <w:style w:type="paragraph" w:styleId="BalloonText">
    <w:name w:val="Balloon Text"/>
    <w:basedOn w:val="Normal"/>
    <w:link w:val="BalloonTextChar"/>
    <w:uiPriority w:val="99"/>
    <w:semiHidden/>
    <w:unhideWhenUsed/>
    <w:rsid w:val="00F83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C5C"/>
    <w:rPr>
      <w:rFonts w:ascii="Segoe UI" w:hAnsi="Segoe UI" w:cs="Segoe UI"/>
      <w:sz w:val="18"/>
      <w:szCs w:val="18"/>
    </w:rPr>
  </w:style>
  <w:style w:type="character" w:styleId="CommentReference">
    <w:name w:val="annotation reference"/>
    <w:basedOn w:val="DefaultParagraphFont"/>
    <w:uiPriority w:val="99"/>
    <w:semiHidden/>
    <w:unhideWhenUsed/>
    <w:rsid w:val="00F83C5C"/>
    <w:rPr>
      <w:sz w:val="16"/>
      <w:szCs w:val="16"/>
    </w:rPr>
  </w:style>
  <w:style w:type="paragraph" w:styleId="CommentText">
    <w:name w:val="annotation text"/>
    <w:basedOn w:val="Normal"/>
    <w:link w:val="CommentTextChar"/>
    <w:uiPriority w:val="99"/>
    <w:semiHidden/>
    <w:unhideWhenUsed/>
    <w:rsid w:val="00F83C5C"/>
    <w:pPr>
      <w:spacing w:line="240" w:lineRule="auto"/>
    </w:pPr>
  </w:style>
  <w:style w:type="character" w:customStyle="1" w:styleId="CommentTextChar">
    <w:name w:val="Comment Text Char"/>
    <w:basedOn w:val="DefaultParagraphFont"/>
    <w:link w:val="CommentText"/>
    <w:uiPriority w:val="99"/>
    <w:semiHidden/>
    <w:rsid w:val="00F83C5C"/>
    <w:rPr>
      <w:sz w:val="20"/>
      <w:szCs w:val="20"/>
    </w:rPr>
  </w:style>
  <w:style w:type="paragraph" w:styleId="CommentSubject">
    <w:name w:val="annotation subject"/>
    <w:basedOn w:val="CommentText"/>
    <w:next w:val="CommentText"/>
    <w:link w:val="CommentSubjectChar"/>
    <w:uiPriority w:val="99"/>
    <w:semiHidden/>
    <w:unhideWhenUsed/>
    <w:rsid w:val="00F83C5C"/>
    <w:rPr>
      <w:b/>
      <w:bCs/>
    </w:rPr>
  </w:style>
  <w:style w:type="character" w:customStyle="1" w:styleId="CommentSubjectChar">
    <w:name w:val="Comment Subject Char"/>
    <w:basedOn w:val="CommentTextChar"/>
    <w:link w:val="CommentSubject"/>
    <w:uiPriority w:val="99"/>
    <w:semiHidden/>
    <w:rsid w:val="00F83C5C"/>
    <w:rPr>
      <w:b/>
      <w:bCs/>
      <w:sz w:val="20"/>
      <w:szCs w:val="20"/>
    </w:rPr>
  </w:style>
  <w:style w:type="character" w:customStyle="1" w:styleId="ColourBlue">
    <w:name w:val="Colour Blue"/>
    <w:basedOn w:val="DefaultParagraphFont"/>
    <w:uiPriority w:val="22"/>
    <w:qFormat/>
    <w:rsid w:val="00F83C5C"/>
    <w:rPr>
      <w:color w:val="66BCDB" w:themeColor="text2"/>
    </w:rPr>
  </w:style>
  <w:style w:type="character" w:customStyle="1" w:styleId="ColourDarkBlue">
    <w:name w:val="Colour Dark Blue"/>
    <w:basedOn w:val="ColourBlue"/>
    <w:uiPriority w:val="22"/>
    <w:qFormat/>
    <w:rsid w:val="00F83C5C"/>
    <w:rPr>
      <w:color w:val="265A9A" w:themeColor="background2"/>
    </w:rPr>
  </w:style>
  <w:style w:type="paragraph" w:customStyle="1" w:styleId="BodyText-Beforebullet">
    <w:name w:val="Body Text-Before bullet"/>
    <w:basedOn w:val="BodyText"/>
    <w:link w:val="BodyText-BeforebulletChar"/>
    <w:semiHidden/>
    <w:unhideWhenUsed/>
    <w:rsid w:val="00F83C5C"/>
    <w:pPr>
      <w:spacing w:after="20"/>
    </w:pPr>
  </w:style>
  <w:style w:type="paragraph" w:customStyle="1" w:styleId="PullQuote">
    <w:name w:val="Pull Quote"/>
    <w:basedOn w:val="BodyText"/>
    <w:next w:val="BodyText"/>
    <w:uiPriority w:val="10"/>
    <w:qFormat/>
    <w:rsid w:val="00F83C5C"/>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F83C5C"/>
    <w:rPr>
      <w:sz w:val="20"/>
      <w:szCs w:val="20"/>
    </w:rPr>
  </w:style>
  <w:style w:type="paragraph" w:customStyle="1" w:styleId="TableBody">
    <w:name w:val="Table Body"/>
    <w:basedOn w:val="NoSpacing"/>
    <w:uiPriority w:val="4"/>
    <w:qFormat/>
    <w:rsid w:val="00F83C5C"/>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F83C5C"/>
    <w:pPr>
      <w:spacing w:before="60"/>
      <w:jc w:val="right"/>
    </w:pPr>
  </w:style>
  <w:style w:type="paragraph" w:customStyle="1" w:styleId="FigureTableSubheading">
    <w:name w:val="Figure/Table Subheading"/>
    <w:basedOn w:val="FigureTableHeading"/>
    <w:uiPriority w:val="4"/>
    <w:qFormat/>
    <w:rsid w:val="00F83C5C"/>
    <w:pPr>
      <w:spacing w:before="40"/>
    </w:pPr>
    <w:rPr>
      <w:color w:val="58585B"/>
    </w:rPr>
  </w:style>
  <w:style w:type="table" w:customStyle="1" w:styleId="TextTable-Grey">
    <w:name w:val="Text Table-Grey"/>
    <w:basedOn w:val="Texttable-Paleblue"/>
    <w:uiPriority w:val="99"/>
    <w:rsid w:val="00F83C5C"/>
    <w:rPr>
      <w:color w:val="265A9A" w:themeColor="background2"/>
    </w:rPr>
    <w:tblPr/>
    <w:tcPr>
      <w:shd w:val="clear" w:color="auto" w:fill="F2F2F2"/>
    </w:tcPr>
  </w:style>
  <w:style w:type="character" w:customStyle="1" w:styleId="BodyText-BlueChar">
    <w:name w:val="Body Text-Blue Char"/>
    <w:basedOn w:val="BodyTextChar"/>
    <w:link w:val="BodyText-Blue"/>
    <w:semiHidden/>
    <w:rsid w:val="00F83C5C"/>
    <w:rPr>
      <w:color w:val="265A9A" w:themeColor="background2"/>
      <w:sz w:val="20"/>
      <w:szCs w:val="20"/>
    </w:rPr>
  </w:style>
  <w:style w:type="paragraph" w:customStyle="1" w:styleId="Heading3-nonumber">
    <w:name w:val="Heading 3-no number"/>
    <w:basedOn w:val="Heading3"/>
    <w:uiPriority w:val="9"/>
    <w:semiHidden/>
    <w:qFormat/>
    <w:rsid w:val="00F83C5C"/>
  </w:style>
  <w:style w:type="paragraph" w:customStyle="1" w:styleId="Heading1-nobackground">
    <w:name w:val="Heading 1-no background"/>
    <w:basedOn w:val="Heading1"/>
    <w:next w:val="BodyText"/>
    <w:uiPriority w:val="9"/>
    <w:qFormat/>
    <w:rsid w:val="00F83C5C"/>
    <w:pPr>
      <w:numPr>
        <w:numId w:val="0"/>
      </w:numPr>
      <w:pBdr>
        <w:top w:val="none" w:sz="0" w:space="0" w:color="auto"/>
        <w:left w:val="none" w:sz="0" w:space="0" w:color="auto"/>
        <w:bottom w:val="none" w:sz="0" w:space="0" w:color="auto"/>
        <w:right w:val="none" w:sz="0" w:space="0" w:color="auto"/>
      </w:pBdr>
      <w:shd w:val="clear" w:color="auto" w:fill="auto"/>
      <w:spacing w:before="600"/>
      <w:ind w:right="0"/>
    </w:pPr>
    <w:rPr>
      <w:color w:val="265A9A" w:themeColor="background2"/>
    </w:rPr>
  </w:style>
  <w:style w:type="character" w:customStyle="1" w:styleId="QuoteChar">
    <w:name w:val="Quote Char"/>
    <w:basedOn w:val="DefaultParagraphFont"/>
    <w:link w:val="Quote"/>
    <w:uiPriority w:val="1"/>
    <w:rsid w:val="00F83C5C"/>
    <w:rPr>
      <w:color w:val="58585B"/>
      <w:sz w:val="20"/>
      <w:szCs w:val="20"/>
    </w:rPr>
  </w:style>
  <w:style w:type="paragraph" w:customStyle="1" w:styleId="TableHeading-numbered">
    <w:name w:val="Table Heading-numbered"/>
    <w:basedOn w:val="Normal"/>
    <w:semiHidden/>
    <w:qFormat/>
    <w:rsid w:val="00F83C5C"/>
    <w:pPr>
      <w:numPr>
        <w:numId w:val="15"/>
      </w:numPr>
      <w:spacing w:before="60"/>
      <w:contextualSpacing/>
    </w:pPr>
    <w:rPr>
      <w:b/>
      <w:color w:val="265A9A" w:themeColor="background2"/>
    </w:rPr>
  </w:style>
  <w:style w:type="numbering" w:customStyle="1" w:styleId="TableList">
    <w:name w:val="TableList"/>
    <w:uiPriority w:val="99"/>
    <w:rsid w:val="00F83C5C"/>
    <w:pPr>
      <w:numPr>
        <w:numId w:val="15"/>
      </w:numPr>
    </w:pPr>
  </w:style>
  <w:style w:type="paragraph" w:customStyle="1" w:styleId="Footer-right">
    <w:name w:val="Footer-right"/>
    <w:basedOn w:val="Footer"/>
    <w:uiPriority w:val="11"/>
    <w:rsid w:val="00F83C5C"/>
    <w:pPr>
      <w:jc w:val="right"/>
    </w:pPr>
    <w:rPr>
      <w:szCs w:val="24"/>
    </w:rPr>
  </w:style>
  <w:style w:type="paragraph" w:customStyle="1" w:styleId="Heading2-nonumber">
    <w:name w:val="Heading 2-no number"/>
    <w:basedOn w:val="Heading2"/>
    <w:uiPriority w:val="9"/>
    <w:qFormat/>
    <w:rsid w:val="00F83C5C"/>
    <w:pPr>
      <w:numPr>
        <w:ilvl w:val="0"/>
        <w:numId w:val="0"/>
      </w:numPr>
    </w:pPr>
  </w:style>
  <w:style w:type="paragraph" w:customStyle="1" w:styleId="Heading-Appendix">
    <w:name w:val="Heading-Appendix"/>
    <w:basedOn w:val="Heading1-nonumber"/>
    <w:next w:val="BodyText"/>
    <w:uiPriority w:val="9"/>
    <w:qFormat/>
    <w:rsid w:val="00F83C5C"/>
    <w:pPr>
      <w:numPr>
        <w:numId w:val="7"/>
      </w:numPr>
    </w:pPr>
  </w:style>
  <w:style w:type="numbering" w:customStyle="1" w:styleId="AppendixHeading">
    <w:name w:val="AppendixHeading"/>
    <w:uiPriority w:val="99"/>
    <w:rsid w:val="00F83C5C"/>
    <w:pPr>
      <w:numPr>
        <w:numId w:val="3"/>
      </w:numPr>
    </w:pPr>
  </w:style>
  <w:style w:type="paragraph" w:customStyle="1" w:styleId="DraftingNote">
    <w:name w:val="Drafting Note"/>
    <w:basedOn w:val="BodyText"/>
    <w:link w:val="DraftingNoteChar"/>
    <w:qFormat/>
    <w:rsid w:val="00F83C5C"/>
    <w:pPr>
      <w:contextualSpacing/>
    </w:pPr>
    <w:rPr>
      <w:color w:val="A22D2B"/>
      <w:sz w:val="24"/>
      <w:u w:val="dotted"/>
    </w:rPr>
  </w:style>
  <w:style w:type="character" w:customStyle="1" w:styleId="DraftingNoteChar">
    <w:name w:val="Drafting Note Char"/>
    <w:basedOn w:val="BodyTextChar"/>
    <w:link w:val="DraftingNote"/>
    <w:rsid w:val="00F83C5C"/>
    <w:rPr>
      <w:color w:val="A22D2B"/>
      <w:sz w:val="24"/>
      <w:szCs w:val="20"/>
      <w:u w:val="dotted"/>
    </w:rPr>
  </w:style>
  <w:style w:type="paragraph" w:customStyle="1" w:styleId="BoxHeading1">
    <w:name w:val="Box Heading 1"/>
    <w:basedOn w:val="FigureTableHeading"/>
    <w:next w:val="BodyText"/>
    <w:uiPriority w:val="4"/>
    <w:qFormat/>
    <w:rsid w:val="00F83C5C"/>
    <w:pPr>
      <w:spacing w:after="0"/>
    </w:pPr>
  </w:style>
  <w:style w:type="character" w:styleId="Emphasis">
    <w:name w:val="Emphasis"/>
    <w:basedOn w:val="DefaultParagraphFont"/>
    <w:uiPriority w:val="22"/>
    <w:qFormat/>
    <w:rsid w:val="00F83C5C"/>
    <w:rPr>
      <w:i/>
      <w:iCs/>
    </w:rPr>
  </w:style>
  <w:style w:type="paragraph" w:customStyle="1" w:styleId="Reference">
    <w:name w:val="Reference"/>
    <w:basedOn w:val="BodyText"/>
    <w:qFormat/>
    <w:rsid w:val="00F83C5C"/>
    <w:pPr>
      <w:spacing w:before="0" w:after="60" w:line="200" w:lineRule="exact"/>
    </w:pPr>
    <w:rPr>
      <w:sz w:val="16"/>
    </w:rPr>
  </w:style>
  <w:style w:type="paragraph" w:customStyle="1" w:styleId="Keypoints-heading">
    <w:name w:val="Key points-heading"/>
    <w:basedOn w:val="Heading3"/>
    <w:uiPriority w:val="10"/>
    <w:qFormat/>
    <w:rsid w:val="00F83C5C"/>
    <w:rPr>
      <w:color w:val="auto"/>
    </w:rPr>
  </w:style>
  <w:style w:type="paragraph" w:customStyle="1" w:styleId="Heading2-Appendix">
    <w:name w:val="Heading 2-Appendix"/>
    <w:basedOn w:val="Heading2-nonumber"/>
    <w:next w:val="Normal"/>
    <w:uiPriority w:val="10"/>
    <w:qFormat/>
    <w:rsid w:val="00F83C5C"/>
    <w:pPr>
      <w:numPr>
        <w:ilvl w:val="1"/>
        <w:numId w:val="7"/>
      </w:numPr>
    </w:pPr>
  </w:style>
  <w:style w:type="numbering" w:customStyle="1" w:styleId="AppendixHeadingList">
    <w:name w:val="Appendix Heading List"/>
    <w:uiPriority w:val="99"/>
    <w:rsid w:val="00F83C5C"/>
    <w:pPr>
      <w:numPr>
        <w:numId w:val="2"/>
      </w:numPr>
    </w:pPr>
  </w:style>
  <w:style w:type="paragraph" w:customStyle="1" w:styleId="Space">
    <w:name w:val="Space"/>
    <w:basedOn w:val="BodyText"/>
    <w:uiPriority w:val="1"/>
    <w:rsid w:val="00F83C5C"/>
    <w:pPr>
      <w:spacing w:before="0" w:after="0"/>
    </w:pPr>
  </w:style>
  <w:style w:type="paragraph" w:customStyle="1" w:styleId="QuoteBullet">
    <w:name w:val="Quote Bullet"/>
    <w:basedOn w:val="ListBullet"/>
    <w:link w:val="QuoteBulletChar"/>
    <w:uiPriority w:val="1"/>
    <w:qFormat/>
    <w:rsid w:val="00F83C5C"/>
    <w:pPr>
      <w:spacing w:before="60"/>
      <w:ind w:left="340" w:right="851"/>
    </w:pPr>
    <w:rPr>
      <w:color w:val="58585B"/>
    </w:rPr>
  </w:style>
  <w:style w:type="character" w:customStyle="1" w:styleId="ListBulletChar">
    <w:name w:val="List Bullet Char"/>
    <w:basedOn w:val="DefaultParagraphFont"/>
    <w:link w:val="ListBullet"/>
    <w:uiPriority w:val="1"/>
    <w:rsid w:val="00415A0E"/>
    <w:rPr>
      <w:sz w:val="20"/>
      <w:szCs w:val="20"/>
    </w:rPr>
  </w:style>
  <w:style w:type="character" w:customStyle="1" w:styleId="QuoteBulletChar">
    <w:name w:val="Quote Bullet Char"/>
    <w:basedOn w:val="ListBulletChar"/>
    <w:link w:val="QuoteBullet"/>
    <w:uiPriority w:val="1"/>
    <w:rsid w:val="00F83C5C"/>
    <w:rPr>
      <w:color w:val="58585B"/>
      <w:sz w:val="20"/>
      <w:szCs w:val="20"/>
    </w:rPr>
  </w:style>
  <w:style w:type="paragraph" w:customStyle="1" w:styleId="Figurecharttitle">
    <w:name w:val="Figure chart title"/>
    <w:basedOn w:val="BodyText"/>
    <w:uiPriority w:val="10"/>
    <w:qFormat/>
    <w:rsid w:val="00F83C5C"/>
    <w:pPr>
      <w:spacing w:before="0" w:after="0"/>
      <w:ind w:left="284" w:hanging="284"/>
    </w:pPr>
    <w:rPr>
      <w:sz w:val="18"/>
      <w:szCs w:val="18"/>
    </w:rPr>
  </w:style>
  <w:style w:type="paragraph" w:customStyle="1" w:styleId="TableListBullet">
    <w:name w:val="Table List Bullet"/>
    <w:basedOn w:val="ListBullet"/>
    <w:uiPriority w:val="10"/>
    <w:qFormat/>
    <w:rsid w:val="00F83C5C"/>
    <w:pPr>
      <w:spacing w:before="0" w:after="20"/>
      <w:ind w:left="170"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35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ette.goss\AppData\Local\Temp\Templafy\WordVsto\Brief%20comments%20-%20xxx.dotx" TargetMode="External"/></Relationships>
</file>

<file path=word/theme/theme1.xml><?xml version="1.0" encoding="utf-8"?>
<a:theme xmlns:a="http://schemas.openxmlformats.org/drawingml/2006/main" name="Office Theme">
  <a:themeElements>
    <a:clrScheme name="PC colour themeNew">
      <a:dk1>
        <a:sysClr val="windowText" lastClr="000000"/>
      </a:dk1>
      <a:lt1>
        <a:sysClr val="window" lastClr="FFFFFF"/>
      </a:lt1>
      <a:dk2>
        <a:srgbClr val="66BCDB"/>
      </a:dk2>
      <a:lt2>
        <a:srgbClr val="265A9A"/>
      </a:lt2>
      <a:accent1>
        <a:srgbClr val="78A22F"/>
      </a:accent1>
      <a:accent2>
        <a:srgbClr val="4D7028"/>
      </a:accent2>
      <a:accent3>
        <a:srgbClr val="F4B123"/>
      </a:accent3>
      <a:accent4>
        <a:srgbClr val="F15A25"/>
      </a:accent4>
      <a:accent5>
        <a:srgbClr val="A52828"/>
      </a:accent5>
      <a:accent6>
        <a:srgbClr val="8956A3"/>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TemplateConfiguration><![CDATA[{"elementsMetadata":[],"transformationConfigurations":[],"templateName":"Brief comments received","templateDescription":"Template for publishing 'brief comments' on a project's website.","enableDocumentContentUpdater":false,"version":"2.0"}]]></TemplafyTemplateConfigura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B8B5264E86D942B6F960C66631D3A5" ma:contentTypeVersion="13" ma:contentTypeDescription="Create a new document." ma:contentTypeScope="" ma:versionID="bf6ca65c6fb6b1f6e8fa540f6ee195e6">
  <xsd:schema xmlns:xsd="http://www.w3.org/2001/XMLSchema" xmlns:xs="http://www.w3.org/2001/XMLSchema" xmlns:p="http://schemas.microsoft.com/office/2006/metadata/properties" xmlns:ns2="5ff63dbc-cfbd-4279-8802-fbe3eb1843ca" xmlns:ns3="092c6315-7fbc-4c66-b693-ef9eb3f5bfdc" targetNamespace="http://schemas.microsoft.com/office/2006/metadata/properties" ma:root="true" ma:fieldsID="c1226ef80df6a149bcc6d57fae031104" ns2:_="" ns3:_="">
    <xsd:import namespace="5ff63dbc-cfbd-4279-8802-fbe3eb1843ca"/>
    <xsd:import namespace="092c6315-7fbc-4c66-b693-ef9eb3f5bfdc"/>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63dbc-cfbd-4279-8802-fbe3eb1843ca"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c28a9cb-3f6d-4395-bf00-bc0972fcb329}" ma:internalName="TaxCatchAll" ma:showField="CatchAllData" ma:web="5ff63dbc-cfbd-4279-8802-fbe3eb1843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2c6315-7fbc-4c66-b693-ef9eb3f5bf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0f84bba906045b4af568ee102a52dcb xmlns="5ff63dbc-cfbd-4279-8802-fbe3eb1843ca">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5ff63dbc-cfbd-4279-8802-fbe3eb1843ca">
      <Value>1</Value>
    </TaxCatchAll>
    <lcf76f155ced4ddcb4097134ff3c332f xmlns="092c6315-7fbc-4c66-b693-ef9eb3f5bfdc">
      <Terms xmlns="http://schemas.microsoft.com/office/infopath/2007/PartnerControls"/>
    </lcf76f155ced4ddcb4097134ff3c332f>
  </documentManagement>
</p:properties>
</file>

<file path=customXml/item5.xml><?xml version="1.0" encoding="utf-8"?>
<TemplafyFormConfiguration><![CDATA[{"formFields":[],"formDataEntries":[]}]]></TemplafyFormConfiguration>
</file>

<file path=customXml/itemProps1.xml><?xml version="1.0" encoding="utf-8"?>
<ds:datastoreItem xmlns:ds="http://schemas.openxmlformats.org/officeDocument/2006/customXml" ds:itemID="{975102C0-1A3D-4F86-BC90-D80BEAF0223A}">
  <ds:schemaRefs/>
</ds:datastoreItem>
</file>

<file path=customXml/itemProps2.xml><?xml version="1.0" encoding="utf-8"?>
<ds:datastoreItem xmlns:ds="http://schemas.openxmlformats.org/officeDocument/2006/customXml" ds:itemID="{6947F5A4-A5EB-4987-96E7-6D77CE0284EF}">
  <ds:schemaRefs>
    <ds:schemaRef ds:uri="http://schemas.microsoft.com/sharepoint/v3/contenttype/forms"/>
  </ds:schemaRefs>
</ds:datastoreItem>
</file>

<file path=customXml/itemProps3.xml><?xml version="1.0" encoding="utf-8"?>
<ds:datastoreItem xmlns:ds="http://schemas.openxmlformats.org/officeDocument/2006/customXml" ds:itemID="{607EAC5C-A59F-4B12-BC0A-F85B24DD1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63dbc-cfbd-4279-8802-fbe3eb1843ca"/>
    <ds:schemaRef ds:uri="092c6315-7fbc-4c66-b693-ef9eb3f5b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0690E5-C2DD-47D2-B7F4-1F656AFE8ADA}">
  <ds:schemaRefs>
    <ds:schemaRef ds:uri="http://schemas.microsoft.com/office/2006/metadata/properties"/>
    <ds:schemaRef ds:uri="http://schemas.microsoft.com/office/infopath/2007/PartnerControls"/>
    <ds:schemaRef ds:uri="5ff63dbc-cfbd-4279-8802-fbe3eb1843ca"/>
    <ds:schemaRef ds:uri="092c6315-7fbc-4c66-b693-ef9eb3f5bfdc"/>
  </ds:schemaRefs>
</ds:datastoreItem>
</file>

<file path=customXml/itemProps5.xml><?xml version="1.0" encoding="utf-8"?>
<ds:datastoreItem xmlns:ds="http://schemas.openxmlformats.org/officeDocument/2006/customXml" ds:itemID="{4D9147C1-5AC2-4F94-B996-C686A37F2901}">
  <ds:schemaRefs/>
</ds:datastoreItem>
</file>

<file path=docProps/app.xml><?xml version="1.0" encoding="utf-8"?>
<Properties xmlns="http://schemas.openxmlformats.org/officeDocument/2006/extended-properties" xmlns:vt="http://schemas.openxmlformats.org/officeDocument/2006/docPropsVTypes">
  <Template>Brief comments - xxx.dotx</Template>
  <TotalTime>0</TotalTime>
  <Pages>5</Pages>
  <Words>1583</Words>
  <Characters>9943</Characters>
  <Application>Microsoft Office Word</Application>
  <DocSecurity>0</DocSecurity>
  <Lines>99</Lines>
  <Paragraphs>38</Paragraphs>
  <ScaleCrop>false</ScaleCrop>
  <HeadingPairs>
    <vt:vector size="2" baseType="variant">
      <vt:variant>
        <vt:lpstr>Title</vt:lpstr>
      </vt:variant>
      <vt:variant>
        <vt:i4>1</vt:i4>
      </vt:variant>
    </vt:vector>
  </HeadingPairs>
  <TitlesOfParts>
    <vt:vector size="1" baseType="lpstr">
      <vt:lpstr>Brief comments - Reducing barriers to business dynamism</vt:lpstr>
    </vt:vector>
  </TitlesOfParts>
  <Company>Productivity Commission</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comments - Reducing barriers to business dynamism</dc:title>
  <dc:subject/>
  <dc:creator>Productivity Commission</dc:creator>
  <cp:keywords/>
  <dc:description/>
  <cp:lastModifiedBy>Chris Alston</cp:lastModifiedBy>
  <cp:revision>2</cp:revision>
  <dcterms:created xsi:type="dcterms:W3CDTF">2026-10-06T22:45:00Z</dcterms:created>
  <dcterms:modified xsi:type="dcterms:W3CDTF">2026-10-06T22:45:00Z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0x010100DFB8B5264E86D942B6F960C66631D3A5</vt:lpwstr>
  </property>
  <property fmtid="{D5CDD505-2E9C-101B-9397-08002B2CF9AE}" pid="3" name="RevIMBCS">
    <vt:lpwstr>1;#Unclassified|3955eeb1-2d18-4582-aeb2-00144ec3aaf5</vt:lpwstr>
  </property>
  <property fmtid="{D5CDD505-2E9C-101B-9397-08002B2CF9AE}" pid="4" name="_dlc_DocIdItemGuid">
    <vt:lpwstr>e2aece60-351b-41a3-b0e5-8170f0a61299</vt:lpwstr>
  </property>
  <property fmtid="{D5CDD505-2E9C-101B-9397-08002B2CF9AE}" pid="5" name="MediaServiceImageTags">
    <vt:lpwstr/>
  </property>
  <property fmtid="{D5CDD505-2E9C-101B-9397-08002B2CF9AE}" pid="6" name="TemplafyTenantId">
    <vt:lpwstr>productivitycommission</vt:lpwstr>
  </property>
  <property fmtid="{D5CDD505-2E9C-101B-9397-08002B2CF9AE}" pid="7" name="TemplafyTemplateId">
    <vt:lpwstr>637896336438495691</vt:lpwstr>
  </property>
  <property fmtid="{D5CDD505-2E9C-101B-9397-08002B2CF9AE}" pid="8" name="TemplafyUserProfileId">
    <vt:lpwstr>637782392590976563</vt:lpwstr>
  </property>
  <property fmtid="{D5CDD505-2E9C-101B-9397-08002B2CF9AE}" pid="9" name="TemplafyFromBlank">
    <vt:bool>false</vt:bool>
  </property>
  <property fmtid="{D5CDD505-2E9C-101B-9397-08002B2CF9AE}" pid="10" name="ClassificationContentMarkingHeaderShapeIds">
    <vt:lpwstr>6c6ee412,62cff5ae,2fb01e48</vt:lpwstr>
  </property>
  <property fmtid="{D5CDD505-2E9C-101B-9397-08002B2CF9AE}" pid="11" name="ClassificationContentMarkingHeaderFontProps">
    <vt:lpwstr>#000000,12,Aptos</vt:lpwstr>
  </property>
  <property fmtid="{D5CDD505-2E9C-101B-9397-08002B2CF9AE}" pid="12" name="ClassificationContentMarkingHeaderText">
    <vt:lpwstr> OFFICIAL</vt:lpwstr>
  </property>
  <property fmtid="{D5CDD505-2E9C-101B-9397-08002B2CF9AE}" pid="13" name="MSIP_Label_f7467c1a-e0ed-413c-a72b-aac8e8e94f41_Enabled">
    <vt:lpwstr>true</vt:lpwstr>
  </property>
  <property fmtid="{D5CDD505-2E9C-101B-9397-08002B2CF9AE}" pid="14" name="MSIP_Label_f7467c1a-e0ed-413c-a72b-aac8e8e94f41_SetDate">
    <vt:lpwstr>2026-08-17T06:32:32Z</vt:lpwstr>
  </property>
  <property fmtid="{D5CDD505-2E9C-101B-9397-08002B2CF9AE}" pid="15" name="MSIP_Label_f7467c1a-e0ed-413c-a72b-aac8e8e94f41_Method">
    <vt:lpwstr>Privileged</vt:lpwstr>
  </property>
  <property fmtid="{D5CDD505-2E9C-101B-9397-08002B2CF9AE}" pid="16" name="MSIP_Label_f7467c1a-e0ed-413c-a72b-aac8e8e94f41_Name">
    <vt:lpwstr>OFFICIAL</vt:lpwstr>
  </property>
  <property fmtid="{D5CDD505-2E9C-101B-9397-08002B2CF9AE}" pid="17" name="MSIP_Label_f7467c1a-e0ed-413c-a72b-aac8e8e94f41_SiteId">
    <vt:lpwstr>29f9330b-c0fe-4244-830e-ba9f275d6c34</vt:lpwstr>
  </property>
  <property fmtid="{D5CDD505-2E9C-101B-9397-08002B2CF9AE}" pid="18" name="MSIP_Label_f7467c1a-e0ed-413c-a72b-aac8e8e94f41_ActionId">
    <vt:lpwstr>8666e15f-06cb-48f3-adbe-ac7340f09d14</vt:lpwstr>
  </property>
  <property fmtid="{D5CDD505-2E9C-101B-9397-08002B2CF9AE}" pid="19" name="MSIP_Label_f7467c1a-e0ed-413c-a72b-aac8e8e94f41_ContentBits">
    <vt:lpwstr>1</vt:lpwstr>
  </property>
  <property fmtid="{D5CDD505-2E9C-101B-9397-08002B2CF9AE}" pid="20" name="MSIP_Label_f7467c1a-e0ed-413c-a72b-aac8e8e94f41_Tag">
    <vt:lpwstr>10, 0, 1, 1</vt:lpwstr>
  </property>
  <property fmtid="{D5CDD505-2E9C-101B-9397-08002B2CF9AE}" pid="21" name="docLang">
    <vt:lpwstr>en</vt:lpwstr>
  </property>
</Properties>
</file>